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3050D" w14:textId="77777777" w:rsidR="007467EA" w:rsidRPr="00704FF8" w:rsidRDefault="007467EA" w:rsidP="00704FF8">
      <w:pPr>
        <w:pStyle w:val="OrdersTopLine"/>
      </w:pPr>
      <w:bookmarkStart w:id="0" w:name="_GoBack"/>
      <w:bookmarkEnd w:id="0"/>
      <w:r w:rsidRPr="00704FF8">
        <w:t>HIGH COURT OF AUSTRALIA</w:t>
      </w:r>
    </w:p>
    <w:p w14:paraId="63A5BC5B" w14:textId="77777777" w:rsidR="007467EA" w:rsidRPr="00704FF8" w:rsidRDefault="007467EA" w:rsidP="00704FF8">
      <w:pPr>
        <w:pStyle w:val="OrderCentre"/>
      </w:pPr>
    </w:p>
    <w:p w14:paraId="6837D9D4" w14:textId="77777777" w:rsidR="007467EA" w:rsidRPr="00E53B73" w:rsidRDefault="007467EA" w:rsidP="00704FF8">
      <w:pPr>
        <w:pStyle w:val="OrderCentre"/>
        <w:rPr>
          <w:sz w:val="24"/>
          <w:szCs w:val="24"/>
        </w:rPr>
      </w:pPr>
      <w:r w:rsidRPr="00E53B73">
        <w:rPr>
          <w:sz w:val="24"/>
          <w:szCs w:val="24"/>
        </w:rPr>
        <w:t>KIEFEL CJ,</w:t>
      </w:r>
    </w:p>
    <w:p w14:paraId="41AC9400" w14:textId="77777777" w:rsidR="007467EA" w:rsidRPr="00E53B73" w:rsidRDefault="007467EA" w:rsidP="00704FF8">
      <w:pPr>
        <w:pStyle w:val="OrderCentre"/>
        <w:rPr>
          <w:sz w:val="24"/>
          <w:szCs w:val="24"/>
        </w:rPr>
      </w:pPr>
      <w:r w:rsidRPr="00E53B73">
        <w:rPr>
          <w:sz w:val="24"/>
          <w:szCs w:val="24"/>
        </w:rPr>
        <w:t>GAGELER, KEANE, GORDON, EDELMAN, STEWARD AND GLEESON JJ</w:t>
      </w:r>
    </w:p>
    <w:p w14:paraId="14B692C1" w14:textId="77777777" w:rsidR="007467EA" w:rsidRPr="00427F3A" w:rsidRDefault="007467EA" w:rsidP="00EE5374">
      <w:pPr>
        <w:pStyle w:val="Centre"/>
        <w:rPr>
          <w:lang w:val="en-AU"/>
        </w:rPr>
      </w:pPr>
    </w:p>
    <w:p w14:paraId="3B28A5EB" w14:textId="77777777" w:rsidR="007467EA" w:rsidRPr="00704FF8" w:rsidRDefault="007467EA" w:rsidP="00704FF8">
      <w:pPr>
        <w:pStyle w:val="OrdersCenteredBorder"/>
      </w:pPr>
    </w:p>
    <w:p w14:paraId="2171FDDE" w14:textId="77777777" w:rsidR="007467EA" w:rsidRPr="00704FF8" w:rsidRDefault="007467EA" w:rsidP="0032341F">
      <w:pPr>
        <w:pStyle w:val="OrdersBodyHeading"/>
      </w:pPr>
    </w:p>
    <w:p w14:paraId="2D24EACB" w14:textId="77777777" w:rsidR="007467EA" w:rsidRDefault="007467EA" w:rsidP="009362E8">
      <w:pPr>
        <w:pStyle w:val="OrdersPartyName"/>
        <w:ind w:right="-1"/>
      </w:pPr>
      <w:r w:rsidRPr="007172EB">
        <w:t xml:space="preserve">CONSTRUCTION, FORESTRY, MARITIME, </w:t>
      </w:r>
    </w:p>
    <w:p w14:paraId="7C50299C" w14:textId="77777777" w:rsidR="007467EA" w:rsidRPr="0032341F" w:rsidRDefault="007467EA" w:rsidP="009362E8">
      <w:pPr>
        <w:pStyle w:val="OrdersPartyName"/>
        <w:ind w:right="-1"/>
      </w:pPr>
      <w:r w:rsidRPr="007172EB">
        <w:t>MINING AND ENERGY UNION &amp; ANOR</w:t>
      </w:r>
      <w:r w:rsidRPr="0032341F">
        <w:tab/>
        <w:t>APPELLANT</w:t>
      </w:r>
      <w:r>
        <w:t>S</w:t>
      </w:r>
    </w:p>
    <w:p w14:paraId="2A594AE5" w14:textId="77777777" w:rsidR="007467EA" w:rsidRPr="0032341F" w:rsidRDefault="007467EA" w:rsidP="009362E8">
      <w:pPr>
        <w:pStyle w:val="OrdersPartyName"/>
        <w:ind w:right="-1"/>
      </w:pPr>
    </w:p>
    <w:p w14:paraId="3E9B0B88" w14:textId="77777777" w:rsidR="007467EA" w:rsidRPr="0032341F" w:rsidRDefault="007467EA" w:rsidP="009362E8">
      <w:pPr>
        <w:pStyle w:val="OrdersPartyName"/>
        <w:ind w:right="-1"/>
      </w:pPr>
      <w:r w:rsidRPr="0032341F">
        <w:t>AND</w:t>
      </w:r>
    </w:p>
    <w:p w14:paraId="5D16402A" w14:textId="77777777" w:rsidR="007467EA" w:rsidRPr="0032341F" w:rsidRDefault="007467EA" w:rsidP="009362E8">
      <w:pPr>
        <w:pStyle w:val="OrdersPartyName"/>
        <w:ind w:right="-1"/>
      </w:pPr>
    </w:p>
    <w:p w14:paraId="39A86A58" w14:textId="77777777" w:rsidR="007467EA" w:rsidRPr="0032341F" w:rsidRDefault="007467EA" w:rsidP="009362E8">
      <w:pPr>
        <w:pStyle w:val="OrdersPartyName"/>
        <w:ind w:right="-1"/>
      </w:pPr>
      <w:r w:rsidRPr="007172EB">
        <w:t>PERSONNEL CONTRACTING PTY LTD</w:t>
      </w:r>
      <w:r w:rsidRPr="0032341F">
        <w:tab/>
        <w:t>RESPONDENT</w:t>
      </w:r>
    </w:p>
    <w:p w14:paraId="0D0478B4" w14:textId="77777777" w:rsidR="007467EA" w:rsidRPr="00427F3A" w:rsidRDefault="007467EA" w:rsidP="00AF0A5E">
      <w:pPr>
        <w:pStyle w:val="BodyHeading"/>
      </w:pPr>
    </w:p>
    <w:p w14:paraId="7F9756D8" w14:textId="77777777" w:rsidR="007467EA" w:rsidRPr="00427F3A" w:rsidRDefault="007467EA" w:rsidP="00BE0A6C">
      <w:pPr>
        <w:pStyle w:val="BodyHeading"/>
      </w:pPr>
    </w:p>
    <w:p w14:paraId="6BEBAB48" w14:textId="77777777" w:rsidR="007467EA" w:rsidRPr="00427F3A" w:rsidRDefault="007467EA" w:rsidP="00EE5374">
      <w:pPr>
        <w:pStyle w:val="CentreItalics"/>
      </w:pPr>
      <w:r w:rsidRPr="000E4C51">
        <w:t>Construction, Forestry, Maritime, Mining and Energy Union v Personnel Contracting Pty Ltd</w:t>
      </w:r>
    </w:p>
    <w:p w14:paraId="4B16CB16" w14:textId="77777777" w:rsidR="007467EA" w:rsidRPr="00427F3A" w:rsidRDefault="007467EA" w:rsidP="00E90E4F">
      <w:pPr>
        <w:pStyle w:val="OrdersCentre"/>
      </w:pPr>
      <w:r>
        <w:t>[2022</w:t>
      </w:r>
      <w:r w:rsidRPr="00427F3A">
        <w:t xml:space="preserve">] HCA </w:t>
      </w:r>
      <w:r>
        <w:t>1</w:t>
      </w:r>
    </w:p>
    <w:p w14:paraId="4479F46B" w14:textId="77777777" w:rsidR="007467EA" w:rsidRDefault="007467EA" w:rsidP="00E90E4F">
      <w:pPr>
        <w:pStyle w:val="OrdersCentreItalics"/>
      </w:pPr>
      <w:r>
        <w:t xml:space="preserve">Date of Hearing: </w:t>
      </w:r>
      <w:r w:rsidRPr="000E4C51">
        <w:t>31 August 2021</w:t>
      </w:r>
    </w:p>
    <w:p w14:paraId="15A27627" w14:textId="77777777" w:rsidR="007467EA" w:rsidRPr="00427F3A" w:rsidRDefault="007467EA" w:rsidP="00E90E4F">
      <w:pPr>
        <w:pStyle w:val="OrdersCentreItalics"/>
      </w:pPr>
      <w:r>
        <w:t>Date of Judgment: 9 February 2022</w:t>
      </w:r>
    </w:p>
    <w:p w14:paraId="149B825F" w14:textId="77777777" w:rsidR="007467EA" w:rsidRDefault="007467EA" w:rsidP="00E90E4F">
      <w:pPr>
        <w:pStyle w:val="OrdersCentre"/>
      </w:pPr>
      <w:r w:rsidRPr="000E4C51">
        <w:t>P5/2021</w:t>
      </w:r>
    </w:p>
    <w:p w14:paraId="2CE545F0" w14:textId="77777777" w:rsidR="007467EA" w:rsidRPr="00427F3A" w:rsidRDefault="007467EA" w:rsidP="00E90E4F">
      <w:pPr>
        <w:pStyle w:val="OrdersCentre"/>
      </w:pPr>
    </w:p>
    <w:p w14:paraId="72B8D057" w14:textId="77777777" w:rsidR="007467EA" w:rsidRPr="00BE0A6C" w:rsidRDefault="007467EA" w:rsidP="00E90E4F">
      <w:pPr>
        <w:pStyle w:val="OrderCentreBold"/>
      </w:pPr>
      <w:r w:rsidRPr="00BE0A6C">
        <w:t>ORDER</w:t>
      </w:r>
    </w:p>
    <w:p w14:paraId="371D96BD" w14:textId="77777777" w:rsidR="007467EA" w:rsidRPr="00427F3A" w:rsidRDefault="007467EA" w:rsidP="00736C52">
      <w:pPr>
        <w:pStyle w:val="Centre"/>
        <w:rPr>
          <w:lang w:val="en-AU"/>
        </w:rPr>
      </w:pPr>
    </w:p>
    <w:p w14:paraId="052C9154" w14:textId="77777777" w:rsidR="007467EA" w:rsidRDefault="007467EA" w:rsidP="00965857">
      <w:pPr>
        <w:pStyle w:val="OrdersText"/>
      </w:pPr>
      <w:r>
        <w:t>1.</w:t>
      </w:r>
      <w:r>
        <w:tab/>
        <w:t xml:space="preserve">Appeal allowed with costs. </w:t>
      </w:r>
    </w:p>
    <w:p w14:paraId="19CFEDA1" w14:textId="77777777" w:rsidR="007467EA" w:rsidRDefault="007467EA" w:rsidP="00965857">
      <w:pPr>
        <w:pStyle w:val="OrdersText"/>
      </w:pPr>
    </w:p>
    <w:p w14:paraId="58DBF01C" w14:textId="77777777" w:rsidR="007467EA" w:rsidRDefault="007467EA" w:rsidP="00965857">
      <w:pPr>
        <w:pStyle w:val="OrdersText"/>
      </w:pPr>
      <w:bookmarkStart w:id="1" w:name="_Hlk51841597"/>
      <w:r>
        <w:t xml:space="preserve">2. </w:t>
      </w:r>
      <w:r>
        <w:tab/>
      </w:r>
      <w:bookmarkEnd w:id="1"/>
      <w:r>
        <w:t>Set aside t</w:t>
      </w:r>
      <w:r w:rsidRPr="00B542F0">
        <w:t>he order of the Full Court of the Federal Court of Australia made on 17</w:t>
      </w:r>
      <w:r>
        <w:t> </w:t>
      </w:r>
      <w:r w:rsidRPr="00B542F0">
        <w:t xml:space="preserve">July 2020 and, in its place, </w:t>
      </w:r>
      <w:r>
        <w:t>order</w:t>
      </w:r>
      <w:r w:rsidRPr="00B542F0">
        <w:t xml:space="preserve"> that:</w:t>
      </w:r>
    </w:p>
    <w:p w14:paraId="08974BF9" w14:textId="77777777" w:rsidR="007467EA" w:rsidRDefault="007467EA" w:rsidP="00965857">
      <w:pPr>
        <w:pStyle w:val="OrdersText"/>
      </w:pPr>
    </w:p>
    <w:p w14:paraId="2F4A5537" w14:textId="77777777" w:rsidR="007467EA" w:rsidRDefault="007467EA" w:rsidP="00634CEF">
      <w:pPr>
        <w:pStyle w:val="OrdersText"/>
        <w:ind w:left="1418"/>
      </w:pPr>
      <w:r>
        <w:t>(a)</w:t>
      </w:r>
      <w:r>
        <w:tab/>
        <w:t>t</w:t>
      </w:r>
      <w:r w:rsidRPr="00A75FCE">
        <w:t>he appeal be allowed</w:t>
      </w:r>
      <w:r>
        <w:t>;</w:t>
      </w:r>
      <w:r w:rsidRPr="00A75FCE">
        <w:t xml:space="preserve"> </w:t>
      </w:r>
    </w:p>
    <w:p w14:paraId="51B3FCF1" w14:textId="77777777" w:rsidR="007467EA" w:rsidRDefault="007467EA" w:rsidP="00634CEF">
      <w:pPr>
        <w:pStyle w:val="OrdersText"/>
        <w:ind w:left="1418"/>
      </w:pPr>
    </w:p>
    <w:p w14:paraId="00FB7ADA" w14:textId="77777777" w:rsidR="007467EA" w:rsidRDefault="007467EA" w:rsidP="00634CEF">
      <w:pPr>
        <w:pStyle w:val="OrdersText"/>
        <w:ind w:left="1418"/>
      </w:pPr>
      <w:r>
        <w:t>(b)</w:t>
      </w:r>
      <w:r>
        <w:tab/>
        <w:t>t</w:t>
      </w:r>
      <w:r w:rsidRPr="00A75FCE">
        <w:t>he order of the Federal Court of Australia made on 6</w:t>
      </w:r>
      <w:r>
        <w:t> </w:t>
      </w:r>
      <w:r w:rsidRPr="00A75FCE">
        <w:t>November 2019 be set aside</w:t>
      </w:r>
      <w:r>
        <w:t>;</w:t>
      </w:r>
    </w:p>
    <w:p w14:paraId="4AA4B3BE" w14:textId="77777777" w:rsidR="007467EA" w:rsidRDefault="007467EA" w:rsidP="00634CEF">
      <w:pPr>
        <w:pStyle w:val="OrdersText"/>
        <w:ind w:left="1418"/>
      </w:pPr>
    </w:p>
    <w:p w14:paraId="2B9062DB" w14:textId="77777777" w:rsidR="007467EA" w:rsidRDefault="007467EA" w:rsidP="00634CEF">
      <w:pPr>
        <w:pStyle w:val="OrdersText"/>
        <w:ind w:left="1418"/>
      </w:pPr>
      <w:r>
        <w:t>(c)</w:t>
      </w:r>
      <w:r>
        <w:tab/>
        <w:t>i</w:t>
      </w:r>
      <w:r w:rsidRPr="00A75FCE">
        <w:t>t be declared and ordered that, between 27 July 2016 and 6</w:t>
      </w:r>
      <w:r>
        <w:t> </w:t>
      </w:r>
      <w:r w:rsidRPr="00A75FCE">
        <w:t>November 2016 and 14 March 2017 and 30 June 2017, the second appellant was employed by the respondent</w:t>
      </w:r>
      <w:r>
        <w:t>; and</w:t>
      </w:r>
    </w:p>
    <w:p w14:paraId="5D2D40E7" w14:textId="77777777" w:rsidR="007467EA" w:rsidRDefault="007467EA" w:rsidP="00634CEF">
      <w:pPr>
        <w:pStyle w:val="OrdersText"/>
        <w:ind w:left="1418"/>
      </w:pPr>
    </w:p>
    <w:p w14:paraId="2C1FB37D" w14:textId="77777777" w:rsidR="007467EA" w:rsidRPr="00A75FCE" w:rsidRDefault="007467EA" w:rsidP="00634CEF">
      <w:pPr>
        <w:pStyle w:val="OrdersText"/>
        <w:ind w:left="1418"/>
      </w:pPr>
      <w:r>
        <w:t>(d)</w:t>
      </w:r>
      <w:r>
        <w:tab/>
        <w:t>t</w:t>
      </w:r>
      <w:r w:rsidRPr="00A75FCE">
        <w:t>he matter be remitted to the primary judge for determination according to law.</w:t>
      </w:r>
    </w:p>
    <w:p w14:paraId="57358685" w14:textId="77777777" w:rsidR="007467EA" w:rsidRPr="000E4C51" w:rsidRDefault="007467EA" w:rsidP="00EE5374">
      <w:pPr>
        <w:pStyle w:val="Body"/>
      </w:pPr>
    </w:p>
    <w:p w14:paraId="3B767A6D" w14:textId="77777777" w:rsidR="007467EA" w:rsidRPr="000E4C51" w:rsidRDefault="007467EA" w:rsidP="00EE5374">
      <w:pPr>
        <w:pStyle w:val="Body"/>
      </w:pPr>
    </w:p>
    <w:p w14:paraId="4B4386D5" w14:textId="77777777" w:rsidR="007467EA" w:rsidRPr="000E4C51" w:rsidRDefault="007467EA" w:rsidP="0032341F">
      <w:pPr>
        <w:pStyle w:val="OrdersBody"/>
      </w:pPr>
      <w:r w:rsidRPr="000E4C51">
        <w:t>On appeal from the Federal Court of Australia</w:t>
      </w:r>
    </w:p>
    <w:p w14:paraId="78986E0B" w14:textId="47061807" w:rsidR="007467EA" w:rsidRDefault="007467E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4FD49BC2" w14:textId="2A684BCD" w:rsidR="007467EA" w:rsidRDefault="007467E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0AC2A5F1" w14:textId="77777777" w:rsidR="007467EA" w:rsidRPr="000E4C51" w:rsidRDefault="007467EA" w:rsidP="00E90E4F">
      <w:pPr>
        <w:pStyle w:val="OrdersBodyHeading"/>
      </w:pPr>
      <w:r w:rsidRPr="000E4C51">
        <w:lastRenderedPageBreak/>
        <w:t>Representation</w:t>
      </w:r>
    </w:p>
    <w:p w14:paraId="6864D176" w14:textId="77777777" w:rsidR="007467EA" w:rsidRPr="000E4C51" w:rsidRDefault="007467EA" w:rsidP="00EE5374">
      <w:pPr>
        <w:pStyle w:val="Body"/>
      </w:pPr>
    </w:p>
    <w:p w14:paraId="7EC47D92" w14:textId="77777777" w:rsidR="007467EA" w:rsidRPr="000E4C51" w:rsidRDefault="007467EA" w:rsidP="00E90E4F">
      <w:pPr>
        <w:pStyle w:val="OrdersBody"/>
      </w:pPr>
      <w:r w:rsidRPr="000E4C51">
        <w:t xml:space="preserve">B W Walker QC with M </w:t>
      </w:r>
      <w:proofErr w:type="gramStart"/>
      <w:r w:rsidRPr="000E4C51">
        <w:t>A</w:t>
      </w:r>
      <w:proofErr w:type="gramEnd"/>
      <w:r w:rsidRPr="000E4C51">
        <w:t xml:space="preserve"> Irving QC and T J Dixon for the appellants (instructed by Construction, Forestry, Maritime, Mining and Energy Union)</w:t>
      </w:r>
    </w:p>
    <w:p w14:paraId="531244D8" w14:textId="77777777" w:rsidR="007467EA" w:rsidRPr="000E4C51" w:rsidRDefault="007467EA" w:rsidP="001B3C97">
      <w:pPr>
        <w:pStyle w:val="Body"/>
      </w:pPr>
    </w:p>
    <w:p w14:paraId="7EE80794" w14:textId="77777777" w:rsidR="007467EA" w:rsidRPr="000E4C51" w:rsidRDefault="007467EA" w:rsidP="00E90E4F">
      <w:pPr>
        <w:pStyle w:val="OrdersBody"/>
      </w:pPr>
      <w:r w:rsidRPr="000E4C51">
        <w:t xml:space="preserve">J B Blackburn SC with M L </w:t>
      </w:r>
      <w:proofErr w:type="spellStart"/>
      <w:r w:rsidRPr="000E4C51">
        <w:t>Felman</w:t>
      </w:r>
      <w:proofErr w:type="spellEnd"/>
      <w:r w:rsidRPr="000E4C51">
        <w:t xml:space="preserve"> for the respondent (instructed by </w:t>
      </w:r>
      <w:proofErr w:type="spellStart"/>
      <w:r w:rsidRPr="000E4C51">
        <w:t>Hotchkin</w:t>
      </w:r>
      <w:proofErr w:type="spellEnd"/>
      <w:r w:rsidRPr="000E4C51">
        <w:t xml:space="preserve"> </w:t>
      </w:r>
      <w:proofErr w:type="spellStart"/>
      <w:r w:rsidRPr="000E4C51">
        <w:t>Hanly</w:t>
      </w:r>
      <w:proofErr w:type="spellEnd"/>
      <w:r w:rsidRPr="000E4C51">
        <w:t xml:space="preserve"> Lawyers)</w:t>
      </w:r>
    </w:p>
    <w:p w14:paraId="2677B54C" w14:textId="77777777" w:rsidR="007467EA" w:rsidRPr="000E4C51" w:rsidRDefault="007467EA" w:rsidP="00A01277">
      <w:pPr>
        <w:pStyle w:val="Body"/>
      </w:pPr>
    </w:p>
    <w:p w14:paraId="5972FA40" w14:textId="77777777" w:rsidR="007467EA" w:rsidRDefault="007467EA" w:rsidP="00EE5374">
      <w:pPr>
        <w:pStyle w:val="Body"/>
      </w:pPr>
    </w:p>
    <w:p w14:paraId="2AF75AB1" w14:textId="77777777" w:rsidR="007467EA" w:rsidRDefault="007467EA" w:rsidP="00EE5374">
      <w:pPr>
        <w:pStyle w:val="Body"/>
      </w:pPr>
    </w:p>
    <w:p w14:paraId="6E5F124A" w14:textId="77777777" w:rsidR="007467EA" w:rsidRDefault="007467EA" w:rsidP="00EE5374">
      <w:pPr>
        <w:pStyle w:val="Body"/>
      </w:pPr>
    </w:p>
    <w:p w14:paraId="504D807E" w14:textId="77777777" w:rsidR="007467EA" w:rsidRDefault="007467EA" w:rsidP="00EE5374">
      <w:pPr>
        <w:pStyle w:val="Body"/>
      </w:pPr>
    </w:p>
    <w:p w14:paraId="484732EC" w14:textId="77777777" w:rsidR="007467EA" w:rsidRDefault="007467EA" w:rsidP="00EE5374">
      <w:pPr>
        <w:pStyle w:val="Body"/>
      </w:pPr>
    </w:p>
    <w:p w14:paraId="6E7956B5" w14:textId="77777777" w:rsidR="007467EA" w:rsidRDefault="007467EA" w:rsidP="00EE5374">
      <w:pPr>
        <w:pStyle w:val="Body"/>
      </w:pPr>
    </w:p>
    <w:p w14:paraId="400048D4" w14:textId="77777777" w:rsidR="007467EA" w:rsidRDefault="007467EA" w:rsidP="00EE5374">
      <w:pPr>
        <w:pStyle w:val="Body"/>
      </w:pPr>
    </w:p>
    <w:p w14:paraId="65F6B638" w14:textId="77777777" w:rsidR="007467EA" w:rsidRDefault="007467EA" w:rsidP="00EE5374">
      <w:pPr>
        <w:pStyle w:val="Body"/>
      </w:pPr>
    </w:p>
    <w:p w14:paraId="44B96DF1" w14:textId="77777777" w:rsidR="007467EA" w:rsidRDefault="007467EA" w:rsidP="00EE5374">
      <w:pPr>
        <w:pStyle w:val="Body"/>
      </w:pPr>
    </w:p>
    <w:p w14:paraId="18BB8A19" w14:textId="77777777" w:rsidR="007467EA" w:rsidRDefault="007467EA" w:rsidP="00EE5374">
      <w:pPr>
        <w:pStyle w:val="Body"/>
      </w:pPr>
    </w:p>
    <w:p w14:paraId="6DADA8DC" w14:textId="77777777" w:rsidR="007467EA" w:rsidRDefault="007467EA" w:rsidP="00EE5374">
      <w:pPr>
        <w:pStyle w:val="Body"/>
      </w:pPr>
    </w:p>
    <w:p w14:paraId="3A340093" w14:textId="77777777" w:rsidR="007467EA" w:rsidRDefault="007467EA" w:rsidP="00EE5374">
      <w:pPr>
        <w:pStyle w:val="Body"/>
      </w:pPr>
    </w:p>
    <w:p w14:paraId="7806DC98" w14:textId="77777777" w:rsidR="007467EA" w:rsidRDefault="007467EA" w:rsidP="00EE5374">
      <w:pPr>
        <w:pStyle w:val="Body"/>
      </w:pPr>
    </w:p>
    <w:p w14:paraId="3A49A137" w14:textId="77777777" w:rsidR="007467EA" w:rsidRDefault="007467EA" w:rsidP="00EE5374">
      <w:pPr>
        <w:pStyle w:val="Body"/>
      </w:pPr>
    </w:p>
    <w:p w14:paraId="35BA8755" w14:textId="77777777" w:rsidR="007467EA" w:rsidRDefault="007467EA" w:rsidP="00EE5374">
      <w:pPr>
        <w:pStyle w:val="Body"/>
      </w:pPr>
    </w:p>
    <w:p w14:paraId="4FE6A53D" w14:textId="77777777" w:rsidR="007467EA" w:rsidRDefault="007467EA" w:rsidP="00EE5374">
      <w:pPr>
        <w:pStyle w:val="Body"/>
      </w:pPr>
    </w:p>
    <w:p w14:paraId="5E5DFB70" w14:textId="77777777" w:rsidR="007467EA" w:rsidRDefault="007467EA" w:rsidP="00EE5374">
      <w:pPr>
        <w:pStyle w:val="Body"/>
      </w:pPr>
    </w:p>
    <w:p w14:paraId="5683CF34" w14:textId="77777777" w:rsidR="007467EA" w:rsidRDefault="007467EA" w:rsidP="00EE5374">
      <w:pPr>
        <w:pStyle w:val="Body"/>
      </w:pPr>
    </w:p>
    <w:p w14:paraId="19B0DDBA" w14:textId="77777777" w:rsidR="007467EA" w:rsidRDefault="007467EA" w:rsidP="00EE5374">
      <w:pPr>
        <w:pStyle w:val="Body"/>
      </w:pPr>
    </w:p>
    <w:p w14:paraId="3136E843" w14:textId="77777777" w:rsidR="007467EA" w:rsidRDefault="007467EA" w:rsidP="00EE5374">
      <w:pPr>
        <w:pStyle w:val="Body"/>
      </w:pPr>
    </w:p>
    <w:p w14:paraId="227914F4" w14:textId="77777777" w:rsidR="007467EA" w:rsidRDefault="007467EA" w:rsidP="00EE5374">
      <w:pPr>
        <w:pStyle w:val="Body"/>
      </w:pPr>
    </w:p>
    <w:p w14:paraId="1A259A7A" w14:textId="77777777" w:rsidR="007467EA" w:rsidRDefault="007467EA" w:rsidP="00EE5374">
      <w:pPr>
        <w:pStyle w:val="Body"/>
      </w:pPr>
    </w:p>
    <w:p w14:paraId="2FA3F8E3" w14:textId="584349B7" w:rsidR="007467EA" w:rsidRDefault="007467EA" w:rsidP="00EE5374">
      <w:pPr>
        <w:pStyle w:val="Body"/>
      </w:pPr>
    </w:p>
    <w:p w14:paraId="286FE685" w14:textId="77777777" w:rsidR="00A15977" w:rsidRDefault="00A15977" w:rsidP="00EE5374">
      <w:pPr>
        <w:pStyle w:val="Body"/>
      </w:pPr>
    </w:p>
    <w:p w14:paraId="408FE9A4" w14:textId="77777777" w:rsidR="007467EA" w:rsidRDefault="007467EA" w:rsidP="00EE5374">
      <w:pPr>
        <w:pStyle w:val="Body"/>
      </w:pPr>
    </w:p>
    <w:p w14:paraId="6C0315DD" w14:textId="77777777" w:rsidR="007467EA" w:rsidRDefault="007467EA" w:rsidP="00EE5374">
      <w:pPr>
        <w:pStyle w:val="Body"/>
      </w:pPr>
    </w:p>
    <w:p w14:paraId="4D6A9E98" w14:textId="77777777" w:rsidR="007467EA" w:rsidRPr="000E4C51" w:rsidRDefault="007467EA" w:rsidP="00EE5374">
      <w:pPr>
        <w:pStyle w:val="Body"/>
      </w:pPr>
    </w:p>
    <w:p w14:paraId="0E5308DC" w14:textId="77777777" w:rsidR="007467EA" w:rsidRPr="000E4C51" w:rsidRDefault="007467EA" w:rsidP="00EE5374">
      <w:pPr>
        <w:pStyle w:val="Body"/>
      </w:pPr>
    </w:p>
    <w:p w14:paraId="22879905" w14:textId="77777777" w:rsidR="007467EA" w:rsidRPr="00427F3A" w:rsidRDefault="007467EA" w:rsidP="00F9713B">
      <w:pPr>
        <w:pStyle w:val="Notice"/>
        <w:rPr>
          <w:lang w:val="en-AU"/>
        </w:rPr>
      </w:pPr>
      <w:r w:rsidRPr="000E4C51">
        <w:rPr>
          <w:lang w:val="en-AU"/>
        </w:rPr>
        <w:t>Notice:  This copy of the Court's Reasons for Judgment is subject to formal revision prior to publication in the Commonwealth Law</w:t>
      </w:r>
      <w:r w:rsidRPr="00427F3A">
        <w:rPr>
          <w:lang w:val="en-AU"/>
        </w:rPr>
        <w:t xml:space="preserve"> Reports.</w:t>
      </w:r>
    </w:p>
    <w:p w14:paraId="67C1C071" w14:textId="26691557" w:rsidR="007467EA" w:rsidRDefault="007467E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7D644C5" w14:textId="77777777" w:rsidR="0000325E" w:rsidRDefault="007467E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00325E" w:rsidSect="007467EA">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530818A5" w14:textId="2D6ACDC2" w:rsidR="0000325E" w:rsidRPr="00724A74" w:rsidRDefault="0000325E" w:rsidP="00724A74">
      <w:pPr>
        <w:pStyle w:val="CatchwordsBold"/>
      </w:pPr>
      <w:r w:rsidRPr="00724A74">
        <w:lastRenderedPageBreak/>
        <w:t>CATCHWORDS</w:t>
      </w:r>
    </w:p>
    <w:p w14:paraId="78A65F09" w14:textId="77777777" w:rsidR="0000325E" w:rsidRPr="00724A74" w:rsidRDefault="0000325E" w:rsidP="00724A74">
      <w:pPr>
        <w:pStyle w:val="CatchwordsBold"/>
      </w:pPr>
    </w:p>
    <w:p w14:paraId="2198C818" w14:textId="77777777" w:rsidR="0000325E" w:rsidRPr="00724A74" w:rsidRDefault="0000325E" w:rsidP="00724A74">
      <w:pPr>
        <w:pStyle w:val="CatchwordsBold"/>
      </w:pPr>
      <w:r w:rsidRPr="00724A74">
        <w:t>Construction, Forestry, Maritime, Mining and Energy Union v Personnel Contracting Pty Ltd</w:t>
      </w:r>
    </w:p>
    <w:p w14:paraId="7D4102E1" w14:textId="77777777" w:rsidR="0000325E" w:rsidRPr="00B9489E" w:rsidRDefault="0000325E" w:rsidP="00562CAB">
      <w:pPr>
        <w:pStyle w:val="Default"/>
      </w:pPr>
    </w:p>
    <w:p w14:paraId="42185A7D" w14:textId="77777777" w:rsidR="0000325E" w:rsidRDefault="0000325E" w:rsidP="00724A74">
      <w:pPr>
        <w:pStyle w:val="CatchwordsText"/>
      </w:pPr>
      <w:r>
        <w:t>Industrial law (</w:t>
      </w:r>
      <w:proofErr w:type="spellStart"/>
      <w:r>
        <w:t>Cth</w:t>
      </w:r>
      <w:proofErr w:type="spellEnd"/>
      <w:r>
        <w:t xml:space="preserve">) </w:t>
      </w:r>
      <w:r w:rsidRPr="00B9489E">
        <w:t>–</w:t>
      </w:r>
      <w:r>
        <w:t xml:space="preserve"> </w:t>
      </w:r>
      <w:r w:rsidRPr="000B751F">
        <w:t>Nature of employment relationship – Employee or independent contractor –</w:t>
      </w:r>
      <w:r>
        <w:t xml:space="preserve"> Where second appellant backpacker with limited work experience sought construction work from respondent – Where respondent in business of labour</w:t>
      </w:r>
      <w:r>
        <w:noBreakHyphen/>
        <w:t>hire – Where respondent and second appellant entered written contract describing second appellant as "self</w:t>
      </w:r>
      <w:r>
        <w:noBreakHyphen/>
        <w:t>employed contractor" – Where respondent assigned second appellant to work on construction site run by respondent's client – Where second appellant agreed with respondent to co</w:t>
      </w:r>
      <w:r>
        <w:noBreakHyphen/>
        <w:t>operate with respondent and client in all respects in supply of his labour to client – Where no contract between second appellant and client – Where respondent paid second appellant for work performed for client – Whether second appellant employee of respondent.</w:t>
      </w:r>
    </w:p>
    <w:p w14:paraId="3B5444DA" w14:textId="77777777" w:rsidR="0000325E" w:rsidRPr="0098392E" w:rsidRDefault="0000325E" w:rsidP="00724A74">
      <w:pPr>
        <w:pStyle w:val="CatchwordsText"/>
      </w:pPr>
    </w:p>
    <w:p w14:paraId="2AE23810" w14:textId="77777777" w:rsidR="0000325E" w:rsidRPr="000B751F" w:rsidRDefault="0000325E" w:rsidP="00724A74">
      <w:pPr>
        <w:pStyle w:val="CatchwordsText"/>
      </w:pPr>
      <w:r w:rsidRPr="0098392E">
        <w:t xml:space="preserve">Words and phrases – </w:t>
      </w:r>
      <w:r>
        <w:t>"business of supplying labour", "contract of service", "contractor", "control", "employee", "independent contractor", "label", "labour</w:t>
      </w:r>
      <w:r>
        <w:noBreakHyphen/>
        <w:t xml:space="preserve">hire", "legal rights and obligations", "multifactorial approach", "own business", "own business/employer's business dichotomy", "performance of work", "serving in the business of the employer", "subsequent conduct", "totality </w:t>
      </w:r>
      <w:r w:rsidRPr="000B751F">
        <w:t>of the relationship", "triangular labour-hire arrangement", "written contract".</w:t>
      </w:r>
    </w:p>
    <w:p w14:paraId="438D819F" w14:textId="77777777" w:rsidR="0000325E" w:rsidRPr="000B751F" w:rsidRDefault="0000325E" w:rsidP="00724A74">
      <w:pPr>
        <w:pStyle w:val="CatchwordsText"/>
      </w:pPr>
    </w:p>
    <w:p w14:paraId="26B2995D" w14:textId="77777777" w:rsidR="0000325E" w:rsidRPr="00B34723" w:rsidRDefault="0000325E" w:rsidP="00724A74">
      <w:pPr>
        <w:pStyle w:val="CatchwordsText"/>
      </w:pPr>
      <w:r w:rsidRPr="000B751F">
        <w:rPr>
          <w:i/>
          <w:iCs/>
        </w:rPr>
        <w:t>Fair Work Act 2009</w:t>
      </w:r>
      <w:r w:rsidRPr="000B751F">
        <w:t xml:space="preserve"> (</w:t>
      </w:r>
      <w:proofErr w:type="spellStart"/>
      <w:r w:rsidRPr="000B751F">
        <w:t>Cth</w:t>
      </w:r>
      <w:proofErr w:type="spellEnd"/>
      <w:r w:rsidRPr="000B751F">
        <w:t>), ss 13, 14.</w:t>
      </w:r>
    </w:p>
    <w:p w14:paraId="28647C81" w14:textId="0E477EC0" w:rsidR="007467EA" w:rsidRDefault="007467EA" w:rsidP="00724A74">
      <w:pPr>
        <w:pStyle w:val="CatchwordsText"/>
      </w:pPr>
    </w:p>
    <w:p w14:paraId="79E30701" w14:textId="7C57868C" w:rsidR="0000325E" w:rsidRDefault="0000325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4D1AD8F" w14:textId="3AFC14CD" w:rsidR="0000325E" w:rsidRDefault="0000325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73B6CBBE" w14:textId="77777777" w:rsidR="007467EA" w:rsidRDefault="007467EA" w:rsidP="008F0407">
      <w:pPr>
        <w:pStyle w:val="FixListStyle"/>
        <w:tabs>
          <w:tab w:val="clear" w:pos="720"/>
          <w:tab w:val="left" w:pos="0"/>
        </w:tabs>
        <w:spacing w:after="260" w:line="280" w:lineRule="exact"/>
        <w:ind w:right="0"/>
        <w:jc w:val="both"/>
        <w:rPr>
          <w:rFonts w:ascii="Times New Roman" w:hAnsi="Times New Roman"/>
        </w:rPr>
        <w:sectPr w:rsidR="007467EA" w:rsidSect="0000325E">
          <w:pgSz w:w="11907" w:h="16839" w:code="9"/>
          <w:pgMar w:top="1440" w:right="1701" w:bottom="1984" w:left="1701" w:header="720" w:footer="720" w:gutter="0"/>
          <w:pgNumType w:start="1"/>
          <w:cols w:space="720"/>
          <w:titlePg/>
          <w:docGrid w:linePitch="354"/>
        </w:sectPr>
      </w:pPr>
    </w:p>
    <w:p w14:paraId="12770DE3" w14:textId="390AA0A6" w:rsidR="00E8752D" w:rsidRPr="008F0407" w:rsidRDefault="008F0407" w:rsidP="008F0407">
      <w:pPr>
        <w:pStyle w:val="FixListStyle"/>
        <w:tabs>
          <w:tab w:val="clear" w:pos="720"/>
          <w:tab w:val="left" w:pos="0"/>
        </w:tabs>
        <w:spacing w:after="260" w:line="280" w:lineRule="exact"/>
        <w:ind w:right="0"/>
        <w:jc w:val="both"/>
        <w:rPr>
          <w:rFonts w:ascii="Times New Roman" w:hAnsi="Times New Roman"/>
        </w:rPr>
      </w:pPr>
      <w:r w:rsidRPr="008F0407">
        <w:rPr>
          <w:rFonts w:ascii="Times New Roman" w:hAnsi="Times New Roman"/>
        </w:rPr>
        <w:lastRenderedPageBreak/>
        <w:t xml:space="preserve">KIEFEL CJ, KEANE AND EDELMAN JJ.   </w:t>
      </w:r>
      <w:r w:rsidR="00936F11" w:rsidRPr="008F0407">
        <w:rPr>
          <w:rFonts w:ascii="Times New Roman" w:hAnsi="Times New Roman"/>
        </w:rPr>
        <w:t>The respondent (</w:t>
      </w:r>
      <w:r w:rsidR="00D93C41" w:rsidRPr="008F0407">
        <w:rPr>
          <w:rFonts w:ascii="Times New Roman" w:hAnsi="Times New Roman"/>
        </w:rPr>
        <w:t xml:space="preserve">trading as </w:t>
      </w:r>
      <w:r w:rsidR="00936F11" w:rsidRPr="008F0407">
        <w:rPr>
          <w:rFonts w:ascii="Times New Roman" w:hAnsi="Times New Roman"/>
        </w:rPr>
        <w:t>"</w:t>
      </w:r>
      <w:r w:rsidR="00FF2826" w:rsidRPr="008F0407">
        <w:rPr>
          <w:rFonts w:ascii="Times New Roman" w:hAnsi="Times New Roman"/>
        </w:rPr>
        <w:t>Construct</w:t>
      </w:r>
      <w:r w:rsidR="00936F11" w:rsidRPr="008F0407">
        <w:rPr>
          <w:rFonts w:ascii="Times New Roman" w:hAnsi="Times New Roman"/>
        </w:rPr>
        <w:t>")</w:t>
      </w:r>
      <w:r w:rsidR="00FF2826" w:rsidRPr="008F0407">
        <w:rPr>
          <w:rFonts w:ascii="Times New Roman" w:hAnsi="Times New Roman"/>
        </w:rPr>
        <w:t xml:space="preserve"> is a labour-hire company based in Perth, which engages workers </w:t>
      </w:r>
      <w:r w:rsidR="005002BE" w:rsidRPr="008F0407">
        <w:rPr>
          <w:rFonts w:ascii="Times New Roman" w:hAnsi="Times New Roman"/>
        </w:rPr>
        <w:t xml:space="preserve">to supply their labour to </w:t>
      </w:r>
      <w:r w:rsidR="00FF2826" w:rsidRPr="008F0407">
        <w:rPr>
          <w:rFonts w:ascii="Times New Roman" w:hAnsi="Times New Roman"/>
        </w:rPr>
        <w:t>build</w:t>
      </w:r>
      <w:r w:rsidR="005002BE" w:rsidRPr="008F0407">
        <w:rPr>
          <w:rFonts w:ascii="Times New Roman" w:hAnsi="Times New Roman"/>
        </w:rPr>
        <w:t>ing clients</w:t>
      </w:r>
      <w:r w:rsidR="00FF2826" w:rsidRPr="008F0407">
        <w:rPr>
          <w:rFonts w:ascii="Times New Roman" w:hAnsi="Times New Roman"/>
        </w:rPr>
        <w:t xml:space="preserve">. </w:t>
      </w:r>
      <w:r w:rsidR="005002BE" w:rsidRPr="008F0407">
        <w:rPr>
          <w:rFonts w:ascii="Times New Roman" w:hAnsi="Times New Roman"/>
        </w:rPr>
        <w:t xml:space="preserve">Construct's major client was </w:t>
      </w:r>
      <w:r w:rsidR="00B0016C" w:rsidRPr="008F0407">
        <w:rPr>
          <w:rFonts w:ascii="Times New Roman" w:hAnsi="Times New Roman"/>
        </w:rPr>
        <w:t xml:space="preserve">Hanssen </w:t>
      </w:r>
      <w:r w:rsidR="005002BE" w:rsidRPr="008F0407">
        <w:rPr>
          <w:rFonts w:ascii="Times New Roman" w:hAnsi="Times New Roman"/>
        </w:rPr>
        <w:t xml:space="preserve">Pty Ltd ("Hanssen"), </w:t>
      </w:r>
      <w:r w:rsidR="00B0016C" w:rsidRPr="008F0407">
        <w:rPr>
          <w:rFonts w:ascii="Times New Roman" w:hAnsi="Times New Roman"/>
        </w:rPr>
        <w:t>a builder of high</w:t>
      </w:r>
      <w:r w:rsidR="00B0016C" w:rsidRPr="008F0407">
        <w:rPr>
          <w:rFonts w:ascii="Times New Roman" w:hAnsi="Times New Roman"/>
        </w:rPr>
        <w:noBreakHyphen/>
        <w:t>rise residential apartments and offices</w:t>
      </w:r>
      <w:r w:rsidR="00B0016C" w:rsidRPr="008F0407">
        <w:rPr>
          <w:rStyle w:val="FootnoteReference"/>
          <w:rFonts w:ascii="Times New Roman" w:hAnsi="Times New Roman"/>
          <w:sz w:val="24"/>
        </w:rPr>
        <w:footnoteReference w:id="2"/>
      </w:r>
      <w:r w:rsidR="00B0016C" w:rsidRPr="008F0407">
        <w:rPr>
          <w:rFonts w:ascii="Times New Roman" w:hAnsi="Times New Roman"/>
        </w:rPr>
        <w:t xml:space="preserve">. </w:t>
      </w:r>
    </w:p>
    <w:p w14:paraId="17D85C32" w14:textId="161A1044" w:rsidR="00FF2826" w:rsidRPr="008F0407" w:rsidRDefault="00E8752D" w:rsidP="008F0407">
      <w:pPr>
        <w:pStyle w:val="FixListStyle"/>
        <w:spacing w:after="260" w:line="280" w:lineRule="exact"/>
        <w:ind w:right="0"/>
        <w:jc w:val="both"/>
        <w:rPr>
          <w:rFonts w:ascii="Times New Roman" w:hAnsi="Times New Roman"/>
        </w:rPr>
      </w:pPr>
      <w:r w:rsidRPr="008F0407">
        <w:rPr>
          <w:rFonts w:ascii="Times New Roman" w:hAnsi="Times New Roman"/>
        </w:rPr>
        <w:tab/>
        <w:t xml:space="preserve">In 2016, </w:t>
      </w:r>
      <w:r w:rsidR="00FF2826" w:rsidRPr="008F0407">
        <w:rPr>
          <w:rFonts w:ascii="Times New Roman" w:hAnsi="Times New Roman"/>
        </w:rPr>
        <w:t xml:space="preserve">Mr McCourt </w:t>
      </w:r>
      <w:r w:rsidR="00EA1EFB" w:rsidRPr="008F0407">
        <w:rPr>
          <w:rFonts w:ascii="Times New Roman" w:hAnsi="Times New Roman"/>
        </w:rPr>
        <w:t>was</w:t>
      </w:r>
      <w:r w:rsidR="00FF2826" w:rsidRPr="008F0407">
        <w:rPr>
          <w:rFonts w:ascii="Times New Roman" w:hAnsi="Times New Roman"/>
        </w:rPr>
        <w:t xml:space="preserve"> a </w:t>
      </w:r>
      <w:r w:rsidR="00EA1EFB" w:rsidRPr="008F0407">
        <w:rPr>
          <w:rFonts w:ascii="Times New Roman" w:hAnsi="Times New Roman"/>
        </w:rPr>
        <w:t>22</w:t>
      </w:r>
      <w:r w:rsidR="00EA1EFB" w:rsidRPr="008F0407">
        <w:rPr>
          <w:rFonts w:ascii="Times New Roman" w:hAnsi="Times New Roman"/>
        </w:rPr>
        <w:noBreakHyphen/>
        <w:t>year</w:t>
      </w:r>
      <w:r w:rsidR="00EA1EFB" w:rsidRPr="008F0407">
        <w:rPr>
          <w:rFonts w:ascii="Times New Roman" w:hAnsi="Times New Roman"/>
        </w:rPr>
        <w:noBreakHyphen/>
        <w:t xml:space="preserve">old </w:t>
      </w:r>
      <w:r w:rsidR="00FF2826" w:rsidRPr="008F0407">
        <w:rPr>
          <w:rFonts w:ascii="Times New Roman" w:hAnsi="Times New Roman"/>
        </w:rPr>
        <w:t xml:space="preserve">British backpacker who </w:t>
      </w:r>
      <w:r w:rsidR="00EA1EFB" w:rsidRPr="008F0407">
        <w:rPr>
          <w:rFonts w:ascii="Times New Roman" w:hAnsi="Times New Roman"/>
        </w:rPr>
        <w:t xml:space="preserve">had </w:t>
      </w:r>
      <w:r w:rsidR="00FF2826" w:rsidRPr="008F0407">
        <w:rPr>
          <w:rFonts w:ascii="Times New Roman" w:hAnsi="Times New Roman"/>
        </w:rPr>
        <w:t xml:space="preserve">travelled to Australia on a working holiday visa. </w:t>
      </w:r>
      <w:r w:rsidR="00421EF7" w:rsidRPr="008F0407">
        <w:rPr>
          <w:rFonts w:ascii="Times New Roman" w:hAnsi="Times New Roman"/>
        </w:rPr>
        <w:t>Seeking</w:t>
      </w:r>
      <w:r w:rsidR="00FF2826" w:rsidRPr="008F0407">
        <w:rPr>
          <w:rFonts w:ascii="Times New Roman" w:hAnsi="Times New Roman"/>
        </w:rPr>
        <w:t xml:space="preserve"> a source of income, and with limited prior work experience as a part</w:t>
      </w:r>
      <w:r w:rsidR="00FF2826" w:rsidRPr="008F0407">
        <w:rPr>
          <w:rFonts w:ascii="Times New Roman" w:hAnsi="Times New Roman"/>
        </w:rPr>
        <w:noBreakHyphen/>
        <w:t>time brick</w:t>
      </w:r>
      <w:r w:rsidR="00FF2826" w:rsidRPr="008F0407">
        <w:rPr>
          <w:rFonts w:ascii="Times New Roman" w:hAnsi="Times New Roman"/>
        </w:rPr>
        <w:noBreakHyphen/>
        <w:t>layer and in hospitality, Mr McCourt obtained a "white card", which enabled him to work on construction sites. He contacted Construct and attended an interview on 25 July 2016</w:t>
      </w:r>
      <w:r w:rsidR="00F76E5E" w:rsidRPr="008F0407">
        <w:rPr>
          <w:rFonts w:ascii="Times New Roman" w:hAnsi="Times New Roman"/>
        </w:rPr>
        <w:t>.</w:t>
      </w:r>
      <w:r w:rsidR="00FF2826" w:rsidRPr="008F0407">
        <w:rPr>
          <w:rFonts w:ascii="Times New Roman" w:hAnsi="Times New Roman"/>
        </w:rPr>
        <w:t xml:space="preserve"> </w:t>
      </w:r>
      <w:r w:rsidR="00F76E5E" w:rsidRPr="008F0407">
        <w:rPr>
          <w:rFonts w:ascii="Times New Roman" w:hAnsi="Times New Roman"/>
        </w:rPr>
        <w:t xml:space="preserve">At the interview, </w:t>
      </w:r>
      <w:r w:rsidR="00FF2826" w:rsidRPr="008F0407">
        <w:rPr>
          <w:rFonts w:ascii="Times New Roman" w:hAnsi="Times New Roman"/>
        </w:rPr>
        <w:t xml:space="preserve">Mr McCourt indicated that he was </w:t>
      </w:r>
      <w:r w:rsidR="00F76E5E" w:rsidRPr="008F0407">
        <w:rPr>
          <w:rFonts w:ascii="Times New Roman" w:hAnsi="Times New Roman"/>
        </w:rPr>
        <w:t xml:space="preserve">prepared to do any construction </w:t>
      </w:r>
      <w:proofErr w:type="gramStart"/>
      <w:r w:rsidR="00F76E5E" w:rsidRPr="008F0407">
        <w:rPr>
          <w:rFonts w:ascii="Times New Roman" w:hAnsi="Times New Roman"/>
        </w:rPr>
        <w:t>work, and</w:t>
      </w:r>
      <w:proofErr w:type="gramEnd"/>
      <w:r w:rsidR="00F76E5E" w:rsidRPr="008F0407">
        <w:rPr>
          <w:rFonts w:ascii="Times New Roman" w:hAnsi="Times New Roman"/>
        </w:rPr>
        <w:t xml:space="preserve"> was </w:t>
      </w:r>
      <w:r w:rsidR="00FF2826" w:rsidRPr="008F0407">
        <w:rPr>
          <w:rFonts w:ascii="Times New Roman" w:hAnsi="Times New Roman"/>
        </w:rPr>
        <w:t>available to start work immediately</w:t>
      </w:r>
      <w:r w:rsidR="00F76E5E" w:rsidRPr="008F0407">
        <w:rPr>
          <w:rFonts w:ascii="Times New Roman" w:hAnsi="Times New Roman"/>
        </w:rPr>
        <w:t xml:space="preserve">. He </w:t>
      </w:r>
      <w:r w:rsidR="00FF2826" w:rsidRPr="008F0407">
        <w:rPr>
          <w:rFonts w:ascii="Times New Roman" w:hAnsi="Times New Roman"/>
        </w:rPr>
        <w:t xml:space="preserve">confirmed </w:t>
      </w:r>
      <w:r w:rsidR="00EC59DB" w:rsidRPr="008F0407">
        <w:rPr>
          <w:rFonts w:ascii="Times New Roman" w:hAnsi="Times New Roman"/>
        </w:rPr>
        <w:t xml:space="preserve">to the Construct representative </w:t>
      </w:r>
      <w:r w:rsidR="00FF2826" w:rsidRPr="008F0407">
        <w:rPr>
          <w:rFonts w:ascii="Times New Roman" w:hAnsi="Times New Roman"/>
        </w:rPr>
        <w:t>that he owned a hard hat, steel</w:t>
      </w:r>
      <w:r w:rsidR="00FF2826" w:rsidRPr="008F0407">
        <w:rPr>
          <w:rFonts w:ascii="Times New Roman" w:hAnsi="Times New Roman"/>
        </w:rPr>
        <w:noBreakHyphen/>
        <w:t>capped boots and hi</w:t>
      </w:r>
      <w:r w:rsidR="00FF2826" w:rsidRPr="008F0407">
        <w:rPr>
          <w:rFonts w:ascii="Times New Roman" w:hAnsi="Times New Roman"/>
        </w:rPr>
        <w:noBreakHyphen/>
        <w:t>vis clothing, having purchased them for less than $100 in the hope of finding construction work</w:t>
      </w:r>
      <w:r w:rsidR="00EC59DB" w:rsidRPr="008F0407">
        <w:rPr>
          <w:rFonts w:ascii="Times New Roman" w:hAnsi="Times New Roman"/>
        </w:rPr>
        <w:t>. He was offered a role and presented with paperwork to sign. Among the documents he signed was an Administrative Services Agreement ("ASA"), which described Mr McCourt as a "self</w:t>
      </w:r>
      <w:r w:rsidR="00EC59DB" w:rsidRPr="008F0407">
        <w:rPr>
          <w:rFonts w:ascii="Times New Roman" w:hAnsi="Times New Roman"/>
        </w:rPr>
        <w:noBreakHyphen/>
        <w:t>employed contractor"</w:t>
      </w:r>
      <w:r w:rsidR="007C32F6" w:rsidRPr="008F0407">
        <w:rPr>
          <w:rStyle w:val="FootnoteReference"/>
          <w:rFonts w:ascii="Times New Roman" w:hAnsi="Times New Roman"/>
          <w:sz w:val="24"/>
        </w:rPr>
        <w:footnoteReference w:id="3"/>
      </w:r>
      <w:r w:rsidR="00FF2826" w:rsidRPr="008F0407">
        <w:rPr>
          <w:rFonts w:ascii="Times New Roman" w:hAnsi="Times New Roman"/>
        </w:rPr>
        <w:t>.</w:t>
      </w:r>
    </w:p>
    <w:p w14:paraId="6255A1FC" w14:textId="00EEBEF9" w:rsidR="00FF2826" w:rsidRPr="008F0407" w:rsidRDefault="00FF2826" w:rsidP="008F0407">
      <w:pPr>
        <w:pStyle w:val="FixListStyle"/>
        <w:spacing w:after="260" w:line="280" w:lineRule="exact"/>
        <w:ind w:right="0"/>
        <w:jc w:val="both"/>
        <w:rPr>
          <w:rFonts w:ascii="Times New Roman" w:hAnsi="Times New Roman"/>
        </w:rPr>
      </w:pPr>
      <w:r w:rsidRPr="008F0407">
        <w:rPr>
          <w:rFonts w:ascii="Times New Roman" w:hAnsi="Times New Roman"/>
        </w:rPr>
        <w:tab/>
        <w:t>The day after Mr McCourt's interview, Construct contacted him to offer him work at Hanssen's Concerto project site</w:t>
      </w:r>
      <w:r w:rsidR="00EC59DB" w:rsidRPr="008F0407">
        <w:rPr>
          <w:rFonts w:ascii="Times New Roman" w:hAnsi="Times New Roman"/>
        </w:rPr>
        <w:t xml:space="preserve"> beginning</w:t>
      </w:r>
      <w:r w:rsidRPr="008F0407">
        <w:rPr>
          <w:rFonts w:ascii="Times New Roman" w:hAnsi="Times New Roman"/>
        </w:rPr>
        <w:t xml:space="preserve"> the following day. When he arrived on site, Mr McCourt was given the Hanssen Site Safety Induction Form and Hanssen Site Rules</w:t>
      </w:r>
      <w:r w:rsidR="003E12DB" w:rsidRPr="008F0407">
        <w:rPr>
          <w:rFonts w:ascii="Times New Roman" w:hAnsi="Times New Roman"/>
        </w:rPr>
        <w:t>. He</w:t>
      </w:r>
      <w:r w:rsidRPr="008F0407">
        <w:rPr>
          <w:rFonts w:ascii="Times New Roman" w:hAnsi="Times New Roman"/>
        </w:rPr>
        <w:t xml:space="preserve"> was told that he would be supervised </w:t>
      </w:r>
      <w:r w:rsidR="0025764E" w:rsidRPr="008F0407">
        <w:rPr>
          <w:rFonts w:ascii="Times New Roman" w:hAnsi="Times New Roman"/>
        </w:rPr>
        <w:t xml:space="preserve">primarily </w:t>
      </w:r>
      <w:r w:rsidRPr="008F0407">
        <w:rPr>
          <w:rFonts w:ascii="Times New Roman" w:hAnsi="Times New Roman"/>
        </w:rPr>
        <w:t>by a leading hand employed by Hanssen, Ms O'Grady</w:t>
      </w:r>
      <w:r w:rsidR="000C027F" w:rsidRPr="008F0407">
        <w:rPr>
          <w:rStyle w:val="FootnoteReference"/>
          <w:rFonts w:ascii="Times New Roman" w:hAnsi="Times New Roman"/>
          <w:sz w:val="24"/>
        </w:rPr>
        <w:footnoteReference w:id="4"/>
      </w:r>
      <w:r w:rsidRPr="008F0407">
        <w:rPr>
          <w:rFonts w:ascii="Times New Roman" w:hAnsi="Times New Roman"/>
        </w:rPr>
        <w:t>. Mr McCourt did not sign a contract with Hanssen.</w:t>
      </w:r>
      <w:r w:rsidR="00010F65" w:rsidRPr="008F0407">
        <w:rPr>
          <w:rFonts w:ascii="Times New Roman" w:hAnsi="Times New Roman"/>
        </w:rPr>
        <w:t xml:space="preserve"> </w:t>
      </w:r>
    </w:p>
    <w:p w14:paraId="0A3426C1" w14:textId="25EF4226" w:rsidR="00FF2826" w:rsidRPr="008F0407" w:rsidRDefault="00FF2826" w:rsidP="008F0407">
      <w:pPr>
        <w:pStyle w:val="FixListStyle"/>
        <w:spacing w:after="260" w:line="280" w:lineRule="exact"/>
        <w:ind w:right="0"/>
        <w:jc w:val="both"/>
        <w:rPr>
          <w:rFonts w:ascii="Times New Roman" w:hAnsi="Times New Roman"/>
        </w:rPr>
      </w:pPr>
      <w:r w:rsidRPr="008F0407">
        <w:rPr>
          <w:rFonts w:ascii="Times New Roman" w:hAnsi="Times New Roman"/>
        </w:rPr>
        <w:tab/>
        <w:t xml:space="preserve">Mr McCourt worked at </w:t>
      </w:r>
      <w:r w:rsidR="00E53700" w:rsidRPr="008F0407">
        <w:rPr>
          <w:rFonts w:ascii="Times New Roman" w:hAnsi="Times New Roman"/>
        </w:rPr>
        <w:t xml:space="preserve">the </w:t>
      </w:r>
      <w:r w:rsidRPr="008F0407">
        <w:rPr>
          <w:rFonts w:ascii="Times New Roman" w:hAnsi="Times New Roman"/>
        </w:rPr>
        <w:t xml:space="preserve">Concerto site between </w:t>
      </w:r>
      <w:r w:rsidR="003E12DB" w:rsidRPr="008F0407">
        <w:rPr>
          <w:rFonts w:ascii="Times New Roman" w:hAnsi="Times New Roman"/>
        </w:rPr>
        <w:t xml:space="preserve">27 </w:t>
      </w:r>
      <w:r w:rsidRPr="008F0407">
        <w:rPr>
          <w:rFonts w:ascii="Times New Roman" w:hAnsi="Times New Roman"/>
        </w:rPr>
        <w:t xml:space="preserve">July and </w:t>
      </w:r>
      <w:r w:rsidR="003E12DB" w:rsidRPr="008F0407">
        <w:rPr>
          <w:rFonts w:ascii="Times New Roman" w:hAnsi="Times New Roman"/>
        </w:rPr>
        <w:t xml:space="preserve">6 </w:t>
      </w:r>
      <w:r w:rsidRPr="008F0407">
        <w:rPr>
          <w:rFonts w:ascii="Times New Roman" w:hAnsi="Times New Roman"/>
        </w:rPr>
        <w:t xml:space="preserve">November 2016. While on site, Mr McCourt worked under the supervision and direction of Hanssen supervisors, including Ms O'Grady. Although Construct staff sometimes conducted site visits, they never directed Mr McCourt in the performance of work, </w:t>
      </w:r>
      <w:r w:rsidRPr="008F0407">
        <w:rPr>
          <w:rFonts w:ascii="Times New Roman" w:hAnsi="Times New Roman"/>
        </w:rPr>
        <w:lastRenderedPageBreak/>
        <w:t>except to draw his attention to workplace health and safety issues in the manner of his work</w:t>
      </w:r>
      <w:r w:rsidR="00F756B7" w:rsidRPr="008F0407">
        <w:rPr>
          <w:rStyle w:val="FootnoteReference"/>
          <w:rFonts w:ascii="Times New Roman" w:hAnsi="Times New Roman"/>
          <w:sz w:val="24"/>
        </w:rPr>
        <w:footnoteReference w:id="5"/>
      </w:r>
      <w:r w:rsidRPr="008F0407">
        <w:rPr>
          <w:rFonts w:ascii="Times New Roman" w:hAnsi="Times New Roman"/>
        </w:rPr>
        <w:t>.</w:t>
      </w:r>
      <w:r w:rsidR="00571F29" w:rsidRPr="008F0407">
        <w:rPr>
          <w:rFonts w:ascii="Times New Roman" w:hAnsi="Times New Roman"/>
        </w:rPr>
        <w:t xml:space="preserve"> Mr McCourt's primary tasks</w:t>
      </w:r>
      <w:r w:rsidR="005544D7" w:rsidRPr="008F0407">
        <w:rPr>
          <w:rFonts w:ascii="Times New Roman" w:hAnsi="Times New Roman"/>
        </w:rPr>
        <w:t xml:space="preserve"> were described as follows</w:t>
      </w:r>
      <w:r w:rsidR="00856AAE" w:rsidRPr="008F0407">
        <w:rPr>
          <w:rStyle w:val="FootnoteReference"/>
          <w:rFonts w:ascii="Times New Roman" w:hAnsi="Times New Roman"/>
          <w:sz w:val="24"/>
        </w:rPr>
        <w:footnoteReference w:id="6"/>
      </w:r>
      <w:r w:rsidR="00571F29" w:rsidRPr="008F0407">
        <w:rPr>
          <w:rFonts w:ascii="Times New Roman" w:hAnsi="Times New Roman"/>
        </w:rPr>
        <w:t>:</w:t>
      </w:r>
    </w:p>
    <w:p w14:paraId="767D0481" w14:textId="77777777" w:rsidR="008F0407" w:rsidRDefault="00856AAE" w:rsidP="008F0407">
      <w:pPr>
        <w:pStyle w:val="LeftrightafterHC"/>
        <w:spacing w:before="0" w:after="260" w:line="280" w:lineRule="exact"/>
        <w:ind w:right="0"/>
        <w:jc w:val="both"/>
        <w:rPr>
          <w:rFonts w:ascii="Times New Roman" w:hAnsi="Times New Roman"/>
        </w:rPr>
      </w:pPr>
      <w:r w:rsidRPr="008F0407">
        <w:rPr>
          <w:rFonts w:ascii="Times New Roman" w:hAnsi="Times New Roman"/>
        </w:rPr>
        <w:t>"For a period of months, he engages in basic labouring tasks; he takes out the bins, cleans workspaces and moves materials. He is not an entrepreneur nor a skilled artisan; he is paid by the hour, and when at work, is told what to do and how to do it."</w:t>
      </w:r>
    </w:p>
    <w:p w14:paraId="0DBF644D" w14:textId="2AEA3842" w:rsidR="00FF2826" w:rsidRPr="008F0407" w:rsidRDefault="00FF2826"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771907" w:rsidRPr="008F0407">
        <w:rPr>
          <w:rFonts w:ascii="Times New Roman" w:hAnsi="Times New Roman"/>
        </w:rPr>
        <w:t xml:space="preserve">On 6 </w:t>
      </w:r>
      <w:r w:rsidRPr="008F0407">
        <w:rPr>
          <w:rFonts w:ascii="Times New Roman" w:hAnsi="Times New Roman"/>
        </w:rPr>
        <w:t xml:space="preserve">November 2016, Mr McCourt finished work at the Concerto site and left Perth. He returned </w:t>
      </w:r>
      <w:r w:rsidR="00771907" w:rsidRPr="008F0407">
        <w:rPr>
          <w:rFonts w:ascii="Times New Roman" w:hAnsi="Times New Roman"/>
        </w:rPr>
        <w:t xml:space="preserve">the following </w:t>
      </w:r>
      <w:r w:rsidRPr="008F0407">
        <w:rPr>
          <w:rFonts w:ascii="Times New Roman" w:hAnsi="Times New Roman"/>
        </w:rPr>
        <w:t>March and</w:t>
      </w:r>
      <w:r w:rsidR="004131F7" w:rsidRPr="008F0407">
        <w:rPr>
          <w:rFonts w:ascii="Times New Roman" w:hAnsi="Times New Roman"/>
        </w:rPr>
        <w:t>, on 14 March 2017,</w:t>
      </w:r>
      <w:r w:rsidRPr="008F0407">
        <w:rPr>
          <w:rFonts w:ascii="Times New Roman" w:hAnsi="Times New Roman"/>
        </w:rPr>
        <w:t xml:space="preserve"> recommenced work on the Concerto project. </w:t>
      </w:r>
      <w:r w:rsidR="00F920C7" w:rsidRPr="008F0407">
        <w:rPr>
          <w:rFonts w:ascii="Times New Roman" w:hAnsi="Times New Roman"/>
        </w:rPr>
        <w:t>On 26 </w:t>
      </w:r>
      <w:r w:rsidRPr="008F0407">
        <w:rPr>
          <w:rFonts w:ascii="Times New Roman" w:hAnsi="Times New Roman"/>
        </w:rPr>
        <w:t xml:space="preserve">June 2017, </w:t>
      </w:r>
      <w:r w:rsidR="00F920C7" w:rsidRPr="008F0407">
        <w:rPr>
          <w:rFonts w:ascii="Times New Roman" w:hAnsi="Times New Roman"/>
        </w:rPr>
        <w:t>he began working on Hanssen's</w:t>
      </w:r>
      <w:r w:rsidRPr="008F0407">
        <w:rPr>
          <w:rFonts w:ascii="Times New Roman" w:hAnsi="Times New Roman"/>
        </w:rPr>
        <w:t xml:space="preserve"> Aire project</w:t>
      </w:r>
      <w:r w:rsidR="00B5074B" w:rsidRPr="008F0407">
        <w:rPr>
          <w:rFonts w:ascii="Times New Roman" w:hAnsi="Times New Roman"/>
        </w:rPr>
        <w:t>, performing</w:t>
      </w:r>
      <w:r w:rsidRPr="008F0407">
        <w:rPr>
          <w:rFonts w:ascii="Times New Roman" w:hAnsi="Times New Roman"/>
        </w:rPr>
        <w:t xml:space="preserve"> work </w:t>
      </w:r>
      <w:r w:rsidR="00B5074B" w:rsidRPr="008F0407">
        <w:rPr>
          <w:rFonts w:ascii="Times New Roman" w:hAnsi="Times New Roman"/>
        </w:rPr>
        <w:t xml:space="preserve">that </w:t>
      </w:r>
      <w:r w:rsidRPr="008F0407">
        <w:rPr>
          <w:rFonts w:ascii="Times New Roman" w:hAnsi="Times New Roman"/>
        </w:rPr>
        <w:t>was substantially identical to the Concerto project. On 30 June 2017, Mr McCourt was told that he was not to continue working at the Aire project. Thereafter, Mr McCourt did not receive any work from Construct</w:t>
      </w:r>
      <w:r w:rsidRPr="008F0407">
        <w:rPr>
          <w:rStyle w:val="FootnoteReference"/>
          <w:rFonts w:ascii="Times New Roman" w:hAnsi="Times New Roman"/>
          <w:sz w:val="24"/>
        </w:rPr>
        <w:footnoteReference w:id="7"/>
      </w:r>
      <w:r w:rsidRPr="008F0407">
        <w:rPr>
          <w:rFonts w:ascii="Times New Roman" w:hAnsi="Times New Roman"/>
        </w:rPr>
        <w:t>.</w:t>
      </w:r>
    </w:p>
    <w:p w14:paraId="325EBA7D" w14:textId="1A794D3F" w:rsidR="005F4B23" w:rsidRPr="008F0407" w:rsidRDefault="00486259"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180422" w:rsidRPr="008F0407">
        <w:rPr>
          <w:rFonts w:ascii="Times New Roman" w:hAnsi="Times New Roman"/>
        </w:rPr>
        <w:t xml:space="preserve">Mr McCourt and the Construction, Forestry, Maritime, Mining and Energy Union commenced proceedings against Construct </w:t>
      </w:r>
      <w:r w:rsidR="003645F0" w:rsidRPr="008F0407">
        <w:rPr>
          <w:rFonts w:ascii="Times New Roman" w:hAnsi="Times New Roman"/>
        </w:rPr>
        <w:t xml:space="preserve">seeking orders for compensation and penalties pursuant to </w:t>
      </w:r>
      <w:r w:rsidR="00180422" w:rsidRPr="008F0407">
        <w:rPr>
          <w:rFonts w:ascii="Times New Roman" w:hAnsi="Times New Roman"/>
        </w:rPr>
        <w:t xml:space="preserve">ss 545, 546 and 547 of the </w:t>
      </w:r>
      <w:r w:rsidR="00DE7512" w:rsidRPr="008F0407">
        <w:rPr>
          <w:rFonts w:ascii="Times New Roman" w:hAnsi="Times New Roman"/>
          <w:i/>
        </w:rPr>
        <w:t xml:space="preserve">Fair Work </w:t>
      </w:r>
      <w:r w:rsidR="00180422" w:rsidRPr="008F0407">
        <w:rPr>
          <w:rFonts w:ascii="Times New Roman" w:hAnsi="Times New Roman"/>
          <w:i/>
        </w:rPr>
        <w:t>Act</w:t>
      </w:r>
      <w:r w:rsidR="00DE7512" w:rsidRPr="008F0407">
        <w:rPr>
          <w:rFonts w:ascii="Times New Roman" w:hAnsi="Times New Roman"/>
          <w:i/>
        </w:rPr>
        <w:t xml:space="preserve"> 2009</w:t>
      </w:r>
      <w:r w:rsidR="00DE7512" w:rsidRPr="008F0407">
        <w:rPr>
          <w:rFonts w:ascii="Times New Roman" w:hAnsi="Times New Roman"/>
        </w:rPr>
        <w:t xml:space="preserve"> (</w:t>
      </w:r>
      <w:proofErr w:type="spellStart"/>
      <w:r w:rsidR="00DE7512" w:rsidRPr="008F0407">
        <w:rPr>
          <w:rFonts w:ascii="Times New Roman" w:hAnsi="Times New Roman"/>
        </w:rPr>
        <w:t>Cth</w:t>
      </w:r>
      <w:proofErr w:type="spellEnd"/>
      <w:r w:rsidR="00DE7512" w:rsidRPr="008F0407">
        <w:rPr>
          <w:rFonts w:ascii="Times New Roman" w:hAnsi="Times New Roman"/>
        </w:rPr>
        <w:t>) ("the Act")</w:t>
      </w:r>
      <w:r w:rsidR="003645F0" w:rsidRPr="008F0407">
        <w:rPr>
          <w:rFonts w:ascii="Times New Roman" w:hAnsi="Times New Roman"/>
        </w:rPr>
        <w:t xml:space="preserve">. The claims were made </w:t>
      </w:r>
      <w:r w:rsidR="00180422" w:rsidRPr="008F0407">
        <w:rPr>
          <w:rFonts w:ascii="Times New Roman" w:hAnsi="Times New Roman"/>
        </w:rPr>
        <w:t xml:space="preserve">on the basis that </w:t>
      </w:r>
      <w:r w:rsidRPr="008F0407">
        <w:rPr>
          <w:rFonts w:ascii="Times New Roman" w:hAnsi="Times New Roman"/>
        </w:rPr>
        <w:t>Construct</w:t>
      </w:r>
      <w:r w:rsidR="00DE7512" w:rsidRPr="008F0407">
        <w:rPr>
          <w:rFonts w:ascii="Times New Roman" w:hAnsi="Times New Roman"/>
        </w:rPr>
        <w:t xml:space="preserve"> </w:t>
      </w:r>
      <w:r w:rsidRPr="008F0407">
        <w:rPr>
          <w:rFonts w:ascii="Times New Roman" w:hAnsi="Times New Roman"/>
        </w:rPr>
        <w:t xml:space="preserve">had not paid </w:t>
      </w:r>
      <w:r w:rsidR="00DE7512" w:rsidRPr="008F0407">
        <w:rPr>
          <w:rFonts w:ascii="Times New Roman" w:hAnsi="Times New Roman"/>
        </w:rPr>
        <w:t xml:space="preserve">Mr McCourt </w:t>
      </w:r>
      <w:r w:rsidR="00180422" w:rsidRPr="008F0407">
        <w:rPr>
          <w:rFonts w:ascii="Times New Roman" w:hAnsi="Times New Roman"/>
        </w:rPr>
        <w:t xml:space="preserve">according to </w:t>
      </w:r>
      <w:r w:rsidR="00A1549F" w:rsidRPr="008F0407">
        <w:rPr>
          <w:rFonts w:ascii="Times New Roman" w:hAnsi="Times New Roman"/>
        </w:rPr>
        <w:t>his entitlement, as an employee of Construct, to payment in accordance with</w:t>
      </w:r>
      <w:r w:rsidR="00180422" w:rsidRPr="008F0407">
        <w:rPr>
          <w:rFonts w:ascii="Times New Roman" w:hAnsi="Times New Roman"/>
        </w:rPr>
        <w:t xml:space="preserve"> the Building and Construction General On-site Award 2010. Similar orders were sought against Hanssen, on the basis that it was liable</w:t>
      </w:r>
      <w:r w:rsidR="00D52BA4" w:rsidRPr="008F0407">
        <w:rPr>
          <w:rFonts w:ascii="Times New Roman" w:hAnsi="Times New Roman"/>
        </w:rPr>
        <w:t xml:space="preserve"> as an accessory</w:t>
      </w:r>
      <w:r w:rsidR="00180422" w:rsidRPr="008F0407">
        <w:rPr>
          <w:rFonts w:ascii="Times New Roman" w:hAnsi="Times New Roman"/>
        </w:rPr>
        <w:t xml:space="preserve"> for Construct's alleged breaches.</w:t>
      </w:r>
      <w:r w:rsidR="009322B7" w:rsidRPr="008F0407">
        <w:rPr>
          <w:rFonts w:ascii="Times New Roman" w:hAnsi="Times New Roman"/>
        </w:rPr>
        <w:t xml:space="preserve"> </w:t>
      </w:r>
    </w:p>
    <w:p w14:paraId="6C03106C" w14:textId="4D897764" w:rsidR="002A2A31" w:rsidRPr="008F0407" w:rsidRDefault="00AE0C0F"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E90CD7" w:rsidRPr="008F0407">
        <w:rPr>
          <w:rFonts w:ascii="Times New Roman" w:hAnsi="Times New Roman"/>
        </w:rPr>
        <w:t>T</w:t>
      </w:r>
      <w:r w:rsidR="00E00B44" w:rsidRPr="008F0407">
        <w:rPr>
          <w:rFonts w:ascii="Times New Roman" w:hAnsi="Times New Roman"/>
        </w:rPr>
        <w:t>he</w:t>
      </w:r>
      <w:r w:rsidR="00180422" w:rsidRPr="008F0407">
        <w:rPr>
          <w:rFonts w:ascii="Times New Roman" w:hAnsi="Times New Roman"/>
        </w:rPr>
        <w:t xml:space="preserve"> </w:t>
      </w:r>
      <w:r w:rsidR="001E7992" w:rsidRPr="008F0407">
        <w:rPr>
          <w:rFonts w:ascii="Times New Roman" w:hAnsi="Times New Roman"/>
        </w:rPr>
        <w:t xml:space="preserve">crucial </w:t>
      </w:r>
      <w:r w:rsidR="00180422" w:rsidRPr="008F0407">
        <w:rPr>
          <w:rFonts w:ascii="Times New Roman" w:hAnsi="Times New Roman"/>
        </w:rPr>
        <w:t xml:space="preserve">question </w:t>
      </w:r>
      <w:r w:rsidR="00E00B44" w:rsidRPr="008F0407">
        <w:rPr>
          <w:rFonts w:ascii="Times New Roman" w:hAnsi="Times New Roman"/>
        </w:rPr>
        <w:t xml:space="preserve">in the proceedings </w:t>
      </w:r>
      <w:r w:rsidR="001E7992" w:rsidRPr="008F0407">
        <w:rPr>
          <w:rFonts w:ascii="Times New Roman" w:hAnsi="Times New Roman"/>
        </w:rPr>
        <w:t xml:space="preserve">was </w:t>
      </w:r>
      <w:r w:rsidR="00180422" w:rsidRPr="008F0407">
        <w:rPr>
          <w:rFonts w:ascii="Times New Roman" w:hAnsi="Times New Roman"/>
        </w:rPr>
        <w:t xml:space="preserve">whether </w:t>
      </w:r>
      <w:r w:rsidR="00E90CD7" w:rsidRPr="008F0407">
        <w:rPr>
          <w:rFonts w:ascii="Times New Roman" w:hAnsi="Times New Roman"/>
        </w:rPr>
        <w:t>Mr</w:t>
      </w:r>
      <w:r w:rsidR="00DD42CC" w:rsidRPr="008F0407">
        <w:rPr>
          <w:rFonts w:ascii="Times New Roman" w:hAnsi="Times New Roman"/>
        </w:rPr>
        <w:t> </w:t>
      </w:r>
      <w:r w:rsidR="00E90CD7" w:rsidRPr="008F0407">
        <w:rPr>
          <w:rFonts w:ascii="Times New Roman" w:hAnsi="Times New Roman"/>
        </w:rPr>
        <w:t>McCourt</w:t>
      </w:r>
      <w:r w:rsidR="00180422" w:rsidRPr="008F0407">
        <w:rPr>
          <w:rFonts w:ascii="Times New Roman" w:hAnsi="Times New Roman"/>
        </w:rPr>
        <w:t xml:space="preserve"> was an employee </w:t>
      </w:r>
      <w:r w:rsidR="00154A06" w:rsidRPr="008F0407">
        <w:rPr>
          <w:rFonts w:ascii="Times New Roman" w:hAnsi="Times New Roman"/>
        </w:rPr>
        <w:t>of Construct</w:t>
      </w:r>
      <w:r w:rsidR="00C40F53" w:rsidRPr="008F0407">
        <w:rPr>
          <w:rFonts w:ascii="Times New Roman" w:hAnsi="Times New Roman"/>
        </w:rPr>
        <w:t xml:space="preserve"> for the purposes of the Act</w:t>
      </w:r>
      <w:r w:rsidR="001D0815" w:rsidRPr="008F0407">
        <w:rPr>
          <w:rFonts w:ascii="Times New Roman" w:hAnsi="Times New Roman"/>
        </w:rPr>
        <w:t>.</w:t>
      </w:r>
      <w:r w:rsidR="002275E7" w:rsidRPr="008F0407">
        <w:rPr>
          <w:rFonts w:ascii="Times New Roman" w:hAnsi="Times New Roman"/>
        </w:rPr>
        <w:t xml:space="preserve"> The primary judge</w:t>
      </w:r>
      <w:r w:rsidR="00C40F53" w:rsidRPr="008F0407">
        <w:rPr>
          <w:rFonts w:ascii="Times New Roman" w:hAnsi="Times New Roman"/>
        </w:rPr>
        <w:t xml:space="preserve"> (O'Callaghan J)</w:t>
      </w:r>
      <w:r w:rsidR="00D74D8A" w:rsidRPr="008F0407">
        <w:rPr>
          <w:rFonts w:ascii="Times New Roman" w:hAnsi="Times New Roman"/>
        </w:rPr>
        <w:t xml:space="preserve">, applying </w:t>
      </w:r>
      <w:r w:rsidR="00175924" w:rsidRPr="008F0407">
        <w:rPr>
          <w:rFonts w:ascii="Times New Roman" w:hAnsi="Times New Roman"/>
        </w:rPr>
        <w:t>a multifactorial approach to that question,</w:t>
      </w:r>
      <w:r w:rsidR="002275E7" w:rsidRPr="008F0407">
        <w:rPr>
          <w:rFonts w:ascii="Times New Roman" w:hAnsi="Times New Roman"/>
        </w:rPr>
        <w:t xml:space="preserve"> treated th</w:t>
      </w:r>
      <w:r w:rsidR="008045BB" w:rsidRPr="008F0407">
        <w:rPr>
          <w:rFonts w:ascii="Times New Roman" w:hAnsi="Times New Roman"/>
        </w:rPr>
        <w:t>e</w:t>
      </w:r>
      <w:r w:rsidR="002275E7" w:rsidRPr="008F0407">
        <w:rPr>
          <w:rFonts w:ascii="Times New Roman" w:hAnsi="Times New Roman"/>
        </w:rPr>
        <w:t xml:space="preserve"> description </w:t>
      </w:r>
      <w:r w:rsidR="008045BB" w:rsidRPr="008F0407">
        <w:rPr>
          <w:rFonts w:ascii="Times New Roman" w:hAnsi="Times New Roman"/>
        </w:rPr>
        <w:t xml:space="preserve">of Mr McCourt in the ASA as </w:t>
      </w:r>
      <w:r w:rsidR="00262E05" w:rsidRPr="008F0407">
        <w:rPr>
          <w:rFonts w:ascii="Times New Roman" w:hAnsi="Times New Roman"/>
        </w:rPr>
        <w:t>"</w:t>
      </w:r>
      <w:r w:rsidR="00FF50CC" w:rsidRPr="008F0407">
        <w:rPr>
          <w:rFonts w:ascii="Times New Roman" w:hAnsi="Times New Roman"/>
        </w:rPr>
        <w:t>the C</w:t>
      </w:r>
      <w:r w:rsidR="008045BB" w:rsidRPr="008F0407">
        <w:rPr>
          <w:rFonts w:ascii="Times New Roman" w:hAnsi="Times New Roman"/>
        </w:rPr>
        <w:t xml:space="preserve">ontractor" as </w:t>
      </w:r>
      <w:r w:rsidR="002275E7" w:rsidRPr="008F0407">
        <w:rPr>
          <w:rFonts w:ascii="Times New Roman" w:hAnsi="Times New Roman"/>
        </w:rPr>
        <w:t xml:space="preserve">decisive of </w:t>
      </w:r>
      <w:r w:rsidR="001D0815" w:rsidRPr="008F0407">
        <w:rPr>
          <w:rFonts w:ascii="Times New Roman" w:hAnsi="Times New Roman"/>
        </w:rPr>
        <w:t xml:space="preserve">that </w:t>
      </w:r>
      <w:r w:rsidR="001D0815" w:rsidRPr="008F0407">
        <w:rPr>
          <w:rFonts w:ascii="Times New Roman" w:hAnsi="Times New Roman"/>
        </w:rPr>
        <w:lastRenderedPageBreak/>
        <w:t>question</w:t>
      </w:r>
      <w:r w:rsidR="00FF50CC" w:rsidRPr="008F0407">
        <w:rPr>
          <w:rFonts w:ascii="Times New Roman" w:hAnsi="Times New Roman"/>
        </w:rPr>
        <w:t xml:space="preserve"> </w:t>
      </w:r>
      <w:r w:rsidR="00262E05" w:rsidRPr="008F0407">
        <w:rPr>
          <w:rFonts w:ascii="Times New Roman" w:hAnsi="Times New Roman"/>
        </w:rPr>
        <w:t xml:space="preserve">in circumstances where the </w:t>
      </w:r>
      <w:r w:rsidR="00E36CCC" w:rsidRPr="008F0407">
        <w:rPr>
          <w:rFonts w:ascii="Times New Roman" w:hAnsi="Times New Roman"/>
        </w:rPr>
        <w:t>other factors were "reasonably evenly balanced"</w:t>
      </w:r>
      <w:r w:rsidR="00E36CCC" w:rsidRPr="008F0407">
        <w:rPr>
          <w:rStyle w:val="FootnoteReference"/>
          <w:rFonts w:ascii="Times New Roman" w:hAnsi="Times New Roman"/>
          <w:sz w:val="24"/>
        </w:rPr>
        <w:footnoteReference w:id="8"/>
      </w:r>
      <w:r w:rsidR="002C0242" w:rsidRPr="008F0407">
        <w:rPr>
          <w:rFonts w:ascii="Times New Roman" w:hAnsi="Times New Roman"/>
        </w:rPr>
        <w:t>.</w:t>
      </w:r>
      <w:r w:rsidR="00975D15" w:rsidRPr="008F0407">
        <w:rPr>
          <w:rFonts w:ascii="Times New Roman" w:hAnsi="Times New Roman"/>
        </w:rPr>
        <w:t xml:space="preserve"> </w:t>
      </w:r>
      <w:r w:rsidR="002A2A31" w:rsidRPr="008F0407">
        <w:rPr>
          <w:rFonts w:ascii="Times New Roman" w:hAnsi="Times New Roman"/>
        </w:rPr>
        <w:t>On</w:t>
      </w:r>
      <w:r w:rsidR="00180422" w:rsidRPr="008F0407">
        <w:rPr>
          <w:rFonts w:ascii="Times New Roman" w:hAnsi="Times New Roman"/>
        </w:rPr>
        <w:t xml:space="preserve"> that basis, </w:t>
      </w:r>
      <w:r w:rsidR="002A2A31" w:rsidRPr="008F0407">
        <w:rPr>
          <w:rFonts w:ascii="Times New Roman" w:hAnsi="Times New Roman"/>
        </w:rPr>
        <w:t>the proceedings were dismissed</w:t>
      </w:r>
      <w:r w:rsidR="00180422" w:rsidRPr="008F0407">
        <w:rPr>
          <w:rStyle w:val="FootnoteReference"/>
          <w:rFonts w:ascii="Times New Roman" w:hAnsi="Times New Roman"/>
          <w:sz w:val="24"/>
        </w:rPr>
        <w:footnoteReference w:id="9"/>
      </w:r>
      <w:r w:rsidR="00180422" w:rsidRPr="008F0407">
        <w:rPr>
          <w:rFonts w:ascii="Times New Roman" w:hAnsi="Times New Roman"/>
        </w:rPr>
        <w:t xml:space="preserve">. </w:t>
      </w:r>
    </w:p>
    <w:p w14:paraId="12289C41" w14:textId="563A7CC1" w:rsidR="001E4197" w:rsidRPr="008F0407" w:rsidRDefault="002A2A31" w:rsidP="008F0407">
      <w:pPr>
        <w:pStyle w:val="FixListStyle"/>
        <w:spacing w:after="260" w:line="280" w:lineRule="exact"/>
        <w:ind w:right="0"/>
        <w:jc w:val="both"/>
        <w:rPr>
          <w:rFonts w:ascii="Times New Roman" w:hAnsi="Times New Roman"/>
        </w:rPr>
      </w:pPr>
      <w:r w:rsidRPr="008F0407">
        <w:rPr>
          <w:rFonts w:ascii="Times New Roman" w:hAnsi="Times New Roman"/>
        </w:rPr>
        <w:tab/>
        <w:t xml:space="preserve">The primary judge's </w:t>
      </w:r>
      <w:r w:rsidR="00180422" w:rsidRPr="008F0407">
        <w:rPr>
          <w:rFonts w:ascii="Times New Roman" w:hAnsi="Times New Roman"/>
        </w:rPr>
        <w:t>conclusion was upheld on appeal by the Full Court of the Federal Court of Australia</w:t>
      </w:r>
      <w:r w:rsidR="00180422" w:rsidRPr="008F0407">
        <w:rPr>
          <w:rStyle w:val="FootnoteReference"/>
          <w:rFonts w:ascii="Times New Roman" w:hAnsi="Times New Roman"/>
          <w:sz w:val="24"/>
        </w:rPr>
        <w:footnoteReference w:id="10"/>
      </w:r>
      <w:r w:rsidR="00180422" w:rsidRPr="008F0407">
        <w:rPr>
          <w:rFonts w:ascii="Times New Roman" w:hAnsi="Times New Roman"/>
        </w:rPr>
        <w:t>.</w:t>
      </w:r>
      <w:r w:rsidR="00D81DAA" w:rsidRPr="008F0407">
        <w:rPr>
          <w:rFonts w:ascii="Times New Roman" w:hAnsi="Times New Roman"/>
        </w:rPr>
        <w:t xml:space="preserve"> </w:t>
      </w:r>
      <w:r w:rsidR="00A9660E" w:rsidRPr="008F0407">
        <w:rPr>
          <w:rFonts w:ascii="Times New Roman" w:hAnsi="Times New Roman"/>
        </w:rPr>
        <w:t>T</w:t>
      </w:r>
      <w:r w:rsidR="00586C2A" w:rsidRPr="008F0407">
        <w:rPr>
          <w:rFonts w:ascii="Times New Roman" w:hAnsi="Times New Roman"/>
        </w:rPr>
        <w:t>he</w:t>
      </w:r>
      <w:r w:rsidR="006548A3" w:rsidRPr="008F0407">
        <w:rPr>
          <w:rFonts w:ascii="Times New Roman" w:hAnsi="Times New Roman"/>
        </w:rPr>
        <w:t xml:space="preserve"> </w:t>
      </w:r>
      <w:r w:rsidR="00B80687" w:rsidRPr="008F0407">
        <w:rPr>
          <w:rFonts w:ascii="Times New Roman" w:hAnsi="Times New Roman"/>
        </w:rPr>
        <w:t xml:space="preserve">members </w:t>
      </w:r>
      <w:r w:rsidR="00E54C08" w:rsidRPr="008F0407">
        <w:rPr>
          <w:rFonts w:ascii="Times New Roman" w:hAnsi="Times New Roman"/>
        </w:rPr>
        <w:t xml:space="preserve">of the </w:t>
      </w:r>
      <w:r w:rsidR="006548A3" w:rsidRPr="008F0407">
        <w:rPr>
          <w:rFonts w:ascii="Times New Roman" w:hAnsi="Times New Roman"/>
        </w:rPr>
        <w:t xml:space="preserve">Full Court </w:t>
      </w:r>
      <w:r w:rsidR="00E54C08" w:rsidRPr="008F0407">
        <w:rPr>
          <w:rFonts w:ascii="Times New Roman" w:hAnsi="Times New Roman"/>
        </w:rPr>
        <w:t>(</w:t>
      </w:r>
      <w:proofErr w:type="spellStart"/>
      <w:r w:rsidR="00E54C08" w:rsidRPr="008F0407">
        <w:rPr>
          <w:rFonts w:ascii="Times New Roman" w:hAnsi="Times New Roman"/>
        </w:rPr>
        <w:t>Allsop</w:t>
      </w:r>
      <w:proofErr w:type="spellEnd"/>
      <w:r w:rsidR="00E54C08" w:rsidRPr="008F0407">
        <w:rPr>
          <w:rFonts w:ascii="Times New Roman" w:hAnsi="Times New Roman"/>
        </w:rPr>
        <w:t xml:space="preserve"> CJ, </w:t>
      </w:r>
      <w:proofErr w:type="spellStart"/>
      <w:r w:rsidR="00E54C08" w:rsidRPr="008F0407">
        <w:rPr>
          <w:rFonts w:ascii="Times New Roman" w:hAnsi="Times New Roman"/>
        </w:rPr>
        <w:t>Jagot</w:t>
      </w:r>
      <w:proofErr w:type="spellEnd"/>
      <w:r w:rsidR="00E54C08" w:rsidRPr="008F0407">
        <w:rPr>
          <w:rFonts w:ascii="Times New Roman" w:hAnsi="Times New Roman"/>
        </w:rPr>
        <w:t xml:space="preserve"> and Lee JJ) </w:t>
      </w:r>
      <w:r w:rsidR="00175924" w:rsidRPr="008F0407">
        <w:rPr>
          <w:rFonts w:ascii="Times New Roman" w:hAnsi="Times New Roman"/>
        </w:rPr>
        <w:t>also approached the question by a mult</w:t>
      </w:r>
      <w:r w:rsidR="00B15010" w:rsidRPr="008F0407">
        <w:rPr>
          <w:rFonts w:ascii="Times New Roman" w:hAnsi="Times New Roman"/>
        </w:rPr>
        <w:t>i</w:t>
      </w:r>
      <w:r w:rsidR="00175924" w:rsidRPr="008F0407">
        <w:rPr>
          <w:rFonts w:ascii="Times New Roman" w:hAnsi="Times New Roman"/>
        </w:rPr>
        <w:t xml:space="preserve">factorial analysis, but </w:t>
      </w:r>
      <w:r w:rsidR="004C3A1F" w:rsidRPr="008F0407">
        <w:rPr>
          <w:rFonts w:ascii="Times New Roman" w:hAnsi="Times New Roman"/>
        </w:rPr>
        <w:t xml:space="preserve">made it </w:t>
      </w:r>
      <w:r w:rsidR="00D81DAA" w:rsidRPr="008F0407">
        <w:rPr>
          <w:rFonts w:ascii="Times New Roman" w:hAnsi="Times New Roman"/>
        </w:rPr>
        <w:t>clear</w:t>
      </w:r>
      <w:r w:rsidR="004C3A1F" w:rsidRPr="008F0407">
        <w:rPr>
          <w:rStyle w:val="FootnoteReference"/>
          <w:rFonts w:ascii="Times New Roman" w:hAnsi="Times New Roman"/>
          <w:sz w:val="24"/>
        </w:rPr>
        <w:footnoteReference w:id="11"/>
      </w:r>
      <w:r w:rsidR="00785C90" w:rsidRPr="008F0407">
        <w:rPr>
          <w:rFonts w:ascii="Times New Roman" w:hAnsi="Times New Roman"/>
        </w:rPr>
        <w:t xml:space="preserve"> </w:t>
      </w:r>
      <w:r w:rsidR="00C47B00" w:rsidRPr="008F0407">
        <w:rPr>
          <w:rFonts w:ascii="Times New Roman" w:hAnsi="Times New Roman"/>
        </w:rPr>
        <w:t xml:space="preserve">that </w:t>
      </w:r>
      <w:r w:rsidR="00B15010" w:rsidRPr="008F0407">
        <w:rPr>
          <w:rFonts w:ascii="Times New Roman" w:hAnsi="Times New Roman"/>
        </w:rPr>
        <w:t xml:space="preserve">had </w:t>
      </w:r>
      <w:r w:rsidR="00830CC1" w:rsidRPr="008F0407">
        <w:rPr>
          <w:rFonts w:ascii="Times New Roman" w:hAnsi="Times New Roman"/>
        </w:rPr>
        <w:t xml:space="preserve">it not </w:t>
      </w:r>
      <w:r w:rsidR="00B15010" w:rsidRPr="008F0407">
        <w:rPr>
          <w:rFonts w:ascii="Times New Roman" w:hAnsi="Times New Roman"/>
        </w:rPr>
        <w:t xml:space="preserve">been </w:t>
      </w:r>
      <w:r w:rsidR="00830CC1" w:rsidRPr="008F0407">
        <w:rPr>
          <w:rFonts w:ascii="Times New Roman" w:hAnsi="Times New Roman"/>
        </w:rPr>
        <w:t>for the decision of</w:t>
      </w:r>
      <w:r w:rsidR="00C47B00" w:rsidRPr="008F0407">
        <w:rPr>
          <w:rFonts w:ascii="Times New Roman" w:hAnsi="Times New Roman"/>
        </w:rPr>
        <w:t xml:space="preserve"> the Western Australia</w:t>
      </w:r>
      <w:r w:rsidR="00143DC3" w:rsidRPr="008F0407">
        <w:rPr>
          <w:rFonts w:ascii="Times New Roman" w:hAnsi="Times New Roman"/>
        </w:rPr>
        <w:t>n</w:t>
      </w:r>
      <w:r w:rsidR="00E7570C" w:rsidRPr="008F0407">
        <w:rPr>
          <w:rFonts w:ascii="Times New Roman" w:hAnsi="Times New Roman"/>
        </w:rPr>
        <w:t xml:space="preserve"> </w:t>
      </w:r>
      <w:r w:rsidR="00CA028D" w:rsidRPr="008F0407">
        <w:rPr>
          <w:rFonts w:ascii="Times New Roman" w:hAnsi="Times New Roman"/>
        </w:rPr>
        <w:t>Industrial Appeal Court</w:t>
      </w:r>
      <w:r w:rsidR="00E7570C" w:rsidRPr="008F0407">
        <w:rPr>
          <w:rFonts w:ascii="Times New Roman" w:hAnsi="Times New Roman"/>
        </w:rPr>
        <w:t xml:space="preserve"> </w:t>
      </w:r>
      <w:r w:rsidR="00C47B00" w:rsidRPr="008F0407">
        <w:rPr>
          <w:rFonts w:ascii="Times New Roman" w:hAnsi="Times New Roman"/>
        </w:rPr>
        <w:t xml:space="preserve">in </w:t>
      </w:r>
      <w:r w:rsidR="00C47B00" w:rsidRPr="008F0407">
        <w:rPr>
          <w:rFonts w:ascii="Times New Roman" w:hAnsi="Times New Roman"/>
          <w:i/>
          <w:iCs/>
        </w:rPr>
        <w:t xml:space="preserve">Personnel Contracting </w:t>
      </w:r>
      <w:r w:rsidR="00C85B37" w:rsidRPr="008F0407">
        <w:rPr>
          <w:rFonts w:ascii="Times New Roman" w:hAnsi="Times New Roman"/>
          <w:i/>
          <w:iCs/>
        </w:rPr>
        <w:t xml:space="preserve">Pty Ltd </w:t>
      </w:r>
      <w:r w:rsidR="00C47B00" w:rsidRPr="008F0407">
        <w:rPr>
          <w:rFonts w:ascii="Times New Roman" w:hAnsi="Times New Roman"/>
          <w:i/>
          <w:iCs/>
        </w:rPr>
        <w:t xml:space="preserve">v </w:t>
      </w:r>
      <w:r w:rsidR="00C85B37" w:rsidRPr="008F0407">
        <w:rPr>
          <w:rFonts w:ascii="Times New Roman" w:hAnsi="Times New Roman"/>
          <w:i/>
          <w:iCs/>
        </w:rPr>
        <w:t>Construction</w:t>
      </w:r>
      <w:r w:rsidR="00365C16" w:rsidRPr="008F0407">
        <w:rPr>
          <w:rFonts w:ascii="Times New Roman" w:hAnsi="Times New Roman"/>
          <w:i/>
          <w:iCs/>
        </w:rPr>
        <w:t>,</w:t>
      </w:r>
      <w:r w:rsidR="00C85B37" w:rsidRPr="008F0407">
        <w:rPr>
          <w:rFonts w:ascii="Times New Roman" w:hAnsi="Times New Roman"/>
          <w:i/>
          <w:iCs/>
        </w:rPr>
        <w:t xml:space="preserve"> Forestry</w:t>
      </w:r>
      <w:r w:rsidR="00365C16" w:rsidRPr="008F0407">
        <w:rPr>
          <w:rFonts w:ascii="Times New Roman" w:hAnsi="Times New Roman"/>
          <w:i/>
          <w:iCs/>
        </w:rPr>
        <w:t>,</w:t>
      </w:r>
      <w:r w:rsidR="00C85B37" w:rsidRPr="008F0407">
        <w:rPr>
          <w:rFonts w:ascii="Times New Roman" w:hAnsi="Times New Roman"/>
          <w:i/>
          <w:iCs/>
        </w:rPr>
        <w:t xml:space="preserve"> Mining and Energy Union of Workers</w:t>
      </w:r>
      <w:r w:rsidR="00C47B00" w:rsidRPr="008F0407">
        <w:rPr>
          <w:rStyle w:val="FootnoteReference"/>
          <w:rFonts w:ascii="Times New Roman" w:hAnsi="Times New Roman"/>
          <w:iCs/>
          <w:sz w:val="24"/>
        </w:rPr>
        <w:footnoteReference w:id="12"/>
      </w:r>
      <w:r w:rsidR="00716292" w:rsidRPr="008F0407">
        <w:rPr>
          <w:rFonts w:ascii="Times New Roman" w:hAnsi="Times New Roman"/>
          <w:i/>
          <w:iCs/>
        </w:rPr>
        <w:t xml:space="preserve"> </w:t>
      </w:r>
      <w:r w:rsidR="00716292" w:rsidRPr="008F0407">
        <w:rPr>
          <w:rFonts w:ascii="Times New Roman" w:hAnsi="Times New Roman"/>
        </w:rPr>
        <w:t>("</w:t>
      </w:r>
      <w:r w:rsidR="00CE45D1" w:rsidRPr="008F0407">
        <w:rPr>
          <w:rFonts w:ascii="Times New Roman" w:hAnsi="Times New Roman"/>
          <w:i/>
        </w:rPr>
        <w:t>Personnel</w:t>
      </w:r>
      <w:r w:rsidR="009B7901" w:rsidRPr="008F0407">
        <w:rPr>
          <w:rFonts w:ascii="Times New Roman" w:hAnsi="Times New Roman"/>
          <w:i/>
        </w:rPr>
        <w:t> </w:t>
      </w:r>
      <w:r w:rsidR="00CE45D1" w:rsidRPr="008F0407">
        <w:rPr>
          <w:rFonts w:ascii="Times New Roman" w:hAnsi="Times New Roman"/>
          <w:i/>
        </w:rPr>
        <w:t>(No</w:t>
      </w:r>
      <w:r w:rsidR="00B80687" w:rsidRPr="008F0407">
        <w:rPr>
          <w:rFonts w:ascii="Times New Roman" w:hAnsi="Times New Roman"/>
          <w:i/>
        </w:rPr>
        <w:t> </w:t>
      </w:r>
      <w:r w:rsidR="00CE45D1" w:rsidRPr="008F0407">
        <w:rPr>
          <w:rFonts w:ascii="Times New Roman" w:hAnsi="Times New Roman"/>
          <w:i/>
        </w:rPr>
        <w:t>1)</w:t>
      </w:r>
      <w:r w:rsidR="00CE45D1" w:rsidRPr="008F0407">
        <w:rPr>
          <w:rFonts w:ascii="Times New Roman" w:hAnsi="Times New Roman"/>
        </w:rPr>
        <w:t>")</w:t>
      </w:r>
      <w:r w:rsidR="00BA685A" w:rsidRPr="008F0407">
        <w:rPr>
          <w:rFonts w:ascii="Times New Roman" w:hAnsi="Times New Roman"/>
          <w:iCs/>
        </w:rPr>
        <w:t> </w:t>
      </w:r>
      <w:r w:rsidR="00DC04F2" w:rsidRPr="008F0407">
        <w:rPr>
          <w:rFonts w:ascii="Times New Roman" w:hAnsi="Times New Roman"/>
          <w:iCs/>
        </w:rPr>
        <w:t xml:space="preserve">– which involved </w:t>
      </w:r>
      <w:r w:rsidR="00DC04F2" w:rsidRPr="008F0407">
        <w:rPr>
          <w:rFonts w:ascii="Times New Roman" w:hAnsi="Times New Roman"/>
        </w:rPr>
        <w:t>"essentially the same dispute between the same parties"</w:t>
      </w:r>
      <w:r w:rsidR="00DC04F2" w:rsidRPr="008F0407">
        <w:rPr>
          <w:rStyle w:val="FootnoteReference"/>
          <w:rFonts w:ascii="Times New Roman" w:hAnsi="Times New Roman"/>
          <w:sz w:val="24"/>
        </w:rPr>
        <w:footnoteReference w:id="13"/>
      </w:r>
      <w:r w:rsidR="00BA685A" w:rsidRPr="008F0407">
        <w:rPr>
          <w:rFonts w:ascii="Times New Roman" w:hAnsi="Times New Roman"/>
        </w:rPr>
        <w:t> </w:t>
      </w:r>
      <w:r w:rsidR="00DC04F2" w:rsidRPr="008F0407">
        <w:rPr>
          <w:rFonts w:ascii="Times New Roman" w:hAnsi="Times New Roman"/>
        </w:rPr>
        <w:t>–</w:t>
      </w:r>
      <w:r w:rsidR="00BD5DC7" w:rsidRPr="008F0407">
        <w:rPr>
          <w:rFonts w:ascii="Times New Roman" w:hAnsi="Times New Roman"/>
        </w:rPr>
        <w:t xml:space="preserve"> </w:t>
      </w:r>
      <w:r w:rsidR="00E22E25" w:rsidRPr="008F0407">
        <w:rPr>
          <w:rFonts w:ascii="Times New Roman" w:hAnsi="Times New Roman"/>
        </w:rPr>
        <w:t xml:space="preserve">their Honours </w:t>
      </w:r>
      <w:r w:rsidR="009F350E" w:rsidRPr="008F0407">
        <w:rPr>
          <w:rFonts w:ascii="Times New Roman" w:hAnsi="Times New Roman"/>
        </w:rPr>
        <w:t xml:space="preserve">would have </w:t>
      </w:r>
      <w:r w:rsidR="00BD5DC7" w:rsidRPr="008F0407">
        <w:rPr>
          <w:rFonts w:ascii="Times New Roman" w:hAnsi="Times New Roman"/>
        </w:rPr>
        <w:t>held that</w:t>
      </w:r>
      <w:r w:rsidR="00CA584C" w:rsidRPr="008F0407">
        <w:rPr>
          <w:rFonts w:ascii="Times New Roman" w:hAnsi="Times New Roman"/>
        </w:rPr>
        <w:t xml:space="preserve"> </w:t>
      </w:r>
      <w:r w:rsidR="00BD5DC7" w:rsidRPr="008F0407">
        <w:rPr>
          <w:rFonts w:ascii="Times New Roman" w:hAnsi="Times New Roman"/>
        </w:rPr>
        <w:t>Mr McCourt was an employee of Construct</w:t>
      </w:r>
      <w:r w:rsidR="00CA028D" w:rsidRPr="008F0407">
        <w:rPr>
          <w:rFonts w:ascii="Times New Roman" w:hAnsi="Times New Roman"/>
        </w:rPr>
        <w:t>.</w:t>
      </w:r>
      <w:r w:rsidR="00C36D9C" w:rsidRPr="008F0407">
        <w:rPr>
          <w:rFonts w:ascii="Times New Roman" w:hAnsi="Times New Roman"/>
        </w:rPr>
        <w:t xml:space="preserve"> </w:t>
      </w:r>
      <w:r w:rsidR="003207DD" w:rsidRPr="008F0407">
        <w:rPr>
          <w:rFonts w:ascii="Times New Roman" w:hAnsi="Times New Roman"/>
        </w:rPr>
        <w:t xml:space="preserve">Lee J, with whom </w:t>
      </w:r>
      <w:proofErr w:type="spellStart"/>
      <w:r w:rsidR="003207DD" w:rsidRPr="008F0407">
        <w:rPr>
          <w:rFonts w:ascii="Times New Roman" w:hAnsi="Times New Roman"/>
        </w:rPr>
        <w:t>Allsop</w:t>
      </w:r>
      <w:proofErr w:type="spellEnd"/>
      <w:r w:rsidR="003207DD" w:rsidRPr="008F0407">
        <w:rPr>
          <w:rFonts w:ascii="Times New Roman" w:hAnsi="Times New Roman"/>
        </w:rPr>
        <w:t xml:space="preserve"> CJ and </w:t>
      </w:r>
      <w:proofErr w:type="spellStart"/>
      <w:r w:rsidR="003207DD" w:rsidRPr="008F0407">
        <w:rPr>
          <w:rFonts w:ascii="Times New Roman" w:hAnsi="Times New Roman"/>
        </w:rPr>
        <w:t>Jagot</w:t>
      </w:r>
      <w:proofErr w:type="spellEnd"/>
      <w:r w:rsidR="003207DD" w:rsidRPr="008F0407">
        <w:rPr>
          <w:rFonts w:ascii="Times New Roman" w:hAnsi="Times New Roman"/>
        </w:rPr>
        <w:t xml:space="preserve"> J agreed, described the </w:t>
      </w:r>
      <w:r w:rsidR="00382794" w:rsidRPr="008F0407">
        <w:rPr>
          <w:rFonts w:ascii="Times New Roman" w:hAnsi="Times New Roman"/>
        </w:rPr>
        <w:t>notion that Mr McCourt was an independent contract</w:t>
      </w:r>
      <w:r w:rsidR="00DC04F2" w:rsidRPr="008F0407">
        <w:rPr>
          <w:rFonts w:ascii="Times New Roman" w:hAnsi="Times New Roman"/>
        </w:rPr>
        <w:t>or</w:t>
      </w:r>
      <w:r w:rsidR="000B0C54" w:rsidRPr="008F0407">
        <w:rPr>
          <w:rFonts w:ascii="Times New Roman" w:hAnsi="Times New Roman"/>
        </w:rPr>
        <w:t xml:space="preserve"> as "somewhat less than intuitively sound"</w:t>
      </w:r>
      <w:r w:rsidR="000B0C54" w:rsidRPr="008F0407">
        <w:rPr>
          <w:rStyle w:val="FootnoteReference"/>
          <w:rFonts w:ascii="Times New Roman" w:hAnsi="Times New Roman"/>
          <w:sz w:val="24"/>
        </w:rPr>
        <w:footnoteReference w:id="14"/>
      </w:r>
      <w:r w:rsidR="0003268B" w:rsidRPr="008F0407">
        <w:rPr>
          <w:rFonts w:ascii="Times New Roman" w:hAnsi="Times New Roman"/>
        </w:rPr>
        <w:t>.</w:t>
      </w:r>
      <w:r w:rsidR="003207DD" w:rsidRPr="008F0407">
        <w:rPr>
          <w:rFonts w:ascii="Times New Roman" w:hAnsi="Times New Roman"/>
        </w:rPr>
        <w:t xml:space="preserve"> </w:t>
      </w:r>
      <w:r w:rsidR="00C945D1" w:rsidRPr="008F0407">
        <w:rPr>
          <w:rFonts w:ascii="Times New Roman" w:hAnsi="Times New Roman"/>
        </w:rPr>
        <w:t xml:space="preserve">But because </w:t>
      </w:r>
      <w:r w:rsidR="002275E7" w:rsidRPr="008F0407">
        <w:rPr>
          <w:rFonts w:ascii="Times New Roman" w:hAnsi="Times New Roman"/>
        </w:rPr>
        <w:t xml:space="preserve">their Honours were not able to </w:t>
      </w:r>
      <w:r w:rsidR="003559B8" w:rsidRPr="008F0407">
        <w:rPr>
          <w:rFonts w:ascii="Times New Roman" w:hAnsi="Times New Roman"/>
        </w:rPr>
        <w:t>conclude</w:t>
      </w:r>
      <w:r w:rsidR="002275E7" w:rsidRPr="008F0407">
        <w:rPr>
          <w:rFonts w:ascii="Times New Roman" w:hAnsi="Times New Roman"/>
        </w:rPr>
        <w:t xml:space="preserve"> </w:t>
      </w:r>
      <w:r w:rsidR="002618DE" w:rsidRPr="008F0407">
        <w:rPr>
          <w:rFonts w:ascii="Times New Roman" w:hAnsi="Times New Roman"/>
        </w:rPr>
        <w:t xml:space="preserve">that </w:t>
      </w:r>
      <w:r w:rsidR="000162A0" w:rsidRPr="008F0407">
        <w:rPr>
          <w:rFonts w:ascii="Times New Roman" w:hAnsi="Times New Roman"/>
          <w:i/>
        </w:rPr>
        <w:t>Personnel (No</w:t>
      </w:r>
      <w:r w:rsidR="00382794" w:rsidRPr="008F0407">
        <w:rPr>
          <w:rFonts w:ascii="Times New Roman" w:hAnsi="Times New Roman"/>
          <w:i/>
        </w:rPr>
        <w:t> </w:t>
      </w:r>
      <w:r w:rsidR="000162A0" w:rsidRPr="008F0407">
        <w:rPr>
          <w:rFonts w:ascii="Times New Roman" w:hAnsi="Times New Roman"/>
          <w:i/>
        </w:rPr>
        <w:t>1)</w:t>
      </w:r>
      <w:r w:rsidR="000162A0" w:rsidRPr="008F0407">
        <w:rPr>
          <w:rFonts w:ascii="Times New Roman" w:hAnsi="Times New Roman"/>
          <w:i/>
          <w:iCs/>
        </w:rPr>
        <w:t xml:space="preserve"> </w:t>
      </w:r>
      <w:r w:rsidR="002618DE" w:rsidRPr="008F0407">
        <w:rPr>
          <w:rFonts w:ascii="Times New Roman" w:hAnsi="Times New Roman"/>
        </w:rPr>
        <w:t>was plainly wrong</w:t>
      </w:r>
      <w:r w:rsidR="00D474A4" w:rsidRPr="008F0407">
        <w:rPr>
          <w:rStyle w:val="FootnoteReference"/>
          <w:rFonts w:ascii="Times New Roman" w:hAnsi="Times New Roman"/>
          <w:sz w:val="24"/>
        </w:rPr>
        <w:footnoteReference w:id="15"/>
      </w:r>
      <w:r w:rsidR="00153380" w:rsidRPr="008F0407">
        <w:rPr>
          <w:rFonts w:ascii="Times New Roman" w:hAnsi="Times New Roman"/>
        </w:rPr>
        <w:t>,</w:t>
      </w:r>
      <w:r w:rsidR="009914CA" w:rsidRPr="008F0407">
        <w:rPr>
          <w:rFonts w:ascii="Times New Roman" w:hAnsi="Times New Roman"/>
        </w:rPr>
        <w:t xml:space="preserve"> they held that </w:t>
      </w:r>
      <w:r w:rsidR="00085CE3" w:rsidRPr="008F0407">
        <w:rPr>
          <w:rFonts w:ascii="Times New Roman" w:hAnsi="Times New Roman"/>
        </w:rPr>
        <w:t>Mr McCourt</w:t>
      </w:r>
      <w:r w:rsidR="009914CA" w:rsidRPr="008F0407">
        <w:rPr>
          <w:rFonts w:ascii="Times New Roman" w:hAnsi="Times New Roman"/>
        </w:rPr>
        <w:t xml:space="preserve"> had been engaged </w:t>
      </w:r>
      <w:r w:rsidR="00D4552E" w:rsidRPr="008F0407">
        <w:rPr>
          <w:rFonts w:ascii="Times New Roman" w:hAnsi="Times New Roman"/>
        </w:rPr>
        <w:t xml:space="preserve">by Construct </w:t>
      </w:r>
      <w:r w:rsidR="009914CA" w:rsidRPr="008F0407">
        <w:rPr>
          <w:rFonts w:ascii="Times New Roman" w:hAnsi="Times New Roman"/>
        </w:rPr>
        <w:t>as an independent contractor</w:t>
      </w:r>
      <w:r w:rsidR="00F246CB" w:rsidRPr="008F0407">
        <w:rPr>
          <w:rFonts w:ascii="Times New Roman" w:hAnsi="Times New Roman"/>
        </w:rPr>
        <w:t xml:space="preserve"> and, therefore, </w:t>
      </w:r>
      <w:r w:rsidR="00146314" w:rsidRPr="008F0407">
        <w:rPr>
          <w:rFonts w:ascii="Times New Roman" w:hAnsi="Times New Roman"/>
        </w:rPr>
        <w:t xml:space="preserve">was </w:t>
      </w:r>
      <w:r w:rsidR="00F246CB" w:rsidRPr="008F0407">
        <w:rPr>
          <w:rFonts w:ascii="Times New Roman" w:hAnsi="Times New Roman"/>
        </w:rPr>
        <w:t>not an employee</w:t>
      </w:r>
      <w:r w:rsidR="009914CA" w:rsidRPr="008F0407">
        <w:rPr>
          <w:rFonts w:ascii="Times New Roman" w:hAnsi="Times New Roman"/>
        </w:rPr>
        <w:t>.</w:t>
      </w:r>
    </w:p>
    <w:p w14:paraId="42CA4819" w14:textId="7DC0CDB5" w:rsidR="00527B79" w:rsidRPr="008F0407" w:rsidRDefault="00F17920" w:rsidP="008F0407">
      <w:pPr>
        <w:pStyle w:val="FixListStyle"/>
        <w:spacing w:after="260" w:line="280" w:lineRule="exact"/>
        <w:ind w:right="0"/>
        <w:jc w:val="both"/>
        <w:rPr>
          <w:rFonts w:ascii="Times New Roman" w:hAnsi="Times New Roman"/>
        </w:rPr>
      </w:pPr>
      <w:r w:rsidRPr="008F0407">
        <w:rPr>
          <w:rFonts w:ascii="Times New Roman" w:hAnsi="Times New Roman"/>
        </w:rPr>
        <w:lastRenderedPageBreak/>
        <w:tab/>
      </w:r>
      <w:proofErr w:type="gramStart"/>
      <w:r w:rsidRPr="008F0407">
        <w:rPr>
          <w:rFonts w:ascii="Times New Roman" w:hAnsi="Times New Roman"/>
        </w:rPr>
        <w:t>For the reasons that</w:t>
      </w:r>
      <w:proofErr w:type="gramEnd"/>
      <w:r w:rsidRPr="008F0407">
        <w:rPr>
          <w:rFonts w:ascii="Times New Roman" w:hAnsi="Times New Roman"/>
        </w:rPr>
        <w:t xml:space="preserve"> follow, Mr McCourt was employed by Construct, and so the appeal to this Court must be allowed.</w:t>
      </w:r>
    </w:p>
    <w:p w14:paraId="0D1BAB7D" w14:textId="2C11A750" w:rsidR="00D33AFA" w:rsidRPr="008F0407" w:rsidRDefault="00F4267A" w:rsidP="008F0407">
      <w:pPr>
        <w:pStyle w:val="HeadingL1"/>
        <w:spacing w:after="260" w:line="280" w:lineRule="exact"/>
        <w:ind w:right="0"/>
        <w:jc w:val="both"/>
        <w:rPr>
          <w:rFonts w:ascii="Times New Roman" w:hAnsi="Times New Roman"/>
        </w:rPr>
      </w:pPr>
      <w:r w:rsidRPr="008F0407">
        <w:rPr>
          <w:rFonts w:ascii="Times New Roman" w:hAnsi="Times New Roman"/>
        </w:rPr>
        <w:t>The contractual arrangements</w:t>
      </w:r>
      <w:r w:rsidR="005F22AD" w:rsidRPr="008F0407">
        <w:rPr>
          <w:rFonts w:ascii="Times New Roman" w:hAnsi="Times New Roman"/>
        </w:rPr>
        <w:t xml:space="preserve"> between the parties</w:t>
      </w:r>
    </w:p>
    <w:p w14:paraId="0601F525" w14:textId="3E937402" w:rsidR="00DB747C" w:rsidRPr="008F0407" w:rsidRDefault="00DB747C"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7E51E8" w:rsidRPr="008F0407">
        <w:rPr>
          <w:rFonts w:ascii="Times New Roman" w:hAnsi="Times New Roman"/>
        </w:rPr>
        <w:t xml:space="preserve">The relationship between </w:t>
      </w:r>
      <w:r w:rsidR="00907A33" w:rsidRPr="008F0407">
        <w:rPr>
          <w:rFonts w:ascii="Times New Roman" w:hAnsi="Times New Roman"/>
        </w:rPr>
        <w:t>Mr McCourt</w:t>
      </w:r>
      <w:r w:rsidR="007E51E8" w:rsidRPr="008F0407">
        <w:rPr>
          <w:rFonts w:ascii="Times New Roman" w:hAnsi="Times New Roman"/>
        </w:rPr>
        <w:t xml:space="preserve"> and </w:t>
      </w:r>
      <w:r w:rsidR="00474982" w:rsidRPr="008F0407">
        <w:rPr>
          <w:rFonts w:ascii="Times New Roman" w:hAnsi="Times New Roman"/>
        </w:rPr>
        <w:t>Construct</w:t>
      </w:r>
      <w:r w:rsidR="00907A33" w:rsidRPr="008F0407">
        <w:rPr>
          <w:rFonts w:ascii="Times New Roman" w:hAnsi="Times New Roman"/>
        </w:rPr>
        <w:t xml:space="preserve"> </w:t>
      </w:r>
      <w:r w:rsidR="007E51E8" w:rsidRPr="008F0407">
        <w:rPr>
          <w:rFonts w:ascii="Times New Roman" w:hAnsi="Times New Roman"/>
        </w:rPr>
        <w:t>was governed by the ASA</w:t>
      </w:r>
      <w:r w:rsidR="002E2CA6" w:rsidRPr="008F0407">
        <w:rPr>
          <w:rFonts w:ascii="Times New Roman" w:hAnsi="Times New Roman"/>
        </w:rPr>
        <w:t xml:space="preserve">. </w:t>
      </w:r>
      <w:r w:rsidR="00821F05" w:rsidRPr="008F0407">
        <w:rPr>
          <w:rFonts w:ascii="Times New Roman" w:hAnsi="Times New Roman"/>
        </w:rPr>
        <w:t xml:space="preserve">The relationship between </w:t>
      </w:r>
      <w:r w:rsidR="00474982" w:rsidRPr="008F0407">
        <w:rPr>
          <w:rFonts w:ascii="Times New Roman" w:hAnsi="Times New Roman"/>
        </w:rPr>
        <w:t>Construct</w:t>
      </w:r>
      <w:r w:rsidR="00821F05" w:rsidRPr="008F0407">
        <w:rPr>
          <w:rFonts w:ascii="Times New Roman" w:hAnsi="Times New Roman"/>
        </w:rPr>
        <w:t xml:space="preserve"> and Hanssen was governed by a Labour Hire Agreement ("LHA")</w:t>
      </w:r>
      <w:r w:rsidR="00503232" w:rsidRPr="008F0407">
        <w:rPr>
          <w:rFonts w:ascii="Times New Roman" w:hAnsi="Times New Roman"/>
        </w:rPr>
        <w:t>.</w:t>
      </w:r>
      <w:r w:rsidR="00134068" w:rsidRPr="008F0407">
        <w:rPr>
          <w:rFonts w:ascii="Times New Roman" w:hAnsi="Times New Roman"/>
        </w:rPr>
        <w:t xml:space="preserve"> </w:t>
      </w:r>
      <w:r w:rsidR="00D82B80" w:rsidRPr="008F0407">
        <w:rPr>
          <w:rFonts w:ascii="Times New Roman" w:hAnsi="Times New Roman"/>
        </w:rPr>
        <w:t>T</w:t>
      </w:r>
      <w:r w:rsidR="00503232" w:rsidRPr="008F0407">
        <w:rPr>
          <w:rFonts w:ascii="Times New Roman" w:hAnsi="Times New Roman"/>
        </w:rPr>
        <w:t xml:space="preserve">here </w:t>
      </w:r>
      <w:r w:rsidR="00134068" w:rsidRPr="008F0407">
        <w:rPr>
          <w:rFonts w:ascii="Times New Roman" w:hAnsi="Times New Roman"/>
        </w:rPr>
        <w:t>was</w:t>
      </w:r>
      <w:r w:rsidR="00503232" w:rsidRPr="008F0407">
        <w:rPr>
          <w:rFonts w:ascii="Times New Roman" w:hAnsi="Times New Roman"/>
        </w:rPr>
        <w:t xml:space="preserve"> no contractual arrangement between Mr McCourt and Hanssen</w:t>
      </w:r>
      <w:r w:rsidR="00D82F62" w:rsidRPr="008F0407">
        <w:rPr>
          <w:rFonts w:ascii="Times New Roman" w:hAnsi="Times New Roman"/>
        </w:rPr>
        <w:t>.</w:t>
      </w:r>
    </w:p>
    <w:p w14:paraId="3B72BE2F" w14:textId="6A601EE4" w:rsidR="00411E06" w:rsidRPr="008F0407" w:rsidRDefault="00FD5040" w:rsidP="008F0407">
      <w:pPr>
        <w:pStyle w:val="HeadingL2"/>
        <w:spacing w:after="260" w:line="280" w:lineRule="exact"/>
        <w:ind w:right="0"/>
        <w:jc w:val="both"/>
        <w:rPr>
          <w:rFonts w:ascii="Times New Roman" w:hAnsi="Times New Roman"/>
        </w:rPr>
      </w:pPr>
      <w:r w:rsidRPr="008F0407">
        <w:rPr>
          <w:rFonts w:ascii="Times New Roman" w:hAnsi="Times New Roman"/>
        </w:rPr>
        <w:t>T</w:t>
      </w:r>
      <w:r w:rsidR="00411E06" w:rsidRPr="008F0407">
        <w:rPr>
          <w:rFonts w:ascii="Times New Roman" w:hAnsi="Times New Roman"/>
        </w:rPr>
        <w:t>he LHA</w:t>
      </w:r>
    </w:p>
    <w:p w14:paraId="3BF6E37F" w14:textId="6B613BD5" w:rsidR="00411E06" w:rsidRPr="008F0407" w:rsidRDefault="00411E06" w:rsidP="008F0407">
      <w:pPr>
        <w:pStyle w:val="FixListStyle"/>
        <w:spacing w:after="260" w:line="280" w:lineRule="exact"/>
        <w:ind w:right="0"/>
        <w:jc w:val="both"/>
        <w:rPr>
          <w:rFonts w:ascii="Times New Roman" w:hAnsi="Times New Roman"/>
        </w:rPr>
      </w:pPr>
      <w:r w:rsidRPr="008F0407">
        <w:rPr>
          <w:rFonts w:ascii="Times New Roman" w:hAnsi="Times New Roman"/>
        </w:rPr>
        <w:tab/>
        <w:t>The LHA described Construct's role as "an administrative services agency, liaising between the client and self</w:t>
      </w:r>
      <w:r w:rsidR="002A67A3" w:rsidRPr="008F0407">
        <w:rPr>
          <w:rFonts w:ascii="Times New Roman" w:hAnsi="Times New Roman"/>
        </w:rPr>
        <w:noBreakHyphen/>
      </w:r>
      <w:r w:rsidRPr="008F0407">
        <w:rPr>
          <w:rFonts w:ascii="Times New Roman" w:hAnsi="Times New Roman"/>
        </w:rPr>
        <w:t>employed contractors for the provision of labour by self</w:t>
      </w:r>
      <w:r w:rsidR="002A67A3" w:rsidRPr="008F0407">
        <w:rPr>
          <w:rFonts w:ascii="Times New Roman" w:hAnsi="Times New Roman"/>
        </w:rPr>
        <w:noBreakHyphen/>
      </w:r>
      <w:r w:rsidRPr="008F0407">
        <w:rPr>
          <w:rFonts w:ascii="Times New Roman" w:hAnsi="Times New Roman"/>
        </w:rPr>
        <w:t>employed contractors to the client"</w:t>
      </w:r>
      <w:r w:rsidRPr="008F0407">
        <w:rPr>
          <w:rStyle w:val="FootnoteReference"/>
          <w:rFonts w:ascii="Times New Roman" w:hAnsi="Times New Roman"/>
          <w:sz w:val="24"/>
        </w:rPr>
        <w:footnoteReference w:id="16"/>
      </w:r>
      <w:r w:rsidRPr="008F0407">
        <w:rPr>
          <w:rFonts w:ascii="Times New Roman" w:hAnsi="Times New Roman"/>
        </w:rPr>
        <w:t>. Construct's workers were referred to Hanssen on a "daily hire basis" for which Hanssen agreed to pay Construct at an hourly rate, negotiated between Hanssen and Construct, and invoiced weekly</w:t>
      </w:r>
      <w:r w:rsidRPr="008F0407">
        <w:rPr>
          <w:rStyle w:val="FootnoteReference"/>
          <w:rFonts w:ascii="Times New Roman" w:hAnsi="Times New Roman"/>
          <w:sz w:val="24"/>
        </w:rPr>
        <w:footnoteReference w:id="17"/>
      </w:r>
      <w:r w:rsidRPr="008F0407">
        <w:rPr>
          <w:rFonts w:ascii="Times New Roman" w:hAnsi="Times New Roman"/>
        </w:rPr>
        <w:t xml:space="preserve">. Construct was responsible for the suitability of its </w:t>
      </w:r>
      <w:proofErr w:type="gramStart"/>
      <w:r w:rsidRPr="008F0407">
        <w:rPr>
          <w:rFonts w:ascii="Times New Roman" w:hAnsi="Times New Roman"/>
        </w:rPr>
        <w:t>workers, and</w:t>
      </w:r>
      <w:proofErr w:type="gramEnd"/>
      <w:r w:rsidRPr="008F0407">
        <w:rPr>
          <w:rFonts w:ascii="Times New Roman" w:hAnsi="Times New Roman"/>
        </w:rPr>
        <w:t xml:space="preserve"> agreed to replace a worker at no charge if notified of the worker's unsuitability within four hours on the first day of an assignment</w:t>
      </w:r>
      <w:r w:rsidRPr="008F0407">
        <w:rPr>
          <w:rStyle w:val="FootnoteReference"/>
          <w:rFonts w:ascii="Times New Roman" w:hAnsi="Times New Roman"/>
          <w:sz w:val="24"/>
        </w:rPr>
        <w:footnoteReference w:id="18"/>
      </w:r>
      <w:r w:rsidRPr="008F0407">
        <w:rPr>
          <w:rFonts w:ascii="Times New Roman" w:hAnsi="Times New Roman"/>
        </w:rPr>
        <w:t>. Hanssen agreed to comply with all workplace health and safety laws applicable to Construct's workers</w:t>
      </w:r>
      <w:r w:rsidRPr="008F0407">
        <w:rPr>
          <w:rStyle w:val="FootnoteReference"/>
          <w:rFonts w:ascii="Times New Roman" w:hAnsi="Times New Roman"/>
          <w:sz w:val="24"/>
        </w:rPr>
        <w:footnoteReference w:id="19"/>
      </w:r>
      <w:r w:rsidRPr="008F0407">
        <w:rPr>
          <w:rFonts w:ascii="Times New Roman" w:hAnsi="Times New Roman"/>
        </w:rPr>
        <w:t>.</w:t>
      </w:r>
    </w:p>
    <w:p w14:paraId="0982517D" w14:textId="24B1C43B" w:rsidR="00411E06" w:rsidRPr="008F0407" w:rsidRDefault="00411E06" w:rsidP="008F0407">
      <w:pPr>
        <w:pStyle w:val="FixListStyle"/>
        <w:spacing w:after="260" w:line="280" w:lineRule="exact"/>
        <w:ind w:right="0"/>
        <w:jc w:val="both"/>
        <w:rPr>
          <w:rFonts w:ascii="Times New Roman" w:hAnsi="Times New Roman"/>
        </w:rPr>
      </w:pPr>
      <w:r w:rsidRPr="008F0407">
        <w:rPr>
          <w:rFonts w:ascii="Times New Roman" w:hAnsi="Times New Roman"/>
        </w:rPr>
        <w:tab/>
        <w:t>It is unnecessary</w:t>
      </w:r>
      <w:r w:rsidR="0053755C" w:rsidRPr="008F0407">
        <w:rPr>
          <w:rFonts w:ascii="Times New Roman" w:hAnsi="Times New Roman"/>
        </w:rPr>
        <w:t xml:space="preserve">, and indeed </w:t>
      </w:r>
      <w:r w:rsidR="00FE3CB3" w:rsidRPr="008F0407">
        <w:rPr>
          <w:rFonts w:ascii="Times New Roman" w:hAnsi="Times New Roman"/>
        </w:rPr>
        <w:t>inappropriate</w:t>
      </w:r>
      <w:r w:rsidR="0053755C" w:rsidRPr="008F0407">
        <w:rPr>
          <w:rFonts w:ascii="Times New Roman" w:hAnsi="Times New Roman"/>
        </w:rPr>
        <w:t>,</w:t>
      </w:r>
      <w:r w:rsidR="00FE3CB3" w:rsidRPr="008F0407">
        <w:rPr>
          <w:rFonts w:ascii="Times New Roman" w:hAnsi="Times New Roman"/>
        </w:rPr>
        <w:t xml:space="preserve"> </w:t>
      </w:r>
      <w:r w:rsidRPr="008F0407">
        <w:rPr>
          <w:rFonts w:ascii="Times New Roman" w:hAnsi="Times New Roman"/>
        </w:rPr>
        <w:t xml:space="preserve">to refer to the terms of the LHA </w:t>
      </w:r>
      <w:r w:rsidR="000D1417" w:rsidRPr="008F0407">
        <w:rPr>
          <w:rFonts w:ascii="Times New Roman" w:hAnsi="Times New Roman"/>
        </w:rPr>
        <w:t xml:space="preserve">in any greater detail </w:t>
      </w:r>
      <w:r w:rsidR="00FE3CB3" w:rsidRPr="008F0407">
        <w:rPr>
          <w:rFonts w:ascii="Times New Roman" w:hAnsi="Times New Roman"/>
        </w:rPr>
        <w:t>because Mr McCourt was not a party to the LHA</w:t>
      </w:r>
      <w:r w:rsidRPr="008F0407">
        <w:rPr>
          <w:rFonts w:ascii="Times New Roman" w:hAnsi="Times New Roman"/>
        </w:rPr>
        <w:t xml:space="preserve">. </w:t>
      </w:r>
      <w:r w:rsidR="000D1417" w:rsidRPr="008F0407">
        <w:rPr>
          <w:rFonts w:ascii="Times New Roman" w:hAnsi="Times New Roman"/>
        </w:rPr>
        <w:t xml:space="preserve">His contract with Construct </w:t>
      </w:r>
      <w:r w:rsidR="00DC598C" w:rsidRPr="008F0407">
        <w:rPr>
          <w:rFonts w:ascii="Times New Roman" w:hAnsi="Times New Roman"/>
        </w:rPr>
        <w:t xml:space="preserve">was not </w:t>
      </w:r>
      <w:r w:rsidR="000D1417" w:rsidRPr="008F0407">
        <w:rPr>
          <w:rFonts w:ascii="Times New Roman" w:hAnsi="Times New Roman"/>
        </w:rPr>
        <w:t xml:space="preserve">affected by the terms of the LHA. </w:t>
      </w:r>
      <w:r w:rsidRPr="008F0407">
        <w:rPr>
          <w:rFonts w:ascii="Times New Roman" w:hAnsi="Times New Roman"/>
        </w:rPr>
        <w:t>Clause 4</w:t>
      </w:r>
      <w:r w:rsidR="00DA4575" w:rsidRPr="008F0407">
        <w:rPr>
          <w:rFonts w:ascii="Times New Roman" w:hAnsi="Times New Roman"/>
        </w:rPr>
        <w:t xml:space="preserve"> of the LHA</w:t>
      </w:r>
      <w:r w:rsidRPr="008F0407">
        <w:rPr>
          <w:rFonts w:ascii="Times New Roman" w:hAnsi="Times New Roman"/>
        </w:rPr>
        <w:t>, however, is significant</w:t>
      </w:r>
      <w:r w:rsidR="00DA4575" w:rsidRPr="008F0407">
        <w:rPr>
          <w:rFonts w:ascii="Times New Roman" w:hAnsi="Times New Roman"/>
        </w:rPr>
        <w:t xml:space="preserve"> because its import was reflected in the ASA</w:t>
      </w:r>
      <w:r w:rsidRPr="008F0407">
        <w:rPr>
          <w:rFonts w:ascii="Times New Roman" w:hAnsi="Times New Roman"/>
        </w:rPr>
        <w:t xml:space="preserve">. </w:t>
      </w:r>
      <w:r w:rsidR="0053755C" w:rsidRPr="008F0407">
        <w:rPr>
          <w:rFonts w:ascii="Times New Roman" w:hAnsi="Times New Roman"/>
        </w:rPr>
        <w:t>C</w:t>
      </w:r>
      <w:r w:rsidR="00264EEB" w:rsidRPr="008F0407">
        <w:rPr>
          <w:rFonts w:ascii="Times New Roman" w:hAnsi="Times New Roman"/>
        </w:rPr>
        <w:t>lause 4</w:t>
      </w:r>
      <w:r w:rsidRPr="008F0407">
        <w:rPr>
          <w:rFonts w:ascii="Times New Roman" w:hAnsi="Times New Roman"/>
        </w:rPr>
        <w:t xml:space="preserve"> was entitled "Direction"</w:t>
      </w:r>
      <w:r w:rsidR="00264EEB" w:rsidRPr="008F0407">
        <w:rPr>
          <w:rFonts w:ascii="Times New Roman" w:hAnsi="Times New Roman"/>
        </w:rPr>
        <w:t>,</w:t>
      </w:r>
      <w:r w:rsidRPr="008F0407">
        <w:rPr>
          <w:rFonts w:ascii="Times New Roman" w:hAnsi="Times New Roman"/>
        </w:rPr>
        <w:t xml:space="preserve"> and provided as follows:</w:t>
      </w:r>
    </w:p>
    <w:p w14:paraId="38406D59" w14:textId="77777777" w:rsidR="008F0407" w:rsidRDefault="00411E06" w:rsidP="008F0407">
      <w:pPr>
        <w:pStyle w:val="LeftrightafterHC"/>
        <w:spacing w:before="0" w:after="260" w:line="280" w:lineRule="exact"/>
        <w:ind w:right="0"/>
        <w:jc w:val="both"/>
        <w:rPr>
          <w:rFonts w:ascii="Times New Roman" w:hAnsi="Times New Roman"/>
        </w:rPr>
      </w:pPr>
      <w:r w:rsidRPr="008F0407">
        <w:rPr>
          <w:rFonts w:ascii="Times New Roman" w:hAnsi="Times New Roman"/>
        </w:rPr>
        <w:t>"[Construct's] contractors are under the client's direction and supervision from the time they report to the client and for the duration of each day on the assignment."</w:t>
      </w:r>
    </w:p>
    <w:p w14:paraId="172AB98F" w14:textId="7F42944E" w:rsidR="00264EEB" w:rsidRPr="008F0407" w:rsidRDefault="00201E09" w:rsidP="008F0407">
      <w:pPr>
        <w:pStyle w:val="FixListStyle"/>
        <w:spacing w:after="260" w:line="280" w:lineRule="exact"/>
        <w:ind w:right="0"/>
        <w:jc w:val="both"/>
        <w:rPr>
          <w:rFonts w:ascii="Times New Roman" w:hAnsi="Times New Roman"/>
        </w:rPr>
      </w:pPr>
      <w:r w:rsidRPr="008F0407">
        <w:rPr>
          <w:rFonts w:ascii="Times New Roman" w:hAnsi="Times New Roman"/>
        </w:rPr>
        <w:tab/>
        <w:t>The bargain between Construct and Hanssen dovetailed in this respect with the bargain between Construct and Mr McCourt in that the latter arrangement facilitated Construct's performance</w:t>
      </w:r>
      <w:r w:rsidR="0041338C" w:rsidRPr="008F0407">
        <w:rPr>
          <w:rFonts w:ascii="Times New Roman" w:hAnsi="Times New Roman"/>
        </w:rPr>
        <w:t xml:space="preserve"> </w:t>
      </w:r>
      <w:r w:rsidR="00F87F42" w:rsidRPr="008F0407">
        <w:rPr>
          <w:rFonts w:ascii="Times New Roman" w:hAnsi="Times New Roman"/>
        </w:rPr>
        <w:t xml:space="preserve">of </w:t>
      </w:r>
      <w:r w:rsidR="0041338C" w:rsidRPr="008F0407">
        <w:rPr>
          <w:rFonts w:ascii="Times New Roman" w:hAnsi="Times New Roman"/>
        </w:rPr>
        <w:t>the former.</w:t>
      </w:r>
      <w:r w:rsidR="00FC1401" w:rsidRPr="008F0407">
        <w:rPr>
          <w:rFonts w:ascii="Times New Roman" w:hAnsi="Times New Roman"/>
        </w:rPr>
        <w:t xml:space="preserve"> </w:t>
      </w:r>
      <w:r w:rsidR="0098347A" w:rsidRPr="008F0407">
        <w:rPr>
          <w:rFonts w:ascii="Times New Roman" w:hAnsi="Times New Roman"/>
        </w:rPr>
        <w:t>As will be seen, u</w:t>
      </w:r>
      <w:r w:rsidR="00FC1401" w:rsidRPr="008F0407">
        <w:rPr>
          <w:rFonts w:ascii="Times New Roman" w:hAnsi="Times New Roman"/>
        </w:rPr>
        <w:t xml:space="preserve">nder the ASA, </w:t>
      </w:r>
      <w:r w:rsidR="00FC1401" w:rsidRPr="008F0407">
        <w:rPr>
          <w:rFonts w:ascii="Times New Roman" w:hAnsi="Times New Roman"/>
        </w:rPr>
        <w:lastRenderedPageBreak/>
        <w:t xml:space="preserve">Construct had the right to </w:t>
      </w:r>
      <w:r w:rsidR="0098347A" w:rsidRPr="008F0407">
        <w:rPr>
          <w:rFonts w:ascii="Times New Roman" w:hAnsi="Times New Roman"/>
        </w:rPr>
        <w:t>subject</w:t>
      </w:r>
      <w:r w:rsidR="00FC1401" w:rsidRPr="008F0407">
        <w:rPr>
          <w:rFonts w:ascii="Times New Roman" w:hAnsi="Times New Roman"/>
        </w:rPr>
        <w:t xml:space="preserve"> Mr McCourt to the direction of Hanssen in respect of what work he was to do and how he was to do it.</w:t>
      </w:r>
    </w:p>
    <w:p w14:paraId="28ACC2C8" w14:textId="61E9B392" w:rsidR="00D82F62" w:rsidRPr="008F0407" w:rsidRDefault="00D82F62" w:rsidP="008F0407">
      <w:pPr>
        <w:pStyle w:val="HeadingL2"/>
        <w:spacing w:after="260" w:line="280" w:lineRule="exact"/>
        <w:ind w:right="0"/>
        <w:jc w:val="both"/>
        <w:rPr>
          <w:rFonts w:ascii="Times New Roman" w:hAnsi="Times New Roman"/>
        </w:rPr>
      </w:pPr>
      <w:r w:rsidRPr="008F0407">
        <w:rPr>
          <w:rFonts w:ascii="Times New Roman" w:hAnsi="Times New Roman"/>
        </w:rPr>
        <w:t xml:space="preserve">The </w:t>
      </w:r>
      <w:r w:rsidR="00474982" w:rsidRPr="008F0407">
        <w:rPr>
          <w:rFonts w:ascii="Times New Roman" w:hAnsi="Times New Roman"/>
        </w:rPr>
        <w:t>ASA and related documents</w:t>
      </w:r>
    </w:p>
    <w:p w14:paraId="49EB39E9" w14:textId="10ECA81A" w:rsidR="00FF27CC" w:rsidRPr="008F0407" w:rsidRDefault="00FF27CC" w:rsidP="008F0407">
      <w:pPr>
        <w:pStyle w:val="FixListStyle"/>
        <w:spacing w:after="260" w:line="280" w:lineRule="exact"/>
        <w:ind w:right="0"/>
        <w:jc w:val="both"/>
        <w:rPr>
          <w:rFonts w:ascii="Times New Roman" w:hAnsi="Times New Roman"/>
        </w:rPr>
      </w:pPr>
      <w:r w:rsidRPr="008F0407">
        <w:rPr>
          <w:rFonts w:ascii="Times New Roman" w:hAnsi="Times New Roman"/>
        </w:rPr>
        <w:tab/>
        <w:t xml:space="preserve">Given its central importance to the characterisation of Mr McCourt's </w:t>
      </w:r>
      <w:r w:rsidR="001B65B8" w:rsidRPr="008F0407">
        <w:rPr>
          <w:rFonts w:ascii="Times New Roman" w:hAnsi="Times New Roman"/>
        </w:rPr>
        <w:t>relationship with Construct,</w:t>
      </w:r>
      <w:r w:rsidRPr="008F0407">
        <w:rPr>
          <w:rFonts w:ascii="Times New Roman" w:hAnsi="Times New Roman"/>
        </w:rPr>
        <w:t xml:space="preserve"> it is </w:t>
      </w:r>
      <w:r w:rsidR="00134068" w:rsidRPr="008F0407">
        <w:rPr>
          <w:rFonts w:ascii="Times New Roman" w:hAnsi="Times New Roman"/>
        </w:rPr>
        <w:t xml:space="preserve">desirable </w:t>
      </w:r>
      <w:r w:rsidRPr="008F0407">
        <w:rPr>
          <w:rFonts w:ascii="Times New Roman" w:hAnsi="Times New Roman"/>
        </w:rPr>
        <w:t>to set out the terms of the ASA in full:</w:t>
      </w:r>
    </w:p>
    <w:p w14:paraId="7DE48C31" w14:textId="0D3BDF6A" w:rsidR="00474982" w:rsidRPr="008F0407" w:rsidRDefault="00474982" w:rsidP="008F0407">
      <w:pPr>
        <w:pStyle w:val="LeftrightafterHC"/>
        <w:spacing w:before="0" w:after="260" w:line="280" w:lineRule="exact"/>
        <w:ind w:right="0"/>
        <w:jc w:val="both"/>
        <w:rPr>
          <w:rFonts w:ascii="Times New Roman" w:hAnsi="Times New Roman"/>
        </w:rPr>
      </w:pPr>
      <w:r w:rsidRPr="008F0407">
        <w:rPr>
          <w:rFonts w:ascii="Times New Roman" w:hAnsi="Times New Roman"/>
        </w:rPr>
        <w:t>"</w:t>
      </w:r>
      <w:r w:rsidRPr="008F0407">
        <w:rPr>
          <w:rFonts w:ascii="Times New Roman" w:hAnsi="Times New Roman"/>
          <w:b/>
        </w:rPr>
        <w:t>RECITAL</w:t>
      </w:r>
    </w:p>
    <w:p w14:paraId="5A54F857" w14:textId="2441E88F" w:rsidR="00474982" w:rsidRPr="008F0407" w:rsidRDefault="00474982" w:rsidP="008F0407">
      <w:pPr>
        <w:pStyle w:val="LeftrightHanging"/>
        <w:spacing w:before="0" w:after="260" w:line="280" w:lineRule="exact"/>
        <w:ind w:right="0"/>
        <w:jc w:val="both"/>
        <w:rPr>
          <w:rFonts w:ascii="Times New Roman" w:hAnsi="Times New Roman"/>
        </w:rPr>
      </w:pPr>
      <w:r w:rsidRPr="008F0407">
        <w:rPr>
          <w:rFonts w:ascii="Times New Roman" w:hAnsi="Times New Roman"/>
        </w:rPr>
        <w:t>A.</w:t>
      </w:r>
      <w:r w:rsidR="00FF27CC" w:rsidRPr="008F0407">
        <w:rPr>
          <w:rFonts w:ascii="Times New Roman" w:hAnsi="Times New Roman"/>
        </w:rPr>
        <w:tab/>
      </w:r>
      <w:r w:rsidRPr="008F0407">
        <w:rPr>
          <w:rFonts w:ascii="Times New Roman" w:hAnsi="Times New Roman"/>
        </w:rPr>
        <w:t xml:space="preserve">Construct is an administrative services agency operating essentially within the building industry, liaising between builders (or their contractors) (both described as </w:t>
      </w:r>
      <w:r w:rsidR="00E725C4" w:rsidRPr="008F0407">
        <w:rPr>
          <w:rFonts w:ascii="Times New Roman" w:hAnsi="Times New Roman"/>
        </w:rPr>
        <w:t>'</w:t>
      </w:r>
      <w:r w:rsidRPr="008F0407">
        <w:rPr>
          <w:rFonts w:ascii="Times New Roman" w:hAnsi="Times New Roman"/>
        </w:rPr>
        <w:t>builders</w:t>
      </w:r>
      <w:r w:rsidR="00E725C4" w:rsidRPr="008F0407">
        <w:rPr>
          <w:rFonts w:ascii="Times New Roman" w:hAnsi="Times New Roman"/>
        </w:rPr>
        <w:t>'</w:t>
      </w:r>
      <w:r w:rsidRPr="008F0407">
        <w:rPr>
          <w:rFonts w:ascii="Times New Roman" w:hAnsi="Times New Roman"/>
        </w:rPr>
        <w:t>) and self</w:t>
      </w:r>
      <w:r w:rsidR="002A67A3" w:rsidRPr="008F0407">
        <w:rPr>
          <w:rFonts w:ascii="Times New Roman" w:hAnsi="Times New Roman"/>
        </w:rPr>
        <w:noBreakHyphen/>
      </w:r>
      <w:r w:rsidRPr="008F0407">
        <w:rPr>
          <w:rFonts w:ascii="Times New Roman" w:hAnsi="Times New Roman"/>
        </w:rPr>
        <w:t>employed contractors for the provision of labour by self</w:t>
      </w:r>
      <w:r w:rsidR="002A67A3" w:rsidRPr="008F0407">
        <w:rPr>
          <w:rFonts w:ascii="Times New Roman" w:hAnsi="Times New Roman"/>
        </w:rPr>
        <w:noBreakHyphen/>
      </w:r>
      <w:r w:rsidRPr="008F0407">
        <w:rPr>
          <w:rFonts w:ascii="Times New Roman" w:hAnsi="Times New Roman"/>
        </w:rPr>
        <w:t xml:space="preserve">employed contractors to builders and supplying to the self-employed </w:t>
      </w:r>
      <w:proofErr w:type="gramStart"/>
      <w:r w:rsidRPr="008F0407">
        <w:rPr>
          <w:rFonts w:ascii="Times New Roman" w:hAnsi="Times New Roman"/>
        </w:rPr>
        <w:t>contractors</w:t>
      </w:r>
      <w:proofErr w:type="gramEnd"/>
      <w:r w:rsidRPr="008F0407">
        <w:rPr>
          <w:rFonts w:ascii="Times New Roman" w:hAnsi="Times New Roman"/>
        </w:rPr>
        <w:t xml:space="preserve"> financial administrative services.</w:t>
      </w:r>
    </w:p>
    <w:p w14:paraId="76490BF6" w14:textId="0B282637" w:rsidR="00474982" w:rsidRPr="008F0407" w:rsidRDefault="00474982" w:rsidP="008F0407">
      <w:pPr>
        <w:pStyle w:val="LeftrightHanging"/>
        <w:spacing w:before="0" w:after="260" w:line="280" w:lineRule="exact"/>
        <w:ind w:right="0"/>
        <w:jc w:val="both"/>
        <w:rPr>
          <w:rFonts w:ascii="Times New Roman" w:hAnsi="Times New Roman"/>
        </w:rPr>
      </w:pPr>
      <w:r w:rsidRPr="008F0407">
        <w:rPr>
          <w:rFonts w:ascii="Times New Roman" w:hAnsi="Times New Roman"/>
        </w:rPr>
        <w:t>B.</w:t>
      </w:r>
      <w:r w:rsidR="00FF27CC" w:rsidRPr="008F0407">
        <w:rPr>
          <w:rFonts w:ascii="Times New Roman" w:hAnsi="Times New Roman"/>
        </w:rPr>
        <w:tab/>
      </w:r>
      <w:r w:rsidRPr="008F0407">
        <w:rPr>
          <w:rFonts w:ascii="Times New Roman" w:hAnsi="Times New Roman"/>
        </w:rPr>
        <w:t>The Contractor requires Construct to keep the Contractor informed of opportunities for the Contractor to provide builders with labour services and to provide the Contractor with financial administrative support to enable the Contractor to concentrate on maximising the supply of quality labour to builders.</w:t>
      </w:r>
    </w:p>
    <w:p w14:paraId="7C1CF52B" w14:textId="77777777" w:rsidR="00FF27CC" w:rsidRPr="008F0407" w:rsidRDefault="00FF27CC" w:rsidP="008F0407">
      <w:pPr>
        <w:pStyle w:val="leftright"/>
        <w:keepNext/>
        <w:spacing w:before="0" w:after="260" w:line="280" w:lineRule="exact"/>
        <w:ind w:right="0"/>
        <w:jc w:val="both"/>
        <w:rPr>
          <w:rFonts w:ascii="Times New Roman" w:hAnsi="Times New Roman"/>
          <w:b/>
        </w:rPr>
      </w:pPr>
      <w:r w:rsidRPr="008F0407">
        <w:rPr>
          <w:rFonts w:ascii="Times New Roman" w:hAnsi="Times New Roman"/>
          <w:b/>
        </w:rPr>
        <w:t>IT IS AGREED</w:t>
      </w:r>
    </w:p>
    <w:p w14:paraId="7DF66063" w14:textId="6DC66DC8" w:rsidR="00FF27CC" w:rsidRPr="008F0407" w:rsidRDefault="00FF27CC" w:rsidP="008F0407">
      <w:pPr>
        <w:pStyle w:val="leftright"/>
        <w:keepNext/>
        <w:spacing w:before="0" w:after="260" w:line="280" w:lineRule="exact"/>
        <w:ind w:right="0"/>
        <w:jc w:val="both"/>
        <w:rPr>
          <w:rFonts w:ascii="Times New Roman" w:hAnsi="Times New Roman"/>
          <w:b/>
        </w:rPr>
      </w:pPr>
      <w:r w:rsidRPr="008F0407">
        <w:rPr>
          <w:rFonts w:ascii="Times New Roman" w:hAnsi="Times New Roman"/>
          <w:b/>
        </w:rPr>
        <w:t xml:space="preserve">1. </w:t>
      </w:r>
      <w:r w:rsidRPr="008F0407">
        <w:rPr>
          <w:rFonts w:ascii="Times New Roman" w:hAnsi="Times New Roman"/>
          <w:b/>
        </w:rPr>
        <w:tab/>
        <w:t>Construct's Responsibilities</w:t>
      </w:r>
    </w:p>
    <w:p w14:paraId="6FDCBA36" w14:textId="77777777" w:rsidR="00FF27CC" w:rsidRPr="008F0407" w:rsidRDefault="00FF27CC" w:rsidP="008F0407">
      <w:pPr>
        <w:pStyle w:val="leftright"/>
        <w:keepNext/>
        <w:spacing w:before="0" w:after="260" w:line="280" w:lineRule="exact"/>
        <w:ind w:right="0"/>
        <w:jc w:val="both"/>
        <w:rPr>
          <w:rFonts w:ascii="Times New Roman" w:hAnsi="Times New Roman"/>
        </w:rPr>
      </w:pPr>
      <w:r w:rsidRPr="008F0407">
        <w:rPr>
          <w:rFonts w:ascii="Times New Roman" w:hAnsi="Times New Roman"/>
        </w:rPr>
        <w:t>Construct shall:</w:t>
      </w:r>
    </w:p>
    <w:p w14:paraId="3DA19727" w14:textId="5D54A8F4" w:rsidR="00FF27CC" w:rsidRPr="008F0407" w:rsidRDefault="00FF27CC" w:rsidP="008F0407">
      <w:pPr>
        <w:pStyle w:val="LeftrightHanging"/>
        <w:spacing w:before="0" w:after="260" w:line="280" w:lineRule="exact"/>
        <w:ind w:right="0"/>
        <w:jc w:val="both"/>
        <w:rPr>
          <w:rFonts w:ascii="Times New Roman" w:hAnsi="Times New Roman"/>
        </w:rPr>
      </w:pPr>
      <w:r w:rsidRPr="008F0407">
        <w:rPr>
          <w:rFonts w:ascii="Times New Roman" w:hAnsi="Times New Roman"/>
        </w:rPr>
        <w:t>(a)</w:t>
      </w:r>
      <w:r w:rsidRPr="008F0407">
        <w:rPr>
          <w:rFonts w:ascii="Times New Roman" w:hAnsi="Times New Roman"/>
        </w:rPr>
        <w:tab/>
        <w:t>Use reasonable endeavours to keep informed of opportunities in the building industry for the Contractor to supply labour to builders identified by Construct;</w:t>
      </w:r>
    </w:p>
    <w:p w14:paraId="11A3EBA2" w14:textId="75A9F82D" w:rsidR="00FF27CC" w:rsidRPr="008F0407" w:rsidRDefault="00FF27CC" w:rsidP="008F0407">
      <w:pPr>
        <w:pStyle w:val="LeftrightHanging"/>
        <w:spacing w:before="0" w:after="260" w:line="280" w:lineRule="exact"/>
        <w:ind w:right="0"/>
        <w:jc w:val="both"/>
        <w:rPr>
          <w:rFonts w:ascii="Times New Roman" w:hAnsi="Times New Roman"/>
        </w:rPr>
      </w:pPr>
      <w:r w:rsidRPr="008F0407">
        <w:rPr>
          <w:rFonts w:ascii="Times New Roman" w:hAnsi="Times New Roman"/>
        </w:rPr>
        <w:t>(b)</w:t>
      </w:r>
      <w:r w:rsidRPr="008F0407">
        <w:rPr>
          <w:rFonts w:ascii="Times New Roman" w:hAnsi="Times New Roman"/>
        </w:rPr>
        <w:tab/>
        <w:t>Inform the Contractor when, and on what basis, an opportunity arises for the Contractor to supply labour to a builder;</w:t>
      </w:r>
    </w:p>
    <w:p w14:paraId="3A68177B" w14:textId="42141EC0" w:rsidR="00FF27CC" w:rsidRPr="008F0407" w:rsidRDefault="00FF27CC" w:rsidP="008F0407">
      <w:pPr>
        <w:pStyle w:val="LeftrightHanging"/>
        <w:spacing w:before="0" w:after="260" w:line="280" w:lineRule="exact"/>
        <w:ind w:right="0"/>
        <w:jc w:val="both"/>
        <w:rPr>
          <w:rFonts w:ascii="Times New Roman" w:hAnsi="Times New Roman"/>
        </w:rPr>
      </w:pPr>
      <w:r w:rsidRPr="008F0407">
        <w:rPr>
          <w:rFonts w:ascii="Times New Roman" w:hAnsi="Times New Roman"/>
        </w:rPr>
        <w:t>(c)</w:t>
      </w:r>
      <w:r w:rsidRPr="008F0407">
        <w:rPr>
          <w:rFonts w:ascii="Times New Roman" w:hAnsi="Times New Roman"/>
        </w:rPr>
        <w:tab/>
        <w:t>Liaise between builders and the Contractor regarding the means by which the Contractor shall supply labour to such builders, including the duration that the builder requires such labour, the place at which labour is to be supplied, the daily hours of work during which labour is to be supplied and any other terms and conditions upon which labour is to be supplied by the Contractor to the builder;</w:t>
      </w:r>
    </w:p>
    <w:p w14:paraId="70B59347" w14:textId="45F01677" w:rsidR="00FF27CC" w:rsidRPr="008F0407" w:rsidRDefault="00FF27CC" w:rsidP="008F0407">
      <w:pPr>
        <w:pStyle w:val="LeftrightHanging"/>
        <w:spacing w:before="0" w:after="260" w:line="280" w:lineRule="exact"/>
        <w:ind w:right="0"/>
        <w:jc w:val="both"/>
        <w:rPr>
          <w:rFonts w:ascii="Times New Roman" w:hAnsi="Times New Roman"/>
        </w:rPr>
      </w:pPr>
      <w:r w:rsidRPr="008F0407">
        <w:rPr>
          <w:rFonts w:ascii="Times New Roman" w:hAnsi="Times New Roman"/>
        </w:rPr>
        <w:t>(d)</w:t>
      </w:r>
      <w:r w:rsidRPr="008F0407">
        <w:rPr>
          <w:rFonts w:ascii="Times New Roman" w:hAnsi="Times New Roman"/>
        </w:rPr>
        <w:tab/>
        <w:t xml:space="preserve">Subject to performance by the Contractor of his or its obligations under this Agreement, underwrite payment to the Contractor, within </w:t>
      </w:r>
      <w:r w:rsidRPr="008F0407">
        <w:rPr>
          <w:rFonts w:ascii="Times New Roman" w:hAnsi="Times New Roman"/>
        </w:rPr>
        <w:lastRenderedPageBreak/>
        <w:t>7 days of receipt of an invoice from the Contractor, of all payment rates payable by the builder in respect of the supply of labour to the builder by the Contractor, including payment rates negotiated by the Contractor directly with the builder;</w:t>
      </w:r>
    </w:p>
    <w:p w14:paraId="1FCE899C" w14:textId="17BA7408" w:rsidR="00FF27CC" w:rsidRPr="008F0407" w:rsidRDefault="00FF27CC" w:rsidP="008F0407">
      <w:pPr>
        <w:pStyle w:val="LeftrightHanging"/>
        <w:spacing w:before="0" w:after="260" w:line="280" w:lineRule="exact"/>
        <w:ind w:right="0"/>
        <w:jc w:val="both"/>
        <w:rPr>
          <w:rFonts w:ascii="Times New Roman" w:hAnsi="Times New Roman"/>
        </w:rPr>
      </w:pPr>
      <w:r w:rsidRPr="008F0407">
        <w:rPr>
          <w:rFonts w:ascii="Times New Roman" w:hAnsi="Times New Roman"/>
        </w:rPr>
        <w:t>(e)</w:t>
      </w:r>
      <w:r w:rsidRPr="008F0407">
        <w:rPr>
          <w:rFonts w:ascii="Times New Roman" w:hAnsi="Times New Roman"/>
        </w:rPr>
        <w:tab/>
        <w:t>Complete administrative forms and undertake necessary correspondence with Government authorities as may be required under any law of Western Australia relating to labour supplied to builders under this agreement, other than the completion by the Contractor of his taxation returns, including any instalment activity statement or business activity statements.</w:t>
      </w:r>
    </w:p>
    <w:p w14:paraId="5181DF11" w14:textId="2E3D35C8" w:rsidR="00FF27CC" w:rsidRPr="008F0407" w:rsidRDefault="00FF27CC" w:rsidP="008F0407">
      <w:pPr>
        <w:pStyle w:val="leftright"/>
        <w:keepNext/>
        <w:spacing w:before="0" w:after="260" w:line="280" w:lineRule="exact"/>
        <w:ind w:right="0"/>
        <w:jc w:val="both"/>
        <w:rPr>
          <w:rFonts w:ascii="Times New Roman" w:hAnsi="Times New Roman"/>
          <w:b/>
        </w:rPr>
      </w:pPr>
      <w:r w:rsidRPr="008F0407">
        <w:rPr>
          <w:rFonts w:ascii="Times New Roman" w:hAnsi="Times New Roman"/>
          <w:b/>
        </w:rPr>
        <w:t>2.</w:t>
      </w:r>
      <w:r w:rsidRPr="008F0407">
        <w:rPr>
          <w:rFonts w:ascii="Times New Roman" w:hAnsi="Times New Roman"/>
          <w:b/>
        </w:rPr>
        <w:tab/>
        <w:t>Construct's Rights</w:t>
      </w:r>
    </w:p>
    <w:p w14:paraId="7E576E42" w14:textId="77777777" w:rsidR="00FF27CC" w:rsidRPr="008F0407" w:rsidRDefault="00FF27CC" w:rsidP="008F0407">
      <w:pPr>
        <w:pStyle w:val="leftright"/>
        <w:keepNext/>
        <w:spacing w:before="0" w:after="260" w:line="280" w:lineRule="exact"/>
        <w:ind w:right="0"/>
        <w:jc w:val="both"/>
        <w:rPr>
          <w:rFonts w:ascii="Times New Roman" w:hAnsi="Times New Roman"/>
        </w:rPr>
      </w:pPr>
      <w:r w:rsidRPr="008F0407">
        <w:rPr>
          <w:rFonts w:ascii="Times New Roman" w:hAnsi="Times New Roman"/>
        </w:rPr>
        <w:t>Construct shall be entitled to:</w:t>
      </w:r>
    </w:p>
    <w:p w14:paraId="56A8EE0E" w14:textId="4DCE887F" w:rsidR="00474982" w:rsidRPr="008F0407" w:rsidRDefault="00FF27CC" w:rsidP="008F0407">
      <w:pPr>
        <w:pStyle w:val="LeftrightHanging"/>
        <w:spacing w:before="0" w:after="260" w:line="280" w:lineRule="exact"/>
        <w:ind w:right="0"/>
        <w:jc w:val="both"/>
        <w:rPr>
          <w:rFonts w:ascii="Times New Roman" w:hAnsi="Times New Roman"/>
        </w:rPr>
      </w:pPr>
      <w:r w:rsidRPr="008F0407">
        <w:rPr>
          <w:rFonts w:ascii="Times New Roman" w:hAnsi="Times New Roman"/>
        </w:rPr>
        <w:t>(a)</w:t>
      </w:r>
      <w:r w:rsidRPr="008F0407">
        <w:rPr>
          <w:rFonts w:ascii="Times New Roman" w:hAnsi="Times New Roman"/>
        </w:rPr>
        <w:tab/>
        <w:t>Negotiate with any builder a payment rate for the supply by the Contractor of labour to the builder, provided that the Contractor shall be at liberty to negotiate with the builder an increase in the payment rate and any other terms and conditions upon which labour is to be supplied by the Contractor to the builder, subject to the Contractor properly performing his obligations under this Agreement;</w:t>
      </w:r>
    </w:p>
    <w:p w14:paraId="52954E42" w14:textId="3A02F5E6" w:rsidR="00FF27CC" w:rsidRPr="008F0407" w:rsidRDefault="00FF27CC" w:rsidP="008F0407">
      <w:pPr>
        <w:pStyle w:val="LeftrightHanging"/>
        <w:spacing w:before="0" w:after="260" w:line="280" w:lineRule="exact"/>
        <w:ind w:right="0"/>
        <w:jc w:val="both"/>
        <w:rPr>
          <w:rFonts w:ascii="Times New Roman" w:hAnsi="Times New Roman"/>
        </w:rPr>
      </w:pPr>
      <w:r w:rsidRPr="008F0407">
        <w:rPr>
          <w:rFonts w:ascii="Times New Roman" w:hAnsi="Times New Roman"/>
        </w:rPr>
        <w:t>(b)</w:t>
      </w:r>
      <w:r w:rsidRPr="008F0407">
        <w:rPr>
          <w:rFonts w:ascii="Times New Roman" w:hAnsi="Times New Roman"/>
        </w:rPr>
        <w:tab/>
        <w:t>Negotiate with the builder the basis upon which Construct is to be remunerated on a commission basis as a percentage of the agreed payment rate for the supply of services by the Contractor to the builder;</w:t>
      </w:r>
    </w:p>
    <w:p w14:paraId="18A8AF71" w14:textId="075AA04F" w:rsidR="00FF27CC" w:rsidRPr="008F0407" w:rsidRDefault="00FF27CC" w:rsidP="008F0407">
      <w:pPr>
        <w:pStyle w:val="LeftrightHanging"/>
        <w:spacing w:before="0" w:after="260" w:line="280" w:lineRule="exact"/>
        <w:ind w:right="0"/>
        <w:jc w:val="both"/>
        <w:rPr>
          <w:rFonts w:ascii="Times New Roman" w:hAnsi="Times New Roman"/>
        </w:rPr>
      </w:pPr>
      <w:r w:rsidRPr="008F0407">
        <w:rPr>
          <w:rFonts w:ascii="Times New Roman" w:hAnsi="Times New Roman"/>
        </w:rPr>
        <w:t>(c)</w:t>
      </w:r>
      <w:r w:rsidRPr="008F0407">
        <w:rPr>
          <w:rFonts w:ascii="Times New Roman" w:hAnsi="Times New Roman"/>
        </w:rPr>
        <w:tab/>
        <w:t>Negotiate with the builder for remuneration in respect of any increase in the payment rate negotiated directly by the Contractor with the builder;</w:t>
      </w:r>
    </w:p>
    <w:p w14:paraId="2C563ED1" w14:textId="23740C89" w:rsidR="00FF27CC" w:rsidRPr="008F0407" w:rsidRDefault="00FF27CC" w:rsidP="008F0407">
      <w:pPr>
        <w:pStyle w:val="LeftrightHanging"/>
        <w:spacing w:before="0" w:after="260" w:line="280" w:lineRule="exact"/>
        <w:ind w:right="0"/>
        <w:jc w:val="both"/>
        <w:rPr>
          <w:rFonts w:ascii="Times New Roman" w:hAnsi="Times New Roman"/>
        </w:rPr>
      </w:pPr>
      <w:r w:rsidRPr="008F0407">
        <w:rPr>
          <w:rFonts w:ascii="Times New Roman" w:hAnsi="Times New Roman"/>
        </w:rPr>
        <w:t>(d)</w:t>
      </w:r>
      <w:r w:rsidRPr="008F0407">
        <w:rPr>
          <w:rFonts w:ascii="Times New Roman" w:hAnsi="Times New Roman"/>
        </w:rPr>
        <w:tab/>
        <w:t>Withhold from the Contractor payment of any monies reasonably required by Construct to compensate it for any claim made against Construct by the builder in respect of the supply of labour by the Contractor to the builder.</w:t>
      </w:r>
    </w:p>
    <w:p w14:paraId="03B4ABD9" w14:textId="5BF27CE9" w:rsidR="00FF27CC" w:rsidRPr="008F0407" w:rsidRDefault="00FF27CC" w:rsidP="008F0407">
      <w:pPr>
        <w:pStyle w:val="leftright"/>
        <w:keepNext/>
        <w:spacing w:before="0" w:after="260" w:line="280" w:lineRule="exact"/>
        <w:ind w:right="0"/>
        <w:jc w:val="both"/>
        <w:rPr>
          <w:rFonts w:ascii="Times New Roman" w:hAnsi="Times New Roman"/>
          <w:b/>
        </w:rPr>
      </w:pPr>
      <w:r w:rsidRPr="008F0407">
        <w:rPr>
          <w:rFonts w:ascii="Times New Roman" w:hAnsi="Times New Roman"/>
          <w:b/>
        </w:rPr>
        <w:t>3.</w:t>
      </w:r>
      <w:r w:rsidRPr="008F0407">
        <w:rPr>
          <w:rFonts w:ascii="Times New Roman" w:hAnsi="Times New Roman"/>
          <w:b/>
        </w:rPr>
        <w:tab/>
        <w:t>The Contractor's Warranties</w:t>
      </w:r>
    </w:p>
    <w:p w14:paraId="45316817" w14:textId="77777777" w:rsidR="00FF27CC" w:rsidRPr="008F0407" w:rsidRDefault="00FF27CC" w:rsidP="008F0407">
      <w:pPr>
        <w:pStyle w:val="leftright"/>
        <w:keepNext/>
        <w:spacing w:before="0" w:after="260" w:line="280" w:lineRule="exact"/>
        <w:ind w:right="0"/>
        <w:jc w:val="both"/>
        <w:rPr>
          <w:rFonts w:ascii="Times New Roman" w:hAnsi="Times New Roman"/>
        </w:rPr>
      </w:pPr>
      <w:r w:rsidRPr="008F0407">
        <w:rPr>
          <w:rFonts w:ascii="Times New Roman" w:hAnsi="Times New Roman"/>
        </w:rPr>
        <w:t>The Contractor warrants that:</w:t>
      </w:r>
    </w:p>
    <w:p w14:paraId="43951469" w14:textId="5018F8D8" w:rsidR="00FF27CC" w:rsidRPr="008F0407" w:rsidRDefault="00FF27CC" w:rsidP="008F0407">
      <w:pPr>
        <w:pStyle w:val="LeftrightHanging"/>
        <w:spacing w:before="0" w:after="260" w:line="280" w:lineRule="exact"/>
        <w:ind w:right="0"/>
        <w:jc w:val="both"/>
        <w:rPr>
          <w:rFonts w:ascii="Times New Roman" w:hAnsi="Times New Roman"/>
        </w:rPr>
      </w:pPr>
      <w:r w:rsidRPr="008F0407">
        <w:rPr>
          <w:rFonts w:ascii="Times New Roman" w:hAnsi="Times New Roman"/>
        </w:rPr>
        <w:t>(a)</w:t>
      </w:r>
      <w:r w:rsidRPr="008F0407">
        <w:rPr>
          <w:rFonts w:ascii="Times New Roman" w:hAnsi="Times New Roman"/>
        </w:rPr>
        <w:tab/>
        <w:t>He has provided Construct with true and accurate information regarding his work experience and capability for the supply of labour to builders;</w:t>
      </w:r>
    </w:p>
    <w:p w14:paraId="493CD590" w14:textId="2E7D605D" w:rsidR="00FF27CC" w:rsidRPr="008F0407" w:rsidRDefault="00FF27CC" w:rsidP="008F0407">
      <w:pPr>
        <w:pStyle w:val="LeftrightHanging"/>
        <w:spacing w:before="0" w:after="260" w:line="280" w:lineRule="exact"/>
        <w:ind w:right="0"/>
        <w:jc w:val="both"/>
        <w:rPr>
          <w:rFonts w:ascii="Times New Roman" w:hAnsi="Times New Roman"/>
        </w:rPr>
      </w:pPr>
      <w:r w:rsidRPr="008F0407">
        <w:rPr>
          <w:rFonts w:ascii="Times New Roman" w:hAnsi="Times New Roman"/>
        </w:rPr>
        <w:lastRenderedPageBreak/>
        <w:t>(b)</w:t>
      </w:r>
      <w:r w:rsidRPr="008F0407">
        <w:rPr>
          <w:rFonts w:ascii="Times New Roman" w:hAnsi="Times New Roman"/>
        </w:rPr>
        <w:tab/>
        <w:t>He is self</w:t>
      </w:r>
      <w:r w:rsidR="002A67A3" w:rsidRPr="008F0407">
        <w:rPr>
          <w:rFonts w:ascii="Times New Roman" w:hAnsi="Times New Roman"/>
        </w:rPr>
        <w:noBreakHyphen/>
      </w:r>
      <w:r w:rsidRPr="008F0407">
        <w:rPr>
          <w:rFonts w:ascii="Times New Roman" w:hAnsi="Times New Roman"/>
        </w:rPr>
        <w:t>employed;</w:t>
      </w:r>
    </w:p>
    <w:p w14:paraId="6854582F" w14:textId="4CF1B076" w:rsidR="00FF27CC" w:rsidRPr="008F0407" w:rsidRDefault="00FF27CC" w:rsidP="008F0407">
      <w:pPr>
        <w:pStyle w:val="LeftrightHanging"/>
        <w:spacing w:before="0" w:after="260" w:line="280" w:lineRule="exact"/>
        <w:ind w:right="0"/>
        <w:jc w:val="both"/>
        <w:rPr>
          <w:rFonts w:ascii="Times New Roman" w:hAnsi="Times New Roman"/>
        </w:rPr>
      </w:pPr>
      <w:r w:rsidRPr="008F0407">
        <w:rPr>
          <w:rFonts w:ascii="Times New Roman" w:hAnsi="Times New Roman"/>
        </w:rPr>
        <w:t>(c)</w:t>
      </w:r>
      <w:r w:rsidRPr="008F0407">
        <w:rPr>
          <w:rFonts w:ascii="Times New Roman" w:hAnsi="Times New Roman"/>
        </w:rPr>
        <w:tab/>
        <w:t>He does not require Construct to guarantee the Contractor work of any type or of any duration;</w:t>
      </w:r>
    </w:p>
    <w:p w14:paraId="3095F89E" w14:textId="25E90C04" w:rsidR="00FF27CC" w:rsidRPr="008F0407" w:rsidRDefault="00FF27CC" w:rsidP="008F0407">
      <w:pPr>
        <w:pStyle w:val="LeftrightHanging"/>
        <w:spacing w:before="0" w:after="260" w:line="280" w:lineRule="exact"/>
        <w:ind w:right="0"/>
        <w:jc w:val="both"/>
        <w:rPr>
          <w:rFonts w:ascii="Times New Roman" w:hAnsi="Times New Roman"/>
        </w:rPr>
      </w:pPr>
      <w:r w:rsidRPr="008F0407">
        <w:rPr>
          <w:rFonts w:ascii="Times New Roman" w:hAnsi="Times New Roman"/>
        </w:rPr>
        <w:t>(d)</w:t>
      </w:r>
      <w:r w:rsidRPr="008F0407">
        <w:rPr>
          <w:rFonts w:ascii="Times New Roman" w:hAnsi="Times New Roman"/>
        </w:rPr>
        <w:tab/>
        <w:t>That he shall keep Construct fully informed of the outcome of negotiations with the builder by the Contractor in order to ensure that Construct is promptly and accurately informed of any higher rate of payment agreed by the builder and the value of any other terms and conditions agreed with the builder by the Contractor;</w:t>
      </w:r>
    </w:p>
    <w:p w14:paraId="2093CDBA" w14:textId="2EF27AD3" w:rsidR="00FF27CC" w:rsidRPr="008F0407" w:rsidRDefault="00FF27CC" w:rsidP="008F0407">
      <w:pPr>
        <w:pStyle w:val="LeftrightHanging"/>
        <w:spacing w:before="0" w:after="260" w:line="280" w:lineRule="exact"/>
        <w:ind w:right="0"/>
        <w:jc w:val="both"/>
        <w:rPr>
          <w:rFonts w:ascii="Times New Roman" w:hAnsi="Times New Roman"/>
        </w:rPr>
      </w:pPr>
      <w:r w:rsidRPr="008F0407">
        <w:rPr>
          <w:rFonts w:ascii="Times New Roman" w:hAnsi="Times New Roman"/>
        </w:rPr>
        <w:t>(e)</w:t>
      </w:r>
      <w:r w:rsidRPr="008F0407">
        <w:rPr>
          <w:rFonts w:ascii="Times New Roman" w:hAnsi="Times New Roman"/>
        </w:rPr>
        <w:tab/>
        <w:t>Construct shall not be liable to pay the Contractor any amounts in respect of annual leave, sick leave, long service leave or any other statutory entitlement required in an employer-employee relationship.</w:t>
      </w:r>
    </w:p>
    <w:p w14:paraId="61481B41" w14:textId="7D017C89" w:rsidR="00FF27CC" w:rsidRPr="008F0407" w:rsidRDefault="00FF27CC" w:rsidP="008F0407">
      <w:pPr>
        <w:pStyle w:val="leftright"/>
        <w:keepNext/>
        <w:spacing w:before="0" w:after="260" w:line="280" w:lineRule="exact"/>
        <w:ind w:right="0"/>
        <w:jc w:val="both"/>
        <w:rPr>
          <w:rFonts w:ascii="Times New Roman" w:hAnsi="Times New Roman"/>
          <w:b/>
        </w:rPr>
      </w:pPr>
      <w:r w:rsidRPr="008F0407">
        <w:rPr>
          <w:rFonts w:ascii="Times New Roman" w:hAnsi="Times New Roman"/>
          <w:b/>
        </w:rPr>
        <w:t>4.</w:t>
      </w:r>
      <w:r w:rsidRPr="008F0407">
        <w:rPr>
          <w:rFonts w:ascii="Times New Roman" w:hAnsi="Times New Roman"/>
          <w:b/>
        </w:rPr>
        <w:tab/>
        <w:t>The Contractor's Obligations</w:t>
      </w:r>
    </w:p>
    <w:p w14:paraId="264A7FC8" w14:textId="77777777" w:rsidR="00FF27CC" w:rsidRPr="008F0407" w:rsidRDefault="00FF27CC" w:rsidP="008F0407">
      <w:pPr>
        <w:pStyle w:val="leftright"/>
        <w:keepNext/>
        <w:spacing w:before="0" w:after="260" w:line="280" w:lineRule="exact"/>
        <w:ind w:right="0"/>
        <w:jc w:val="both"/>
        <w:rPr>
          <w:rFonts w:ascii="Times New Roman" w:hAnsi="Times New Roman"/>
        </w:rPr>
      </w:pPr>
      <w:r w:rsidRPr="008F0407">
        <w:rPr>
          <w:rFonts w:ascii="Times New Roman" w:hAnsi="Times New Roman"/>
        </w:rPr>
        <w:t>The Contractor shall:</w:t>
      </w:r>
    </w:p>
    <w:p w14:paraId="21667100" w14:textId="534A37B9" w:rsidR="00FF27CC" w:rsidRPr="008F0407" w:rsidRDefault="00FF27CC" w:rsidP="008F0407">
      <w:pPr>
        <w:pStyle w:val="LeftrightHanging"/>
        <w:spacing w:before="0" w:after="260" w:line="280" w:lineRule="exact"/>
        <w:ind w:right="0"/>
        <w:jc w:val="both"/>
        <w:rPr>
          <w:rFonts w:ascii="Times New Roman" w:hAnsi="Times New Roman"/>
        </w:rPr>
      </w:pPr>
      <w:r w:rsidRPr="008F0407">
        <w:rPr>
          <w:rFonts w:ascii="Times New Roman" w:hAnsi="Times New Roman"/>
        </w:rPr>
        <w:t>(a)</w:t>
      </w:r>
      <w:r w:rsidR="00955151" w:rsidRPr="008F0407">
        <w:rPr>
          <w:rFonts w:ascii="Times New Roman" w:hAnsi="Times New Roman"/>
        </w:rPr>
        <w:tab/>
      </w:r>
      <w:r w:rsidRPr="008F0407">
        <w:rPr>
          <w:rFonts w:ascii="Times New Roman" w:hAnsi="Times New Roman"/>
        </w:rPr>
        <w:t>Co-operate in all respects with Construct and the builder in the supply of labour to the Builder;</w:t>
      </w:r>
    </w:p>
    <w:p w14:paraId="7B26FA1E" w14:textId="38D164C6" w:rsidR="00FF27CC" w:rsidRPr="008F0407" w:rsidRDefault="00FF27CC" w:rsidP="008F0407">
      <w:pPr>
        <w:pStyle w:val="LeftrightHanging"/>
        <w:spacing w:before="0" w:after="260" w:line="280" w:lineRule="exact"/>
        <w:ind w:right="0"/>
        <w:jc w:val="both"/>
        <w:rPr>
          <w:rFonts w:ascii="Times New Roman" w:hAnsi="Times New Roman"/>
        </w:rPr>
      </w:pPr>
      <w:r w:rsidRPr="008F0407">
        <w:rPr>
          <w:rFonts w:ascii="Times New Roman" w:hAnsi="Times New Roman"/>
        </w:rPr>
        <w:t>(b)</w:t>
      </w:r>
      <w:r w:rsidR="00955151" w:rsidRPr="008F0407">
        <w:rPr>
          <w:rFonts w:ascii="Times New Roman" w:hAnsi="Times New Roman"/>
        </w:rPr>
        <w:tab/>
      </w:r>
      <w:r w:rsidRPr="008F0407">
        <w:rPr>
          <w:rFonts w:ascii="Times New Roman" w:hAnsi="Times New Roman"/>
        </w:rPr>
        <w:t>Ensure accurate records are maintained as to the amount of labour supplied to the builder by the Contractor;</w:t>
      </w:r>
    </w:p>
    <w:p w14:paraId="0FD53524" w14:textId="14A259C4" w:rsidR="00FF27CC" w:rsidRPr="008F0407" w:rsidRDefault="00FF27CC" w:rsidP="008F0407">
      <w:pPr>
        <w:pStyle w:val="LeftrightHanging"/>
        <w:spacing w:before="0" w:after="260" w:line="280" w:lineRule="exact"/>
        <w:ind w:right="0"/>
        <w:jc w:val="both"/>
        <w:rPr>
          <w:rFonts w:ascii="Times New Roman" w:hAnsi="Times New Roman"/>
        </w:rPr>
      </w:pPr>
      <w:r w:rsidRPr="008F0407">
        <w:rPr>
          <w:rFonts w:ascii="Times New Roman" w:hAnsi="Times New Roman"/>
        </w:rPr>
        <w:t>(c)</w:t>
      </w:r>
      <w:r w:rsidR="00955151" w:rsidRPr="008F0407">
        <w:rPr>
          <w:rFonts w:ascii="Times New Roman" w:hAnsi="Times New Roman"/>
        </w:rPr>
        <w:tab/>
      </w:r>
      <w:r w:rsidRPr="008F0407">
        <w:rPr>
          <w:rFonts w:ascii="Times New Roman" w:hAnsi="Times New Roman"/>
        </w:rPr>
        <w:t>Attend at any building site as agreed with the Builder at the time required by the Builder, and shall supply labour to the Builder (subject to notification under clause 5(c)) for the duration required by the Builder in a safe, competent and diligent manner;</w:t>
      </w:r>
    </w:p>
    <w:p w14:paraId="021A0AC5" w14:textId="35C537E8" w:rsidR="00FF27CC" w:rsidRPr="008F0407" w:rsidRDefault="00FF27CC" w:rsidP="008F0407">
      <w:pPr>
        <w:pStyle w:val="LeftrightHanging"/>
        <w:spacing w:before="0" w:after="260" w:line="280" w:lineRule="exact"/>
        <w:ind w:right="0"/>
        <w:jc w:val="both"/>
        <w:rPr>
          <w:rFonts w:ascii="Times New Roman" w:hAnsi="Times New Roman"/>
        </w:rPr>
      </w:pPr>
      <w:r w:rsidRPr="008F0407">
        <w:rPr>
          <w:rFonts w:ascii="Times New Roman" w:hAnsi="Times New Roman"/>
        </w:rPr>
        <w:t>(d)</w:t>
      </w:r>
      <w:r w:rsidR="00955151" w:rsidRPr="008F0407">
        <w:rPr>
          <w:rFonts w:ascii="Times New Roman" w:hAnsi="Times New Roman"/>
        </w:rPr>
        <w:tab/>
      </w:r>
      <w:r w:rsidRPr="008F0407">
        <w:rPr>
          <w:rFonts w:ascii="Times New Roman" w:hAnsi="Times New Roman"/>
        </w:rPr>
        <w:t>Indemnify Construct against any breach by the Contractor of sub</w:t>
      </w:r>
      <w:r w:rsidR="00E725C4" w:rsidRPr="008F0407">
        <w:rPr>
          <w:rFonts w:ascii="Times New Roman" w:hAnsi="Times New Roman"/>
        </w:rPr>
        <w:noBreakHyphen/>
      </w:r>
      <w:r w:rsidRPr="008F0407">
        <w:rPr>
          <w:rFonts w:ascii="Times New Roman" w:hAnsi="Times New Roman"/>
        </w:rPr>
        <w:t>paragraph 4(c) hereof;</w:t>
      </w:r>
    </w:p>
    <w:p w14:paraId="20B969C7" w14:textId="43F33D51" w:rsidR="00FF27CC" w:rsidRPr="008F0407" w:rsidRDefault="00FF27CC" w:rsidP="008F0407">
      <w:pPr>
        <w:pStyle w:val="LeftrightHanging"/>
        <w:spacing w:before="0" w:after="260" w:line="280" w:lineRule="exact"/>
        <w:ind w:right="0"/>
        <w:jc w:val="both"/>
        <w:rPr>
          <w:rFonts w:ascii="Times New Roman" w:hAnsi="Times New Roman"/>
        </w:rPr>
      </w:pPr>
      <w:r w:rsidRPr="008F0407">
        <w:rPr>
          <w:rFonts w:ascii="Times New Roman" w:hAnsi="Times New Roman"/>
        </w:rPr>
        <w:t>(e)</w:t>
      </w:r>
      <w:r w:rsidR="00955151" w:rsidRPr="008F0407">
        <w:rPr>
          <w:rFonts w:ascii="Times New Roman" w:hAnsi="Times New Roman"/>
        </w:rPr>
        <w:tab/>
      </w:r>
      <w:r w:rsidRPr="008F0407">
        <w:rPr>
          <w:rFonts w:ascii="Times New Roman" w:hAnsi="Times New Roman"/>
        </w:rPr>
        <w:t>Supply such tools of trade and equipment, for safety or other reasons, as may be required by the builder, in respect of which the Contractor is solely responsible;</w:t>
      </w:r>
    </w:p>
    <w:p w14:paraId="129BFAE3" w14:textId="19B710A3" w:rsidR="00FF27CC" w:rsidRPr="008F0407" w:rsidRDefault="00FF27CC" w:rsidP="008F0407">
      <w:pPr>
        <w:pStyle w:val="LeftrightHanging"/>
        <w:spacing w:before="0" w:after="260" w:line="280" w:lineRule="exact"/>
        <w:ind w:right="0"/>
        <w:jc w:val="both"/>
        <w:rPr>
          <w:rFonts w:ascii="Times New Roman" w:hAnsi="Times New Roman"/>
        </w:rPr>
      </w:pPr>
      <w:r w:rsidRPr="008F0407">
        <w:rPr>
          <w:rFonts w:ascii="Times New Roman" w:hAnsi="Times New Roman"/>
        </w:rPr>
        <w:t>(f)</w:t>
      </w:r>
      <w:r w:rsidR="00955151" w:rsidRPr="008F0407">
        <w:rPr>
          <w:rFonts w:ascii="Times New Roman" w:hAnsi="Times New Roman"/>
        </w:rPr>
        <w:tab/>
      </w:r>
      <w:r w:rsidRPr="008F0407">
        <w:rPr>
          <w:rFonts w:ascii="Times New Roman" w:hAnsi="Times New Roman"/>
        </w:rPr>
        <w:t>Possess all statutory certification relevant to the supply of labour, and shall ensure that these certificates be both current and valid in Western Australia;</w:t>
      </w:r>
    </w:p>
    <w:p w14:paraId="0192038E" w14:textId="431A7A86" w:rsidR="00FF27CC" w:rsidRPr="008F0407" w:rsidRDefault="00FF27CC" w:rsidP="008F0407">
      <w:pPr>
        <w:pStyle w:val="LeftrightHanging"/>
        <w:spacing w:before="0" w:after="260" w:line="280" w:lineRule="exact"/>
        <w:ind w:right="0"/>
        <w:jc w:val="both"/>
        <w:rPr>
          <w:rFonts w:ascii="Times New Roman" w:hAnsi="Times New Roman"/>
        </w:rPr>
      </w:pPr>
      <w:r w:rsidRPr="008F0407">
        <w:rPr>
          <w:rFonts w:ascii="Times New Roman" w:hAnsi="Times New Roman"/>
        </w:rPr>
        <w:t>(g)</w:t>
      </w:r>
      <w:r w:rsidR="00955151" w:rsidRPr="008F0407">
        <w:rPr>
          <w:rFonts w:ascii="Times New Roman" w:hAnsi="Times New Roman"/>
        </w:rPr>
        <w:tab/>
      </w:r>
      <w:r w:rsidRPr="008F0407">
        <w:rPr>
          <w:rFonts w:ascii="Times New Roman" w:hAnsi="Times New Roman"/>
        </w:rPr>
        <w:t>In the event that the Contractor reasonably considers that his safety is endangered by conditions on the building site, promptly report the unsafe conditions to Worksafe if unable to have the unsafe conditions rectified by the builder promptly;</w:t>
      </w:r>
    </w:p>
    <w:p w14:paraId="155FA85B" w14:textId="1A38CC26" w:rsidR="00FF27CC" w:rsidRPr="008F0407" w:rsidRDefault="00FF27CC" w:rsidP="008F0407">
      <w:pPr>
        <w:pStyle w:val="LeftrightHanging"/>
        <w:spacing w:before="0" w:after="260" w:line="280" w:lineRule="exact"/>
        <w:ind w:right="0"/>
        <w:jc w:val="both"/>
        <w:rPr>
          <w:rFonts w:ascii="Times New Roman" w:hAnsi="Times New Roman"/>
        </w:rPr>
      </w:pPr>
      <w:r w:rsidRPr="008F0407">
        <w:rPr>
          <w:rFonts w:ascii="Times New Roman" w:hAnsi="Times New Roman"/>
        </w:rPr>
        <w:lastRenderedPageBreak/>
        <w:t>(h)</w:t>
      </w:r>
      <w:r w:rsidR="00955151" w:rsidRPr="008F0407">
        <w:rPr>
          <w:rFonts w:ascii="Times New Roman" w:hAnsi="Times New Roman"/>
        </w:rPr>
        <w:tab/>
      </w:r>
      <w:r w:rsidRPr="008F0407">
        <w:rPr>
          <w:rFonts w:ascii="Times New Roman" w:hAnsi="Times New Roman"/>
        </w:rPr>
        <w:t>Not represent himself as being an employee of Construct at any time or otherwise represent himself as authorised to act on behalf of Construct other than strictly under the terms of this Agreement.</w:t>
      </w:r>
    </w:p>
    <w:p w14:paraId="11CA7325" w14:textId="2D78AD7E" w:rsidR="00FF27CC" w:rsidRPr="008F0407" w:rsidRDefault="00FF27CC" w:rsidP="008F0407">
      <w:pPr>
        <w:pStyle w:val="leftright"/>
        <w:keepNext/>
        <w:spacing w:before="0" w:after="260" w:line="280" w:lineRule="exact"/>
        <w:ind w:right="0"/>
        <w:jc w:val="both"/>
        <w:rPr>
          <w:rFonts w:ascii="Times New Roman" w:hAnsi="Times New Roman"/>
          <w:b/>
        </w:rPr>
      </w:pPr>
      <w:r w:rsidRPr="008F0407">
        <w:rPr>
          <w:rFonts w:ascii="Times New Roman" w:hAnsi="Times New Roman"/>
          <w:b/>
        </w:rPr>
        <w:t>5.</w:t>
      </w:r>
      <w:r w:rsidRPr="008F0407">
        <w:rPr>
          <w:rFonts w:ascii="Times New Roman" w:hAnsi="Times New Roman"/>
          <w:b/>
        </w:rPr>
        <w:tab/>
        <w:t>The Contractor's Rights</w:t>
      </w:r>
    </w:p>
    <w:p w14:paraId="1EAFFBE1" w14:textId="77777777" w:rsidR="00FF27CC" w:rsidRPr="008F0407" w:rsidRDefault="00FF27CC" w:rsidP="008F0407">
      <w:pPr>
        <w:pStyle w:val="leftright"/>
        <w:keepNext/>
        <w:spacing w:before="0" w:after="260" w:line="280" w:lineRule="exact"/>
        <w:ind w:right="0"/>
        <w:jc w:val="both"/>
        <w:rPr>
          <w:rFonts w:ascii="Times New Roman" w:hAnsi="Times New Roman"/>
        </w:rPr>
      </w:pPr>
      <w:r w:rsidRPr="008F0407">
        <w:rPr>
          <w:rFonts w:ascii="Times New Roman" w:hAnsi="Times New Roman"/>
        </w:rPr>
        <w:t>The Contractor is entitled to:</w:t>
      </w:r>
    </w:p>
    <w:p w14:paraId="75451E68" w14:textId="6576F323" w:rsidR="00FF27CC" w:rsidRPr="008F0407" w:rsidRDefault="00FF27CC" w:rsidP="008F0407">
      <w:pPr>
        <w:pStyle w:val="LeftrightHanging"/>
        <w:spacing w:before="0" w:after="260" w:line="280" w:lineRule="exact"/>
        <w:ind w:right="0"/>
        <w:jc w:val="both"/>
        <w:rPr>
          <w:rFonts w:ascii="Times New Roman" w:hAnsi="Times New Roman"/>
        </w:rPr>
      </w:pPr>
      <w:r w:rsidRPr="008F0407">
        <w:rPr>
          <w:rFonts w:ascii="Times New Roman" w:hAnsi="Times New Roman"/>
        </w:rPr>
        <w:t>(a)</w:t>
      </w:r>
      <w:r w:rsidR="00955151" w:rsidRPr="008F0407">
        <w:rPr>
          <w:rFonts w:ascii="Times New Roman" w:hAnsi="Times New Roman"/>
        </w:rPr>
        <w:tab/>
      </w:r>
      <w:r w:rsidRPr="008F0407">
        <w:rPr>
          <w:rFonts w:ascii="Times New Roman" w:hAnsi="Times New Roman"/>
        </w:rPr>
        <w:t>Receive payment from Construct of all amounts negotiated with the builder by Construct and the Contractor within seven (7) days of the issue by the Contractor of a valid invoice delivered to Construct by the Contractor for the supply of labour to the builder by the Contractor;</w:t>
      </w:r>
    </w:p>
    <w:p w14:paraId="77AC850C" w14:textId="6A91CAED" w:rsidR="00FF27CC" w:rsidRPr="008F0407" w:rsidRDefault="00FF27CC" w:rsidP="008F0407">
      <w:pPr>
        <w:pStyle w:val="LeftrightHanging"/>
        <w:spacing w:before="0" w:after="260" w:line="280" w:lineRule="exact"/>
        <w:ind w:right="0"/>
        <w:jc w:val="both"/>
        <w:rPr>
          <w:rFonts w:ascii="Times New Roman" w:hAnsi="Times New Roman"/>
        </w:rPr>
      </w:pPr>
      <w:r w:rsidRPr="008F0407">
        <w:rPr>
          <w:rFonts w:ascii="Times New Roman" w:hAnsi="Times New Roman"/>
        </w:rPr>
        <w:t>(b)</w:t>
      </w:r>
      <w:r w:rsidR="00955151" w:rsidRPr="008F0407">
        <w:rPr>
          <w:rFonts w:ascii="Times New Roman" w:hAnsi="Times New Roman"/>
        </w:rPr>
        <w:tab/>
      </w:r>
      <w:r w:rsidRPr="008F0407">
        <w:rPr>
          <w:rFonts w:ascii="Times New Roman" w:hAnsi="Times New Roman"/>
        </w:rPr>
        <w:t>Refuse to accept any offer of work from a builder;</w:t>
      </w:r>
    </w:p>
    <w:p w14:paraId="1536D3CD" w14:textId="77777777" w:rsidR="008F0407" w:rsidRDefault="00FF27CC" w:rsidP="008F0407">
      <w:pPr>
        <w:pStyle w:val="LeftrightHanging"/>
        <w:spacing w:before="0" w:after="260" w:line="280" w:lineRule="exact"/>
        <w:ind w:right="0"/>
        <w:jc w:val="both"/>
        <w:rPr>
          <w:rFonts w:ascii="Times New Roman" w:hAnsi="Times New Roman"/>
        </w:rPr>
      </w:pPr>
      <w:r w:rsidRPr="008F0407">
        <w:rPr>
          <w:rFonts w:ascii="Times New Roman" w:hAnsi="Times New Roman"/>
        </w:rPr>
        <w:t>(c)</w:t>
      </w:r>
      <w:r w:rsidR="00955151" w:rsidRPr="008F0407">
        <w:rPr>
          <w:rFonts w:ascii="Times New Roman" w:hAnsi="Times New Roman"/>
        </w:rPr>
        <w:tab/>
      </w:r>
      <w:r w:rsidRPr="008F0407">
        <w:rPr>
          <w:rFonts w:ascii="Times New Roman" w:hAnsi="Times New Roman"/>
        </w:rPr>
        <w:t>Notify the builder and Construct on 4 </w:t>
      </w:r>
      <w:proofErr w:type="spellStart"/>
      <w:r w:rsidRPr="008F0407">
        <w:rPr>
          <w:rFonts w:ascii="Times New Roman" w:hAnsi="Times New Roman"/>
        </w:rPr>
        <w:t>hours notice</w:t>
      </w:r>
      <w:proofErr w:type="spellEnd"/>
      <w:r w:rsidRPr="008F0407">
        <w:rPr>
          <w:rFonts w:ascii="Times New Roman" w:hAnsi="Times New Roman"/>
        </w:rPr>
        <w:t xml:space="preserve"> that he is no longer available for the supply of labour under the terms of this Agreement.</w:t>
      </w:r>
      <w:r w:rsidR="00D411C9" w:rsidRPr="008F0407">
        <w:rPr>
          <w:rFonts w:ascii="Times New Roman" w:hAnsi="Times New Roman"/>
        </w:rPr>
        <w:t>"</w:t>
      </w:r>
    </w:p>
    <w:p w14:paraId="0543A5D1" w14:textId="405197BC" w:rsidR="003C7C51" w:rsidRPr="008F0407" w:rsidRDefault="00D82F62" w:rsidP="008F0407">
      <w:pPr>
        <w:pStyle w:val="FixListStyle"/>
        <w:spacing w:after="260" w:line="280" w:lineRule="exact"/>
        <w:ind w:right="0"/>
        <w:jc w:val="both"/>
        <w:rPr>
          <w:rFonts w:ascii="Times New Roman" w:hAnsi="Times New Roman"/>
        </w:rPr>
      </w:pPr>
      <w:r w:rsidRPr="008F0407">
        <w:rPr>
          <w:rFonts w:ascii="Times New Roman" w:hAnsi="Times New Roman"/>
        </w:rPr>
        <w:tab/>
      </w:r>
      <w:proofErr w:type="gramStart"/>
      <w:r w:rsidR="00E126DE" w:rsidRPr="008F0407">
        <w:rPr>
          <w:rFonts w:ascii="Times New Roman" w:hAnsi="Times New Roman"/>
        </w:rPr>
        <w:t>A</w:t>
      </w:r>
      <w:r w:rsidR="00D24D0D" w:rsidRPr="008F0407">
        <w:rPr>
          <w:rFonts w:ascii="Times New Roman" w:hAnsi="Times New Roman"/>
        </w:rPr>
        <w:t xml:space="preserve"> number of</w:t>
      </w:r>
      <w:proofErr w:type="gramEnd"/>
      <w:r w:rsidR="00D24D0D" w:rsidRPr="008F0407">
        <w:rPr>
          <w:rFonts w:ascii="Times New Roman" w:hAnsi="Times New Roman"/>
        </w:rPr>
        <w:t xml:space="preserve"> observations </w:t>
      </w:r>
      <w:r w:rsidR="00221E8A" w:rsidRPr="008F0407">
        <w:rPr>
          <w:rFonts w:ascii="Times New Roman" w:hAnsi="Times New Roman"/>
        </w:rPr>
        <w:t>may be made here</w:t>
      </w:r>
      <w:r w:rsidR="00DC73AF" w:rsidRPr="008F0407">
        <w:rPr>
          <w:rFonts w:ascii="Times New Roman" w:hAnsi="Times New Roman"/>
        </w:rPr>
        <w:t xml:space="preserve"> </w:t>
      </w:r>
      <w:r w:rsidR="00D24D0D" w:rsidRPr="008F0407">
        <w:rPr>
          <w:rFonts w:ascii="Times New Roman" w:hAnsi="Times New Roman"/>
        </w:rPr>
        <w:t xml:space="preserve">about </w:t>
      </w:r>
      <w:r w:rsidR="00114DCB" w:rsidRPr="008F0407">
        <w:rPr>
          <w:rFonts w:ascii="Times New Roman" w:hAnsi="Times New Roman"/>
        </w:rPr>
        <w:t xml:space="preserve">the </w:t>
      </w:r>
      <w:r w:rsidR="00D24D0D" w:rsidRPr="008F0407">
        <w:rPr>
          <w:rFonts w:ascii="Times New Roman" w:hAnsi="Times New Roman"/>
        </w:rPr>
        <w:t>terms</w:t>
      </w:r>
      <w:r w:rsidR="00114DCB" w:rsidRPr="008F0407">
        <w:rPr>
          <w:rFonts w:ascii="Times New Roman" w:hAnsi="Times New Roman"/>
        </w:rPr>
        <w:t xml:space="preserve"> of the ASA</w:t>
      </w:r>
      <w:r w:rsidR="00D24D0D" w:rsidRPr="008F0407">
        <w:rPr>
          <w:rFonts w:ascii="Times New Roman" w:hAnsi="Times New Roman"/>
        </w:rPr>
        <w:t>.</w:t>
      </w:r>
      <w:r w:rsidR="00266AE9" w:rsidRPr="008F0407">
        <w:rPr>
          <w:rFonts w:ascii="Times New Roman" w:hAnsi="Times New Roman"/>
        </w:rPr>
        <w:t xml:space="preserve"> First, Recital</w:t>
      </w:r>
      <w:r w:rsidR="000C006C" w:rsidRPr="008F0407">
        <w:rPr>
          <w:rFonts w:ascii="Times New Roman" w:hAnsi="Times New Roman"/>
        </w:rPr>
        <w:t> </w:t>
      </w:r>
      <w:r w:rsidR="00266AE9" w:rsidRPr="008F0407">
        <w:rPr>
          <w:rFonts w:ascii="Times New Roman" w:hAnsi="Times New Roman"/>
        </w:rPr>
        <w:t xml:space="preserve">A might </w:t>
      </w:r>
      <w:r w:rsidR="005F5A06" w:rsidRPr="008F0407">
        <w:rPr>
          <w:rFonts w:ascii="Times New Roman" w:hAnsi="Times New Roman"/>
        </w:rPr>
        <w:t>be said to suggest that Construct was engaged merely in seeking out business opportunities for Mr McCourt. But th</w:t>
      </w:r>
      <w:r w:rsidR="00E40AC3" w:rsidRPr="008F0407">
        <w:rPr>
          <w:rFonts w:ascii="Times New Roman" w:hAnsi="Times New Roman"/>
        </w:rPr>
        <w:t xml:space="preserve">e operative terms of the ASA and the factual </w:t>
      </w:r>
      <w:r w:rsidR="00734051" w:rsidRPr="008F0407">
        <w:rPr>
          <w:rFonts w:ascii="Times New Roman" w:hAnsi="Times New Roman"/>
        </w:rPr>
        <w:t xml:space="preserve">matrix </w:t>
      </w:r>
      <w:r w:rsidR="00E40AC3" w:rsidRPr="008F0407">
        <w:rPr>
          <w:rFonts w:ascii="Times New Roman" w:hAnsi="Times New Roman"/>
        </w:rPr>
        <w:t xml:space="preserve">in which it </w:t>
      </w:r>
      <w:r w:rsidR="00F466CC" w:rsidRPr="008F0407">
        <w:rPr>
          <w:rFonts w:ascii="Times New Roman" w:hAnsi="Times New Roman"/>
        </w:rPr>
        <w:t>was made</w:t>
      </w:r>
      <w:r w:rsidR="00E40AC3" w:rsidRPr="008F0407">
        <w:rPr>
          <w:rFonts w:ascii="Times New Roman" w:hAnsi="Times New Roman"/>
        </w:rPr>
        <w:t xml:space="preserve"> </w:t>
      </w:r>
      <w:r w:rsidR="003C7F0C" w:rsidRPr="008F0407">
        <w:rPr>
          <w:rFonts w:ascii="Times New Roman" w:hAnsi="Times New Roman"/>
        </w:rPr>
        <w:t>make it clear that Construct's business</w:t>
      </w:r>
      <w:r w:rsidR="009372E5" w:rsidRPr="008F0407">
        <w:rPr>
          <w:rFonts w:ascii="Times New Roman" w:hAnsi="Times New Roman"/>
        </w:rPr>
        <w:t xml:space="preserve"> </w:t>
      </w:r>
      <w:r w:rsidR="000F09C2" w:rsidRPr="008F0407">
        <w:rPr>
          <w:rFonts w:ascii="Times New Roman" w:hAnsi="Times New Roman"/>
        </w:rPr>
        <w:t>was</w:t>
      </w:r>
      <w:r w:rsidR="00DC73AF" w:rsidRPr="008F0407">
        <w:rPr>
          <w:rFonts w:ascii="Times New Roman" w:hAnsi="Times New Roman"/>
        </w:rPr>
        <w:t xml:space="preserve"> </w:t>
      </w:r>
      <w:r w:rsidR="003C7F0C" w:rsidRPr="008F0407">
        <w:rPr>
          <w:rFonts w:ascii="Times New Roman" w:hAnsi="Times New Roman"/>
        </w:rPr>
        <w:t xml:space="preserve">more </w:t>
      </w:r>
      <w:r w:rsidR="00926638" w:rsidRPr="008F0407">
        <w:rPr>
          <w:rFonts w:ascii="Times New Roman" w:hAnsi="Times New Roman"/>
        </w:rPr>
        <w:t xml:space="preserve">substantial </w:t>
      </w:r>
      <w:r w:rsidR="003C7F0C" w:rsidRPr="008F0407">
        <w:rPr>
          <w:rFonts w:ascii="Times New Roman" w:hAnsi="Times New Roman"/>
        </w:rPr>
        <w:t>tha</w:t>
      </w:r>
      <w:r w:rsidR="001541E9" w:rsidRPr="008F0407">
        <w:rPr>
          <w:rFonts w:ascii="Times New Roman" w:hAnsi="Times New Roman"/>
        </w:rPr>
        <w:t>n</w:t>
      </w:r>
      <w:r w:rsidR="00767E9C" w:rsidRPr="008F0407">
        <w:rPr>
          <w:rFonts w:ascii="Times New Roman" w:hAnsi="Times New Roman"/>
        </w:rPr>
        <w:t xml:space="preserve"> introducing labourers to builders</w:t>
      </w:r>
      <w:r w:rsidR="000C006C" w:rsidRPr="008F0407">
        <w:rPr>
          <w:rFonts w:ascii="Times New Roman" w:hAnsi="Times New Roman"/>
        </w:rPr>
        <w:t>. U</w:t>
      </w:r>
      <w:r w:rsidR="00954092" w:rsidRPr="008F0407">
        <w:rPr>
          <w:rFonts w:ascii="Times New Roman" w:hAnsi="Times New Roman"/>
        </w:rPr>
        <w:t>nder cl 2(a)</w:t>
      </w:r>
      <w:r w:rsidR="000C006C" w:rsidRPr="008F0407">
        <w:rPr>
          <w:rFonts w:ascii="Times New Roman" w:hAnsi="Times New Roman"/>
        </w:rPr>
        <w:t>,</w:t>
      </w:r>
      <w:r w:rsidR="00954092" w:rsidRPr="008F0407">
        <w:rPr>
          <w:rFonts w:ascii="Times New Roman" w:hAnsi="Times New Roman"/>
        </w:rPr>
        <w:t xml:space="preserve"> </w:t>
      </w:r>
      <w:r w:rsidR="004727F9" w:rsidRPr="008F0407">
        <w:rPr>
          <w:rFonts w:ascii="Times New Roman" w:hAnsi="Times New Roman"/>
        </w:rPr>
        <w:t xml:space="preserve">Construct </w:t>
      </w:r>
      <w:r w:rsidR="00EC1CCC" w:rsidRPr="008F0407">
        <w:rPr>
          <w:rFonts w:ascii="Times New Roman" w:hAnsi="Times New Roman"/>
        </w:rPr>
        <w:t xml:space="preserve">was </w:t>
      </w:r>
      <w:r w:rsidR="004727F9" w:rsidRPr="008F0407">
        <w:rPr>
          <w:rFonts w:ascii="Times New Roman" w:hAnsi="Times New Roman"/>
        </w:rPr>
        <w:t>empowered to fix</w:t>
      </w:r>
      <w:r w:rsidR="00954092" w:rsidRPr="008F0407">
        <w:rPr>
          <w:rFonts w:ascii="Times New Roman" w:hAnsi="Times New Roman"/>
        </w:rPr>
        <w:t xml:space="preserve"> Mr</w:t>
      </w:r>
      <w:r w:rsidR="00CA48EC" w:rsidRPr="008F0407">
        <w:rPr>
          <w:rFonts w:ascii="Times New Roman" w:hAnsi="Times New Roman"/>
        </w:rPr>
        <w:t> McCourt's remuneration</w:t>
      </w:r>
      <w:r w:rsidR="009A16B7" w:rsidRPr="008F0407">
        <w:rPr>
          <w:rFonts w:ascii="Times New Roman" w:hAnsi="Times New Roman"/>
        </w:rPr>
        <w:t xml:space="preserve">, </w:t>
      </w:r>
      <w:r w:rsidR="00CA48EC" w:rsidRPr="008F0407">
        <w:rPr>
          <w:rFonts w:ascii="Times New Roman" w:hAnsi="Times New Roman"/>
        </w:rPr>
        <w:t>subject to the possibility that he might negotiate extra benefits from Hanssen</w:t>
      </w:r>
      <w:r w:rsidR="00CB243E" w:rsidRPr="008F0407">
        <w:rPr>
          <w:rFonts w:ascii="Times New Roman" w:hAnsi="Times New Roman"/>
        </w:rPr>
        <w:t xml:space="preserve">. </w:t>
      </w:r>
      <w:r w:rsidR="00A17474" w:rsidRPr="008F0407">
        <w:rPr>
          <w:rFonts w:ascii="Times New Roman" w:hAnsi="Times New Roman"/>
        </w:rPr>
        <w:t>And under</w:t>
      </w:r>
      <w:r w:rsidR="00057557" w:rsidRPr="008F0407">
        <w:rPr>
          <w:rFonts w:ascii="Times New Roman" w:hAnsi="Times New Roman"/>
        </w:rPr>
        <w:t xml:space="preserve"> </w:t>
      </w:r>
      <w:proofErr w:type="spellStart"/>
      <w:r w:rsidR="00057557" w:rsidRPr="008F0407">
        <w:rPr>
          <w:rFonts w:ascii="Times New Roman" w:hAnsi="Times New Roman"/>
        </w:rPr>
        <w:t>cl</w:t>
      </w:r>
      <w:r w:rsidR="009A16B7" w:rsidRPr="008F0407">
        <w:rPr>
          <w:rFonts w:ascii="Times New Roman" w:hAnsi="Times New Roman"/>
        </w:rPr>
        <w:t>l</w:t>
      </w:r>
      <w:proofErr w:type="spellEnd"/>
      <w:r w:rsidR="00057557" w:rsidRPr="008F0407">
        <w:rPr>
          <w:rFonts w:ascii="Times New Roman" w:hAnsi="Times New Roman"/>
        </w:rPr>
        <w:t xml:space="preserve"> 1(d) </w:t>
      </w:r>
      <w:r w:rsidR="00CB243E" w:rsidRPr="008F0407">
        <w:rPr>
          <w:rFonts w:ascii="Times New Roman" w:hAnsi="Times New Roman"/>
        </w:rPr>
        <w:t>and 5(a)</w:t>
      </w:r>
      <w:r w:rsidR="009A16B7" w:rsidRPr="008F0407">
        <w:rPr>
          <w:rFonts w:ascii="Times New Roman" w:hAnsi="Times New Roman"/>
        </w:rPr>
        <w:t>,</w:t>
      </w:r>
      <w:r w:rsidR="00CB243E" w:rsidRPr="008F0407">
        <w:rPr>
          <w:rFonts w:ascii="Times New Roman" w:hAnsi="Times New Roman"/>
        </w:rPr>
        <w:t xml:space="preserve"> </w:t>
      </w:r>
      <w:r w:rsidR="00057557" w:rsidRPr="008F0407">
        <w:rPr>
          <w:rFonts w:ascii="Times New Roman" w:hAnsi="Times New Roman"/>
        </w:rPr>
        <w:t xml:space="preserve">Construct </w:t>
      </w:r>
      <w:r w:rsidR="00CB243E" w:rsidRPr="008F0407">
        <w:rPr>
          <w:rFonts w:ascii="Times New Roman" w:hAnsi="Times New Roman"/>
        </w:rPr>
        <w:t>assumed</w:t>
      </w:r>
      <w:r w:rsidR="00057557" w:rsidRPr="008F0407">
        <w:rPr>
          <w:rFonts w:ascii="Times New Roman" w:hAnsi="Times New Roman"/>
        </w:rPr>
        <w:t xml:space="preserve"> the obligation to pay Mr McCourt for his work</w:t>
      </w:r>
      <w:r w:rsidR="000F09C2" w:rsidRPr="008F0407">
        <w:rPr>
          <w:rFonts w:ascii="Times New Roman" w:hAnsi="Times New Roman"/>
        </w:rPr>
        <w:t xml:space="preserve"> with Hanssen.</w:t>
      </w:r>
    </w:p>
    <w:p w14:paraId="23F56DED" w14:textId="4B33EFD4" w:rsidR="00446368" w:rsidRPr="008F0407" w:rsidRDefault="00E33362"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D24212" w:rsidRPr="008F0407">
        <w:rPr>
          <w:rFonts w:ascii="Times New Roman" w:hAnsi="Times New Roman"/>
        </w:rPr>
        <w:t>Once Mr</w:t>
      </w:r>
      <w:r w:rsidR="00DF226D" w:rsidRPr="008F0407">
        <w:rPr>
          <w:rFonts w:ascii="Times New Roman" w:hAnsi="Times New Roman"/>
        </w:rPr>
        <w:t> </w:t>
      </w:r>
      <w:r w:rsidR="00D24212" w:rsidRPr="008F0407">
        <w:rPr>
          <w:rFonts w:ascii="Times New Roman" w:hAnsi="Times New Roman"/>
        </w:rPr>
        <w:t>McCourt</w:t>
      </w:r>
      <w:r w:rsidR="005304AC" w:rsidRPr="008F0407">
        <w:rPr>
          <w:rFonts w:ascii="Times New Roman" w:hAnsi="Times New Roman"/>
        </w:rPr>
        <w:t xml:space="preserve"> accepted an offer of work</w:t>
      </w:r>
      <w:r w:rsidR="005172C3" w:rsidRPr="008F0407">
        <w:rPr>
          <w:rFonts w:ascii="Times New Roman" w:hAnsi="Times New Roman"/>
        </w:rPr>
        <w:t>,</w:t>
      </w:r>
      <w:r w:rsidR="005304AC" w:rsidRPr="008F0407">
        <w:rPr>
          <w:rFonts w:ascii="Times New Roman" w:hAnsi="Times New Roman"/>
        </w:rPr>
        <w:t xml:space="preserve"> </w:t>
      </w:r>
      <w:r w:rsidR="005172C3" w:rsidRPr="008F0407">
        <w:rPr>
          <w:rFonts w:ascii="Times New Roman" w:hAnsi="Times New Roman"/>
        </w:rPr>
        <w:t xml:space="preserve">his core obligation pursuant to </w:t>
      </w:r>
      <w:r w:rsidR="005304AC" w:rsidRPr="008F0407">
        <w:rPr>
          <w:rFonts w:ascii="Times New Roman" w:hAnsi="Times New Roman"/>
        </w:rPr>
        <w:t xml:space="preserve">cl 4(a) </w:t>
      </w:r>
      <w:r w:rsidR="005172C3" w:rsidRPr="008F0407">
        <w:rPr>
          <w:rFonts w:ascii="Times New Roman" w:hAnsi="Times New Roman"/>
        </w:rPr>
        <w:t xml:space="preserve">was </w:t>
      </w:r>
      <w:r w:rsidR="005304AC" w:rsidRPr="008F0407">
        <w:rPr>
          <w:rFonts w:ascii="Times New Roman" w:hAnsi="Times New Roman"/>
        </w:rPr>
        <w:t>to "</w:t>
      </w:r>
      <w:r w:rsidR="005172C3" w:rsidRPr="008F0407">
        <w:rPr>
          <w:rFonts w:ascii="Times New Roman" w:hAnsi="Times New Roman"/>
        </w:rPr>
        <w:t>[</w:t>
      </w:r>
      <w:r w:rsidR="005304AC" w:rsidRPr="008F0407">
        <w:rPr>
          <w:rFonts w:ascii="Times New Roman" w:hAnsi="Times New Roman"/>
        </w:rPr>
        <w:t>c</w:t>
      </w:r>
      <w:r w:rsidR="005172C3" w:rsidRPr="008F0407">
        <w:rPr>
          <w:rFonts w:ascii="Times New Roman" w:hAnsi="Times New Roman"/>
        </w:rPr>
        <w:t>]</w:t>
      </w:r>
      <w:r w:rsidR="005304AC" w:rsidRPr="008F0407">
        <w:rPr>
          <w:rFonts w:ascii="Times New Roman" w:hAnsi="Times New Roman"/>
        </w:rPr>
        <w:t>o</w:t>
      </w:r>
      <w:r w:rsidR="005304AC" w:rsidRPr="008F0407">
        <w:rPr>
          <w:rFonts w:ascii="Times New Roman" w:hAnsi="Times New Roman"/>
        </w:rPr>
        <w:noBreakHyphen/>
        <w:t xml:space="preserve">operate in all respects with Construct and [Hanssen] in the supply of labour to </w:t>
      </w:r>
      <w:r w:rsidR="00DF01D7" w:rsidRPr="008F0407">
        <w:rPr>
          <w:rFonts w:ascii="Times New Roman" w:hAnsi="Times New Roman"/>
        </w:rPr>
        <w:t>[Hanssen]"</w:t>
      </w:r>
      <w:r w:rsidR="00C15548" w:rsidRPr="008F0407">
        <w:rPr>
          <w:rFonts w:ascii="Times New Roman" w:hAnsi="Times New Roman"/>
        </w:rPr>
        <w:t>.</w:t>
      </w:r>
      <w:r w:rsidR="00DF01D7" w:rsidRPr="008F0407">
        <w:rPr>
          <w:rFonts w:ascii="Times New Roman" w:hAnsi="Times New Roman"/>
        </w:rPr>
        <w:t xml:space="preserve"> This included, </w:t>
      </w:r>
      <w:r w:rsidR="00C15548" w:rsidRPr="008F0407">
        <w:rPr>
          <w:rFonts w:ascii="Times New Roman" w:hAnsi="Times New Roman"/>
        </w:rPr>
        <w:t xml:space="preserve">pursuant to </w:t>
      </w:r>
      <w:r w:rsidR="00DF01D7" w:rsidRPr="008F0407">
        <w:rPr>
          <w:rFonts w:ascii="Times New Roman" w:hAnsi="Times New Roman"/>
        </w:rPr>
        <w:t xml:space="preserve">cl 4(c), </w:t>
      </w:r>
      <w:r w:rsidR="00C15548" w:rsidRPr="008F0407">
        <w:rPr>
          <w:rFonts w:ascii="Times New Roman" w:hAnsi="Times New Roman"/>
        </w:rPr>
        <w:t xml:space="preserve">the obligations to attend Hanssen's worksite at the nominated time, and to </w:t>
      </w:r>
      <w:r w:rsidR="00A44974" w:rsidRPr="008F0407">
        <w:rPr>
          <w:rFonts w:ascii="Times New Roman" w:hAnsi="Times New Roman"/>
        </w:rPr>
        <w:t xml:space="preserve">supply labour to </w:t>
      </w:r>
      <w:r w:rsidR="00DF01D7" w:rsidRPr="008F0407">
        <w:rPr>
          <w:rFonts w:ascii="Times New Roman" w:hAnsi="Times New Roman"/>
        </w:rPr>
        <w:t xml:space="preserve">Hanssen </w:t>
      </w:r>
      <w:r w:rsidR="00C15548" w:rsidRPr="008F0407">
        <w:rPr>
          <w:rFonts w:ascii="Times New Roman" w:hAnsi="Times New Roman"/>
        </w:rPr>
        <w:t>"</w:t>
      </w:r>
      <w:r w:rsidR="00DF01D7" w:rsidRPr="008F0407">
        <w:rPr>
          <w:rFonts w:ascii="Times New Roman" w:hAnsi="Times New Roman"/>
        </w:rPr>
        <w:t xml:space="preserve">for the duration required by </w:t>
      </w:r>
      <w:r w:rsidR="005223E4" w:rsidRPr="008F0407">
        <w:rPr>
          <w:rFonts w:ascii="Times New Roman" w:hAnsi="Times New Roman"/>
        </w:rPr>
        <w:t>[Hanssen] in a safe, competent and diligent manner".</w:t>
      </w:r>
      <w:r w:rsidR="00400767" w:rsidRPr="008F0407">
        <w:rPr>
          <w:rFonts w:ascii="Times New Roman" w:hAnsi="Times New Roman"/>
        </w:rPr>
        <w:t xml:space="preserve"> </w:t>
      </w:r>
    </w:p>
    <w:p w14:paraId="343DB828" w14:textId="3C037E57" w:rsidR="005E0B13" w:rsidRPr="008F0407" w:rsidRDefault="002F7536"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140391" w:rsidRPr="008F0407">
        <w:rPr>
          <w:rFonts w:ascii="Times New Roman" w:hAnsi="Times New Roman"/>
        </w:rPr>
        <w:t>Similar obligations were</w:t>
      </w:r>
      <w:r w:rsidR="005B7FB0" w:rsidRPr="008F0407">
        <w:rPr>
          <w:rFonts w:ascii="Times New Roman" w:hAnsi="Times New Roman"/>
        </w:rPr>
        <w:t xml:space="preserve"> </w:t>
      </w:r>
      <w:r w:rsidR="00140391" w:rsidRPr="008F0407">
        <w:rPr>
          <w:rFonts w:ascii="Times New Roman" w:hAnsi="Times New Roman"/>
        </w:rPr>
        <w:t xml:space="preserve">contained in </w:t>
      </w:r>
      <w:r w:rsidR="005B7FB0" w:rsidRPr="008F0407">
        <w:rPr>
          <w:rFonts w:ascii="Times New Roman" w:hAnsi="Times New Roman"/>
        </w:rPr>
        <w:t xml:space="preserve">Construct's </w:t>
      </w:r>
      <w:r w:rsidR="005E0B13" w:rsidRPr="008F0407">
        <w:rPr>
          <w:rFonts w:ascii="Times New Roman" w:hAnsi="Times New Roman"/>
        </w:rPr>
        <w:t>Contractor Safety Induction</w:t>
      </w:r>
      <w:r w:rsidR="009E5A6E" w:rsidRPr="008F0407">
        <w:rPr>
          <w:rFonts w:ascii="Times New Roman" w:hAnsi="Times New Roman"/>
        </w:rPr>
        <w:t xml:space="preserve"> Manual</w:t>
      </w:r>
      <w:r w:rsidR="0029641C" w:rsidRPr="008F0407">
        <w:rPr>
          <w:rFonts w:ascii="Times New Roman" w:hAnsi="Times New Roman"/>
        </w:rPr>
        <w:t xml:space="preserve"> signed by Mr McCourt</w:t>
      </w:r>
      <w:r w:rsidR="005E0B13" w:rsidRPr="008F0407">
        <w:rPr>
          <w:rFonts w:ascii="Times New Roman" w:hAnsi="Times New Roman"/>
        </w:rPr>
        <w:t xml:space="preserve">. By that document, which was found </w:t>
      </w:r>
      <w:r w:rsidR="0029641C" w:rsidRPr="008F0407">
        <w:rPr>
          <w:rFonts w:ascii="Times New Roman" w:hAnsi="Times New Roman"/>
        </w:rPr>
        <w:t xml:space="preserve">by </w:t>
      </w:r>
      <w:r w:rsidR="0029641C" w:rsidRPr="008F0407">
        <w:rPr>
          <w:rFonts w:ascii="Times New Roman" w:hAnsi="Times New Roman"/>
        </w:rPr>
        <w:lastRenderedPageBreak/>
        <w:t xml:space="preserve">the </w:t>
      </w:r>
      <w:r w:rsidR="00941839" w:rsidRPr="008F0407">
        <w:rPr>
          <w:rFonts w:ascii="Times New Roman" w:hAnsi="Times New Roman"/>
        </w:rPr>
        <w:t xml:space="preserve">Full Court </w:t>
      </w:r>
      <w:r w:rsidR="005E0B13" w:rsidRPr="008F0407">
        <w:rPr>
          <w:rFonts w:ascii="Times New Roman" w:hAnsi="Times New Roman"/>
        </w:rPr>
        <w:t>to have contractual force</w:t>
      </w:r>
      <w:r w:rsidR="005E0041" w:rsidRPr="008F0407">
        <w:rPr>
          <w:rFonts w:ascii="Times New Roman" w:hAnsi="Times New Roman"/>
        </w:rPr>
        <w:t xml:space="preserve"> between Mr McCourt and Construct</w:t>
      </w:r>
      <w:r w:rsidR="005E0041" w:rsidRPr="008F0407">
        <w:rPr>
          <w:rStyle w:val="FootnoteReference"/>
          <w:rFonts w:ascii="Times New Roman" w:hAnsi="Times New Roman"/>
          <w:sz w:val="24"/>
        </w:rPr>
        <w:footnoteReference w:id="20"/>
      </w:r>
      <w:r w:rsidR="005E0B13" w:rsidRPr="008F0407">
        <w:rPr>
          <w:rFonts w:ascii="Times New Roman" w:hAnsi="Times New Roman"/>
        </w:rPr>
        <w:t xml:space="preserve">, Mr McCourt agreed, inter alia: to follow all worksite </w:t>
      </w:r>
      <w:r w:rsidR="009E5A6E" w:rsidRPr="008F0407">
        <w:rPr>
          <w:rFonts w:ascii="Times New Roman" w:hAnsi="Times New Roman"/>
        </w:rPr>
        <w:t xml:space="preserve">safety </w:t>
      </w:r>
      <w:r w:rsidR="005E0B13" w:rsidRPr="008F0407">
        <w:rPr>
          <w:rFonts w:ascii="Times New Roman" w:hAnsi="Times New Roman"/>
        </w:rPr>
        <w:t xml:space="preserve">rules and procedures given by </w:t>
      </w:r>
      <w:r w:rsidR="000E23EB" w:rsidRPr="008F0407">
        <w:rPr>
          <w:rFonts w:ascii="Times New Roman" w:hAnsi="Times New Roman"/>
        </w:rPr>
        <w:t xml:space="preserve">Construct's </w:t>
      </w:r>
      <w:r w:rsidR="005E0B13" w:rsidRPr="008F0407">
        <w:rPr>
          <w:rFonts w:ascii="Times New Roman" w:hAnsi="Times New Roman"/>
        </w:rPr>
        <w:t>"host client"</w:t>
      </w:r>
      <w:r w:rsidR="00BA0D34" w:rsidRPr="008F0407">
        <w:rPr>
          <w:rFonts w:ascii="Times New Roman" w:hAnsi="Times New Roman"/>
        </w:rPr>
        <w:t xml:space="preserve">, and to </w:t>
      </w:r>
      <w:r w:rsidR="005E0B13" w:rsidRPr="008F0407">
        <w:rPr>
          <w:rFonts w:ascii="Times New Roman" w:hAnsi="Times New Roman"/>
        </w:rPr>
        <w:t>report any safety hazards, incidents or injuries to the site supervisor or administrator and to Construct</w:t>
      </w:r>
      <w:r w:rsidR="004D4117" w:rsidRPr="008F0407">
        <w:rPr>
          <w:rStyle w:val="FootnoteReference"/>
          <w:rFonts w:ascii="Times New Roman" w:hAnsi="Times New Roman"/>
          <w:sz w:val="24"/>
        </w:rPr>
        <w:footnoteReference w:id="21"/>
      </w:r>
      <w:r w:rsidR="005E0B13" w:rsidRPr="008F0407">
        <w:rPr>
          <w:rFonts w:ascii="Times New Roman" w:hAnsi="Times New Roman"/>
        </w:rPr>
        <w:t xml:space="preserve">. </w:t>
      </w:r>
    </w:p>
    <w:p w14:paraId="7F9E580B" w14:textId="004C9420" w:rsidR="007A6A84" w:rsidRPr="008F0407" w:rsidRDefault="00D362EB"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7A6A84" w:rsidRPr="008F0407">
        <w:rPr>
          <w:rFonts w:ascii="Times New Roman" w:hAnsi="Times New Roman"/>
        </w:rPr>
        <w:t>Before both the primary judge and the Full Court, the facts surrounding the work practices of Construct and Hanssen, and the specific arrangements vis-à-vis Mr McCourt, were canvassed at length.</w:t>
      </w:r>
      <w:r w:rsidR="00A11349" w:rsidRPr="008F0407">
        <w:rPr>
          <w:rFonts w:ascii="Times New Roman" w:hAnsi="Times New Roman"/>
        </w:rPr>
        <w:t xml:space="preserve"> G</w:t>
      </w:r>
      <w:r w:rsidR="007A6A84" w:rsidRPr="008F0407">
        <w:rPr>
          <w:rFonts w:ascii="Times New Roman" w:hAnsi="Times New Roman"/>
        </w:rPr>
        <w:t xml:space="preserve">iven there was no challenge to the validity of the ASA nor any suggestion that the contract had been varied by conduct, </w:t>
      </w:r>
      <w:r w:rsidR="00D91699" w:rsidRPr="008F0407">
        <w:rPr>
          <w:rFonts w:ascii="Times New Roman" w:hAnsi="Times New Roman"/>
        </w:rPr>
        <w:t xml:space="preserve">a review of how the parties went about discharging their obligations to each other </w:t>
      </w:r>
      <w:r w:rsidR="00DE7B7B" w:rsidRPr="008F0407">
        <w:rPr>
          <w:rFonts w:ascii="Times New Roman" w:hAnsi="Times New Roman"/>
        </w:rPr>
        <w:t xml:space="preserve">after execution of the ASA </w:t>
      </w:r>
      <w:r w:rsidR="007A6A84" w:rsidRPr="008F0407">
        <w:rPr>
          <w:rFonts w:ascii="Times New Roman" w:hAnsi="Times New Roman"/>
        </w:rPr>
        <w:t xml:space="preserve">was unwarranted. </w:t>
      </w:r>
      <w:r w:rsidR="00DE7B7B" w:rsidRPr="008F0407">
        <w:rPr>
          <w:rFonts w:ascii="Times New Roman" w:hAnsi="Times New Roman"/>
        </w:rPr>
        <w:t>It is unnecessary and inappropriate to replicate that fact</w:t>
      </w:r>
      <w:r w:rsidR="00DE7B7B" w:rsidRPr="008F0407">
        <w:rPr>
          <w:rFonts w:ascii="Times New Roman" w:hAnsi="Times New Roman"/>
        </w:rPr>
        <w:noBreakHyphen/>
        <w:t xml:space="preserve">finding exercise in this Court. </w:t>
      </w:r>
      <w:r w:rsidR="007A6A84" w:rsidRPr="008F0407">
        <w:rPr>
          <w:rFonts w:ascii="Times New Roman" w:hAnsi="Times New Roman"/>
        </w:rPr>
        <w:t xml:space="preserve">To the extent that this discussion </w:t>
      </w:r>
      <w:r w:rsidR="00DE7B7B" w:rsidRPr="008F0407">
        <w:rPr>
          <w:rFonts w:ascii="Times New Roman" w:hAnsi="Times New Roman"/>
        </w:rPr>
        <w:t>of post</w:t>
      </w:r>
      <w:r w:rsidR="00DE7B7B" w:rsidRPr="008F0407">
        <w:rPr>
          <w:rFonts w:ascii="Times New Roman" w:hAnsi="Times New Roman"/>
        </w:rPr>
        <w:noBreakHyphen/>
        <w:t xml:space="preserve">contractual performance </w:t>
      </w:r>
      <w:r w:rsidR="00E249CD" w:rsidRPr="008F0407">
        <w:rPr>
          <w:rFonts w:ascii="Times New Roman" w:hAnsi="Times New Roman"/>
        </w:rPr>
        <w:t xml:space="preserve">had a bearing </w:t>
      </w:r>
      <w:r w:rsidR="007A6A84" w:rsidRPr="008F0407">
        <w:rPr>
          <w:rFonts w:ascii="Times New Roman" w:hAnsi="Times New Roman"/>
        </w:rPr>
        <w:t>upon the reasoning of the courts below, it is sufficiently apparent from the reasons given for their decision</w:t>
      </w:r>
      <w:r w:rsidR="009621CA" w:rsidRPr="008F0407">
        <w:rPr>
          <w:rFonts w:ascii="Times New Roman" w:hAnsi="Times New Roman"/>
        </w:rPr>
        <w:t>s</w:t>
      </w:r>
      <w:r w:rsidR="007A6A84" w:rsidRPr="008F0407">
        <w:rPr>
          <w:rFonts w:ascii="Times New Roman" w:hAnsi="Times New Roman"/>
        </w:rPr>
        <w:t>.</w:t>
      </w:r>
    </w:p>
    <w:p w14:paraId="783D674F" w14:textId="77777777" w:rsidR="00C516FE" w:rsidRPr="008F0407" w:rsidRDefault="00C516FE" w:rsidP="008F0407">
      <w:pPr>
        <w:pStyle w:val="HeadingL1"/>
        <w:spacing w:after="260" w:line="280" w:lineRule="exact"/>
        <w:ind w:right="0"/>
        <w:jc w:val="both"/>
        <w:rPr>
          <w:rFonts w:ascii="Times New Roman" w:hAnsi="Times New Roman"/>
        </w:rPr>
      </w:pPr>
      <w:r w:rsidRPr="008F0407">
        <w:rPr>
          <w:rFonts w:ascii="Times New Roman" w:hAnsi="Times New Roman"/>
        </w:rPr>
        <w:t>The primary judge</w:t>
      </w:r>
    </w:p>
    <w:p w14:paraId="2AA5B956" w14:textId="11C281D1" w:rsidR="002118CB" w:rsidRPr="008F0407" w:rsidRDefault="007A6A84"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D362EB" w:rsidRPr="008F0407">
        <w:rPr>
          <w:rFonts w:ascii="Times New Roman" w:hAnsi="Times New Roman"/>
        </w:rPr>
        <w:t xml:space="preserve">The primary judge </w:t>
      </w:r>
      <w:r w:rsidR="00026C6F" w:rsidRPr="008F0407">
        <w:rPr>
          <w:rFonts w:ascii="Times New Roman" w:hAnsi="Times New Roman"/>
        </w:rPr>
        <w:t>applied</w:t>
      </w:r>
      <w:r w:rsidR="00D362EB" w:rsidRPr="008F0407">
        <w:rPr>
          <w:rFonts w:ascii="Times New Roman" w:hAnsi="Times New Roman"/>
        </w:rPr>
        <w:t xml:space="preserve"> </w:t>
      </w:r>
      <w:r w:rsidR="00C43EE9" w:rsidRPr="008F0407">
        <w:rPr>
          <w:rFonts w:ascii="Times New Roman" w:hAnsi="Times New Roman"/>
        </w:rPr>
        <w:t xml:space="preserve">a </w:t>
      </w:r>
      <w:r w:rsidR="00D362EB" w:rsidRPr="008F0407">
        <w:rPr>
          <w:rFonts w:ascii="Times New Roman" w:hAnsi="Times New Roman"/>
        </w:rPr>
        <w:t>"multifactorial approach"</w:t>
      </w:r>
      <w:r w:rsidR="00AA2D09" w:rsidRPr="008F0407">
        <w:rPr>
          <w:rFonts w:ascii="Times New Roman" w:hAnsi="Times New Roman"/>
        </w:rPr>
        <w:t xml:space="preserve"> </w:t>
      </w:r>
      <w:r w:rsidR="00C43EE9" w:rsidRPr="008F0407">
        <w:rPr>
          <w:rFonts w:ascii="Times New Roman" w:hAnsi="Times New Roman"/>
        </w:rPr>
        <w:t xml:space="preserve">to the question whether Mr McCourt was an employee or an independent contractor, </w:t>
      </w:r>
      <w:r w:rsidR="00F82DDB" w:rsidRPr="008F0407">
        <w:rPr>
          <w:rFonts w:ascii="Times New Roman" w:hAnsi="Times New Roman"/>
        </w:rPr>
        <w:t xml:space="preserve">in which both the terms of the </w:t>
      </w:r>
      <w:r w:rsidR="00C43EE9" w:rsidRPr="008F0407">
        <w:rPr>
          <w:rFonts w:ascii="Times New Roman" w:hAnsi="Times New Roman"/>
        </w:rPr>
        <w:t xml:space="preserve">ASA </w:t>
      </w:r>
      <w:r w:rsidR="008A7310" w:rsidRPr="008F0407">
        <w:rPr>
          <w:rFonts w:ascii="Times New Roman" w:hAnsi="Times New Roman"/>
        </w:rPr>
        <w:t xml:space="preserve">and the work practices imposed by </w:t>
      </w:r>
      <w:r w:rsidR="00C43EE9" w:rsidRPr="008F0407">
        <w:rPr>
          <w:rFonts w:ascii="Times New Roman" w:hAnsi="Times New Roman"/>
        </w:rPr>
        <w:t xml:space="preserve">each of </w:t>
      </w:r>
      <w:r w:rsidR="008A7310" w:rsidRPr="008F0407">
        <w:rPr>
          <w:rFonts w:ascii="Times New Roman" w:hAnsi="Times New Roman"/>
        </w:rPr>
        <w:t xml:space="preserve">Construct </w:t>
      </w:r>
      <w:r w:rsidR="00C43EE9" w:rsidRPr="008F0407">
        <w:rPr>
          <w:rFonts w:ascii="Times New Roman" w:hAnsi="Times New Roman"/>
        </w:rPr>
        <w:t xml:space="preserve">and Hanssen </w:t>
      </w:r>
      <w:r w:rsidR="008A7310" w:rsidRPr="008F0407">
        <w:rPr>
          <w:rFonts w:ascii="Times New Roman" w:hAnsi="Times New Roman"/>
        </w:rPr>
        <w:t xml:space="preserve">were relevant, </w:t>
      </w:r>
      <w:r w:rsidR="00092B0E" w:rsidRPr="008F0407">
        <w:rPr>
          <w:rFonts w:ascii="Times New Roman" w:hAnsi="Times New Roman"/>
        </w:rPr>
        <w:t>though</w:t>
      </w:r>
      <w:r w:rsidR="008A7310" w:rsidRPr="008F0407">
        <w:rPr>
          <w:rFonts w:ascii="Times New Roman" w:hAnsi="Times New Roman"/>
        </w:rPr>
        <w:t xml:space="preserve"> neither was dispositive</w:t>
      </w:r>
      <w:r w:rsidR="00951CB0" w:rsidRPr="008F0407">
        <w:rPr>
          <w:rStyle w:val="FootnoteReference"/>
          <w:rFonts w:ascii="Times New Roman" w:hAnsi="Times New Roman"/>
          <w:sz w:val="24"/>
        </w:rPr>
        <w:footnoteReference w:id="22"/>
      </w:r>
      <w:r w:rsidR="007E57A6" w:rsidRPr="008F0407">
        <w:rPr>
          <w:rFonts w:ascii="Times New Roman" w:hAnsi="Times New Roman"/>
        </w:rPr>
        <w:t xml:space="preserve">. </w:t>
      </w:r>
    </w:p>
    <w:p w14:paraId="54A67CC3" w14:textId="4F4A7E61" w:rsidR="00A33631" w:rsidRPr="008F0407" w:rsidRDefault="002118CB" w:rsidP="008F0407">
      <w:pPr>
        <w:pStyle w:val="FixListStyle"/>
        <w:spacing w:after="260" w:line="280" w:lineRule="exact"/>
        <w:ind w:right="0"/>
        <w:jc w:val="both"/>
        <w:rPr>
          <w:rFonts w:ascii="Times New Roman" w:hAnsi="Times New Roman"/>
        </w:rPr>
      </w:pPr>
      <w:r w:rsidRPr="008F0407">
        <w:rPr>
          <w:rFonts w:ascii="Times New Roman" w:hAnsi="Times New Roman"/>
        </w:rPr>
        <w:tab/>
        <w:t xml:space="preserve">The primary judge </w:t>
      </w:r>
      <w:r w:rsidR="002A70A5" w:rsidRPr="008F0407">
        <w:rPr>
          <w:rFonts w:ascii="Times New Roman" w:hAnsi="Times New Roman"/>
        </w:rPr>
        <w:t>regarded</w:t>
      </w:r>
      <w:r w:rsidRPr="008F0407">
        <w:rPr>
          <w:rFonts w:ascii="Times New Roman" w:hAnsi="Times New Roman"/>
        </w:rPr>
        <w:t xml:space="preserve"> the circumstances of control </w:t>
      </w:r>
      <w:r w:rsidR="002A70A5" w:rsidRPr="008F0407">
        <w:rPr>
          <w:rFonts w:ascii="Times New Roman" w:hAnsi="Times New Roman"/>
        </w:rPr>
        <w:t>as tending</w:t>
      </w:r>
      <w:r w:rsidRPr="008F0407">
        <w:rPr>
          <w:rFonts w:ascii="Times New Roman" w:hAnsi="Times New Roman"/>
        </w:rPr>
        <w:t xml:space="preserve"> </w:t>
      </w:r>
      <w:r w:rsidR="00D54581" w:rsidRPr="008F0407">
        <w:rPr>
          <w:rFonts w:ascii="Times New Roman" w:hAnsi="Times New Roman"/>
        </w:rPr>
        <w:t>against</w:t>
      </w:r>
      <w:r w:rsidRPr="008F0407">
        <w:rPr>
          <w:rFonts w:ascii="Times New Roman" w:hAnsi="Times New Roman"/>
        </w:rPr>
        <w:t xml:space="preserve"> the conclusion that Mr McCourt was an </w:t>
      </w:r>
      <w:r w:rsidR="00D54581" w:rsidRPr="008F0407">
        <w:rPr>
          <w:rFonts w:ascii="Times New Roman" w:hAnsi="Times New Roman"/>
        </w:rPr>
        <w:t>employee of Construct</w:t>
      </w:r>
      <w:r w:rsidRPr="008F0407">
        <w:rPr>
          <w:rFonts w:ascii="Times New Roman" w:hAnsi="Times New Roman"/>
        </w:rPr>
        <w:t>.</w:t>
      </w:r>
      <w:r w:rsidR="008865CF" w:rsidRPr="008F0407">
        <w:rPr>
          <w:rFonts w:ascii="Times New Roman" w:hAnsi="Times New Roman"/>
        </w:rPr>
        <w:t xml:space="preserve"> </w:t>
      </w:r>
      <w:r w:rsidR="0046730F" w:rsidRPr="008F0407">
        <w:rPr>
          <w:rFonts w:ascii="Times New Roman" w:hAnsi="Times New Roman"/>
        </w:rPr>
        <w:t>His Honour</w:t>
      </w:r>
      <w:r w:rsidR="00BB10F2" w:rsidRPr="008F0407">
        <w:rPr>
          <w:rFonts w:ascii="Times New Roman" w:hAnsi="Times New Roman"/>
        </w:rPr>
        <w:t xml:space="preserve"> </w:t>
      </w:r>
      <w:r w:rsidR="00442EE6" w:rsidRPr="008F0407">
        <w:rPr>
          <w:rFonts w:ascii="Times New Roman" w:hAnsi="Times New Roman"/>
        </w:rPr>
        <w:t xml:space="preserve">considered that the entity </w:t>
      </w:r>
      <w:r w:rsidR="000A053F" w:rsidRPr="008F0407">
        <w:rPr>
          <w:rFonts w:ascii="Times New Roman" w:hAnsi="Times New Roman"/>
        </w:rPr>
        <w:t>that had</w:t>
      </w:r>
      <w:r w:rsidR="00442EE6" w:rsidRPr="008F0407">
        <w:rPr>
          <w:rFonts w:ascii="Times New Roman" w:hAnsi="Times New Roman"/>
        </w:rPr>
        <w:t xml:space="preserve"> control over the performance of work by Mr McCourt was Hanssen, not Construct</w:t>
      </w:r>
      <w:r w:rsidR="00442EE6" w:rsidRPr="008F0407">
        <w:rPr>
          <w:rStyle w:val="FootnoteReference"/>
          <w:rFonts w:ascii="Times New Roman" w:hAnsi="Times New Roman"/>
          <w:sz w:val="24"/>
        </w:rPr>
        <w:footnoteReference w:id="23"/>
      </w:r>
      <w:r w:rsidR="00442EE6" w:rsidRPr="008F0407">
        <w:rPr>
          <w:rFonts w:ascii="Times New Roman" w:hAnsi="Times New Roman"/>
        </w:rPr>
        <w:t xml:space="preserve">. </w:t>
      </w:r>
      <w:r w:rsidR="00B45280" w:rsidRPr="008F0407">
        <w:rPr>
          <w:rFonts w:ascii="Times New Roman" w:hAnsi="Times New Roman"/>
        </w:rPr>
        <w:t>T</w:t>
      </w:r>
      <w:r w:rsidR="000A053F" w:rsidRPr="008F0407">
        <w:rPr>
          <w:rFonts w:ascii="Times New Roman" w:hAnsi="Times New Roman"/>
        </w:rPr>
        <w:t xml:space="preserve">he primary judge rejected an argument that </w:t>
      </w:r>
      <w:r w:rsidR="00001AD6" w:rsidRPr="008F0407">
        <w:rPr>
          <w:rFonts w:ascii="Times New Roman" w:hAnsi="Times New Roman"/>
        </w:rPr>
        <w:t xml:space="preserve">Construct had </w:t>
      </w:r>
      <w:r w:rsidR="00AC63D0" w:rsidRPr="008F0407">
        <w:rPr>
          <w:rFonts w:ascii="Times New Roman" w:hAnsi="Times New Roman"/>
        </w:rPr>
        <w:t xml:space="preserve">either control, or </w:t>
      </w:r>
      <w:r w:rsidR="00001AD6" w:rsidRPr="008F0407">
        <w:rPr>
          <w:rFonts w:ascii="Times New Roman" w:hAnsi="Times New Roman"/>
        </w:rPr>
        <w:t xml:space="preserve">a right </w:t>
      </w:r>
      <w:r w:rsidR="00AC63D0" w:rsidRPr="008F0407">
        <w:rPr>
          <w:rFonts w:ascii="Times New Roman" w:hAnsi="Times New Roman"/>
        </w:rPr>
        <w:t xml:space="preserve">of </w:t>
      </w:r>
      <w:r w:rsidR="00001AD6" w:rsidRPr="008F0407">
        <w:rPr>
          <w:rFonts w:ascii="Times New Roman" w:hAnsi="Times New Roman"/>
        </w:rPr>
        <w:t>control</w:t>
      </w:r>
      <w:r w:rsidR="00AC63D0" w:rsidRPr="008F0407">
        <w:rPr>
          <w:rFonts w:ascii="Times New Roman" w:hAnsi="Times New Roman"/>
        </w:rPr>
        <w:t xml:space="preserve">, over </w:t>
      </w:r>
      <w:r w:rsidR="00001AD6" w:rsidRPr="008F0407">
        <w:rPr>
          <w:rFonts w:ascii="Times New Roman" w:hAnsi="Times New Roman"/>
        </w:rPr>
        <w:t>Mr McCourt</w:t>
      </w:r>
      <w:r w:rsidR="00AC63D0" w:rsidRPr="008F0407">
        <w:rPr>
          <w:rFonts w:ascii="Times New Roman" w:hAnsi="Times New Roman"/>
        </w:rPr>
        <w:t xml:space="preserve"> on the basis that</w:t>
      </w:r>
      <w:r w:rsidR="00564DCC" w:rsidRPr="008F0407">
        <w:rPr>
          <w:rFonts w:ascii="Times New Roman" w:hAnsi="Times New Roman"/>
        </w:rPr>
        <w:t xml:space="preserve"> his obedience of Hanssen's directions </w:t>
      </w:r>
      <w:r w:rsidR="00C50EFD" w:rsidRPr="008F0407">
        <w:rPr>
          <w:rFonts w:ascii="Times New Roman" w:hAnsi="Times New Roman"/>
        </w:rPr>
        <w:t xml:space="preserve">derived from </w:t>
      </w:r>
      <w:r w:rsidR="00564DCC" w:rsidRPr="008F0407">
        <w:rPr>
          <w:rFonts w:ascii="Times New Roman" w:hAnsi="Times New Roman"/>
        </w:rPr>
        <w:t>his contractual promise</w:t>
      </w:r>
      <w:r w:rsidR="00BC4F0C" w:rsidRPr="008F0407">
        <w:rPr>
          <w:rFonts w:ascii="Times New Roman" w:hAnsi="Times New Roman"/>
        </w:rPr>
        <w:t>s</w:t>
      </w:r>
      <w:r w:rsidR="00564DCC" w:rsidRPr="008F0407">
        <w:rPr>
          <w:rFonts w:ascii="Times New Roman" w:hAnsi="Times New Roman"/>
        </w:rPr>
        <w:t xml:space="preserve"> to Construct under the ASA</w:t>
      </w:r>
      <w:r w:rsidR="004C7CDA" w:rsidRPr="008F0407">
        <w:rPr>
          <w:rFonts w:ascii="Times New Roman" w:hAnsi="Times New Roman"/>
        </w:rPr>
        <w:t xml:space="preserve">. In the primary judge's view, </w:t>
      </w:r>
      <w:r w:rsidR="002C2213" w:rsidRPr="008F0407">
        <w:rPr>
          <w:rFonts w:ascii="Times New Roman" w:hAnsi="Times New Roman"/>
        </w:rPr>
        <w:t>Mr McCourt</w:t>
      </w:r>
      <w:r w:rsidR="00BA59F9" w:rsidRPr="008F0407">
        <w:rPr>
          <w:rFonts w:ascii="Times New Roman" w:hAnsi="Times New Roman"/>
        </w:rPr>
        <w:t xml:space="preserve">'s </w:t>
      </w:r>
      <w:r w:rsidR="004C7CDA" w:rsidRPr="008F0407">
        <w:rPr>
          <w:rFonts w:ascii="Times New Roman" w:hAnsi="Times New Roman"/>
        </w:rPr>
        <w:lastRenderedPageBreak/>
        <w:t xml:space="preserve">generally expressed obligations to cooperate with Construct's client, </w:t>
      </w:r>
      <w:r w:rsidR="00F442EB" w:rsidRPr="008F0407">
        <w:rPr>
          <w:rFonts w:ascii="Times New Roman" w:hAnsi="Times New Roman"/>
        </w:rPr>
        <w:t>and to turn up for work at a time and place nominated by the client</w:t>
      </w:r>
      <w:r w:rsidR="006B2BE8" w:rsidRPr="008F0407">
        <w:rPr>
          <w:rFonts w:ascii="Times New Roman" w:hAnsi="Times New Roman"/>
        </w:rPr>
        <w:t xml:space="preserve">, were insufficient to vest </w:t>
      </w:r>
      <w:r w:rsidR="000731CC" w:rsidRPr="008F0407">
        <w:rPr>
          <w:rFonts w:ascii="Times New Roman" w:hAnsi="Times New Roman"/>
        </w:rPr>
        <w:t>in Construct "control" over Mr McCourt in the relevant sense</w:t>
      </w:r>
      <w:r w:rsidR="003B7259" w:rsidRPr="008F0407">
        <w:rPr>
          <w:rStyle w:val="FootnoteReference"/>
          <w:rFonts w:ascii="Times New Roman" w:hAnsi="Times New Roman"/>
          <w:sz w:val="24"/>
        </w:rPr>
        <w:footnoteReference w:id="24"/>
      </w:r>
      <w:r w:rsidR="003B7259" w:rsidRPr="008F0407">
        <w:rPr>
          <w:rFonts w:ascii="Times New Roman" w:hAnsi="Times New Roman"/>
        </w:rPr>
        <w:t>.</w:t>
      </w:r>
      <w:r w:rsidR="00B04329" w:rsidRPr="008F0407">
        <w:rPr>
          <w:rFonts w:ascii="Times New Roman" w:hAnsi="Times New Roman"/>
        </w:rPr>
        <w:t xml:space="preserve"> </w:t>
      </w:r>
    </w:p>
    <w:p w14:paraId="40647293" w14:textId="0509A45A" w:rsidR="00BB10F2" w:rsidRPr="008F0407" w:rsidRDefault="0022523D"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BC4F0C" w:rsidRPr="008F0407">
        <w:rPr>
          <w:rFonts w:ascii="Times New Roman" w:hAnsi="Times New Roman"/>
        </w:rPr>
        <w:t xml:space="preserve">The primary judge considered </w:t>
      </w:r>
      <w:r w:rsidR="00EA13FF" w:rsidRPr="008F0407">
        <w:rPr>
          <w:rFonts w:ascii="Times New Roman" w:hAnsi="Times New Roman"/>
        </w:rPr>
        <w:t xml:space="preserve">that Mr McCourt was an "unskilled labourer" and that </w:t>
      </w:r>
      <w:r w:rsidR="00DF550F" w:rsidRPr="008F0407">
        <w:rPr>
          <w:rFonts w:ascii="Times New Roman" w:hAnsi="Times New Roman"/>
        </w:rPr>
        <w:t>it was "obvious that Mr McCourt did not operate a business on his own account"</w:t>
      </w:r>
      <w:r w:rsidR="00DF550F" w:rsidRPr="008F0407">
        <w:rPr>
          <w:rStyle w:val="FootnoteReference"/>
          <w:rFonts w:ascii="Times New Roman" w:hAnsi="Times New Roman"/>
          <w:sz w:val="24"/>
        </w:rPr>
        <w:footnoteReference w:id="25"/>
      </w:r>
      <w:r w:rsidR="00EA13FF" w:rsidRPr="008F0407">
        <w:rPr>
          <w:rFonts w:ascii="Times New Roman" w:hAnsi="Times New Roman"/>
        </w:rPr>
        <w:t>. His Honour</w:t>
      </w:r>
      <w:r w:rsidRPr="008F0407">
        <w:rPr>
          <w:rFonts w:ascii="Times New Roman" w:hAnsi="Times New Roman"/>
        </w:rPr>
        <w:t xml:space="preserve"> </w:t>
      </w:r>
      <w:r w:rsidR="00D42371" w:rsidRPr="008F0407">
        <w:rPr>
          <w:rFonts w:ascii="Times New Roman" w:hAnsi="Times New Roman"/>
        </w:rPr>
        <w:t xml:space="preserve">rejected an argument that the question whether Mr McCourt was conducting his own business </w:t>
      </w:r>
      <w:r w:rsidR="00C773A8" w:rsidRPr="008F0407">
        <w:rPr>
          <w:rFonts w:ascii="Times New Roman" w:hAnsi="Times New Roman"/>
        </w:rPr>
        <w:t xml:space="preserve">ought to be </w:t>
      </w:r>
      <w:r w:rsidR="00D42371" w:rsidRPr="008F0407">
        <w:rPr>
          <w:rFonts w:ascii="Times New Roman" w:hAnsi="Times New Roman"/>
        </w:rPr>
        <w:t xml:space="preserve">determinative of his employment status. His Honour regarded that argument as inconsistent with the </w:t>
      </w:r>
      <w:r w:rsidR="00C773A8" w:rsidRPr="008F0407">
        <w:rPr>
          <w:rFonts w:ascii="Times New Roman" w:hAnsi="Times New Roman"/>
        </w:rPr>
        <w:t xml:space="preserve">nature of a </w:t>
      </w:r>
      <w:r w:rsidR="00D42371" w:rsidRPr="008F0407">
        <w:rPr>
          <w:rFonts w:ascii="Times New Roman" w:hAnsi="Times New Roman"/>
        </w:rPr>
        <w:t>multifactorial assessment</w:t>
      </w:r>
      <w:r w:rsidR="00D42371" w:rsidRPr="008F0407">
        <w:rPr>
          <w:rStyle w:val="FootnoteReference"/>
          <w:rFonts w:ascii="Times New Roman" w:hAnsi="Times New Roman"/>
          <w:sz w:val="24"/>
        </w:rPr>
        <w:footnoteReference w:id="26"/>
      </w:r>
      <w:r w:rsidR="00AA2D09" w:rsidRPr="008F0407">
        <w:rPr>
          <w:rFonts w:ascii="Times New Roman" w:hAnsi="Times New Roman"/>
        </w:rPr>
        <w:t>.</w:t>
      </w:r>
      <w:r w:rsidR="00D42371" w:rsidRPr="008F0407">
        <w:rPr>
          <w:rFonts w:ascii="Times New Roman" w:hAnsi="Times New Roman"/>
        </w:rPr>
        <w:t xml:space="preserve"> His</w:t>
      </w:r>
      <w:r w:rsidR="00AC1C1C" w:rsidRPr="008F0407">
        <w:rPr>
          <w:rFonts w:ascii="Times New Roman" w:hAnsi="Times New Roman"/>
        </w:rPr>
        <w:t> </w:t>
      </w:r>
      <w:r w:rsidR="00D42371" w:rsidRPr="008F0407">
        <w:rPr>
          <w:rFonts w:ascii="Times New Roman" w:hAnsi="Times New Roman"/>
        </w:rPr>
        <w:t xml:space="preserve">Honour </w:t>
      </w:r>
      <w:r w:rsidR="003A07B2" w:rsidRPr="008F0407">
        <w:rPr>
          <w:rFonts w:ascii="Times New Roman" w:hAnsi="Times New Roman"/>
        </w:rPr>
        <w:t xml:space="preserve">considered </w:t>
      </w:r>
      <w:r w:rsidR="00D42371" w:rsidRPr="008F0407">
        <w:rPr>
          <w:rFonts w:ascii="Times New Roman" w:hAnsi="Times New Roman"/>
        </w:rPr>
        <w:t xml:space="preserve">that </w:t>
      </w:r>
      <w:r w:rsidR="003E3F97" w:rsidRPr="008F0407">
        <w:rPr>
          <w:rFonts w:ascii="Times New Roman" w:hAnsi="Times New Roman"/>
        </w:rPr>
        <w:t>the circumstance that</w:t>
      </w:r>
      <w:r w:rsidR="003A07B2" w:rsidRPr="008F0407">
        <w:rPr>
          <w:rFonts w:ascii="Times New Roman" w:hAnsi="Times New Roman"/>
        </w:rPr>
        <w:t xml:space="preserve"> Mr McCourt was not operating a business </w:t>
      </w:r>
      <w:r w:rsidR="00E158A5" w:rsidRPr="008F0407">
        <w:rPr>
          <w:rFonts w:ascii="Times New Roman" w:hAnsi="Times New Roman"/>
        </w:rPr>
        <w:t>on</w:t>
      </w:r>
      <w:r w:rsidR="003A07B2" w:rsidRPr="008F0407">
        <w:rPr>
          <w:rFonts w:ascii="Times New Roman" w:hAnsi="Times New Roman"/>
        </w:rPr>
        <w:t xml:space="preserve"> his own </w:t>
      </w:r>
      <w:r w:rsidR="00E158A5" w:rsidRPr="008F0407">
        <w:rPr>
          <w:rFonts w:ascii="Times New Roman" w:hAnsi="Times New Roman"/>
        </w:rPr>
        <w:t xml:space="preserve">account </w:t>
      </w:r>
      <w:r w:rsidR="00C90EDA" w:rsidRPr="008F0407">
        <w:rPr>
          <w:rFonts w:ascii="Times New Roman" w:hAnsi="Times New Roman"/>
        </w:rPr>
        <w:t>w</w:t>
      </w:r>
      <w:r w:rsidR="003A07B2" w:rsidRPr="008F0407">
        <w:rPr>
          <w:rFonts w:ascii="Times New Roman" w:hAnsi="Times New Roman"/>
        </w:rPr>
        <w:t xml:space="preserve">as </w:t>
      </w:r>
      <w:r w:rsidR="00EE3901" w:rsidRPr="008F0407">
        <w:rPr>
          <w:rFonts w:ascii="Times New Roman" w:hAnsi="Times New Roman"/>
        </w:rPr>
        <w:t xml:space="preserve">just one factor in the analysis, and that it supported a </w:t>
      </w:r>
      <w:r w:rsidR="003A07B2" w:rsidRPr="008F0407">
        <w:rPr>
          <w:rFonts w:ascii="Times New Roman" w:hAnsi="Times New Roman"/>
        </w:rPr>
        <w:t xml:space="preserve">conclusion </w:t>
      </w:r>
      <w:r w:rsidR="00D202B6" w:rsidRPr="008F0407">
        <w:rPr>
          <w:rFonts w:ascii="Times New Roman" w:hAnsi="Times New Roman"/>
        </w:rPr>
        <w:t>that he was an employee</w:t>
      </w:r>
      <w:r w:rsidR="003A07B2" w:rsidRPr="008F0407">
        <w:rPr>
          <w:rFonts w:ascii="Times New Roman" w:hAnsi="Times New Roman"/>
        </w:rPr>
        <w:t xml:space="preserve">. </w:t>
      </w:r>
    </w:p>
    <w:p w14:paraId="0B1A9425" w14:textId="0D554A61" w:rsidR="003F28DB" w:rsidRPr="008F0407" w:rsidRDefault="003F28DB" w:rsidP="008F0407">
      <w:pPr>
        <w:pStyle w:val="FixListStyle"/>
        <w:spacing w:after="260" w:line="280" w:lineRule="exact"/>
        <w:ind w:right="0"/>
        <w:jc w:val="both"/>
        <w:rPr>
          <w:rFonts w:ascii="Times New Roman" w:hAnsi="Times New Roman"/>
        </w:rPr>
      </w:pPr>
      <w:r w:rsidRPr="008F0407">
        <w:rPr>
          <w:rFonts w:ascii="Times New Roman" w:hAnsi="Times New Roman"/>
        </w:rPr>
        <w:tab/>
        <w:t xml:space="preserve">The primary judge considered that </w:t>
      </w:r>
      <w:r w:rsidR="00EE3901" w:rsidRPr="008F0407">
        <w:rPr>
          <w:rFonts w:ascii="Times New Roman" w:hAnsi="Times New Roman"/>
        </w:rPr>
        <w:t xml:space="preserve">the circumstance that </w:t>
      </w:r>
      <w:r w:rsidR="00662628" w:rsidRPr="008F0407">
        <w:rPr>
          <w:rFonts w:ascii="Times New Roman" w:hAnsi="Times New Roman"/>
        </w:rPr>
        <w:t xml:space="preserve">Mr McCourt </w:t>
      </w:r>
      <w:r w:rsidR="00080053" w:rsidRPr="008F0407">
        <w:rPr>
          <w:rFonts w:ascii="Times New Roman" w:hAnsi="Times New Roman"/>
        </w:rPr>
        <w:t xml:space="preserve">was not integrated </w:t>
      </w:r>
      <w:r w:rsidR="00662628" w:rsidRPr="008F0407">
        <w:rPr>
          <w:rFonts w:ascii="Times New Roman" w:hAnsi="Times New Roman"/>
        </w:rPr>
        <w:t>into the business of Construct</w:t>
      </w:r>
      <w:r w:rsidR="001C0AD3" w:rsidRPr="008F0407">
        <w:rPr>
          <w:rFonts w:ascii="Times New Roman" w:hAnsi="Times New Roman"/>
        </w:rPr>
        <w:t xml:space="preserve"> </w:t>
      </w:r>
      <w:r w:rsidR="00662628" w:rsidRPr="008F0407">
        <w:rPr>
          <w:rFonts w:ascii="Times New Roman" w:hAnsi="Times New Roman"/>
        </w:rPr>
        <w:t>tended weakly against the conclusion that he was an employee</w:t>
      </w:r>
      <w:r w:rsidR="00662628" w:rsidRPr="008F0407">
        <w:rPr>
          <w:rStyle w:val="FootnoteReference"/>
          <w:rFonts w:ascii="Times New Roman" w:hAnsi="Times New Roman"/>
          <w:sz w:val="24"/>
        </w:rPr>
        <w:footnoteReference w:id="27"/>
      </w:r>
      <w:r w:rsidR="00662628" w:rsidRPr="008F0407">
        <w:rPr>
          <w:rFonts w:ascii="Times New Roman" w:hAnsi="Times New Roman"/>
        </w:rPr>
        <w:t xml:space="preserve">. </w:t>
      </w:r>
      <w:r w:rsidR="007626F8" w:rsidRPr="008F0407">
        <w:rPr>
          <w:rFonts w:ascii="Times New Roman" w:hAnsi="Times New Roman"/>
        </w:rPr>
        <w:t xml:space="preserve">On the other hand, </w:t>
      </w:r>
      <w:r w:rsidR="00250420" w:rsidRPr="008F0407">
        <w:rPr>
          <w:rFonts w:ascii="Times New Roman" w:hAnsi="Times New Roman"/>
        </w:rPr>
        <w:t xml:space="preserve">the circumstance that Mr McCourt provided </w:t>
      </w:r>
      <w:r w:rsidR="008949A5" w:rsidRPr="008F0407">
        <w:rPr>
          <w:rFonts w:ascii="Times New Roman" w:hAnsi="Times New Roman"/>
        </w:rPr>
        <w:t xml:space="preserve">only </w:t>
      </w:r>
      <w:r w:rsidR="00250420" w:rsidRPr="008F0407">
        <w:rPr>
          <w:rFonts w:ascii="Times New Roman" w:hAnsi="Times New Roman"/>
        </w:rPr>
        <w:t xml:space="preserve">limited tools and equipment of his own was </w:t>
      </w:r>
      <w:r w:rsidR="0004355A" w:rsidRPr="008F0407">
        <w:rPr>
          <w:rFonts w:ascii="Times New Roman" w:hAnsi="Times New Roman"/>
        </w:rPr>
        <w:t>an</w:t>
      </w:r>
      <w:r w:rsidR="00250420" w:rsidRPr="008F0407">
        <w:rPr>
          <w:rFonts w:ascii="Times New Roman" w:hAnsi="Times New Roman"/>
        </w:rPr>
        <w:t xml:space="preserve"> indicator in favour of the conclusion that he was an employee</w:t>
      </w:r>
      <w:r w:rsidR="00250420" w:rsidRPr="008F0407">
        <w:rPr>
          <w:rStyle w:val="FootnoteReference"/>
          <w:rFonts w:ascii="Times New Roman" w:hAnsi="Times New Roman"/>
          <w:sz w:val="24"/>
        </w:rPr>
        <w:footnoteReference w:id="28"/>
      </w:r>
      <w:r w:rsidR="00250420" w:rsidRPr="008F0407">
        <w:rPr>
          <w:rFonts w:ascii="Times New Roman" w:hAnsi="Times New Roman"/>
        </w:rPr>
        <w:t xml:space="preserve">. His Honour considered </w:t>
      </w:r>
      <w:r w:rsidR="00420A4A" w:rsidRPr="008F0407">
        <w:rPr>
          <w:rFonts w:ascii="Times New Roman" w:hAnsi="Times New Roman"/>
        </w:rPr>
        <w:t xml:space="preserve">that </w:t>
      </w:r>
      <w:r w:rsidR="00250420" w:rsidRPr="008F0407">
        <w:rPr>
          <w:rFonts w:ascii="Times New Roman" w:hAnsi="Times New Roman"/>
        </w:rPr>
        <w:t xml:space="preserve">the </w:t>
      </w:r>
      <w:r w:rsidR="007400AC" w:rsidRPr="008F0407">
        <w:rPr>
          <w:rFonts w:ascii="Times New Roman" w:hAnsi="Times New Roman"/>
        </w:rPr>
        <w:t>absence of leave and employee entitlements</w:t>
      </w:r>
      <w:r w:rsidR="002C6429" w:rsidRPr="008F0407">
        <w:rPr>
          <w:rFonts w:ascii="Times New Roman" w:hAnsi="Times New Roman"/>
        </w:rPr>
        <w:t xml:space="preserve"> was inconclusive</w:t>
      </w:r>
      <w:r w:rsidR="007400AC" w:rsidRPr="008F0407">
        <w:rPr>
          <w:rFonts w:ascii="Times New Roman" w:hAnsi="Times New Roman"/>
        </w:rPr>
        <w:t xml:space="preserve">, </w:t>
      </w:r>
      <w:r w:rsidR="00BC5563" w:rsidRPr="008F0407">
        <w:rPr>
          <w:rFonts w:ascii="Times New Roman" w:hAnsi="Times New Roman"/>
        </w:rPr>
        <w:t xml:space="preserve">since </w:t>
      </w:r>
      <w:r w:rsidR="00134DB0" w:rsidRPr="008F0407">
        <w:rPr>
          <w:rFonts w:ascii="Times New Roman" w:hAnsi="Times New Roman"/>
        </w:rPr>
        <w:t>that circumstance</w:t>
      </w:r>
      <w:r w:rsidR="00BC5563" w:rsidRPr="008F0407">
        <w:rPr>
          <w:rFonts w:ascii="Times New Roman" w:hAnsi="Times New Roman"/>
        </w:rPr>
        <w:t xml:space="preserve"> merely </w:t>
      </w:r>
      <w:r w:rsidR="00134DB0" w:rsidRPr="008F0407">
        <w:rPr>
          <w:rFonts w:ascii="Times New Roman" w:hAnsi="Times New Roman"/>
        </w:rPr>
        <w:t xml:space="preserve">reflected </w:t>
      </w:r>
      <w:r w:rsidR="00BC5563" w:rsidRPr="008F0407">
        <w:rPr>
          <w:rFonts w:ascii="Times New Roman" w:hAnsi="Times New Roman"/>
        </w:rPr>
        <w:t xml:space="preserve">Construct's understanding </w:t>
      </w:r>
      <w:r w:rsidR="00C41407" w:rsidRPr="008F0407">
        <w:rPr>
          <w:rFonts w:ascii="Times New Roman" w:hAnsi="Times New Roman"/>
        </w:rPr>
        <w:t xml:space="preserve">of the </w:t>
      </w:r>
      <w:r w:rsidR="00BC5563" w:rsidRPr="008F0407">
        <w:rPr>
          <w:rFonts w:ascii="Times New Roman" w:hAnsi="Times New Roman"/>
        </w:rPr>
        <w:t>character</w:t>
      </w:r>
      <w:r w:rsidR="00C41407" w:rsidRPr="008F0407">
        <w:rPr>
          <w:rFonts w:ascii="Times New Roman" w:hAnsi="Times New Roman"/>
        </w:rPr>
        <w:t xml:space="preserve"> of its relationship with Mr McCourt</w:t>
      </w:r>
      <w:r w:rsidR="00BC5563" w:rsidRPr="008F0407">
        <w:rPr>
          <w:rStyle w:val="FootnoteReference"/>
          <w:rFonts w:ascii="Times New Roman" w:hAnsi="Times New Roman"/>
          <w:sz w:val="24"/>
        </w:rPr>
        <w:footnoteReference w:id="29"/>
      </w:r>
      <w:r w:rsidR="00BC5563" w:rsidRPr="008F0407">
        <w:rPr>
          <w:rFonts w:ascii="Times New Roman" w:hAnsi="Times New Roman"/>
        </w:rPr>
        <w:t>.</w:t>
      </w:r>
    </w:p>
    <w:p w14:paraId="0B79B181" w14:textId="204A9BC2" w:rsidR="00BC5563" w:rsidRPr="008F0407" w:rsidRDefault="00BC5563" w:rsidP="008F0407">
      <w:pPr>
        <w:pStyle w:val="FixListStyle"/>
        <w:spacing w:after="260" w:line="280" w:lineRule="exact"/>
        <w:ind w:right="0"/>
        <w:jc w:val="both"/>
        <w:rPr>
          <w:rFonts w:ascii="Times New Roman" w:hAnsi="Times New Roman"/>
        </w:rPr>
      </w:pPr>
      <w:r w:rsidRPr="008F0407">
        <w:rPr>
          <w:rFonts w:ascii="Times New Roman" w:hAnsi="Times New Roman"/>
        </w:rPr>
        <w:lastRenderedPageBreak/>
        <w:tab/>
      </w:r>
      <w:r w:rsidR="0077666B" w:rsidRPr="008F0407">
        <w:rPr>
          <w:rFonts w:ascii="Times New Roman" w:hAnsi="Times New Roman"/>
        </w:rPr>
        <w:t xml:space="preserve">Ultimately, the primary judge concluded that </w:t>
      </w:r>
      <w:r w:rsidR="004B7134" w:rsidRPr="008F0407">
        <w:rPr>
          <w:rFonts w:ascii="Times New Roman" w:hAnsi="Times New Roman"/>
        </w:rPr>
        <w:t>because relevant factors pointed "in opposit</w:t>
      </w:r>
      <w:r w:rsidR="001670E7" w:rsidRPr="008F0407">
        <w:rPr>
          <w:rFonts w:ascii="Times New Roman" w:hAnsi="Times New Roman"/>
        </w:rPr>
        <w:t>e directions</w:t>
      </w:r>
      <w:r w:rsidR="0077666B" w:rsidRPr="008F0407">
        <w:rPr>
          <w:rFonts w:ascii="Times New Roman" w:hAnsi="Times New Roman"/>
        </w:rPr>
        <w:t>"</w:t>
      </w:r>
      <w:r w:rsidR="0077666B" w:rsidRPr="008F0407">
        <w:rPr>
          <w:rStyle w:val="FootnoteReference"/>
          <w:rFonts w:ascii="Times New Roman" w:hAnsi="Times New Roman"/>
          <w:sz w:val="24"/>
        </w:rPr>
        <w:footnoteReference w:id="30"/>
      </w:r>
      <w:r w:rsidR="0044399E" w:rsidRPr="008F0407">
        <w:rPr>
          <w:rFonts w:ascii="Times New Roman" w:hAnsi="Times New Roman"/>
        </w:rPr>
        <w:t xml:space="preserve"> and were "reasonably evenly balanced"</w:t>
      </w:r>
      <w:r w:rsidR="0044399E" w:rsidRPr="008F0407">
        <w:rPr>
          <w:rStyle w:val="FootnoteReference"/>
          <w:rFonts w:ascii="Times New Roman" w:hAnsi="Times New Roman"/>
          <w:sz w:val="24"/>
        </w:rPr>
        <w:footnoteReference w:id="31"/>
      </w:r>
      <w:r w:rsidR="00C41407" w:rsidRPr="008F0407">
        <w:rPr>
          <w:rFonts w:ascii="Times New Roman" w:hAnsi="Times New Roman"/>
        </w:rPr>
        <w:t xml:space="preserve">, </w:t>
      </w:r>
      <w:r w:rsidR="00EA0BB3" w:rsidRPr="008F0407">
        <w:rPr>
          <w:rFonts w:ascii="Times New Roman" w:hAnsi="Times New Roman"/>
        </w:rPr>
        <w:t>it was "important to pay close regard to the way in which the parties have characterised their relationship"</w:t>
      </w:r>
      <w:r w:rsidR="00EA0BB3" w:rsidRPr="008F0407">
        <w:rPr>
          <w:rStyle w:val="FootnoteReference"/>
          <w:rFonts w:ascii="Times New Roman" w:hAnsi="Times New Roman"/>
          <w:sz w:val="24"/>
        </w:rPr>
        <w:footnoteReference w:id="32"/>
      </w:r>
      <w:r w:rsidR="001670E7" w:rsidRPr="008F0407">
        <w:rPr>
          <w:rFonts w:ascii="Times New Roman" w:hAnsi="Times New Roman"/>
        </w:rPr>
        <w:t>.</w:t>
      </w:r>
      <w:r w:rsidR="00476115" w:rsidRPr="008F0407">
        <w:rPr>
          <w:rFonts w:ascii="Times New Roman" w:hAnsi="Times New Roman"/>
        </w:rPr>
        <w:t xml:space="preserve"> H</w:t>
      </w:r>
      <w:r w:rsidR="00552356" w:rsidRPr="008F0407">
        <w:rPr>
          <w:rFonts w:ascii="Times New Roman" w:hAnsi="Times New Roman"/>
        </w:rPr>
        <w:t xml:space="preserve">is Honour </w:t>
      </w:r>
      <w:r w:rsidR="001670E7" w:rsidRPr="008F0407">
        <w:rPr>
          <w:rFonts w:ascii="Times New Roman" w:hAnsi="Times New Roman"/>
        </w:rPr>
        <w:t>held</w:t>
      </w:r>
      <w:r w:rsidR="00AA5CFC" w:rsidRPr="008F0407">
        <w:rPr>
          <w:rFonts w:ascii="Times New Roman" w:hAnsi="Times New Roman"/>
        </w:rPr>
        <w:t xml:space="preserve"> </w:t>
      </w:r>
      <w:r w:rsidR="005F56D5" w:rsidRPr="008F0407">
        <w:rPr>
          <w:rFonts w:ascii="Times New Roman" w:hAnsi="Times New Roman"/>
        </w:rPr>
        <w:t xml:space="preserve">that in </w:t>
      </w:r>
      <w:r w:rsidR="0061773D" w:rsidRPr="008F0407">
        <w:rPr>
          <w:rFonts w:ascii="Times New Roman" w:hAnsi="Times New Roman"/>
        </w:rPr>
        <w:t xml:space="preserve">the present </w:t>
      </w:r>
      <w:r w:rsidR="005F56D5" w:rsidRPr="008F0407">
        <w:rPr>
          <w:rFonts w:ascii="Times New Roman" w:hAnsi="Times New Roman"/>
        </w:rPr>
        <w:t>circumstances</w:t>
      </w:r>
      <w:r w:rsidR="00925FB8" w:rsidRPr="008F0407">
        <w:rPr>
          <w:rFonts w:ascii="Times New Roman" w:hAnsi="Times New Roman"/>
        </w:rPr>
        <w:t>,</w:t>
      </w:r>
      <w:r w:rsidR="005F56D5" w:rsidRPr="008F0407">
        <w:rPr>
          <w:rFonts w:ascii="Times New Roman" w:hAnsi="Times New Roman"/>
        </w:rPr>
        <w:t xml:space="preserve"> where there </w:t>
      </w:r>
      <w:r w:rsidR="00925FB8" w:rsidRPr="008F0407">
        <w:rPr>
          <w:rFonts w:ascii="Times New Roman" w:hAnsi="Times New Roman"/>
        </w:rPr>
        <w:t xml:space="preserve">was </w:t>
      </w:r>
      <w:r w:rsidR="005F56D5" w:rsidRPr="008F0407">
        <w:rPr>
          <w:rFonts w:ascii="Times New Roman" w:hAnsi="Times New Roman"/>
        </w:rPr>
        <w:t>a written agreement between the parties</w:t>
      </w:r>
      <w:r w:rsidR="00925FB8" w:rsidRPr="008F0407">
        <w:rPr>
          <w:rFonts w:ascii="Times New Roman" w:hAnsi="Times New Roman"/>
        </w:rPr>
        <w:t xml:space="preserve"> and there was no suggestion of sham or pretence</w:t>
      </w:r>
      <w:r w:rsidR="00BC25C0" w:rsidRPr="008F0407">
        <w:rPr>
          <w:rStyle w:val="FootnoteReference"/>
          <w:rFonts w:ascii="Times New Roman" w:hAnsi="Times New Roman"/>
          <w:sz w:val="24"/>
        </w:rPr>
        <w:footnoteReference w:id="33"/>
      </w:r>
      <w:r w:rsidR="00552356" w:rsidRPr="008F0407">
        <w:rPr>
          <w:rFonts w:ascii="Times New Roman" w:hAnsi="Times New Roman"/>
        </w:rPr>
        <w:t>:</w:t>
      </w:r>
    </w:p>
    <w:p w14:paraId="0D6F9344" w14:textId="77777777" w:rsidR="008F0407" w:rsidRDefault="00457CC9" w:rsidP="008F0407">
      <w:pPr>
        <w:pStyle w:val="LeftrightafterHC"/>
        <w:spacing w:before="0" w:after="260" w:line="280" w:lineRule="exact"/>
        <w:ind w:right="0"/>
        <w:jc w:val="both"/>
        <w:rPr>
          <w:rFonts w:ascii="Times New Roman" w:hAnsi="Times New Roman"/>
        </w:rPr>
      </w:pPr>
      <w:r w:rsidRPr="008F0407">
        <w:rPr>
          <w:rFonts w:ascii="Times New Roman" w:hAnsi="Times New Roman"/>
        </w:rPr>
        <w:t>"</w:t>
      </w:r>
      <w:r w:rsidR="003F0D83" w:rsidRPr="008F0407">
        <w:rPr>
          <w:rFonts w:ascii="Times New Roman" w:hAnsi="Times New Roman"/>
        </w:rPr>
        <w:t>it seems to me that there is no</w:t>
      </w:r>
      <w:r w:rsidR="00A51673" w:rsidRPr="008F0407">
        <w:rPr>
          <w:rFonts w:ascii="Times New Roman" w:hAnsi="Times New Roman"/>
        </w:rPr>
        <w:t xml:space="preserve"> </w:t>
      </w:r>
      <w:r w:rsidR="003F0D83" w:rsidRPr="008F0407">
        <w:rPr>
          <w:rFonts w:ascii="Times New Roman" w:hAnsi="Times New Roman"/>
        </w:rPr>
        <w:t>sufficient reason not to find that the parties</w:t>
      </w:r>
      <w:r w:rsidR="00A51673" w:rsidRPr="008F0407">
        <w:rPr>
          <w:rFonts w:ascii="Times New Roman" w:hAnsi="Times New Roman"/>
        </w:rPr>
        <w:t>'</w:t>
      </w:r>
      <w:r w:rsidR="003F0D83" w:rsidRPr="008F0407">
        <w:rPr>
          <w:rFonts w:ascii="Times New Roman" w:hAnsi="Times New Roman"/>
        </w:rPr>
        <w:t xml:space="preserve"> agreement that Mr</w:t>
      </w:r>
      <w:r w:rsidRPr="008F0407">
        <w:rPr>
          <w:rFonts w:ascii="Times New Roman" w:hAnsi="Times New Roman"/>
        </w:rPr>
        <w:t> </w:t>
      </w:r>
      <w:r w:rsidR="003F0D83" w:rsidRPr="008F0407">
        <w:rPr>
          <w:rFonts w:ascii="Times New Roman" w:hAnsi="Times New Roman"/>
        </w:rPr>
        <w:t>McCourt was self</w:t>
      </w:r>
      <w:r w:rsidR="00A51673" w:rsidRPr="008F0407">
        <w:rPr>
          <w:rFonts w:ascii="Times New Roman" w:hAnsi="Times New Roman"/>
        </w:rPr>
        <w:noBreakHyphen/>
      </w:r>
      <w:r w:rsidR="003F0D83" w:rsidRPr="008F0407">
        <w:rPr>
          <w:rFonts w:ascii="Times New Roman" w:hAnsi="Times New Roman"/>
        </w:rPr>
        <w:t>employed</w:t>
      </w:r>
      <w:r w:rsidRPr="008F0407">
        <w:rPr>
          <w:rFonts w:ascii="Times New Roman" w:hAnsi="Times New Roman"/>
        </w:rPr>
        <w:t xml:space="preserve"> </w:t>
      </w:r>
      <w:r w:rsidR="003F0D83" w:rsidRPr="008F0407">
        <w:rPr>
          <w:rFonts w:ascii="Times New Roman" w:hAnsi="Times New Roman"/>
        </w:rPr>
        <w:t>means, and was intended to mean, what it says.</w:t>
      </w:r>
      <w:r w:rsidRPr="008F0407">
        <w:rPr>
          <w:rFonts w:ascii="Times New Roman" w:hAnsi="Times New Roman"/>
        </w:rPr>
        <w:t>"</w:t>
      </w:r>
    </w:p>
    <w:p w14:paraId="7BC3294B" w14:textId="4E78DAD2" w:rsidR="00457CC9" w:rsidRPr="008F0407" w:rsidRDefault="00457CC9"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7202A7" w:rsidRPr="008F0407">
        <w:rPr>
          <w:rFonts w:ascii="Times New Roman" w:hAnsi="Times New Roman"/>
        </w:rPr>
        <w:t>In his Honour's view, the various</w:t>
      </w:r>
      <w:r w:rsidR="00346243" w:rsidRPr="008F0407">
        <w:rPr>
          <w:rFonts w:ascii="Times New Roman" w:hAnsi="Times New Roman"/>
        </w:rPr>
        <w:t xml:space="preserve"> terms of the ASA wherein Mr McCourt warranted that he was a "self</w:t>
      </w:r>
      <w:r w:rsidR="00346243" w:rsidRPr="008F0407">
        <w:rPr>
          <w:rFonts w:ascii="Times New Roman" w:hAnsi="Times New Roman"/>
        </w:rPr>
        <w:noBreakHyphen/>
        <w:t>employed contractor"</w:t>
      </w:r>
      <w:r w:rsidR="00346243" w:rsidRPr="008F0407">
        <w:rPr>
          <w:rStyle w:val="FootnoteReference"/>
          <w:rFonts w:ascii="Times New Roman" w:hAnsi="Times New Roman"/>
          <w:sz w:val="24"/>
        </w:rPr>
        <w:footnoteReference w:id="34"/>
      </w:r>
      <w:r w:rsidR="00346243" w:rsidRPr="008F0407">
        <w:rPr>
          <w:rFonts w:ascii="Times New Roman" w:hAnsi="Times New Roman"/>
        </w:rPr>
        <w:t xml:space="preserve"> and that he would not represent himself as being an employee of Construct</w:t>
      </w:r>
      <w:r w:rsidR="00346243" w:rsidRPr="008F0407">
        <w:rPr>
          <w:rStyle w:val="FootnoteReference"/>
          <w:rFonts w:ascii="Times New Roman" w:hAnsi="Times New Roman"/>
          <w:sz w:val="24"/>
        </w:rPr>
        <w:footnoteReference w:id="35"/>
      </w:r>
      <w:r w:rsidR="00F23ED0" w:rsidRPr="008F0407">
        <w:rPr>
          <w:rFonts w:ascii="Times New Roman" w:hAnsi="Times New Roman"/>
        </w:rPr>
        <w:t xml:space="preserve"> were clear statements of intent that the relationship between Construct and Mr McCourt was not to be one of employment, but one of principal and independent contractor. </w:t>
      </w:r>
      <w:r w:rsidR="00AA5CFC" w:rsidRPr="008F0407">
        <w:rPr>
          <w:rFonts w:ascii="Times New Roman" w:hAnsi="Times New Roman"/>
        </w:rPr>
        <w:t>On that basis, his </w:t>
      </w:r>
      <w:r w:rsidR="00B94EE2" w:rsidRPr="008F0407">
        <w:rPr>
          <w:rFonts w:ascii="Times New Roman" w:hAnsi="Times New Roman"/>
        </w:rPr>
        <w:t xml:space="preserve">Honour </w:t>
      </w:r>
      <w:r w:rsidR="00BC25C0" w:rsidRPr="008F0407">
        <w:rPr>
          <w:rFonts w:ascii="Times New Roman" w:hAnsi="Times New Roman"/>
        </w:rPr>
        <w:t>concluded that Mr McCourt was not an employee of Construct</w:t>
      </w:r>
      <w:r w:rsidR="00BC25C0" w:rsidRPr="008F0407">
        <w:rPr>
          <w:rStyle w:val="FootnoteReference"/>
          <w:rFonts w:ascii="Times New Roman" w:hAnsi="Times New Roman"/>
          <w:sz w:val="24"/>
        </w:rPr>
        <w:footnoteReference w:id="36"/>
      </w:r>
      <w:r w:rsidR="00BC25C0" w:rsidRPr="008F0407">
        <w:rPr>
          <w:rFonts w:ascii="Times New Roman" w:hAnsi="Times New Roman"/>
        </w:rPr>
        <w:t>.</w:t>
      </w:r>
    </w:p>
    <w:p w14:paraId="63EA9A48" w14:textId="1B8DB781" w:rsidR="00BC25C0" w:rsidRPr="008F0407" w:rsidRDefault="00BC25C0" w:rsidP="008F0407">
      <w:pPr>
        <w:pStyle w:val="HeadingL1"/>
        <w:spacing w:after="260" w:line="280" w:lineRule="exact"/>
        <w:ind w:right="0"/>
        <w:jc w:val="both"/>
        <w:rPr>
          <w:rFonts w:ascii="Times New Roman" w:hAnsi="Times New Roman"/>
        </w:rPr>
      </w:pPr>
      <w:r w:rsidRPr="008F0407">
        <w:rPr>
          <w:rFonts w:ascii="Times New Roman" w:hAnsi="Times New Roman"/>
        </w:rPr>
        <w:lastRenderedPageBreak/>
        <w:t>The Full Court</w:t>
      </w:r>
    </w:p>
    <w:p w14:paraId="4BD166C7" w14:textId="2E5AC129" w:rsidR="00492284" w:rsidRPr="008F0407" w:rsidRDefault="00ED3BC9"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0D7221" w:rsidRPr="008F0407">
        <w:rPr>
          <w:rFonts w:ascii="Times New Roman" w:hAnsi="Times New Roman"/>
        </w:rPr>
        <w:t>I</w:t>
      </w:r>
      <w:r w:rsidR="00C341B9" w:rsidRPr="008F0407">
        <w:rPr>
          <w:rFonts w:ascii="Times New Roman" w:hAnsi="Times New Roman"/>
        </w:rPr>
        <w:t>n the Full Court</w:t>
      </w:r>
      <w:r w:rsidR="000D7221" w:rsidRPr="008F0407">
        <w:rPr>
          <w:rFonts w:ascii="Times New Roman" w:hAnsi="Times New Roman"/>
        </w:rPr>
        <w:t>,</w:t>
      </w:r>
      <w:r w:rsidR="00950161" w:rsidRPr="008F0407">
        <w:rPr>
          <w:rFonts w:ascii="Times New Roman" w:hAnsi="Times New Roman"/>
        </w:rPr>
        <w:t xml:space="preserve"> Lee J </w:t>
      </w:r>
      <w:r w:rsidR="00462FBB" w:rsidRPr="008F0407">
        <w:rPr>
          <w:rFonts w:ascii="Times New Roman" w:hAnsi="Times New Roman"/>
        </w:rPr>
        <w:t>applied a multifactorial approach</w:t>
      </w:r>
      <w:r w:rsidR="00AD4E1C" w:rsidRPr="008F0407">
        <w:rPr>
          <w:rStyle w:val="FootnoteReference"/>
          <w:rFonts w:ascii="Times New Roman" w:hAnsi="Times New Roman"/>
          <w:sz w:val="24"/>
        </w:rPr>
        <w:footnoteReference w:id="37"/>
      </w:r>
      <w:r w:rsidR="00462FBB" w:rsidRPr="008F0407">
        <w:rPr>
          <w:rFonts w:ascii="Times New Roman" w:hAnsi="Times New Roman"/>
        </w:rPr>
        <w:t xml:space="preserve">, although his Honour </w:t>
      </w:r>
      <w:r w:rsidR="00950161" w:rsidRPr="008F0407">
        <w:rPr>
          <w:rFonts w:ascii="Times New Roman" w:hAnsi="Times New Roman"/>
        </w:rPr>
        <w:t xml:space="preserve">identified three "tensions" in </w:t>
      </w:r>
      <w:r w:rsidR="000D7221" w:rsidRPr="008F0407">
        <w:rPr>
          <w:rFonts w:ascii="Times New Roman" w:hAnsi="Times New Roman"/>
        </w:rPr>
        <w:t xml:space="preserve">the </w:t>
      </w:r>
      <w:r w:rsidR="00EE319D" w:rsidRPr="008F0407">
        <w:rPr>
          <w:rFonts w:ascii="Times New Roman" w:hAnsi="Times New Roman"/>
        </w:rPr>
        <w:t xml:space="preserve">application of that </w:t>
      </w:r>
      <w:r w:rsidR="00950161" w:rsidRPr="008F0407">
        <w:rPr>
          <w:rFonts w:ascii="Times New Roman" w:hAnsi="Times New Roman"/>
        </w:rPr>
        <w:t>approach</w:t>
      </w:r>
      <w:r w:rsidR="00EE319D" w:rsidRPr="008F0407">
        <w:rPr>
          <w:rFonts w:ascii="Times New Roman" w:hAnsi="Times New Roman"/>
        </w:rPr>
        <w:t xml:space="preserve"> to a case such as the present. Those were</w:t>
      </w:r>
      <w:r w:rsidR="008B112B" w:rsidRPr="008F0407">
        <w:rPr>
          <w:rFonts w:ascii="Times New Roman" w:hAnsi="Times New Roman"/>
        </w:rPr>
        <w:t>:</w:t>
      </w:r>
      <w:r w:rsidR="00FE32F0" w:rsidRPr="008F0407">
        <w:rPr>
          <w:rFonts w:ascii="Times New Roman" w:hAnsi="Times New Roman"/>
        </w:rPr>
        <w:t xml:space="preserve"> the </w:t>
      </w:r>
      <w:r w:rsidR="00EE319D" w:rsidRPr="008F0407">
        <w:rPr>
          <w:rFonts w:ascii="Times New Roman" w:hAnsi="Times New Roman"/>
        </w:rPr>
        <w:t xml:space="preserve">identification </w:t>
      </w:r>
      <w:r w:rsidR="00FE32F0" w:rsidRPr="008F0407">
        <w:rPr>
          <w:rFonts w:ascii="Times New Roman" w:hAnsi="Times New Roman"/>
        </w:rPr>
        <w:t xml:space="preserve">of "control" </w:t>
      </w:r>
      <w:r w:rsidR="00EE319D" w:rsidRPr="008F0407">
        <w:rPr>
          <w:rFonts w:ascii="Times New Roman" w:hAnsi="Times New Roman"/>
        </w:rPr>
        <w:t xml:space="preserve">in </w:t>
      </w:r>
      <w:r w:rsidR="002E7F6B" w:rsidRPr="008F0407">
        <w:rPr>
          <w:rFonts w:ascii="Times New Roman" w:hAnsi="Times New Roman"/>
        </w:rPr>
        <w:t xml:space="preserve">a trilateral </w:t>
      </w:r>
      <w:r w:rsidR="00FE32F0" w:rsidRPr="008F0407">
        <w:rPr>
          <w:rFonts w:ascii="Times New Roman" w:hAnsi="Times New Roman"/>
        </w:rPr>
        <w:t xml:space="preserve">relationship; the extent to which the question whether the worker </w:t>
      </w:r>
      <w:r w:rsidR="002A70A5" w:rsidRPr="008F0407">
        <w:rPr>
          <w:rFonts w:ascii="Times New Roman" w:hAnsi="Times New Roman"/>
        </w:rPr>
        <w:t>conducts</w:t>
      </w:r>
      <w:r w:rsidR="00FE32F0" w:rsidRPr="008F0407">
        <w:rPr>
          <w:rFonts w:ascii="Times New Roman" w:hAnsi="Times New Roman"/>
        </w:rPr>
        <w:t xml:space="preserve"> </w:t>
      </w:r>
      <w:r w:rsidR="006D5C5B" w:rsidRPr="008F0407">
        <w:rPr>
          <w:rFonts w:ascii="Times New Roman" w:hAnsi="Times New Roman"/>
        </w:rPr>
        <w:t>his or her own</w:t>
      </w:r>
      <w:r w:rsidR="00FE32F0" w:rsidRPr="008F0407">
        <w:rPr>
          <w:rFonts w:ascii="Times New Roman" w:hAnsi="Times New Roman"/>
        </w:rPr>
        <w:t xml:space="preserve"> business is determinative of </w:t>
      </w:r>
      <w:r w:rsidR="002E7F6B" w:rsidRPr="008F0407">
        <w:rPr>
          <w:rFonts w:ascii="Times New Roman" w:hAnsi="Times New Roman"/>
        </w:rPr>
        <w:t xml:space="preserve">the </w:t>
      </w:r>
      <w:r w:rsidR="00AC05CC" w:rsidRPr="008F0407">
        <w:rPr>
          <w:rFonts w:ascii="Times New Roman" w:hAnsi="Times New Roman"/>
        </w:rPr>
        <w:t>characterisation</w:t>
      </w:r>
      <w:r w:rsidR="002E7F6B" w:rsidRPr="008F0407">
        <w:rPr>
          <w:rFonts w:ascii="Times New Roman" w:hAnsi="Times New Roman"/>
        </w:rPr>
        <w:t xml:space="preserve"> of the relationship;</w:t>
      </w:r>
      <w:r w:rsidR="00AC05CC" w:rsidRPr="008F0407">
        <w:rPr>
          <w:rFonts w:ascii="Times New Roman" w:hAnsi="Times New Roman"/>
        </w:rPr>
        <w:t xml:space="preserve"> and the weight to be given to the</w:t>
      </w:r>
      <w:r w:rsidR="00C4685E" w:rsidRPr="008F0407">
        <w:rPr>
          <w:rFonts w:ascii="Times New Roman" w:hAnsi="Times New Roman"/>
        </w:rPr>
        <w:t xml:space="preserve"> contractual description of Mr McCourt </w:t>
      </w:r>
      <w:r w:rsidR="00305C98" w:rsidRPr="008F0407">
        <w:rPr>
          <w:rFonts w:ascii="Times New Roman" w:hAnsi="Times New Roman"/>
        </w:rPr>
        <w:t xml:space="preserve">in the ASA </w:t>
      </w:r>
      <w:r w:rsidR="00C4685E" w:rsidRPr="008F0407">
        <w:rPr>
          <w:rFonts w:ascii="Times New Roman" w:hAnsi="Times New Roman"/>
        </w:rPr>
        <w:t xml:space="preserve">as </w:t>
      </w:r>
      <w:r w:rsidR="00EE319D" w:rsidRPr="008F0407">
        <w:rPr>
          <w:rFonts w:ascii="Times New Roman" w:hAnsi="Times New Roman"/>
        </w:rPr>
        <w:t>"</w:t>
      </w:r>
      <w:r w:rsidR="00C4685E" w:rsidRPr="008F0407">
        <w:rPr>
          <w:rFonts w:ascii="Times New Roman" w:hAnsi="Times New Roman"/>
        </w:rPr>
        <w:t>the Contractor"</w:t>
      </w:r>
      <w:r w:rsidR="00AC05CC" w:rsidRPr="008F0407">
        <w:rPr>
          <w:rFonts w:ascii="Times New Roman" w:hAnsi="Times New Roman"/>
        </w:rPr>
        <w:t>.</w:t>
      </w:r>
    </w:p>
    <w:p w14:paraId="623D284B" w14:textId="7CF7EA01" w:rsidR="00AC05CC" w:rsidRPr="008F0407" w:rsidRDefault="00AC05CC"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3C37B6" w:rsidRPr="008F0407">
        <w:rPr>
          <w:rFonts w:ascii="Times New Roman" w:hAnsi="Times New Roman"/>
        </w:rPr>
        <w:t xml:space="preserve">As to "control", </w:t>
      </w:r>
      <w:r w:rsidR="004F5929" w:rsidRPr="008F0407">
        <w:rPr>
          <w:rFonts w:ascii="Times New Roman" w:hAnsi="Times New Roman"/>
        </w:rPr>
        <w:t xml:space="preserve">Lee J considered that </w:t>
      </w:r>
      <w:r w:rsidR="00C47ECD" w:rsidRPr="008F0407">
        <w:rPr>
          <w:rFonts w:ascii="Times New Roman" w:hAnsi="Times New Roman"/>
        </w:rPr>
        <w:t>the</w:t>
      </w:r>
      <w:r w:rsidR="00F97F95" w:rsidRPr="008F0407">
        <w:rPr>
          <w:rFonts w:ascii="Times New Roman" w:hAnsi="Times New Roman"/>
        </w:rPr>
        <w:t xml:space="preserve"> </w:t>
      </w:r>
      <w:r w:rsidR="00BE2D94" w:rsidRPr="008F0407">
        <w:rPr>
          <w:rFonts w:ascii="Times New Roman" w:hAnsi="Times New Roman"/>
        </w:rPr>
        <w:t xml:space="preserve">gravamen of the </w:t>
      </w:r>
      <w:r w:rsidR="00F97F95" w:rsidRPr="008F0407">
        <w:rPr>
          <w:rFonts w:ascii="Times New Roman" w:hAnsi="Times New Roman"/>
        </w:rPr>
        <w:t>concept</w:t>
      </w:r>
      <w:r w:rsidR="00C47ECD" w:rsidRPr="008F0407">
        <w:rPr>
          <w:rFonts w:ascii="Times New Roman" w:hAnsi="Times New Roman"/>
        </w:rPr>
        <w:t xml:space="preserve"> of control </w:t>
      </w:r>
      <w:r w:rsidR="00E47794" w:rsidRPr="008F0407">
        <w:rPr>
          <w:rFonts w:ascii="Times New Roman" w:hAnsi="Times New Roman"/>
        </w:rPr>
        <w:t xml:space="preserve">was not </w:t>
      </w:r>
      <w:r w:rsidR="00054F87" w:rsidRPr="008F0407">
        <w:rPr>
          <w:rFonts w:ascii="Times New Roman" w:hAnsi="Times New Roman"/>
        </w:rPr>
        <w:t xml:space="preserve">the circumstance that the putative employee was in fact in a position of </w:t>
      </w:r>
      <w:r w:rsidR="00E47794" w:rsidRPr="008F0407">
        <w:rPr>
          <w:rFonts w:ascii="Times New Roman" w:hAnsi="Times New Roman"/>
        </w:rPr>
        <w:t>subordination</w:t>
      </w:r>
      <w:r w:rsidR="00A64F1A" w:rsidRPr="008F0407">
        <w:rPr>
          <w:rFonts w:ascii="Times New Roman" w:hAnsi="Times New Roman"/>
        </w:rPr>
        <w:t xml:space="preserve"> </w:t>
      </w:r>
      <w:r w:rsidR="00E47794" w:rsidRPr="008F0407">
        <w:rPr>
          <w:rFonts w:ascii="Times New Roman" w:hAnsi="Times New Roman"/>
        </w:rPr>
        <w:t xml:space="preserve">but rather </w:t>
      </w:r>
      <w:r w:rsidR="00532356" w:rsidRPr="008F0407">
        <w:rPr>
          <w:rFonts w:ascii="Times New Roman" w:hAnsi="Times New Roman"/>
        </w:rPr>
        <w:t xml:space="preserve">that it is the putative </w:t>
      </w:r>
      <w:r w:rsidR="00E47794" w:rsidRPr="008F0407">
        <w:rPr>
          <w:rFonts w:ascii="Times New Roman" w:hAnsi="Times New Roman"/>
        </w:rPr>
        <w:t xml:space="preserve">employer </w:t>
      </w:r>
      <w:r w:rsidR="00532356" w:rsidRPr="008F0407">
        <w:rPr>
          <w:rFonts w:ascii="Times New Roman" w:hAnsi="Times New Roman"/>
        </w:rPr>
        <w:t xml:space="preserve">which commands the right </w:t>
      </w:r>
      <w:r w:rsidR="00E47794" w:rsidRPr="008F0407">
        <w:rPr>
          <w:rFonts w:ascii="Times New Roman" w:hAnsi="Times New Roman"/>
        </w:rPr>
        <w:t xml:space="preserve">to </w:t>
      </w:r>
      <w:r w:rsidR="00A64F1A" w:rsidRPr="008F0407">
        <w:rPr>
          <w:rFonts w:ascii="Times New Roman" w:hAnsi="Times New Roman"/>
        </w:rPr>
        <w:t>subordinate the employee in a position of service to the employer</w:t>
      </w:r>
      <w:r w:rsidR="004F5929" w:rsidRPr="008F0407">
        <w:rPr>
          <w:rStyle w:val="FootnoteReference"/>
          <w:rFonts w:ascii="Times New Roman" w:hAnsi="Times New Roman"/>
          <w:sz w:val="24"/>
        </w:rPr>
        <w:footnoteReference w:id="38"/>
      </w:r>
      <w:r w:rsidR="004F5929" w:rsidRPr="008F0407">
        <w:rPr>
          <w:rFonts w:ascii="Times New Roman" w:hAnsi="Times New Roman"/>
        </w:rPr>
        <w:t xml:space="preserve">. </w:t>
      </w:r>
      <w:r w:rsidR="00FD4298" w:rsidRPr="008F0407">
        <w:rPr>
          <w:rFonts w:ascii="Times New Roman" w:hAnsi="Times New Roman"/>
        </w:rPr>
        <w:t xml:space="preserve">However, his Honour emphasised that </w:t>
      </w:r>
      <w:r w:rsidR="00404196" w:rsidRPr="008F0407">
        <w:rPr>
          <w:rFonts w:ascii="Times New Roman" w:hAnsi="Times New Roman"/>
        </w:rPr>
        <w:t>control</w:t>
      </w:r>
      <w:r w:rsidR="00A811C0" w:rsidRPr="008F0407">
        <w:rPr>
          <w:rFonts w:ascii="Times New Roman" w:hAnsi="Times New Roman"/>
        </w:rPr>
        <w:t>, while important,</w:t>
      </w:r>
      <w:r w:rsidR="00404196" w:rsidRPr="008F0407">
        <w:rPr>
          <w:rFonts w:ascii="Times New Roman" w:hAnsi="Times New Roman"/>
        </w:rPr>
        <w:t xml:space="preserve"> was but one </w:t>
      </w:r>
      <w:r w:rsidR="000155C1" w:rsidRPr="008F0407">
        <w:rPr>
          <w:rFonts w:ascii="Times New Roman" w:hAnsi="Times New Roman"/>
        </w:rPr>
        <w:t xml:space="preserve">indicator </w:t>
      </w:r>
      <w:r w:rsidR="00404196" w:rsidRPr="008F0407">
        <w:rPr>
          <w:rFonts w:ascii="Times New Roman" w:hAnsi="Times New Roman"/>
        </w:rPr>
        <w:t>in the characterisation inquiry</w:t>
      </w:r>
      <w:r w:rsidR="009D58AB" w:rsidRPr="008F0407">
        <w:rPr>
          <w:rStyle w:val="FootnoteReference"/>
          <w:rFonts w:ascii="Times New Roman" w:hAnsi="Times New Roman"/>
          <w:sz w:val="24"/>
        </w:rPr>
        <w:footnoteReference w:id="39"/>
      </w:r>
      <w:r w:rsidR="00A811C0" w:rsidRPr="008F0407">
        <w:rPr>
          <w:rFonts w:ascii="Times New Roman" w:hAnsi="Times New Roman"/>
        </w:rPr>
        <w:t>.</w:t>
      </w:r>
      <w:r w:rsidR="00404196" w:rsidRPr="008F0407">
        <w:rPr>
          <w:rFonts w:ascii="Times New Roman" w:hAnsi="Times New Roman"/>
        </w:rPr>
        <w:t xml:space="preserve"> </w:t>
      </w:r>
      <w:r w:rsidR="00A811C0" w:rsidRPr="008F0407">
        <w:rPr>
          <w:rFonts w:ascii="Times New Roman" w:hAnsi="Times New Roman"/>
        </w:rPr>
        <w:t xml:space="preserve">Indeed, his Honour went so far as to say </w:t>
      </w:r>
      <w:r w:rsidR="00404196" w:rsidRPr="008F0407">
        <w:rPr>
          <w:rFonts w:ascii="Times New Roman" w:hAnsi="Times New Roman"/>
        </w:rPr>
        <w:t>that</w:t>
      </w:r>
      <w:r w:rsidR="00EA04C5" w:rsidRPr="008F0407">
        <w:rPr>
          <w:rFonts w:ascii="Times New Roman" w:hAnsi="Times New Roman"/>
        </w:rPr>
        <w:t xml:space="preserve"> the control indicium "may not be particularly helpful in the characterisation of multilateral arrangements"</w:t>
      </w:r>
      <w:r w:rsidR="00EA04C5" w:rsidRPr="008F0407">
        <w:rPr>
          <w:rStyle w:val="FootnoteReference"/>
          <w:rFonts w:ascii="Times New Roman" w:hAnsi="Times New Roman"/>
          <w:sz w:val="24"/>
        </w:rPr>
        <w:footnoteReference w:id="40"/>
      </w:r>
      <w:r w:rsidR="00EA04C5" w:rsidRPr="008F0407">
        <w:rPr>
          <w:rFonts w:ascii="Times New Roman" w:hAnsi="Times New Roman"/>
        </w:rPr>
        <w:t>.</w:t>
      </w:r>
      <w:r w:rsidR="001509E0" w:rsidRPr="008F0407">
        <w:rPr>
          <w:rFonts w:ascii="Times New Roman" w:hAnsi="Times New Roman"/>
        </w:rPr>
        <w:t xml:space="preserve"> </w:t>
      </w:r>
    </w:p>
    <w:p w14:paraId="13FC3BE1" w14:textId="73DBE41C" w:rsidR="006D5C5B" w:rsidRPr="008F0407" w:rsidRDefault="006D5C5B" w:rsidP="008F0407">
      <w:pPr>
        <w:pStyle w:val="FixListStyle"/>
        <w:spacing w:after="260" w:line="280" w:lineRule="exact"/>
        <w:ind w:right="0"/>
        <w:jc w:val="both"/>
        <w:rPr>
          <w:rFonts w:ascii="Times New Roman" w:hAnsi="Times New Roman"/>
        </w:rPr>
      </w:pPr>
      <w:r w:rsidRPr="008F0407">
        <w:rPr>
          <w:rFonts w:ascii="Times New Roman" w:hAnsi="Times New Roman"/>
        </w:rPr>
        <w:tab/>
        <w:t xml:space="preserve">As to the "own business" test, </w:t>
      </w:r>
      <w:r w:rsidR="00444F22" w:rsidRPr="008F0407">
        <w:rPr>
          <w:rFonts w:ascii="Times New Roman" w:hAnsi="Times New Roman"/>
        </w:rPr>
        <w:t xml:space="preserve">Lee J </w:t>
      </w:r>
      <w:r w:rsidR="00F52FA4" w:rsidRPr="008F0407">
        <w:rPr>
          <w:rFonts w:ascii="Times New Roman" w:hAnsi="Times New Roman"/>
        </w:rPr>
        <w:t xml:space="preserve">considered that while focussing the multifactorial approach on the question whether a worker is conducting a business on </w:t>
      </w:r>
      <w:r w:rsidR="007136FB" w:rsidRPr="008F0407">
        <w:rPr>
          <w:rFonts w:ascii="Times New Roman" w:hAnsi="Times New Roman"/>
        </w:rPr>
        <w:t xml:space="preserve">his or her </w:t>
      </w:r>
      <w:r w:rsidR="00F52FA4" w:rsidRPr="008F0407">
        <w:rPr>
          <w:rFonts w:ascii="Times New Roman" w:hAnsi="Times New Roman"/>
        </w:rPr>
        <w:t>own account may in some cases detract attention from the central question, in other cases it may prove to be a "useful way of approaching the broader inquiry".</w:t>
      </w:r>
      <w:r w:rsidR="00837043" w:rsidRPr="008F0407">
        <w:rPr>
          <w:rFonts w:ascii="Times New Roman" w:hAnsi="Times New Roman"/>
        </w:rPr>
        <w:t xml:space="preserve"> Ultimately, his Honour considered </w:t>
      </w:r>
      <w:r w:rsidR="00AB6626" w:rsidRPr="008F0407">
        <w:rPr>
          <w:rFonts w:ascii="Times New Roman" w:hAnsi="Times New Roman"/>
        </w:rPr>
        <w:t xml:space="preserve">that </w:t>
      </w:r>
      <w:r w:rsidR="00837043" w:rsidRPr="008F0407">
        <w:rPr>
          <w:rFonts w:ascii="Times New Roman" w:hAnsi="Times New Roman"/>
        </w:rPr>
        <w:t xml:space="preserve">the weight to be afforded to </w:t>
      </w:r>
      <w:r w:rsidR="006B0D9A" w:rsidRPr="008F0407">
        <w:rPr>
          <w:rFonts w:ascii="Times New Roman" w:hAnsi="Times New Roman"/>
        </w:rPr>
        <w:t xml:space="preserve">the "own business" question </w:t>
      </w:r>
      <w:r w:rsidR="00837043" w:rsidRPr="008F0407">
        <w:rPr>
          <w:rFonts w:ascii="Times New Roman" w:hAnsi="Times New Roman"/>
        </w:rPr>
        <w:t xml:space="preserve">should be assessed </w:t>
      </w:r>
      <w:proofErr w:type="gramStart"/>
      <w:r w:rsidR="00837043" w:rsidRPr="008F0407">
        <w:rPr>
          <w:rFonts w:ascii="Times New Roman" w:hAnsi="Times New Roman"/>
        </w:rPr>
        <w:t>in light of</w:t>
      </w:r>
      <w:proofErr w:type="gramEnd"/>
      <w:r w:rsidR="00837043" w:rsidRPr="008F0407">
        <w:rPr>
          <w:rFonts w:ascii="Times New Roman" w:hAnsi="Times New Roman"/>
        </w:rPr>
        <w:t xml:space="preserve"> the whole picture and on a case</w:t>
      </w:r>
      <w:r w:rsidR="00A812EF" w:rsidRPr="008F0407">
        <w:rPr>
          <w:rFonts w:ascii="Times New Roman" w:hAnsi="Times New Roman"/>
        </w:rPr>
        <w:noBreakHyphen/>
      </w:r>
      <w:r w:rsidR="00837043" w:rsidRPr="008F0407">
        <w:rPr>
          <w:rFonts w:ascii="Times New Roman" w:hAnsi="Times New Roman"/>
        </w:rPr>
        <w:t>by</w:t>
      </w:r>
      <w:r w:rsidR="00A812EF" w:rsidRPr="008F0407">
        <w:rPr>
          <w:rFonts w:ascii="Times New Roman" w:hAnsi="Times New Roman"/>
        </w:rPr>
        <w:noBreakHyphen/>
      </w:r>
      <w:r w:rsidR="00837043" w:rsidRPr="008F0407">
        <w:rPr>
          <w:rFonts w:ascii="Times New Roman" w:hAnsi="Times New Roman"/>
        </w:rPr>
        <w:t>case basis</w:t>
      </w:r>
      <w:r w:rsidR="00837043" w:rsidRPr="008F0407">
        <w:rPr>
          <w:rStyle w:val="FootnoteReference"/>
          <w:rFonts w:ascii="Times New Roman" w:hAnsi="Times New Roman"/>
          <w:sz w:val="24"/>
        </w:rPr>
        <w:footnoteReference w:id="41"/>
      </w:r>
      <w:r w:rsidR="00837043" w:rsidRPr="008F0407">
        <w:rPr>
          <w:rFonts w:ascii="Times New Roman" w:hAnsi="Times New Roman"/>
        </w:rPr>
        <w:t>.</w:t>
      </w:r>
      <w:r w:rsidR="00F52FA4" w:rsidRPr="008F0407">
        <w:rPr>
          <w:rFonts w:ascii="Times New Roman" w:hAnsi="Times New Roman"/>
        </w:rPr>
        <w:t xml:space="preserve"> </w:t>
      </w:r>
      <w:r w:rsidR="00594DD2" w:rsidRPr="008F0407">
        <w:rPr>
          <w:rFonts w:ascii="Times New Roman" w:hAnsi="Times New Roman"/>
        </w:rPr>
        <w:t>In the circumstances</w:t>
      </w:r>
      <w:r w:rsidR="00D21438" w:rsidRPr="008F0407">
        <w:rPr>
          <w:rFonts w:ascii="Times New Roman" w:hAnsi="Times New Roman"/>
        </w:rPr>
        <w:t xml:space="preserve"> of the present case</w:t>
      </w:r>
      <w:r w:rsidR="00594DD2" w:rsidRPr="008F0407">
        <w:rPr>
          <w:rFonts w:ascii="Times New Roman" w:hAnsi="Times New Roman"/>
        </w:rPr>
        <w:t xml:space="preserve">, </w:t>
      </w:r>
      <w:r w:rsidR="000C4D94" w:rsidRPr="008F0407">
        <w:rPr>
          <w:rFonts w:ascii="Times New Roman" w:hAnsi="Times New Roman"/>
        </w:rPr>
        <w:t>Lee J was inclined to accept the submission that the primary judge did not afford sufficient weight</w:t>
      </w:r>
      <w:r w:rsidR="00DA620E" w:rsidRPr="008F0407">
        <w:rPr>
          <w:rFonts w:ascii="Times New Roman" w:hAnsi="Times New Roman"/>
        </w:rPr>
        <w:t xml:space="preserve"> to </w:t>
      </w:r>
      <w:r w:rsidR="00DA620E" w:rsidRPr="008F0407">
        <w:rPr>
          <w:rFonts w:ascii="Times New Roman" w:hAnsi="Times New Roman"/>
        </w:rPr>
        <w:lastRenderedPageBreak/>
        <w:t>the uncontested fact that Mr McCourt was not in business on his own account</w:t>
      </w:r>
      <w:r w:rsidR="00E02DA1" w:rsidRPr="008F0407">
        <w:rPr>
          <w:rFonts w:ascii="Times New Roman" w:hAnsi="Times New Roman"/>
        </w:rPr>
        <w:t>, noting that it was a "surprising result" to ascribe to a 22</w:t>
      </w:r>
      <w:r w:rsidR="00E02DA1" w:rsidRPr="008F0407">
        <w:rPr>
          <w:rFonts w:ascii="Times New Roman" w:hAnsi="Times New Roman"/>
        </w:rPr>
        <w:noBreakHyphen/>
        <w:t>year</w:t>
      </w:r>
      <w:r w:rsidR="00E02DA1" w:rsidRPr="008F0407">
        <w:rPr>
          <w:rFonts w:ascii="Times New Roman" w:hAnsi="Times New Roman"/>
        </w:rPr>
        <w:noBreakHyphen/>
        <w:t>old backpacker</w:t>
      </w:r>
      <w:r w:rsidR="004925F5" w:rsidRPr="008F0407">
        <w:rPr>
          <w:rFonts w:ascii="Times New Roman" w:hAnsi="Times New Roman"/>
        </w:rPr>
        <w:t xml:space="preserve"> with Mr McCourt's limited work experience the </w:t>
      </w:r>
      <w:r w:rsidR="003206BF" w:rsidRPr="008F0407">
        <w:rPr>
          <w:rFonts w:ascii="Times New Roman" w:hAnsi="Times New Roman"/>
        </w:rPr>
        <w:t>status</w:t>
      </w:r>
      <w:r w:rsidR="004925F5" w:rsidRPr="008F0407">
        <w:rPr>
          <w:rFonts w:ascii="Times New Roman" w:hAnsi="Times New Roman"/>
        </w:rPr>
        <w:t xml:space="preserve"> of "independent contractor"</w:t>
      </w:r>
      <w:r w:rsidR="000C4D94" w:rsidRPr="008F0407">
        <w:rPr>
          <w:rStyle w:val="FootnoteReference"/>
          <w:rFonts w:ascii="Times New Roman" w:hAnsi="Times New Roman"/>
          <w:sz w:val="24"/>
        </w:rPr>
        <w:footnoteReference w:id="42"/>
      </w:r>
      <w:r w:rsidR="004925F5" w:rsidRPr="008F0407">
        <w:rPr>
          <w:rFonts w:ascii="Times New Roman" w:hAnsi="Times New Roman"/>
        </w:rPr>
        <w:t>.</w:t>
      </w:r>
      <w:r w:rsidR="00134D48" w:rsidRPr="008F0407">
        <w:rPr>
          <w:rFonts w:ascii="Times New Roman" w:hAnsi="Times New Roman"/>
        </w:rPr>
        <w:t xml:space="preserve"> </w:t>
      </w:r>
    </w:p>
    <w:p w14:paraId="65438B01" w14:textId="082DB192" w:rsidR="001B061B" w:rsidRPr="008F0407" w:rsidRDefault="001B061B"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776489" w:rsidRPr="008F0407">
        <w:rPr>
          <w:rFonts w:ascii="Times New Roman" w:hAnsi="Times New Roman"/>
        </w:rPr>
        <w:t xml:space="preserve">As to the </w:t>
      </w:r>
      <w:r w:rsidR="00090CBB" w:rsidRPr="008F0407">
        <w:rPr>
          <w:rFonts w:ascii="Times New Roman" w:hAnsi="Times New Roman"/>
        </w:rPr>
        <w:t>description</w:t>
      </w:r>
      <w:r w:rsidR="00776489" w:rsidRPr="008F0407">
        <w:rPr>
          <w:rFonts w:ascii="Times New Roman" w:hAnsi="Times New Roman"/>
        </w:rPr>
        <w:t xml:space="preserve"> of Mr McCourt as "the Contractor", </w:t>
      </w:r>
      <w:r w:rsidRPr="008F0407">
        <w:rPr>
          <w:rFonts w:ascii="Times New Roman" w:hAnsi="Times New Roman"/>
        </w:rPr>
        <w:t xml:space="preserve">Lee J disagreed with the primary judge's use of </w:t>
      </w:r>
      <w:r w:rsidR="0067719F" w:rsidRPr="008F0407">
        <w:rPr>
          <w:rFonts w:ascii="Times New Roman" w:hAnsi="Times New Roman"/>
        </w:rPr>
        <w:t>that contractual designation</w:t>
      </w:r>
      <w:r w:rsidRPr="008F0407">
        <w:rPr>
          <w:rFonts w:ascii="Times New Roman" w:hAnsi="Times New Roman"/>
        </w:rPr>
        <w:t xml:space="preserve"> as an indicator with "tie</w:t>
      </w:r>
      <w:r w:rsidRPr="008F0407">
        <w:rPr>
          <w:rFonts w:ascii="Times New Roman" w:hAnsi="Times New Roman"/>
        </w:rPr>
        <w:noBreakHyphen/>
        <w:t xml:space="preserve">break" </w:t>
      </w:r>
      <w:r w:rsidR="006233D4" w:rsidRPr="008F0407">
        <w:rPr>
          <w:rFonts w:ascii="Times New Roman" w:hAnsi="Times New Roman"/>
        </w:rPr>
        <w:t>effect</w:t>
      </w:r>
      <w:r w:rsidRPr="008F0407">
        <w:rPr>
          <w:rStyle w:val="FootnoteReference"/>
          <w:rFonts w:ascii="Times New Roman" w:hAnsi="Times New Roman"/>
          <w:sz w:val="24"/>
        </w:rPr>
        <w:footnoteReference w:id="43"/>
      </w:r>
      <w:r w:rsidRPr="008F0407">
        <w:rPr>
          <w:rFonts w:ascii="Times New Roman" w:hAnsi="Times New Roman"/>
        </w:rPr>
        <w:t>. His Honour considered that</w:t>
      </w:r>
      <w:r w:rsidR="0067719F" w:rsidRPr="008F0407">
        <w:rPr>
          <w:rFonts w:ascii="Times New Roman" w:hAnsi="Times New Roman"/>
        </w:rPr>
        <w:t>, in the context of a multifactorial approach that involved many factors weighed in the balance,</w:t>
      </w:r>
      <w:r w:rsidRPr="008F0407">
        <w:rPr>
          <w:rFonts w:ascii="Times New Roman" w:hAnsi="Times New Roman"/>
        </w:rPr>
        <w:t xml:space="preserve"> there was a logical difficulty </w:t>
      </w:r>
      <w:r w:rsidR="00D31188" w:rsidRPr="008F0407">
        <w:rPr>
          <w:rFonts w:ascii="Times New Roman" w:hAnsi="Times New Roman"/>
        </w:rPr>
        <w:t xml:space="preserve">in </w:t>
      </w:r>
      <w:r w:rsidRPr="008F0407">
        <w:rPr>
          <w:rFonts w:ascii="Times New Roman" w:hAnsi="Times New Roman"/>
        </w:rPr>
        <w:t xml:space="preserve">assigning decisive weight to one </w:t>
      </w:r>
      <w:r w:rsidR="00C724E8" w:rsidRPr="008F0407">
        <w:rPr>
          <w:rFonts w:ascii="Times New Roman" w:hAnsi="Times New Roman"/>
        </w:rPr>
        <w:t>factor</w:t>
      </w:r>
      <w:r w:rsidRPr="008F0407">
        <w:rPr>
          <w:rStyle w:val="FootnoteReference"/>
          <w:rFonts w:ascii="Times New Roman" w:hAnsi="Times New Roman"/>
          <w:sz w:val="24"/>
        </w:rPr>
        <w:footnoteReference w:id="44"/>
      </w:r>
      <w:r w:rsidRPr="008F0407">
        <w:rPr>
          <w:rFonts w:ascii="Times New Roman" w:hAnsi="Times New Roman"/>
        </w:rPr>
        <w:t xml:space="preserve">. </w:t>
      </w:r>
    </w:p>
    <w:p w14:paraId="625F8584" w14:textId="7F127B59" w:rsidR="005B3AA2" w:rsidRPr="008F0407" w:rsidRDefault="001B061B" w:rsidP="008F0407">
      <w:pPr>
        <w:pStyle w:val="FixListStyle"/>
        <w:spacing w:after="260" w:line="280" w:lineRule="exact"/>
        <w:ind w:right="0"/>
        <w:jc w:val="both"/>
        <w:rPr>
          <w:rFonts w:ascii="Times New Roman" w:hAnsi="Times New Roman"/>
        </w:rPr>
      </w:pPr>
      <w:r w:rsidRPr="008F0407">
        <w:rPr>
          <w:rFonts w:ascii="Times New Roman" w:hAnsi="Times New Roman"/>
        </w:rPr>
        <w:tab/>
        <w:t xml:space="preserve">Despite </w:t>
      </w:r>
      <w:r w:rsidR="007F53E7" w:rsidRPr="008F0407">
        <w:rPr>
          <w:rFonts w:ascii="Times New Roman" w:hAnsi="Times New Roman"/>
        </w:rPr>
        <w:t>the</w:t>
      </w:r>
      <w:r w:rsidR="0067719F" w:rsidRPr="008F0407">
        <w:rPr>
          <w:rFonts w:ascii="Times New Roman" w:hAnsi="Times New Roman"/>
        </w:rPr>
        <w:t>se</w:t>
      </w:r>
      <w:r w:rsidR="007F53E7" w:rsidRPr="008F0407">
        <w:rPr>
          <w:rFonts w:ascii="Times New Roman" w:hAnsi="Times New Roman"/>
        </w:rPr>
        <w:t xml:space="preserve"> differences of approach </w:t>
      </w:r>
      <w:r w:rsidR="000D7663" w:rsidRPr="008F0407">
        <w:rPr>
          <w:rFonts w:ascii="Times New Roman" w:hAnsi="Times New Roman"/>
        </w:rPr>
        <w:t>from that of</w:t>
      </w:r>
      <w:r w:rsidR="007F53E7" w:rsidRPr="008F0407">
        <w:rPr>
          <w:rFonts w:ascii="Times New Roman" w:hAnsi="Times New Roman"/>
        </w:rPr>
        <w:t xml:space="preserve"> </w:t>
      </w:r>
      <w:r w:rsidRPr="008F0407">
        <w:rPr>
          <w:rFonts w:ascii="Times New Roman" w:hAnsi="Times New Roman"/>
        </w:rPr>
        <w:t>the primary judge, Lee J dismissed the appeal</w:t>
      </w:r>
      <w:r w:rsidR="0067719F" w:rsidRPr="008F0407">
        <w:rPr>
          <w:rFonts w:ascii="Times New Roman" w:hAnsi="Times New Roman"/>
        </w:rPr>
        <w:t xml:space="preserve"> and</w:t>
      </w:r>
      <w:r w:rsidRPr="008F0407">
        <w:rPr>
          <w:rFonts w:ascii="Times New Roman" w:hAnsi="Times New Roman"/>
        </w:rPr>
        <w:t xml:space="preserve"> </w:t>
      </w:r>
      <w:r w:rsidR="00A97D67" w:rsidRPr="008F0407">
        <w:rPr>
          <w:rFonts w:ascii="Times New Roman" w:hAnsi="Times New Roman"/>
        </w:rPr>
        <w:t>accept</w:t>
      </w:r>
      <w:r w:rsidR="0067719F" w:rsidRPr="008F0407">
        <w:rPr>
          <w:rFonts w:ascii="Times New Roman" w:hAnsi="Times New Roman"/>
        </w:rPr>
        <w:t>ed</w:t>
      </w:r>
      <w:r w:rsidRPr="008F0407">
        <w:rPr>
          <w:rFonts w:ascii="Times New Roman" w:hAnsi="Times New Roman"/>
        </w:rPr>
        <w:t xml:space="preserve"> that Mr McCourt was an independent contractor. His Honour </w:t>
      </w:r>
      <w:r w:rsidR="00207C17" w:rsidRPr="008F0407">
        <w:rPr>
          <w:rFonts w:ascii="Times New Roman" w:hAnsi="Times New Roman"/>
        </w:rPr>
        <w:t xml:space="preserve">said </w:t>
      </w:r>
      <w:r w:rsidRPr="008F0407">
        <w:rPr>
          <w:rFonts w:ascii="Times New Roman" w:hAnsi="Times New Roman"/>
        </w:rPr>
        <w:t xml:space="preserve">that, had the question </w:t>
      </w:r>
      <w:r w:rsidR="005B3AA2" w:rsidRPr="008F0407">
        <w:rPr>
          <w:rFonts w:ascii="Times New Roman" w:hAnsi="Times New Roman"/>
        </w:rPr>
        <w:t>been</w:t>
      </w:r>
      <w:r w:rsidR="00E01547" w:rsidRPr="008F0407">
        <w:rPr>
          <w:rFonts w:ascii="Times New Roman" w:hAnsi="Times New Roman"/>
        </w:rPr>
        <w:t xml:space="preserve"> considered</w:t>
      </w:r>
      <w:r w:rsidRPr="008F0407">
        <w:rPr>
          <w:rFonts w:ascii="Times New Roman" w:hAnsi="Times New Roman"/>
        </w:rPr>
        <w:t xml:space="preserve"> </w:t>
      </w:r>
      <w:r w:rsidRPr="008F0407">
        <w:rPr>
          <w:rFonts w:ascii="Times New Roman" w:hAnsi="Times New Roman"/>
          <w:i/>
        </w:rPr>
        <w:t>tabula rasa</w:t>
      </w:r>
      <w:r w:rsidRPr="008F0407">
        <w:rPr>
          <w:rFonts w:ascii="Times New Roman" w:hAnsi="Times New Roman"/>
        </w:rPr>
        <w:t xml:space="preserve">, he may have reached </w:t>
      </w:r>
      <w:r w:rsidR="0067719F" w:rsidRPr="008F0407">
        <w:rPr>
          <w:rFonts w:ascii="Times New Roman" w:hAnsi="Times New Roman"/>
        </w:rPr>
        <w:t>the opposite</w:t>
      </w:r>
      <w:r w:rsidRPr="008F0407">
        <w:rPr>
          <w:rFonts w:ascii="Times New Roman" w:hAnsi="Times New Roman"/>
        </w:rPr>
        <w:t xml:space="preserve"> conclusion</w:t>
      </w:r>
      <w:r w:rsidRPr="008F0407">
        <w:rPr>
          <w:rStyle w:val="FootnoteReference"/>
          <w:rFonts w:ascii="Times New Roman" w:hAnsi="Times New Roman"/>
          <w:sz w:val="24"/>
        </w:rPr>
        <w:footnoteReference w:id="45"/>
      </w:r>
      <w:r w:rsidRPr="008F0407">
        <w:rPr>
          <w:rFonts w:ascii="Times New Roman" w:hAnsi="Times New Roman"/>
        </w:rPr>
        <w:t>. Ultimately, however, Lee J concluded that the present circumstances were "materially identical"</w:t>
      </w:r>
      <w:r w:rsidRPr="008F0407">
        <w:rPr>
          <w:rStyle w:val="FootnoteReference"/>
          <w:rFonts w:ascii="Times New Roman" w:hAnsi="Times New Roman"/>
          <w:sz w:val="24"/>
        </w:rPr>
        <w:footnoteReference w:id="46"/>
      </w:r>
      <w:r w:rsidRPr="008F0407">
        <w:rPr>
          <w:rFonts w:ascii="Times New Roman" w:hAnsi="Times New Roman"/>
        </w:rPr>
        <w:t xml:space="preserve"> to those considered in </w:t>
      </w:r>
      <w:r w:rsidRPr="008F0407">
        <w:rPr>
          <w:rFonts w:ascii="Times New Roman" w:hAnsi="Times New Roman"/>
          <w:i/>
        </w:rPr>
        <w:t>Personnel</w:t>
      </w:r>
      <w:r w:rsidR="002B7A32" w:rsidRPr="008F0407">
        <w:rPr>
          <w:rFonts w:ascii="Times New Roman" w:hAnsi="Times New Roman"/>
          <w:i/>
        </w:rPr>
        <w:t> (No 1)</w:t>
      </w:r>
      <w:r w:rsidRPr="008F0407">
        <w:rPr>
          <w:rStyle w:val="FootnoteReference"/>
          <w:rFonts w:ascii="Times New Roman" w:hAnsi="Times New Roman"/>
          <w:sz w:val="24"/>
        </w:rPr>
        <w:footnoteReference w:id="47"/>
      </w:r>
      <w:r w:rsidRPr="008F0407">
        <w:rPr>
          <w:rFonts w:ascii="Times New Roman" w:hAnsi="Times New Roman"/>
        </w:rPr>
        <w:t xml:space="preserve">. </w:t>
      </w:r>
    </w:p>
    <w:p w14:paraId="76E12118" w14:textId="55CAFCEF" w:rsidR="001B061B" w:rsidRPr="008F0407" w:rsidRDefault="005B3AA2"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1B061B" w:rsidRPr="008F0407">
        <w:rPr>
          <w:rFonts w:ascii="Times New Roman" w:hAnsi="Times New Roman"/>
        </w:rPr>
        <w:t xml:space="preserve">In that case, </w:t>
      </w:r>
      <w:proofErr w:type="gramStart"/>
      <w:r w:rsidR="001B061B" w:rsidRPr="008F0407">
        <w:rPr>
          <w:rFonts w:ascii="Times New Roman" w:hAnsi="Times New Roman"/>
        </w:rPr>
        <w:t>a majority of</w:t>
      </w:r>
      <w:proofErr w:type="gramEnd"/>
      <w:r w:rsidR="001B061B" w:rsidRPr="008F0407">
        <w:rPr>
          <w:rFonts w:ascii="Times New Roman" w:hAnsi="Times New Roman"/>
        </w:rPr>
        <w:t xml:space="preserve"> the Western Australian Industrial Appeal Court (</w:t>
      </w:r>
      <w:proofErr w:type="spellStart"/>
      <w:r w:rsidR="001B061B" w:rsidRPr="008F0407">
        <w:rPr>
          <w:rFonts w:ascii="Times New Roman" w:hAnsi="Times New Roman"/>
        </w:rPr>
        <w:t>Steytler</w:t>
      </w:r>
      <w:proofErr w:type="spellEnd"/>
      <w:r w:rsidR="001B061B" w:rsidRPr="008F0407">
        <w:rPr>
          <w:rFonts w:ascii="Times New Roman" w:hAnsi="Times New Roman"/>
        </w:rPr>
        <w:t xml:space="preserve"> and Simmonds JJ, E</w:t>
      </w:r>
      <w:r w:rsidR="003532ED" w:rsidRPr="008F0407">
        <w:rPr>
          <w:rFonts w:ascii="Times New Roman" w:hAnsi="Times New Roman"/>
        </w:rPr>
        <w:t> </w:t>
      </w:r>
      <w:r w:rsidR="001B061B" w:rsidRPr="008F0407">
        <w:rPr>
          <w:rFonts w:ascii="Times New Roman" w:hAnsi="Times New Roman"/>
        </w:rPr>
        <w:t>M </w:t>
      </w:r>
      <w:proofErr w:type="spellStart"/>
      <w:r w:rsidR="001B061B" w:rsidRPr="008F0407">
        <w:rPr>
          <w:rFonts w:ascii="Times New Roman" w:hAnsi="Times New Roman"/>
        </w:rPr>
        <w:t>Heenan</w:t>
      </w:r>
      <w:proofErr w:type="spellEnd"/>
      <w:r w:rsidR="001B061B" w:rsidRPr="008F0407">
        <w:rPr>
          <w:rFonts w:ascii="Times New Roman" w:hAnsi="Times New Roman"/>
        </w:rPr>
        <w:t> J dissenting) held that two labourers who had entered into agreements with Construct to supply labour to Hanssen</w:t>
      </w:r>
      <w:r w:rsidR="00FE51D2" w:rsidRPr="008F0407">
        <w:rPr>
          <w:rFonts w:ascii="Times New Roman" w:hAnsi="Times New Roman"/>
        </w:rPr>
        <w:t>, on similar terms to the ASA signed by Mr McCourt,</w:t>
      </w:r>
      <w:r w:rsidR="001B061B" w:rsidRPr="008F0407">
        <w:rPr>
          <w:rFonts w:ascii="Times New Roman" w:hAnsi="Times New Roman"/>
        </w:rPr>
        <w:t xml:space="preserve"> were independent contractors. </w:t>
      </w:r>
      <w:r w:rsidR="00AE18BC" w:rsidRPr="008F0407">
        <w:rPr>
          <w:rFonts w:ascii="Times New Roman" w:hAnsi="Times New Roman"/>
        </w:rPr>
        <w:t xml:space="preserve">Lee J </w:t>
      </w:r>
      <w:r w:rsidR="00DD6C32" w:rsidRPr="008F0407">
        <w:rPr>
          <w:rFonts w:ascii="Times New Roman" w:hAnsi="Times New Roman"/>
        </w:rPr>
        <w:t>suggested that some of the misgivings he expressed in relation to the primary judge's approach</w:t>
      </w:r>
      <w:r w:rsidR="00CA64EA" w:rsidRPr="008F0407">
        <w:rPr>
          <w:rFonts w:ascii="Times New Roman" w:hAnsi="Times New Roman"/>
        </w:rPr>
        <w:t> </w:t>
      </w:r>
      <w:r w:rsidR="00DD6C32" w:rsidRPr="008F0407">
        <w:rPr>
          <w:rFonts w:ascii="Times New Roman" w:hAnsi="Times New Roman"/>
        </w:rPr>
        <w:t xml:space="preserve">– including those in relation to the relevance of the "own business" question and the contractual designation terms – might apply equally to the </w:t>
      </w:r>
      <w:r w:rsidR="00090CBB" w:rsidRPr="008F0407">
        <w:rPr>
          <w:rFonts w:ascii="Times New Roman" w:hAnsi="Times New Roman"/>
        </w:rPr>
        <w:t>majority's reasoning</w:t>
      </w:r>
      <w:r w:rsidR="00CA64EA" w:rsidRPr="008F0407">
        <w:rPr>
          <w:rFonts w:ascii="Times New Roman" w:hAnsi="Times New Roman"/>
        </w:rPr>
        <w:t xml:space="preserve"> in </w:t>
      </w:r>
      <w:r w:rsidR="00CA64EA" w:rsidRPr="008F0407">
        <w:rPr>
          <w:rFonts w:ascii="Times New Roman" w:hAnsi="Times New Roman"/>
          <w:i/>
        </w:rPr>
        <w:t>Personnel (No 1)</w:t>
      </w:r>
      <w:r w:rsidR="00CA64EA" w:rsidRPr="008F0407">
        <w:rPr>
          <w:rFonts w:ascii="Times New Roman" w:hAnsi="Times New Roman"/>
        </w:rPr>
        <w:t>.</w:t>
      </w:r>
      <w:r w:rsidR="00B4740C" w:rsidRPr="008F0407">
        <w:rPr>
          <w:rFonts w:ascii="Times New Roman" w:hAnsi="Times New Roman"/>
        </w:rPr>
        <w:t xml:space="preserve"> However, Lee J could not conclude </w:t>
      </w:r>
      <w:r w:rsidR="00B4740C" w:rsidRPr="008F0407">
        <w:rPr>
          <w:rFonts w:ascii="Times New Roman" w:hAnsi="Times New Roman"/>
        </w:rPr>
        <w:lastRenderedPageBreak/>
        <w:t>that the decision was plainly wrong</w:t>
      </w:r>
      <w:r w:rsidR="00783256" w:rsidRPr="008F0407">
        <w:rPr>
          <w:rStyle w:val="FootnoteReference"/>
          <w:rFonts w:ascii="Times New Roman" w:hAnsi="Times New Roman"/>
          <w:sz w:val="24"/>
        </w:rPr>
        <w:footnoteReference w:id="48"/>
      </w:r>
      <w:r w:rsidR="00B4740C" w:rsidRPr="008F0407">
        <w:rPr>
          <w:rFonts w:ascii="Times New Roman" w:hAnsi="Times New Roman"/>
        </w:rPr>
        <w:t xml:space="preserve">. </w:t>
      </w:r>
      <w:r w:rsidR="001B061B" w:rsidRPr="008F0407">
        <w:rPr>
          <w:rFonts w:ascii="Times New Roman" w:hAnsi="Times New Roman"/>
        </w:rPr>
        <w:t xml:space="preserve">Lee J noted that </w:t>
      </w:r>
      <w:r w:rsidR="00882F73" w:rsidRPr="008F0407">
        <w:rPr>
          <w:rFonts w:ascii="Times New Roman" w:hAnsi="Times New Roman"/>
        </w:rPr>
        <w:t xml:space="preserve">it </w:t>
      </w:r>
      <w:r w:rsidR="001B061B" w:rsidRPr="008F0407">
        <w:rPr>
          <w:rFonts w:ascii="Times New Roman" w:hAnsi="Times New Roman"/>
        </w:rPr>
        <w:t>had stood for 16</w:t>
      </w:r>
      <w:r w:rsidR="00882F73" w:rsidRPr="008F0407">
        <w:rPr>
          <w:rFonts w:ascii="Times New Roman" w:hAnsi="Times New Roman"/>
        </w:rPr>
        <w:t> </w:t>
      </w:r>
      <w:r w:rsidR="001B061B" w:rsidRPr="008F0407">
        <w:rPr>
          <w:rFonts w:ascii="Times New Roman" w:hAnsi="Times New Roman"/>
        </w:rPr>
        <w:t>years, during which time many entities had</w:t>
      </w:r>
      <w:r w:rsidRPr="008F0407">
        <w:rPr>
          <w:rFonts w:ascii="Times New Roman" w:hAnsi="Times New Roman"/>
        </w:rPr>
        <w:t xml:space="preserve"> presumably</w:t>
      </w:r>
      <w:r w:rsidR="001B061B" w:rsidRPr="008F0407">
        <w:rPr>
          <w:rFonts w:ascii="Times New Roman" w:hAnsi="Times New Roman"/>
        </w:rPr>
        <w:t xml:space="preserve"> relied on the decision in structuring their own arrangements</w:t>
      </w:r>
      <w:r w:rsidR="00882F73" w:rsidRPr="008F0407">
        <w:rPr>
          <w:rStyle w:val="FootnoteReference"/>
          <w:rFonts w:ascii="Times New Roman" w:hAnsi="Times New Roman"/>
          <w:sz w:val="24"/>
        </w:rPr>
        <w:footnoteReference w:id="49"/>
      </w:r>
      <w:r w:rsidR="001B061B" w:rsidRPr="008F0407">
        <w:rPr>
          <w:rFonts w:ascii="Times New Roman" w:hAnsi="Times New Roman"/>
        </w:rPr>
        <w:t xml:space="preserve">. </w:t>
      </w:r>
      <w:r w:rsidR="00882F73" w:rsidRPr="008F0407">
        <w:rPr>
          <w:rFonts w:ascii="Times New Roman" w:hAnsi="Times New Roman"/>
        </w:rPr>
        <w:t>On that basis, Lee J dismissed the appeal</w:t>
      </w:r>
      <w:r w:rsidR="00882F73" w:rsidRPr="008F0407">
        <w:rPr>
          <w:rStyle w:val="FootnoteReference"/>
          <w:rFonts w:ascii="Times New Roman" w:hAnsi="Times New Roman"/>
          <w:sz w:val="24"/>
        </w:rPr>
        <w:footnoteReference w:id="50"/>
      </w:r>
      <w:r w:rsidR="00882F73" w:rsidRPr="008F0407">
        <w:rPr>
          <w:rFonts w:ascii="Times New Roman" w:hAnsi="Times New Roman"/>
        </w:rPr>
        <w:t>.</w:t>
      </w:r>
    </w:p>
    <w:p w14:paraId="35BF99F8" w14:textId="03DF4C61" w:rsidR="001B061B" w:rsidRPr="008F0407" w:rsidRDefault="001B061B" w:rsidP="008F0407">
      <w:pPr>
        <w:pStyle w:val="FixListStyle"/>
        <w:spacing w:after="260" w:line="280" w:lineRule="exact"/>
        <w:ind w:right="0"/>
        <w:jc w:val="both"/>
        <w:rPr>
          <w:rFonts w:ascii="Times New Roman" w:hAnsi="Times New Roman"/>
        </w:rPr>
      </w:pPr>
      <w:r w:rsidRPr="008F0407">
        <w:rPr>
          <w:rFonts w:ascii="Times New Roman" w:hAnsi="Times New Roman"/>
        </w:rPr>
        <w:tab/>
      </w:r>
      <w:proofErr w:type="spellStart"/>
      <w:r w:rsidRPr="008F0407">
        <w:rPr>
          <w:rFonts w:ascii="Times New Roman" w:hAnsi="Times New Roman"/>
        </w:rPr>
        <w:t>Allsop</w:t>
      </w:r>
      <w:proofErr w:type="spellEnd"/>
      <w:r w:rsidRPr="008F0407">
        <w:rPr>
          <w:rFonts w:ascii="Times New Roman" w:hAnsi="Times New Roman"/>
        </w:rPr>
        <w:t> CJ, if unconstrained by authority, would also have concluded that Mr McCourt and Construct were in a relationship of employment</w:t>
      </w:r>
      <w:r w:rsidRPr="008F0407">
        <w:rPr>
          <w:rStyle w:val="FootnoteReference"/>
          <w:rFonts w:ascii="Times New Roman" w:hAnsi="Times New Roman"/>
          <w:sz w:val="24"/>
        </w:rPr>
        <w:footnoteReference w:id="51"/>
      </w:r>
      <w:r w:rsidRPr="008F0407">
        <w:rPr>
          <w:rFonts w:ascii="Times New Roman" w:hAnsi="Times New Roman"/>
        </w:rPr>
        <w:t xml:space="preserve"> because </w:t>
      </w:r>
      <w:r w:rsidR="008B1C81" w:rsidRPr="008F0407">
        <w:rPr>
          <w:rFonts w:ascii="Times New Roman" w:hAnsi="Times New Roman"/>
        </w:rPr>
        <w:t>there was no</w:t>
      </w:r>
      <w:r w:rsidRPr="008F0407">
        <w:rPr>
          <w:rFonts w:ascii="Times New Roman" w:hAnsi="Times New Roman"/>
        </w:rPr>
        <w:t xml:space="preserve"> indication that Mr McCourt was carrying on a business on his own account or that he </w:t>
      </w:r>
      <w:r w:rsidR="008B1C81" w:rsidRPr="008F0407">
        <w:rPr>
          <w:rFonts w:ascii="Times New Roman" w:hAnsi="Times New Roman"/>
        </w:rPr>
        <w:t xml:space="preserve">was acting </w:t>
      </w:r>
      <w:r w:rsidRPr="008F0407">
        <w:rPr>
          <w:rFonts w:ascii="Times New Roman" w:hAnsi="Times New Roman"/>
        </w:rPr>
        <w:t>in any capacity other than as a builder's labourer</w:t>
      </w:r>
      <w:r w:rsidRPr="008F0407">
        <w:rPr>
          <w:rStyle w:val="FootnoteReference"/>
          <w:rFonts w:ascii="Times New Roman" w:hAnsi="Times New Roman"/>
          <w:sz w:val="24"/>
        </w:rPr>
        <w:footnoteReference w:id="52"/>
      </w:r>
      <w:r w:rsidRPr="008F0407">
        <w:rPr>
          <w:rFonts w:ascii="Times New Roman" w:hAnsi="Times New Roman"/>
        </w:rPr>
        <w:t xml:space="preserve">. Nevertheless, </w:t>
      </w:r>
      <w:proofErr w:type="spellStart"/>
      <w:r w:rsidRPr="008F0407">
        <w:rPr>
          <w:rFonts w:ascii="Times New Roman" w:hAnsi="Times New Roman"/>
        </w:rPr>
        <w:t>Allsop</w:t>
      </w:r>
      <w:proofErr w:type="spellEnd"/>
      <w:r w:rsidRPr="008F0407">
        <w:rPr>
          <w:rFonts w:ascii="Times New Roman" w:hAnsi="Times New Roman"/>
        </w:rPr>
        <w:t xml:space="preserve"> CJ agreed with Lee J that the appeal should be dismissed because the reasons of the majority in </w:t>
      </w:r>
      <w:r w:rsidRPr="008F0407">
        <w:rPr>
          <w:rFonts w:ascii="Times New Roman" w:hAnsi="Times New Roman"/>
          <w:i/>
        </w:rPr>
        <w:t xml:space="preserve">Personnel (No 1) </w:t>
      </w:r>
      <w:r w:rsidRPr="008F0407">
        <w:rPr>
          <w:rFonts w:ascii="Times New Roman" w:hAnsi="Times New Roman"/>
        </w:rPr>
        <w:t xml:space="preserve">did not disclose clear error, </w:t>
      </w:r>
      <w:r w:rsidR="000C07AA" w:rsidRPr="008F0407">
        <w:rPr>
          <w:rFonts w:ascii="Times New Roman" w:hAnsi="Times New Roman"/>
        </w:rPr>
        <w:t>notwithstanding</w:t>
      </w:r>
      <w:r w:rsidRPr="008F0407">
        <w:rPr>
          <w:rFonts w:ascii="Times New Roman" w:hAnsi="Times New Roman"/>
        </w:rPr>
        <w:t xml:space="preserve"> what </w:t>
      </w:r>
      <w:proofErr w:type="spellStart"/>
      <w:r w:rsidR="0063241F" w:rsidRPr="008F0407">
        <w:rPr>
          <w:rFonts w:ascii="Times New Roman" w:hAnsi="Times New Roman"/>
        </w:rPr>
        <w:t>Allsop</w:t>
      </w:r>
      <w:proofErr w:type="spellEnd"/>
      <w:r w:rsidR="0063241F" w:rsidRPr="008F0407">
        <w:rPr>
          <w:rFonts w:ascii="Times New Roman" w:hAnsi="Times New Roman"/>
        </w:rPr>
        <w:t> CJ</w:t>
      </w:r>
      <w:r w:rsidRPr="008F0407">
        <w:rPr>
          <w:rFonts w:ascii="Times New Roman" w:hAnsi="Times New Roman"/>
        </w:rPr>
        <w:t xml:space="preserve"> considered to be an overly weighted importance on the contractual </w:t>
      </w:r>
      <w:r w:rsidR="003D3FEB" w:rsidRPr="008F0407">
        <w:rPr>
          <w:rFonts w:ascii="Times New Roman" w:hAnsi="Times New Roman"/>
        </w:rPr>
        <w:t>designation</w:t>
      </w:r>
      <w:r w:rsidRPr="008F0407">
        <w:rPr>
          <w:rFonts w:ascii="Times New Roman" w:hAnsi="Times New Roman"/>
        </w:rPr>
        <w:t xml:space="preserve"> terms</w:t>
      </w:r>
      <w:r w:rsidRPr="008F0407">
        <w:rPr>
          <w:rStyle w:val="FootnoteReference"/>
          <w:rFonts w:ascii="Times New Roman" w:hAnsi="Times New Roman"/>
          <w:sz w:val="24"/>
        </w:rPr>
        <w:footnoteReference w:id="53"/>
      </w:r>
      <w:r w:rsidRPr="008F0407">
        <w:rPr>
          <w:rFonts w:ascii="Times New Roman" w:hAnsi="Times New Roman"/>
        </w:rPr>
        <w:t xml:space="preserve">. </w:t>
      </w:r>
    </w:p>
    <w:p w14:paraId="3B7CE454" w14:textId="1BC3297A" w:rsidR="00A940A0" w:rsidRPr="008F0407" w:rsidRDefault="00A940A0" w:rsidP="008F0407">
      <w:pPr>
        <w:pStyle w:val="HeadingL1"/>
        <w:spacing w:after="260" w:line="280" w:lineRule="exact"/>
        <w:ind w:right="0"/>
        <w:jc w:val="both"/>
        <w:rPr>
          <w:rFonts w:ascii="Times New Roman" w:hAnsi="Times New Roman"/>
        </w:rPr>
      </w:pPr>
      <w:r w:rsidRPr="008F0407">
        <w:rPr>
          <w:rFonts w:ascii="Times New Roman" w:hAnsi="Times New Roman"/>
        </w:rPr>
        <w:t>The employment relationship and the multifactorial test</w:t>
      </w:r>
    </w:p>
    <w:p w14:paraId="291AFC26" w14:textId="074BC41E" w:rsidR="00DA2B4B" w:rsidRPr="008F0407" w:rsidRDefault="00DA2B4B" w:rsidP="008F0407">
      <w:pPr>
        <w:pStyle w:val="FixListStyle"/>
        <w:spacing w:after="260" w:line="280" w:lineRule="exact"/>
        <w:ind w:right="0"/>
        <w:jc w:val="both"/>
        <w:rPr>
          <w:rFonts w:ascii="Times New Roman" w:hAnsi="Times New Roman"/>
        </w:rPr>
      </w:pPr>
      <w:r w:rsidRPr="008F0407">
        <w:rPr>
          <w:rFonts w:ascii="Times New Roman" w:hAnsi="Times New Roman"/>
        </w:rPr>
        <w:tab/>
        <w:t xml:space="preserve">Both the primary judge and the Full Court </w:t>
      </w:r>
      <w:r w:rsidR="00AF0E59" w:rsidRPr="008F0407">
        <w:rPr>
          <w:rFonts w:ascii="Times New Roman" w:hAnsi="Times New Roman"/>
        </w:rPr>
        <w:t>applied</w:t>
      </w:r>
      <w:r w:rsidRPr="008F0407">
        <w:rPr>
          <w:rFonts w:ascii="Times New Roman" w:hAnsi="Times New Roman"/>
        </w:rPr>
        <w:t xml:space="preserve"> a "multifactorial test"</w:t>
      </w:r>
      <w:r w:rsidR="00AF0E59" w:rsidRPr="008F0407">
        <w:rPr>
          <w:rFonts w:ascii="Times New Roman" w:hAnsi="Times New Roman"/>
        </w:rPr>
        <w:t xml:space="preserve"> </w:t>
      </w:r>
      <w:r w:rsidRPr="008F0407">
        <w:rPr>
          <w:rFonts w:ascii="Times New Roman" w:hAnsi="Times New Roman"/>
        </w:rPr>
        <w:t xml:space="preserve">to the determination of whether Mr McCourt was an employee of Construct. </w:t>
      </w:r>
      <w:r w:rsidR="00DD27B5" w:rsidRPr="008F0407">
        <w:rPr>
          <w:rFonts w:ascii="Times New Roman" w:hAnsi="Times New Roman"/>
        </w:rPr>
        <w:t xml:space="preserve">The </w:t>
      </w:r>
      <w:proofErr w:type="gramStart"/>
      <w:r w:rsidR="00DD27B5" w:rsidRPr="008F0407">
        <w:rPr>
          <w:rFonts w:ascii="Times New Roman" w:hAnsi="Times New Roman"/>
        </w:rPr>
        <w:t>manner in which</w:t>
      </w:r>
      <w:proofErr w:type="gramEnd"/>
      <w:r w:rsidR="00DD27B5" w:rsidRPr="008F0407">
        <w:rPr>
          <w:rFonts w:ascii="Times New Roman" w:hAnsi="Times New Roman"/>
        </w:rPr>
        <w:t xml:space="preserve"> that </w:t>
      </w:r>
      <w:r w:rsidRPr="008F0407">
        <w:rPr>
          <w:rFonts w:ascii="Times New Roman" w:hAnsi="Times New Roman"/>
        </w:rPr>
        <w:t xml:space="preserve">approach </w:t>
      </w:r>
      <w:r w:rsidR="00DD27B5" w:rsidRPr="008F0407">
        <w:rPr>
          <w:rFonts w:ascii="Times New Roman" w:hAnsi="Times New Roman"/>
        </w:rPr>
        <w:t>was applied by those courts</w:t>
      </w:r>
      <w:r w:rsidR="003B5734" w:rsidRPr="008F0407">
        <w:rPr>
          <w:rFonts w:ascii="Times New Roman" w:hAnsi="Times New Roman"/>
        </w:rPr>
        <w:t xml:space="preserve">, following </w:t>
      </w:r>
      <w:r w:rsidR="003B5734" w:rsidRPr="008F0407">
        <w:rPr>
          <w:rFonts w:ascii="Times New Roman" w:hAnsi="Times New Roman"/>
          <w:i/>
        </w:rPr>
        <w:t>Personnel (No 1)</w:t>
      </w:r>
      <w:r w:rsidR="003B5734" w:rsidRPr="008F0407">
        <w:rPr>
          <w:rFonts w:ascii="Times New Roman" w:hAnsi="Times New Roman"/>
        </w:rPr>
        <w:t>,</w:t>
      </w:r>
      <w:r w:rsidR="00DD27B5" w:rsidRPr="008F0407">
        <w:rPr>
          <w:rFonts w:ascii="Times New Roman" w:hAnsi="Times New Roman"/>
        </w:rPr>
        <w:t xml:space="preserve"> </w:t>
      </w:r>
      <w:r w:rsidRPr="008F0407">
        <w:rPr>
          <w:rFonts w:ascii="Times New Roman" w:hAnsi="Times New Roman"/>
        </w:rPr>
        <w:t xml:space="preserve">is problematic in a number of respects. </w:t>
      </w:r>
    </w:p>
    <w:p w14:paraId="2697FD4E" w14:textId="6B399BDC" w:rsidR="0065424B" w:rsidRPr="008F0407" w:rsidRDefault="0065424B" w:rsidP="008F0407">
      <w:pPr>
        <w:pStyle w:val="HeadingL2"/>
        <w:spacing w:after="260" w:line="280" w:lineRule="exact"/>
        <w:ind w:right="0"/>
        <w:jc w:val="both"/>
        <w:rPr>
          <w:rFonts w:ascii="Times New Roman" w:hAnsi="Times New Roman"/>
        </w:rPr>
      </w:pPr>
      <w:r w:rsidRPr="008F0407">
        <w:rPr>
          <w:rFonts w:ascii="Times New Roman" w:hAnsi="Times New Roman"/>
        </w:rPr>
        <w:lastRenderedPageBreak/>
        <w:t>The "own business/employer's business" dichotomy</w:t>
      </w:r>
    </w:p>
    <w:p w14:paraId="6BB21D48" w14:textId="675632EA" w:rsidR="00B008B3" w:rsidRPr="008F0407" w:rsidRDefault="0065424B" w:rsidP="008F0407">
      <w:pPr>
        <w:pStyle w:val="FixListStyle"/>
        <w:spacing w:after="260" w:line="280" w:lineRule="exact"/>
        <w:ind w:right="0"/>
        <w:jc w:val="both"/>
        <w:rPr>
          <w:rFonts w:ascii="Times New Roman" w:hAnsi="Times New Roman"/>
        </w:rPr>
      </w:pPr>
      <w:r w:rsidRPr="008F0407">
        <w:rPr>
          <w:rFonts w:ascii="Times New Roman" w:hAnsi="Times New Roman"/>
        </w:rPr>
        <w:tab/>
        <w:t xml:space="preserve">A multifactorial approach is open to the objection that it </w:t>
      </w:r>
      <w:r w:rsidR="00991635" w:rsidRPr="008F0407">
        <w:rPr>
          <w:rFonts w:ascii="Times New Roman" w:hAnsi="Times New Roman"/>
        </w:rPr>
        <w:t>"</w:t>
      </w:r>
      <w:r w:rsidRPr="008F0407">
        <w:rPr>
          <w:rFonts w:ascii="Times New Roman" w:hAnsi="Times New Roman"/>
        </w:rPr>
        <w:t>does not provide any external test or requirement by which the materiality of the elements may be assessed"</w:t>
      </w:r>
      <w:r w:rsidRPr="008F0407">
        <w:rPr>
          <w:rStyle w:val="FootnoteReference"/>
          <w:rFonts w:ascii="Times New Roman" w:hAnsi="Times New Roman"/>
          <w:sz w:val="24"/>
        </w:rPr>
        <w:footnoteReference w:id="54"/>
      </w:r>
      <w:r w:rsidRPr="008F0407">
        <w:rPr>
          <w:rFonts w:ascii="Times New Roman" w:hAnsi="Times New Roman"/>
        </w:rPr>
        <w:t xml:space="preserve">. </w:t>
      </w:r>
      <w:r w:rsidR="00B008B3" w:rsidRPr="008F0407">
        <w:rPr>
          <w:rFonts w:ascii="Times New Roman" w:hAnsi="Times New Roman"/>
        </w:rPr>
        <w:t>As Lee J recognised in this case, without guidance as to the relative significance of the various factors the "multifactorial test" is distinctly "amorphous"</w:t>
      </w:r>
      <w:r w:rsidR="00B008B3" w:rsidRPr="008F0407">
        <w:rPr>
          <w:rStyle w:val="FootnoteReference"/>
          <w:rFonts w:ascii="Times New Roman" w:hAnsi="Times New Roman"/>
          <w:sz w:val="24"/>
        </w:rPr>
        <w:footnoteReference w:id="55"/>
      </w:r>
      <w:r w:rsidR="00B008B3" w:rsidRPr="008F0407">
        <w:rPr>
          <w:rFonts w:ascii="Times New Roman" w:hAnsi="Times New Roman"/>
        </w:rPr>
        <w:t xml:space="preserve"> in its application, is "necessarily impressionistic"</w:t>
      </w:r>
      <w:r w:rsidR="00B008B3" w:rsidRPr="008F0407">
        <w:rPr>
          <w:rStyle w:val="FootnoteReference"/>
          <w:rFonts w:ascii="Times New Roman" w:hAnsi="Times New Roman"/>
          <w:sz w:val="24"/>
        </w:rPr>
        <w:footnoteReference w:id="56"/>
      </w:r>
      <w:r w:rsidR="00632C94" w:rsidRPr="008F0407">
        <w:rPr>
          <w:rFonts w:ascii="Times New Roman" w:hAnsi="Times New Roman"/>
        </w:rPr>
        <w:t>,</w:t>
      </w:r>
      <w:r w:rsidR="00B008B3" w:rsidRPr="008F0407">
        <w:rPr>
          <w:rFonts w:ascii="Times New Roman" w:hAnsi="Times New Roman"/>
        </w:rPr>
        <w:t xml:space="preserve"> and</w:t>
      </w:r>
      <w:r w:rsidR="008D6856" w:rsidRPr="008F0407">
        <w:rPr>
          <w:rFonts w:ascii="Times New Roman" w:hAnsi="Times New Roman"/>
        </w:rPr>
        <w:t xml:space="preserve"> </w:t>
      </w:r>
      <w:r w:rsidR="00632C94" w:rsidRPr="008F0407">
        <w:rPr>
          <w:rFonts w:ascii="Times New Roman" w:hAnsi="Times New Roman"/>
        </w:rPr>
        <w:t xml:space="preserve">thereby </w:t>
      </w:r>
      <w:r w:rsidR="008D6856" w:rsidRPr="008F0407">
        <w:rPr>
          <w:rFonts w:ascii="Times New Roman" w:hAnsi="Times New Roman"/>
        </w:rPr>
        <w:t xml:space="preserve">is </w:t>
      </w:r>
      <w:r w:rsidR="00B008B3" w:rsidRPr="008F0407">
        <w:rPr>
          <w:rFonts w:ascii="Times New Roman" w:hAnsi="Times New Roman"/>
        </w:rPr>
        <w:t>"inevitably productive of inconsistency"</w:t>
      </w:r>
      <w:r w:rsidR="00B008B3" w:rsidRPr="008F0407">
        <w:rPr>
          <w:rStyle w:val="FootnoteReference"/>
          <w:rFonts w:ascii="Times New Roman" w:hAnsi="Times New Roman"/>
          <w:sz w:val="24"/>
        </w:rPr>
        <w:footnoteReference w:id="57"/>
      </w:r>
      <w:r w:rsidR="00B008B3" w:rsidRPr="008F0407">
        <w:rPr>
          <w:rFonts w:ascii="Times New Roman" w:hAnsi="Times New Roman"/>
        </w:rPr>
        <w:t xml:space="preserve">. </w:t>
      </w:r>
      <w:r w:rsidR="00275217" w:rsidRPr="008F0407">
        <w:rPr>
          <w:rFonts w:ascii="Times New Roman" w:hAnsi="Times New Roman"/>
        </w:rPr>
        <w:t>Such</w:t>
      </w:r>
      <w:r w:rsidR="00B008B3" w:rsidRPr="008F0407">
        <w:rPr>
          <w:rFonts w:ascii="Times New Roman" w:hAnsi="Times New Roman"/>
        </w:rPr>
        <w:t xml:space="preserve"> a test </w:t>
      </w:r>
      <w:r w:rsidR="00275217" w:rsidRPr="008F0407">
        <w:rPr>
          <w:rFonts w:ascii="Times New Roman" w:hAnsi="Times New Roman"/>
        </w:rPr>
        <w:t xml:space="preserve">is </w:t>
      </w:r>
      <w:r w:rsidR="00B008B3" w:rsidRPr="008F0407">
        <w:rPr>
          <w:rFonts w:ascii="Times New Roman" w:hAnsi="Times New Roman"/>
        </w:rPr>
        <w:t xml:space="preserve">apt to generate considerable uncertainty, both for parties and for the courts. That uncertainty is exacerbated where </w:t>
      </w:r>
      <w:r w:rsidR="005E369C" w:rsidRPr="008F0407">
        <w:rPr>
          <w:rFonts w:ascii="Times New Roman" w:hAnsi="Times New Roman"/>
        </w:rPr>
        <w:t xml:space="preserve">it is contended that </w:t>
      </w:r>
      <w:r w:rsidR="00B008B3" w:rsidRPr="008F0407">
        <w:rPr>
          <w:rFonts w:ascii="Times New Roman" w:hAnsi="Times New Roman"/>
        </w:rPr>
        <w:t xml:space="preserve">the test is to be applied in respect of the parties' conduct over the whole course of their dealings with each other. </w:t>
      </w:r>
    </w:p>
    <w:p w14:paraId="2FDD5A13" w14:textId="1563DDCB" w:rsidR="0065424B" w:rsidRPr="008F0407" w:rsidRDefault="00B008B3"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65424B" w:rsidRPr="008F0407">
        <w:rPr>
          <w:rFonts w:ascii="Times New Roman" w:hAnsi="Times New Roman"/>
        </w:rPr>
        <w:t xml:space="preserve">In </w:t>
      </w:r>
      <w:r w:rsidR="0065424B" w:rsidRPr="008F0407">
        <w:rPr>
          <w:rFonts w:ascii="Times New Roman" w:hAnsi="Times New Roman"/>
          <w:i/>
          <w:iCs/>
        </w:rPr>
        <w:t>Stevens</w:t>
      </w:r>
      <w:r w:rsidR="0065424B" w:rsidRPr="008F0407">
        <w:rPr>
          <w:rFonts w:ascii="Times New Roman" w:hAnsi="Times New Roman"/>
        </w:rPr>
        <w:t xml:space="preserve"> </w:t>
      </w:r>
      <w:r w:rsidR="00066A23" w:rsidRPr="008F0407">
        <w:rPr>
          <w:rFonts w:ascii="Times New Roman" w:hAnsi="Times New Roman"/>
          <w:i/>
          <w:iCs/>
        </w:rPr>
        <w:t xml:space="preserve">v </w:t>
      </w:r>
      <w:proofErr w:type="spellStart"/>
      <w:r w:rsidR="00613E27" w:rsidRPr="008F0407">
        <w:rPr>
          <w:rFonts w:ascii="Times New Roman" w:hAnsi="Times New Roman"/>
          <w:i/>
          <w:iCs/>
        </w:rPr>
        <w:t>Brodribb</w:t>
      </w:r>
      <w:proofErr w:type="spellEnd"/>
      <w:r w:rsidR="00613E27" w:rsidRPr="008F0407">
        <w:rPr>
          <w:rFonts w:ascii="Times New Roman" w:hAnsi="Times New Roman"/>
          <w:i/>
          <w:iCs/>
        </w:rPr>
        <w:t xml:space="preserve"> Sawmilling Co Pty Ltd</w:t>
      </w:r>
      <w:r w:rsidR="00F40CB4" w:rsidRPr="008F0407">
        <w:rPr>
          <w:rStyle w:val="FootnoteReference"/>
          <w:rFonts w:ascii="Times New Roman" w:hAnsi="Times New Roman"/>
          <w:iCs/>
          <w:sz w:val="24"/>
        </w:rPr>
        <w:footnoteReference w:id="58"/>
      </w:r>
      <w:r w:rsidR="00613E27" w:rsidRPr="008F0407">
        <w:rPr>
          <w:rFonts w:ascii="Times New Roman" w:hAnsi="Times New Roman"/>
          <w:iCs/>
        </w:rPr>
        <w:t xml:space="preserve"> </w:t>
      </w:r>
      <w:r w:rsidR="00613E27" w:rsidRPr="008F0407">
        <w:rPr>
          <w:rFonts w:ascii="Times New Roman" w:hAnsi="Times New Roman"/>
        </w:rPr>
        <w:t xml:space="preserve">and </w:t>
      </w:r>
      <w:r w:rsidR="00613E27" w:rsidRPr="008F0407">
        <w:rPr>
          <w:rFonts w:ascii="Times New Roman" w:hAnsi="Times New Roman"/>
          <w:i/>
          <w:iCs/>
        </w:rPr>
        <w:t xml:space="preserve">Hollis v </w:t>
      </w:r>
      <w:proofErr w:type="spellStart"/>
      <w:r w:rsidR="00613E27" w:rsidRPr="008F0407">
        <w:rPr>
          <w:rFonts w:ascii="Times New Roman" w:hAnsi="Times New Roman"/>
          <w:i/>
          <w:iCs/>
        </w:rPr>
        <w:t>Vabu</w:t>
      </w:r>
      <w:proofErr w:type="spellEnd"/>
      <w:r w:rsidR="00613E27" w:rsidRPr="008F0407">
        <w:rPr>
          <w:rFonts w:ascii="Times New Roman" w:hAnsi="Times New Roman"/>
          <w:i/>
          <w:iCs/>
        </w:rPr>
        <w:t xml:space="preserve"> Pty Ltd</w:t>
      </w:r>
      <w:r w:rsidR="00F40CB4" w:rsidRPr="008F0407">
        <w:rPr>
          <w:rStyle w:val="FootnoteReference"/>
          <w:rFonts w:ascii="Times New Roman" w:hAnsi="Times New Roman"/>
          <w:iCs/>
          <w:sz w:val="24"/>
        </w:rPr>
        <w:footnoteReference w:id="59"/>
      </w:r>
      <w:r w:rsidR="0065424B" w:rsidRPr="008F0407">
        <w:rPr>
          <w:rFonts w:ascii="Times New Roman" w:hAnsi="Times New Roman"/>
        </w:rPr>
        <w:t>, it was said that the character</w:t>
      </w:r>
      <w:r w:rsidR="00EB2462" w:rsidRPr="008F0407">
        <w:rPr>
          <w:rFonts w:ascii="Times New Roman" w:hAnsi="Times New Roman"/>
        </w:rPr>
        <w:t>isation</w:t>
      </w:r>
      <w:r w:rsidR="0065424B" w:rsidRPr="008F0407">
        <w:rPr>
          <w:rFonts w:ascii="Times New Roman" w:hAnsi="Times New Roman"/>
        </w:rPr>
        <w:t xml:space="preserve"> of a</w:t>
      </w:r>
      <w:r w:rsidR="00EB2462" w:rsidRPr="008F0407">
        <w:rPr>
          <w:rFonts w:ascii="Times New Roman" w:hAnsi="Times New Roman"/>
        </w:rPr>
        <w:t xml:space="preserve"> relationship as being either one of employment or one of principal and independent contractor </w:t>
      </w:r>
      <w:r w:rsidR="0065424B" w:rsidRPr="008F0407">
        <w:rPr>
          <w:rFonts w:ascii="Times New Roman" w:hAnsi="Times New Roman"/>
        </w:rPr>
        <w:t>is to be determined by reference to "the totality of the relationship between the parties"</w:t>
      </w:r>
      <w:r w:rsidR="001A79EA" w:rsidRPr="008F0407">
        <w:rPr>
          <w:rFonts w:ascii="Times New Roman" w:hAnsi="Times New Roman"/>
        </w:rPr>
        <w:t xml:space="preserve">. </w:t>
      </w:r>
      <w:r w:rsidR="002F5AEE" w:rsidRPr="008F0407">
        <w:rPr>
          <w:rFonts w:ascii="Times New Roman" w:hAnsi="Times New Roman"/>
        </w:rPr>
        <w:t>It</w:t>
      </w:r>
      <w:r w:rsidR="0065424B" w:rsidRPr="008F0407">
        <w:rPr>
          <w:rFonts w:ascii="Times New Roman" w:hAnsi="Times New Roman"/>
        </w:rPr>
        <w:t xml:space="preserve"> was not suggested that </w:t>
      </w:r>
      <w:r w:rsidR="001722BB" w:rsidRPr="008F0407">
        <w:rPr>
          <w:rFonts w:ascii="Times New Roman" w:hAnsi="Times New Roman"/>
        </w:rPr>
        <w:t xml:space="preserve">this </w:t>
      </w:r>
      <w:r w:rsidR="0065424B" w:rsidRPr="008F0407">
        <w:rPr>
          <w:rFonts w:ascii="Times New Roman" w:hAnsi="Times New Roman"/>
        </w:rPr>
        <w:t xml:space="preserve">assessment should proceed as if the court is </w:t>
      </w:r>
      <w:r w:rsidR="001722BB" w:rsidRPr="008F0407">
        <w:rPr>
          <w:rFonts w:ascii="Times New Roman" w:hAnsi="Times New Roman"/>
        </w:rPr>
        <w:t>running down</w:t>
      </w:r>
      <w:r w:rsidR="0065424B" w:rsidRPr="008F0407">
        <w:rPr>
          <w:rFonts w:ascii="Times New Roman" w:hAnsi="Times New Roman"/>
        </w:rPr>
        <w:t xml:space="preserve"> items on a checklist in order to determine a balance of ticks and crosses. It has never been suggested that the factors identified </w:t>
      </w:r>
      <w:r w:rsidR="00A075DD" w:rsidRPr="008F0407">
        <w:rPr>
          <w:rFonts w:ascii="Times New Roman" w:hAnsi="Times New Roman"/>
        </w:rPr>
        <w:t xml:space="preserve">to be </w:t>
      </w:r>
      <w:r w:rsidR="0065424B" w:rsidRPr="008F0407">
        <w:rPr>
          <w:rFonts w:ascii="Times New Roman" w:hAnsi="Times New Roman"/>
        </w:rPr>
        <w:t xml:space="preserve">relevant are of equal weight in the characterisation of the relationship. Some </w:t>
      </w:r>
      <w:r w:rsidR="00DB3F16" w:rsidRPr="008F0407">
        <w:rPr>
          <w:rFonts w:ascii="Times New Roman" w:hAnsi="Times New Roman"/>
        </w:rPr>
        <w:t xml:space="preserve">understanding </w:t>
      </w:r>
      <w:r w:rsidR="0065424B" w:rsidRPr="008F0407">
        <w:rPr>
          <w:rFonts w:ascii="Times New Roman" w:hAnsi="Times New Roman"/>
        </w:rPr>
        <w:t xml:space="preserve">as to the relative significance of the various factors is </w:t>
      </w:r>
      <w:r w:rsidR="00DB3F16" w:rsidRPr="008F0407">
        <w:rPr>
          <w:rFonts w:ascii="Times New Roman" w:hAnsi="Times New Roman"/>
        </w:rPr>
        <w:t xml:space="preserve">desirable, </w:t>
      </w:r>
      <w:r w:rsidR="0065424B" w:rsidRPr="008F0407">
        <w:rPr>
          <w:rFonts w:ascii="Times New Roman" w:hAnsi="Times New Roman"/>
        </w:rPr>
        <w:t xml:space="preserve">both to minimise the extent to which application of the test may produce an impressionistic and subjective outcome on </w:t>
      </w:r>
      <w:r w:rsidR="0065424B" w:rsidRPr="008F0407">
        <w:rPr>
          <w:rFonts w:ascii="Times New Roman" w:hAnsi="Times New Roman"/>
        </w:rPr>
        <w:lastRenderedPageBreak/>
        <w:t>the one hand, and to avoid the injustice of a mechanistic checklist approach on the other</w:t>
      </w:r>
      <w:r w:rsidR="0065424B" w:rsidRPr="008F0407">
        <w:rPr>
          <w:rStyle w:val="FootnoteReference"/>
          <w:rFonts w:ascii="Times New Roman" w:hAnsi="Times New Roman"/>
          <w:sz w:val="24"/>
        </w:rPr>
        <w:footnoteReference w:id="60"/>
      </w:r>
      <w:r w:rsidR="0065424B" w:rsidRPr="008F0407">
        <w:rPr>
          <w:rFonts w:ascii="Times New Roman" w:hAnsi="Times New Roman"/>
        </w:rPr>
        <w:t>.</w:t>
      </w:r>
    </w:p>
    <w:p w14:paraId="33043A33" w14:textId="350B07FC" w:rsidR="001B361E" w:rsidRPr="008F0407" w:rsidRDefault="0065424B"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6E113E" w:rsidRPr="008F0407">
        <w:rPr>
          <w:rFonts w:ascii="Times New Roman" w:hAnsi="Times New Roman"/>
        </w:rPr>
        <w:t xml:space="preserve">In this Court, the appellants submitted that </w:t>
      </w:r>
      <w:r w:rsidR="00826910" w:rsidRPr="008F0407">
        <w:rPr>
          <w:rFonts w:ascii="Times New Roman" w:hAnsi="Times New Roman"/>
        </w:rPr>
        <w:t xml:space="preserve">the question whether a labourer </w:t>
      </w:r>
      <w:r w:rsidR="00A075DD" w:rsidRPr="008F0407">
        <w:rPr>
          <w:rFonts w:ascii="Times New Roman" w:hAnsi="Times New Roman"/>
        </w:rPr>
        <w:t xml:space="preserve">is </w:t>
      </w:r>
      <w:r w:rsidR="00826910" w:rsidRPr="008F0407">
        <w:rPr>
          <w:rFonts w:ascii="Times New Roman" w:hAnsi="Times New Roman"/>
        </w:rPr>
        <w:t>conducting his or her own independent business, as distinct from serving in the business of the employer, provide</w:t>
      </w:r>
      <w:r w:rsidR="00DF064F" w:rsidRPr="008F0407">
        <w:rPr>
          <w:rFonts w:ascii="Times New Roman" w:hAnsi="Times New Roman"/>
        </w:rPr>
        <w:t>s</w:t>
      </w:r>
      <w:r w:rsidR="00826910" w:rsidRPr="008F0407">
        <w:rPr>
          <w:rFonts w:ascii="Times New Roman" w:hAnsi="Times New Roman"/>
        </w:rPr>
        <w:t xml:space="preserve"> a more meaningful </w:t>
      </w:r>
      <w:r w:rsidR="00DF064F" w:rsidRPr="008F0407">
        <w:rPr>
          <w:rFonts w:ascii="Times New Roman" w:hAnsi="Times New Roman"/>
        </w:rPr>
        <w:t xml:space="preserve">framework </w:t>
      </w:r>
      <w:r w:rsidR="003A6A03" w:rsidRPr="008F0407">
        <w:rPr>
          <w:rFonts w:ascii="Times New Roman" w:hAnsi="Times New Roman"/>
        </w:rPr>
        <w:t xml:space="preserve">to guide the </w:t>
      </w:r>
      <w:r w:rsidR="0031347F" w:rsidRPr="008F0407">
        <w:rPr>
          <w:rFonts w:ascii="Times New Roman" w:hAnsi="Times New Roman"/>
        </w:rPr>
        <w:t>characterisation of the parties' relationship</w:t>
      </w:r>
      <w:r w:rsidR="003A6A03" w:rsidRPr="008F0407">
        <w:rPr>
          <w:rFonts w:ascii="Times New Roman" w:hAnsi="Times New Roman"/>
        </w:rPr>
        <w:t>. There is force in that submission</w:t>
      </w:r>
      <w:r w:rsidR="001B361E" w:rsidRPr="008F0407">
        <w:rPr>
          <w:rFonts w:ascii="Times New Roman" w:hAnsi="Times New Roman"/>
        </w:rPr>
        <w:t>.</w:t>
      </w:r>
    </w:p>
    <w:p w14:paraId="6A2AA2D5" w14:textId="70EC2FE5" w:rsidR="0065424B" w:rsidRPr="008F0407" w:rsidRDefault="0065424B" w:rsidP="008F0407">
      <w:pPr>
        <w:pStyle w:val="FixListStyle"/>
        <w:spacing w:after="260" w:line="280" w:lineRule="exact"/>
        <w:ind w:right="0"/>
        <w:jc w:val="both"/>
        <w:rPr>
          <w:rFonts w:ascii="Times New Roman" w:hAnsi="Times New Roman"/>
        </w:rPr>
      </w:pPr>
      <w:r w:rsidRPr="008F0407">
        <w:rPr>
          <w:rFonts w:ascii="Times New Roman" w:hAnsi="Times New Roman"/>
        </w:rPr>
        <w:tab/>
        <w:t xml:space="preserve">The value of </w:t>
      </w:r>
      <w:r w:rsidR="0031347F" w:rsidRPr="008F0407">
        <w:rPr>
          <w:rFonts w:ascii="Times New Roman" w:hAnsi="Times New Roman"/>
        </w:rPr>
        <w:t>the "own business</w:t>
      </w:r>
      <w:r w:rsidR="00691752" w:rsidRPr="008F0407">
        <w:rPr>
          <w:rFonts w:ascii="Times New Roman" w:hAnsi="Times New Roman"/>
        </w:rPr>
        <w:t xml:space="preserve">/employer's business" dichotomy </w:t>
      </w:r>
      <w:r w:rsidRPr="008F0407">
        <w:rPr>
          <w:rFonts w:ascii="Times New Roman" w:hAnsi="Times New Roman"/>
        </w:rPr>
        <w:t>in determining whether a person engaged to undertake work for another is an employee of that other has long been recognised. In an opinion written a century ago</w:t>
      </w:r>
      <w:r w:rsidR="0030620C" w:rsidRPr="008F0407">
        <w:rPr>
          <w:rFonts w:ascii="Times New Roman" w:hAnsi="Times New Roman"/>
        </w:rPr>
        <w:t>, expressed in the language of the time,</w:t>
      </w:r>
      <w:r w:rsidRPr="008F0407">
        <w:rPr>
          <w:rFonts w:ascii="Times New Roman" w:hAnsi="Times New Roman"/>
        </w:rPr>
        <w:t xml:space="preserve"> by Andrews J for a strong New York Court of Appeals in </w:t>
      </w:r>
      <w:r w:rsidRPr="008F0407">
        <w:rPr>
          <w:rFonts w:ascii="Times New Roman" w:hAnsi="Times New Roman"/>
          <w:i/>
          <w:iCs/>
        </w:rPr>
        <w:t>Braxton v Mendelson</w:t>
      </w:r>
      <w:r w:rsidRPr="008F0407">
        <w:rPr>
          <w:rStyle w:val="FootnoteReference"/>
          <w:rFonts w:ascii="Times New Roman" w:hAnsi="Times New Roman"/>
          <w:iCs/>
          <w:sz w:val="24"/>
        </w:rPr>
        <w:footnoteReference w:id="61"/>
      </w:r>
      <w:r w:rsidRPr="008F0407">
        <w:rPr>
          <w:rFonts w:ascii="Times New Roman" w:hAnsi="Times New Roman"/>
        </w:rPr>
        <w:t xml:space="preserve">, </w:t>
      </w:r>
      <w:r w:rsidR="00DF281A" w:rsidRPr="008F0407">
        <w:rPr>
          <w:rFonts w:ascii="Times New Roman" w:hAnsi="Times New Roman"/>
        </w:rPr>
        <w:t>his Honour</w:t>
      </w:r>
      <w:r w:rsidRPr="008F0407">
        <w:rPr>
          <w:rFonts w:ascii="Times New Roman" w:hAnsi="Times New Roman"/>
        </w:rPr>
        <w:t xml:space="preserve"> said</w:t>
      </w:r>
      <w:r w:rsidR="003A736C" w:rsidRPr="008F0407">
        <w:rPr>
          <w:rFonts w:ascii="Times New Roman" w:hAnsi="Times New Roman"/>
        </w:rPr>
        <w:t>:</w:t>
      </w:r>
    </w:p>
    <w:p w14:paraId="03233274" w14:textId="77777777" w:rsidR="008F0407" w:rsidRDefault="008A4461" w:rsidP="008F0407">
      <w:pPr>
        <w:pStyle w:val="LeftrightafterHC"/>
        <w:spacing w:before="0" w:after="260" w:line="280" w:lineRule="exact"/>
        <w:ind w:right="0"/>
        <w:jc w:val="both"/>
        <w:rPr>
          <w:rFonts w:ascii="Times New Roman" w:hAnsi="Times New Roman"/>
        </w:rPr>
      </w:pPr>
      <w:r w:rsidRPr="008F0407">
        <w:rPr>
          <w:rFonts w:ascii="Times New Roman" w:hAnsi="Times New Roman"/>
        </w:rPr>
        <w:tab/>
        <w:t>"Ordinarily no one fact is decisive. The payment of wages; the right to hire or discharge; the right to direct the servant where to go, and what to do; the custody or ownership of the tools and appliances he may use in his work; the business in which the master is engaged or that of him said to be a special employer; none of these things give us an infallible test. At times any or all of them may be considered. The question remains: In whose business was the servant engaged at the time?"</w:t>
      </w:r>
    </w:p>
    <w:p w14:paraId="6A45009C" w14:textId="02C60E67" w:rsidR="00C77F8B" w:rsidRPr="008F0407" w:rsidRDefault="00495B20" w:rsidP="008F0407">
      <w:pPr>
        <w:pStyle w:val="FixListStyle"/>
        <w:spacing w:after="260" w:line="280" w:lineRule="exact"/>
        <w:ind w:right="0"/>
        <w:jc w:val="both"/>
        <w:rPr>
          <w:rFonts w:ascii="Times New Roman" w:hAnsi="Times New Roman"/>
        </w:rPr>
      </w:pPr>
      <w:r w:rsidRPr="008F0407">
        <w:rPr>
          <w:rFonts w:ascii="Times New Roman" w:hAnsi="Times New Roman"/>
        </w:rPr>
        <w:tab/>
        <w:t xml:space="preserve">In </w:t>
      </w:r>
      <w:r w:rsidRPr="008F0407">
        <w:rPr>
          <w:rFonts w:ascii="Times New Roman" w:hAnsi="Times New Roman"/>
          <w:i/>
          <w:iCs/>
        </w:rPr>
        <w:t>Marshall v Whittaker's Building Supply Co</w:t>
      </w:r>
      <w:r w:rsidRPr="008F0407">
        <w:rPr>
          <w:rStyle w:val="FootnoteReference"/>
          <w:rFonts w:ascii="Times New Roman" w:hAnsi="Times New Roman"/>
          <w:iCs/>
          <w:sz w:val="24"/>
        </w:rPr>
        <w:footnoteReference w:id="62"/>
      </w:r>
      <w:r w:rsidRPr="008F0407">
        <w:rPr>
          <w:rFonts w:ascii="Times New Roman" w:hAnsi="Times New Roman"/>
        </w:rPr>
        <w:t>, Windeyer J said that the distinction between an employee and an independent contractor is</w:t>
      </w:r>
      <w:r w:rsidR="00C77F8B" w:rsidRPr="008F0407">
        <w:rPr>
          <w:rFonts w:ascii="Times New Roman" w:hAnsi="Times New Roman"/>
        </w:rPr>
        <w:t>:</w:t>
      </w:r>
      <w:r w:rsidRPr="008F0407">
        <w:rPr>
          <w:rFonts w:ascii="Times New Roman" w:hAnsi="Times New Roman"/>
        </w:rPr>
        <w:t xml:space="preserve"> </w:t>
      </w:r>
    </w:p>
    <w:p w14:paraId="5AF0A383" w14:textId="77777777" w:rsidR="008F0407" w:rsidRDefault="00495B20" w:rsidP="008F0407">
      <w:pPr>
        <w:pStyle w:val="LeftrightafterHC"/>
        <w:spacing w:before="0" w:after="260" w:line="280" w:lineRule="exact"/>
        <w:ind w:right="0"/>
        <w:jc w:val="both"/>
        <w:rPr>
          <w:rFonts w:ascii="Times New Roman" w:hAnsi="Times New Roman"/>
        </w:rPr>
      </w:pPr>
      <w:r w:rsidRPr="008F0407">
        <w:rPr>
          <w:rFonts w:ascii="Times New Roman" w:hAnsi="Times New Roman"/>
        </w:rPr>
        <w:t>"rooted fundamentally in the difference between a person who serves his employer in his, the employer's</w:t>
      </w:r>
      <w:r w:rsidR="00170FA6" w:rsidRPr="008F0407">
        <w:rPr>
          <w:rFonts w:ascii="Times New Roman" w:hAnsi="Times New Roman"/>
        </w:rPr>
        <w:t>,</w:t>
      </w:r>
      <w:r w:rsidRPr="008F0407">
        <w:rPr>
          <w:rFonts w:ascii="Times New Roman" w:hAnsi="Times New Roman"/>
        </w:rPr>
        <w:t xml:space="preserve"> business, and a person who carries on a trade or business of his own</w:t>
      </w:r>
      <w:r w:rsidR="008A4670" w:rsidRPr="008F0407">
        <w:rPr>
          <w:rFonts w:ascii="Times New Roman" w:hAnsi="Times New Roman"/>
        </w:rPr>
        <w:t>.</w:t>
      </w:r>
      <w:r w:rsidRPr="008F0407">
        <w:rPr>
          <w:rFonts w:ascii="Times New Roman" w:hAnsi="Times New Roman"/>
        </w:rPr>
        <w:t xml:space="preserve">" </w:t>
      </w:r>
    </w:p>
    <w:p w14:paraId="00B5AF8E" w14:textId="753A5C37" w:rsidR="0065424B" w:rsidRPr="008F0407" w:rsidRDefault="00170FA6"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65424B" w:rsidRPr="008F0407">
        <w:rPr>
          <w:rFonts w:ascii="Times New Roman" w:hAnsi="Times New Roman"/>
        </w:rPr>
        <w:t xml:space="preserve">In </w:t>
      </w:r>
      <w:r w:rsidR="0065424B" w:rsidRPr="008F0407">
        <w:rPr>
          <w:rFonts w:ascii="Times New Roman" w:hAnsi="Times New Roman"/>
          <w:i/>
        </w:rPr>
        <w:t>Stevens</w:t>
      </w:r>
      <w:r w:rsidR="0002618F" w:rsidRPr="008F0407">
        <w:rPr>
          <w:rStyle w:val="FootnoteReference"/>
          <w:rFonts w:ascii="Times New Roman" w:hAnsi="Times New Roman"/>
          <w:sz w:val="24"/>
        </w:rPr>
        <w:footnoteReference w:id="63"/>
      </w:r>
      <w:r w:rsidR="0065424B" w:rsidRPr="008F0407">
        <w:rPr>
          <w:rFonts w:ascii="Times New Roman" w:hAnsi="Times New Roman"/>
        </w:rPr>
        <w:t xml:space="preserve">, Wilson and Dawson JJ observed that Windeyer J in </w:t>
      </w:r>
      <w:r w:rsidR="0065424B" w:rsidRPr="008F0407">
        <w:rPr>
          <w:rFonts w:ascii="Times New Roman" w:hAnsi="Times New Roman"/>
          <w:i/>
        </w:rPr>
        <w:t xml:space="preserve">Marshall </w:t>
      </w:r>
      <w:r w:rsidR="0065424B" w:rsidRPr="008F0407">
        <w:rPr>
          <w:rFonts w:ascii="Times New Roman" w:hAnsi="Times New Roman"/>
        </w:rPr>
        <w:t>"was really posing the ultimate question in a different way". Similarly</w:t>
      </w:r>
      <w:r w:rsidRPr="008F0407">
        <w:rPr>
          <w:rFonts w:ascii="Times New Roman" w:hAnsi="Times New Roman"/>
        </w:rPr>
        <w:t>,</w:t>
      </w:r>
      <w:r w:rsidR="0065424B" w:rsidRPr="008F0407">
        <w:rPr>
          <w:rFonts w:ascii="Times New Roman" w:hAnsi="Times New Roman"/>
        </w:rPr>
        <w:t xml:space="preserve"> in </w:t>
      </w:r>
      <w:r w:rsidR="0065424B" w:rsidRPr="008F0407">
        <w:rPr>
          <w:rFonts w:ascii="Times New Roman" w:hAnsi="Times New Roman"/>
          <w:i/>
          <w:iCs/>
        </w:rPr>
        <w:t>Hollis</w:t>
      </w:r>
      <w:r w:rsidR="0065424B" w:rsidRPr="008F0407">
        <w:rPr>
          <w:rStyle w:val="FootnoteReference"/>
          <w:rFonts w:ascii="Times New Roman" w:hAnsi="Times New Roman"/>
          <w:iCs/>
          <w:sz w:val="24"/>
        </w:rPr>
        <w:footnoteReference w:id="64"/>
      </w:r>
      <w:r w:rsidR="0065424B" w:rsidRPr="008F0407">
        <w:rPr>
          <w:rFonts w:ascii="Times New Roman" w:hAnsi="Times New Roman"/>
        </w:rPr>
        <w:t xml:space="preserve">, the plurality referred to the statement of Windeyer J as </w:t>
      </w:r>
      <w:r w:rsidR="004E57E8" w:rsidRPr="008F0407">
        <w:rPr>
          <w:rFonts w:ascii="Times New Roman" w:hAnsi="Times New Roman"/>
        </w:rPr>
        <w:t>reflecting</w:t>
      </w:r>
      <w:r w:rsidR="0065424B" w:rsidRPr="008F0407">
        <w:rPr>
          <w:rFonts w:ascii="Times New Roman" w:hAnsi="Times New Roman"/>
        </w:rPr>
        <w:t xml:space="preserve"> the </w:t>
      </w:r>
      <w:r w:rsidR="0065424B" w:rsidRPr="008F0407">
        <w:rPr>
          <w:rFonts w:ascii="Times New Roman" w:hAnsi="Times New Roman"/>
        </w:rPr>
        <w:lastRenderedPageBreak/>
        <w:t xml:space="preserve">"representation and </w:t>
      </w:r>
      <w:r w:rsidR="004E57E8" w:rsidRPr="008F0407">
        <w:rPr>
          <w:rFonts w:ascii="Times New Roman" w:hAnsi="Times New Roman"/>
        </w:rPr>
        <w:t xml:space="preserve">... </w:t>
      </w:r>
      <w:r w:rsidR="0065424B" w:rsidRPr="008F0407">
        <w:rPr>
          <w:rFonts w:ascii="Times New Roman" w:hAnsi="Times New Roman"/>
        </w:rPr>
        <w:t xml:space="preserve">identification with the </w:t>
      </w:r>
      <w:r w:rsidR="004E57E8" w:rsidRPr="008F0407">
        <w:rPr>
          <w:rFonts w:ascii="Times New Roman" w:hAnsi="Times New Roman"/>
        </w:rPr>
        <w:t xml:space="preserve">alleged </w:t>
      </w:r>
      <w:r w:rsidR="0065424B" w:rsidRPr="008F0407">
        <w:rPr>
          <w:rFonts w:ascii="Times New Roman" w:hAnsi="Times New Roman"/>
        </w:rPr>
        <w:t>employer</w:t>
      </w:r>
      <w:r w:rsidR="004E57E8" w:rsidRPr="008F0407">
        <w:rPr>
          <w:rFonts w:ascii="Times New Roman" w:hAnsi="Times New Roman"/>
        </w:rPr>
        <w:t>"</w:t>
      </w:r>
      <w:r w:rsidR="0065424B" w:rsidRPr="008F0407">
        <w:rPr>
          <w:rFonts w:ascii="Times New Roman" w:hAnsi="Times New Roman"/>
        </w:rPr>
        <w:t xml:space="preserve"> that characterises </w:t>
      </w:r>
      <w:r w:rsidR="004E57E8" w:rsidRPr="008F0407">
        <w:rPr>
          <w:rFonts w:ascii="Times New Roman" w:hAnsi="Times New Roman"/>
        </w:rPr>
        <w:t xml:space="preserve">a </w:t>
      </w:r>
      <w:r w:rsidR="0065424B" w:rsidRPr="008F0407">
        <w:rPr>
          <w:rFonts w:ascii="Times New Roman" w:hAnsi="Times New Roman"/>
        </w:rPr>
        <w:t xml:space="preserve">relationship as one of employment. </w:t>
      </w:r>
      <w:r w:rsidR="00791F51" w:rsidRPr="008F0407">
        <w:rPr>
          <w:rFonts w:ascii="Times New Roman" w:hAnsi="Times New Roman"/>
        </w:rPr>
        <w:t xml:space="preserve">In their Honours' view, </w:t>
      </w:r>
      <w:r w:rsidR="007B7B59" w:rsidRPr="008F0407">
        <w:rPr>
          <w:rFonts w:ascii="Times New Roman" w:hAnsi="Times New Roman"/>
        </w:rPr>
        <w:t xml:space="preserve">it was another way of putting the proposition </w:t>
      </w:r>
      <w:r w:rsidR="00957E65" w:rsidRPr="008F0407">
        <w:rPr>
          <w:rFonts w:ascii="Times New Roman" w:hAnsi="Times New Roman"/>
        </w:rPr>
        <w:t>that an independent contractor "carries out his work, not as a representative but as a principal"</w:t>
      </w:r>
      <w:r w:rsidR="00957E65" w:rsidRPr="008F0407">
        <w:rPr>
          <w:rStyle w:val="FootnoteReference"/>
          <w:rFonts w:ascii="Times New Roman" w:hAnsi="Times New Roman"/>
          <w:sz w:val="24"/>
        </w:rPr>
        <w:footnoteReference w:id="65"/>
      </w:r>
      <w:r w:rsidR="00957E65" w:rsidRPr="008F0407">
        <w:rPr>
          <w:rFonts w:ascii="Times New Roman" w:hAnsi="Times New Roman"/>
        </w:rPr>
        <w:t xml:space="preserve">. </w:t>
      </w:r>
      <w:r w:rsidR="000041CE" w:rsidRPr="008F0407">
        <w:rPr>
          <w:rFonts w:ascii="Times New Roman" w:hAnsi="Times New Roman"/>
        </w:rPr>
        <w:t xml:space="preserve">It may also be noted that the Federal Court has previously </w:t>
      </w:r>
      <w:r w:rsidR="009570CB" w:rsidRPr="008F0407">
        <w:rPr>
          <w:rFonts w:ascii="Times New Roman" w:hAnsi="Times New Roman"/>
        </w:rPr>
        <w:t xml:space="preserve">recognised that viewing the totality of the relationship between the parties through the prism of this dichotomy can give </w:t>
      </w:r>
      <w:r w:rsidR="00F66B6A" w:rsidRPr="008F0407">
        <w:rPr>
          <w:rFonts w:ascii="Times New Roman" w:hAnsi="Times New Roman"/>
        </w:rPr>
        <w:t xml:space="preserve">useful </w:t>
      </w:r>
      <w:r w:rsidR="009570CB" w:rsidRPr="008F0407">
        <w:rPr>
          <w:rFonts w:ascii="Times New Roman" w:hAnsi="Times New Roman"/>
        </w:rPr>
        <w:t>shape and meaning to the assessment of the relative significance of the parties' rights and duties</w:t>
      </w:r>
      <w:r w:rsidR="003D6F3F" w:rsidRPr="008F0407">
        <w:rPr>
          <w:rStyle w:val="FootnoteReference"/>
          <w:rFonts w:ascii="Times New Roman" w:hAnsi="Times New Roman"/>
          <w:sz w:val="24"/>
        </w:rPr>
        <w:footnoteReference w:id="66"/>
      </w:r>
      <w:r w:rsidR="009570CB" w:rsidRPr="008F0407">
        <w:rPr>
          <w:rFonts w:ascii="Times New Roman" w:hAnsi="Times New Roman"/>
        </w:rPr>
        <w:t>.</w:t>
      </w:r>
    </w:p>
    <w:p w14:paraId="551C9CD2" w14:textId="7815603A" w:rsidR="0065424B" w:rsidRPr="008F0407" w:rsidRDefault="0065424B" w:rsidP="008F0407">
      <w:pPr>
        <w:pStyle w:val="FixListStyle"/>
        <w:spacing w:after="260" w:line="280" w:lineRule="exact"/>
        <w:ind w:right="0"/>
        <w:jc w:val="both"/>
        <w:rPr>
          <w:rFonts w:ascii="Times New Roman" w:hAnsi="Times New Roman"/>
        </w:rPr>
      </w:pPr>
      <w:r w:rsidRPr="008F0407">
        <w:rPr>
          <w:rFonts w:ascii="Times New Roman" w:hAnsi="Times New Roman"/>
        </w:rPr>
        <w:tab/>
        <w:t>While the "central question"</w:t>
      </w:r>
      <w:r w:rsidRPr="008F0407">
        <w:rPr>
          <w:rStyle w:val="FootnoteReference"/>
          <w:rFonts w:ascii="Times New Roman" w:hAnsi="Times New Roman"/>
          <w:sz w:val="24"/>
        </w:rPr>
        <w:footnoteReference w:id="67"/>
      </w:r>
      <w:r w:rsidRPr="008F0407">
        <w:rPr>
          <w:rFonts w:ascii="Times New Roman" w:hAnsi="Times New Roman"/>
        </w:rPr>
        <w:t xml:space="preserve"> is always whether</w:t>
      </w:r>
      <w:r w:rsidR="00B0327F" w:rsidRPr="008F0407">
        <w:rPr>
          <w:rFonts w:ascii="Times New Roman" w:hAnsi="Times New Roman"/>
        </w:rPr>
        <w:t xml:space="preserve"> or not</w:t>
      </w:r>
      <w:r w:rsidRPr="008F0407">
        <w:rPr>
          <w:rFonts w:ascii="Times New Roman" w:hAnsi="Times New Roman"/>
        </w:rPr>
        <w:t xml:space="preserve"> a person is an employee, and while the "own business</w:t>
      </w:r>
      <w:r w:rsidR="009D4AB4" w:rsidRPr="008F0407">
        <w:rPr>
          <w:rFonts w:ascii="Times New Roman" w:hAnsi="Times New Roman"/>
        </w:rPr>
        <w:t>/employer's business</w:t>
      </w:r>
      <w:r w:rsidRPr="008F0407">
        <w:rPr>
          <w:rFonts w:ascii="Times New Roman" w:hAnsi="Times New Roman"/>
        </w:rPr>
        <w:t xml:space="preserve">" dichotomy may not be perfect so as to be of universal application </w:t>
      </w:r>
      <w:r w:rsidR="00291274" w:rsidRPr="008F0407">
        <w:rPr>
          <w:rFonts w:ascii="Times New Roman" w:hAnsi="Times New Roman"/>
        </w:rPr>
        <w:t xml:space="preserve">for the reason that </w:t>
      </w:r>
      <w:r w:rsidRPr="008F0407">
        <w:rPr>
          <w:rFonts w:ascii="Times New Roman" w:hAnsi="Times New Roman"/>
        </w:rPr>
        <w:t>not all contractors are entrepreneurs, the dichotomy usefully focus</w:t>
      </w:r>
      <w:r w:rsidR="00291274" w:rsidRPr="008F0407">
        <w:rPr>
          <w:rFonts w:ascii="Times New Roman" w:hAnsi="Times New Roman"/>
        </w:rPr>
        <w:t>s</w:t>
      </w:r>
      <w:r w:rsidRPr="008F0407">
        <w:rPr>
          <w:rFonts w:ascii="Times New Roman" w:hAnsi="Times New Roman"/>
        </w:rPr>
        <w:t xml:space="preserve">es attention upon those aspects of the relationship </w:t>
      </w:r>
      <w:r w:rsidR="000419AF" w:rsidRPr="008F0407">
        <w:rPr>
          <w:rFonts w:ascii="Times New Roman" w:hAnsi="Times New Roman"/>
        </w:rPr>
        <w:t>generally defined by the contract</w:t>
      </w:r>
      <w:r w:rsidR="000419AF" w:rsidRPr="008F0407">
        <w:rPr>
          <w:rStyle w:val="FootnoteReference"/>
          <w:rFonts w:ascii="Times New Roman" w:hAnsi="Times New Roman"/>
          <w:sz w:val="24"/>
        </w:rPr>
        <w:footnoteReference w:id="68"/>
      </w:r>
      <w:r w:rsidR="000419AF" w:rsidRPr="008F0407">
        <w:rPr>
          <w:rFonts w:ascii="Times New Roman" w:hAnsi="Times New Roman"/>
        </w:rPr>
        <w:t xml:space="preserve"> </w:t>
      </w:r>
      <w:r w:rsidRPr="008F0407">
        <w:rPr>
          <w:rFonts w:ascii="Times New Roman" w:hAnsi="Times New Roman"/>
        </w:rPr>
        <w:t xml:space="preserve">which bear </w:t>
      </w:r>
      <w:r w:rsidR="00253E7A" w:rsidRPr="008F0407">
        <w:rPr>
          <w:rFonts w:ascii="Times New Roman" w:hAnsi="Times New Roman"/>
        </w:rPr>
        <w:t xml:space="preserve">more directly </w:t>
      </w:r>
      <w:r w:rsidRPr="008F0407">
        <w:rPr>
          <w:rFonts w:ascii="Times New Roman" w:hAnsi="Times New Roman"/>
        </w:rPr>
        <w:t xml:space="preserve">upon whether the putative employee's work was so subordinate to the employer's business that it can be seen to have been performed </w:t>
      </w:r>
      <w:r w:rsidR="00291274" w:rsidRPr="008F0407">
        <w:rPr>
          <w:rFonts w:ascii="Times New Roman" w:hAnsi="Times New Roman"/>
        </w:rPr>
        <w:t xml:space="preserve">as an employee of that business rather than as part of an independent </w:t>
      </w:r>
      <w:r w:rsidR="00893805" w:rsidRPr="008F0407">
        <w:rPr>
          <w:rFonts w:ascii="Times New Roman" w:hAnsi="Times New Roman"/>
        </w:rPr>
        <w:t>enterprise</w:t>
      </w:r>
      <w:r w:rsidRPr="008F0407">
        <w:rPr>
          <w:rFonts w:ascii="Times New Roman" w:hAnsi="Times New Roman"/>
        </w:rPr>
        <w:t xml:space="preserve">. In this way, one may </w:t>
      </w:r>
      <w:r w:rsidR="00794A85" w:rsidRPr="008F0407">
        <w:rPr>
          <w:rFonts w:ascii="Times New Roman" w:hAnsi="Times New Roman"/>
        </w:rPr>
        <w:t>discern a more cogent and coherent basis for</w:t>
      </w:r>
      <w:r w:rsidRPr="008F0407">
        <w:rPr>
          <w:rFonts w:ascii="Times New Roman" w:hAnsi="Times New Roman"/>
        </w:rPr>
        <w:t xml:space="preserve"> the time</w:t>
      </w:r>
      <w:r w:rsidRPr="008F0407">
        <w:rPr>
          <w:rFonts w:ascii="Times New Roman" w:hAnsi="Times New Roman"/>
        </w:rPr>
        <w:noBreakHyphen/>
        <w:t>honoured distinction between a contract of service and a contract for services</w:t>
      </w:r>
      <w:r w:rsidRPr="008F0407">
        <w:rPr>
          <w:rStyle w:val="FootnoteReference"/>
          <w:rFonts w:ascii="Times New Roman" w:hAnsi="Times New Roman"/>
          <w:sz w:val="24"/>
        </w:rPr>
        <w:footnoteReference w:id="69"/>
      </w:r>
      <w:r w:rsidRPr="008F0407">
        <w:rPr>
          <w:rFonts w:ascii="Times New Roman" w:hAnsi="Times New Roman"/>
        </w:rPr>
        <w:t xml:space="preserve"> than </w:t>
      </w:r>
      <w:r w:rsidR="00794A85" w:rsidRPr="008F0407">
        <w:rPr>
          <w:rFonts w:ascii="Times New Roman" w:hAnsi="Times New Roman"/>
        </w:rPr>
        <w:t xml:space="preserve">merely </w:t>
      </w:r>
      <w:r w:rsidR="00941864" w:rsidRPr="008F0407">
        <w:rPr>
          <w:rFonts w:ascii="Times New Roman" w:hAnsi="Times New Roman"/>
        </w:rPr>
        <w:t xml:space="preserve">forming </w:t>
      </w:r>
      <w:r w:rsidRPr="008F0407">
        <w:rPr>
          <w:rFonts w:ascii="Times New Roman" w:hAnsi="Times New Roman"/>
        </w:rPr>
        <w:t xml:space="preserve">an impressionistic and subjective judgment or </w:t>
      </w:r>
      <w:r w:rsidR="009D61F9" w:rsidRPr="008F0407">
        <w:rPr>
          <w:rFonts w:ascii="Times New Roman" w:hAnsi="Times New Roman"/>
        </w:rPr>
        <w:t xml:space="preserve">engaging in </w:t>
      </w:r>
      <w:r w:rsidRPr="008F0407">
        <w:rPr>
          <w:rFonts w:ascii="Times New Roman" w:hAnsi="Times New Roman"/>
        </w:rPr>
        <w:t>the mechanistic counting of ticks on a multifactorial checklist.</w:t>
      </w:r>
    </w:p>
    <w:p w14:paraId="415042C8" w14:textId="77777777" w:rsidR="00A940A0" w:rsidRPr="008F0407" w:rsidRDefault="00A940A0" w:rsidP="008F0407">
      <w:pPr>
        <w:pStyle w:val="HeadingL2"/>
        <w:spacing w:after="260" w:line="280" w:lineRule="exact"/>
        <w:ind w:right="0"/>
        <w:jc w:val="both"/>
        <w:rPr>
          <w:rFonts w:ascii="Times New Roman" w:hAnsi="Times New Roman"/>
        </w:rPr>
      </w:pPr>
      <w:r w:rsidRPr="008F0407">
        <w:rPr>
          <w:rFonts w:ascii="Times New Roman" w:hAnsi="Times New Roman"/>
        </w:rPr>
        <w:lastRenderedPageBreak/>
        <w:t>The employment relationship and the contract of employment</w:t>
      </w:r>
    </w:p>
    <w:p w14:paraId="3F1ECB72" w14:textId="69089A08" w:rsidR="00A940A0" w:rsidRPr="008F0407" w:rsidRDefault="00A940A0" w:rsidP="008F0407">
      <w:pPr>
        <w:pStyle w:val="FixListStyle"/>
        <w:spacing w:after="260" w:line="280" w:lineRule="exact"/>
        <w:ind w:right="0"/>
        <w:jc w:val="both"/>
        <w:rPr>
          <w:rFonts w:ascii="Times New Roman" w:hAnsi="Times New Roman"/>
        </w:rPr>
      </w:pPr>
      <w:r w:rsidRPr="008F0407">
        <w:rPr>
          <w:rFonts w:ascii="Times New Roman" w:hAnsi="Times New Roman"/>
        </w:rPr>
        <w:tab/>
        <w:t xml:space="preserve">In </w:t>
      </w:r>
      <w:r w:rsidRPr="008F0407">
        <w:rPr>
          <w:rFonts w:ascii="Times New Roman" w:hAnsi="Times New Roman"/>
          <w:i/>
          <w:iCs/>
        </w:rPr>
        <w:t>Commonwealth Bank of Australia v Barker</w:t>
      </w:r>
      <w:r w:rsidRPr="008F0407">
        <w:rPr>
          <w:rStyle w:val="FootnoteReference"/>
          <w:rFonts w:ascii="Times New Roman" w:hAnsi="Times New Roman"/>
          <w:iCs/>
          <w:sz w:val="24"/>
        </w:rPr>
        <w:footnoteReference w:id="70"/>
      </w:r>
      <w:r w:rsidRPr="008F0407">
        <w:rPr>
          <w:rFonts w:ascii="Times New Roman" w:hAnsi="Times New Roman"/>
        </w:rPr>
        <w:t xml:space="preserve">, French CJ, Bell and Keane JJ said: </w:t>
      </w:r>
    </w:p>
    <w:p w14:paraId="2AE0F8CB" w14:textId="77777777" w:rsidR="008F0407" w:rsidRDefault="00574E33" w:rsidP="008F0407">
      <w:pPr>
        <w:pStyle w:val="LeftrightafterHC"/>
        <w:spacing w:before="0" w:after="260" w:line="280" w:lineRule="exact"/>
        <w:ind w:right="0"/>
        <w:jc w:val="both"/>
        <w:rPr>
          <w:rFonts w:ascii="Times New Roman" w:hAnsi="Times New Roman"/>
        </w:rPr>
      </w:pPr>
      <w:r w:rsidRPr="008F0407">
        <w:rPr>
          <w:rFonts w:ascii="Times New Roman" w:hAnsi="Times New Roman"/>
        </w:rPr>
        <w:tab/>
      </w:r>
      <w:r w:rsidR="00A940A0" w:rsidRPr="008F0407">
        <w:rPr>
          <w:rFonts w:ascii="Times New Roman" w:hAnsi="Times New Roman"/>
        </w:rPr>
        <w:t>"The employment relationship, in Australia, operates within a legal framework defined by statute and by common law principles, informing the construction and content of the contract of employment."</w:t>
      </w:r>
    </w:p>
    <w:p w14:paraId="740B0F3D" w14:textId="47CD5274" w:rsidR="00A940A0" w:rsidRPr="008F0407" w:rsidRDefault="00A940A0"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7C3E2E" w:rsidRPr="008F0407">
        <w:rPr>
          <w:rFonts w:ascii="Times New Roman" w:hAnsi="Times New Roman"/>
        </w:rPr>
        <w:t>An employment relationship will not always be defined exclusively by a contract between the parties</w:t>
      </w:r>
      <w:r w:rsidR="007C3E2E" w:rsidRPr="008F0407">
        <w:rPr>
          <w:rStyle w:val="FootnoteReference"/>
          <w:rFonts w:ascii="Times New Roman" w:hAnsi="Times New Roman"/>
          <w:sz w:val="24"/>
        </w:rPr>
        <w:footnoteReference w:id="71"/>
      </w:r>
      <w:r w:rsidR="007C3E2E" w:rsidRPr="008F0407">
        <w:rPr>
          <w:rFonts w:ascii="Times New Roman" w:hAnsi="Times New Roman"/>
        </w:rPr>
        <w:t xml:space="preserve">. </w:t>
      </w:r>
      <w:r w:rsidRPr="008F0407">
        <w:rPr>
          <w:rFonts w:ascii="Times New Roman" w:hAnsi="Times New Roman"/>
        </w:rPr>
        <w:t>Historically, the employment relationship was recognised and regulated by the law before the law of contract came to govern the relationship</w:t>
      </w:r>
      <w:r w:rsidRPr="008F0407">
        <w:rPr>
          <w:rStyle w:val="FootnoteReference"/>
          <w:rFonts w:ascii="Times New Roman" w:hAnsi="Times New Roman"/>
          <w:sz w:val="24"/>
        </w:rPr>
        <w:footnoteReference w:id="72"/>
      </w:r>
      <w:r w:rsidRPr="008F0407">
        <w:rPr>
          <w:rFonts w:ascii="Times New Roman" w:hAnsi="Times New Roman"/>
        </w:rPr>
        <w:t>. An employment relationship, though principally based in contract, may be affected by statutory provisions and by awards made under statutes</w:t>
      </w:r>
      <w:r w:rsidRPr="008F0407">
        <w:rPr>
          <w:rStyle w:val="FootnoteReference"/>
          <w:rFonts w:ascii="Times New Roman" w:hAnsi="Times New Roman"/>
          <w:sz w:val="24"/>
        </w:rPr>
        <w:footnoteReference w:id="73"/>
      </w:r>
      <w:r w:rsidRPr="008F0407">
        <w:rPr>
          <w:rFonts w:ascii="Times New Roman" w:hAnsi="Times New Roman"/>
        </w:rPr>
        <w:t xml:space="preserve">. It may also be that aspects of the way in which a relationship plays out "on the ground" </w:t>
      </w:r>
      <w:r w:rsidR="0003388B" w:rsidRPr="008F0407">
        <w:rPr>
          <w:rFonts w:ascii="Times New Roman" w:hAnsi="Times New Roman"/>
        </w:rPr>
        <w:t>are</w:t>
      </w:r>
      <w:r w:rsidRPr="008F0407">
        <w:rPr>
          <w:rFonts w:ascii="Times New Roman" w:hAnsi="Times New Roman"/>
        </w:rPr>
        <w:t xml:space="preserve"> relevant for </w:t>
      </w:r>
      <w:r w:rsidR="0003388B" w:rsidRPr="008F0407">
        <w:rPr>
          <w:rFonts w:ascii="Times New Roman" w:hAnsi="Times New Roman"/>
        </w:rPr>
        <w:t xml:space="preserve">specific statutory </w:t>
      </w:r>
      <w:r w:rsidRPr="008F0407">
        <w:rPr>
          <w:rFonts w:ascii="Times New Roman" w:hAnsi="Times New Roman"/>
        </w:rPr>
        <w:t>purposes. So, for example, a statute may operate upon an expectation generated in one party by the conduct of another</w:t>
      </w:r>
      <w:r w:rsidR="0003388B" w:rsidRPr="008F0407">
        <w:rPr>
          <w:rFonts w:ascii="Times New Roman" w:hAnsi="Times New Roman"/>
        </w:rPr>
        <w:t>, even though that expectation</w:t>
      </w:r>
      <w:r w:rsidRPr="008F0407">
        <w:rPr>
          <w:rFonts w:ascii="Times New Roman" w:hAnsi="Times New Roman"/>
        </w:rPr>
        <w:t xml:space="preserve"> does not give rise to a binding agreement</w:t>
      </w:r>
      <w:r w:rsidRPr="008F0407">
        <w:rPr>
          <w:rStyle w:val="FootnoteReference"/>
          <w:rFonts w:ascii="Times New Roman" w:hAnsi="Times New Roman"/>
          <w:sz w:val="24"/>
        </w:rPr>
        <w:footnoteReference w:id="74"/>
      </w:r>
      <w:r w:rsidRPr="008F0407">
        <w:rPr>
          <w:rFonts w:ascii="Times New Roman" w:hAnsi="Times New Roman"/>
        </w:rPr>
        <w:t xml:space="preserve">. </w:t>
      </w:r>
    </w:p>
    <w:p w14:paraId="1E45230A" w14:textId="34561629" w:rsidR="000D3614" w:rsidRPr="008F0407" w:rsidRDefault="00A940A0"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B12831" w:rsidRPr="008F0407">
        <w:rPr>
          <w:rFonts w:ascii="Times New Roman" w:hAnsi="Times New Roman"/>
        </w:rPr>
        <w:t>A</w:t>
      </w:r>
      <w:r w:rsidRPr="008F0407">
        <w:rPr>
          <w:rFonts w:ascii="Times New Roman" w:hAnsi="Times New Roman"/>
        </w:rPr>
        <w:t xml:space="preserve"> contract of employment may be partly oral and partly in writing</w:t>
      </w:r>
      <w:r w:rsidR="00B12831" w:rsidRPr="008F0407">
        <w:rPr>
          <w:rFonts w:ascii="Times New Roman" w:hAnsi="Times New Roman"/>
        </w:rPr>
        <w:t>,</w:t>
      </w:r>
      <w:r w:rsidRPr="008F0407">
        <w:rPr>
          <w:rFonts w:ascii="Times New Roman" w:hAnsi="Times New Roman"/>
        </w:rPr>
        <w:t xml:space="preserve"> </w:t>
      </w:r>
      <w:r w:rsidR="00B12831" w:rsidRPr="008F0407">
        <w:rPr>
          <w:rFonts w:ascii="Times New Roman" w:hAnsi="Times New Roman"/>
        </w:rPr>
        <w:t xml:space="preserve">or </w:t>
      </w:r>
      <w:r w:rsidRPr="008F0407">
        <w:rPr>
          <w:rFonts w:ascii="Times New Roman" w:hAnsi="Times New Roman"/>
        </w:rPr>
        <w:t xml:space="preserve">there may be cases where </w:t>
      </w:r>
      <w:r w:rsidR="00B12831" w:rsidRPr="008F0407">
        <w:rPr>
          <w:rFonts w:ascii="Times New Roman" w:hAnsi="Times New Roman"/>
        </w:rPr>
        <w:t xml:space="preserve">subsequent agreement or conduct effects a </w:t>
      </w:r>
      <w:r w:rsidRPr="008F0407">
        <w:rPr>
          <w:rFonts w:ascii="Times New Roman" w:hAnsi="Times New Roman"/>
        </w:rPr>
        <w:t>variation to the terms of the original contract</w:t>
      </w:r>
      <w:r w:rsidR="00E0615B" w:rsidRPr="008F0407">
        <w:rPr>
          <w:rFonts w:ascii="Times New Roman" w:hAnsi="Times New Roman"/>
        </w:rPr>
        <w:t xml:space="preserve"> or gives rise to an estoppel or waiver</w:t>
      </w:r>
      <w:r w:rsidRPr="008F0407">
        <w:rPr>
          <w:rFonts w:ascii="Times New Roman" w:hAnsi="Times New Roman"/>
        </w:rPr>
        <w:t xml:space="preserve">. </w:t>
      </w:r>
      <w:r w:rsidR="00201F34" w:rsidRPr="008F0407">
        <w:rPr>
          <w:rFonts w:ascii="Times New Roman" w:hAnsi="Times New Roman"/>
        </w:rPr>
        <w:t>I</w:t>
      </w:r>
      <w:r w:rsidR="007C262E" w:rsidRPr="008F0407">
        <w:rPr>
          <w:rFonts w:ascii="Times New Roman" w:hAnsi="Times New Roman"/>
        </w:rPr>
        <w:t>n such cases, i</w:t>
      </w:r>
      <w:r w:rsidR="00201F34" w:rsidRPr="008F0407">
        <w:rPr>
          <w:rFonts w:ascii="Times New Roman" w:hAnsi="Times New Roman"/>
        </w:rPr>
        <w:t>t may be that t</w:t>
      </w:r>
      <w:r w:rsidRPr="008F0407">
        <w:rPr>
          <w:rFonts w:ascii="Times New Roman" w:hAnsi="Times New Roman"/>
        </w:rPr>
        <w:t xml:space="preserve">he imposition by </w:t>
      </w:r>
      <w:r w:rsidR="00625EE2" w:rsidRPr="008F0407">
        <w:rPr>
          <w:rFonts w:ascii="Times New Roman" w:hAnsi="Times New Roman"/>
        </w:rPr>
        <w:t>a putative employer</w:t>
      </w:r>
      <w:r w:rsidRPr="008F0407">
        <w:rPr>
          <w:rFonts w:ascii="Times New Roman" w:hAnsi="Times New Roman"/>
        </w:rPr>
        <w:t xml:space="preserve"> of its work practices upon the </w:t>
      </w:r>
      <w:r w:rsidR="00625EE2" w:rsidRPr="008F0407">
        <w:rPr>
          <w:rFonts w:ascii="Times New Roman" w:hAnsi="Times New Roman"/>
        </w:rPr>
        <w:t xml:space="preserve">putative employee </w:t>
      </w:r>
      <w:r w:rsidRPr="008F0407">
        <w:rPr>
          <w:rFonts w:ascii="Times New Roman" w:hAnsi="Times New Roman"/>
        </w:rPr>
        <w:t>manifest</w:t>
      </w:r>
      <w:r w:rsidR="00201F34" w:rsidRPr="008F0407">
        <w:rPr>
          <w:rFonts w:ascii="Times New Roman" w:hAnsi="Times New Roman"/>
        </w:rPr>
        <w:t>s</w:t>
      </w:r>
      <w:r w:rsidRPr="008F0407">
        <w:rPr>
          <w:rFonts w:ascii="Times New Roman" w:hAnsi="Times New Roman"/>
        </w:rPr>
        <w:t xml:space="preserve"> the </w:t>
      </w:r>
      <w:r w:rsidR="00625EE2" w:rsidRPr="008F0407">
        <w:rPr>
          <w:rFonts w:ascii="Times New Roman" w:hAnsi="Times New Roman"/>
        </w:rPr>
        <w:t xml:space="preserve">employer's </w:t>
      </w:r>
      <w:r w:rsidRPr="008F0407">
        <w:rPr>
          <w:rFonts w:ascii="Times New Roman" w:hAnsi="Times New Roman"/>
        </w:rPr>
        <w:t>contractual right of control over the work situation</w:t>
      </w:r>
      <w:r w:rsidR="00625EE2" w:rsidRPr="008F0407">
        <w:rPr>
          <w:rFonts w:ascii="Times New Roman" w:hAnsi="Times New Roman"/>
        </w:rPr>
        <w:t>; or</w:t>
      </w:r>
      <w:r w:rsidRPr="008F0407">
        <w:rPr>
          <w:rFonts w:ascii="Times New Roman" w:hAnsi="Times New Roman"/>
        </w:rPr>
        <w:t xml:space="preserve"> a putative employee's </w:t>
      </w:r>
      <w:r w:rsidR="004D4B6A" w:rsidRPr="008F0407">
        <w:rPr>
          <w:rFonts w:ascii="Times New Roman" w:hAnsi="Times New Roman"/>
        </w:rPr>
        <w:t xml:space="preserve">acceptance of </w:t>
      </w:r>
      <w:r w:rsidRPr="008F0407">
        <w:rPr>
          <w:rFonts w:ascii="Times New Roman" w:hAnsi="Times New Roman"/>
        </w:rPr>
        <w:t>the exercise of power may show that the putative employer has been ceded the right to impose such practices</w:t>
      </w:r>
      <w:r w:rsidRPr="008F0407">
        <w:rPr>
          <w:rStyle w:val="FootnoteReference"/>
          <w:rFonts w:ascii="Times New Roman" w:hAnsi="Times New Roman"/>
          <w:sz w:val="24"/>
        </w:rPr>
        <w:footnoteReference w:id="75"/>
      </w:r>
      <w:r w:rsidRPr="008F0407">
        <w:rPr>
          <w:rFonts w:ascii="Times New Roman" w:hAnsi="Times New Roman"/>
        </w:rPr>
        <w:t xml:space="preserve">. </w:t>
      </w:r>
    </w:p>
    <w:p w14:paraId="19227B8B" w14:textId="659CE3B5" w:rsidR="00752A8F" w:rsidRPr="008F0407" w:rsidRDefault="00FC014E" w:rsidP="008F0407">
      <w:pPr>
        <w:pStyle w:val="FixListStyle"/>
        <w:spacing w:after="260" w:line="280" w:lineRule="exact"/>
        <w:ind w:right="0"/>
        <w:jc w:val="both"/>
        <w:rPr>
          <w:rFonts w:ascii="Times New Roman" w:hAnsi="Times New Roman"/>
        </w:rPr>
      </w:pPr>
      <w:r w:rsidRPr="008F0407">
        <w:rPr>
          <w:rFonts w:ascii="Times New Roman" w:hAnsi="Times New Roman"/>
        </w:rPr>
        <w:lastRenderedPageBreak/>
        <w:tab/>
      </w:r>
      <w:r w:rsidR="00F35686" w:rsidRPr="008F0407">
        <w:rPr>
          <w:rFonts w:ascii="Times New Roman" w:hAnsi="Times New Roman"/>
        </w:rPr>
        <w:t>W</w:t>
      </w:r>
      <w:r w:rsidRPr="008F0407">
        <w:rPr>
          <w:rFonts w:ascii="Times New Roman" w:hAnsi="Times New Roman"/>
        </w:rPr>
        <w:t xml:space="preserve">hile there may be cases where the rights and duties of the parties </w:t>
      </w:r>
      <w:r w:rsidR="00DB5202" w:rsidRPr="008F0407">
        <w:rPr>
          <w:rFonts w:ascii="Times New Roman" w:hAnsi="Times New Roman"/>
        </w:rPr>
        <w:t>are not</w:t>
      </w:r>
      <w:r w:rsidRPr="008F0407">
        <w:rPr>
          <w:rFonts w:ascii="Times New Roman" w:hAnsi="Times New Roman"/>
        </w:rPr>
        <w:t xml:space="preserve"> found exclusively </w:t>
      </w:r>
      <w:r w:rsidR="00DB5202" w:rsidRPr="008F0407">
        <w:rPr>
          <w:rFonts w:ascii="Times New Roman" w:hAnsi="Times New Roman"/>
        </w:rPr>
        <w:t>with</w:t>
      </w:r>
      <w:r w:rsidRPr="008F0407">
        <w:rPr>
          <w:rFonts w:ascii="Times New Roman" w:hAnsi="Times New Roman"/>
        </w:rPr>
        <w:t xml:space="preserve">in a written contract, this was not such a case. In cases such as the present, </w:t>
      </w:r>
      <w:r w:rsidR="00A940A0" w:rsidRPr="008F0407">
        <w:rPr>
          <w:rFonts w:ascii="Times New Roman" w:hAnsi="Times New Roman"/>
        </w:rPr>
        <w:t xml:space="preserve">where the terms of the </w:t>
      </w:r>
      <w:r w:rsidR="00B25213" w:rsidRPr="008F0407">
        <w:rPr>
          <w:rFonts w:ascii="Times New Roman" w:hAnsi="Times New Roman"/>
        </w:rPr>
        <w:t xml:space="preserve">parties' </w:t>
      </w:r>
      <w:r w:rsidR="00A940A0" w:rsidRPr="008F0407">
        <w:rPr>
          <w:rFonts w:ascii="Times New Roman" w:hAnsi="Times New Roman"/>
        </w:rPr>
        <w:t xml:space="preserve">relationship are </w:t>
      </w:r>
      <w:r w:rsidR="00BC45F8" w:rsidRPr="008F0407">
        <w:rPr>
          <w:rFonts w:ascii="Times New Roman" w:hAnsi="Times New Roman"/>
        </w:rPr>
        <w:t>comprehensively committed</w:t>
      </w:r>
      <w:r w:rsidR="00A940A0" w:rsidRPr="008F0407">
        <w:rPr>
          <w:rFonts w:ascii="Times New Roman" w:hAnsi="Times New Roman"/>
        </w:rPr>
        <w:t xml:space="preserve"> to a written contract, the validity of which is not challenged as a sham </w:t>
      </w:r>
      <w:r w:rsidR="008278C2" w:rsidRPr="008F0407">
        <w:rPr>
          <w:rFonts w:ascii="Times New Roman" w:hAnsi="Times New Roman"/>
        </w:rPr>
        <w:t>n</w:t>
      </w:r>
      <w:r w:rsidR="00A940A0" w:rsidRPr="008F0407">
        <w:rPr>
          <w:rFonts w:ascii="Times New Roman" w:hAnsi="Times New Roman"/>
        </w:rPr>
        <w:t>or</w:t>
      </w:r>
      <w:r w:rsidR="008278C2" w:rsidRPr="008F0407">
        <w:rPr>
          <w:rFonts w:ascii="Times New Roman" w:hAnsi="Times New Roman"/>
        </w:rPr>
        <w:t xml:space="preserve"> the terms of which</w:t>
      </w:r>
      <w:r w:rsidR="00A940A0" w:rsidRPr="008F0407">
        <w:rPr>
          <w:rFonts w:ascii="Times New Roman" w:hAnsi="Times New Roman"/>
        </w:rPr>
        <w:t xml:space="preserve"> otherwise</w:t>
      </w:r>
      <w:r w:rsidR="00550A1C" w:rsidRPr="008F0407">
        <w:rPr>
          <w:rFonts w:ascii="Times New Roman" w:hAnsi="Times New Roman"/>
        </w:rPr>
        <w:t xml:space="preserve"> varied</w:t>
      </w:r>
      <w:r w:rsidR="00466E8B" w:rsidRPr="008F0407">
        <w:rPr>
          <w:rFonts w:ascii="Times New Roman" w:hAnsi="Times New Roman"/>
        </w:rPr>
        <w:t>,</w:t>
      </w:r>
      <w:r w:rsidR="008278C2" w:rsidRPr="008F0407">
        <w:rPr>
          <w:rFonts w:ascii="Times New Roman" w:hAnsi="Times New Roman"/>
        </w:rPr>
        <w:t xml:space="preserve"> waived or the subject of </w:t>
      </w:r>
      <w:r w:rsidR="00F136A2" w:rsidRPr="008F0407">
        <w:rPr>
          <w:rFonts w:ascii="Times New Roman" w:hAnsi="Times New Roman"/>
        </w:rPr>
        <w:t xml:space="preserve">an </w:t>
      </w:r>
      <w:r w:rsidR="008278C2" w:rsidRPr="008F0407">
        <w:rPr>
          <w:rFonts w:ascii="Times New Roman" w:hAnsi="Times New Roman"/>
        </w:rPr>
        <w:t>estoppel</w:t>
      </w:r>
      <w:r w:rsidR="00A940A0" w:rsidRPr="008F0407">
        <w:rPr>
          <w:rFonts w:ascii="Times New Roman" w:hAnsi="Times New Roman"/>
        </w:rPr>
        <w:t>, there is no reason why the legal rights and obligations so established should not be decisive of the character of the relationship</w:t>
      </w:r>
      <w:r w:rsidR="00A940A0" w:rsidRPr="008F0407">
        <w:rPr>
          <w:rStyle w:val="FootnoteReference"/>
          <w:rFonts w:ascii="Times New Roman" w:hAnsi="Times New Roman"/>
          <w:sz w:val="24"/>
        </w:rPr>
        <w:footnoteReference w:id="76"/>
      </w:r>
      <w:r w:rsidR="00A940A0" w:rsidRPr="008F0407">
        <w:rPr>
          <w:rFonts w:ascii="Times New Roman" w:hAnsi="Times New Roman"/>
        </w:rPr>
        <w:t xml:space="preserve">. </w:t>
      </w:r>
    </w:p>
    <w:p w14:paraId="67549437" w14:textId="4ED8752A" w:rsidR="00A940A0" w:rsidRPr="008F0407" w:rsidRDefault="003E286E"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752A8F" w:rsidRPr="008F0407">
        <w:rPr>
          <w:rFonts w:ascii="Times New Roman" w:hAnsi="Times New Roman"/>
        </w:rPr>
        <w:t xml:space="preserve">Not only is there no reason why, subject to statutory provisions or awards, established legal rights and obligations </w:t>
      </w:r>
      <w:r w:rsidR="00290486" w:rsidRPr="008F0407">
        <w:rPr>
          <w:rFonts w:ascii="Times New Roman" w:hAnsi="Times New Roman"/>
        </w:rPr>
        <w:t xml:space="preserve">in </w:t>
      </w:r>
      <w:r w:rsidR="008D2BED" w:rsidRPr="008F0407">
        <w:rPr>
          <w:rFonts w:ascii="Times New Roman" w:hAnsi="Times New Roman"/>
        </w:rPr>
        <w:t xml:space="preserve">a contract that </w:t>
      </w:r>
      <w:r w:rsidR="00E91AE8" w:rsidRPr="008F0407">
        <w:rPr>
          <w:rFonts w:ascii="Times New Roman" w:hAnsi="Times New Roman"/>
        </w:rPr>
        <w:t xml:space="preserve">is entirely in writing </w:t>
      </w:r>
      <w:r w:rsidR="008C1EC2" w:rsidRPr="008F0407">
        <w:rPr>
          <w:rFonts w:ascii="Times New Roman" w:hAnsi="Times New Roman"/>
        </w:rPr>
        <w:t xml:space="preserve">should </w:t>
      </w:r>
      <w:r w:rsidR="00771BF3" w:rsidRPr="008F0407">
        <w:rPr>
          <w:rFonts w:ascii="Times New Roman" w:hAnsi="Times New Roman"/>
        </w:rPr>
        <w:t xml:space="preserve">not </w:t>
      </w:r>
      <w:r w:rsidR="008C1EC2" w:rsidRPr="008F0407">
        <w:rPr>
          <w:rFonts w:ascii="Times New Roman" w:hAnsi="Times New Roman"/>
        </w:rPr>
        <w:t xml:space="preserve">exclusively </w:t>
      </w:r>
      <w:r w:rsidR="00060244" w:rsidRPr="008F0407">
        <w:rPr>
          <w:rFonts w:ascii="Times New Roman" w:hAnsi="Times New Roman"/>
        </w:rPr>
        <w:t>determine</w:t>
      </w:r>
      <w:r w:rsidR="00432AAA" w:rsidRPr="008F0407">
        <w:rPr>
          <w:rFonts w:ascii="Times New Roman" w:hAnsi="Times New Roman"/>
        </w:rPr>
        <w:t xml:space="preserve"> the relationship </w:t>
      </w:r>
      <w:r w:rsidR="00060244" w:rsidRPr="008F0407">
        <w:rPr>
          <w:rFonts w:ascii="Times New Roman" w:hAnsi="Times New Roman"/>
        </w:rPr>
        <w:t>between</w:t>
      </w:r>
      <w:r w:rsidR="00432AAA" w:rsidRPr="008F0407">
        <w:rPr>
          <w:rFonts w:ascii="Times New Roman" w:hAnsi="Times New Roman"/>
        </w:rPr>
        <w:t xml:space="preserve"> the parties</w:t>
      </w:r>
      <w:r w:rsidR="00771BF3" w:rsidRPr="008F0407">
        <w:rPr>
          <w:rFonts w:ascii="Times New Roman" w:hAnsi="Times New Roman"/>
        </w:rPr>
        <w:t xml:space="preserve"> but there is every reason why they should</w:t>
      </w:r>
      <w:r w:rsidR="00432AAA" w:rsidRPr="008F0407">
        <w:rPr>
          <w:rFonts w:ascii="Times New Roman" w:hAnsi="Times New Roman"/>
        </w:rPr>
        <w:t xml:space="preserve">. </w:t>
      </w:r>
      <w:r w:rsidR="00D121A8" w:rsidRPr="008F0407">
        <w:rPr>
          <w:rFonts w:ascii="Times New Roman" w:hAnsi="Times New Roman"/>
        </w:rPr>
        <w:t xml:space="preserve">The "only </w:t>
      </w:r>
      <w:r w:rsidR="00F723E8" w:rsidRPr="008F0407">
        <w:rPr>
          <w:rFonts w:ascii="Times New Roman" w:hAnsi="Times New Roman"/>
        </w:rPr>
        <w:t>kinds of rights with which courts of justice are concerned</w:t>
      </w:r>
      <w:r w:rsidR="00D121A8" w:rsidRPr="008F0407">
        <w:rPr>
          <w:rFonts w:ascii="Times New Roman" w:hAnsi="Times New Roman"/>
        </w:rPr>
        <w:t xml:space="preserve"> </w:t>
      </w:r>
      <w:r w:rsidR="00943C6C" w:rsidRPr="008F0407">
        <w:rPr>
          <w:rFonts w:ascii="Times New Roman" w:hAnsi="Times New Roman"/>
        </w:rPr>
        <w:t>are legal rights"</w:t>
      </w:r>
      <w:r w:rsidR="009572FD" w:rsidRPr="008F0407">
        <w:rPr>
          <w:rStyle w:val="FootnoteReference"/>
          <w:rFonts w:ascii="Times New Roman" w:hAnsi="Times New Roman"/>
          <w:sz w:val="24"/>
        </w:rPr>
        <w:footnoteReference w:id="77"/>
      </w:r>
      <w:r w:rsidR="00943C6C" w:rsidRPr="008F0407">
        <w:rPr>
          <w:rFonts w:ascii="Times New Roman" w:hAnsi="Times New Roman"/>
        </w:rPr>
        <w:t xml:space="preserve">. </w:t>
      </w:r>
      <w:r w:rsidR="0038798A" w:rsidRPr="008F0407">
        <w:rPr>
          <w:rFonts w:ascii="Times New Roman" w:hAnsi="Times New Roman"/>
        </w:rPr>
        <w:t>The</w:t>
      </w:r>
      <w:r w:rsidR="003B7CD0" w:rsidRPr="008F0407">
        <w:rPr>
          <w:rFonts w:ascii="Times New Roman" w:hAnsi="Times New Roman"/>
        </w:rPr>
        <w:t xml:space="preserve"> employment relationship </w:t>
      </w:r>
      <w:r w:rsidR="00624108" w:rsidRPr="008F0407">
        <w:rPr>
          <w:rFonts w:ascii="Times New Roman" w:hAnsi="Times New Roman"/>
        </w:rPr>
        <w:t xml:space="preserve">with which the </w:t>
      </w:r>
      <w:r w:rsidR="000F4B0E" w:rsidRPr="008F0407">
        <w:rPr>
          <w:rFonts w:ascii="Times New Roman" w:hAnsi="Times New Roman"/>
        </w:rPr>
        <w:t xml:space="preserve">common </w:t>
      </w:r>
      <w:r w:rsidR="00624108" w:rsidRPr="008F0407">
        <w:rPr>
          <w:rFonts w:ascii="Times New Roman" w:hAnsi="Times New Roman"/>
        </w:rPr>
        <w:t xml:space="preserve">law is concerned </w:t>
      </w:r>
      <w:r w:rsidR="009572FD" w:rsidRPr="008F0407">
        <w:rPr>
          <w:rFonts w:ascii="Times New Roman" w:hAnsi="Times New Roman"/>
        </w:rPr>
        <w:t>must be</w:t>
      </w:r>
      <w:r w:rsidR="00624108" w:rsidRPr="008F0407">
        <w:rPr>
          <w:rFonts w:ascii="Times New Roman" w:hAnsi="Times New Roman"/>
        </w:rPr>
        <w:t xml:space="preserve"> a </w:t>
      </w:r>
      <w:r w:rsidR="00624108" w:rsidRPr="008F0407">
        <w:rPr>
          <w:rFonts w:ascii="Times New Roman" w:hAnsi="Times New Roman"/>
          <w:i/>
          <w:iCs/>
        </w:rPr>
        <w:t xml:space="preserve">legal </w:t>
      </w:r>
      <w:r w:rsidR="001115C9" w:rsidRPr="008F0407">
        <w:rPr>
          <w:rFonts w:ascii="Times New Roman" w:hAnsi="Times New Roman"/>
        </w:rPr>
        <w:t>relationship</w:t>
      </w:r>
      <w:r w:rsidR="00624108" w:rsidRPr="008F0407">
        <w:rPr>
          <w:rFonts w:ascii="Times New Roman" w:hAnsi="Times New Roman"/>
        </w:rPr>
        <w:t xml:space="preserve">. It is not a social </w:t>
      </w:r>
      <w:r w:rsidR="00F76037" w:rsidRPr="008F0407">
        <w:rPr>
          <w:rFonts w:ascii="Times New Roman" w:hAnsi="Times New Roman"/>
        </w:rPr>
        <w:t xml:space="preserve">or psychological </w:t>
      </w:r>
      <w:r w:rsidR="000243CB" w:rsidRPr="008F0407">
        <w:rPr>
          <w:rFonts w:ascii="Times New Roman" w:hAnsi="Times New Roman"/>
        </w:rPr>
        <w:t>concept</w:t>
      </w:r>
      <w:r w:rsidR="00624108" w:rsidRPr="008F0407">
        <w:rPr>
          <w:rFonts w:ascii="Times New Roman" w:hAnsi="Times New Roman"/>
        </w:rPr>
        <w:t xml:space="preserve"> like f</w:t>
      </w:r>
      <w:r w:rsidR="00EB7BBB" w:rsidRPr="008F0407">
        <w:rPr>
          <w:rFonts w:ascii="Times New Roman" w:hAnsi="Times New Roman"/>
        </w:rPr>
        <w:t>riendship</w:t>
      </w:r>
      <w:r w:rsidR="00624108" w:rsidRPr="008F0407">
        <w:rPr>
          <w:rFonts w:ascii="Times New Roman" w:hAnsi="Times New Roman"/>
        </w:rPr>
        <w:t xml:space="preserve">. </w:t>
      </w:r>
      <w:r w:rsidR="002A0B0D" w:rsidRPr="008F0407">
        <w:rPr>
          <w:rFonts w:ascii="Times New Roman" w:hAnsi="Times New Roman"/>
        </w:rPr>
        <w:t>There is nothing artificial about limiting the consideration of l</w:t>
      </w:r>
      <w:r w:rsidR="0038798A" w:rsidRPr="008F0407">
        <w:rPr>
          <w:rFonts w:ascii="Times New Roman" w:hAnsi="Times New Roman"/>
        </w:rPr>
        <w:t xml:space="preserve">egal relationships </w:t>
      </w:r>
      <w:r w:rsidR="002A0B0D" w:rsidRPr="008F0407">
        <w:rPr>
          <w:rFonts w:ascii="Times New Roman" w:hAnsi="Times New Roman"/>
        </w:rPr>
        <w:t xml:space="preserve">to legal </w:t>
      </w:r>
      <w:r w:rsidR="0027184F" w:rsidRPr="008F0407">
        <w:rPr>
          <w:rFonts w:ascii="Times New Roman" w:hAnsi="Times New Roman"/>
        </w:rPr>
        <w:t xml:space="preserve">concepts such as </w:t>
      </w:r>
      <w:r w:rsidR="00E915D7" w:rsidRPr="008F0407">
        <w:rPr>
          <w:rFonts w:ascii="Times New Roman" w:hAnsi="Times New Roman"/>
        </w:rPr>
        <w:t>rights and duties</w:t>
      </w:r>
      <w:r w:rsidR="00587852" w:rsidRPr="008F0407">
        <w:rPr>
          <w:rFonts w:ascii="Times New Roman" w:hAnsi="Times New Roman"/>
        </w:rPr>
        <w:t>.</w:t>
      </w:r>
      <w:r w:rsidR="005A17A3" w:rsidRPr="008F0407">
        <w:rPr>
          <w:rFonts w:ascii="Times New Roman" w:hAnsi="Times New Roman"/>
        </w:rPr>
        <w:t xml:space="preserve"> </w:t>
      </w:r>
      <w:r w:rsidR="0033612D" w:rsidRPr="008F0407">
        <w:rPr>
          <w:rFonts w:ascii="Times New Roman" w:hAnsi="Times New Roman"/>
        </w:rPr>
        <w:t>B</w:t>
      </w:r>
      <w:r w:rsidR="009050C0" w:rsidRPr="008F0407">
        <w:rPr>
          <w:rFonts w:ascii="Times New Roman" w:hAnsi="Times New Roman"/>
        </w:rPr>
        <w:t>y contrast,</w:t>
      </w:r>
      <w:r w:rsidR="00136E3E" w:rsidRPr="008F0407">
        <w:rPr>
          <w:rFonts w:ascii="Times New Roman" w:hAnsi="Times New Roman"/>
        </w:rPr>
        <w:t xml:space="preserve"> there is nothing </w:t>
      </w:r>
      <w:r w:rsidR="002C3BAC" w:rsidRPr="008F0407">
        <w:rPr>
          <w:rFonts w:ascii="Times New Roman" w:hAnsi="Times New Roman"/>
        </w:rPr>
        <w:t xml:space="preserve">of concern to the law </w:t>
      </w:r>
      <w:r w:rsidR="00DA6035" w:rsidRPr="008F0407">
        <w:rPr>
          <w:rFonts w:ascii="Times New Roman" w:hAnsi="Times New Roman"/>
        </w:rPr>
        <w:t>that would require</w:t>
      </w:r>
      <w:r w:rsidR="00136E3E" w:rsidRPr="008F0407">
        <w:rPr>
          <w:rFonts w:ascii="Times New Roman" w:hAnsi="Times New Roman"/>
        </w:rPr>
        <w:t xml:space="preserve"> treating the relationship between the parties as </w:t>
      </w:r>
      <w:r w:rsidR="000A4A18" w:rsidRPr="008F0407">
        <w:rPr>
          <w:rFonts w:ascii="Times New Roman" w:hAnsi="Times New Roman"/>
        </w:rPr>
        <w:t>affected by circumstances, facts</w:t>
      </w:r>
      <w:r w:rsidR="009050C0" w:rsidRPr="008F0407">
        <w:rPr>
          <w:rFonts w:ascii="Times New Roman" w:hAnsi="Times New Roman"/>
        </w:rPr>
        <w:t xml:space="preserve">, or occurrences that </w:t>
      </w:r>
      <w:r w:rsidR="00C50757" w:rsidRPr="008F0407">
        <w:rPr>
          <w:rFonts w:ascii="Times New Roman" w:hAnsi="Times New Roman"/>
        </w:rPr>
        <w:t xml:space="preserve">otherwise </w:t>
      </w:r>
      <w:r w:rsidR="009050C0" w:rsidRPr="008F0407">
        <w:rPr>
          <w:rFonts w:ascii="Times New Roman" w:hAnsi="Times New Roman"/>
        </w:rPr>
        <w:t xml:space="preserve">have no bearing upon legal rights. </w:t>
      </w:r>
    </w:p>
    <w:p w14:paraId="12D78E5C" w14:textId="4914678C" w:rsidR="00A940A0" w:rsidRPr="008F0407" w:rsidRDefault="00D50127"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025F03" w:rsidRPr="008F0407">
        <w:rPr>
          <w:rFonts w:ascii="Times New Roman" w:hAnsi="Times New Roman"/>
        </w:rPr>
        <w:t xml:space="preserve">In </w:t>
      </w:r>
      <w:proofErr w:type="spellStart"/>
      <w:r w:rsidR="00A940A0" w:rsidRPr="008F0407">
        <w:rPr>
          <w:rFonts w:ascii="Times New Roman" w:hAnsi="Times New Roman"/>
          <w:i/>
          <w:iCs/>
        </w:rPr>
        <w:t>Narich</w:t>
      </w:r>
      <w:proofErr w:type="spellEnd"/>
      <w:r w:rsidR="00A940A0" w:rsidRPr="008F0407">
        <w:rPr>
          <w:rFonts w:ascii="Times New Roman" w:hAnsi="Times New Roman"/>
          <w:i/>
          <w:iCs/>
        </w:rPr>
        <w:t xml:space="preserve"> Pty Ltd v Commissioner of Pay</w:t>
      </w:r>
      <w:r w:rsidR="00A940A0" w:rsidRPr="008F0407">
        <w:rPr>
          <w:rFonts w:ascii="Times New Roman" w:hAnsi="Times New Roman"/>
          <w:i/>
          <w:iCs/>
        </w:rPr>
        <w:noBreakHyphen/>
        <w:t>roll Tax</w:t>
      </w:r>
      <w:r w:rsidR="00A940A0" w:rsidRPr="008F0407">
        <w:rPr>
          <w:rStyle w:val="FootnoteReference"/>
          <w:rFonts w:ascii="Times New Roman" w:hAnsi="Times New Roman"/>
          <w:iCs/>
          <w:sz w:val="24"/>
        </w:rPr>
        <w:footnoteReference w:id="78"/>
      </w:r>
      <w:r w:rsidR="00A940A0" w:rsidRPr="008F0407">
        <w:rPr>
          <w:rFonts w:ascii="Times New Roman" w:hAnsi="Times New Roman"/>
        </w:rPr>
        <w:t xml:space="preserve">, approving the earlier decision in </w:t>
      </w:r>
      <w:r w:rsidR="00A940A0" w:rsidRPr="008F0407">
        <w:rPr>
          <w:rFonts w:ascii="Times New Roman" w:hAnsi="Times New Roman"/>
          <w:i/>
          <w:iCs/>
        </w:rPr>
        <w:t>Australian Mutual Provident Society v Chaplin</w:t>
      </w:r>
      <w:r w:rsidR="00A940A0" w:rsidRPr="008F0407">
        <w:rPr>
          <w:rStyle w:val="FootnoteReference"/>
          <w:rFonts w:ascii="Times New Roman" w:hAnsi="Times New Roman"/>
          <w:iCs/>
          <w:sz w:val="24"/>
        </w:rPr>
        <w:footnoteReference w:id="79"/>
      </w:r>
      <w:r w:rsidR="00A940A0" w:rsidRPr="008F0407">
        <w:rPr>
          <w:rFonts w:ascii="Times New Roman" w:hAnsi="Times New Roman"/>
        </w:rPr>
        <w:t xml:space="preserve">, </w:t>
      </w:r>
      <w:r w:rsidR="00DA28BA" w:rsidRPr="008F0407">
        <w:rPr>
          <w:rFonts w:ascii="Times New Roman" w:hAnsi="Times New Roman"/>
        </w:rPr>
        <w:t xml:space="preserve">in the course of delivering the reasons of the Privy Council </w:t>
      </w:r>
      <w:r w:rsidR="00A23B8C" w:rsidRPr="008F0407">
        <w:rPr>
          <w:rFonts w:ascii="Times New Roman" w:hAnsi="Times New Roman"/>
        </w:rPr>
        <w:t xml:space="preserve">dismissing the appeal from the Supreme Court of New South Wales, </w:t>
      </w:r>
      <w:r w:rsidR="00A940A0" w:rsidRPr="008F0407">
        <w:rPr>
          <w:rFonts w:ascii="Times New Roman" w:hAnsi="Times New Roman"/>
        </w:rPr>
        <w:t>Lord Brandon of Oakbrook said that:</w:t>
      </w:r>
    </w:p>
    <w:p w14:paraId="31CB7293" w14:textId="77777777" w:rsidR="008F0407" w:rsidRDefault="00A940A0" w:rsidP="008F0407">
      <w:pPr>
        <w:pStyle w:val="LeftrightafterHC"/>
        <w:spacing w:before="0" w:after="260" w:line="280" w:lineRule="exact"/>
        <w:ind w:right="0"/>
        <w:jc w:val="both"/>
        <w:rPr>
          <w:rFonts w:ascii="Times New Roman" w:hAnsi="Times New Roman"/>
        </w:rPr>
      </w:pPr>
      <w:r w:rsidRPr="008F0407">
        <w:rPr>
          <w:rFonts w:ascii="Times New Roman" w:hAnsi="Times New Roman"/>
        </w:rPr>
        <w:t>"</w:t>
      </w:r>
      <w:r w:rsidR="008558AC" w:rsidRPr="008F0407">
        <w:rPr>
          <w:rFonts w:ascii="Times New Roman" w:hAnsi="Times New Roman"/>
        </w:rPr>
        <w:t>w</w:t>
      </w:r>
      <w:r w:rsidRPr="008F0407">
        <w:rPr>
          <w:rFonts w:ascii="Times New Roman" w:hAnsi="Times New Roman"/>
        </w:rPr>
        <w:t>here there is a written contract between the parties whose relationship is in issue, a court is confined, in determining the nature of that relationship</w:t>
      </w:r>
      <w:r w:rsidR="008558AC" w:rsidRPr="008F0407">
        <w:rPr>
          <w:rFonts w:ascii="Times New Roman" w:hAnsi="Times New Roman"/>
        </w:rPr>
        <w:t>,</w:t>
      </w:r>
      <w:r w:rsidRPr="008F0407">
        <w:rPr>
          <w:rFonts w:ascii="Times New Roman" w:hAnsi="Times New Roman"/>
        </w:rPr>
        <w:t xml:space="preserve"> to a consideration of the terms, express or implied, of that contract in the light of the circumstances surrounding the making of it</w:t>
      </w:r>
      <w:r w:rsidR="008558AC" w:rsidRPr="008F0407">
        <w:rPr>
          <w:rFonts w:ascii="Times New Roman" w:hAnsi="Times New Roman"/>
        </w:rPr>
        <w:t>;</w:t>
      </w:r>
      <w:r w:rsidRPr="008F0407">
        <w:rPr>
          <w:rFonts w:ascii="Times New Roman" w:hAnsi="Times New Roman"/>
        </w:rPr>
        <w:t xml:space="preserve"> and it is not entitled to consider also the manner in which the parties subsequently acted in pursuance of such contract."</w:t>
      </w:r>
    </w:p>
    <w:p w14:paraId="49E43F8D" w14:textId="555ED2D7" w:rsidR="00A940A0" w:rsidRPr="008F0407" w:rsidRDefault="003518E1" w:rsidP="008F0407">
      <w:pPr>
        <w:pStyle w:val="FixListStyle"/>
        <w:spacing w:after="260" w:line="280" w:lineRule="exact"/>
        <w:ind w:right="0"/>
        <w:jc w:val="both"/>
        <w:rPr>
          <w:rFonts w:ascii="Times New Roman" w:hAnsi="Times New Roman"/>
        </w:rPr>
      </w:pPr>
      <w:r w:rsidRPr="008F0407">
        <w:rPr>
          <w:rFonts w:ascii="Times New Roman" w:hAnsi="Times New Roman"/>
        </w:rPr>
        <w:lastRenderedPageBreak/>
        <w:tab/>
      </w:r>
      <w:r w:rsidR="00A940A0" w:rsidRPr="008F0407">
        <w:rPr>
          <w:rFonts w:ascii="Times New Roman" w:hAnsi="Times New Roman"/>
        </w:rPr>
        <w:t xml:space="preserve">The one exception to this principle was said to be the case where subsequent conduct </w:t>
      </w:r>
      <w:r w:rsidR="004A5757" w:rsidRPr="008F0407">
        <w:rPr>
          <w:rFonts w:ascii="Times New Roman" w:hAnsi="Times New Roman"/>
        </w:rPr>
        <w:t xml:space="preserve">could be shown to have </w:t>
      </w:r>
      <w:r w:rsidR="00A940A0" w:rsidRPr="008F0407">
        <w:rPr>
          <w:rFonts w:ascii="Times New Roman" w:hAnsi="Times New Roman"/>
        </w:rPr>
        <w:t>varied the terms of the contract</w:t>
      </w:r>
      <w:r w:rsidR="004A5757" w:rsidRPr="008F0407">
        <w:rPr>
          <w:rStyle w:val="FootnoteReference"/>
          <w:rFonts w:ascii="Times New Roman" w:hAnsi="Times New Roman"/>
          <w:sz w:val="24"/>
        </w:rPr>
        <w:footnoteReference w:id="80"/>
      </w:r>
      <w:r w:rsidR="00A940A0" w:rsidRPr="008F0407">
        <w:rPr>
          <w:rFonts w:ascii="Times New Roman" w:hAnsi="Times New Roman"/>
        </w:rPr>
        <w:t xml:space="preserve">. </w:t>
      </w:r>
      <w:r w:rsidR="00C077FD" w:rsidRPr="008F0407">
        <w:rPr>
          <w:rFonts w:ascii="Times New Roman" w:hAnsi="Times New Roman"/>
        </w:rPr>
        <w:t>To similar effect, in</w:t>
      </w:r>
      <w:r w:rsidR="00A940A0" w:rsidRPr="008F0407">
        <w:rPr>
          <w:rFonts w:ascii="Times New Roman" w:hAnsi="Times New Roman"/>
        </w:rPr>
        <w:t xml:space="preserve"> </w:t>
      </w:r>
      <w:r w:rsidR="00A940A0" w:rsidRPr="008F0407">
        <w:rPr>
          <w:rFonts w:ascii="Times New Roman" w:hAnsi="Times New Roman"/>
          <w:i/>
          <w:iCs/>
        </w:rPr>
        <w:t>Connelly v Wells</w:t>
      </w:r>
      <w:r w:rsidR="00A940A0" w:rsidRPr="008F0407">
        <w:rPr>
          <w:rStyle w:val="FootnoteReference"/>
          <w:rFonts w:ascii="Times New Roman" w:hAnsi="Times New Roman"/>
          <w:iCs/>
          <w:sz w:val="24"/>
        </w:rPr>
        <w:footnoteReference w:id="81"/>
      </w:r>
      <w:r w:rsidR="00A940A0" w:rsidRPr="008F0407">
        <w:rPr>
          <w:rFonts w:ascii="Times New Roman" w:hAnsi="Times New Roman"/>
        </w:rPr>
        <w:t xml:space="preserve">, following </w:t>
      </w:r>
      <w:proofErr w:type="spellStart"/>
      <w:r w:rsidR="00A940A0" w:rsidRPr="008F0407">
        <w:rPr>
          <w:rFonts w:ascii="Times New Roman" w:hAnsi="Times New Roman"/>
          <w:i/>
          <w:iCs/>
        </w:rPr>
        <w:t>Narich</w:t>
      </w:r>
      <w:proofErr w:type="spellEnd"/>
      <w:r w:rsidR="00A940A0" w:rsidRPr="008F0407">
        <w:rPr>
          <w:rFonts w:ascii="Times New Roman" w:hAnsi="Times New Roman"/>
        </w:rPr>
        <w:t>, Gleeson CJ said:</w:t>
      </w:r>
    </w:p>
    <w:p w14:paraId="5466DC7D" w14:textId="2E19C305" w:rsidR="00A940A0" w:rsidRPr="008F0407" w:rsidRDefault="00C90C50" w:rsidP="008F0407">
      <w:pPr>
        <w:pStyle w:val="LeftrightafterHC"/>
        <w:spacing w:before="0" w:after="260" w:line="280" w:lineRule="exact"/>
        <w:ind w:right="0"/>
        <w:jc w:val="both"/>
        <w:rPr>
          <w:rFonts w:ascii="Times New Roman" w:hAnsi="Times New Roman"/>
        </w:rPr>
      </w:pPr>
      <w:r w:rsidRPr="008F0407">
        <w:rPr>
          <w:rFonts w:ascii="Times New Roman" w:hAnsi="Times New Roman"/>
        </w:rPr>
        <w:tab/>
      </w:r>
      <w:r w:rsidR="00A940A0" w:rsidRPr="008F0407">
        <w:rPr>
          <w:rFonts w:ascii="Times New Roman" w:hAnsi="Times New Roman"/>
        </w:rPr>
        <w:t xml:space="preserve">"Where the relationship between two persons is founded in contract, the character of the relationship depends upon the meaning and effect of the contract. In the absence of a suggestion that a contract was varied after it was originally made, its meaning and effect must be determined as at the time it was </w:t>
      </w:r>
      <w:proofErr w:type="gramStart"/>
      <w:r w:rsidR="00A940A0" w:rsidRPr="008F0407">
        <w:rPr>
          <w:rFonts w:ascii="Times New Roman" w:hAnsi="Times New Roman"/>
        </w:rPr>
        <w:t>entered into</w:t>
      </w:r>
      <w:proofErr w:type="gramEnd"/>
      <w:r w:rsidR="00A940A0" w:rsidRPr="008F0407">
        <w:rPr>
          <w:rFonts w:ascii="Times New Roman" w:hAnsi="Times New Roman"/>
        </w:rPr>
        <w:t xml:space="preserve">. If the contract is in writing, then the court which is considering the </w:t>
      </w:r>
      <w:r w:rsidR="009254C8" w:rsidRPr="008F0407">
        <w:rPr>
          <w:rFonts w:ascii="Times New Roman" w:hAnsi="Times New Roman"/>
        </w:rPr>
        <w:t xml:space="preserve">nature </w:t>
      </w:r>
      <w:r w:rsidR="00A940A0" w:rsidRPr="008F0407">
        <w:rPr>
          <w:rFonts w:ascii="Times New Roman" w:hAnsi="Times New Roman"/>
        </w:rPr>
        <w:t>of the relationship between the parties is directed to an examination of the terms of the written agreement in the light of the circumstances surrounding its making</w:t>
      </w:r>
      <w:r w:rsidR="00A940A0" w:rsidRPr="008F0407">
        <w:rPr>
          <w:rStyle w:val="FootnoteReference"/>
          <w:rFonts w:ascii="Times New Roman" w:hAnsi="Times New Roman"/>
          <w:sz w:val="24"/>
        </w:rPr>
        <w:footnoteReference w:id="82"/>
      </w:r>
      <w:r w:rsidR="00A940A0" w:rsidRPr="008F0407">
        <w:rPr>
          <w:rFonts w:ascii="Times New Roman" w:hAnsi="Times New Roman"/>
        </w:rPr>
        <w:t>."</w:t>
      </w:r>
    </w:p>
    <w:p w14:paraId="09258034" w14:textId="2D5B5083" w:rsidR="00A940A0" w:rsidRPr="008F0407" w:rsidRDefault="003319AA" w:rsidP="008F0407">
      <w:pPr>
        <w:pStyle w:val="NormalBody"/>
        <w:spacing w:after="260" w:line="280" w:lineRule="exact"/>
        <w:ind w:right="0"/>
        <w:jc w:val="both"/>
        <w:rPr>
          <w:rFonts w:ascii="Times New Roman" w:hAnsi="Times New Roman"/>
        </w:rPr>
      </w:pPr>
      <w:r w:rsidRPr="008F0407">
        <w:rPr>
          <w:rFonts w:ascii="Times New Roman" w:hAnsi="Times New Roman"/>
        </w:rPr>
        <w:t xml:space="preserve">Numerous other Australian courts have </w:t>
      </w:r>
      <w:r w:rsidR="0079445E" w:rsidRPr="008F0407">
        <w:rPr>
          <w:rFonts w:ascii="Times New Roman" w:hAnsi="Times New Roman"/>
        </w:rPr>
        <w:t>continued to recognise as authoritative the decisions in</w:t>
      </w:r>
      <w:r w:rsidRPr="008F0407">
        <w:rPr>
          <w:rFonts w:ascii="Times New Roman" w:hAnsi="Times New Roman"/>
        </w:rPr>
        <w:t xml:space="preserve"> </w:t>
      </w:r>
      <w:r w:rsidRPr="008F0407">
        <w:rPr>
          <w:rFonts w:ascii="Times New Roman" w:hAnsi="Times New Roman"/>
          <w:i/>
          <w:iCs/>
        </w:rPr>
        <w:t xml:space="preserve">Chaplin </w:t>
      </w:r>
      <w:r w:rsidR="00F136A2" w:rsidRPr="008F0407">
        <w:rPr>
          <w:rFonts w:ascii="Times New Roman" w:hAnsi="Times New Roman"/>
        </w:rPr>
        <w:t>and</w:t>
      </w:r>
      <w:r w:rsidRPr="008F0407">
        <w:rPr>
          <w:rFonts w:ascii="Times New Roman" w:hAnsi="Times New Roman"/>
        </w:rPr>
        <w:t xml:space="preserve"> </w:t>
      </w:r>
      <w:proofErr w:type="spellStart"/>
      <w:r w:rsidRPr="008F0407">
        <w:rPr>
          <w:rFonts w:ascii="Times New Roman" w:hAnsi="Times New Roman"/>
          <w:i/>
          <w:iCs/>
        </w:rPr>
        <w:t>Narich</w:t>
      </w:r>
      <w:proofErr w:type="spellEnd"/>
      <w:r w:rsidRPr="008F0407">
        <w:rPr>
          <w:rStyle w:val="FootnoteReference"/>
          <w:rFonts w:ascii="Times New Roman" w:hAnsi="Times New Roman"/>
          <w:sz w:val="24"/>
        </w:rPr>
        <w:footnoteReference w:id="83"/>
      </w:r>
      <w:r w:rsidR="00120CB0" w:rsidRPr="008F0407">
        <w:rPr>
          <w:rFonts w:ascii="Times New Roman" w:hAnsi="Times New Roman"/>
          <w:iCs/>
        </w:rPr>
        <w:t>.</w:t>
      </w:r>
    </w:p>
    <w:p w14:paraId="4115D658" w14:textId="5C8F47E5" w:rsidR="003F2DB7" w:rsidRPr="008F0407" w:rsidRDefault="00CE154F"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C55C8E" w:rsidRPr="008F0407">
        <w:rPr>
          <w:rFonts w:ascii="Times New Roman" w:hAnsi="Times New Roman"/>
        </w:rPr>
        <w:t>In a number of decisions</w:t>
      </w:r>
      <w:r w:rsidR="00C55C8E" w:rsidRPr="008F0407">
        <w:rPr>
          <w:rStyle w:val="FootnoteReference"/>
          <w:rFonts w:ascii="Times New Roman" w:hAnsi="Times New Roman"/>
          <w:sz w:val="24"/>
        </w:rPr>
        <w:footnoteReference w:id="84"/>
      </w:r>
      <w:r w:rsidR="00C55C8E" w:rsidRPr="008F0407">
        <w:rPr>
          <w:rFonts w:ascii="Times New Roman" w:hAnsi="Times New Roman"/>
        </w:rPr>
        <w:t>,</w:t>
      </w:r>
      <w:r w:rsidR="00751C39" w:rsidRPr="008F0407">
        <w:rPr>
          <w:rFonts w:ascii="Times New Roman" w:hAnsi="Times New Roman"/>
        </w:rPr>
        <w:t xml:space="preserve"> however,</w:t>
      </w:r>
      <w:r w:rsidR="00C55C8E" w:rsidRPr="008F0407">
        <w:rPr>
          <w:rFonts w:ascii="Times New Roman" w:hAnsi="Times New Roman"/>
        </w:rPr>
        <w:t xml:space="preserve"> including </w:t>
      </w:r>
      <w:r w:rsidR="00033AAF" w:rsidRPr="008F0407">
        <w:rPr>
          <w:rFonts w:ascii="Times New Roman" w:hAnsi="Times New Roman"/>
        </w:rPr>
        <w:t>the</w:t>
      </w:r>
      <w:r w:rsidR="00C55EB2" w:rsidRPr="008F0407">
        <w:rPr>
          <w:rFonts w:ascii="Times New Roman" w:hAnsi="Times New Roman"/>
        </w:rPr>
        <w:t xml:space="preserve"> decision of the</w:t>
      </w:r>
      <w:r w:rsidR="00663527" w:rsidRPr="008F0407">
        <w:rPr>
          <w:rFonts w:ascii="Times New Roman" w:hAnsi="Times New Roman"/>
        </w:rPr>
        <w:t xml:space="preserve"> </w:t>
      </w:r>
      <w:r w:rsidR="00033AAF" w:rsidRPr="008F0407">
        <w:rPr>
          <w:rFonts w:ascii="Times New Roman" w:hAnsi="Times New Roman"/>
        </w:rPr>
        <w:t xml:space="preserve">Full Court in </w:t>
      </w:r>
      <w:r w:rsidR="00C55C8E" w:rsidRPr="008F0407">
        <w:rPr>
          <w:rFonts w:ascii="Times New Roman" w:hAnsi="Times New Roman"/>
        </w:rPr>
        <w:t>this case</w:t>
      </w:r>
      <w:r w:rsidR="00A940A0" w:rsidRPr="008F0407">
        <w:rPr>
          <w:rStyle w:val="FootnoteReference"/>
          <w:rFonts w:ascii="Times New Roman" w:hAnsi="Times New Roman"/>
          <w:sz w:val="24"/>
        </w:rPr>
        <w:footnoteReference w:id="85"/>
      </w:r>
      <w:r w:rsidR="009C50A4" w:rsidRPr="008F0407">
        <w:rPr>
          <w:rFonts w:ascii="Times New Roman" w:hAnsi="Times New Roman"/>
        </w:rPr>
        <w:t xml:space="preserve"> and the </w:t>
      </w:r>
      <w:r w:rsidR="00D54882" w:rsidRPr="008F0407">
        <w:rPr>
          <w:rFonts w:ascii="Times New Roman" w:hAnsi="Times New Roman"/>
        </w:rPr>
        <w:t xml:space="preserve">decision of the Western Australian Industrial Appeal Court in </w:t>
      </w:r>
      <w:r w:rsidR="00D54882" w:rsidRPr="008F0407">
        <w:rPr>
          <w:rFonts w:ascii="Times New Roman" w:hAnsi="Times New Roman"/>
          <w:i/>
          <w:iCs/>
        </w:rPr>
        <w:t>Personnel</w:t>
      </w:r>
      <w:r w:rsidR="00D45F5E" w:rsidRPr="008F0407">
        <w:rPr>
          <w:rFonts w:ascii="Times New Roman" w:hAnsi="Times New Roman"/>
          <w:i/>
          <w:iCs/>
        </w:rPr>
        <w:t> </w:t>
      </w:r>
      <w:r w:rsidR="00D54882" w:rsidRPr="008F0407">
        <w:rPr>
          <w:rFonts w:ascii="Times New Roman" w:hAnsi="Times New Roman"/>
          <w:i/>
          <w:iCs/>
        </w:rPr>
        <w:t>(No</w:t>
      </w:r>
      <w:r w:rsidR="00D45F5E" w:rsidRPr="008F0407">
        <w:rPr>
          <w:rFonts w:ascii="Times New Roman" w:hAnsi="Times New Roman"/>
          <w:i/>
          <w:iCs/>
        </w:rPr>
        <w:t> </w:t>
      </w:r>
      <w:r w:rsidR="00D54882" w:rsidRPr="008F0407">
        <w:rPr>
          <w:rFonts w:ascii="Times New Roman" w:hAnsi="Times New Roman"/>
          <w:i/>
          <w:iCs/>
        </w:rPr>
        <w:t>1)</w:t>
      </w:r>
      <w:r w:rsidR="00D54882" w:rsidRPr="008F0407">
        <w:rPr>
          <w:rStyle w:val="FootnoteReference"/>
          <w:rFonts w:ascii="Times New Roman" w:hAnsi="Times New Roman"/>
          <w:iCs/>
          <w:sz w:val="24"/>
        </w:rPr>
        <w:footnoteReference w:id="86"/>
      </w:r>
      <w:r w:rsidR="00EA038E" w:rsidRPr="008F0407">
        <w:rPr>
          <w:rFonts w:ascii="Times New Roman" w:hAnsi="Times New Roman"/>
        </w:rPr>
        <w:t xml:space="preserve">, </w:t>
      </w:r>
      <w:r w:rsidR="0018674A" w:rsidRPr="008F0407">
        <w:rPr>
          <w:rFonts w:ascii="Times New Roman" w:hAnsi="Times New Roman"/>
        </w:rPr>
        <w:t xml:space="preserve">which </w:t>
      </w:r>
      <w:r w:rsidR="00033AAF" w:rsidRPr="008F0407">
        <w:rPr>
          <w:rFonts w:ascii="Times New Roman" w:hAnsi="Times New Roman"/>
        </w:rPr>
        <w:t xml:space="preserve">the Full Court </w:t>
      </w:r>
      <w:r w:rsidR="00383CB9" w:rsidRPr="008F0407">
        <w:rPr>
          <w:rFonts w:ascii="Times New Roman" w:hAnsi="Times New Roman"/>
        </w:rPr>
        <w:t xml:space="preserve">had reluctantly </w:t>
      </w:r>
      <w:r w:rsidR="00033AAF" w:rsidRPr="008F0407">
        <w:rPr>
          <w:rFonts w:ascii="Times New Roman" w:hAnsi="Times New Roman"/>
        </w:rPr>
        <w:t>followed</w:t>
      </w:r>
      <w:r w:rsidR="008D3409" w:rsidRPr="008F0407">
        <w:rPr>
          <w:rFonts w:ascii="Times New Roman" w:hAnsi="Times New Roman"/>
        </w:rPr>
        <w:t xml:space="preserve"> in this case</w:t>
      </w:r>
      <w:r w:rsidR="00033AAF" w:rsidRPr="008F0407">
        <w:rPr>
          <w:rFonts w:ascii="Times New Roman" w:hAnsi="Times New Roman"/>
        </w:rPr>
        <w:t xml:space="preserve">, </w:t>
      </w:r>
      <w:r w:rsidR="00C55C8E" w:rsidRPr="008F0407">
        <w:rPr>
          <w:rFonts w:ascii="Times New Roman" w:hAnsi="Times New Roman"/>
        </w:rPr>
        <w:t>courts have proceeded on an understanding</w:t>
      </w:r>
      <w:r w:rsidR="00A940A0" w:rsidRPr="008F0407">
        <w:rPr>
          <w:rFonts w:ascii="Times New Roman" w:hAnsi="Times New Roman"/>
        </w:rPr>
        <w:t xml:space="preserve"> that the approach stated in </w:t>
      </w:r>
      <w:r w:rsidR="00A940A0" w:rsidRPr="008F0407">
        <w:rPr>
          <w:rFonts w:ascii="Times New Roman" w:hAnsi="Times New Roman"/>
          <w:i/>
          <w:iCs/>
        </w:rPr>
        <w:t xml:space="preserve">Chaplin </w:t>
      </w:r>
      <w:r w:rsidR="00A940A0" w:rsidRPr="008F0407">
        <w:rPr>
          <w:rFonts w:ascii="Times New Roman" w:hAnsi="Times New Roman"/>
        </w:rPr>
        <w:t xml:space="preserve">and </w:t>
      </w:r>
      <w:proofErr w:type="spellStart"/>
      <w:r w:rsidR="00A940A0" w:rsidRPr="008F0407">
        <w:rPr>
          <w:rFonts w:ascii="Times New Roman" w:hAnsi="Times New Roman"/>
          <w:i/>
          <w:iCs/>
        </w:rPr>
        <w:t>Narich</w:t>
      </w:r>
      <w:proofErr w:type="spellEnd"/>
      <w:r w:rsidR="00A940A0" w:rsidRPr="008F0407">
        <w:rPr>
          <w:rFonts w:ascii="Times New Roman" w:hAnsi="Times New Roman"/>
          <w:i/>
          <w:iCs/>
        </w:rPr>
        <w:t xml:space="preserve"> </w:t>
      </w:r>
      <w:r w:rsidR="00A940A0" w:rsidRPr="008F0407">
        <w:rPr>
          <w:rFonts w:ascii="Times New Roman" w:hAnsi="Times New Roman"/>
        </w:rPr>
        <w:t xml:space="preserve">has been superseded by the adoption of a multifactorial test </w:t>
      </w:r>
      <w:r w:rsidR="00B73B91" w:rsidRPr="008F0407">
        <w:rPr>
          <w:rFonts w:ascii="Times New Roman" w:hAnsi="Times New Roman"/>
        </w:rPr>
        <w:t xml:space="preserve">in </w:t>
      </w:r>
      <w:r w:rsidR="00A940A0" w:rsidRPr="008F0407">
        <w:rPr>
          <w:rFonts w:ascii="Times New Roman" w:hAnsi="Times New Roman"/>
        </w:rPr>
        <w:t xml:space="preserve">cases where the relationship </w:t>
      </w:r>
      <w:r w:rsidR="00B73B91" w:rsidRPr="008F0407">
        <w:rPr>
          <w:rFonts w:ascii="Times New Roman" w:hAnsi="Times New Roman"/>
        </w:rPr>
        <w:t xml:space="preserve">sought to be characterised is </w:t>
      </w:r>
      <w:r w:rsidR="00370055" w:rsidRPr="008F0407">
        <w:rPr>
          <w:rFonts w:ascii="Times New Roman" w:hAnsi="Times New Roman"/>
        </w:rPr>
        <w:t xml:space="preserve">either </w:t>
      </w:r>
      <w:r w:rsidR="00A940A0" w:rsidRPr="008F0407">
        <w:rPr>
          <w:rFonts w:ascii="Times New Roman" w:hAnsi="Times New Roman"/>
        </w:rPr>
        <w:t xml:space="preserve">one of employment </w:t>
      </w:r>
      <w:r w:rsidR="00B73B91" w:rsidRPr="008F0407">
        <w:rPr>
          <w:rFonts w:ascii="Times New Roman" w:hAnsi="Times New Roman"/>
        </w:rPr>
        <w:t xml:space="preserve">or </w:t>
      </w:r>
      <w:r w:rsidR="00F17642" w:rsidRPr="008F0407">
        <w:rPr>
          <w:rFonts w:ascii="Times New Roman" w:hAnsi="Times New Roman"/>
        </w:rPr>
        <w:t xml:space="preserve">one </w:t>
      </w:r>
      <w:r w:rsidR="00180EC8" w:rsidRPr="008F0407">
        <w:rPr>
          <w:rFonts w:ascii="Times New Roman" w:hAnsi="Times New Roman"/>
        </w:rPr>
        <w:t xml:space="preserve">of </w:t>
      </w:r>
      <w:r w:rsidR="00B73B91" w:rsidRPr="008F0407">
        <w:rPr>
          <w:rFonts w:ascii="Times New Roman" w:hAnsi="Times New Roman"/>
        </w:rPr>
        <w:t>principal and independent contractor</w:t>
      </w:r>
      <w:r w:rsidR="00A940A0" w:rsidRPr="008F0407">
        <w:rPr>
          <w:rFonts w:ascii="Times New Roman" w:hAnsi="Times New Roman"/>
        </w:rPr>
        <w:t xml:space="preserve">, even where the terms of </w:t>
      </w:r>
      <w:r w:rsidR="003A3EEB" w:rsidRPr="008F0407">
        <w:rPr>
          <w:rFonts w:ascii="Times New Roman" w:hAnsi="Times New Roman"/>
        </w:rPr>
        <w:t xml:space="preserve">the </w:t>
      </w:r>
      <w:r w:rsidR="003A3EEB" w:rsidRPr="008F0407">
        <w:rPr>
          <w:rFonts w:ascii="Times New Roman" w:hAnsi="Times New Roman"/>
        </w:rPr>
        <w:lastRenderedPageBreak/>
        <w:t xml:space="preserve">relationship are comprehensively contained within </w:t>
      </w:r>
      <w:r w:rsidR="00A940A0" w:rsidRPr="008F0407">
        <w:rPr>
          <w:rFonts w:ascii="Times New Roman" w:hAnsi="Times New Roman"/>
        </w:rPr>
        <w:t>a written contract</w:t>
      </w:r>
      <w:r w:rsidR="00CD4EC9" w:rsidRPr="008F0407">
        <w:rPr>
          <w:rFonts w:ascii="Times New Roman" w:hAnsi="Times New Roman"/>
        </w:rPr>
        <w:t xml:space="preserve">. </w:t>
      </w:r>
      <w:r w:rsidR="00370055" w:rsidRPr="008F0407">
        <w:rPr>
          <w:rFonts w:ascii="Times New Roman" w:hAnsi="Times New Roman"/>
        </w:rPr>
        <w:t>O</w:t>
      </w:r>
      <w:r w:rsidR="00CD4EC9" w:rsidRPr="008F0407">
        <w:rPr>
          <w:rFonts w:ascii="Times New Roman" w:hAnsi="Times New Roman"/>
        </w:rPr>
        <w:t>n this approach</w:t>
      </w:r>
      <w:r w:rsidR="00A940A0" w:rsidRPr="008F0407">
        <w:rPr>
          <w:rFonts w:ascii="Times New Roman" w:hAnsi="Times New Roman"/>
        </w:rPr>
        <w:t xml:space="preserve">, the terms of the written contract </w:t>
      </w:r>
      <w:r w:rsidR="00394F49" w:rsidRPr="008F0407">
        <w:rPr>
          <w:rFonts w:ascii="Times New Roman" w:hAnsi="Times New Roman"/>
        </w:rPr>
        <w:t>are</w:t>
      </w:r>
      <w:r w:rsidR="00370055" w:rsidRPr="008F0407">
        <w:rPr>
          <w:rFonts w:ascii="Times New Roman" w:hAnsi="Times New Roman"/>
        </w:rPr>
        <w:t xml:space="preserve"> </w:t>
      </w:r>
      <w:r w:rsidR="00A940A0" w:rsidRPr="008F0407">
        <w:rPr>
          <w:rFonts w:ascii="Times New Roman" w:hAnsi="Times New Roman"/>
        </w:rPr>
        <w:t xml:space="preserve">only "factors" to be considered along with other circumstances. </w:t>
      </w:r>
      <w:r w:rsidR="00DA605E" w:rsidRPr="008F0407">
        <w:rPr>
          <w:rFonts w:ascii="Times New Roman" w:hAnsi="Times New Roman"/>
        </w:rPr>
        <w:t>But n</w:t>
      </w:r>
      <w:r w:rsidR="005C4189" w:rsidRPr="008F0407">
        <w:rPr>
          <w:rFonts w:ascii="Times New Roman" w:hAnsi="Times New Roman"/>
        </w:rPr>
        <w:t xml:space="preserve">o decision of this Court has ever </w:t>
      </w:r>
      <w:r w:rsidR="000A3733" w:rsidRPr="008F0407">
        <w:rPr>
          <w:rFonts w:ascii="Times New Roman" w:hAnsi="Times New Roman"/>
        </w:rPr>
        <w:t xml:space="preserve">adopted or endorsed such </w:t>
      </w:r>
      <w:r w:rsidR="008D3409" w:rsidRPr="008F0407">
        <w:rPr>
          <w:rFonts w:ascii="Times New Roman" w:hAnsi="Times New Roman"/>
        </w:rPr>
        <w:t xml:space="preserve">a </w:t>
      </w:r>
      <w:r w:rsidR="00D937D5" w:rsidRPr="008F0407">
        <w:rPr>
          <w:rFonts w:ascii="Times New Roman" w:hAnsi="Times New Roman"/>
        </w:rPr>
        <w:t>depart</w:t>
      </w:r>
      <w:r w:rsidRPr="008F0407">
        <w:rPr>
          <w:rFonts w:ascii="Times New Roman" w:hAnsi="Times New Roman"/>
        </w:rPr>
        <w:t>ure</w:t>
      </w:r>
      <w:r w:rsidR="00D937D5" w:rsidRPr="008F0407">
        <w:rPr>
          <w:rFonts w:ascii="Times New Roman" w:hAnsi="Times New Roman"/>
        </w:rPr>
        <w:t xml:space="preserve"> from </w:t>
      </w:r>
      <w:r w:rsidR="00D937D5" w:rsidRPr="008F0407">
        <w:rPr>
          <w:rFonts w:ascii="Times New Roman" w:hAnsi="Times New Roman"/>
          <w:i/>
          <w:iCs/>
        </w:rPr>
        <w:t xml:space="preserve">Chaplin </w:t>
      </w:r>
      <w:r w:rsidR="00F765FD" w:rsidRPr="008F0407">
        <w:rPr>
          <w:rFonts w:ascii="Times New Roman" w:hAnsi="Times New Roman"/>
        </w:rPr>
        <w:t xml:space="preserve">and </w:t>
      </w:r>
      <w:proofErr w:type="spellStart"/>
      <w:r w:rsidR="00D937D5" w:rsidRPr="008F0407">
        <w:rPr>
          <w:rFonts w:ascii="Times New Roman" w:hAnsi="Times New Roman"/>
          <w:i/>
          <w:iCs/>
        </w:rPr>
        <w:t>Narich</w:t>
      </w:r>
      <w:proofErr w:type="spellEnd"/>
      <w:r w:rsidR="00EA7DBD" w:rsidRPr="008F0407">
        <w:rPr>
          <w:rFonts w:ascii="Times New Roman" w:hAnsi="Times New Roman"/>
        </w:rPr>
        <w:t>.</w:t>
      </w:r>
    </w:p>
    <w:p w14:paraId="58D5049C" w14:textId="0B8260B2" w:rsidR="00076C6B" w:rsidRPr="008F0407" w:rsidRDefault="009E25B2"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F326DA" w:rsidRPr="008F0407">
        <w:rPr>
          <w:rFonts w:ascii="Times New Roman" w:hAnsi="Times New Roman"/>
        </w:rPr>
        <w:t xml:space="preserve">Indeed, the decisions in </w:t>
      </w:r>
      <w:r w:rsidR="00F326DA" w:rsidRPr="008F0407">
        <w:rPr>
          <w:rFonts w:ascii="Times New Roman" w:hAnsi="Times New Roman"/>
          <w:i/>
          <w:iCs/>
        </w:rPr>
        <w:t xml:space="preserve">Chaplin </w:t>
      </w:r>
      <w:r w:rsidR="00F326DA" w:rsidRPr="008F0407">
        <w:rPr>
          <w:rFonts w:ascii="Times New Roman" w:hAnsi="Times New Roman"/>
        </w:rPr>
        <w:t xml:space="preserve">and </w:t>
      </w:r>
      <w:proofErr w:type="spellStart"/>
      <w:r w:rsidR="00F326DA" w:rsidRPr="008F0407">
        <w:rPr>
          <w:rFonts w:ascii="Times New Roman" w:hAnsi="Times New Roman"/>
          <w:i/>
          <w:iCs/>
        </w:rPr>
        <w:t>Narich</w:t>
      </w:r>
      <w:proofErr w:type="spellEnd"/>
      <w:r w:rsidR="00F326DA" w:rsidRPr="008F0407">
        <w:rPr>
          <w:rFonts w:ascii="Times New Roman" w:hAnsi="Times New Roman"/>
          <w:i/>
          <w:iCs/>
        </w:rPr>
        <w:t xml:space="preserve"> </w:t>
      </w:r>
      <w:r w:rsidR="00F770CE" w:rsidRPr="008F0407">
        <w:rPr>
          <w:rFonts w:ascii="Times New Roman" w:hAnsi="Times New Roman"/>
        </w:rPr>
        <w:t xml:space="preserve">exemplified a long line of authority in </w:t>
      </w:r>
      <w:r w:rsidRPr="008F0407">
        <w:rPr>
          <w:rFonts w:ascii="Times New Roman" w:hAnsi="Times New Roman"/>
        </w:rPr>
        <w:t>Australia</w:t>
      </w:r>
      <w:r w:rsidR="00F770CE" w:rsidRPr="008F0407">
        <w:rPr>
          <w:rFonts w:ascii="Times New Roman" w:hAnsi="Times New Roman"/>
        </w:rPr>
        <w:t xml:space="preserve"> which </w:t>
      </w:r>
      <w:r w:rsidR="001F03A1" w:rsidRPr="008F0407">
        <w:rPr>
          <w:rFonts w:ascii="Times New Roman" w:hAnsi="Times New Roman"/>
        </w:rPr>
        <w:t>took</w:t>
      </w:r>
      <w:r w:rsidR="00F770CE" w:rsidRPr="008F0407">
        <w:rPr>
          <w:rFonts w:ascii="Times New Roman" w:hAnsi="Times New Roman"/>
        </w:rPr>
        <w:t xml:space="preserve"> the same approach.</w:t>
      </w:r>
      <w:r w:rsidR="00EF787E" w:rsidRPr="008F0407">
        <w:rPr>
          <w:rFonts w:ascii="Times New Roman" w:hAnsi="Times New Roman"/>
        </w:rPr>
        <w:t xml:space="preserve"> This is, perhaps, unsurprising in circumstances in which the older authorities </w:t>
      </w:r>
      <w:r w:rsidR="0015065C" w:rsidRPr="008F0407">
        <w:rPr>
          <w:rFonts w:ascii="Times New Roman" w:hAnsi="Times New Roman"/>
        </w:rPr>
        <w:t>focus</w:t>
      </w:r>
      <w:r w:rsidR="00166ED5" w:rsidRPr="008F0407">
        <w:rPr>
          <w:rFonts w:ascii="Times New Roman" w:hAnsi="Times New Roman"/>
        </w:rPr>
        <w:t>s</w:t>
      </w:r>
      <w:r w:rsidR="0015065C" w:rsidRPr="008F0407">
        <w:rPr>
          <w:rFonts w:ascii="Times New Roman" w:hAnsi="Times New Roman"/>
        </w:rPr>
        <w:t xml:space="preserve">ed upon whether the relation involved a </w:t>
      </w:r>
      <w:r w:rsidR="0015065C" w:rsidRPr="008F0407">
        <w:rPr>
          <w:rFonts w:ascii="Times New Roman" w:hAnsi="Times New Roman"/>
          <w:iCs/>
        </w:rPr>
        <w:t>contract</w:t>
      </w:r>
      <w:r w:rsidR="0015065C" w:rsidRPr="008F0407">
        <w:rPr>
          <w:rFonts w:ascii="Times New Roman" w:hAnsi="Times New Roman"/>
          <w:i/>
          <w:iCs/>
        </w:rPr>
        <w:t xml:space="preserve"> </w:t>
      </w:r>
      <w:r w:rsidR="0015065C" w:rsidRPr="008F0407">
        <w:rPr>
          <w:rFonts w:ascii="Times New Roman" w:hAnsi="Times New Roman"/>
          <w:i/>
        </w:rPr>
        <w:t>of</w:t>
      </w:r>
      <w:r w:rsidR="0015065C" w:rsidRPr="008F0407">
        <w:rPr>
          <w:rFonts w:ascii="Times New Roman" w:hAnsi="Times New Roman"/>
        </w:rPr>
        <w:t xml:space="preserve"> service or a </w:t>
      </w:r>
      <w:r w:rsidR="0015065C" w:rsidRPr="008F0407">
        <w:rPr>
          <w:rFonts w:ascii="Times New Roman" w:hAnsi="Times New Roman"/>
          <w:iCs/>
        </w:rPr>
        <w:t>contract</w:t>
      </w:r>
      <w:r w:rsidR="0015065C" w:rsidRPr="008F0407">
        <w:rPr>
          <w:rFonts w:ascii="Times New Roman" w:hAnsi="Times New Roman"/>
          <w:i/>
          <w:iCs/>
        </w:rPr>
        <w:t xml:space="preserve"> </w:t>
      </w:r>
      <w:r w:rsidR="0015065C" w:rsidRPr="008F0407">
        <w:rPr>
          <w:rFonts w:ascii="Times New Roman" w:hAnsi="Times New Roman"/>
          <w:i/>
        </w:rPr>
        <w:t>for</w:t>
      </w:r>
      <w:r w:rsidR="0015065C" w:rsidRPr="008F0407">
        <w:rPr>
          <w:rFonts w:ascii="Times New Roman" w:hAnsi="Times New Roman"/>
        </w:rPr>
        <w:t xml:space="preserve"> services. </w:t>
      </w:r>
      <w:r w:rsidR="009379CC" w:rsidRPr="008F0407">
        <w:rPr>
          <w:rFonts w:ascii="Times New Roman" w:hAnsi="Times New Roman"/>
        </w:rPr>
        <w:t>Of course,</w:t>
      </w:r>
      <w:r w:rsidR="00235BED" w:rsidRPr="008F0407">
        <w:rPr>
          <w:rFonts w:ascii="Times New Roman" w:hAnsi="Times New Roman"/>
        </w:rPr>
        <w:t xml:space="preserve"> </w:t>
      </w:r>
      <w:r w:rsidR="009379CC" w:rsidRPr="008F0407">
        <w:rPr>
          <w:rFonts w:ascii="Times New Roman" w:hAnsi="Times New Roman"/>
        </w:rPr>
        <w:t>some of these</w:t>
      </w:r>
      <w:r w:rsidR="001F03A1" w:rsidRPr="008F0407">
        <w:rPr>
          <w:rFonts w:ascii="Times New Roman" w:hAnsi="Times New Roman"/>
        </w:rPr>
        <w:t xml:space="preserve"> decisions</w:t>
      </w:r>
      <w:r w:rsidR="009379CC" w:rsidRPr="008F0407">
        <w:rPr>
          <w:rFonts w:ascii="Times New Roman" w:hAnsi="Times New Roman"/>
        </w:rPr>
        <w:t xml:space="preserve"> had regard to the factors involving the work practices of the parties in order to determine common law questions relating to the rights and duties of the parties: the terms of a contract which is partly written and partly oral; whether a contract is a sham; or whether the terms of the contract have been varied</w:t>
      </w:r>
      <w:r w:rsidR="00E4588B" w:rsidRPr="008F0407">
        <w:rPr>
          <w:rFonts w:ascii="Times New Roman" w:hAnsi="Times New Roman"/>
        </w:rPr>
        <w:t xml:space="preserve"> or</w:t>
      </w:r>
      <w:r w:rsidR="009379CC" w:rsidRPr="008F0407">
        <w:rPr>
          <w:rFonts w:ascii="Times New Roman" w:hAnsi="Times New Roman"/>
        </w:rPr>
        <w:t xml:space="preserve"> waived, or are subject to an estoppel. But none of these </w:t>
      </w:r>
      <w:r w:rsidR="001F03A1" w:rsidRPr="008F0407">
        <w:rPr>
          <w:rFonts w:ascii="Times New Roman" w:hAnsi="Times New Roman"/>
        </w:rPr>
        <w:t>decisions</w:t>
      </w:r>
      <w:r w:rsidR="009379CC" w:rsidRPr="008F0407">
        <w:rPr>
          <w:rFonts w:ascii="Times New Roman" w:hAnsi="Times New Roman"/>
        </w:rPr>
        <w:t xml:space="preserve"> can be understood as a rejection, </w:t>
      </w:r>
      <w:r w:rsidR="009379CC" w:rsidRPr="008F0407">
        <w:rPr>
          <w:rFonts w:ascii="Times New Roman" w:hAnsi="Times New Roman"/>
          <w:i/>
          <w:iCs/>
        </w:rPr>
        <w:t>sub silent</w:t>
      </w:r>
      <w:r w:rsidR="001F03A1" w:rsidRPr="008F0407">
        <w:rPr>
          <w:rFonts w:ascii="Times New Roman" w:hAnsi="Times New Roman"/>
          <w:i/>
          <w:iCs/>
        </w:rPr>
        <w:t>i</w:t>
      </w:r>
      <w:r w:rsidR="009379CC" w:rsidRPr="008F0407">
        <w:rPr>
          <w:rFonts w:ascii="Times New Roman" w:hAnsi="Times New Roman"/>
          <w:i/>
          <w:iCs/>
        </w:rPr>
        <w:t>o</w:t>
      </w:r>
      <w:r w:rsidR="009379CC" w:rsidRPr="008F0407">
        <w:rPr>
          <w:rFonts w:ascii="Times New Roman" w:hAnsi="Times New Roman"/>
        </w:rPr>
        <w:t xml:space="preserve">, of </w:t>
      </w:r>
      <w:r w:rsidR="00CB4CCA" w:rsidRPr="008F0407">
        <w:rPr>
          <w:rFonts w:ascii="Times New Roman" w:hAnsi="Times New Roman"/>
        </w:rPr>
        <w:t xml:space="preserve">the approach taken in </w:t>
      </w:r>
      <w:r w:rsidR="009379CC" w:rsidRPr="008F0407">
        <w:rPr>
          <w:rFonts w:ascii="Times New Roman" w:hAnsi="Times New Roman"/>
          <w:i/>
          <w:iCs/>
        </w:rPr>
        <w:t xml:space="preserve">Chaplin </w:t>
      </w:r>
      <w:r w:rsidR="00CB4CCA" w:rsidRPr="008F0407">
        <w:rPr>
          <w:rFonts w:ascii="Times New Roman" w:hAnsi="Times New Roman"/>
        </w:rPr>
        <w:t>and</w:t>
      </w:r>
      <w:r w:rsidR="009379CC" w:rsidRPr="008F0407">
        <w:rPr>
          <w:rFonts w:ascii="Times New Roman" w:hAnsi="Times New Roman"/>
        </w:rPr>
        <w:t xml:space="preserve"> </w:t>
      </w:r>
      <w:proofErr w:type="spellStart"/>
      <w:r w:rsidR="009379CC" w:rsidRPr="008F0407">
        <w:rPr>
          <w:rFonts w:ascii="Times New Roman" w:hAnsi="Times New Roman"/>
          <w:i/>
          <w:iCs/>
        </w:rPr>
        <w:t>Narich</w:t>
      </w:r>
      <w:proofErr w:type="spellEnd"/>
      <w:r w:rsidR="009379CC" w:rsidRPr="008F0407">
        <w:rPr>
          <w:rFonts w:ascii="Times New Roman" w:hAnsi="Times New Roman"/>
          <w:i/>
          <w:iCs/>
        </w:rPr>
        <w:t>.</w:t>
      </w:r>
      <w:r w:rsidR="009379CC" w:rsidRPr="008F0407">
        <w:rPr>
          <w:rFonts w:ascii="Times New Roman" w:hAnsi="Times New Roman"/>
        </w:rPr>
        <w:t xml:space="preserve"> To the contrary, the decisions are based upon the same principled understanding.</w:t>
      </w:r>
      <w:r w:rsidR="0092320F" w:rsidRPr="008F0407">
        <w:rPr>
          <w:rFonts w:ascii="Times New Roman" w:hAnsi="Times New Roman"/>
        </w:rPr>
        <w:t xml:space="preserve"> </w:t>
      </w:r>
      <w:r w:rsidR="00975E0A" w:rsidRPr="008F0407">
        <w:rPr>
          <w:rFonts w:ascii="Times New Roman" w:hAnsi="Times New Roman"/>
        </w:rPr>
        <w:t xml:space="preserve">It is necessary to descend to the detail of these cases </w:t>
      </w:r>
      <w:r w:rsidR="00D222FE" w:rsidRPr="008F0407">
        <w:rPr>
          <w:rFonts w:ascii="Times New Roman" w:hAnsi="Times New Roman"/>
        </w:rPr>
        <w:t xml:space="preserve">to </w:t>
      </w:r>
      <w:r w:rsidR="0070186F" w:rsidRPr="008F0407">
        <w:rPr>
          <w:rFonts w:ascii="Times New Roman" w:hAnsi="Times New Roman"/>
        </w:rPr>
        <w:t xml:space="preserve">show </w:t>
      </w:r>
      <w:r w:rsidR="00906D84" w:rsidRPr="008F0407">
        <w:rPr>
          <w:rFonts w:ascii="Times New Roman" w:hAnsi="Times New Roman"/>
        </w:rPr>
        <w:t>why it would be a large step to</w:t>
      </w:r>
      <w:r w:rsidR="003732F8" w:rsidRPr="008F0407">
        <w:rPr>
          <w:rFonts w:ascii="Times New Roman" w:hAnsi="Times New Roman"/>
        </w:rPr>
        <w:t xml:space="preserve"> reinterpret th</w:t>
      </w:r>
      <w:r w:rsidR="00D775E8" w:rsidRPr="008F0407">
        <w:rPr>
          <w:rFonts w:ascii="Times New Roman" w:hAnsi="Times New Roman"/>
        </w:rPr>
        <w:t>e</w:t>
      </w:r>
      <w:r w:rsidR="003732F8" w:rsidRPr="008F0407">
        <w:rPr>
          <w:rFonts w:ascii="Times New Roman" w:hAnsi="Times New Roman"/>
        </w:rPr>
        <w:t>se case</w:t>
      </w:r>
      <w:r w:rsidR="005B644F" w:rsidRPr="008F0407">
        <w:rPr>
          <w:rFonts w:ascii="Times New Roman" w:hAnsi="Times New Roman"/>
        </w:rPr>
        <w:t>s</w:t>
      </w:r>
      <w:r w:rsidR="003732F8" w:rsidRPr="008F0407">
        <w:rPr>
          <w:rFonts w:ascii="Times New Roman" w:hAnsi="Times New Roman"/>
        </w:rPr>
        <w:t xml:space="preserve"> to </w:t>
      </w:r>
      <w:r w:rsidR="005B644F" w:rsidRPr="008F0407">
        <w:rPr>
          <w:rFonts w:ascii="Times New Roman" w:hAnsi="Times New Roman"/>
        </w:rPr>
        <w:t xml:space="preserve">justify a </w:t>
      </w:r>
      <w:r w:rsidR="003732F8" w:rsidRPr="008F0407">
        <w:rPr>
          <w:rFonts w:ascii="Times New Roman" w:hAnsi="Times New Roman"/>
        </w:rPr>
        <w:t>depart</w:t>
      </w:r>
      <w:r w:rsidR="005B644F" w:rsidRPr="008F0407">
        <w:rPr>
          <w:rFonts w:ascii="Times New Roman" w:hAnsi="Times New Roman"/>
        </w:rPr>
        <w:t>ure</w:t>
      </w:r>
      <w:r w:rsidR="003732F8" w:rsidRPr="008F0407">
        <w:rPr>
          <w:rFonts w:ascii="Times New Roman" w:hAnsi="Times New Roman"/>
        </w:rPr>
        <w:t xml:space="preserve"> from </w:t>
      </w:r>
      <w:r w:rsidR="005B644F" w:rsidRPr="008F0407">
        <w:rPr>
          <w:rFonts w:ascii="Times New Roman" w:hAnsi="Times New Roman"/>
        </w:rPr>
        <w:t xml:space="preserve">the settled law of </w:t>
      </w:r>
      <w:r w:rsidR="003732F8" w:rsidRPr="008F0407">
        <w:rPr>
          <w:rFonts w:ascii="Times New Roman" w:hAnsi="Times New Roman"/>
          <w:i/>
          <w:iCs/>
        </w:rPr>
        <w:t xml:space="preserve">Chaplin </w:t>
      </w:r>
      <w:r w:rsidR="003732F8" w:rsidRPr="008F0407">
        <w:rPr>
          <w:rFonts w:ascii="Times New Roman" w:hAnsi="Times New Roman"/>
        </w:rPr>
        <w:t xml:space="preserve">and </w:t>
      </w:r>
      <w:proofErr w:type="spellStart"/>
      <w:r w:rsidR="003732F8" w:rsidRPr="008F0407">
        <w:rPr>
          <w:rFonts w:ascii="Times New Roman" w:hAnsi="Times New Roman"/>
          <w:i/>
          <w:iCs/>
        </w:rPr>
        <w:t>Narich</w:t>
      </w:r>
      <w:proofErr w:type="spellEnd"/>
      <w:r w:rsidR="00D222FE" w:rsidRPr="008F0407">
        <w:rPr>
          <w:rFonts w:ascii="Times New Roman" w:hAnsi="Times New Roman"/>
        </w:rPr>
        <w:t>.</w:t>
      </w:r>
    </w:p>
    <w:p w14:paraId="31CBF461" w14:textId="3AD1F745" w:rsidR="008269E2" w:rsidRPr="008F0407" w:rsidRDefault="00076C6B"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C10248" w:rsidRPr="008F0407">
        <w:rPr>
          <w:rFonts w:ascii="Times New Roman" w:hAnsi="Times New Roman"/>
        </w:rPr>
        <w:t>I</w:t>
      </w:r>
      <w:r w:rsidR="00C6145D" w:rsidRPr="008F0407">
        <w:rPr>
          <w:rFonts w:ascii="Times New Roman" w:hAnsi="Times New Roman"/>
        </w:rPr>
        <w:t xml:space="preserve">n </w:t>
      </w:r>
      <w:r w:rsidR="00C6145D" w:rsidRPr="008F0407">
        <w:rPr>
          <w:rFonts w:ascii="Times New Roman" w:hAnsi="Times New Roman"/>
          <w:i/>
          <w:iCs/>
        </w:rPr>
        <w:t xml:space="preserve">R v Foster; Ex </w:t>
      </w:r>
      <w:proofErr w:type="spellStart"/>
      <w:r w:rsidR="00C6145D" w:rsidRPr="008F0407">
        <w:rPr>
          <w:rFonts w:ascii="Times New Roman" w:hAnsi="Times New Roman"/>
          <w:i/>
          <w:iCs/>
        </w:rPr>
        <w:t>parte</w:t>
      </w:r>
      <w:proofErr w:type="spellEnd"/>
      <w:r w:rsidR="00C6145D" w:rsidRPr="008F0407">
        <w:rPr>
          <w:rFonts w:ascii="Times New Roman" w:hAnsi="Times New Roman"/>
          <w:i/>
          <w:iCs/>
        </w:rPr>
        <w:t xml:space="preserve"> The Commonwealth Life (Amalgamated) Assurances Ltd</w:t>
      </w:r>
      <w:r w:rsidR="00C6145D" w:rsidRPr="008F0407">
        <w:rPr>
          <w:rStyle w:val="FootnoteReference"/>
          <w:rFonts w:ascii="Times New Roman" w:hAnsi="Times New Roman"/>
          <w:sz w:val="24"/>
        </w:rPr>
        <w:footnoteReference w:id="87"/>
      </w:r>
      <w:r w:rsidR="00C6145D" w:rsidRPr="008F0407">
        <w:rPr>
          <w:rFonts w:ascii="Times New Roman" w:hAnsi="Times New Roman"/>
        </w:rPr>
        <w:t xml:space="preserve">, </w:t>
      </w:r>
      <w:r w:rsidR="008A1571" w:rsidRPr="008F0407">
        <w:rPr>
          <w:rFonts w:ascii="Times New Roman" w:hAnsi="Times New Roman"/>
        </w:rPr>
        <w:t>this Court considered</w:t>
      </w:r>
      <w:r w:rsidR="00750589" w:rsidRPr="008F0407">
        <w:rPr>
          <w:rFonts w:ascii="Times New Roman" w:hAnsi="Times New Roman"/>
        </w:rPr>
        <w:t xml:space="preserve"> </w:t>
      </w:r>
      <w:r w:rsidR="00F964A9" w:rsidRPr="008F0407">
        <w:rPr>
          <w:rFonts w:ascii="Times New Roman" w:hAnsi="Times New Roman"/>
        </w:rPr>
        <w:t xml:space="preserve">an application for an order nisi for prohibition </w:t>
      </w:r>
      <w:r w:rsidR="00036933" w:rsidRPr="008F0407">
        <w:rPr>
          <w:rFonts w:ascii="Times New Roman" w:hAnsi="Times New Roman"/>
        </w:rPr>
        <w:t xml:space="preserve">by </w:t>
      </w:r>
      <w:r w:rsidR="00750589" w:rsidRPr="008F0407">
        <w:rPr>
          <w:rFonts w:ascii="Times New Roman" w:hAnsi="Times New Roman"/>
        </w:rPr>
        <w:t>a</w:t>
      </w:r>
      <w:r w:rsidR="000618E5" w:rsidRPr="008F0407">
        <w:rPr>
          <w:rFonts w:ascii="Times New Roman" w:hAnsi="Times New Roman"/>
        </w:rPr>
        <w:t xml:space="preserve">n insurance company seeking to restrain </w:t>
      </w:r>
      <w:r w:rsidR="00DD100C" w:rsidRPr="008F0407">
        <w:rPr>
          <w:rFonts w:ascii="Times New Roman" w:hAnsi="Times New Roman"/>
        </w:rPr>
        <w:t>proceedings in the Commonwealth Court of Conciliation and Arbitration</w:t>
      </w:r>
      <w:r w:rsidR="00C84C85" w:rsidRPr="008F0407">
        <w:rPr>
          <w:rFonts w:ascii="Times New Roman" w:hAnsi="Times New Roman"/>
        </w:rPr>
        <w:t xml:space="preserve"> </w:t>
      </w:r>
      <w:r w:rsidR="00C34E06" w:rsidRPr="008F0407">
        <w:rPr>
          <w:rFonts w:ascii="Times New Roman" w:hAnsi="Times New Roman"/>
        </w:rPr>
        <w:t xml:space="preserve">in relation to an industrial award </w:t>
      </w:r>
      <w:r w:rsidR="00C84C85" w:rsidRPr="008F0407">
        <w:rPr>
          <w:rFonts w:ascii="Times New Roman" w:hAnsi="Times New Roman"/>
        </w:rPr>
        <w:t xml:space="preserve">on the basis that </w:t>
      </w:r>
      <w:r w:rsidR="009E7886" w:rsidRPr="008F0407">
        <w:rPr>
          <w:rFonts w:ascii="Times New Roman" w:hAnsi="Times New Roman"/>
        </w:rPr>
        <w:t xml:space="preserve">"agents" who canvassed insurance policies and collected premiums were </w:t>
      </w:r>
      <w:r w:rsidR="00F559AB" w:rsidRPr="008F0407">
        <w:rPr>
          <w:rFonts w:ascii="Times New Roman" w:hAnsi="Times New Roman"/>
        </w:rPr>
        <w:t xml:space="preserve">independent contractors </w:t>
      </w:r>
      <w:r w:rsidR="00284CFF" w:rsidRPr="008F0407">
        <w:rPr>
          <w:rFonts w:ascii="Times New Roman" w:hAnsi="Times New Roman"/>
        </w:rPr>
        <w:t xml:space="preserve">outside the concept of </w:t>
      </w:r>
      <w:r w:rsidR="00474228" w:rsidRPr="008F0407">
        <w:rPr>
          <w:rFonts w:ascii="Times New Roman" w:hAnsi="Times New Roman"/>
        </w:rPr>
        <w:t>an industrial dispute within s</w:t>
      </w:r>
      <w:r w:rsidR="00D30814" w:rsidRPr="008F0407">
        <w:rPr>
          <w:rFonts w:ascii="Times New Roman" w:hAnsi="Times New Roman"/>
        </w:rPr>
        <w:t> </w:t>
      </w:r>
      <w:r w:rsidR="00474228" w:rsidRPr="008F0407">
        <w:rPr>
          <w:rFonts w:ascii="Times New Roman" w:hAnsi="Times New Roman"/>
        </w:rPr>
        <w:t xml:space="preserve">51(xxxv) of the </w:t>
      </w:r>
      <w:r w:rsidR="00474228" w:rsidRPr="008F0407">
        <w:rPr>
          <w:rFonts w:ascii="Times New Roman" w:hAnsi="Times New Roman"/>
          <w:i/>
        </w:rPr>
        <w:t>Constitution</w:t>
      </w:r>
      <w:r w:rsidR="00474228" w:rsidRPr="008F0407">
        <w:rPr>
          <w:rFonts w:ascii="Times New Roman" w:hAnsi="Times New Roman"/>
        </w:rPr>
        <w:t>. Th</w:t>
      </w:r>
      <w:r w:rsidR="00882799" w:rsidRPr="008F0407">
        <w:rPr>
          <w:rFonts w:ascii="Times New Roman" w:hAnsi="Times New Roman"/>
        </w:rPr>
        <w:t xml:space="preserve">e </w:t>
      </w:r>
      <w:r w:rsidR="0046089F" w:rsidRPr="008F0407">
        <w:rPr>
          <w:rFonts w:ascii="Times New Roman" w:hAnsi="Times New Roman"/>
        </w:rPr>
        <w:t>c</w:t>
      </w:r>
      <w:r w:rsidR="00882799" w:rsidRPr="008F0407">
        <w:rPr>
          <w:rFonts w:ascii="Times New Roman" w:hAnsi="Times New Roman"/>
        </w:rPr>
        <w:t xml:space="preserve">ompany relied upon a clause in a written agreement </w:t>
      </w:r>
      <w:r w:rsidR="00474228" w:rsidRPr="008F0407">
        <w:rPr>
          <w:rFonts w:ascii="Times New Roman" w:hAnsi="Times New Roman"/>
        </w:rPr>
        <w:t>which provided that</w:t>
      </w:r>
      <w:r w:rsidR="00F850B7" w:rsidRPr="008F0407">
        <w:rPr>
          <w:rFonts w:ascii="Times New Roman" w:hAnsi="Times New Roman"/>
        </w:rPr>
        <w:t xml:space="preserve"> </w:t>
      </w:r>
      <w:r w:rsidR="00474228" w:rsidRPr="008F0407">
        <w:rPr>
          <w:rFonts w:ascii="Times New Roman" w:hAnsi="Times New Roman"/>
        </w:rPr>
        <w:t xml:space="preserve">the relationship between the parties </w:t>
      </w:r>
      <w:r w:rsidR="00F850B7" w:rsidRPr="008F0407">
        <w:rPr>
          <w:rFonts w:ascii="Times New Roman" w:hAnsi="Times New Roman"/>
        </w:rPr>
        <w:t>"</w:t>
      </w:r>
      <w:r w:rsidR="00474228" w:rsidRPr="008F0407">
        <w:rPr>
          <w:rFonts w:ascii="Times New Roman" w:hAnsi="Times New Roman"/>
        </w:rPr>
        <w:t>will be strictly that of principal and agent and not in any way whatever that of employer and employee</w:t>
      </w:r>
      <w:r w:rsidR="0077418C" w:rsidRPr="008F0407">
        <w:rPr>
          <w:rFonts w:ascii="Times New Roman" w:hAnsi="Times New Roman"/>
        </w:rPr>
        <w:t>"</w:t>
      </w:r>
      <w:r w:rsidR="00474228" w:rsidRPr="008F0407">
        <w:rPr>
          <w:rFonts w:ascii="Times New Roman" w:hAnsi="Times New Roman"/>
        </w:rPr>
        <w:t xml:space="preserve">. </w:t>
      </w:r>
      <w:r w:rsidR="0077418C" w:rsidRPr="008F0407">
        <w:rPr>
          <w:rFonts w:ascii="Times New Roman" w:hAnsi="Times New Roman"/>
        </w:rPr>
        <w:t xml:space="preserve">The </w:t>
      </w:r>
      <w:r w:rsidR="0046089F" w:rsidRPr="008F0407">
        <w:rPr>
          <w:rFonts w:ascii="Times New Roman" w:hAnsi="Times New Roman"/>
        </w:rPr>
        <w:t>u</w:t>
      </w:r>
      <w:r w:rsidR="0077418C" w:rsidRPr="008F0407">
        <w:rPr>
          <w:rFonts w:ascii="Times New Roman" w:hAnsi="Times New Roman"/>
        </w:rPr>
        <w:t xml:space="preserve">nion alleged </w:t>
      </w:r>
      <w:r w:rsidR="00166ED5" w:rsidRPr="008F0407">
        <w:rPr>
          <w:rFonts w:ascii="Times New Roman" w:hAnsi="Times New Roman"/>
        </w:rPr>
        <w:t xml:space="preserve">that </w:t>
      </w:r>
      <w:r w:rsidR="00BB2538" w:rsidRPr="008F0407">
        <w:rPr>
          <w:rFonts w:ascii="Times New Roman" w:hAnsi="Times New Roman"/>
        </w:rPr>
        <w:t xml:space="preserve">the agreement was a sham and that </w:t>
      </w:r>
      <w:r w:rsidR="00166ED5" w:rsidRPr="008F0407">
        <w:rPr>
          <w:rFonts w:ascii="Times New Roman" w:hAnsi="Times New Roman"/>
        </w:rPr>
        <w:t xml:space="preserve">the </w:t>
      </w:r>
      <w:r w:rsidR="008269E2" w:rsidRPr="008F0407">
        <w:rPr>
          <w:rFonts w:ascii="Times New Roman" w:hAnsi="Times New Roman"/>
        </w:rPr>
        <w:t>matter should be remitted to a single judge to determine the facts</w:t>
      </w:r>
      <w:r w:rsidR="008269E2" w:rsidRPr="008F0407">
        <w:rPr>
          <w:rStyle w:val="FootnoteReference"/>
          <w:rFonts w:ascii="Times New Roman" w:hAnsi="Times New Roman"/>
          <w:sz w:val="24"/>
        </w:rPr>
        <w:footnoteReference w:id="88"/>
      </w:r>
      <w:r w:rsidR="008269E2" w:rsidRPr="008F0407">
        <w:rPr>
          <w:rFonts w:ascii="Times New Roman" w:hAnsi="Times New Roman"/>
        </w:rPr>
        <w:t xml:space="preserve">. </w:t>
      </w:r>
    </w:p>
    <w:p w14:paraId="7089D96D" w14:textId="2407D594" w:rsidR="00F015BD" w:rsidRPr="008F0407" w:rsidRDefault="00A92D95"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116E5A" w:rsidRPr="008F0407">
        <w:rPr>
          <w:rFonts w:ascii="Times New Roman" w:hAnsi="Times New Roman"/>
        </w:rPr>
        <w:t xml:space="preserve">The Court declined to </w:t>
      </w:r>
      <w:r w:rsidR="00557753" w:rsidRPr="008F0407">
        <w:rPr>
          <w:rFonts w:ascii="Times New Roman" w:hAnsi="Times New Roman"/>
        </w:rPr>
        <w:t xml:space="preserve">settle the issue for a trial before a single </w:t>
      </w:r>
      <w:r w:rsidR="00927B22" w:rsidRPr="008F0407">
        <w:rPr>
          <w:rFonts w:ascii="Times New Roman" w:hAnsi="Times New Roman"/>
        </w:rPr>
        <w:t>J</w:t>
      </w:r>
      <w:r w:rsidR="00557753" w:rsidRPr="008F0407">
        <w:rPr>
          <w:rFonts w:ascii="Times New Roman" w:hAnsi="Times New Roman"/>
        </w:rPr>
        <w:t>ustice</w:t>
      </w:r>
      <w:r w:rsidR="004E20F6" w:rsidRPr="008F0407">
        <w:rPr>
          <w:rFonts w:ascii="Times New Roman" w:hAnsi="Times New Roman"/>
        </w:rPr>
        <w:t xml:space="preserve"> to determine whether the "real relation" between the parties was one of employer and employee, </w:t>
      </w:r>
      <w:r w:rsidR="00557753" w:rsidRPr="008F0407">
        <w:rPr>
          <w:rFonts w:ascii="Times New Roman" w:hAnsi="Times New Roman"/>
        </w:rPr>
        <w:t xml:space="preserve">although </w:t>
      </w:r>
      <w:r w:rsidR="004E20F6" w:rsidRPr="008F0407">
        <w:rPr>
          <w:rFonts w:ascii="Times New Roman" w:hAnsi="Times New Roman"/>
        </w:rPr>
        <w:t xml:space="preserve">it was </w:t>
      </w:r>
      <w:r w:rsidR="00557753" w:rsidRPr="008F0407">
        <w:rPr>
          <w:rFonts w:ascii="Times New Roman" w:hAnsi="Times New Roman"/>
        </w:rPr>
        <w:t>observ</w:t>
      </w:r>
      <w:r w:rsidR="004E20F6" w:rsidRPr="008F0407">
        <w:rPr>
          <w:rFonts w:ascii="Times New Roman" w:hAnsi="Times New Roman"/>
        </w:rPr>
        <w:t>ed</w:t>
      </w:r>
      <w:r w:rsidR="00557753" w:rsidRPr="008F0407">
        <w:rPr>
          <w:rFonts w:ascii="Times New Roman" w:hAnsi="Times New Roman"/>
        </w:rPr>
        <w:t xml:space="preserve"> that the materials before the Court were </w:t>
      </w:r>
      <w:r w:rsidR="0033717F" w:rsidRPr="008F0407">
        <w:rPr>
          <w:rFonts w:ascii="Times New Roman" w:hAnsi="Times New Roman"/>
        </w:rPr>
        <w:t>not satisfactory</w:t>
      </w:r>
      <w:r w:rsidR="00557753" w:rsidRPr="008F0407">
        <w:rPr>
          <w:rFonts w:ascii="Times New Roman" w:hAnsi="Times New Roman"/>
        </w:rPr>
        <w:t xml:space="preserve">. </w:t>
      </w:r>
      <w:r w:rsidR="00084444" w:rsidRPr="008F0407">
        <w:rPr>
          <w:rFonts w:ascii="Times New Roman" w:hAnsi="Times New Roman"/>
        </w:rPr>
        <w:t>It was enough that t</w:t>
      </w:r>
      <w:r w:rsidR="000A2527" w:rsidRPr="008F0407">
        <w:rPr>
          <w:rFonts w:ascii="Times New Roman" w:hAnsi="Times New Roman"/>
        </w:rPr>
        <w:t>he company had failed to exclude the possibility of an employment relationship "whatever the agreement may say"</w:t>
      </w:r>
      <w:r w:rsidR="00084444" w:rsidRPr="008F0407">
        <w:rPr>
          <w:rStyle w:val="FootnoteReference"/>
          <w:rFonts w:ascii="Times New Roman" w:hAnsi="Times New Roman"/>
          <w:sz w:val="24"/>
        </w:rPr>
        <w:footnoteReference w:id="89"/>
      </w:r>
      <w:r w:rsidR="000A2527" w:rsidRPr="008F0407">
        <w:rPr>
          <w:rFonts w:ascii="Times New Roman" w:hAnsi="Times New Roman"/>
        </w:rPr>
        <w:t xml:space="preserve">. </w:t>
      </w:r>
      <w:r w:rsidR="0009162C" w:rsidRPr="008F0407">
        <w:rPr>
          <w:rFonts w:ascii="Times New Roman" w:hAnsi="Times New Roman"/>
        </w:rPr>
        <w:t>In</w:t>
      </w:r>
      <w:r w:rsidR="00E07AF4" w:rsidRPr="008F0407">
        <w:rPr>
          <w:rFonts w:ascii="Times New Roman" w:hAnsi="Times New Roman"/>
        </w:rPr>
        <w:t xml:space="preserve"> addressing </w:t>
      </w:r>
      <w:r w:rsidR="00E07AF4" w:rsidRPr="008F0407">
        <w:rPr>
          <w:rFonts w:ascii="Times New Roman" w:hAnsi="Times New Roman"/>
        </w:rPr>
        <w:lastRenderedPageBreak/>
        <w:t>the submission of sham,</w:t>
      </w:r>
      <w:r w:rsidR="0009162C" w:rsidRPr="008F0407">
        <w:rPr>
          <w:rFonts w:ascii="Times New Roman" w:hAnsi="Times New Roman"/>
        </w:rPr>
        <w:t xml:space="preserve"> the joint reasons of </w:t>
      </w:r>
      <w:r w:rsidR="00474228" w:rsidRPr="008F0407">
        <w:rPr>
          <w:rFonts w:ascii="Times New Roman" w:hAnsi="Times New Roman"/>
        </w:rPr>
        <w:t xml:space="preserve">Dixon, </w:t>
      </w:r>
      <w:proofErr w:type="spellStart"/>
      <w:r w:rsidR="00474228" w:rsidRPr="008F0407">
        <w:rPr>
          <w:rFonts w:ascii="Times New Roman" w:hAnsi="Times New Roman"/>
        </w:rPr>
        <w:t>Fullagar</w:t>
      </w:r>
      <w:proofErr w:type="spellEnd"/>
      <w:r w:rsidR="00474228" w:rsidRPr="008F0407">
        <w:rPr>
          <w:rFonts w:ascii="Times New Roman" w:hAnsi="Times New Roman"/>
        </w:rPr>
        <w:t xml:space="preserve"> and </w:t>
      </w:r>
      <w:proofErr w:type="spellStart"/>
      <w:r w:rsidR="00474228" w:rsidRPr="008F0407">
        <w:rPr>
          <w:rFonts w:ascii="Times New Roman" w:hAnsi="Times New Roman"/>
        </w:rPr>
        <w:t>Kitto</w:t>
      </w:r>
      <w:proofErr w:type="spellEnd"/>
      <w:r w:rsidR="00DF1755" w:rsidRPr="008F0407">
        <w:rPr>
          <w:rFonts w:ascii="Times New Roman" w:hAnsi="Times New Roman"/>
        </w:rPr>
        <w:t> </w:t>
      </w:r>
      <w:r w:rsidR="00474228" w:rsidRPr="008F0407">
        <w:rPr>
          <w:rFonts w:ascii="Times New Roman" w:hAnsi="Times New Roman"/>
        </w:rPr>
        <w:t>JJ</w:t>
      </w:r>
      <w:r w:rsidR="00DF1755" w:rsidRPr="008F0407">
        <w:rPr>
          <w:rFonts w:ascii="Times New Roman" w:hAnsi="Times New Roman"/>
        </w:rPr>
        <w:t xml:space="preserve"> </w:t>
      </w:r>
      <w:r w:rsidR="002372AD" w:rsidRPr="008F0407">
        <w:rPr>
          <w:rFonts w:ascii="Times New Roman" w:hAnsi="Times New Roman"/>
        </w:rPr>
        <w:t>described the "case for the respondent union"</w:t>
      </w:r>
      <w:r w:rsidR="00665A8D" w:rsidRPr="008F0407">
        <w:rPr>
          <w:rFonts w:ascii="Times New Roman" w:hAnsi="Times New Roman"/>
        </w:rPr>
        <w:t xml:space="preserve"> </w:t>
      </w:r>
      <w:r w:rsidR="00160148" w:rsidRPr="008F0407">
        <w:rPr>
          <w:rFonts w:ascii="Times New Roman" w:hAnsi="Times New Roman"/>
        </w:rPr>
        <w:t xml:space="preserve">as </w:t>
      </w:r>
      <w:r w:rsidR="00665A8D" w:rsidRPr="008F0407">
        <w:rPr>
          <w:rFonts w:ascii="Times New Roman" w:hAnsi="Times New Roman"/>
        </w:rPr>
        <w:t>being</w:t>
      </w:r>
      <w:r w:rsidR="002372AD" w:rsidRPr="008F0407">
        <w:rPr>
          <w:rFonts w:ascii="Times New Roman" w:hAnsi="Times New Roman"/>
        </w:rPr>
        <w:t xml:space="preserve"> </w:t>
      </w:r>
      <w:r w:rsidR="003B2446" w:rsidRPr="008F0407">
        <w:rPr>
          <w:rFonts w:ascii="Times New Roman" w:hAnsi="Times New Roman"/>
        </w:rPr>
        <w:t>that the contract "does not represent the reality of the relation in practice"</w:t>
      </w:r>
      <w:r w:rsidR="00665A8D" w:rsidRPr="008F0407">
        <w:rPr>
          <w:rFonts w:ascii="Times New Roman" w:hAnsi="Times New Roman"/>
        </w:rPr>
        <w:t xml:space="preserve"> and</w:t>
      </w:r>
      <w:r w:rsidR="003B2446" w:rsidRPr="008F0407">
        <w:rPr>
          <w:rFonts w:ascii="Times New Roman" w:hAnsi="Times New Roman"/>
        </w:rPr>
        <w:t xml:space="preserve"> </w:t>
      </w:r>
      <w:r w:rsidR="00474228" w:rsidRPr="008F0407">
        <w:rPr>
          <w:rFonts w:ascii="Times New Roman" w:hAnsi="Times New Roman"/>
        </w:rPr>
        <w:t>said</w:t>
      </w:r>
      <w:r w:rsidR="0009162C" w:rsidRPr="008F0407">
        <w:rPr>
          <w:rFonts w:ascii="Times New Roman" w:hAnsi="Times New Roman"/>
        </w:rPr>
        <w:t xml:space="preserve"> that</w:t>
      </w:r>
      <w:r w:rsidR="00474228" w:rsidRPr="008F0407">
        <w:rPr>
          <w:rFonts w:ascii="Times New Roman" w:hAnsi="Times New Roman"/>
        </w:rPr>
        <w:t xml:space="preserve"> </w:t>
      </w:r>
      <w:r w:rsidR="00E07AF4" w:rsidRPr="008F0407">
        <w:rPr>
          <w:rFonts w:ascii="Times New Roman" w:hAnsi="Times New Roman"/>
        </w:rPr>
        <w:t>"</w:t>
      </w:r>
      <w:r w:rsidR="00474228" w:rsidRPr="008F0407">
        <w:rPr>
          <w:rFonts w:ascii="Times New Roman" w:hAnsi="Times New Roman"/>
        </w:rPr>
        <w:t>if in practice the company assumes the detailed direction and control of the agents in the daily performance of their work and the agents tacitly accept a position of subordination to authority and to orders and instructions as to the manner in which they carry out their duties, a clause designed to prevent the relation receiving the legal complexion which it truly wears would be ineffectual</w:t>
      </w:r>
      <w:r w:rsidR="00E07AF4" w:rsidRPr="008F0407">
        <w:rPr>
          <w:rFonts w:ascii="Times New Roman" w:hAnsi="Times New Roman"/>
        </w:rPr>
        <w:t>"</w:t>
      </w:r>
      <w:r w:rsidR="00B42229" w:rsidRPr="008F0407">
        <w:rPr>
          <w:rStyle w:val="FootnoteReference"/>
          <w:rFonts w:ascii="Times New Roman" w:hAnsi="Times New Roman"/>
          <w:sz w:val="24"/>
        </w:rPr>
        <w:footnoteReference w:id="90"/>
      </w:r>
      <w:r w:rsidR="00B42229" w:rsidRPr="008F0407">
        <w:rPr>
          <w:rFonts w:ascii="Times New Roman" w:hAnsi="Times New Roman"/>
        </w:rPr>
        <w:t>.</w:t>
      </w:r>
    </w:p>
    <w:p w14:paraId="7F0805F8" w14:textId="40A05817" w:rsidR="00474228" w:rsidRPr="008F0407" w:rsidRDefault="00F015BD" w:rsidP="008F0407">
      <w:pPr>
        <w:pStyle w:val="FixListStyle"/>
        <w:spacing w:after="260" w:line="280" w:lineRule="exact"/>
        <w:ind w:right="0"/>
        <w:jc w:val="both"/>
        <w:rPr>
          <w:rFonts w:ascii="Times New Roman" w:hAnsi="Times New Roman"/>
          <w:sz w:val="24"/>
          <w:szCs w:val="24"/>
        </w:rPr>
      </w:pPr>
      <w:r w:rsidRPr="008F0407">
        <w:rPr>
          <w:rFonts w:ascii="Times New Roman" w:hAnsi="Times New Roman"/>
          <w:sz w:val="24"/>
          <w:szCs w:val="24"/>
        </w:rPr>
        <w:tab/>
      </w:r>
      <w:r w:rsidR="00930B86" w:rsidRPr="008F0407">
        <w:rPr>
          <w:rFonts w:ascii="Times New Roman" w:hAnsi="Times New Roman"/>
          <w:shd w:val="clear" w:color="auto" w:fill="FFFFFF"/>
        </w:rPr>
        <w:t xml:space="preserve">Perhaps because </w:t>
      </w:r>
      <w:r w:rsidR="000F49DF" w:rsidRPr="008F0407">
        <w:rPr>
          <w:rFonts w:ascii="Times New Roman" w:hAnsi="Times New Roman"/>
          <w:shd w:val="clear" w:color="auto" w:fill="FFFFFF"/>
        </w:rPr>
        <w:t xml:space="preserve">Dixon, </w:t>
      </w:r>
      <w:proofErr w:type="spellStart"/>
      <w:r w:rsidR="000F49DF" w:rsidRPr="008F0407">
        <w:rPr>
          <w:rFonts w:ascii="Times New Roman" w:hAnsi="Times New Roman"/>
          <w:shd w:val="clear" w:color="auto" w:fill="FFFFFF"/>
        </w:rPr>
        <w:t>Fullagar</w:t>
      </w:r>
      <w:proofErr w:type="spellEnd"/>
      <w:r w:rsidR="000F49DF" w:rsidRPr="008F0407">
        <w:rPr>
          <w:rFonts w:ascii="Times New Roman" w:hAnsi="Times New Roman"/>
          <w:shd w:val="clear" w:color="auto" w:fill="FFFFFF"/>
        </w:rPr>
        <w:t xml:space="preserve"> and </w:t>
      </w:r>
      <w:proofErr w:type="spellStart"/>
      <w:r w:rsidR="000F49DF" w:rsidRPr="008F0407">
        <w:rPr>
          <w:rFonts w:ascii="Times New Roman" w:hAnsi="Times New Roman"/>
          <w:shd w:val="clear" w:color="auto" w:fill="FFFFFF"/>
        </w:rPr>
        <w:t>Kitto</w:t>
      </w:r>
      <w:proofErr w:type="spellEnd"/>
      <w:r w:rsidR="00DF1755" w:rsidRPr="008F0407">
        <w:rPr>
          <w:rFonts w:ascii="Times New Roman" w:hAnsi="Times New Roman"/>
          <w:shd w:val="clear" w:color="auto" w:fill="FFFFFF"/>
        </w:rPr>
        <w:t> </w:t>
      </w:r>
      <w:r w:rsidR="000F49DF" w:rsidRPr="008F0407">
        <w:rPr>
          <w:rFonts w:ascii="Times New Roman" w:hAnsi="Times New Roman"/>
          <w:shd w:val="clear" w:color="auto" w:fill="FFFFFF"/>
        </w:rPr>
        <w:t xml:space="preserve">JJ did not expressly use the word "sham" when addressing the submission of </w:t>
      </w:r>
      <w:r w:rsidR="00A930A0" w:rsidRPr="008F0407">
        <w:rPr>
          <w:rFonts w:ascii="Times New Roman" w:hAnsi="Times New Roman"/>
          <w:shd w:val="clear" w:color="auto" w:fill="FFFFFF"/>
        </w:rPr>
        <w:t xml:space="preserve">the </w:t>
      </w:r>
      <w:r w:rsidR="0046089F" w:rsidRPr="008F0407">
        <w:rPr>
          <w:rFonts w:ascii="Times New Roman" w:hAnsi="Times New Roman"/>
          <w:shd w:val="clear" w:color="auto" w:fill="FFFFFF"/>
        </w:rPr>
        <w:t>u</w:t>
      </w:r>
      <w:r w:rsidR="00A930A0" w:rsidRPr="008F0407">
        <w:rPr>
          <w:rFonts w:ascii="Times New Roman" w:hAnsi="Times New Roman"/>
          <w:shd w:val="clear" w:color="auto" w:fill="FFFFFF"/>
        </w:rPr>
        <w:t>nion, th</w:t>
      </w:r>
      <w:r w:rsidR="00CB70E2" w:rsidRPr="008F0407">
        <w:rPr>
          <w:rFonts w:ascii="Times New Roman" w:hAnsi="Times New Roman"/>
          <w:shd w:val="clear" w:color="auto" w:fill="FFFFFF"/>
        </w:rPr>
        <w:t xml:space="preserve">e </w:t>
      </w:r>
      <w:r w:rsidR="00C13D4B" w:rsidRPr="008F0407">
        <w:rPr>
          <w:rFonts w:ascii="Times New Roman" w:hAnsi="Times New Roman"/>
          <w:shd w:val="clear" w:color="auto" w:fill="FFFFFF"/>
        </w:rPr>
        <w:t xml:space="preserve">reference </w:t>
      </w:r>
      <w:r w:rsidR="000032B9" w:rsidRPr="008F0407">
        <w:rPr>
          <w:rFonts w:ascii="Times New Roman" w:hAnsi="Times New Roman"/>
          <w:shd w:val="clear" w:color="auto" w:fill="FFFFFF"/>
        </w:rPr>
        <w:t xml:space="preserve">by their Honours </w:t>
      </w:r>
      <w:r w:rsidR="00C13D4B" w:rsidRPr="008F0407">
        <w:rPr>
          <w:rFonts w:ascii="Times New Roman" w:hAnsi="Times New Roman"/>
          <w:shd w:val="clear" w:color="auto" w:fill="FFFFFF"/>
        </w:rPr>
        <w:t xml:space="preserve">to the "true" </w:t>
      </w:r>
      <w:r w:rsidR="00A730C1" w:rsidRPr="008F0407">
        <w:rPr>
          <w:rFonts w:ascii="Times New Roman" w:hAnsi="Times New Roman"/>
          <w:shd w:val="clear" w:color="auto" w:fill="FFFFFF"/>
        </w:rPr>
        <w:t xml:space="preserve">legal complexion of contractual obligations </w:t>
      </w:r>
      <w:r w:rsidR="00CB70E2" w:rsidRPr="008F0407">
        <w:rPr>
          <w:rFonts w:ascii="Times New Roman" w:hAnsi="Times New Roman"/>
          <w:shd w:val="clear" w:color="auto" w:fill="FFFFFF"/>
        </w:rPr>
        <w:t xml:space="preserve">in </w:t>
      </w:r>
      <w:r w:rsidR="00CB70E2" w:rsidRPr="008F0407">
        <w:rPr>
          <w:rFonts w:ascii="Times New Roman" w:hAnsi="Times New Roman"/>
          <w:i/>
          <w:iCs/>
          <w:shd w:val="clear" w:color="auto" w:fill="FFFFFF"/>
        </w:rPr>
        <w:t xml:space="preserve">R v Foster </w:t>
      </w:r>
      <w:r w:rsidR="00CB70E2" w:rsidRPr="008F0407">
        <w:rPr>
          <w:rFonts w:ascii="Times New Roman" w:hAnsi="Times New Roman"/>
          <w:shd w:val="clear" w:color="auto" w:fill="FFFFFF"/>
        </w:rPr>
        <w:t xml:space="preserve">has also been understood </w:t>
      </w:r>
      <w:r w:rsidR="00D66977" w:rsidRPr="008F0407">
        <w:rPr>
          <w:rFonts w:ascii="Times New Roman" w:hAnsi="Times New Roman"/>
          <w:shd w:val="clear" w:color="auto" w:fill="FFFFFF"/>
        </w:rPr>
        <w:t>to be a reference to a</w:t>
      </w:r>
      <w:r w:rsidR="0088161D" w:rsidRPr="008F0407">
        <w:rPr>
          <w:rFonts w:ascii="Times New Roman" w:hAnsi="Times New Roman"/>
          <w:shd w:val="clear" w:color="auto" w:fill="FFFFFF"/>
        </w:rPr>
        <w:t xml:space="preserve"> variation</w:t>
      </w:r>
      <w:r w:rsidR="00D66977" w:rsidRPr="008F0407">
        <w:rPr>
          <w:rFonts w:ascii="Times New Roman" w:hAnsi="Times New Roman"/>
          <w:shd w:val="clear" w:color="auto" w:fill="FFFFFF"/>
        </w:rPr>
        <w:t xml:space="preserve"> of the agreement</w:t>
      </w:r>
      <w:r w:rsidR="0088161D" w:rsidRPr="008F0407">
        <w:rPr>
          <w:rStyle w:val="FootnoteReference"/>
          <w:rFonts w:ascii="Times New Roman" w:hAnsi="Times New Roman"/>
          <w:sz w:val="24"/>
        </w:rPr>
        <w:footnoteReference w:id="91"/>
      </w:r>
      <w:r w:rsidR="0088161D" w:rsidRPr="008F0407">
        <w:rPr>
          <w:rFonts w:ascii="Times New Roman" w:hAnsi="Times New Roman"/>
          <w:shd w:val="clear" w:color="auto" w:fill="FFFFFF"/>
        </w:rPr>
        <w:t>. Indeed, th</w:t>
      </w:r>
      <w:r w:rsidR="00474228" w:rsidRPr="008F0407">
        <w:rPr>
          <w:rFonts w:ascii="Times New Roman" w:hAnsi="Times New Roman"/>
          <w:shd w:val="clear" w:color="auto" w:fill="FFFFFF"/>
        </w:rPr>
        <w:t xml:space="preserve">e language of </w:t>
      </w:r>
      <w:r w:rsidR="00465BC5" w:rsidRPr="008F0407">
        <w:rPr>
          <w:rFonts w:ascii="Times New Roman" w:hAnsi="Times New Roman"/>
          <w:shd w:val="clear" w:color="auto" w:fill="FFFFFF"/>
        </w:rPr>
        <w:t xml:space="preserve">a subsequent </w:t>
      </w:r>
      <w:r w:rsidR="00474228" w:rsidRPr="008F0407">
        <w:rPr>
          <w:rFonts w:ascii="Times New Roman" w:hAnsi="Times New Roman"/>
          <w:shd w:val="clear" w:color="auto" w:fill="FFFFFF"/>
        </w:rPr>
        <w:t>assumption of rights by the company and</w:t>
      </w:r>
      <w:r w:rsidR="00465BC5" w:rsidRPr="008F0407">
        <w:rPr>
          <w:rFonts w:ascii="Times New Roman" w:hAnsi="Times New Roman"/>
          <w:shd w:val="clear" w:color="auto" w:fill="FFFFFF"/>
        </w:rPr>
        <w:t xml:space="preserve"> an</w:t>
      </w:r>
      <w:r w:rsidR="00474228" w:rsidRPr="008F0407">
        <w:rPr>
          <w:rFonts w:ascii="Times New Roman" w:hAnsi="Times New Roman"/>
          <w:shd w:val="clear" w:color="auto" w:fill="FFFFFF"/>
        </w:rPr>
        <w:t xml:space="preserve"> acceptance of duties by the agents, as to the </w:t>
      </w:r>
      <w:r w:rsidR="00A92D95" w:rsidRPr="008F0407">
        <w:rPr>
          <w:rFonts w:ascii="Times New Roman" w:hAnsi="Times New Roman"/>
          <w:shd w:val="clear" w:color="auto" w:fill="FFFFFF"/>
        </w:rPr>
        <w:t>"</w:t>
      </w:r>
      <w:r w:rsidR="00474228" w:rsidRPr="008F0407">
        <w:rPr>
          <w:rFonts w:ascii="Times New Roman" w:hAnsi="Times New Roman"/>
          <w:shd w:val="clear" w:color="auto" w:fill="FFFFFF"/>
        </w:rPr>
        <w:t>legal</w:t>
      </w:r>
      <w:r w:rsidR="00A92D95" w:rsidRPr="008F0407">
        <w:rPr>
          <w:rFonts w:ascii="Times New Roman" w:hAnsi="Times New Roman"/>
          <w:shd w:val="clear" w:color="auto" w:fill="FFFFFF"/>
        </w:rPr>
        <w:t>"</w:t>
      </w:r>
      <w:r w:rsidR="00474228" w:rsidRPr="008F0407">
        <w:rPr>
          <w:rFonts w:ascii="Times New Roman" w:hAnsi="Times New Roman"/>
          <w:shd w:val="clear" w:color="auto" w:fill="FFFFFF"/>
        </w:rPr>
        <w:t xml:space="preserve"> complexion of a relationship</w:t>
      </w:r>
      <w:r w:rsidR="00353BDF" w:rsidRPr="008F0407">
        <w:rPr>
          <w:rFonts w:ascii="Times New Roman" w:hAnsi="Times New Roman"/>
          <w:shd w:val="clear" w:color="auto" w:fill="FFFFFF"/>
        </w:rPr>
        <w:t>,</w:t>
      </w:r>
      <w:r w:rsidR="00474228" w:rsidRPr="008F0407">
        <w:rPr>
          <w:rFonts w:ascii="Times New Roman" w:hAnsi="Times New Roman"/>
          <w:shd w:val="clear" w:color="auto" w:fill="FFFFFF"/>
        </w:rPr>
        <w:t xml:space="preserve"> is almost a textbook </w:t>
      </w:r>
      <w:r w:rsidR="00465BC5" w:rsidRPr="008F0407">
        <w:rPr>
          <w:rFonts w:ascii="Times New Roman" w:hAnsi="Times New Roman"/>
          <w:shd w:val="clear" w:color="auto" w:fill="FFFFFF"/>
        </w:rPr>
        <w:t>description</w:t>
      </w:r>
      <w:r w:rsidR="00474228" w:rsidRPr="008F0407">
        <w:rPr>
          <w:rFonts w:ascii="Times New Roman" w:hAnsi="Times New Roman"/>
          <w:shd w:val="clear" w:color="auto" w:fill="FFFFFF"/>
        </w:rPr>
        <w:t xml:space="preserve"> of </w:t>
      </w:r>
      <w:r w:rsidR="00465BC5" w:rsidRPr="008F0407">
        <w:rPr>
          <w:rFonts w:ascii="Times New Roman" w:hAnsi="Times New Roman"/>
          <w:shd w:val="clear" w:color="auto" w:fill="FFFFFF"/>
        </w:rPr>
        <w:t xml:space="preserve">a </w:t>
      </w:r>
      <w:r w:rsidR="00474228" w:rsidRPr="008F0407">
        <w:rPr>
          <w:rFonts w:ascii="Times New Roman" w:hAnsi="Times New Roman"/>
          <w:shd w:val="clear" w:color="auto" w:fill="FFFFFF"/>
        </w:rPr>
        <w:t>variation of contract</w:t>
      </w:r>
      <w:r w:rsidR="00465BC5" w:rsidRPr="008F0407">
        <w:rPr>
          <w:rFonts w:ascii="Times New Roman" w:hAnsi="Times New Roman"/>
          <w:shd w:val="clear" w:color="auto" w:fill="FFFFFF"/>
        </w:rPr>
        <w:t xml:space="preserve"> by conduct</w:t>
      </w:r>
      <w:r w:rsidR="00474228" w:rsidRPr="008F0407">
        <w:rPr>
          <w:rFonts w:ascii="Times New Roman" w:hAnsi="Times New Roman"/>
          <w:shd w:val="clear" w:color="auto" w:fill="FFFFFF"/>
        </w:rPr>
        <w:t>.</w:t>
      </w:r>
      <w:r w:rsidR="007D0464" w:rsidRPr="008F0407">
        <w:rPr>
          <w:rFonts w:ascii="Times New Roman" w:hAnsi="Times New Roman"/>
          <w:shd w:val="clear" w:color="auto" w:fill="FFFFFF"/>
        </w:rPr>
        <w:t xml:space="preserve"> </w:t>
      </w:r>
      <w:r w:rsidR="00ED7230" w:rsidRPr="008F0407">
        <w:rPr>
          <w:rFonts w:ascii="Times New Roman" w:hAnsi="Times New Roman"/>
          <w:shd w:val="clear" w:color="auto" w:fill="FFFFFF"/>
        </w:rPr>
        <w:t>This was the approach taken i</w:t>
      </w:r>
      <w:r w:rsidR="0088161D" w:rsidRPr="008F0407">
        <w:rPr>
          <w:rFonts w:ascii="Times New Roman" w:hAnsi="Times New Roman"/>
          <w:shd w:val="clear" w:color="auto" w:fill="FFFFFF"/>
        </w:rPr>
        <w:t xml:space="preserve">n </w:t>
      </w:r>
      <w:r w:rsidR="0088161D" w:rsidRPr="008F0407">
        <w:rPr>
          <w:rFonts w:ascii="Times New Roman" w:hAnsi="Times New Roman"/>
          <w:i/>
          <w:iCs/>
        </w:rPr>
        <w:t xml:space="preserve">Ex </w:t>
      </w:r>
      <w:proofErr w:type="spellStart"/>
      <w:r w:rsidR="0088161D" w:rsidRPr="008F0407">
        <w:rPr>
          <w:rFonts w:ascii="Times New Roman" w:hAnsi="Times New Roman"/>
          <w:i/>
          <w:iCs/>
        </w:rPr>
        <w:t>parte</w:t>
      </w:r>
      <w:proofErr w:type="spellEnd"/>
      <w:r w:rsidR="0088161D" w:rsidRPr="008F0407">
        <w:rPr>
          <w:rFonts w:ascii="Times New Roman" w:hAnsi="Times New Roman"/>
          <w:i/>
          <w:iCs/>
        </w:rPr>
        <w:t xml:space="preserve"> Robert John Pty Ltd; Re </w:t>
      </w:r>
      <w:proofErr w:type="spellStart"/>
      <w:r w:rsidR="0088161D" w:rsidRPr="008F0407">
        <w:rPr>
          <w:rFonts w:ascii="Times New Roman" w:hAnsi="Times New Roman"/>
          <w:i/>
          <w:iCs/>
        </w:rPr>
        <w:t>Fostars</w:t>
      </w:r>
      <w:proofErr w:type="spellEnd"/>
      <w:r w:rsidR="0088161D" w:rsidRPr="008F0407">
        <w:rPr>
          <w:rFonts w:ascii="Times New Roman" w:hAnsi="Times New Roman"/>
          <w:i/>
          <w:iCs/>
        </w:rPr>
        <w:t xml:space="preserve"> Shoes Pty Ltd</w:t>
      </w:r>
      <w:r w:rsidR="0088161D" w:rsidRPr="008F0407">
        <w:rPr>
          <w:rStyle w:val="FootnoteReference"/>
          <w:rFonts w:ascii="Times New Roman" w:hAnsi="Times New Roman"/>
          <w:sz w:val="24"/>
        </w:rPr>
        <w:footnoteReference w:id="92"/>
      </w:r>
      <w:r w:rsidR="0064566D" w:rsidRPr="008F0407">
        <w:rPr>
          <w:rFonts w:ascii="Times New Roman" w:hAnsi="Times New Roman"/>
        </w:rPr>
        <w:t xml:space="preserve">, </w:t>
      </w:r>
      <w:r w:rsidR="00ED7230" w:rsidRPr="008F0407">
        <w:rPr>
          <w:rFonts w:ascii="Times New Roman" w:hAnsi="Times New Roman"/>
        </w:rPr>
        <w:t>where</w:t>
      </w:r>
      <w:r w:rsidR="0064566D" w:rsidRPr="008F0407">
        <w:rPr>
          <w:rFonts w:ascii="Times New Roman" w:hAnsi="Times New Roman"/>
        </w:rPr>
        <w:t>,</w:t>
      </w:r>
      <w:r w:rsidR="00ED7230" w:rsidRPr="008F0407">
        <w:rPr>
          <w:rFonts w:ascii="Times New Roman" w:hAnsi="Times New Roman"/>
        </w:rPr>
        <w:t xml:space="preserve"> </w:t>
      </w:r>
      <w:r w:rsidR="00FC586B" w:rsidRPr="008F0407">
        <w:rPr>
          <w:rFonts w:ascii="Times New Roman" w:hAnsi="Times New Roman"/>
        </w:rPr>
        <w:t xml:space="preserve">in the course of considering whether a deed described as a deed of "licence" </w:t>
      </w:r>
      <w:r w:rsidR="00751258" w:rsidRPr="008F0407">
        <w:rPr>
          <w:rFonts w:ascii="Times New Roman" w:hAnsi="Times New Roman"/>
        </w:rPr>
        <w:t xml:space="preserve">created a lease, </w:t>
      </w:r>
      <w:proofErr w:type="spellStart"/>
      <w:r w:rsidR="0088161D" w:rsidRPr="008F0407">
        <w:rPr>
          <w:rFonts w:ascii="Times New Roman" w:hAnsi="Times New Roman"/>
        </w:rPr>
        <w:t>Sugerman</w:t>
      </w:r>
      <w:proofErr w:type="spellEnd"/>
      <w:r w:rsidR="00125989" w:rsidRPr="008F0407">
        <w:rPr>
          <w:rFonts w:ascii="Times New Roman" w:hAnsi="Times New Roman"/>
        </w:rPr>
        <w:t> </w:t>
      </w:r>
      <w:r w:rsidR="0088161D" w:rsidRPr="008F0407">
        <w:rPr>
          <w:rFonts w:ascii="Times New Roman" w:hAnsi="Times New Roman"/>
        </w:rPr>
        <w:t xml:space="preserve">J </w:t>
      </w:r>
      <w:r w:rsidR="00EE3F1A" w:rsidRPr="008F0407">
        <w:rPr>
          <w:rFonts w:ascii="Times New Roman" w:hAnsi="Times New Roman"/>
        </w:rPr>
        <w:t xml:space="preserve">referred to </w:t>
      </w:r>
      <w:r w:rsidR="00EE3F1A" w:rsidRPr="008F0407">
        <w:rPr>
          <w:rFonts w:ascii="Times New Roman" w:hAnsi="Times New Roman"/>
          <w:i/>
          <w:iCs/>
        </w:rPr>
        <w:t xml:space="preserve">R v Foster </w:t>
      </w:r>
      <w:r w:rsidR="00EE3F1A" w:rsidRPr="008F0407">
        <w:rPr>
          <w:rFonts w:ascii="Times New Roman" w:hAnsi="Times New Roman"/>
        </w:rPr>
        <w:t xml:space="preserve">and </w:t>
      </w:r>
      <w:r w:rsidR="005B2FC0" w:rsidRPr="008F0407">
        <w:rPr>
          <w:rFonts w:ascii="Times New Roman" w:hAnsi="Times New Roman"/>
        </w:rPr>
        <w:t>spoke of the need to "have regard to the real character of the relationship of the parties</w:t>
      </w:r>
      <w:r w:rsidR="00E94623" w:rsidRPr="008F0407">
        <w:rPr>
          <w:rFonts w:ascii="Times New Roman" w:hAnsi="Times New Roman"/>
        </w:rPr>
        <w:t xml:space="preserve"> ... as their relations worked out in fact"</w:t>
      </w:r>
      <w:r w:rsidR="00C65186" w:rsidRPr="008F0407">
        <w:rPr>
          <w:rFonts w:ascii="Times New Roman" w:hAnsi="Times New Roman"/>
        </w:rPr>
        <w:t xml:space="preserve"> apart from "the deed of licence if considered alone". </w:t>
      </w:r>
      <w:r w:rsidR="002D4659" w:rsidRPr="008F0407">
        <w:rPr>
          <w:rFonts w:ascii="Times New Roman" w:hAnsi="Times New Roman"/>
        </w:rPr>
        <w:t xml:space="preserve">As </w:t>
      </w:r>
      <w:proofErr w:type="spellStart"/>
      <w:r w:rsidR="002D4659" w:rsidRPr="008F0407">
        <w:rPr>
          <w:rFonts w:ascii="Times New Roman" w:hAnsi="Times New Roman"/>
        </w:rPr>
        <w:t>Sugerman</w:t>
      </w:r>
      <w:proofErr w:type="spellEnd"/>
      <w:r w:rsidR="00125989" w:rsidRPr="008F0407">
        <w:rPr>
          <w:rFonts w:ascii="Times New Roman" w:hAnsi="Times New Roman"/>
        </w:rPr>
        <w:t> </w:t>
      </w:r>
      <w:r w:rsidR="002D4659" w:rsidRPr="008F0407">
        <w:rPr>
          <w:rFonts w:ascii="Times New Roman" w:hAnsi="Times New Roman"/>
        </w:rPr>
        <w:t>J explained in the immediately preceding paragraph</w:t>
      </w:r>
      <w:r w:rsidR="002D4659" w:rsidRPr="008F0407">
        <w:rPr>
          <w:rStyle w:val="FootnoteReference"/>
          <w:rFonts w:ascii="Times New Roman" w:hAnsi="Times New Roman"/>
          <w:sz w:val="24"/>
        </w:rPr>
        <w:footnoteReference w:id="93"/>
      </w:r>
      <w:r w:rsidR="002D4659" w:rsidRPr="008F0407">
        <w:rPr>
          <w:rFonts w:ascii="Times New Roman" w:hAnsi="Times New Roman"/>
        </w:rPr>
        <w:t>, t</w:t>
      </w:r>
      <w:r w:rsidR="006B60F8" w:rsidRPr="008F0407">
        <w:rPr>
          <w:rFonts w:ascii="Times New Roman" w:hAnsi="Times New Roman"/>
        </w:rPr>
        <w:t>his was addressing the submission</w:t>
      </w:r>
      <w:r w:rsidR="00E82DF8" w:rsidRPr="008F0407">
        <w:rPr>
          <w:rFonts w:ascii="Times New Roman" w:hAnsi="Times New Roman"/>
        </w:rPr>
        <w:t>, set out earlier</w:t>
      </w:r>
      <w:r w:rsidR="00E82DF8" w:rsidRPr="008F0407">
        <w:rPr>
          <w:rStyle w:val="FootnoteReference"/>
          <w:rFonts w:ascii="Times New Roman" w:hAnsi="Times New Roman"/>
          <w:sz w:val="24"/>
        </w:rPr>
        <w:footnoteReference w:id="94"/>
      </w:r>
      <w:r w:rsidR="00E82DF8" w:rsidRPr="008F0407">
        <w:rPr>
          <w:rFonts w:ascii="Times New Roman" w:hAnsi="Times New Roman"/>
        </w:rPr>
        <w:t>,</w:t>
      </w:r>
      <w:r w:rsidR="006B60F8" w:rsidRPr="008F0407">
        <w:rPr>
          <w:rFonts w:ascii="Times New Roman" w:hAnsi="Times New Roman"/>
        </w:rPr>
        <w:t xml:space="preserve"> that </w:t>
      </w:r>
      <w:r w:rsidR="00BE0378" w:rsidRPr="008F0407">
        <w:rPr>
          <w:rFonts w:ascii="Times New Roman" w:hAnsi="Times New Roman"/>
        </w:rPr>
        <w:t>"</w:t>
      </w:r>
      <w:r w:rsidR="006F4FD2" w:rsidRPr="008F0407">
        <w:rPr>
          <w:rFonts w:ascii="Times New Roman" w:hAnsi="Times New Roman"/>
        </w:rPr>
        <w:t xml:space="preserve">even if it be taken that </w:t>
      </w:r>
      <w:r w:rsidR="00BE0378" w:rsidRPr="008F0407">
        <w:rPr>
          <w:rFonts w:ascii="Times New Roman" w:hAnsi="Times New Roman"/>
        </w:rPr>
        <w:t xml:space="preserve">the relationship between the parties was originally that of licensor and licensee, </w:t>
      </w:r>
      <w:r w:rsidR="006B60F8" w:rsidRPr="008F0407">
        <w:rPr>
          <w:rFonts w:ascii="Times New Roman" w:hAnsi="Times New Roman"/>
        </w:rPr>
        <w:t>the</w:t>
      </w:r>
      <w:r w:rsidR="006F4FD2" w:rsidRPr="008F0407">
        <w:rPr>
          <w:rFonts w:ascii="Times New Roman" w:hAnsi="Times New Roman"/>
        </w:rPr>
        <w:t xml:space="preserve"> only reasonable construction to be placed upon subsequent events </w:t>
      </w:r>
      <w:r w:rsidR="00E05A7D" w:rsidRPr="008F0407">
        <w:rPr>
          <w:rFonts w:ascii="Times New Roman" w:hAnsi="Times New Roman"/>
        </w:rPr>
        <w:t xml:space="preserve">is that, by tacit consent, the character of the appellant's occupation of the premises was later changed and the </w:t>
      </w:r>
      <w:r w:rsidR="00AF4B58" w:rsidRPr="008F0407">
        <w:rPr>
          <w:rFonts w:ascii="Times New Roman" w:hAnsi="Times New Roman"/>
        </w:rPr>
        <w:t>relationship became one of lessor and lessee".</w:t>
      </w:r>
      <w:r w:rsidR="006B60F8" w:rsidRPr="008F0407">
        <w:rPr>
          <w:rFonts w:ascii="Times New Roman" w:hAnsi="Times New Roman"/>
        </w:rPr>
        <w:t xml:space="preserve"> </w:t>
      </w:r>
      <w:r w:rsidR="00751258" w:rsidRPr="008F0407">
        <w:rPr>
          <w:rFonts w:ascii="Times New Roman" w:hAnsi="Times New Roman"/>
        </w:rPr>
        <w:t xml:space="preserve">Plainly, </w:t>
      </w:r>
      <w:proofErr w:type="spellStart"/>
      <w:r w:rsidR="00E179DB" w:rsidRPr="008F0407">
        <w:rPr>
          <w:rFonts w:ascii="Times New Roman" w:hAnsi="Times New Roman"/>
        </w:rPr>
        <w:t>Sugerman</w:t>
      </w:r>
      <w:proofErr w:type="spellEnd"/>
      <w:r w:rsidR="00125989" w:rsidRPr="008F0407">
        <w:rPr>
          <w:rFonts w:ascii="Times New Roman" w:hAnsi="Times New Roman"/>
        </w:rPr>
        <w:t> </w:t>
      </w:r>
      <w:r w:rsidR="00E179DB" w:rsidRPr="008F0407">
        <w:rPr>
          <w:rFonts w:ascii="Times New Roman" w:hAnsi="Times New Roman"/>
        </w:rPr>
        <w:t xml:space="preserve">J </w:t>
      </w:r>
      <w:r w:rsidR="00751258" w:rsidRPr="008F0407">
        <w:rPr>
          <w:rFonts w:ascii="Times New Roman" w:hAnsi="Times New Roman"/>
        </w:rPr>
        <w:t xml:space="preserve">was not </w:t>
      </w:r>
      <w:r w:rsidR="00070E61" w:rsidRPr="008F0407">
        <w:rPr>
          <w:rFonts w:ascii="Times New Roman" w:hAnsi="Times New Roman"/>
        </w:rPr>
        <w:t>silently</w:t>
      </w:r>
      <w:r w:rsidR="00751258" w:rsidRPr="008F0407">
        <w:rPr>
          <w:rFonts w:ascii="Times New Roman" w:hAnsi="Times New Roman"/>
        </w:rPr>
        <w:t xml:space="preserve"> </w:t>
      </w:r>
      <w:r w:rsidR="00826414" w:rsidRPr="008F0407">
        <w:rPr>
          <w:rFonts w:ascii="Times New Roman" w:hAnsi="Times New Roman"/>
        </w:rPr>
        <w:t>abandoning</w:t>
      </w:r>
      <w:r w:rsidR="00070E61" w:rsidRPr="008F0407">
        <w:rPr>
          <w:rFonts w:ascii="Times New Roman" w:hAnsi="Times New Roman"/>
        </w:rPr>
        <w:t xml:space="preserve"> </w:t>
      </w:r>
      <w:r w:rsidR="006A6FAD" w:rsidRPr="008F0407">
        <w:rPr>
          <w:rFonts w:ascii="Times New Roman" w:hAnsi="Times New Roman"/>
        </w:rPr>
        <w:t>"traditional principles"</w:t>
      </w:r>
      <w:r w:rsidR="006A6FAD" w:rsidRPr="008F0407">
        <w:rPr>
          <w:rStyle w:val="FootnoteReference"/>
          <w:rFonts w:ascii="Times New Roman" w:hAnsi="Times New Roman"/>
          <w:sz w:val="24"/>
        </w:rPr>
        <w:footnoteReference w:id="95"/>
      </w:r>
      <w:r w:rsidR="006A6FAD" w:rsidRPr="008F0407">
        <w:rPr>
          <w:rFonts w:ascii="Times New Roman" w:hAnsi="Times New Roman"/>
        </w:rPr>
        <w:t xml:space="preserve"> or </w:t>
      </w:r>
      <w:r w:rsidR="00070E61" w:rsidRPr="008F0407">
        <w:rPr>
          <w:rFonts w:ascii="Times New Roman" w:hAnsi="Times New Roman"/>
        </w:rPr>
        <w:t>established</w:t>
      </w:r>
      <w:r w:rsidR="00826414" w:rsidRPr="008F0407">
        <w:rPr>
          <w:rFonts w:ascii="Times New Roman" w:hAnsi="Times New Roman"/>
        </w:rPr>
        <w:t xml:space="preserve"> orthodoxy</w:t>
      </w:r>
      <w:r w:rsidR="009E2BDB" w:rsidRPr="008F0407">
        <w:rPr>
          <w:rFonts w:ascii="Times New Roman" w:hAnsi="Times New Roman"/>
        </w:rPr>
        <w:t xml:space="preserve"> </w:t>
      </w:r>
      <w:r w:rsidR="006A6FAD" w:rsidRPr="008F0407">
        <w:rPr>
          <w:rFonts w:ascii="Times New Roman" w:hAnsi="Times New Roman"/>
        </w:rPr>
        <w:t xml:space="preserve">which requires </w:t>
      </w:r>
      <w:r w:rsidR="00826414" w:rsidRPr="008F0407">
        <w:rPr>
          <w:rFonts w:ascii="Times New Roman" w:hAnsi="Times New Roman"/>
        </w:rPr>
        <w:t>that</w:t>
      </w:r>
      <w:r w:rsidR="00751258" w:rsidRPr="008F0407">
        <w:rPr>
          <w:rFonts w:ascii="Times New Roman" w:hAnsi="Times New Roman"/>
        </w:rPr>
        <w:t xml:space="preserve"> the character of a</w:t>
      </w:r>
      <w:r w:rsidR="00785145" w:rsidRPr="008F0407">
        <w:rPr>
          <w:rFonts w:ascii="Times New Roman" w:hAnsi="Times New Roman"/>
        </w:rPr>
        <w:t xml:space="preserve">n agreement </w:t>
      </w:r>
      <w:r w:rsidR="00A3176C" w:rsidRPr="008F0407">
        <w:rPr>
          <w:rFonts w:ascii="Times New Roman" w:hAnsi="Times New Roman"/>
        </w:rPr>
        <w:t>as</w:t>
      </w:r>
      <w:r w:rsidR="00785145" w:rsidRPr="008F0407">
        <w:rPr>
          <w:rFonts w:ascii="Times New Roman" w:hAnsi="Times New Roman"/>
        </w:rPr>
        <w:t xml:space="preserve"> </w:t>
      </w:r>
      <w:r w:rsidR="00A3176C" w:rsidRPr="008F0407">
        <w:rPr>
          <w:rFonts w:ascii="Times New Roman" w:hAnsi="Times New Roman"/>
        </w:rPr>
        <w:t>either</w:t>
      </w:r>
      <w:r w:rsidR="00785145" w:rsidRPr="008F0407">
        <w:rPr>
          <w:rFonts w:ascii="Times New Roman" w:hAnsi="Times New Roman"/>
        </w:rPr>
        <w:t xml:space="preserve"> a lease or </w:t>
      </w:r>
      <w:r w:rsidR="006A6FAD" w:rsidRPr="008F0407">
        <w:rPr>
          <w:rFonts w:ascii="Times New Roman" w:hAnsi="Times New Roman"/>
        </w:rPr>
        <w:t xml:space="preserve">a </w:t>
      </w:r>
      <w:r w:rsidR="00785145" w:rsidRPr="008F0407">
        <w:rPr>
          <w:rFonts w:ascii="Times New Roman" w:hAnsi="Times New Roman"/>
        </w:rPr>
        <w:t xml:space="preserve">licence </w:t>
      </w:r>
      <w:r w:rsidR="00664A76" w:rsidRPr="008F0407">
        <w:rPr>
          <w:rFonts w:ascii="Times New Roman" w:hAnsi="Times New Roman"/>
        </w:rPr>
        <w:t xml:space="preserve">"can </w:t>
      </w:r>
      <w:r w:rsidR="00664A76" w:rsidRPr="008F0407">
        <w:rPr>
          <w:rFonts w:ascii="Times New Roman" w:hAnsi="Times New Roman"/>
        </w:rPr>
        <w:lastRenderedPageBreak/>
        <w:t>only be determined by consideration of the effect of the agreement"</w:t>
      </w:r>
      <w:r w:rsidR="00BD6CB1" w:rsidRPr="008F0407">
        <w:rPr>
          <w:rStyle w:val="FootnoteReference"/>
          <w:rFonts w:ascii="Times New Roman" w:hAnsi="Times New Roman"/>
          <w:sz w:val="24"/>
        </w:rPr>
        <w:footnoteReference w:id="96"/>
      </w:r>
      <w:r w:rsidR="00CB3FDE" w:rsidRPr="008F0407">
        <w:rPr>
          <w:rFonts w:ascii="Times New Roman" w:hAnsi="Times New Roman"/>
        </w:rPr>
        <w:t>. His</w:t>
      </w:r>
      <w:r w:rsidR="00B1584C" w:rsidRPr="008F0407">
        <w:rPr>
          <w:rFonts w:ascii="Times New Roman" w:hAnsi="Times New Roman"/>
        </w:rPr>
        <w:t> </w:t>
      </w:r>
      <w:r w:rsidR="00CB3FDE" w:rsidRPr="008F0407">
        <w:rPr>
          <w:rFonts w:ascii="Times New Roman" w:hAnsi="Times New Roman"/>
        </w:rPr>
        <w:t xml:space="preserve">Honour was describing </w:t>
      </w:r>
      <w:r w:rsidR="00A27678" w:rsidRPr="008F0407">
        <w:rPr>
          <w:rFonts w:ascii="Times New Roman" w:hAnsi="Times New Roman"/>
        </w:rPr>
        <w:t xml:space="preserve">a </w:t>
      </w:r>
      <w:r w:rsidR="00E5706F" w:rsidRPr="008F0407">
        <w:rPr>
          <w:rFonts w:ascii="Times New Roman" w:hAnsi="Times New Roman"/>
        </w:rPr>
        <w:t>variatio</w:t>
      </w:r>
      <w:r w:rsidR="00964051" w:rsidRPr="008F0407">
        <w:rPr>
          <w:rFonts w:ascii="Times New Roman" w:hAnsi="Times New Roman"/>
        </w:rPr>
        <w:t>n</w:t>
      </w:r>
      <w:r w:rsidR="00A27678" w:rsidRPr="008F0407">
        <w:rPr>
          <w:rFonts w:ascii="Times New Roman" w:hAnsi="Times New Roman"/>
        </w:rPr>
        <w:t xml:space="preserve"> of the agreement</w:t>
      </w:r>
      <w:r w:rsidR="00E5706F" w:rsidRPr="008F0407">
        <w:rPr>
          <w:rFonts w:ascii="Times New Roman" w:hAnsi="Times New Roman"/>
        </w:rPr>
        <w:t xml:space="preserve">. </w:t>
      </w:r>
    </w:p>
    <w:p w14:paraId="3F19DE4D" w14:textId="516BE6A6" w:rsidR="00C12FF3" w:rsidRPr="008F0407" w:rsidRDefault="00575628"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22639E" w:rsidRPr="008F0407">
        <w:rPr>
          <w:rFonts w:ascii="Times New Roman" w:hAnsi="Times New Roman"/>
        </w:rPr>
        <w:t>P</w:t>
      </w:r>
      <w:r w:rsidR="00AD46EE" w:rsidRPr="008F0407">
        <w:rPr>
          <w:rFonts w:ascii="Times New Roman" w:hAnsi="Times New Roman"/>
        </w:rPr>
        <w:t xml:space="preserve">rior to </w:t>
      </w:r>
      <w:r w:rsidR="00AD46EE" w:rsidRPr="008F0407">
        <w:rPr>
          <w:rFonts w:ascii="Times New Roman" w:hAnsi="Times New Roman"/>
          <w:i/>
          <w:iCs/>
        </w:rPr>
        <w:t xml:space="preserve">Chaplin </w:t>
      </w:r>
      <w:r w:rsidR="00AD46EE" w:rsidRPr="008F0407">
        <w:rPr>
          <w:rFonts w:ascii="Times New Roman" w:hAnsi="Times New Roman"/>
        </w:rPr>
        <w:t xml:space="preserve">and </w:t>
      </w:r>
      <w:proofErr w:type="spellStart"/>
      <w:r w:rsidR="00AD46EE" w:rsidRPr="008F0407">
        <w:rPr>
          <w:rFonts w:ascii="Times New Roman" w:hAnsi="Times New Roman"/>
          <w:i/>
          <w:iCs/>
        </w:rPr>
        <w:t>Narich</w:t>
      </w:r>
      <w:proofErr w:type="spellEnd"/>
      <w:r w:rsidR="00A22DD5" w:rsidRPr="008F0407">
        <w:rPr>
          <w:rFonts w:ascii="Times New Roman" w:hAnsi="Times New Roman"/>
        </w:rPr>
        <w:t>,</w:t>
      </w:r>
      <w:r w:rsidR="00AD46EE" w:rsidRPr="008F0407">
        <w:rPr>
          <w:rFonts w:ascii="Times New Roman" w:hAnsi="Times New Roman"/>
          <w:i/>
          <w:iCs/>
        </w:rPr>
        <w:t xml:space="preserve"> </w:t>
      </w:r>
      <w:r w:rsidR="0022639E" w:rsidRPr="008F0407">
        <w:rPr>
          <w:rFonts w:ascii="Times New Roman" w:hAnsi="Times New Roman"/>
        </w:rPr>
        <w:t xml:space="preserve">examples </w:t>
      </w:r>
      <w:r w:rsidR="001F061A" w:rsidRPr="008F0407">
        <w:rPr>
          <w:rFonts w:ascii="Times New Roman" w:hAnsi="Times New Roman"/>
        </w:rPr>
        <w:t xml:space="preserve">abound </w:t>
      </w:r>
      <w:r w:rsidR="00C37F76" w:rsidRPr="008F0407">
        <w:rPr>
          <w:rFonts w:ascii="Times New Roman" w:hAnsi="Times New Roman"/>
        </w:rPr>
        <w:t>of</w:t>
      </w:r>
      <w:r w:rsidR="00B95D1B" w:rsidRPr="008F0407">
        <w:rPr>
          <w:rFonts w:ascii="Times New Roman" w:hAnsi="Times New Roman"/>
        </w:rPr>
        <w:t xml:space="preserve"> this Court </w:t>
      </w:r>
      <w:r w:rsidR="00701F34" w:rsidRPr="008F0407">
        <w:rPr>
          <w:rFonts w:ascii="Times New Roman" w:hAnsi="Times New Roman"/>
        </w:rPr>
        <w:t>focus</w:t>
      </w:r>
      <w:r w:rsidR="009E56B9" w:rsidRPr="008F0407">
        <w:rPr>
          <w:rFonts w:ascii="Times New Roman" w:hAnsi="Times New Roman"/>
        </w:rPr>
        <w:t>s</w:t>
      </w:r>
      <w:r w:rsidR="00701F34" w:rsidRPr="008F0407">
        <w:rPr>
          <w:rFonts w:ascii="Times New Roman" w:hAnsi="Times New Roman"/>
        </w:rPr>
        <w:t>ing only upon the terms of the contract</w:t>
      </w:r>
      <w:r w:rsidR="00E77720" w:rsidRPr="008F0407">
        <w:rPr>
          <w:rFonts w:ascii="Times New Roman" w:hAnsi="Times New Roman"/>
        </w:rPr>
        <w:t>,</w:t>
      </w:r>
      <w:r w:rsidR="00701F34" w:rsidRPr="008F0407">
        <w:rPr>
          <w:rFonts w:ascii="Times New Roman" w:hAnsi="Times New Roman"/>
        </w:rPr>
        <w:t xml:space="preserve"> with any </w:t>
      </w:r>
      <w:r w:rsidR="00B95D1B" w:rsidRPr="008F0407">
        <w:rPr>
          <w:rFonts w:ascii="Times New Roman" w:hAnsi="Times New Roman"/>
        </w:rPr>
        <w:t xml:space="preserve">consideration of subsequent conduct </w:t>
      </w:r>
      <w:r w:rsidR="008A3AFC" w:rsidRPr="008F0407">
        <w:rPr>
          <w:rFonts w:ascii="Times New Roman" w:hAnsi="Times New Roman"/>
        </w:rPr>
        <w:t xml:space="preserve">of the parties </w:t>
      </w:r>
      <w:r w:rsidR="00B95D1B" w:rsidRPr="008F0407">
        <w:rPr>
          <w:rFonts w:ascii="Times New Roman" w:hAnsi="Times New Roman"/>
        </w:rPr>
        <w:t>for the purpose</w:t>
      </w:r>
      <w:r w:rsidR="00150723" w:rsidRPr="008F0407">
        <w:rPr>
          <w:rFonts w:ascii="Times New Roman" w:hAnsi="Times New Roman"/>
        </w:rPr>
        <w:t>s</w:t>
      </w:r>
      <w:r w:rsidR="00B95D1B" w:rsidRPr="008F0407">
        <w:rPr>
          <w:rFonts w:ascii="Times New Roman" w:hAnsi="Times New Roman"/>
        </w:rPr>
        <w:t xml:space="preserve"> </w:t>
      </w:r>
      <w:r w:rsidR="008A3AFC" w:rsidRPr="008F0407">
        <w:rPr>
          <w:rFonts w:ascii="Times New Roman" w:hAnsi="Times New Roman"/>
        </w:rPr>
        <w:t xml:space="preserve">only </w:t>
      </w:r>
      <w:r w:rsidR="00B95D1B" w:rsidRPr="008F0407">
        <w:rPr>
          <w:rFonts w:ascii="Times New Roman" w:hAnsi="Times New Roman"/>
        </w:rPr>
        <w:t xml:space="preserve">of assessing </w:t>
      </w:r>
      <w:r w:rsidR="008A3AFC" w:rsidRPr="008F0407">
        <w:rPr>
          <w:rFonts w:ascii="Times New Roman" w:hAnsi="Times New Roman"/>
        </w:rPr>
        <w:t xml:space="preserve">alterations of their rights such as </w:t>
      </w:r>
      <w:r w:rsidR="00B95D1B" w:rsidRPr="008F0407">
        <w:rPr>
          <w:rFonts w:ascii="Times New Roman" w:hAnsi="Times New Roman"/>
        </w:rPr>
        <w:t>variation</w:t>
      </w:r>
      <w:r w:rsidR="008A3AFC" w:rsidRPr="008F0407">
        <w:rPr>
          <w:rFonts w:ascii="Times New Roman" w:hAnsi="Times New Roman"/>
        </w:rPr>
        <w:t>s</w:t>
      </w:r>
      <w:r w:rsidR="00B95D1B" w:rsidRPr="008F0407">
        <w:rPr>
          <w:rFonts w:ascii="Times New Roman" w:hAnsi="Times New Roman"/>
        </w:rPr>
        <w:t xml:space="preserve"> of </w:t>
      </w:r>
      <w:r w:rsidR="008A3AFC" w:rsidRPr="008F0407">
        <w:rPr>
          <w:rFonts w:ascii="Times New Roman" w:hAnsi="Times New Roman"/>
        </w:rPr>
        <w:t>their</w:t>
      </w:r>
      <w:r w:rsidR="00B95D1B" w:rsidRPr="008F0407">
        <w:rPr>
          <w:rFonts w:ascii="Times New Roman" w:hAnsi="Times New Roman"/>
        </w:rPr>
        <w:t xml:space="preserve"> agreement</w:t>
      </w:r>
      <w:r w:rsidR="001F061A" w:rsidRPr="008F0407">
        <w:rPr>
          <w:rFonts w:ascii="Times New Roman" w:hAnsi="Times New Roman"/>
        </w:rPr>
        <w:t xml:space="preserve">. </w:t>
      </w:r>
      <w:r w:rsidR="00267CBD" w:rsidRPr="008F0407">
        <w:rPr>
          <w:rFonts w:ascii="Times New Roman" w:hAnsi="Times New Roman"/>
        </w:rPr>
        <w:t>In</w:t>
      </w:r>
      <w:r w:rsidR="003360AA" w:rsidRPr="008F0407">
        <w:rPr>
          <w:rFonts w:ascii="Times New Roman" w:hAnsi="Times New Roman"/>
        </w:rPr>
        <w:t xml:space="preserve"> case after case</w:t>
      </w:r>
      <w:r w:rsidR="00A22DD5" w:rsidRPr="008F0407">
        <w:rPr>
          <w:rFonts w:ascii="Times New Roman" w:hAnsi="Times New Roman"/>
        </w:rPr>
        <w:t xml:space="preserve"> after case</w:t>
      </w:r>
      <w:r w:rsidR="003360AA" w:rsidRPr="008F0407">
        <w:rPr>
          <w:rFonts w:ascii="Times New Roman" w:hAnsi="Times New Roman"/>
        </w:rPr>
        <w:t>,</w:t>
      </w:r>
      <w:r w:rsidR="00361DAB" w:rsidRPr="008F0407">
        <w:rPr>
          <w:rFonts w:ascii="Times New Roman" w:hAnsi="Times New Roman"/>
        </w:rPr>
        <w:t xml:space="preserve"> this Court </w:t>
      </w:r>
      <w:r w:rsidR="00267CBD" w:rsidRPr="008F0407">
        <w:rPr>
          <w:rFonts w:ascii="Times New Roman" w:hAnsi="Times New Roman"/>
        </w:rPr>
        <w:t>can be seen to be</w:t>
      </w:r>
      <w:r w:rsidR="00361DAB" w:rsidRPr="008F0407">
        <w:rPr>
          <w:rFonts w:ascii="Times New Roman" w:hAnsi="Times New Roman"/>
        </w:rPr>
        <w:t xml:space="preserve"> </w:t>
      </w:r>
      <w:r w:rsidR="001116B8" w:rsidRPr="008F0407">
        <w:rPr>
          <w:rFonts w:ascii="Times New Roman" w:hAnsi="Times New Roman"/>
        </w:rPr>
        <w:t>applying basic</w:t>
      </w:r>
      <w:r w:rsidR="00A22DD5" w:rsidRPr="008F0407">
        <w:rPr>
          <w:rFonts w:ascii="Times New Roman" w:hAnsi="Times New Roman"/>
        </w:rPr>
        <w:t>, established</w:t>
      </w:r>
      <w:r w:rsidR="001116B8" w:rsidRPr="008F0407">
        <w:rPr>
          <w:rFonts w:ascii="Times New Roman" w:hAnsi="Times New Roman"/>
        </w:rPr>
        <w:t xml:space="preserve"> principles of contract law </w:t>
      </w:r>
      <w:r w:rsidR="00377854" w:rsidRPr="008F0407">
        <w:rPr>
          <w:rFonts w:ascii="Times New Roman" w:hAnsi="Times New Roman"/>
        </w:rPr>
        <w:t>rather than effecting a silent revolution</w:t>
      </w:r>
      <w:r w:rsidR="003162FB" w:rsidRPr="008F0407">
        <w:rPr>
          <w:rFonts w:ascii="Times New Roman" w:hAnsi="Times New Roman"/>
        </w:rPr>
        <w:t>.</w:t>
      </w:r>
      <w:r w:rsidR="00377854" w:rsidRPr="008F0407">
        <w:rPr>
          <w:rFonts w:ascii="Times New Roman" w:hAnsi="Times New Roman"/>
        </w:rPr>
        <w:t xml:space="preserve"> </w:t>
      </w:r>
    </w:p>
    <w:p w14:paraId="4D89B3B9" w14:textId="2557CA9D" w:rsidR="00A957EF" w:rsidRPr="008F0407" w:rsidRDefault="000A5FC9"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FE4807" w:rsidRPr="008F0407">
        <w:rPr>
          <w:rFonts w:ascii="Times New Roman" w:hAnsi="Times New Roman"/>
        </w:rPr>
        <w:t xml:space="preserve">In </w:t>
      </w:r>
      <w:r w:rsidR="005A6A08" w:rsidRPr="008F0407">
        <w:rPr>
          <w:rFonts w:ascii="Times New Roman" w:hAnsi="Times New Roman"/>
          <w:i/>
          <w:iCs/>
        </w:rPr>
        <w:t>Logan v Gilchrist</w:t>
      </w:r>
      <w:r w:rsidR="005A6A08" w:rsidRPr="008F0407">
        <w:rPr>
          <w:rStyle w:val="FootnoteReference"/>
          <w:rFonts w:ascii="Times New Roman" w:hAnsi="Times New Roman"/>
          <w:sz w:val="24"/>
        </w:rPr>
        <w:footnoteReference w:id="97"/>
      </w:r>
      <w:r w:rsidR="007413B5" w:rsidRPr="008F0407">
        <w:rPr>
          <w:rFonts w:ascii="Times New Roman" w:hAnsi="Times New Roman"/>
        </w:rPr>
        <w:t xml:space="preserve">, </w:t>
      </w:r>
      <w:r w:rsidR="007B4DA6" w:rsidRPr="008F0407">
        <w:rPr>
          <w:rFonts w:ascii="Times New Roman" w:hAnsi="Times New Roman"/>
        </w:rPr>
        <w:t xml:space="preserve">this </w:t>
      </w:r>
      <w:r w:rsidR="00981A73" w:rsidRPr="008F0407">
        <w:rPr>
          <w:rFonts w:ascii="Times New Roman" w:hAnsi="Times New Roman"/>
        </w:rPr>
        <w:t>C</w:t>
      </w:r>
      <w:r w:rsidR="007B4DA6" w:rsidRPr="008F0407">
        <w:rPr>
          <w:rFonts w:ascii="Times New Roman" w:hAnsi="Times New Roman"/>
        </w:rPr>
        <w:t>ourt treated</w:t>
      </w:r>
      <w:r w:rsidR="00DF0EF7" w:rsidRPr="008F0407">
        <w:rPr>
          <w:rFonts w:ascii="Times New Roman" w:hAnsi="Times New Roman"/>
        </w:rPr>
        <w:t xml:space="preserve"> the question of whether a drover was an employee or an independent contractor </w:t>
      </w:r>
      <w:r w:rsidR="007B4DA6" w:rsidRPr="008F0407">
        <w:rPr>
          <w:rFonts w:ascii="Times New Roman" w:hAnsi="Times New Roman"/>
        </w:rPr>
        <w:t>as whether</w:t>
      </w:r>
      <w:r w:rsidR="00427217" w:rsidRPr="008F0407">
        <w:rPr>
          <w:rFonts w:ascii="Times New Roman" w:hAnsi="Times New Roman"/>
        </w:rPr>
        <w:t>, as Isaacs J put it,</w:t>
      </w:r>
      <w:r w:rsidR="007B4DA6" w:rsidRPr="008F0407">
        <w:rPr>
          <w:rFonts w:ascii="Times New Roman" w:hAnsi="Times New Roman"/>
        </w:rPr>
        <w:t xml:space="preserve"> the putative employe</w:t>
      </w:r>
      <w:r w:rsidR="00AF0592" w:rsidRPr="008F0407">
        <w:rPr>
          <w:rFonts w:ascii="Times New Roman" w:hAnsi="Times New Roman"/>
        </w:rPr>
        <w:t>r</w:t>
      </w:r>
      <w:r w:rsidR="007B4DA6" w:rsidRPr="008F0407">
        <w:rPr>
          <w:rFonts w:ascii="Times New Roman" w:hAnsi="Times New Roman"/>
        </w:rPr>
        <w:t xml:space="preserve"> has "a </w:t>
      </w:r>
      <w:r w:rsidR="007B4DA6" w:rsidRPr="008F0407">
        <w:rPr>
          <w:rFonts w:ascii="Times New Roman" w:hAnsi="Times New Roman"/>
          <w:i/>
        </w:rPr>
        <w:t>right</w:t>
      </w:r>
      <w:r w:rsidR="007B4DA6" w:rsidRPr="008F0407">
        <w:rPr>
          <w:rFonts w:ascii="Times New Roman" w:hAnsi="Times New Roman"/>
        </w:rPr>
        <w:t xml:space="preserve"> at the moment to control the doing of the act"</w:t>
      </w:r>
      <w:r w:rsidR="007B4DA6" w:rsidRPr="008F0407">
        <w:rPr>
          <w:rStyle w:val="FootnoteReference"/>
          <w:rFonts w:ascii="Times New Roman" w:hAnsi="Times New Roman"/>
          <w:sz w:val="24"/>
        </w:rPr>
        <w:footnoteReference w:id="98"/>
      </w:r>
      <w:r w:rsidR="00427217" w:rsidRPr="008F0407">
        <w:rPr>
          <w:rFonts w:ascii="Times New Roman" w:hAnsi="Times New Roman"/>
        </w:rPr>
        <w:t xml:space="preserve"> or</w:t>
      </w:r>
      <w:r w:rsidR="001E63DB" w:rsidRPr="008F0407">
        <w:rPr>
          <w:rFonts w:ascii="Times New Roman" w:hAnsi="Times New Roman"/>
        </w:rPr>
        <w:t>,</w:t>
      </w:r>
      <w:r w:rsidR="00427217" w:rsidRPr="008F0407">
        <w:rPr>
          <w:rFonts w:ascii="Times New Roman" w:hAnsi="Times New Roman"/>
        </w:rPr>
        <w:t xml:space="preserve"> as Higgins J put it, a question which </w:t>
      </w:r>
      <w:r w:rsidR="002324E2" w:rsidRPr="008F0407">
        <w:rPr>
          <w:rFonts w:ascii="Times New Roman" w:hAnsi="Times New Roman"/>
        </w:rPr>
        <w:t>"is answered by the contents of the agreement"</w:t>
      </w:r>
      <w:r w:rsidR="00427217" w:rsidRPr="008F0407">
        <w:rPr>
          <w:rStyle w:val="FootnoteReference"/>
          <w:rFonts w:ascii="Times New Roman" w:hAnsi="Times New Roman"/>
          <w:sz w:val="24"/>
        </w:rPr>
        <w:footnoteReference w:id="99"/>
      </w:r>
      <w:r w:rsidR="002324E2" w:rsidRPr="008F0407">
        <w:rPr>
          <w:rFonts w:ascii="Times New Roman" w:hAnsi="Times New Roman"/>
        </w:rPr>
        <w:t>.</w:t>
      </w:r>
      <w:r w:rsidR="005A6A08" w:rsidRPr="008F0407">
        <w:rPr>
          <w:rFonts w:ascii="Times New Roman" w:hAnsi="Times New Roman"/>
          <w:i/>
          <w:iCs/>
        </w:rPr>
        <w:t xml:space="preserve"> </w:t>
      </w:r>
      <w:r w:rsidR="002D4EF5" w:rsidRPr="008F0407">
        <w:rPr>
          <w:rFonts w:ascii="Times New Roman" w:hAnsi="Times New Roman"/>
        </w:rPr>
        <w:t>I</w:t>
      </w:r>
      <w:r w:rsidR="00F35A0D" w:rsidRPr="008F0407">
        <w:rPr>
          <w:rFonts w:ascii="Times New Roman" w:hAnsi="Times New Roman"/>
        </w:rPr>
        <w:t>n</w:t>
      </w:r>
      <w:r w:rsidR="006F3739" w:rsidRPr="008F0407">
        <w:rPr>
          <w:rFonts w:ascii="Times New Roman" w:hAnsi="Times New Roman"/>
        </w:rPr>
        <w:t xml:space="preserve"> </w:t>
      </w:r>
      <w:r w:rsidR="003768E6" w:rsidRPr="008F0407">
        <w:rPr>
          <w:rFonts w:ascii="Times New Roman" w:hAnsi="Times New Roman"/>
          <w:i/>
          <w:iCs/>
        </w:rPr>
        <w:t>Queensland Stations Pty Ltd v Federal Commissioner of Taxation</w:t>
      </w:r>
      <w:r w:rsidR="00787493" w:rsidRPr="008F0407">
        <w:rPr>
          <w:rStyle w:val="FootnoteReference"/>
          <w:rFonts w:ascii="Times New Roman" w:hAnsi="Times New Roman"/>
          <w:sz w:val="24"/>
        </w:rPr>
        <w:footnoteReference w:id="100"/>
      </w:r>
      <w:r w:rsidR="006F3739" w:rsidRPr="008F0407">
        <w:rPr>
          <w:rFonts w:ascii="Times New Roman" w:hAnsi="Times New Roman"/>
          <w:i/>
          <w:iCs/>
        </w:rPr>
        <w:t xml:space="preserve"> </w:t>
      </w:r>
      <w:r w:rsidR="006F3739" w:rsidRPr="008F0407">
        <w:rPr>
          <w:rFonts w:ascii="Times New Roman" w:hAnsi="Times New Roman"/>
        </w:rPr>
        <w:t xml:space="preserve">and </w:t>
      </w:r>
      <w:proofErr w:type="spellStart"/>
      <w:r w:rsidR="006F3739" w:rsidRPr="008F0407">
        <w:rPr>
          <w:rFonts w:ascii="Times New Roman" w:hAnsi="Times New Roman"/>
          <w:i/>
          <w:iCs/>
        </w:rPr>
        <w:t>Humberstone</w:t>
      </w:r>
      <w:proofErr w:type="spellEnd"/>
      <w:r w:rsidR="006F3739" w:rsidRPr="008F0407">
        <w:rPr>
          <w:rFonts w:ascii="Times New Roman" w:hAnsi="Times New Roman"/>
          <w:i/>
          <w:iCs/>
        </w:rPr>
        <w:t xml:space="preserve"> v Northern Timber Mills</w:t>
      </w:r>
      <w:r w:rsidR="006F3739" w:rsidRPr="008F0407">
        <w:rPr>
          <w:rStyle w:val="FootnoteReference"/>
          <w:rFonts w:ascii="Times New Roman" w:hAnsi="Times New Roman"/>
          <w:sz w:val="24"/>
        </w:rPr>
        <w:footnoteReference w:id="101"/>
      </w:r>
      <w:r w:rsidR="00787493" w:rsidRPr="008F0407">
        <w:rPr>
          <w:rFonts w:ascii="Times New Roman" w:hAnsi="Times New Roman"/>
        </w:rPr>
        <w:t>, Dixon</w:t>
      </w:r>
      <w:r w:rsidR="000C620F" w:rsidRPr="008F0407">
        <w:rPr>
          <w:rFonts w:ascii="Times New Roman" w:hAnsi="Times New Roman"/>
        </w:rPr>
        <w:t> </w:t>
      </w:r>
      <w:r w:rsidR="00787493" w:rsidRPr="008F0407">
        <w:rPr>
          <w:rFonts w:ascii="Times New Roman" w:hAnsi="Times New Roman"/>
        </w:rPr>
        <w:t xml:space="preserve">J spoke </w:t>
      </w:r>
      <w:r w:rsidR="006F3739" w:rsidRPr="008F0407">
        <w:rPr>
          <w:rFonts w:ascii="Times New Roman" w:hAnsi="Times New Roman"/>
        </w:rPr>
        <w:t xml:space="preserve">respectively </w:t>
      </w:r>
      <w:r w:rsidR="00787493" w:rsidRPr="008F0407">
        <w:rPr>
          <w:rFonts w:ascii="Times New Roman" w:hAnsi="Times New Roman"/>
        </w:rPr>
        <w:t xml:space="preserve">of whether "such a contract </w:t>
      </w:r>
      <w:r w:rsidR="00FC0FDF" w:rsidRPr="008F0407">
        <w:rPr>
          <w:rFonts w:ascii="Times New Roman" w:hAnsi="Times New Roman"/>
        </w:rPr>
        <w:t>created the relation of ... employer and employee"</w:t>
      </w:r>
      <w:r w:rsidR="006F3739" w:rsidRPr="008F0407">
        <w:rPr>
          <w:rFonts w:ascii="Times New Roman" w:hAnsi="Times New Roman"/>
        </w:rPr>
        <w:t xml:space="preserve"> and whether "</w:t>
      </w:r>
      <w:r w:rsidR="00262F23" w:rsidRPr="008F0407">
        <w:rPr>
          <w:rFonts w:ascii="Times New Roman" w:hAnsi="Times New Roman"/>
        </w:rPr>
        <w:t>the contract placed the supposed servant subject to the command of the employer</w:t>
      </w:r>
      <w:r w:rsidR="007E5BB0" w:rsidRPr="008F0407">
        <w:rPr>
          <w:rFonts w:ascii="Times New Roman" w:hAnsi="Times New Roman"/>
        </w:rPr>
        <w:t xml:space="preserve"> ... </w:t>
      </w:r>
      <w:r w:rsidR="003365BD" w:rsidRPr="008F0407">
        <w:rPr>
          <w:rFonts w:ascii="Times New Roman" w:hAnsi="Times New Roman"/>
        </w:rPr>
        <w:t>not whether in practice the work was in fact done subject to a direction and control</w:t>
      </w:r>
      <w:r w:rsidR="00262F23" w:rsidRPr="008F0407">
        <w:rPr>
          <w:rFonts w:ascii="Times New Roman" w:hAnsi="Times New Roman"/>
        </w:rPr>
        <w:t>"</w:t>
      </w:r>
      <w:r w:rsidR="00FC0FDF" w:rsidRPr="008F0407">
        <w:rPr>
          <w:rFonts w:ascii="Times New Roman" w:hAnsi="Times New Roman"/>
        </w:rPr>
        <w:t>.</w:t>
      </w:r>
      <w:r w:rsidR="003768E6" w:rsidRPr="008F0407">
        <w:rPr>
          <w:rFonts w:ascii="Times New Roman" w:hAnsi="Times New Roman"/>
        </w:rPr>
        <w:t xml:space="preserve"> </w:t>
      </w:r>
      <w:r w:rsidR="00F61A76" w:rsidRPr="008F0407">
        <w:rPr>
          <w:rFonts w:ascii="Times New Roman" w:hAnsi="Times New Roman"/>
        </w:rPr>
        <w:t>In</w:t>
      </w:r>
      <w:r w:rsidR="00613F01" w:rsidRPr="008F0407">
        <w:rPr>
          <w:rFonts w:ascii="Times New Roman" w:hAnsi="Times New Roman"/>
        </w:rPr>
        <w:t xml:space="preserve"> </w:t>
      </w:r>
      <w:r w:rsidR="00F35A0D" w:rsidRPr="008F0407">
        <w:rPr>
          <w:rFonts w:ascii="Times New Roman" w:hAnsi="Times New Roman"/>
          <w:i/>
          <w:iCs/>
        </w:rPr>
        <w:t>Federal Commissioner of Taxation v J</w:t>
      </w:r>
      <w:r w:rsidR="008F5BCD" w:rsidRPr="008F0407">
        <w:rPr>
          <w:rFonts w:ascii="Times New Roman" w:hAnsi="Times New Roman"/>
          <w:i/>
          <w:iCs/>
        </w:rPr>
        <w:t> </w:t>
      </w:r>
      <w:r w:rsidR="00F35A0D" w:rsidRPr="008F0407">
        <w:rPr>
          <w:rFonts w:ascii="Times New Roman" w:hAnsi="Times New Roman"/>
          <w:i/>
          <w:iCs/>
        </w:rPr>
        <w:t>Walter Thompson (Aust) Pty Ltd</w:t>
      </w:r>
      <w:r w:rsidR="00F35A0D" w:rsidRPr="008F0407">
        <w:rPr>
          <w:rStyle w:val="FootnoteReference"/>
          <w:rFonts w:ascii="Times New Roman" w:hAnsi="Times New Roman"/>
          <w:sz w:val="24"/>
        </w:rPr>
        <w:footnoteReference w:id="102"/>
      </w:r>
      <w:r w:rsidR="00F35A0D" w:rsidRPr="008F0407">
        <w:rPr>
          <w:rFonts w:ascii="Times New Roman" w:hAnsi="Times New Roman"/>
        </w:rPr>
        <w:t>, Latham</w:t>
      </w:r>
      <w:r w:rsidR="00E87974" w:rsidRPr="008F0407">
        <w:rPr>
          <w:rFonts w:ascii="Times New Roman" w:hAnsi="Times New Roman"/>
        </w:rPr>
        <w:t> </w:t>
      </w:r>
      <w:r w:rsidR="00F35A0D" w:rsidRPr="008F0407">
        <w:rPr>
          <w:rFonts w:ascii="Times New Roman" w:hAnsi="Times New Roman"/>
        </w:rPr>
        <w:t xml:space="preserve">CJ spoke of </w:t>
      </w:r>
      <w:r w:rsidR="00F56511" w:rsidRPr="008F0407">
        <w:rPr>
          <w:rFonts w:ascii="Times New Roman" w:hAnsi="Times New Roman"/>
        </w:rPr>
        <w:t xml:space="preserve">the "decisive element" </w:t>
      </w:r>
      <w:r w:rsidR="00F56511" w:rsidRPr="008F0407">
        <w:rPr>
          <w:rFonts w:ascii="Times New Roman" w:hAnsi="Times New Roman"/>
        </w:rPr>
        <w:lastRenderedPageBreak/>
        <w:t xml:space="preserve">in characterising a relationship of employment as being </w:t>
      </w:r>
      <w:r w:rsidR="00DA141D" w:rsidRPr="008F0407">
        <w:rPr>
          <w:rFonts w:ascii="Times New Roman" w:hAnsi="Times New Roman"/>
        </w:rPr>
        <w:t xml:space="preserve">"the extent of control which, </w:t>
      </w:r>
      <w:r w:rsidR="00DA141D" w:rsidRPr="008F0407">
        <w:rPr>
          <w:rFonts w:ascii="Times New Roman" w:hAnsi="Times New Roman"/>
          <w:i/>
          <w:iCs/>
        </w:rPr>
        <w:t>by the agreement</w:t>
      </w:r>
      <w:r w:rsidR="00DA141D" w:rsidRPr="008F0407">
        <w:rPr>
          <w:rFonts w:ascii="Times New Roman" w:hAnsi="Times New Roman"/>
        </w:rPr>
        <w:t>, the master may exercise".</w:t>
      </w:r>
    </w:p>
    <w:p w14:paraId="4BF5C674" w14:textId="2AACAEF2" w:rsidR="00076C6B" w:rsidRPr="008F0407" w:rsidRDefault="00A957EF"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2D63C7" w:rsidRPr="008F0407">
        <w:rPr>
          <w:rFonts w:ascii="Times New Roman" w:hAnsi="Times New Roman"/>
        </w:rPr>
        <w:t>In</w:t>
      </w:r>
      <w:r w:rsidR="00CA4780" w:rsidRPr="008F0407">
        <w:rPr>
          <w:rFonts w:ascii="Times New Roman" w:hAnsi="Times New Roman"/>
        </w:rPr>
        <w:t xml:space="preserve"> other cases, </w:t>
      </w:r>
      <w:r w:rsidR="009B2D95" w:rsidRPr="008F0407">
        <w:rPr>
          <w:rFonts w:ascii="Times New Roman" w:hAnsi="Times New Roman"/>
        </w:rPr>
        <w:t xml:space="preserve">members of this Court have considered subsequent conduct of the parties </w:t>
      </w:r>
      <w:r w:rsidR="009762BB" w:rsidRPr="008F0407">
        <w:rPr>
          <w:rFonts w:ascii="Times New Roman" w:hAnsi="Times New Roman"/>
        </w:rPr>
        <w:t xml:space="preserve">but only </w:t>
      </w:r>
      <w:r w:rsidR="00945460" w:rsidRPr="008F0407">
        <w:rPr>
          <w:rFonts w:ascii="Times New Roman" w:hAnsi="Times New Roman"/>
        </w:rPr>
        <w:t>in order to ascertain</w:t>
      </w:r>
      <w:r w:rsidR="00E12A1D" w:rsidRPr="008F0407">
        <w:rPr>
          <w:rFonts w:ascii="Times New Roman" w:hAnsi="Times New Roman"/>
        </w:rPr>
        <w:t xml:space="preserve"> the effect upon</w:t>
      </w:r>
      <w:r w:rsidR="009762BB" w:rsidRPr="008F0407">
        <w:rPr>
          <w:rFonts w:ascii="Times New Roman" w:hAnsi="Times New Roman"/>
        </w:rPr>
        <w:t xml:space="preserve"> the legal rights of the parties</w:t>
      </w:r>
      <w:r w:rsidR="00931D0F" w:rsidRPr="008F0407">
        <w:rPr>
          <w:rFonts w:ascii="Times New Roman" w:hAnsi="Times New Roman"/>
        </w:rPr>
        <w:t>,</w:t>
      </w:r>
      <w:r w:rsidR="009762BB" w:rsidRPr="008F0407">
        <w:rPr>
          <w:rFonts w:ascii="Times New Roman" w:hAnsi="Times New Roman"/>
        </w:rPr>
        <w:t xml:space="preserve"> such a</w:t>
      </w:r>
      <w:r w:rsidR="00E12A1D" w:rsidRPr="008F0407">
        <w:rPr>
          <w:rFonts w:ascii="Times New Roman" w:hAnsi="Times New Roman"/>
        </w:rPr>
        <w:t>s</w:t>
      </w:r>
      <w:r w:rsidR="00945460" w:rsidRPr="008F0407">
        <w:rPr>
          <w:rFonts w:ascii="Times New Roman" w:hAnsi="Times New Roman"/>
        </w:rPr>
        <w:t xml:space="preserve"> whether </w:t>
      </w:r>
      <w:r w:rsidR="00AA663E" w:rsidRPr="008F0407">
        <w:rPr>
          <w:rFonts w:ascii="Times New Roman" w:hAnsi="Times New Roman"/>
        </w:rPr>
        <w:t>an agreement was a sham</w:t>
      </w:r>
      <w:r w:rsidR="00216105" w:rsidRPr="008F0407">
        <w:rPr>
          <w:rFonts w:ascii="Times New Roman" w:hAnsi="Times New Roman"/>
        </w:rPr>
        <w:t xml:space="preserve"> or whether the terms had been varied</w:t>
      </w:r>
      <w:r w:rsidR="00AA663E" w:rsidRPr="008F0407">
        <w:rPr>
          <w:rFonts w:ascii="Times New Roman" w:hAnsi="Times New Roman"/>
        </w:rPr>
        <w:t>. For instance, in</w:t>
      </w:r>
      <w:r w:rsidR="00216105" w:rsidRPr="008F0407">
        <w:rPr>
          <w:rFonts w:ascii="Times New Roman" w:hAnsi="Times New Roman"/>
        </w:rPr>
        <w:t xml:space="preserve"> responding to a submission of sham in</w:t>
      </w:r>
      <w:r w:rsidR="00AA663E" w:rsidRPr="008F0407">
        <w:rPr>
          <w:rFonts w:ascii="Times New Roman" w:hAnsi="Times New Roman"/>
        </w:rPr>
        <w:t xml:space="preserve"> </w:t>
      </w:r>
      <w:r w:rsidR="002D63C7" w:rsidRPr="008F0407">
        <w:rPr>
          <w:rFonts w:ascii="Times New Roman" w:hAnsi="Times New Roman"/>
          <w:i/>
          <w:iCs/>
        </w:rPr>
        <w:t xml:space="preserve">Cam </w:t>
      </w:r>
      <w:r w:rsidR="00931D0F" w:rsidRPr="008F0407">
        <w:rPr>
          <w:rFonts w:ascii="Times New Roman" w:hAnsi="Times New Roman"/>
          <w:i/>
          <w:iCs/>
        </w:rPr>
        <w:t>and</w:t>
      </w:r>
      <w:r w:rsidR="002D63C7" w:rsidRPr="008F0407">
        <w:rPr>
          <w:rFonts w:ascii="Times New Roman" w:hAnsi="Times New Roman"/>
          <w:i/>
          <w:iCs/>
        </w:rPr>
        <w:t xml:space="preserve"> Sons Pty Ltd v Sargent</w:t>
      </w:r>
      <w:r w:rsidR="002D63C7" w:rsidRPr="008F0407">
        <w:rPr>
          <w:rStyle w:val="FootnoteReference"/>
          <w:rFonts w:ascii="Times New Roman" w:hAnsi="Times New Roman"/>
          <w:sz w:val="24"/>
        </w:rPr>
        <w:footnoteReference w:id="103"/>
      </w:r>
      <w:r w:rsidR="002D63C7" w:rsidRPr="008F0407">
        <w:rPr>
          <w:rFonts w:ascii="Times New Roman" w:hAnsi="Times New Roman"/>
        </w:rPr>
        <w:t>, Dixon</w:t>
      </w:r>
      <w:r w:rsidR="00E978E5" w:rsidRPr="008F0407">
        <w:rPr>
          <w:rFonts w:ascii="Times New Roman" w:hAnsi="Times New Roman"/>
        </w:rPr>
        <w:t> </w:t>
      </w:r>
      <w:r w:rsidR="002D63C7" w:rsidRPr="008F0407">
        <w:rPr>
          <w:rFonts w:ascii="Times New Roman" w:hAnsi="Times New Roman"/>
        </w:rPr>
        <w:t>J spoke of investigating the "substance" of a written agreement that contained "elaborate provisions expressed in terms appropriate to some other relation</w:t>
      </w:r>
      <w:proofErr w:type="gramStart"/>
      <w:r w:rsidR="002D63C7" w:rsidRPr="008F0407">
        <w:rPr>
          <w:rFonts w:ascii="Times New Roman" w:hAnsi="Times New Roman"/>
        </w:rPr>
        <w:t>", but</w:t>
      </w:r>
      <w:proofErr w:type="gramEnd"/>
      <w:r w:rsidR="002D63C7" w:rsidRPr="008F0407">
        <w:rPr>
          <w:rFonts w:ascii="Times New Roman" w:hAnsi="Times New Roman"/>
        </w:rPr>
        <w:t xml:space="preserve"> emphasised that it was the </w:t>
      </w:r>
      <w:r w:rsidR="002D63C7" w:rsidRPr="008F0407">
        <w:rPr>
          <w:rFonts w:ascii="Times New Roman" w:hAnsi="Times New Roman"/>
          <w:i/>
          <w:iCs/>
        </w:rPr>
        <w:t xml:space="preserve">agreement </w:t>
      </w:r>
      <w:r w:rsidR="002D63C7" w:rsidRPr="008F0407">
        <w:rPr>
          <w:rFonts w:ascii="Times New Roman" w:hAnsi="Times New Roman"/>
        </w:rPr>
        <w:t>which was to be analysed</w:t>
      </w:r>
      <w:r w:rsidR="002D63C7" w:rsidRPr="008F0407">
        <w:rPr>
          <w:rStyle w:val="FootnoteReference"/>
          <w:rFonts w:ascii="Times New Roman" w:hAnsi="Times New Roman"/>
          <w:sz w:val="24"/>
        </w:rPr>
        <w:footnoteReference w:id="104"/>
      </w:r>
      <w:r w:rsidR="002D63C7" w:rsidRPr="008F0407">
        <w:rPr>
          <w:rFonts w:ascii="Times New Roman" w:hAnsi="Times New Roman"/>
        </w:rPr>
        <w:t xml:space="preserve">. </w:t>
      </w:r>
      <w:r w:rsidR="008B7C54" w:rsidRPr="008F0407">
        <w:rPr>
          <w:rFonts w:ascii="Times New Roman" w:hAnsi="Times New Roman"/>
        </w:rPr>
        <w:t xml:space="preserve">Lest there be any doubt, it has been held that this decision is </w:t>
      </w:r>
      <w:r w:rsidR="002D63C7" w:rsidRPr="008F0407">
        <w:rPr>
          <w:rFonts w:ascii="Times New Roman" w:hAnsi="Times New Roman"/>
        </w:rPr>
        <w:t>consistent with</w:t>
      </w:r>
      <w:r w:rsidR="008B7C54" w:rsidRPr="008F0407">
        <w:rPr>
          <w:rFonts w:ascii="Times New Roman" w:hAnsi="Times New Roman"/>
        </w:rPr>
        <w:t xml:space="preserve"> the focus in</w:t>
      </w:r>
      <w:r w:rsidR="002D63C7" w:rsidRPr="008F0407">
        <w:rPr>
          <w:rFonts w:ascii="Times New Roman" w:hAnsi="Times New Roman"/>
        </w:rPr>
        <w:t xml:space="preserve"> </w:t>
      </w:r>
      <w:r w:rsidR="002D63C7" w:rsidRPr="008F0407">
        <w:rPr>
          <w:rFonts w:ascii="Times New Roman" w:hAnsi="Times New Roman"/>
          <w:i/>
          <w:iCs/>
        </w:rPr>
        <w:t xml:space="preserve">Chaplin </w:t>
      </w:r>
      <w:r w:rsidR="002D63C7" w:rsidRPr="008F0407">
        <w:rPr>
          <w:rFonts w:ascii="Times New Roman" w:hAnsi="Times New Roman"/>
        </w:rPr>
        <w:t xml:space="preserve">and </w:t>
      </w:r>
      <w:proofErr w:type="spellStart"/>
      <w:r w:rsidR="002D63C7" w:rsidRPr="008F0407">
        <w:rPr>
          <w:rFonts w:ascii="Times New Roman" w:hAnsi="Times New Roman"/>
          <w:i/>
          <w:iCs/>
        </w:rPr>
        <w:t>Narich</w:t>
      </w:r>
      <w:proofErr w:type="spellEnd"/>
      <w:r w:rsidR="008B7C54" w:rsidRPr="008F0407">
        <w:rPr>
          <w:rFonts w:ascii="Times New Roman" w:hAnsi="Times New Roman"/>
          <w:i/>
          <w:iCs/>
        </w:rPr>
        <w:t xml:space="preserve"> </w:t>
      </w:r>
      <w:r w:rsidR="008B7C54" w:rsidRPr="008F0407">
        <w:rPr>
          <w:rFonts w:ascii="Times New Roman" w:hAnsi="Times New Roman"/>
        </w:rPr>
        <w:t xml:space="preserve">upon the terms of the </w:t>
      </w:r>
      <w:r w:rsidR="002D63C7" w:rsidRPr="008F0407">
        <w:rPr>
          <w:rFonts w:ascii="Times New Roman" w:hAnsi="Times New Roman"/>
        </w:rPr>
        <w:t>written contract</w:t>
      </w:r>
      <w:r w:rsidR="002D63C7" w:rsidRPr="008F0407">
        <w:rPr>
          <w:rStyle w:val="FootnoteReference"/>
          <w:rFonts w:ascii="Times New Roman" w:hAnsi="Times New Roman"/>
          <w:sz w:val="24"/>
        </w:rPr>
        <w:footnoteReference w:id="105"/>
      </w:r>
      <w:r w:rsidR="002D63C7" w:rsidRPr="008F0407">
        <w:rPr>
          <w:rFonts w:ascii="Times New Roman" w:hAnsi="Times New Roman"/>
        </w:rPr>
        <w:t xml:space="preserve">. </w:t>
      </w:r>
      <w:r w:rsidR="00E12A1D" w:rsidRPr="008F0407">
        <w:rPr>
          <w:rFonts w:ascii="Times New Roman" w:hAnsi="Times New Roman"/>
        </w:rPr>
        <w:t>I</w:t>
      </w:r>
      <w:r w:rsidR="005458E6" w:rsidRPr="008F0407">
        <w:rPr>
          <w:rFonts w:ascii="Times New Roman" w:hAnsi="Times New Roman"/>
        </w:rPr>
        <w:t xml:space="preserve">n </w:t>
      </w:r>
      <w:r w:rsidR="00855B96" w:rsidRPr="008F0407">
        <w:rPr>
          <w:rFonts w:ascii="Times New Roman" w:hAnsi="Times New Roman"/>
          <w:i/>
          <w:iCs/>
        </w:rPr>
        <w:t>Neale v Atlas Products (Vic) Pty Ltd</w:t>
      </w:r>
      <w:r w:rsidR="00855B96" w:rsidRPr="008F0407">
        <w:rPr>
          <w:rStyle w:val="FootnoteReference"/>
          <w:rFonts w:ascii="Times New Roman" w:hAnsi="Times New Roman"/>
          <w:sz w:val="24"/>
        </w:rPr>
        <w:footnoteReference w:id="106"/>
      </w:r>
      <w:r w:rsidR="00C73701" w:rsidRPr="008F0407">
        <w:rPr>
          <w:rFonts w:ascii="Times New Roman" w:hAnsi="Times New Roman"/>
        </w:rPr>
        <w:t>,</w:t>
      </w:r>
      <w:r w:rsidR="00F758CC" w:rsidRPr="008F0407">
        <w:rPr>
          <w:rFonts w:ascii="Times New Roman" w:hAnsi="Times New Roman"/>
        </w:rPr>
        <w:t xml:space="preserve"> </w:t>
      </w:r>
      <w:r w:rsidR="00C73701" w:rsidRPr="008F0407">
        <w:rPr>
          <w:rFonts w:ascii="Times New Roman" w:hAnsi="Times New Roman"/>
        </w:rPr>
        <w:t>th</w:t>
      </w:r>
      <w:r w:rsidR="00E12A1D" w:rsidRPr="008F0407">
        <w:rPr>
          <w:rFonts w:ascii="Times New Roman" w:hAnsi="Times New Roman"/>
        </w:rPr>
        <w:t>is</w:t>
      </w:r>
      <w:r w:rsidR="00C73701" w:rsidRPr="008F0407">
        <w:rPr>
          <w:rFonts w:ascii="Times New Roman" w:hAnsi="Times New Roman"/>
        </w:rPr>
        <w:t xml:space="preserve"> Court </w:t>
      </w:r>
      <w:r w:rsidR="00E12A1D" w:rsidRPr="008F0407">
        <w:rPr>
          <w:rFonts w:ascii="Times New Roman" w:hAnsi="Times New Roman"/>
        </w:rPr>
        <w:t xml:space="preserve">again </w:t>
      </w:r>
      <w:r w:rsidR="005424FE" w:rsidRPr="008F0407">
        <w:rPr>
          <w:rFonts w:ascii="Times New Roman" w:hAnsi="Times New Roman"/>
        </w:rPr>
        <w:t xml:space="preserve">considered </w:t>
      </w:r>
      <w:r w:rsidR="00057D4D" w:rsidRPr="008F0407">
        <w:rPr>
          <w:rFonts w:ascii="Times New Roman" w:hAnsi="Times New Roman"/>
        </w:rPr>
        <w:t xml:space="preserve">a submission that </w:t>
      </w:r>
      <w:r w:rsidR="005424FE" w:rsidRPr="008F0407">
        <w:rPr>
          <w:rFonts w:ascii="Times New Roman" w:hAnsi="Times New Roman"/>
        </w:rPr>
        <w:t>the terms of a written agreement</w:t>
      </w:r>
      <w:r w:rsidR="004A61A9" w:rsidRPr="008F0407">
        <w:rPr>
          <w:rFonts w:ascii="Times New Roman" w:hAnsi="Times New Roman"/>
        </w:rPr>
        <w:t xml:space="preserve"> </w:t>
      </w:r>
      <w:r w:rsidR="00E45136" w:rsidRPr="008F0407">
        <w:rPr>
          <w:rFonts w:ascii="Times New Roman" w:hAnsi="Times New Roman"/>
        </w:rPr>
        <w:t>were a "sham</w:t>
      </w:r>
      <w:r w:rsidR="005710C7" w:rsidRPr="008F0407">
        <w:rPr>
          <w:rFonts w:ascii="Times New Roman" w:hAnsi="Times New Roman"/>
        </w:rPr>
        <w:t xml:space="preserve">". </w:t>
      </w:r>
      <w:r w:rsidR="00E12A1D" w:rsidRPr="008F0407">
        <w:rPr>
          <w:rFonts w:ascii="Times New Roman" w:hAnsi="Times New Roman"/>
        </w:rPr>
        <w:t>It was</w:t>
      </w:r>
      <w:r w:rsidR="00DE008E" w:rsidRPr="008F0407">
        <w:rPr>
          <w:rFonts w:ascii="Times New Roman" w:hAnsi="Times New Roman"/>
        </w:rPr>
        <w:t xml:space="preserve"> held that the </w:t>
      </w:r>
      <w:r w:rsidR="00C30714" w:rsidRPr="008F0407">
        <w:rPr>
          <w:rFonts w:ascii="Times New Roman" w:hAnsi="Times New Roman"/>
        </w:rPr>
        <w:t>written agreement</w:t>
      </w:r>
      <w:r w:rsidR="007C1A27" w:rsidRPr="008F0407">
        <w:rPr>
          <w:rFonts w:ascii="Times New Roman" w:hAnsi="Times New Roman"/>
        </w:rPr>
        <w:t>, which</w:t>
      </w:r>
      <w:r w:rsidR="004A61A9" w:rsidRPr="008F0407">
        <w:rPr>
          <w:rFonts w:ascii="Times New Roman" w:hAnsi="Times New Roman"/>
        </w:rPr>
        <w:t xml:space="preserve"> </w:t>
      </w:r>
      <w:r w:rsidR="005424FE" w:rsidRPr="008F0407">
        <w:rPr>
          <w:rFonts w:ascii="Times New Roman" w:hAnsi="Times New Roman"/>
        </w:rPr>
        <w:t xml:space="preserve">"substantially set </w:t>
      </w:r>
      <w:r w:rsidR="00C6048E" w:rsidRPr="008F0407">
        <w:rPr>
          <w:rFonts w:ascii="Times New Roman" w:hAnsi="Times New Roman"/>
        </w:rPr>
        <w:t>for</w:t>
      </w:r>
      <w:r w:rsidR="0068637B" w:rsidRPr="008F0407">
        <w:rPr>
          <w:rFonts w:ascii="Times New Roman" w:hAnsi="Times New Roman"/>
        </w:rPr>
        <w:t>th</w:t>
      </w:r>
      <w:r w:rsidR="00C6048E" w:rsidRPr="008F0407">
        <w:rPr>
          <w:rFonts w:ascii="Times New Roman" w:hAnsi="Times New Roman"/>
        </w:rPr>
        <w:t xml:space="preserve"> the conditions upon which each tiler was employed"</w:t>
      </w:r>
      <w:r w:rsidR="00CC501B" w:rsidRPr="008F0407">
        <w:rPr>
          <w:rFonts w:ascii="Times New Roman" w:hAnsi="Times New Roman"/>
        </w:rPr>
        <w:t>,</w:t>
      </w:r>
      <w:r w:rsidR="00C6048E" w:rsidRPr="008F0407">
        <w:rPr>
          <w:rFonts w:ascii="Times New Roman" w:hAnsi="Times New Roman"/>
        </w:rPr>
        <w:t xml:space="preserve"> </w:t>
      </w:r>
      <w:r w:rsidR="008343B6" w:rsidRPr="008F0407">
        <w:rPr>
          <w:rFonts w:ascii="Times New Roman" w:hAnsi="Times New Roman"/>
        </w:rPr>
        <w:t xml:space="preserve">was </w:t>
      </w:r>
      <w:r w:rsidR="005A6DBE" w:rsidRPr="008F0407">
        <w:rPr>
          <w:rFonts w:ascii="Times New Roman" w:hAnsi="Times New Roman"/>
        </w:rPr>
        <w:t xml:space="preserve">"the real measure of </w:t>
      </w:r>
      <w:r w:rsidR="0047400B" w:rsidRPr="008F0407">
        <w:rPr>
          <w:rFonts w:ascii="Times New Roman" w:hAnsi="Times New Roman"/>
        </w:rPr>
        <w:t>the relationship between the parties"</w:t>
      </w:r>
      <w:r w:rsidR="0024067A" w:rsidRPr="008F0407">
        <w:rPr>
          <w:rFonts w:ascii="Times New Roman" w:hAnsi="Times New Roman"/>
        </w:rPr>
        <w:t xml:space="preserve"> and</w:t>
      </w:r>
      <w:r w:rsidR="005B0985" w:rsidRPr="008F0407">
        <w:rPr>
          <w:rFonts w:ascii="Times New Roman" w:hAnsi="Times New Roman"/>
        </w:rPr>
        <w:t xml:space="preserve"> that </w:t>
      </w:r>
      <w:r w:rsidR="00082516" w:rsidRPr="008F0407">
        <w:rPr>
          <w:rFonts w:ascii="Times New Roman" w:hAnsi="Times New Roman"/>
        </w:rPr>
        <w:t>"</w:t>
      </w:r>
      <w:r w:rsidR="00BE40E5" w:rsidRPr="008F0407">
        <w:rPr>
          <w:rFonts w:ascii="Times New Roman" w:hAnsi="Times New Roman"/>
        </w:rPr>
        <w:t>we should not be disposed to ignore it unless it can be said that the evidence establishe</w:t>
      </w:r>
      <w:r w:rsidR="00941CE5" w:rsidRPr="008F0407">
        <w:rPr>
          <w:rFonts w:ascii="Times New Roman" w:hAnsi="Times New Roman"/>
        </w:rPr>
        <w:t>s</w:t>
      </w:r>
      <w:r w:rsidR="00BE40E5" w:rsidRPr="008F0407">
        <w:rPr>
          <w:rFonts w:ascii="Times New Roman" w:hAnsi="Times New Roman"/>
        </w:rPr>
        <w:t xml:space="preserve"> quite clearly </w:t>
      </w:r>
      <w:r w:rsidR="004B68F4" w:rsidRPr="008F0407">
        <w:rPr>
          <w:rFonts w:ascii="Times New Roman" w:hAnsi="Times New Roman"/>
        </w:rPr>
        <w:t>that the conduct of the parties was inconsistent with it as the basis of their relationship"</w:t>
      </w:r>
      <w:r w:rsidR="00A06719" w:rsidRPr="008F0407">
        <w:rPr>
          <w:rStyle w:val="FootnoteReference"/>
          <w:rFonts w:ascii="Times New Roman" w:hAnsi="Times New Roman"/>
          <w:sz w:val="24"/>
        </w:rPr>
        <w:footnoteReference w:id="107"/>
      </w:r>
      <w:r w:rsidR="004B68F4" w:rsidRPr="008F0407">
        <w:rPr>
          <w:rFonts w:ascii="Times New Roman" w:hAnsi="Times New Roman"/>
        </w:rPr>
        <w:t>.</w:t>
      </w:r>
    </w:p>
    <w:p w14:paraId="2A765F17" w14:textId="02BE0793" w:rsidR="00A940A0" w:rsidRPr="008F0407" w:rsidRDefault="00F638A7"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A940A0" w:rsidRPr="008F0407">
        <w:rPr>
          <w:rFonts w:ascii="Times New Roman" w:hAnsi="Times New Roman"/>
        </w:rPr>
        <w:t xml:space="preserve">To the extent that </w:t>
      </w:r>
      <w:r w:rsidR="00394F49" w:rsidRPr="008F0407">
        <w:rPr>
          <w:rFonts w:ascii="Times New Roman" w:hAnsi="Times New Roman"/>
        </w:rPr>
        <w:t>it has been</w:t>
      </w:r>
      <w:r w:rsidR="00370055" w:rsidRPr="008F0407">
        <w:rPr>
          <w:rFonts w:ascii="Times New Roman" w:hAnsi="Times New Roman"/>
        </w:rPr>
        <w:t xml:space="preserve"> </w:t>
      </w:r>
      <w:r w:rsidR="00A940A0" w:rsidRPr="008F0407">
        <w:rPr>
          <w:rFonts w:ascii="Times New Roman" w:hAnsi="Times New Roman"/>
        </w:rPr>
        <w:t xml:space="preserve">supposed that </w:t>
      </w:r>
      <w:r w:rsidR="0046607B" w:rsidRPr="008F0407">
        <w:rPr>
          <w:rFonts w:ascii="Times New Roman" w:hAnsi="Times New Roman"/>
        </w:rPr>
        <w:t xml:space="preserve">a departure from the </w:t>
      </w:r>
      <w:r w:rsidR="00C12FF3" w:rsidRPr="008F0407">
        <w:rPr>
          <w:rFonts w:ascii="Times New Roman" w:hAnsi="Times New Roman"/>
        </w:rPr>
        <w:t>long</w:t>
      </w:r>
      <w:r w:rsidR="00D16604" w:rsidRPr="008F0407">
        <w:rPr>
          <w:rFonts w:ascii="Times New Roman" w:hAnsi="Times New Roman"/>
        </w:rPr>
        <w:noBreakHyphen/>
      </w:r>
      <w:r w:rsidR="00C12FF3" w:rsidRPr="008F0407">
        <w:rPr>
          <w:rFonts w:ascii="Times New Roman" w:hAnsi="Times New Roman"/>
        </w:rPr>
        <w:t xml:space="preserve">standing </w:t>
      </w:r>
      <w:r w:rsidR="0046607B" w:rsidRPr="008F0407">
        <w:rPr>
          <w:rFonts w:ascii="Times New Roman" w:hAnsi="Times New Roman"/>
        </w:rPr>
        <w:t xml:space="preserve">approach </w:t>
      </w:r>
      <w:r w:rsidR="00AD1736" w:rsidRPr="008F0407">
        <w:rPr>
          <w:rFonts w:ascii="Times New Roman" w:hAnsi="Times New Roman"/>
        </w:rPr>
        <w:t xml:space="preserve">predating, but exemplified </w:t>
      </w:r>
      <w:r w:rsidR="0046607B" w:rsidRPr="008F0407">
        <w:rPr>
          <w:rFonts w:ascii="Times New Roman" w:hAnsi="Times New Roman"/>
        </w:rPr>
        <w:t>in</w:t>
      </w:r>
      <w:r w:rsidR="00AD1736" w:rsidRPr="008F0407">
        <w:rPr>
          <w:rFonts w:ascii="Times New Roman" w:hAnsi="Times New Roman"/>
        </w:rPr>
        <w:t>,</w:t>
      </w:r>
      <w:r w:rsidR="0046607B" w:rsidRPr="008F0407">
        <w:rPr>
          <w:rFonts w:ascii="Times New Roman" w:hAnsi="Times New Roman"/>
        </w:rPr>
        <w:t xml:space="preserve"> </w:t>
      </w:r>
      <w:r w:rsidR="0046607B" w:rsidRPr="008F0407">
        <w:rPr>
          <w:rFonts w:ascii="Times New Roman" w:hAnsi="Times New Roman"/>
          <w:i/>
          <w:iCs/>
        </w:rPr>
        <w:t xml:space="preserve">Chaplin </w:t>
      </w:r>
      <w:r w:rsidR="0046607B" w:rsidRPr="008F0407">
        <w:rPr>
          <w:rFonts w:ascii="Times New Roman" w:hAnsi="Times New Roman"/>
        </w:rPr>
        <w:t xml:space="preserve">and </w:t>
      </w:r>
      <w:proofErr w:type="spellStart"/>
      <w:r w:rsidR="0046607B" w:rsidRPr="008F0407">
        <w:rPr>
          <w:rFonts w:ascii="Times New Roman" w:hAnsi="Times New Roman"/>
          <w:i/>
          <w:iCs/>
        </w:rPr>
        <w:t>Narich</w:t>
      </w:r>
      <w:proofErr w:type="spellEnd"/>
      <w:r w:rsidR="0046607B" w:rsidRPr="008F0407">
        <w:rPr>
          <w:rFonts w:ascii="Times New Roman" w:hAnsi="Times New Roman"/>
          <w:i/>
          <w:iCs/>
        </w:rPr>
        <w:t xml:space="preserve"> </w:t>
      </w:r>
      <w:r w:rsidR="00A940A0" w:rsidRPr="008F0407">
        <w:rPr>
          <w:rFonts w:ascii="Times New Roman" w:hAnsi="Times New Roman"/>
        </w:rPr>
        <w:t xml:space="preserve">was required by this Court's decisions in </w:t>
      </w:r>
      <w:r w:rsidR="00A940A0" w:rsidRPr="008F0407">
        <w:rPr>
          <w:rFonts w:ascii="Times New Roman" w:hAnsi="Times New Roman"/>
          <w:i/>
          <w:iCs/>
        </w:rPr>
        <w:t xml:space="preserve">Stevens </w:t>
      </w:r>
      <w:r w:rsidR="00A940A0" w:rsidRPr="008F0407">
        <w:rPr>
          <w:rFonts w:ascii="Times New Roman" w:hAnsi="Times New Roman"/>
        </w:rPr>
        <w:t xml:space="preserve">and </w:t>
      </w:r>
      <w:r w:rsidR="00A940A0" w:rsidRPr="008F0407">
        <w:rPr>
          <w:rFonts w:ascii="Times New Roman" w:hAnsi="Times New Roman"/>
          <w:i/>
          <w:iCs/>
        </w:rPr>
        <w:t>Hollis</w:t>
      </w:r>
      <w:r w:rsidR="00A940A0" w:rsidRPr="008F0407">
        <w:rPr>
          <w:rFonts w:ascii="Times New Roman" w:hAnsi="Times New Roman"/>
        </w:rPr>
        <w:t>, that understanding is</w:t>
      </w:r>
      <w:r w:rsidR="00446415" w:rsidRPr="008F0407">
        <w:rPr>
          <w:rFonts w:ascii="Times New Roman" w:hAnsi="Times New Roman"/>
        </w:rPr>
        <w:t xml:space="preserve"> also</w:t>
      </w:r>
      <w:r w:rsidR="00A940A0" w:rsidRPr="008F0407">
        <w:rPr>
          <w:rFonts w:ascii="Times New Roman" w:hAnsi="Times New Roman"/>
        </w:rPr>
        <w:t xml:space="preserve"> not correct.</w:t>
      </w:r>
      <w:r w:rsidR="00076C6B" w:rsidRPr="008F0407">
        <w:rPr>
          <w:rFonts w:ascii="Times New Roman" w:hAnsi="Times New Roman"/>
        </w:rPr>
        <w:t xml:space="preserve"> </w:t>
      </w:r>
      <w:r w:rsidR="00A940A0" w:rsidRPr="008F0407">
        <w:rPr>
          <w:rFonts w:ascii="Times New Roman" w:hAnsi="Times New Roman"/>
        </w:rPr>
        <w:t xml:space="preserve">In neither </w:t>
      </w:r>
      <w:r w:rsidR="00A940A0" w:rsidRPr="008F0407">
        <w:rPr>
          <w:rFonts w:ascii="Times New Roman" w:hAnsi="Times New Roman"/>
          <w:i/>
          <w:iCs/>
        </w:rPr>
        <w:t>Stevens</w:t>
      </w:r>
      <w:r w:rsidR="00A940A0" w:rsidRPr="008F0407">
        <w:rPr>
          <w:rFonts w:ascii="Times New Roman" w:hAnsi="Times New Roman"/>
        </w:rPr>
        <w:t xml:space="preserve"> nor </w:t>
      </w:r>
      <w:r w:rsidR="00A940A0" w:rsidRPr="008F0407">
        <w:rPr>
          <w:rFonts w:ascii="Times New Roman" w:hAnsi="Times New Roman"/>
          <w:i/>
          <w:iCs/>
        </w:rPr>
        <w:t>Hollis</w:t>
      </w:r>
      <w:r w:rsidR="00A940A0" w:rsidRPr="008F0407">
        <w:rPr>
          <w:rFonts w:ascii="Times New Roman" w:hAnsi="Times New Roman"/>
        </w:rPr>
        <w:t xml:space="preserve"> did this Court suggest that</w:t>
      </w:r>
      <w:r w:rsidR="00EB2708" w:rsidRPr="008F0407">
        <w:rPr>
          <w:rFonts w:ascii="Times New Roman" w:hAnsi="Times New Roman"/>
        </w:rPr>
        <w:t>,</w:t>
      </w:r>
      <w:r w:rsidR="00A940A0" w:rsidRPr="008F0407">
        <w:rPr>
          <w:rFonts w:ascii="Times New Roman" w:hAnsi="Times New Roman"/>
        </w:rPr>
        <w:t xml:space="preserve"> where one person has done work for another pursuant to a comprehensive written contract</w:t>
      </w:r>
      <w:r w:rsidR="00EB2708" w:rsidRPr="008F0407">
        <w:rPr>
          <w:rFonts w:ascii="Times New Roman" w:hAnsi="Times New Roman"/>
        </w:rPr>
        <w:t>,</w:t>
      </w:r>
      <w:r w:rsidR="00A940A0" w:rsidRPr="008F0407">
        <w:rPr>
          <w:rFonts w:ascii="Times New Roman" w:hAnsi="Times New Roman"/>
        </w:rPr>
        <w:t xml:space="preserve"> the court must </w:t>
      </w:r>
      <w:r w:rsidR="00EB2708" w:rsidRPr="008F0407">
        <w:rPr>
          <w:rFonts w:ascii="Times New Roman" w:hAnsi="Times New Roman"/>
        </w:rPr>
        <w:t>perform</w:t>
      </w:r>
      <w:r w:rsidR="00A940A0" w:rsidRPr="008F0407">
        <w:rPr>
          <w:rFonts w:ascii="Times New Roman" w:hAnsi="Times New Roman"/>
        </w:rPr>
        <w:t xml:space="preserve"> a multifactorial balancing exercise where</w:t>
      </w:r>
      <w:r w:rsidR="00EB2708" w:rsidRPr="008F0407">
        <w:rPr>
          <w:rFonts w:ascii="Times New Roman" w:hAnsi="Times New Roman"/>
        </w:rPr>
        <w:t>by</w:t>
      </w:r>
      <w:r w:rsidR="00A940A0" w:rsidRPr="008F0407">
        <w:rPr>
          <w:rFonts w:ascii="Times New Roman" w:hAnsi="Times New Roman"/>
        </w:rPr>
        <w:t xml:space="preserve"> the history of all the dealings between the parties is to be exhaustively reviewed even though no party disputes the validity of the contract.</w:t>
      </w:r>
    </w:p>
    <w:p w14:paraId="1A2AACA8" w14:textId="5AC97AD6" w:rsidR="00A940A0" w:rsidRPr="008F0407" w:rsidRDefault="00A940A0" w:rsidP="008F0407">
      <w:pPr>
        <w:pStyle w:val="FixListStyle"/>
        <w:spacing w:after="260" w:line="280" w:lineRule="exact"/>
        <w:ind w:right="0"/>
        <w:jc w:val="both"/>
        <w:rPr>
          <w:rFonts w:ascii="Times New Roman" w:hAnsi="Times New Roman"/>
        </w:rPr>
      </w:pPr>
      <w:r w:rsidRPr="008F0407">
        <w:rPr>
          <w:rFonts w:ascii="Times New Roman" w:hAnsi="Times New Roman"/>
        </w:rPr>
        <w:lastRenderedPageBreak/>
        <w:tab/>
        <w:t xml:space="preserve">In </w:t>
      </w:r>
      <w:r w:rsidRPr="008F0407">
        <w:rPr>
          <w:rFonts w:ascii="Times New Roman" w:hAnsi="Times New Roman"/>
          <w:i/>
          <w:iCs/>
        </w:rPr>
        <w:t>Stevens</w:t>
      </w:r>
      <w:r w:rsidRPr="008F0407">
        <w:rPr>
          <w:rFonts w:ascii="Times New Roman" w:hAnsi="Times New Roman"/>
        </w:rPr>
        <w:t xml:space="preserve">, Mason J said that "it is the totality of the relationship between the parties </w:t>
      </w:r>
      <w:r w:rsidR="00E74125" w:rsidRPr="008F0407">
        <w:rPr>
          <w:rFonts w:ascii="Times New Roman" w:hAnsi="Times New Roman"/>
        </w:rPr>
        <w:t xml:space="preserve">which </w:t>
      </w:r>
      <w:r w:rsidRPr="008F0407">
        <w:rPr>
          <w:rFonts w:ascii="Times New Roman" w:hAnsi="Times New Roman"/>
        </w:rPr>
        <w:t>must be considered"</w:t>
      </w:r>
      <w:r w:rsidR="00E74125" w:rsidRPr="008F0407">
        <w:rPr>
          <w:rFonts w:ascii="Times New Roman" w:hAnsi="Times New Roman"/>
        </w:rPr>
        <w:t>.</w:t>
      </w:r>
      <w:r w:rsidRPr="008F0407">
        <w:rPr>
          <w:rFonts w:ascii="Times New Roman" w:hAnsi="Times New Roman"/>
        </w:rPr>
        <w:t xml:space="preserve"> But this statement was made in the context of a discussion the point of which was to </w:t>
      </w:r>
      <w:r w:rsidR="00E74125" w:rsidRPr="008F0407">
        <w:rPr>
          <w:rFonts w:ascii="Times New Roman" w:hAnsi="Times New Roman"/>
        </w:rPr>
        <w:t xml:space="preserve">emphasise that </w:t>
      </w:r>
      <w:r w:rsidRPr="008F0407">
        <w:rPr>
          <w:rFonts w:ascii="Times New Roman" w:hAnsi="Times New Roman"/>
        </w:rPr>
        <w:t xml:space="preserve">the right of one party to control the work of another </w:t>
      </w:r>
      <w:r w:rsidR="00455189" w:rsidRPr="008F0407">
        <w:rPr>
          <w:rFonts w:ascii="Times New Roman" w:hAnsi="Times New Roman"/>
        </w:rPr>
        <w:t>w</w:t>
      </w:r>
      <w:r w:rsidRPr="008F0407">
        <w:rPr>
          <w:rFonts w:ascii="Times New Roman" w:hAnsi="Times New Roman"/>
        </w:rPr>
        <w:t xml:space="preserve">as "not </w:t>
      </w:r>
      <w:r w:rsidR="00B61C8C" w:rsidRPr="008F0407">
        <w:rPr>
          <w:rFonts w:ascii="Times New Roman" w:hAnsi="Times New Roman"/>
        </w:rPr>
        <w:t xml:space="preserve">... </w:t>
      </w:r>
      <w:r w:rsidRPr="008F0407">
        <w:rPr>
          <w:rFonts w:ascii="Times New Roman" w:hAnsi="Times New Roman"/>
        </w:rPr>
        <w:t>the only relevant factor"</w:t>
      </w:r>
      <w:r w:rsidR="00180EC8" w:rsidRPr="008F0407">
        <w:rPr>
          <w:rStyle w:val="FootnoteReference"/>
          <w:rFonts w:ascii="Times New Roman" w:hAnsi="Times New Roman"/>
          <w:sz w:val="24"/>
        </w:rPr>
        <w:footnoteReference w:id="108"/>
      </w:r>
      <w:r w:rsidRPr="008F0407">
        <w:rPr>
          <w:rFonts w:ascii="Times New Roman" w:hAnsi="Times New Roman"/>
        </w:rPr>
        <w:t xml:space="preserve">. </w:t>
      </w:r>
      <w:r w:rsidR="00455189" w:rsidRPr="008F0407">
        <w:rPr>
          <w:rFonts w:ascii="Times New Roman" w:hAnsi="Times New Roman"/>
        </w:rPr>
        <w:t xml:space="preserve">It was not an invitation to broaden the </w:t>
      </w:r>
      <w:r w:rsidR="00006CF2" w:rsidRPr="008F0407">
        <w:rPr>
          <w:rFonts w:ascii="Times New Roman" w:hAnsi="Times New Roman"/>
        </w:rPr>
        <w:t>i</w:t>
      </w:r>
      <w:r w:rsidR="00455189" w:rsidRPr="008F0407">
        <w:rPr>
          <w:rFonts w:ascii="Times New Roman" w:hAnsi="Times New Roman"/>
        </w:rPr>
        <w:t>nquiry beyond the contractual rights and duties of the parties</w:t>
      </w:r>
      <w:r w:rsidR="00FA15CE" w:rsidRPr="008F0407">
        <w:rPr>
          <w:rFonts w:ascii="Times New Roman" w:hAnsi="Times New Roman"/>
        </w:rPr>
        <w:t>.</w:t>
      </w:r>
      <w:r w:rsidR="00455189" w:rsidRPr="008F0407">
        <w:rPr>
          <w:rFonts w:ascii="Times New Roman" w:hAnsi="Times New Roman"/>
        </w:rPr>
        <w:t xml:space="preserve"> </w:t>
      </w:r>
      <w:r w:rsidRPr="008F0407">
        <w:rPr>
          <w:rFonts w:ascii="Times New Roman" w:hAnsi="Times New Roman"/>
        </w:rPr>
        <w:t xml:space="preserve">Importantly, </w:t>
      </w:r>
      <w:r w:rsidRPr="008F0407">
        <w:rPr>
          <w:rFonts w:ascii="Times New Roman" w:hAnsi="Times New Roman"/>
          <w:i/>
          <w:iCs/>
        </w:rPr>
        <w:t xml:space="preserve">Stevens </w:t>
      </w:r>
      <w:r w:rsidRPr="008F0407">
        <w:rPr>
          <w:rFonts w:ascii="Times New Roman" w:hAnsi="Times New Roman"/>
        </w:rPr>
        <w:t>was not a case where the parties had committed the terms of their relationship to a written contract</w:t>
      </w:r>
      <w:r w:rsidR="00B61C8C" w:rsidRPr="008F0407">
        <w:rPr>
          <w:rStyle w:val="FootnoteReference"/>
          <w:rFonts w:ascii="Times New Roman" w:hAnsi="Times New Roman"/>
          <w:sz w:val="24"/>
        </w:rPr>
        <w:footnoteReference w:id="109"/>
      </w:r>
      <w:r w:rsidRPr="008F0407">
        <w:rPr>
          <w:rFonts w:ascii="Times New Roman" w:hAnsi="Times New Roman"/>
        </w:rPr>
        <w:t xml:space="preserve">. In this respect, </w:t>
      </w:r>
      <w:r w:rsidRPr="008F0407">
        <w:rPr>
          <w:rFonts w:ascii="Times New Roman" w:hAnsi="Times New Roman"/>
          <w:i/>
          <w:iCs/>
        </w:rPr>
        <w:t xml:space="preserve">Stevens </w:t>
      </w:r>
      <w:r w:rsidRPr="008F0407">
        <w:rPr>
          <w:rFonts w:ascii="Times New Roman" w:hAnsi="Times New Roman"/>
        </w:rPr>
        <w:t>stands in obvious contrast to cases like</w:t>
      </w:r>
      <w:r w:rsidRPr="008F0407">
        <w:rPr>
          <w:rFonts w:ascii="Times New Roman" w:hAnsi="Times New Roman"/>
          <w:i/>
          <w:iCs/>
        </w:rPr>
        <w:t xml:space="preserve"> Chaplin</w:t>
      </w:r>
      <w:r w:rsidRPr="008F0407">
        <w:rPr>
          <w:rFonts w:ascii="Times New Roman" w:hAnsi="Times New Roman"/>
        </w:rPr>
        <w:t xml:space="preserve"> and </w:t>
      </w:r>
      <w:proofErr w:type="spellStart"/>
      <w:r w:rsidRPr="008F0407">
        <w:rPr>
          <w:rFonts w:ascii="Times New Roman" w:hAnsi="Times New Roman"/>
          <w:i/>
          <w:iCs/>
        </w:rPr>
        <w:t>Narich</w:t>
      </w:r>
      <w:proofErr w:type="spellEnd"/>
      <w:r w:rsidR="0057424A" w:rsidRPr="008F0407">
        <w:rPr>
          <w:rFonts w:ascii="Times New Roman" w:hAnsi="Times New Roman"/>
          <w:i/>
          <w:iCs/>
        </w:rPr>
        <w:t> </w:t>
      </w:r>
      <w:r w:rsidRPr="008F0407">
        <w:rPr>
          <w:rFonts w:ascii="Times New Roman" w:hAnsi="Times New Roman"/>
        </w:rPr>
        <w:t xml:space="preserve">– and the present case. </w:t>
      </w:r>
    </w:p>
    <w:p w14:paraId="722E5E74" w14:textId="3625A5EF" w:rsidR="00A940A0" w:rsidRPr="008F0407" w:rsidRDefault="00A940A0" w:rsidP="008F0407">
      <w:pPr>
        <w:pStyle w:val="FixListStyle"/>
        <w:spacing w:after="260" w:line="280" w:lineRule="exact"/>
        <w:ind w:right="0"/>
        <w:jc w:val="both"/>
        <w:rPr>
          <w:rFonts w:ascii="Times New Roman" w:hAnsi="Times New Roman"/>
        </w:rPr>
      </w:pPr>
      <w:r w:rsidRPr="008F0407">
        <w:rPr>
          <w:rFonts w:ascii="Times New Roman" w:hAnsi="Times New Roman"/>
        </w:rPr>
        <w:tab/>
        <w:t xml:space="preserve">In </w:t>
      </w:r>
      <w:r w:rsidRPr="008F0407">
        <w:rPr>
          <w:rFonts w:ascii="Times New Roman" w:hAnsi="Times New Roman"/>
          <w:i/>
          <w:iCs/>
        </w:rPr>
        <w:t>Hollis</w:t>
      </w:r>
      <w:r w:rsidRPr="008F0407">
        <w:rPr>
          <w:rFonts w:ascii="Times New Roman" w:hAnsi="Times New Roman"/>
        </w:rPr>
        <w:t xml:space="preserve">, the "contractual relationship" pursuant to which </w:t>
      </w:r>
      <w:proofErr w:type="spellStart"/>
      <w:r w:rsidRPr="008F0407">
        <w:rPr>
          <w:rFonts w:ascii="Times New Roman" w:hAnsi="Times New Roman"/>
          <w:iCs/>
        </w:rPr>
        <w:t>Vabu</w:t>
      </w:r>
      <w:proofErr w:type="spellEnd"/>
      <w:r w:rsidRPr="008F0407">
        <w:rPr>
          <w:rFonts w:ascii="Times New Roman" w:hAnsi="Times New Roman"/>
        </w:rPr>
        <w:t xml:space="preserve"> "imposed" its work practices </w:t>
      </w:r>
      <w:r w:rsidR="00BD4B26" w:rsidRPr="008F0407">
        <w:rPr>
          <w:rFonts w:ascii="Times New Roman" w:hAnsi="Times New Roman"/>
        </w:rPr>
        <w:t xml:space="preserve">upon couriers </w:t>
      </w:r>
      <w:r w:rsidRPr="008F0407">
        <w:rPr>
          <w:rFonts w:ascii="Times New Roman" w:hAnsi="Times New Roman"/>
        </w:rPr>
        <w:t>was partly oral and partly in writing</w:t>
      </w:r>
      <w:r w:rsidRPr="008F0407">
        <w:rPr>
          <w:rStyle w:val="FootnoteReference"/>
          <w:rFonts w:ascii="Times New Roman" w:hAnsi="Times New Roman"/>
          <w:iCs/>
          <w:sz w:val="24"/>
        </w:rPr>
        <w:footnoteReference w:id="110"/>
      </w:r>
      <w:r w:rsidRPr="008F0407">
        <w:rPr>
          <w:rFonts w:ascii="Times New Roman" w:hAnsi="Times New Roman"/>
        </w:rPr>
        <w:t xml:space="preserve">. The terms of the relationship between the parties had not been committed comprehensively to a written agreement. </w:t>
      </w:r>
      <w:r w:rsidR="00180EC8" w:rsidRPr="008F0407">
        <w:rPr>
          <w:rFonts w:ascii="Times New Roman" w:hAnsi="Times New Roman"/>
        </w:rPr>
        <w:t>Moreover, t</w:t>
      </w:r>
      <w:r w:rsidRPr="008F0407">
        <w:rPr>
          <w:rFonts w:ascii="Times New Roman" w:hAnsi="Times New Roman"/>
        </w:rPr>
        <w:t xml:space="preserve">here was no suggestion in any of the judgments </w:t>
      </w:r>
      <w:r w:rsidR="00934532" w:rsidRPr="008F0407">
        <w:rPr>
          <w:rFonts w:ascii="Times New Roman" w:hAnsi="Times New Roman"/>
        </w:rPr>
        <w:t xml:space="preserve">in </w:t>
      </w:r>
      <w:r w:rsidR="00934532" w:rsidRPr="008F0407">
        <w:rPr>
          <w:rFonts w:ascii="Times New Roman" w:hAnsi="Times New Roman"/>
          <w:i/>
        </w:rPr>
        <w:t xml:space="preserve">Stevens </w:t>
      </w:r>
      <w:r w:rsidR="00B239B6" w:rsidRPr="008F0407">
        <w:rPr>
          <w:rFonts w:ascii="Times New Roman" w:hAnsi="Times New Roman"/>
        </w:rPr>
        <w:t>or</w:t>
      </w:r>
      <w:r w:rsidR="00B239B6" w:rsidRPr="008F0407">
        <w:rPr>
          <w:rFonts w:ascii="Times New Roman" w:hAnsi="Times New Roman"/>
          <w:i/>
        </w:rPr>
        <w:t xml:space="preserve"> </w:t>
      </w:r>
      <w:r w:rsidR="00934532" w:rsidRPr="008F0407">
        <w:rPr>
          <w:rFonts w:ascii="Times New Roman" w:hAnsi="Times New Roman"/>
          <w:i/>
        </w:rPr>
        <w:t xml:space="preserve">Hollis </w:t>
      </w:r>
      <w:r w:rsidRPr="008F0407">
        <w:rPr>
          <w:rFonts w:ascii="Times New Roman" w:hAnsi="Times New Roman"/>
        </w:rPr>
        <w:t>that their</w:t>
      </w:r>
      <w:r w:rsidR="0057424A" w:rsidRPr="008F0407">
        <w:rPr>
          <w:rFonts w:ascii="Times New Roman" w:hAnsi="Times New Roman"/>
        </w:rPr>
        <w:t> </w:t>
      </w:r>
      <w:r w:rsidRPr="008F0407">
        <w:rPr>
          <w:rFonts w:ascii="Times New Roman" w:hAnsi="Times New Roman"/>
        </w:rPr>
        <w:t>Honours entertained any misgivings as to the statement</w:t>
      </w:r>
      <w:r w:rsidR="00934532" w:rsidRPr="008F0407">
        <w:rPr>
          <w:rFonts w:ascii="Times New Roman" w:hAnsi="Times New Roman"/>
        </w:rPr>
        <w:t>s</w:t>
      </w:r>
      <w:r w:rsidRPr="008F0407">
        <w:rPr>
          <w:rFonts w:ascii="Times New Roman" w:hAnsi="Times New Roman"/>
        </w:rPr>
        <w:t xml:space="preserve"> of principle in </w:t>
      </w:r>
      <w:r w:rsidRPr="008F0407">
        <w:rPr>
          <w:rFonts w:ascii="Times New Roman" w:hAnsi="Times New Roman"/>
          <w:i/>
          <w:iCs/>
        </w:rPr>
        <w:t xml:space="preserve">Chaplin </w:t>
      </w:r>
      <w:r w:rsidRPr="008F0407">
        <w:rPr>
          <w:rFonts w:ascii="Times New Roman" w:hAnsi="Times New Roman"/>
        </w:rPr>
        <w:t xml:space="preserve">and </w:t>
      </w:r>
      <w:proofErr w:type="spellStart"/>
      <w:r w:rsidRPr="008F0407">
        <w:rPr>
          <w:rFonts w:ascii="Times New Roman" w:hAnsi="Times New Roman"/>
          <w:i/>
          <w:iCs/>
        </w:rPr>
        <w:t>Narich</w:t>
      </w:r>
      <w:proofErr w:type="spellEnd"/>
      <w:r w:rsidRPr="008F0407">
        <w:rPr>
          <w:rFonts w:ascii="Times New Roman" w:hAnsi="Times New Roman"/>
        </w:rPr>
        <w:t xml:space="preserve">. </w:t>
      </w:r>
      <w:r w:rsidR="0098683F" w:rsidRPr="008F0407" w:rsidDel="00AF44D2">
        <w:rPr>
          <w:rFonts w:ascii="Times New Roman" w:hAnsi="Times New Roman"/>
        </w:rPr>
        <w:t xml:space="preserve">Indeed, in </w:t>
      </w:r>
      <w:r w:rsidR="0098683F" w:rsidRPr="008F0407" w:rsidDel="00AF44D2">
        <w:rPr>
          <w:rFonts w:ascii="Times New Roman" w:hAnsi="Times New Roman"/>
          <w:i/>
          <w:iCs/>
        </w:rPr>
        <w:t>Stevens</w:t>
      </w:r>
      <w:r w:rsidR="0098683F" w:rsidRPr="008F0407" w:rsidDel="00AF44D2">
        <w:rPr>
          <w:rFonts w:ascii="Times New Roman" w:hAnsi="Times New Roman"/>
        </w:rPr>
        <w:t xml:space="preserve">, Mason J (with whom Brennan J agreed) and Wilson and Dawson JJ referred to </w:t>
      </w:r>
      <w:r w:rsidR="0098683F" w:rsidRPr="008F0407" w:rsidDel="00AF44D2">
        <w:rPr>
          <w:rFonts w:ascii="Times New Roman" w:hAnsi="Times New Roman"/>
          <w:i/>
        </w:rPr>
        <w:t xml:space="preserve">Chaplin </w:t>
      </w:r>
      <w:r w:rsidR="0098683F" w:rsidRPr="008F0407" w:rsidDel="00AF44D2">
        <w:rPr>
          <w:rFonts w:ascii="Times New Roman" w:hAnsi="Times New Roman"/>
          <w:iCs/>
        </w:rPr>
        <w:t>with evident approval</w:t>
      </w:r>
      <w:r w:rsidR="00965ABD" w:rsidRPr="008F0407">
        <w:rPr>
          <w:rStyle w:val="FootnoteReference"/>
          <w:rFonts w:ascii="Times New Roman" w:hAnsi="Times New Roman"/>
          <w:iCs/>
          <w:sz w:val="24"/>
        </w:rPr>
        <w:footnoteReference w:id="111"/>
      </w:r>
      <w:r w:rsidR="0098683F" w:rsidRPr="008F0407" w:rsidDel="00AF44D2">
        <w:rPr>
          <w:rFonts w:ascii="Times New Roman" w:hAnsi="Times New Roman"/>
          <w:iCs/>
        </w:rPr>
        <w:t>.</w:t>
      </w:r>
      <w:r w:rsidR="00123C85" w:rsidRPr="008F0407">
        <w:rPr>
          <w:rFonts w:ascii="Times New Roman" w:hAnsi="Times New Roman"/>
          <w:iCs/>
        </w:rPr>
        <w:t xml:space="preserve"> </w:t>
      </w:r>
      <w:r w:rsidRPr="008F0407">
        <w:rPr>
          <w:rFonts w:ascii="Times New Roman" w:hAnsi="Times New Roman"/>
        </w:rPr>
        <w:t xml:space="preserve">It is </w:t>
      </w:r>
      <w:r w:rsidR="00BE76A3" w:rsidRPr="008F0407">
        <w:rPr>
          <w:rFonts w:ascii="Times New Roman" w:hAnsi="Times New Roman"/>
        </w:rPr>
        <w:t xml:space="preserve">also </w:t>
      </w:r>
      <w:r w:rsidRPr="008F0407">
        <w:rPr>
          <w:rFonts w:ascii="Times New Roman" w:hAnsi="Times New Roman"/>
        </w:rPr>
        <w:t xml:space="preserve">noteworthy that Gleeson CJ, who followed </w:t>
      </w:r>
      <w:proofErr w:type="spellStart"/>
      <w:r w:rsidRPr="008F0407">
        <w:rPr>
          <w:rFonts w:ascii="Times New Roman" w:hAnsi="Times New Roman"/>
          <w:i/>
          <w:iCs/>
        </w:rPr>
        <w:t>Narich</w:t>
      </w:r>
      <w:proofErr w:type="spellEnd"/>
      <w:r w:rsidRPr="008F0407">
        <w:rPr>
          <w:rFonts w:ascii="Times New Roman" w:hAnsi="Times New Roman"/>
          <w:i/>
          <w:iCs/>
        </w:rPr>
        <w:t xml:space="preserve"> </w:t>
      </w:r>
      <w:r w:rsidRPr="008F0407">
        <w:rPr>
          <w:rFonts w:ascii="Times New Roman" w:hAnsi="Times New Roman"/>
        </w:rPr>
        <w:t xml:space="preserve">in </w:t>
      </w:r>
      <w:r w:rsidRPr="008F0407">
        <w:rPr>
          <w:rFonts w:ascii="Times New Roman" w:hAnsi="Times New Roman"/>
          <w:i/>
          <w:iCs/>
        </w:rPr>
        <w:t>Connelly v Wells</w:t>
      </w:r>
      <w:r w:rsidRPr="008F0407">
        <w:rPr>
          <w:rFonts w:ascii="Times New Roman" w:hAnsi="Times New Roman"/>
        </w:rPr>
        <w:t xml:space="preserve">, was a party to the plurality judgment in </w:t>
      </w:r>
      <w:r w:rsidRPr="008F0407">
        <w:rPr>
          <w:rFonts w:ascii="Times New Roman" w:hAnsi="Times New Roman"/>
          <w:i/>
          <w:iCs/>
        </w:rPr>
        <w:t>Hollis</w:t>
      </w:r>
      <w:r w:rsidRPr="008F0407">
        <w:rPr>
          <w:rFonts w:ascii="Times New Roman" w:hAnsi="Times New Roman"/>
        </w:rPr>
        <w:t>.</w:t>
      </w:r>
      <w:r w:rsidR="00677D41" w:rsidRPr="008F0407">
        <w:rPr>
          <w:rFonts w:ascii="Times New Roman" w:hAnsi="Times New Roman"/>
        </w:rPr>
        <w:t xml:space="preserve"> As has been correctly observed, </w:t>
      </w:r>
      <w:r w:rsidR="00B7221B" w:rsidRPr="008F0407">
        <w:rPr>
          <w:rFonts w:ascii="Times New Roman" w:hAnsi="Times New Roman"/>
          <w:i/>
          <w:iCs/>
        </w:rPr>
        <w:t xml:space="preserve">Hollis </w:t>
      </w:r>
      <w:r w:rsidR="00B7221B" w:rsidRPr="008F0407">
        <w:rPr>
          <w:rFonts w:ascii="Times New Roman" w:hAnsi="Times New Roman"/>
        </w:rPr>
        <w:t xml:space="preserve">"does not alter or even challenge the orthodox principle that courts are not concerned with </w:t>
      </w:r>
      <w:r w:rsidR="00680D77" w:rsidRPr="008F0407">
        <w:rPr>
          <w:rFonts w:ascii="Times New Roman" w:hAnsi="Times New Roman"/>
        </w:rPr>
        <w:t>what has 'actually occurred' in a relationship, but rather with 'the obligations by which the parties [are] bound</w:t>
      </w:r>
      <w:r w:rsidR="00565AF1" w:rsidRPr="008F0407">
        <w:rPr>
          <w:rFonts w:ascii="Times New Roman" w:hAnsi="Times New Roman"/>
        </w:rPr>
        <w:t>'</w:t>
      </w:r>
      <w:r w:rsidR="00680D77" w:rsidRPr="008F0407">
        <w:rPr>
          <w:rFonts w:ascii="Times New Roman" w:hAnsi="Times New Roman"/>
        </w:rPr>
        <w:t>"</w:t>
      </w:r>
      <w:r w:rsidR="00680D77" w:rsidRPr="008F0407">
        <w:rPr>
          <w:rStyle w:val="FootnoteReference"/>
          <w:rFonts w:ascii="Times New Roman" w:hAnsi="Times New Roman"/>
          <w:sz w:val="24"/>
        </w:rPr>
        <w:footnoteReference w:id="112"/>
      </w:r>
      <w:r w:rsidR="00680D77" w:rsidRPr="008F0407">
        <w:rPr>
          <w:rFonts w:ascii="Times New Roman" w:hAnsi="Times New Roman"/>
        </w:rPr>
        <w:t>.</w:t>
      </w:r>
    </w:p>
    <w:p w14:paraId="1087792B" w14:textId="79EEB207" w:rsidR="008A2205" w:rsidRPr="008F0407" w:rsidRDefault="008A2205" w:rsidP="008F0407">
      <w:pPr>
        <w:pStyle w:val="FixListStyle"/>
        <w:spacing w:after="260" w:line="280" w:lineRule="exact"/>
        <w:ind w:right="0"/>
        <w:jc w:val="both"/>
        <w:rPr>
          <w:rFonts w:ascii="Times New Roman" w:hAnsi="Times New Roman"/>
        </w:rPr>
      </w:pPr>
      <w:r w:rsidRPr="008F0407">
        <w:rPr>
          <w:rFonts w:ascii="Times New Roman" w:hAnsi="Times New Roman"/>
        </w:rPr>
        <w:tab/>
        <w:t xml:space="preserve">Uncertainty in relation to whether a relationship is one of employment may sometimes be unavoidable. </w:t>
      </w:r>
      <w:r w:rsidR="009A76D7" w:rsidRPr="008F0407">
        <w:rPr>
          <w:rFonts w:ascii="Times New Roman" w:hAnsi="Times New Roman"/>
        </w:rPr>
        <w:t>It is the task of the courts to promote certainty</w:t>
      </w:r>
      <w:r w:rsidRPr="008F0407">
        <w:rPr>
          <w:rFonts w:ascii="Times New Roman" w:hAnsi="Times New Roman"/>
        </w:rPr>
        <w:t xml:space="preserve"> </w:t>
      </w:r>
      <w:r w:rsidR="00C700A1" w:rsidRPr="008F0407">
        <w:rPr>
          <w:rFonts w:ascii="Times New Roman" w:hAnsi="Times New Roman"/>
        </w:rPr>
        <w:t>with respect to</w:t>
      </w:r>
      <w:r w:rsidRPr="008F0407">
        <w:rPr>
          <w:rFonts w:ascii="Times New Roman" w:hAnsi="Times New Roman"/>
        </w:rPr>
        <w:t xml:space="preserve"> a relationship </w:t>
      </w:r>
      <w:r w:rsidR="00931E61" w:rsidRPr="008F0407">
        <w:rPr>
          <w:rFonts w:ascii="Times New Roman" w:hAnsi="Times New Roman"/>
        </w:rPr>
        <w:t>of such fundamental importance</w:t>
      </w:r>
      <w:r w:rsidRPr="008F0407">
        <w:rPr>
          <w:rFonts w:ascii="Times New Roman" w:hAnsi="Times New Roman"/>
        </w:rPr>
        <w:t xml:space="preserve">. </w:t>
      </w:r>
      <w:r w:rsidR="009A76D7" w:rsidRPr="008F0407">
        <w:rPr>
          <w:rFonts w:ascii="Times New Roman" w:hAnsi="Times New Roman"/>
        </w:rPr>
        <w:t xml:space="preserve">Especially is this so </w:t>
      </w:r>
      <w:r w:rsidRPr="008F0407">
        <w:rPr>
          <w:rFonts w:ascii="Times New Roman" w:hAnsi="Times New Roman"/>
        </w:rPr>
        <w:t xml:space="preserve">where </w:t>
      </w:r>
      <w:r w:rsidR="004C58C8" w:rsidRPr="008F0407">
        <w:rPr>
          <w:rFonts w:ascii="Times New Roman" w:hAnsi="Times New Roman"/>
        </w:rPr>
        <w:t xml:space="preserve">the parties </w:t>
      </w:r>
      <w:r w:rsidRPr="008F0407">
        <w:rPr>
          <w:rFonts w:ascii="Times New Roman" w:hAnsi="Times New Roman"/>
        </w:rPr>
        <w:t xml:space="preserve">have taken </w:t>
      </w:r>
      <w:r w:rsidR="004C58C8" w:rsidRPr="008F0407">
        <w:rPr>
          <w:rFonts w:ascii="Times New Roman" w:hAnsi="Times New Roman"/>
        </w:rPr>
        <w:t>legitimate steps to avoid</w:t>
      </w:r>
      <w:r w:rsidR="009A76D7" w:rsidRPr="008F0407">
        <w:rPr>
          <w:rFonts w:ascii="Times New Roman" w:hAnsi="Times New Roman"/>
        </w:rPr>
        <w:t xml:space="preserve"> uncertainty in their relationship</w:t>
      </w:r>
      <w:r w:rsidR="004C58C8" w:rsidRPr="008F0407">
        <w:rPr>
          <w:rFonts w:ascii="Times New Roman" w:hAnsi="Times New Roman"/>
        </w:rPr>
        <w:t>.</w:t>
      </w:r>
      <w:r w:rsidR="00341FBE" w:rsidRPr="008F0407">
        <w:rPr>
          <w:rFonts w:ascii="Times New Roman" w:hAnsi="Times New Roman"/>
        </w:rPr>
        <w:t xml:space="preserve"> </w:t>
      </w:r>
      <w:r w:rsidR="009A76D7" w:rsidRPr="008F0407">
        <w:rPr>
          <w:rFonts w:ascii="Times New Roman" w:hAnsi="Times New Roman"/>
        </w:rPr>
        <w:t xml:space="preserve">The parties' legitimate freedom to agree upon the </w:t>
      </w:r>
      <w:r w:rsidR="00747212" w:rsidRPr="008F0407">
        <w:rPr>
          <w:rFonts w:ascii="Times New Roman" w:hAnsi="Times New Roman"/>
        </w:rPr>
        <w:t xml:space="preserve">rights and duties which constitute their relationship should not be misunderstood. It does not extend </w:t>
      </w:r>
      <w:r w:rsidR="00747212" w:rsidRPr="008F0407">
        <w:rPr>
          <w:rFonts w:ascii="Times New Roman" w:hAnsi="Times New Roman"/>
        </w:rPr>
        <w:lastRenderedPageBreak/>
        <w:t>to attaching a</w:t>
      </w:r>
      <w:r w:rsidR="00341FBE" w:rsidRPr="008F0407">
        <w:rPr>
          <w:rFonts w:ascii="Times New Roman" w:hAnsi="Times New Roman"/>
        </w:rPr>
        <w:t xml:space="preserve"> "label" </w:t>
      </w:r>
      <w:r w:rsidR="00AF1CE7" w:rsidRPr="008F0407">
        <w:rPr>
          <w:rFonts w:ascii="Times New Roman" w:hAnsi="Times New Roman"/>
        </w:rPr>
        <w:t xml:space="preserve">to describe their relationship which is inconsistent with the rights and duties otherwise set forth. To do so would be </w:t>
      </w:r>
      <w:r w:rsidR="00341FBE" w:rsidRPr="008F0407">
        <w:rPr>
          <w:rFonts w:ascii="Times New Roman" w:hAnsi="Times New Roman"/>
        </w:rPr>
        <w:t>to elevate the</w:t>
      </w:r>
      <w:r w:rsidR="00D8009D" w:rsidRPr="008F0407">
        <w:rPr>
          <w:rFonts w:ascii="Times New Roman" w:hAnsi="Times New Roman"/>
        </w:rPr>
        <w:t xml:space="preserve">ir </w:t>
      </w:r>
      <w:r w:rsidR="00341FBE" w:rsidRPr="008F0407">
        <w:rPr>
          <w:rFonts w:ascii="Times New Roman" w:hAnsi="Times New Roman"/>
        </w:rPr>
        <w:t>freedom to a power</w:t>
      </w:r>
      <w:r w:rsidR="00D8009D" w:rsidRPr="008F0407">
        <w:rPr>
          <w:rFonts w:ascii="Times New Roman" w:hAnsi="Times New Roman"/>
        </w:rPr>
        <w:t xml:space="preserve"> </w:t>
      </w:r>
      <w:r w:rsidR="00341FBE" w:rsidRPr="008F0407">
        <w:rPr>
          <w:rFonts w:ascii="Times New Roman" w:hAnsi="Times New Roman"/>
        </w:rPr>
        <w:t>to alter the operation of statute law to suit themselves or, as is more likely, to suit the interests of the party with the greater bargaining power.</w:t>
      </w:r>
    </w:p>
    <w:p w14:paraId="50DD6291" w14:textId="162EC6BA" w:rsidR="00AD2696" w:rsidRPr="008F0407" w:rsidRDefault="00A940A0"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B9772F" w:rsidRPr="008F0407">
        <w:rPr>
          <w:rFonts w:ascii="Times New Roman" w:hAnsi="Times New Roman"/>
        </w:rPr>
        <w:t>W</w:t>
      </w:r>
      <w:r w:rsidRPr="008F0407">
        <w:rPr>
          <w:rFonts w:ascii="Times New Roman" w:hAnsi="Times New Roman"/>
        </w:rPr>
        <w:t>here the parties have co</w:t>
      </w:r>
      <w:r w:rsidR="003E031D" w:rsidRPr="008F0407">
        <w:rPr>
          <w:rFonts w:ascii="Times New Roman" w:hAnsi="Times New Roman"/>
        </w:rPr>
        <w:t>mprehensively committed</w:t>
      </w:r>
      <w:r w:rsidR="00B9772F" w:rsidRPr="008F0407">
        <w:rPr>
          <w:rFonts w:ascii="Times New Roman" w:hAnsi="Times New Roman"/>
        </w:rPr>
        <w:t xml:space="preserve"> </w:t>
      </w:r>
      <w:r w:rsidRPr="008F0407">
        <w:rPr>
          <w:rFonts w:ascii="Times New Roman" w:hAnsi="Times New Roman"/>
        </w:rPr>
        <w:t>the terms of their relationship to a written contract</w:t>
      </w:r>
      <w:r w:rsidR="00B9772F" w:rsidRPr="008F0407">
        <w:rPr>
          <w:rFonts w:ascii="Times New Roman" w:hAnsi="Times New Roman"/>
        </w:rPr>
        <w:t xml:space="preserve"> the validity of which is not in dispute</w:t>
      </w:r>
      <w:r w:rsidRPr="008F0407">
        <w:rPr>
          <w:rFonts w:ascii="Times New Roman" w:hAnsi="Times New Roman"/>
        </w:rPr>
        <w:t>, the character</w:t>
      </w:r>
      <w:r w:rsidR="00B9772F" w:rsidRPr="008F0407">
        <w:rPr>
          <w:rFonts w:ascii="Times New Roman" w:hAnsi="Times New Roman"/>
        </w:rPr>
        <w:t>isation</w:t>
      </w:r>
      <w:r w:rsidRPr="008F0407">
        <w:rPr>
          <w:rFonts w:ascii="Times New Roman" w:hAnsi="Times New Roman"/>
        </w:rPr>
        <w:t xml:space="preserve"> of their relationship </w:t>
      </w:r>
      <w:r w:rsidR="00B9772F" w:rsidRPr="008F0407">
        <w:rPr>
          <w:rFonts w:ascii="Times New Roman" w:hAnsi="Times New Roman"/>
        </w:rPr>
        <w:t>as one of employment or otherwise proceeds by reference to the rights and obligations of the parties under that contract.</w:t>
      </w:r>
      <w:r w:rsidRPr="008F0407">
        <w:rPr>
          <w:rFonts w:ascii="Times New Roman" w:hAnsi="Times New Roman"/>
        </w:rPr>
        <w:t xml:space="preserve"> Where </w:t>
      </w:r>
      <w:r w:rsidR="00345B81" w:rsidRPr="008F0407">
        <w:rPr>
          <w:rFonts w:ascii="Times New Roman" w:hAnsi="Times New Roman"/>
        </w:rPr>
        <w:t>no party seeks to</w:t>
      </w:r>
      <w:r w:rsidRPr="008F0407">
        <w:rPr>
          <w:rFonts w:ascii="Times New Roman" w:hAnsi="Times New Roman"/>
        </w:rPr>
        <w:t xml:space="preserve"> challenge the </w:t>
      </w:r>
      <w:r w:rsidR="00345B81" w:rsidRPr="008F0407">
        <w:rPr>
          <w:rFonts w:ascii="Times New Roman" w:hAnsi="Times New Roman"/>
        </w:rPr>
        <w:t xml:space="preserve">efficacy </w:t>
      </w:r>
      <w:r w:rsidRPr="008F0407">
        <w:rPr>
          <w:rFonts w:ascii="Times New Roman" w:hAnsi="Times New Roman"/>
        </w:rPr>
        <w:t xml:space="preserve">of the contract as the charter of the parties' rights and duties, </w:t>
      </w:r>
      <w:r w:rsidR="002B0FBA" w:rsidRPr="008F0407">
        <w:rPr>
          <w:rFonts w:ascii="Times New Roman" w:hAnsi="Times New Roman"/>
        </w:rPr>
        <w:t>on the basis that</w:t>
      </w:r>
      <w:r w:rsidR="00FF7CAA" w:rsidRPr="008F0407">
        <w:rPr>
          <w:rFonts w:ascii="Times New Roman" w:hAnsi="Times New Roman"/>
        </w:rPr>
        <w:t xml:space="preserve"> it is </w:t>
      </w:r>
      <w:r w:rsidR="002B0FBA" w:rsidRPr="008F0407">
        <w:rPr>
          <w:rFonts w:ascii="Times New Roman" w:hAnsi="Times New Roman"/>
        </w:rPr>
        <w:t xml:space="preserve">either </w:t>
      </w:r>
      <w:r w:rsidR="00FF7CAA" w:rsidRPr="008F0407">
        <w:rPr>
          <w:rFonts w:ascii="Times New Roman" w:hAnsi="Times New Roman"/>
        </w:rPr>
        <w:t>a sham or otherwise ineffective under the general law or statute</w:t>
      </w:r>
      <w:r w:rsidR="00FF7CAA" w:rsidRPr="008F0407">
        <w:rPr>
          <w:rStyle w:val="FootnoteReference"/>
          <w:rFonts w:ascii="Times New Roman" w:hAnsi="Times New Roman"/>
          <w:sz w:val="24"/>
        </w:rPr>
        <w:footnoteReference w:id="113"/>
      </w:r>
      <w:r w:rsidR="00FF7CAA" w:rsidRPr="008F0407">
        <w:rPr>
          <w:rFonts w:ascii="Times New Roman" w:hAnsi="Times New Roman"/>
        </w:rPr>
        <w:t xml:space="preserve">, </w:t>
      </w:r>
      <w:r w:rsidR="00D87BB8" w:rsidRPr="008F0407">
        <w:rPr>
          <w:rFonts w:ascii="Times New Roman" w:hAnsi="Times New Roman"/>
        </w:rPr>
        <w:t xml:space="preserve">there is no occasion to seek to determine </w:t>
      </w:r>
      <w:r w:rsidRPr="008F0407">
        <w:rPr>
          <w:rFonts w:ascii="Times New Roman" w:hAnsi="Times New Roman"/>
        </w:rPr>
        <w:t>the character of the parties' relationship by a wide</w:t>
      </w:r>
      <w:r w:rsidRPr="008F0407">
        <w:rPr>
          <w:rFonts w:ascii="Times New Roman" w:hAnsi="Times New Roman"/>
        </w:rPr>
        <w:noBreakHyphen/>
        <w:t xml:space="preserve">ranging review of the entire history of the parties' dealings. </w:t>
      </w:r>
      <w:r w:rsidR="0051782B" w:rsidRPr="008F0407">
        <w:rPr>
          <w:rFonts w:ascii="Times New Roman" w:hAnsi="Times New Roman"/>
        </w:rPr>
        <w:t>Such</w:t>
      </w:r>
      <w:r w:rsidRPr="008F0407">
        <w:rPr>
          <w:rFonts w:ascii="Times New Roman" w:hAnsi="Times New Roman"/>
        </w:rPr>
        <w:t xml:space="preserve"> a review is neither necessary nor appropriate </w:t>
      </w:r>
      <w:r w:rsidR="00EE72B8" w:rsidRPr="008F0407">
        <w:rPr>
          <w:rFonts w:ascii="Times New Roman" w:hAnsi="Times New Roman"/>
        </w:rPr>
        <w:t xml:space="preserve">because the task of the court is to enforce the parties' rights and obligations, not </w:t>
      </w:r>
      <w:r w:rsidRPr="008F0407">
        <w:rPr>
          <w:rFonts w:ascii="Times New Roman" w:hAnsi="Times New Roman"/>
        </w:rPr>
        <w:t>to form a view as to what a fair adjustment of the parties' rights might require</w:t>
      </w:r>
      <w:r w:rsidRPr="008F0407">
        <w:rPr>
          <w:rStyle w:val="FootnoteReference"/>
          <w:rFonts w:ascii="Times New Roman" w:hAnsi="Times New Roman"/>
          <w:sz w:val="24"/>
        </w:rPr>
        <w:footnoteReference w:id="114"/>
      </w:r>
      <w:r w:rsidRPr="008F0407">
        <w:rPr>
          <w:rFonts w:ascii="Times New Roman" w:hAnsi="Times New Roman"/>
        </w:rPr>
        <w:t xml:space="preserve">. </w:t>
      </w:r>
    </w:p>
    <w:p w14:paraId="77EA7588" w14:textId="46F9A1E3" w:rsidR="00A940A0" w:rsidRPr="008F0407" w:rsidRDefault="00AD2696"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A940A0" w:rsidRPr="008F0407">
        <w:rPr>
          <w:rFonts w:ascii="Times New Roman" w:hAnsi="Times New Roman"/>
        </w:rPr>
        <w:t xml:space="preserve">In this respect, the principles governing the interpretation of a contract of employment are no different from those that govern the interpretation of contracts generally. </w:t>
      </w:r>
      <w:r w:rsidRPr="008F0407">
        <w:rPr>
          <w:rFonts w:ascii="Times New Roman" w:hAnsi="Times New Roman"/>
        </w:rPr>
        <w:t>The view to the contrary, which has been taken in the United Kingdom</w:t>
      </w:r>
      <w:r w:rsidRPr="008F0407">
        <w:rPr>
          <w:rStyle w:val="FootnoteReference"/>
          <w:rFonts w:ascii="Times New Roman" w:hAnsi="Times New Roman"/>
          <w:sz w:val="24"/>
        </w:rPr>
        <w:footnoteReference w:id="115"/>
      </w:r>
      <w:r w:rsidRPr="008F0407">
        <w:rPr>
          <w:rFonts w:ascii="Times New Roman" w:hAnsi="Times New Roman"/>
        </w:rPr>
        <w:t xml:space="preserve">, </w:t>
      </w:r>
      <w:r w:rsidR="004322BE" w:rsidRPr="008F0407">
        <w:rPr>
          <w:rFonts w:ascii="Times New Roman" w:hAnsi="Times New Roman"/>
        </w:rPr>
        <w:t xml:space="preserve">cannot stand with the statements of the law in </w:t>
      </w:r>
      <w:r w:rsidR="004322BE" w:rsidRPr="008F0407">
        <w:rPr>
          <w:rFonts w:ascii="Times New Roman" w:hAnsi="Times New Roman"/>
          <w:i/>
        </w:rPr>
        <w:t>Chaplin</w:t>
      </w:r>
      <w:r w:rsidR="004322BE" w:rsidRPr="008F0407">
        <w:rPr>
          <w:rFonts w:ascii="Times New Roman" w:hAnsi="Times New Roman"/>
        </w:rPr>
        <w:t xml:space="preserve"> and </w:t>
      </w:r>
      <w:proofErr w:type="spellStart"/>
      <w:r w:rsidR="004322BE" w:rsidRPr="008F0407">
        <w:rPr>
          <w:rFonts w:ascii="Times New Roman" w:hAnsi="Times New Roman"/>
          <w:i/>
        </w:rPr>
        <w:t>Narich</w:t>
      </w:r>
      <w:proofErr w:type="spellEnd"/>
      <w:r w:rsidR="004322BE" w:rsidRPr="008F0407">
        <w:rPr>
          <w:rFonts w:ascii="Times New Roman" w:hAnsi="Times New Roman"/>
        </w:rPr>
        <w:t>.</w:t>
      </w:r>
    </w:p>
    <w:p w14:paraId="4E65382D" w14:textId="1B8A980D" w:rsidR="00414EAC" w:rsidRPr="008F0407" w:rsidRDefault="00414EAC"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AD3961" w:rsidRPr="008F0407">
        <w:rPr>
          <w:rFonts w:ascii="Times New Roman" w:hAnsi="Times New Roman"/>
        </w:rPr>
        <w:t xml:space="preserve">The </w:t>
      </w:r>
      <w:r w:rsidRPr="008F0407">
        <w:rPr>
          <w:rFonts w:ascii="Times New Roman" w:hAnsi="Times New Roman"/>
        </w:rPr>
        <w:t xml:space="preserve">foregoing should not be taken to suggest that it is </w:t>
      </w:r>
      <w:r w:rsidR="00E67A78" w:rsidRPr="008F0407">
        <w:rPr>
          <w:rFonts w:ascii="Times New Roman" w:hAnsi="Times New Roman"/>
        </w:rPr>
        <w:t>not</w:t>
      </w:r>
      <w:r w:rsidRPr="008F0407">
        <w:rPr>
          <w:rFonts w:ascii="Times New Roman" w:hAnsi="Times New Roman"/>
        </w:rPr>
        <w:t xml:space="preserve"> appropriate, in the characterisation of a relationship as one of employment or of principal and independent contractor, to consider "the totality of the relationship between the parties"</w:t>
      </w:r>
      <w:r w:rsidRPr="008F0407">
        <w:rPr>
          <w:rStyle w:val="FootnoteReference"/>
          <w:rFonts w:ascii="Times New Roman" w:hAnsi="Times New Roman"/>
          <w:sz w:val="24"/>
        </w:rPr>
        <w:footnoteReference w:id="116"/>
      </w:r>
      <w:r w:rsidR="00E67A78" w:rsidRPr="008F0407">
        <w:rPr>
          <w:rFonts w:ascii="Times New Roman" w:hAnsi="Times New Roman"/>
        </w:rPr>
        <w:t xml:space="preserve"> by </w:t>
      </w:r>
      <w:r w:rsidR="008B1FA5" w:rsidRPr="008F0407">
        <w:rPr>
          <w:rFonts w:ascii="Times New Roman" w:hAnsi="Times New Roman"/>
        </w:rPr>
        <w:t>re</w:t>
      </w:r>
      <w:r w:rsidR="00E67A78" w:rsidRPr="008F0407">
        <w:rPr>
          <w:rFonts w:ascii="Times New Roman" w:hAnsi="Times New Roman"/>
        </w:rPr>
        <w:t>ference to the various</w:t>
      </w:r>
      <w:r w:rsidRPr="008F0407">
        <w:rPr>
          <w:rFonts w:ascii="Times New Roman" w:hAnsi="Times New Roman"/>
        </w:rPr>
        <w:t xml:space="preserve"> indicia of employment that have </w:t>
      </w:r>
      <w:r w:rsidR="002C3534" w:rsidRPr="008F0407">
        <w:rPr>
          <w:rFonts w:ascii="Times New Roman" w:hAnsi="Times New Roman"/>
        </w:rPr>
        <w:t>been identified in the authorities.</w:t>
      </w:r>
      <w:r w:rsidRPr="008F0407">
        <w:rPr>
          <w:rFonts w:ascii="Times New Roman" w:hAnsi="Times New Roman"/>
        </w:rPr>
        <w:t xml:space="preserve"> What must </w:t>
      </w:r>
      <w:r w:rsidR="002C3534" w:rsidRPr="008F0407">
        <w:rPr>
          <w:rFonts w:ascii="Times New Roman" w:hAnsi="Times New Roman"/>
        </w:rPr>
        <w:t xml:space="preserve">be </w:t>
      </w:r>
      <w:r w:rsidRPr="008F0407">
        <w:rPr>
          <w:rFonts w:ascii="Times New Roman" w:hAnsi="Times New Roman"/>
        </w:rPr>
        <w:t>appreciate</w:t>
      </w:r>
      <w:r w:rsidR="002C3534" w:rsidRPr="008F0407">
        <w:rPr>
          <w:rFonts w:ascii="Times New Roman" w:hAnsi="Times New Roman"/>
        </w:rPr>
        <w:t>d</w:t>
      </w:r>
      <w:r w:rsidRPr="008F0407">
        <w:rPr>
          <w:rFonts w:ascii="Times New Roman" w:hAnsi="Times New Roman"/>
        </w:rPr>
        <w:t xml:space="preserve">, however, is that in a case such as the present, for a matter </w:t>
      </w:r>
      <w:r w:rsidR="00483BBE" w:rsidRPr="008F0407">
        <w:rPr>
          <w:rFonts w:ascii="Times New Roman" w:hAnsi="Times New Roman"/>
        </w:rPr>
        <w:t xml:space="preserve">to </w:t>
      </w:r>
      <w:r w:rsidR="00065BA0" w:rsidRPr="008F0407">
        <w:rPr>
          <w:rFonts w:ascii="Times New Roman" w:hAnsi="Times New Roman"/>
        </w:rPr>
        <w:t xml:space="preserve">bear upon </w:t>
      </w:r>
      <w:r w:rsidRPr="008F0407">
        <w:rPr>
          <w:rFonts w:ascii="Times New Roman" w:hAnsi="Times New Roman"/>
        </w:rPr>
        <w:t xml:space="preserve">the ultimate characterisation of a relationship, it must be </w:t>
      </w:r>
      <w:r w:rsidR="00A80C74" w:rsidRPr="008F0407">
        <w:rPr>
          <w:rFonts w:ascii="Times New Roman" w:hAnsi="Times New Roman"/>
        </w:rPr>
        <w:t xml:space="preserve">concerned with </w:t>
      </w:r>
      <w:r w:rsidRPr="008F0407">
        <w:rPr>
          <w:rFonts w:ascii="Times New Roman" w:hAnsi="Times New Roman"/>
        </w:rPr>
        <w:t>the rights and duties established by the parties' contract</w:t>
      </w:r>
      <w:r w:rsidR="00A80C74" w:rsidRPr="008F0407">
        <w:rPr>
          <w:rFonts w:ascii="Times New Roman" w:hAnsi="Times New Roman"/>
        </w:rPr>
        <w:t>,</w:t>
      </w:r>
      <w:r w:rsidR="0091304C" w:rsidRPr="008F0407">
        <w:rPr>
          <w:rFonts w:ascii="Times New Roman" w:hAnsi="Times New Roman"/>
        </w:rPr>
        <w:t xml:space="preserve"> and not simply an aspect</w:t>
      </w:r>
      <w:r w:rsidRPr="008F0407">
        <w:rPr>
          <w:rFonts w:ascii="Times New Roman" w:hAnsi="Times New Roman"/>
        </w:rPr>
        <w:t xml:space="preserve"> of </w:t>
      </w:r>
      <w:r w:rsidR="008B750D" w:rsidRPr="008F0407">
        <w:rPr>
          <w:rFonts w:ascii="Times New Roman" w:hAnsi="Times New Roman"/>
        </w:rPr>
        <w:t xml:space="preserve">how </w:t>
      </w:r>
      <w:r w:rsidRPr="008F0407">
        <w:rPr>
          <w:rFonts w:ascii="Times New Roman" w:hAnsi="Times New Roman"/>
        </w:rPr>
        <w:t xml:space="preserve">the parties' relationship has come </w:t>
      </w:r>
      <w:r w:rsidRPr="008F0407">
        <w:rPr>
          <w:rFonts w:ascii="Times New Roman" w:hAnsi="Times New Roman"/>
        </w:rPr>
        <w:lastRenderedPageBreak/>
        <w:t xml:space="preserve">to play out in practice </w:t>
      </w:r>
      <w:r w:rsidR="00421F44" w:rsidRPr="008F0407">
        <w:rPr>
          <w:rFonts w:ascii="Times New Roman" w:hAnsi="Times New Roman"/>
        </w:rPr>
        <w:t xml:space="preserve">but </w:t>
      </w:r>
      <w:r w:rsidRPr="008F0407">
        <w:rPr>
          <w:rFonts w:ascii="Times New Roman" w:hAnsi="Times New Roman"/>
        </w:rPr>
        <w:t xml:space="preserve">bearing no </w:t>
      </w:r>
      <w:r w:rsidR="00421F44" w:rsidRPr="008F0407">
        <w:rPr>
          <w:rFonts w:ascii="Times New Roman" w:hAnsi="Times New Roman"/>
        </w:rPr>
        <w:t xml:space="preserve">necessary </w:t>
      </w:r>
      <w:r w:rsidRPr="008F0407">
        <w:rPr>
          <w:rFonts w:ascii="Times New Roman" w:hAnsi="Times New Roman"/>
        </w:rPr>
        <w:t xml:space="preserve">connection to </w:t>
      </w:r>
      <w:r w:rsidR="00421F44" w:rsidRPr="008F0407">
        <w:rPr>
          <w:rFonts w:ascii="Times New Roman" w:hAnsi="Times New Roman"/>
        </w:rPr>
        <w:t xml:space="preserve">the </w:t>
      </w:r>
      <w:r w:rsidRPr="008F0407">
        <w:rPr>
          <w:rFonts w:ascii="Times New Roman" w:hAnsi="Times New Roman"/>
        </w:rPr>
        <w:t>contractual obligation</w:t>
      </w:r>
      <w:r w:rsidR="00421F44" w:rsidRPr="008F0407">
        <w:rPr>
          <w:rFonts w:ascii="Times New Roman" w:hAnsi="Times New Roman"/>
        </w:rPr>
        <w:t>s</w:t>
      </w:r>
      <w:r w:rsidRPr="008F0407">
        <w:rPr>
          <w:rFonts w:ascii="Times New Roman" w:hAnsi="Times New Roman"/>
        </w:rPr>
        <w:t xml:space="preserve"> of the parties.</w:t>
      </w:r>
    </w:p>
    <w:p w14:paraId="78ABEA19" w14:textId="743A25C7" w:rsidR="00A940A0" w:rsidRPr="008F0407" w:rsidRDefault="00A940A0" w:rsidP="008F0407">
      <w:pPr>
        <w:pStyle w:val="FixListStyle"/>
        <w:spacing w:after="260" w:line="280" w:lineRule="exact"/>
        <w:ind w:right="0"/>
        <w:jc w:val="both"/>
        <w:rPr>
          <w:rFonts w:ascii="Times New Roman" w:hAnsi="Times New Roman"/>
        </w:rPr>
      </w:pPr>
      <w:r w:rsidRPr="008F0407">
        <w:rPr>
          <w:rFonts w:ascii="Times New Roman" w:hAnsi="Times New Roman"/>
        </w:rPr>
        <w:tab/>
      </w:r>
      <w:proofErr w:type="spellStart"/>
      <w:r w:rsidRPr="008F0407">
        <w:rPr>
          <w:rFonts w:ascii="Times New Roman" w:hAnsi="Times New Roman"/>
          <w:i/>
          <w:iCs/>
        </w:rPr>
        <w:t>Work</w:t>
      </w:r>
      <w:r w:rsidR="0039387F" w:rsidRPr="008F0407">
        <w:rPr>
          <w:rFonts w:ascii="Times New Roman" w:hAnsi="Times New Roman"/>
          <w:i/>
          <w:iCs/>
        </w:rPr>
        <w:t>P</w:t>
      </w:r>
      <w:r w:rsidRPr="008F0407">
        <w:rPr>
          <w:rFonts w:ascii="Times New Roman" w:hAnsi="Times New Roman"/>
          <w:i/>
          <w:iCs/>
        </w:rPr>
        <w:t>ac</w:t>
      </w:r>
      <w:proofErr w:type="spellEnd"/>
      <w:r w:rsidRPr="008F0407">
        <w:rPr>
          <w:rFonts w:ascii="Times New Roman" w:hAnsi="Times New Roman"/>
          <w:i/>
          <w:iCs/>
        </w:rPr>
        <w:t xml:space="preserve"> Pty Ltd v </w:t>
      </w:r>
      <w:proofErr w:type="spellStart"/>
      <w:r w:rsidRPr="008F0407">
        <w:rPr>
          <w:rFonts w:ascii="Times New Roman" w:hAnsi="Times New Roman"/>
          <w:i/>
          <w:iCs/>
        </w:rPr>
        <w:t>Rossato</w:t>
      </w:r>
      <w:proofErr w:type="spellEnd"/>
      <w:r w:rsidRPr="008F0407">
        <w:rPr>
          <w:rStyle w:val="FootnoteReference"/>
          <w:rFonts w:ascii="Times New Roman" w:hAnsi="Times New Roman"/>
          <w:iCs/>
          <w:sz w:val="24"/>
        </w:rPr>
        <w:footnoteReference w:id="117"/>
      </w:r>
      <w:r w:rsidRPr="008F0407">
        <w:rPr>
          <w:rFonts w:ascii="Times New Roman" w:hAnsi="Times New Roman"/>
        </w:rPr>
        <w:t xml:space="preserve"> </w:t>
      </w:r>
      <w:r w:rsidR="0039387F" w:rsidRPr="008F0407">
        <w:rPr>
          <w:rFonts w:ascii="Times New Roman" w:hAnsi="Times New Roman"/>
        </w:rPr>
        <w:t xml:space="preserve">concerned </w:t>
      </w:r>
      <w:r w:rsidRPr="008F0407">
        <w:rPr>
          <w:rFonts w:ascii="Times New Roman" w:hAnsi="Times New Roman"/>
        </w:rPr>
        <w:t>the question whether a person who was engaged to work under what were indisputably contracts of employment was a casual employee</w:t>
      </w:r>
      <w:r w:rsidR="007231CB" w:rsidRPr="008F0407">
        <w:rPr>
          <w:rFonts w:ascii="Times New Roman" w:hAnsi="Times New Roman"/>
        </w:rPr>
        <w:t>.</w:t>
      </w:r>
      <w:r w:rsidRPr="008F0407">
        <w:rPr>
          <w:rFonts w:ascii="Times New Roman" w:hAnsi="Times New Roman"/>
        </w:rPr>
        <w:t xml:space="preserve"> </w:t>
      </w:r>
      <w:r w:rsidR="007231CB" w:rsidRPr="008F0407">
        <w:rPr>
          <w:rFonts w:ascii="Times New Roman" w:hAnsi="Times New Roman"/>
        </w:rPr>
        <w:t xml:space="preserve">This Court rejected the argument that this question </w:t>
      </w:r>
      <w:r w:rsidRPr="008F0407">
        <w:rPr>
          <w:rFonts w:ascii="Times New Roman" w:hAnsi="Times New Roman"/>
        </w:rPr>
        <w:t>was to be determined by reference to all the circumstances of the employment</w:t>
      </w:r>
      <w:r w:rsidR="007231CB" w:rsidRPr="008F0407">
        <w:rPr>
          <w:rFonts w:ascii="Times New Roman" w:hAnsi="Times New Roman"/>
        </w:rPr>
        <w:t>,</w:t>
      </w:r>
      <w:r w:rsidRPr="008F0407">
        <w:rPr>
          <w:rFonts w:ascii="Times New Roman" w:hAnsi="Times New Roman"/>
        </w:rPr>
        <w:t xml:space="preserve"> including disparities in the bargaining power of the parties. </w:t>
      </w:r>
      <w:r w:rsidRPr="008F0407">
        <w:rPr>
          <w:rFonts w:ascii="Times New Roman" w:hAnsi="Times New Roman"/>
          <w:i/>
          <w:iCs/>
        </w:rPr>
        <w:t>Hollis</w:t>
      </w:r>
      <w:r w:rsidRPr="008F0407">
        <w:rPr>
          <w:rStyle w:val="FootnoteReference"/>
          <w:rFonts w:ascii="Times New Roman" w:hAnsi="Times New Roman"/>
          <w:iCs/>
          <w:sz w:val="24"/>
        </w:rPr>
        <w:footnoteReference w:id="118"/>
      </w:r>
      <w:r w:rsidRPr="008F0407">
        <w:rPr>
          <w:rFonts w:ascii="Times New Roman" w:hAnsi="Times New Roman"/>
        </w:rPr>
        <w:t xml:space="preserve"> had been cited in support of that </w:t>
      </w:r>
      <w:r w:rsidR="00A54A88" w:rsidRPr="008F0407">
        <w:rPr>
          <w:rFonts w:ascii="Times New Roman" w:hAnsi="Times New Roman"/>
        </w:rPr>
        <w:t>argument</w:t>
      </w:r>
      <w:r w:rsidRPr="008F0407">
        <w:rPr>
          <w:rFonts w:ascii="Times New Roman" w:hAnsi="Times New Roman"/>
        </w:rPr>
        <w:t>.</w:t>
      </w:r>
      <w:r w:rsidRPr="008F0407">
        <w:rPr>
          <w:rFonts w:ascii="Times New Roman" w:hAnsi="Times New Roman"/>
          <w:i/>
          <w:iCs/>
        </w:rPr>
        <w:t xml:space="preserve"> </w:t>
      </w:r>
      <w:r w:rsidRPr="008F0407">
        <w:rPr>
          <w:rFonts w:ascii="Times New Roman" w:hAnsi="Times New Roman"/>
        </w:rPr>
        <w:t xml:space="preserve">Kiefel CJ, Keane, Gordon, Edelman, Steward and Gleeson JJ noted </w:t>
      </w:r>
      <w:r w:rsidR="00932072" w:rsidRPr="008F0407">
        <w:rPr>
          <w:rFonts w:ascii="Times New Roman" w:hAnsi="Times New Roman"/>
        </w:rPr>
        <w:t xml:space="preserve">that because, </w:t>
      </w:r>
      <w:r w:rsidRPr="008F0407">
        <w:rPr>
          <w:rFonts w:ascii="Times New Roman" w:hAnsi="Times New Roman"/>
        </w:rPr>
        <w:t xml:space="preserve">in </w:t>
      </w:r>
      <w:proofErr w:type="spellStart"/>
      <w:r w:rsidRPr="008F0407">
        <w:rPr>
          <w:rFonts w:ascii="Times New Roman" w:hAnsi="Times New Roman"/>
          <w:i/>
          <w:iCs/>
        </w:rPr>
        <w:t>Rossato</w:t>
      </w:r>
      <w:proofErr w:type="spellEnd"/>
      <w:r w:rsidR="00932072" w:rsidRPr="008F0407">
        <w:rPr>
          <w:rFonts w:ascii="Times New Roman" w:hAnsi="Times New Roman"/>
          <w:iCs/>
        </w:rPr>
        <w:t>,</w:t>
      </w:r>
      <w:r w:rsidRPr="008F0407">
        <w:rPr>
          <w:rFonts w:ascii="Times New Roman" w:hAnsi="Times New Roman"/>
          <w:i/>
          <w:iCs/>
        </w:rPr>
        <w:t xml:space="preserve"> </w:t>
      </w:r>
      <w:r w:rsidRPr="008F0407">
        <w:rPr>
          <w:rFonts w:ascii="Times New Roman" w:hAnsi="Times New Roman"/>
        </w:rPr>
        <w:t>the Court was concerned with what was, on any view, a contract of employment</w:t>
      </w:r>
      <w:r w:rsidR="00932072" w:rsidRPr="008F0407">
        <w:rPr>
          <w:rFonts w:ascii="Times New Roman" w:hAnsi="Times New Roman"/>
        </w:rPr>
        <w:t>,</w:t>
      </w:r>
      <w:r w:rsidRPr="008F0407">
        <w:rPr>
          <w:rFonts w:ascii="Times New Roman" w:hAnsi="Times New Roman"/>
        </w:rPr>
        <w:t xml:space="preserve"> </w:t>
      </w:r>
      <w:r w:rsidRPr="008F0407">
        <w:rPr>
          <w:rFonts w:ascii="Times New Roman" w:hAnsi="Times New Roman"/>
          <w:i/>
          <w:iCs/>
        </w:rPr>
        <w:t xml:space="preserve">Hollis </w:t>
      </w:r>
      <w:r w:rsidRPr="008F0407">
        <w:rPr>
          <w:rFonts w:ascii="Times New Roman" w:hAnsi="Times New Roman"/>
        </w:rPr>
        <w:t>was not on point. Their Honours went on to say that</w:t>
      </w:r>
      <w:r w:rsidR="00932072" w:rsidRPr="008F0407">
        <w:rPr>
          <w:rFonts w:ascii="Times New Roman" w:hAnsi="Times New Roman"/>
        </w:rPr>
        <w:t>,</w:t>
      </w:r>
      <w:r w:rsidRPr="008F0407">
        <w:rPr>
          <w:rFonts w:ascii="Times New Roman" w:hAnsi="Times New Roman"/>
        </w:rPr>
        <w:t xml:space="preserve"> "</w:t>
      </w:r>
      <w:r w:rsidR="00932072" w:rsidRPr="008F0407">
        <w:rPr>
          <w:rFonts w:ascii="Times New Roman" w:hAnsi="Times New Roman"/>
        </w:rPr>
        <w:t>[</w:t>
      </w:r>
      <w:r w:rsidRPr="008F0407">
        <w:rPr>
          <w:rFonts w:ascii="Times New Roman" w:hAnsi="Times New Roman"/>
        </w:rPr>
        <w:t>o</w:t>
      </w:r>
      <w:r w:rsidR="00932072" w:rsidRPr="008F0407">
        <w:rPr>
          <w:rFonts w:ascii="Times New Roman" w:hAnsi="Times New Roman"/>
        </w:rPr>
        <w:t>]</w:t>
      </w:r>
      <w:r w:rsidRPr="008F0407">
        <w:rPr>
          <w:rFonts w:ascii="Times New Roman" w:hAnsi="Times New Roman"/>
        </w:rPr>
        <w:t xml:space="preserve">n one view", the resolution of the question whether a person engaged to work for another is an employee or an independent contractor "may depend </w:t>
      </w:r>
      <w:r w:rsidR="00B745ED" w:rsidRPr="008F0407">
        <w:rPr>
          <w:rFonts w:ascii="Times New Roman" w:hAnsi="Times New Roman"/>
        </w:rPr>
        <w:t>up</w:t>
      </w:r>
      <w:r w:rsidRPr="008F0407">
        <w:rPr>
          <w:rFonts w:ascii="Times New Roman" w:hAnsi="Times New Roman"/>
        </w:rPr>
        <w:t>on the extent to which it can be shown that one party acts in the business of, and under the control and direction of</w:t>
      </w:r>
      <w:r w:rsidR="00B745ED" w:rsidRPr="008F0407">
        <w:rPr>
          <w:rFonts w:ascii="Times New Roman" w:hAnsi="Times New Roman"/>
        </w:rPr>
        <w:t>,</w:t>
      </w:r>
      <w:r w:rsidRPr="008F0407">
        <w:rPr>
          <w:rFonts w:ascii="Times New Roman" w:hAnsi="Times New Roman"/>
        </w:rPr>
        <w:t xml:space="preserve"> the other"</w:t>
      </w:r>
      <w:r w:rsidRPr="008F0407">
        <w:rPr>
          <w:rStyle w:val="FootnoteReference"/>
          <w:rFonts w:ascii="Times New Roman" w:hAnsi="Times New Roman"/>
          <w:sz w:val="24"/>
        </w:rPr>
        <w:footnoteReference w:id="119"/>
      </w:r>
      <w:r w:rsidRPr="008F0407">
        <w:rPr>
          <w:rFonts w:ascii="Times New Roman" w:hAnsi="Times New Roman"/>
        </w:rPr>
        <w:t xml:space="preserve">. But because the issue of present concern did not arise in </w:t>
      </w:r>
      <w:proofErr w:type="spellStart"/>
      <w:r w:rsidRPr="008F0407">
        <w:rPr>
          <w:rFonts w:ascii="Times New Roman" w:hAnsi="Times New Roman"/>
          <w:i/>
          <w:iCs/>
        </w:rPr>
        <w:t>Rossato</w:t>
      </w:r>
      <w:proofErr w:type="spellEnd"/>
      <w:r w:rsidRPr="008F0407">
        <w:rPr>
          <w:rFonts w:ascii="Times New Roman" w:hAnsi="Times New Roman"/>
        </w:rPr>
        <w:t xml:space="preserve">, the plurality refrained from expressing a concluded view as to the significance of the </w:t>
      </w:r>
      <w:r w:rsidR="00766156" w:rsidRPr="008F0407">
        <w:rPr>
          <w:rFonts w:ascii="Times New Roman" w:hAnsi="Times New Roman"/>
        </w:rPr>
        <w:t xml:space="preserve">observations </w:t>
      </w:r>
      <w:r w:rsidRPr="008F0407">
        <w:rPr>
          <w:rFonts w:ascii="Times New Roman" w:hAnsi="Times New Roman"/>
        </w:rPr>
        <w:t xml:space="preserve">in </w:t>
      </w:r>
      <w:r w:rsidRPr="008F0407">
        <w:rPr>
          <w:rFonts w:ascii="Times New Roman" w:hAnsi="Times New Roman"/>
          <w:i/>
          <w:iCs/>
        </w:rPr>
        <w:t xml:space="preserve">Hollis </w:t>
      </w:r>
      <w:r w:rsidRPr="008F0407">
        <w:rPr>
          <w:rFonts w:ascii="Times New Roman" w:hAnsi="Times New Roman"/>
        </w:rPr>
        <w:t xml:space="preserve">in relation to that issue. The occasion to express a view on that </w:t>
      </w:r>
      <w:r w:rsidR="00766156" w:rsidRPr="008F0407">
        <w:rPr>
          <w:rFonts w:ascii="Times New Roman" w:hAnsi="Times New Roman"/>
        </w:rPr>
        <w:t xml:space="preserve">matter </w:t>
      </w:r>
      <w:r w:rsidRPr="008F0407">
        <w:rPr>
          <w:rFonts w:ascii="Times New Roman" w:hAnsi="Times New Roman"/>
        </w:rPr>
        <w:t xml:space="preserve">has now arrived: the point was squarely raised and fully argued. There is no reason in principle why the approach taken in </w:t>
      </w:r>
      <w:proofErr w:type="spellStart"/>
      <w:r w:rsidRPr="008F0407">
        <w:rPr>
          <w:rFonts w:ascii="Times New Roman" w:hAnsi="Times New Roman"/>
          <w:i/>
          <w:iCs/>
        </w:rPr>
        <w:t>Rossato</w:t>
      </w:r>
      <w:proofErr w:type="spellEnd"/>
      <w:r w:rsidRPr="008F0407">
        <w:rPr>
          <w:rFonts w:ascii="Times New Roman" w:hAnsi="Times New Roman"/>
          <w:i/>
          <w:iCs/>
        </w:rPr>
        <w:t xml:space="preserve"> </w:t>
      </w:r>
      <w:r w:rsidRPr="008F0407">
        <w:rPr>
          <w:rFonts w:ascii="Times New Roman" w:hAnsi="Times New Roman"/>
        </w:rPr>
        <w:t xml:space="preserve">should not be applied where the issue is whether the relationship in question is one of employment. </w:t>
      </w:r>
    </w:p>
    <w:p w14:paraId="18685C4E" w14:textId="77777777" w:rsidR="00A940A0" w:rsidRPr="008F0407" w:rsidRDefault="00A940A0" w:rsidP="008F0407">
      <w:pPr>
        <w:pStyle w:val="HeadingL2"/>
        <w:spacing w:after="260" w:line="280" w:lineRule="exact"/>
        <w:ind w:right="0"/>
        <w:jc w:val="both"/>
        <w:rPr>
          <w:rFonts w:ascii="Times New Roman" w:hAnsi="Times New Roman"/>
        </w:rPr>
      </w:pPr>
      <w:r w:rsidRPr="008F0407">
        <w:rPr>
          <w:rFonts w:ascii="Times New Roman" w:hAnsi="Times New Roman"/>
        </w:rPr>
        <w:t>The parties' description of their relationship</w:t>
      </w:r>
    </w:p>
    <w:p w14:paraId="76A9CD43" w14:textId="265D4F80" w:rsidR="00A940A0" w:rsidRPr="008F0407" w:rsidRDefault="00A940A0"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BC582F" w:rsidRPr="008F0407">
        <w:rPr>
          <w:rFonts w:ascii="Times New Roman" w:hAnsi="Times New Roman"/>
        </w:rPr>
        <w:t>T</w:t>
      </w:r>
      <w:r w:rsidR="00395FC9" w:rsidRPr="008F0407">
        <w:rPr>
          <w:rFonts w:ascii="Times New Roman" w:hAnsi="Times New Roman"/>
        </w:rPr>
        <w:t xml:space="preserve">o say that </w:t>
      </w:r>
      <w:r w:rsidRPr="008F0407">
        <w:rPr>
          <w:rFonts w:ascii="Times New Roman" w:hAnsi="Times New Roman"/>
        </w:rPr>
        <w:t xml:space="preserve">the legal character of a relationship between persons is </w:t>
      </w:r>
      <w:r w:rsidR="00FF6775" w:rsidRPr="008F0407">
        <w:rPr>
          <w:rFonts w:ascii="Times New Roman" w:hAnsi="Times New Roman"/>
        </w:rPr>
        <w:t xml:space="preserve">to be determined </w:t>
      </w:r>
      <w:r w:rsidRPr="008F0407">
        <w:rPr>
          <w:rFonts w:ascii="Times New Roman" w:hAnsi="Times New Roman"/>
        </w:rPr>
        <w:t xml:space="preserve">by the rights and obligations which </w:t>
      </w:r>
      <w:r w:rsidR="00FF6775" w:rsidRPr="008F0407">
        <w:rPr>
          <w:rFonts w:ascii="Times New Roman" w:hAnsi="Times New Roman"/>
        </w:rPr>
        <w:t>are established by the parties' written contract</w:t>
      </w:r>
      <w:r w:rsidR="00395FC9" w:rsidRPr="008F0407">
        <w:rPr>
          <w:rFonts w:ascii="Times New Roman" w:hAnsi="Times New Roman"/>
        </w:rPr>
        <w:t xml:space="preserve"> is </w:t>
      </w:r>
      <w:r w:rsidR="00103708" w:rsidRPr="008F0407">
        <w:rPr>
          <w:rFonts w:ascii="Times New Roman" w:hAnsi="Times New Roman"/>
        </w:rPr>
        <w:t xml:space="preserve">distinctly </w:t>
      </w:r>
      <w:r w:rsidR="006A1DD3" w:rsidRPr="008F0407">
        <w:rPr>
          <w:rFonts w:ascii="Times New Roman" w:hAnsi="Times New Roman"/>
        </w:rPr>
        <w:t xml:space="preserve">not to say that </w:t>
      </w:r>
      <w:r w:rsidR="00395FC9" w:rsidRPr="008F0407">
        <w:rPr>
          <w:rFonts w:ascii="Times New Roman" w:hAnsi="Times New Roman"/>
        </w:rPr>
        <w:t xml:space="preserve">the "label" which </w:t>
      </w:r>
      <w:r w:rsidR="00B6799A" w:rsidRPr="008F0407">
        <w:rPr>
          <w:rFonts w:ascii="Times New Roman" w:hAnsi="Times New Roman"/>
        </w:rPr>
        <w:t>the parties</w:t>
      </w:r>
      <w:r w:rsidR="00395FC9" w:rsidRPr="008F0407">
        <w:rPr>
          <w:rFonts w:ascii="Times New Roman" w:hAnsi="Times New Roman"/>
        </w:rPr>
        <w:t xml:space="preserve"> may </w:t>
      </w:r>
      <w:r w:rsidR="006A1DD3" w:rsidRPr="008F0407">
        <w:rPr>
          <w:rFonts w:ascii="Times New Roman" w:hAnsi="Times New Roman"/>
        </w:rPr>
        <w:t xml:space="preserve">have chosen to describe </w:t>
      </w:r>
      <w:r w:rsidR="00395FC9" w:rsidRPr="008F0407">
        <w:rPr>
          <w:rFonts w:ascii="Times New Roman" w:hAnsi="Times New Roman"/>
        </w:rPr>
        <w:t>their relationship</w:t>
      </w:r>
      <w:r w:rsidR="00B6799A" w:rsidRPr="008F0407">
        <w:rPr>
          <w:rFonts w:ascii="Times New Roman" w:hAnsi="Times New Roman"/>
        </w:rPr>
        <w:t xml:space="preserve"> </w:t>
      </w:r>
      <w:r w:rsidR="006A1DD3" w:rsidRPr="008F0407">
        <w:rPr>
          <w:rFonts w:ascii="Times New Roman" w:hAnsi="Times New Roman"/>
        </w:rPr>
        <w:t>is</w:t>
      </w:r>
      <w:r w:rsidR="00B6799A" w:rsidRPr="008F0407">
        <w:rPr>
          <w:rFonts w:ascii="Times New Roman" w:hAnsi="Times New Roman"/>
        </w:rPr>
        <w:t xml:space="preserve"> </w:t>
      </w:r>
      <w:r w:rsidR="0067210B" w:rsidRPr="008F0407">
        <w:rPr>
          <w:rFonts w:ascii="Times New Roman" w:hAnsi="Times New Roman"/>
        </w:rPr>
        <w:t>determinative</w:t>
      </w:r>
      <w:r w:rsidR="00155A9E" w:rsidRPr="008F0407">
        <w:rPr>
          <w:rFonts w:ascii="Times New Roman" w:hAnsi="Times New Roman"/>
        </w:rPr>
        <w:t xml:space="preserve"> of, or even relevant to, </w:t>
      </w:r>
      <w:r w:rsidR="00FF6775" w:rsidRPr="008F0407">
        <w:rPr>
          <w:rFonts w:ascii="Times New Roman" w:hAnsi="Times New Roman"/>
        </w:rPr>
        <w:t xml:space="preserve">that </w:t>
      </w:r>
      <w:r w:rsidR="00155A9E" w:rsidRPr="008F0407">
        <w:rPr>
          <w:rFonts w:ascii="Times New Roman" w:hAnsi="Times New Roman"/>
        </w:rPr>
        <w:t>characterisation</w:t>
      </w:r>
      <w:r w:rsidRPr="008F0407">
        <w:rPr>
          <w:rFonts w:ascii="Times New Roman" w:hAnsi="Times New Roman"/>
        </w:rPr>
        <w:t xml:space="preserve">. </w:t>
      </w:r>
    </w:p>
    <w:p w14:paraId="4D3F9FA3" w14:textId="75C84B49" w:rsidR="00A940A0" w:rsidRPr="008F0407" w:rsidRDefault="00A940A0" w:rsidP="008F0407">
      <w:pPr>
        <w:pStyle w:val="FixListStyle"/>
        <w:spacing w:after="260" w:line="280" w:lineRule="exact"/>
        <w:ind w:right="0"/>
        <w:jc w:val="both"/>
        <w:rPr>
          <w:rFonts w:ascii="Times New Roman" w:hAnsi="Times New Roman"/>
        </w:rPr>
      </w:pPr>
      <w:r w:rsidRPr="008F0407">
        <w:rPr>
          <w:rFonts w:ascii="Times New Roman" w:hAnsi="Times New Roman"/>
        </w:rPr>
        <w:tab/>
        <w:t xml:space="preserve">Subject to statute, under the common law the parties are free to agree upon the rights and obligations by which they are to be bound. But the determination of </w:t>
      </w:r>
      <w:r w:rsidRPr="008F0407">
        <w:rPr>
          <w:rFonts w:ascii="Times New Roman" w:hAnsi="Times New Roman"/>
        </w:rPr>
        <w:lastRenderedPageBreak/>
        <w:t xml:space="preserve">the character of the </w:t>
      </w:r>
      <w:r w:rsidR="00E329A2" w:rsidRPr="008F0407">
        <w:rPr>
          <w:rFonts w:ascii="Times New Roman" w:hAnsi="Times New Roman"/>
        </w:rPr>
        <w:t xml:space="preserve">relationship constituted by those </w:t>
      </w:r>
      <w:r w:rsidRPr="008F0407">
        <w:rPr>
          <w:rFonts w:ascii="Times New Roman" w:hAnsi="Times New Roman"/>
        </w:rPr>
        <w:t>rights and obligations is a matter for the court</w:t>
      </w:r>
      <w:r w:rsidRPr="008F0407">
        <w:rPr>
          <w:rStyle w:val="FootnoteReference"/>
          <w:rFonts w:ascii="Times New Roman" w:hAnsi="Times New Roman"/>
          <w:sz w:val="24"/>
        </w:rPr>
        <w:footnoteReference w:id="120"/>
      </w:r>
      <w:r w:rsidRPr="008F0407">
        <w:rPr>
          <w:rFonts w:ascii="Times New Roman" w:hAnsi="Times New Roman"/>
        </w:rPr>
        <w:t xml:space="preserve">. </w:t>
      </w:r>
    </w:p>
    <w:p w14:paraId="2D5D7110" w14:textId="4D45332A" w:rsidR="007C0B71" w:rsidRPr="008F0407" w:rsidRDefault="00A940A0" w:rsidP="008F0407">
      <w:pPr>
        <w:pStyle w:val="FixListStyle"/>
        <w:spacing w:after="260" w:line="280" w:lineRule="exact"/>
        <w:ind w:right="0"/>
        <w:jc w:val="both"/>
        <w:rPr>
          <w:rFonts w:ascii="Times New Roman" w:hAnsi="Times New Roman"/>
        </w:rPr>
      </w:pPr>
      <w:r w:rsidRPr="008F0407">
        <w:rPr>
          <w:rFonts w:ascii="Times New Roman" w:hAnsi="Times New Roman"/>
        </w:rPr>
        <w:tab/>
        <w:t xml:space="preserve">In </w:t>
      </w:r>
      <w:r w:rsidRPr="008F0407">
        <w:rPr>
          <w:rFonts w:ascii="Times New Roman" w:hAnsi="Times New Roman"/>
          <w:i/>
          <w:iCs/>
        </w:rPr>
        <w:t>Chaplin</w:t>
      </w:r>
      <w:r w:rsidRPr="008F0407">
        <w:rPr>
          <w:rStyle w:val="FootnoteReference"/>
          <w:rFonts w:ascii="Times New Roman" w:hAnsi="Times New Roman"/>
          <w:iCs/>
          <w:sz w:val="24"/>
        </w:rPr>
        <w:footnoteReference w:id="121"/>
      </w:r>
      <w:r w:rsidRPr="008F0407">
        <w:rPr>
          <w:rFonts w:ascii="Times New Roman" w:hAnsi="Times New Roman"/>
        </w:rPr>
        <w:t xml:space="preserve">, Lord Fraser of </w:t>
      </w:r>
      <w:proofErr w:type="spellStart"/>
      <w:r w:rsidRPr="008F0407">
        <w:rPr>
          <w:rFonts w:ascii="Times New Roman" w:hAnsi="Times New Roman"/>
        </w:rPr>
        <w:t>Tullybelton</w:t>
      </w:r>
      <w:proofErr w:type="spellEnd"/>
      <w:r w:rsidRPr="008F0407">
        <w:rPr>
          <w:rFonts w:ascii="Times New Roman" w:hAnsi="Times New Roman"/>
        </w:rPr>
        <w:t xml:space="preserve"> said that a provision of a contract</w:t>
      </w:r>
      <w:r w:rsidR="00837C09" w:rsidRPr="008F0407">
        <w:rPr>
          <w:rFonts w:ascii="Times New Roman" w:hAnsi="Times New Roman"/>
        </w:rPr>
        <w:t>,</w:t>
      </w:r>
      <w:r w:rsidRPr="008F0407">
        <w:rPr>
          <w:rFonts w:ascii="Times New Roman" w:hAnsi="Times New Roman"/>
        </w:rPr>
        <w:t xml:space="preserve"> whereby the parties sought to define their relationship </w:t>
      </w:r>
      <w:r w:rsidR="00837C09" w:rsidRPr="008F0407">
        <w:rPr>
          <w:rFonts w:ascii="Times New Roman" w:hAnsi="Times New Roman"/>
        </w:rPr>
        <w:t xml:space="preserve">as one of "Principal and Agent and not that of Master and Servant", </w:t>
      </w:r>
      <w:r w:rsidRPr="008F0407">
        <w:rPr>
          <w:rFonts w:ascii="Times New Roman" w:hAnsi="Times New Roman"/>
        </w:rPr>
        <w:t>"cannot receive effect according to its terms if they contradict the effect of the agreement as a whole". It was accepted, however, that ambiguity in the character of a relationship might be removed by a provision whereby the parties agreed on terms descriptive of their status or relationship</w:t>
      </w:r>
      <w:r w:rsidR="006520E8" w:rsidRPr="008F0407">
        <w:rPr>
          <w:rStyle w:val="FootnoteReference"/>
          <w:rFonts w:ascii="Times New Roman" w:hAnsi="Times New Roman"/>
          <w:sz w:val="24"/>
        </w:rPr>
        <w:footnoteReference w:id="122"/>
      </w:r>
      <w:r w:rsidRPr="008F0407">
        <w:rPr>
          <w:rFonts w:ascii="Times New Roman" w:hAnsi="Times New Roman"/>
        </w:rPr>
        <w:t xml:space="preserve">. </w:t>
      </w:r>
    </w:p>
    <w:p w14:paraId="1CDC1E83" w14:textId="25E2EBF8" w:rsidR="00A940A0" w:rsidRPr="008F0407" w:rsidRDefault="007C0B71"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A940A0" w:rsidRPr="008F0407">
        <w:rPr>
          <w:rFonts w:ascii="Times New Roman" w:hAnsi="Times New Roman"/>
        </w:rPr>
        <w:t xml:space="preserve">As a matter of principle, </w:t>
      </w:r>
      <w:r w:rsidR="00345D6A" w:rsidRPr="008F0407">
        <w:rPr>
          <w:rFonts w:ascii="Times New Roman" w:hAnsi="Times New Roman"/>
        </w:rPr>
        <w:t xml:space="preserve">however, </w:t>
      </w:r>
      <w:r w:rsidR="00A940A0" w:rsidRPr="008F0407">
        <w:rPr>
          <w:rFonts w:ascii="Times New Roman" w:hAnsi="Times New Roman"/>
        </w:rPr>
        <w:t xml:space="preserve">it is difficult to see how the expression by the parties of their opinion as to the character of their </w:t>
      </w:r>
      <w:r w:rsidR="00345D6A" w:rsidRPr="008F0407">
        <w:rPr>
          <w:rFonts w:ascii="Times New Roman" w:hAnsi="Times New Roman"/>
        </w:rPr>
        <w:t>relationship</w:t>
      </w:r>
      <w:r w:rsidR="00A940A0" w:rsidRPr="008F0407">
        <w:rPr>
          <w:rFonts w:ascii="Times New Roman" w:hAnsi="Times New Roman"/>
        </w:rPr>
        <w:t xml:space="preserve"> can assist the court</w:t>
      </w:r>
      <w:r w:rsidR="00345D6A" w:rsidRPr="008F0407">
        <w:rPr>
          <w:rFonts w:ascii="Times New Roman" w:hAnsi="Times New Roman"/>
        </w:rPr>
        <w:t>, whose task it is to</w:t>
      </w:r>
      <w:r w:rsidR="00A940A0" w:rsidRPr="008F0407">
        <w:rPr>
          <w:rFonts w:ascii="Times New Roman" w:hAnsi="Times New Roman"/>
        </w:rPr>
        <w:t xml:space="preserve"> characteris</w:t>
      </w:r>
      <w:r w:rsidR="00345D6A" w:rsidRPr="008F0407">
        <w:rPr>
          <w:rFonts w:ascii="Times New Roman" w:hAnsi="Times New Roman"/>
        </w:rPr>
        <w:t>e</w:t>
      </w:r>
      <w:r w:rsidR="00A940A0" w:rsidRPr="008F0407">
        <w:rPr>
          <w:rFonts w:ascii="Times New Roman" w:hAnsi="Times New Roman"/>
        </w:rPr>
        <w:t xml:space="preserve"> their relationship by reference to </w:t>
      </w:r>
      <w:r w:rsidR="004225B6" w:rsidRPr="008F0407">
        <w:rPr>
          <w:rFonts w:ascii="Times New Roman" w:hAnsi="Times New Roman"/>
        </w:rPr>
        <w:t>their</w:t>
      </w:r>
      <w:r w:rsidR="00A940A0" w:rsidRPr="008F0407">
        <w:rPr>
          <w:rFonts w:ascii="Times New Roman" w:hAnsi="Times New Roman"/>
        </w:rPr>
        <w:t xml:space="preserve"> rights and duties. </w:t>
      </w:r>
      <w:proofErr w:type="gramStart"/>
      <w:r w:rsidR="00A940A0" w:rsidRPr="008F0407">
        <w:rPr>
          <w:rFonts w:ascii="Times New Roman" w:hAnsi="Times New Roman"/>
        </w:rPr>
        <w:t>Generally speaking</w:t>
      </w:r>
      <w:r w:rsidR="00345D6A" w:rsidRPr="008F0407">
        <w:rPr>
          <w:rFonts w:ascii="Times New Roman" w:hAnsi="Times New Roman"/>
        </w:rPr>
        <w:t>,</w:t>
      </w:r>
      <w:r w:rsidR="00A940A0" w:rsidRPr="008F0407">
        <w:rPr>
          <w:rFonts w:ascii="Times New Roman" w:hAnsi="Times New Roman"/>
        </w:rPr>
        <w:t xml:space="preserve"> the</w:t>
      </w:r>
      <w:proofErr w:type="gramEnd"/>
      <w:r w:rsidR="00A940A0" w:rsidRPr="008F0407">
        <w:rPr>
          <w:rFonts w:ascii="Times New Roman" w:hAnsi="Times New Roman"/>
        </w:rPr>
        <w:t xml:space="preserve"> opinion of the parties on a matter of law is irrelevant. Even if it be accepted that there may be cases where descriptive language chosen by the parties can shed light on the objective understanding of the operative provisions of their contract, the cases where the parties' description of their status or relationship will be helpful to the </w:t>
      </w:r>
      <w:r w:rsidRPr="008F0407">
        <w:rPr>
          <w:rFonts w:ascii="Times New Roman" w:hAnsi="Times New Roman"/>
        </w:rPr>
        <w:t>c</w:t>
      </w:r>
      <w:r w:rsidR="00A940A0" w:rsidRPr="008F0407">
        <w:rPr>
          <w:rFonts w:ascii="Times New Roman" w:hAnsi="Times New Roman"/>
        </w:rPr>
        <w:t xml:space="preserve">ourt in ascertaining their rights and duties will be rare. </w:t>
      </w:r>
    </w:p>
    <w:p w14:paraId="438B4974" w14:textId="64637906" w:rsidR="00A940A0" w:rsidRPr="008F0407" w:rsidRDefault="00A940A0" w:rsidP="008F0407">
      <w:pPr>
        <w:pStyle w:val="FixListStyle"/>
        <w:spacing w:after="260" w:line="280" w:lineRule="exact"/>
        <w:ind w:right="0"/>
        <w:jc w:val="both"/>
        <w:rPr>
          <w:rFonts w:ascii="Times New Roman" w:hAnsi="Times New Roman"/>
        </w:rPr>
      </w:pPr>
      <w:r w:rsidRPr="008F0407">
        <w:rPr>
          <w:rFonts w:ascii="Times New Roman" w:hAnsi="Times New Roman"/>
        </w:rPr>
        <w:tab/>
        <w:t xml:space="preserve">Having made these general observations, one may turn </w:t>
      </w:r>
      <w:r w:rsidR="00EF7393" w:rsidRPr="008F0407">
        <w:rPr>
          <w:rFonts w:ascii="Times New Roman" w:hAnsi="Times New Roman"/>
        </w:rPr>
        <w:t xml:space="preserve">now </w:t>
      </w:r>
      <w:r w:rsidRPr="008F0407">
        <w:rPr>
          <w:rFonts w:ascii="Times New Roman" w:hAnsi="Times New Roman"/>
        </w:rPr>
        <w:t xml:space="preserve">to consider the relationship between the </w:t>
      </w:r>
      <w:r w:rsidR="008719AE" w:rsidRPr="008F0407">
        <w:rPr>
          <w:rFonts w:ascii="Times New Roman" w:hAnsi="Times New Roman"/>
        </w:rPr>
        <w:t xml:space="preserve">present </w:t>
      </w:r>
      <w:r w:rsidRPr="008F0407">
        <w:rPr>
          <w:rFonts w:ascii="Times New Roman" w:hAnsi="Times New Roman"/>
        </w:rPr>
        <w:t>parties.</w:t>
      </w:r>
    </w:p>
    <w:p w14:paraId="181F03FF" w14:textId="27C98CE3" w:rsidR="00B45DC4" w:rsidRPr="008F0407" w:rsidRDefault="00215FD7" w:rsidP="008F0407">
      <w:pPr>
        <w:pStyle w:val="HeadingL1"/>
        <w:spacing w:after="260" w:line="280" w:lineRule="exact"/>
        <w:ind w:right="0"/>
        <w:jc w:val="both"/>
        <w:rPr>
          <w:rFonts w:ascii="Times New Roman" w:hAnsi="Times New Roman"/>
        </w:rPr>
      </w:pPr>
      <w:r w:rsidRPr="008F0407">
        <w:rPr>
          <w:rFonts w:ascii="Times New Roman" w:hAnsi="Times New Roman"/>
        </w:rPr>
        <w:t xml:space="preserve">Mr McCourt served </w:t>
      </w:r>
      <w:r w:rsidR="00FF448C" w:rsidRPr="008F0407">
        <w:rPr>
          <w:rFonts w:ascii="Times New Roman" w:hAnsi="Times New Roman"/>
        </w:rPr>
        <w:t xml:space="preserve">in </w:t>
      </w:r>
      <w:r w:rsidR="00B4135A" w:rsidRPr="008F0407">
        <w:rPr>
          <w:rFonts w:ascii="Times New Roman" w:hAnsi="Times New Roman"/>
        </w:rPr>
        <w:t>the business of Construct</w:t>
      </w:r>
    </w:p>
    <w:p w14:paraId="25C0789F" w14:textId="31E9F48D" w:rsidR="00B45DC4" w:rsidRPr="008F0407" w:rsidRDefault="00B4135A" w:rsidP="008F0407">
      <w:pPr>
        <w:pStyle w:val="FixListStyle"/>
        <w:spacing w:after="260" w:line="280" w:lineRule="exact"/>
        <w:ind w:right="0"/>
        <w:jc w:val="both"/>
        <w:rPr>
          <w:rFonts w:ascii="Times New Roman" w:hAnsi="Times New Roman"/>
        </w:rPr>
      </w:pPr>
      <w:r w:rsidRPr="008F0407">
        <w:rPr>
          <w:rFonts w:ascii="Times New Roman" w:hAnsi="Times New Roman"/>
        </w:rPr>
        <w:tab/>
        <w:t xml:space="preserve">In this Court, Construct </w:t>
      </w:r>
      <w:r w:rsidR="001E0BEE" w:rsidRPr="008F0407">
        <w:rPr>
          <w:rFonts w:ascii="Times New Roman" w:hAnsi="Times New Roman"/>
        </w:rPr>
        <w:t xml:space="preserve">was content to </w:t>
      </w:r>
      <w:r w:rsidR="00FF448C" w:rsidRPr="008F0407">
        <w:rPr>
          <w:rFonts w:ascii="Times New Roman" w:hAnsi="Times New Roman"/>
        </w:rPr>
        <w:t>disavow</w:t>
      </w:r>
      <w:r w:rsidR="00EF7393" w:rsidRPr="008F0407">
        <w:rPr>
          <w:rFonts w:ascii="Times New Roman" w:hAnsi="Times New Roman"/>
        </w:rPr>
        <w:t xml:space="preserve"> </w:t>
      </w:r>
      <w:r w:rsidR="000F7D45" w:rsidRPr="008F0407">
        <w:rPr>
          <w:rFonts w:ascii="Times New Roman" w:hAnsi="Times New Roman"/>
        </w:rPr>
        <w:t>the notion that</w:t>
      </w:r>
      <w:r w:rsidR="00877692" w:rsidRPr="008F0407">
        <w:rPr>
          <w:rFonts w:ascii="Times New Roman" w:hAnsi="Times New Roman"/>
        </w:rPr>
        <w:t xml:space="preserve"> Mr McCourt </w:t>
      </w:r>
      <w:r w:rsidR="000F7D45" w:rsidRPr="008F0407">
        <w:rPr>
          <w:rFonts w:ascii="Times New Roman" w:hAnsi="Times New Roman"/>
        </w:rPr>
        <w:t xml:space="preserve">was carrying on his own </w:t>
      </w:r>
      <w:r w:rsidR="00877692" w:rsidRPr="008F0407">
        <w:rPr>
          <w:rFonts w:ascii="Times New Roman" w:hAnsi="Times New Roman"/>
        </w:rPr>
        <w:t>business</w:t>
      </w:r>
      <w:r w:rsidR="00B35CAB" w:rsidRPr="008F0407">
        <w:rPr>
          <w:rFonts w:ascii="Times New Roman" w:hAnsi="Times New Roman"/>
        </w:rPr>
        <w:t>.</w:t>
      </w:r>
      <w:r w:rsidR="00531DFD" w:rsidRPr="008F0407">
        <w:rPr>
          <w:rFonts w:ascii="Times New Roman" w:hAnsi="Times New Roman"/>
        </w:rPr>
        <w:t xml:space="preserve"> </w:t>
      </w:r>
      <w:r w:rsidR="000F7D45" w:rsidRPr="008F0407">
        <w:rPr>
          <w:rFonts w:ascii="Times New Roman" w:hAnsi="Times New Roman"/>
        </w:rPr>
        <w:t>T</w:t>
      </w:r>
      <w:r w:rsidR="00731B1D" w:rsidRPr="008F0407">
        <w:rPr>
          <w:rFonts w:ascii="Times New Roman" w:hAnsi="Times New Roman"/>
        </w:rPr>
        <w:t>hat</w:t>
      </w:r>
      <w:r w:rsidR="00C9705E" w:rsidRPr="008F0407">
        <w:rPr>
          <w:rFonts w:ascii="Times New Roman" w:hAnsi="Times New Roman"/>
        </w:rPr>
        <w:t xml:space="preserve"> disavowal</w:t>
      </w:r>
      <w:r w:rsidR="00731B1D" w:rsidRPr="008F0407">
        <w:rPr>
          <w:rFonts w:ascii="Times New Roman" w:hAnsi="Times New Roman"/>
        </w:rPr>
        <w:t xml:space="preserve"> </w:t>
      </w:r>
      <w:r w:rsidR="00494B8B" w:rsidRPr="008F0407">
        <w:rPr>
          <w:rFonts w:ascii="Times New Roman" w:hAnsi="Times New Roman"/>
        </w:rPr>
        <w:t xml:space="preserve">might be said to </w:t>
      </w:r>
      <w:r w:rsidR="006E59BD" w:rsidRPr="008F0407">
        <w:rPr>
          <w:rFonts w:ascii="Times New Roman" w:hAnsi="Times New Roman"/>
        </w:rPr>
        <w:t xml:space="preserve">be no more than </w:t>
      </w:r>
      <w:r w:rsidR="00877692" w:rsidRPr="008F0407">
        <w:rPr>
          <w:rFonts w:ascii="Times New Roman" w:hAnsi="Times New Roman"/>
        </w:rPr>
        <w:t xml:space="preserve">recognition that </w:t>
      </w:r>
      <w:r w:rsidR="00E91D34" w:rsidRPr="008F0407">
        <w:rPr>
          <w:rFonts w:ascii="Times New Roman" w:hAnsi="Times New Roman"/>
        </w:rPr>
        <w:t>a</w:t>
      </w:r>
      <w:r w:rsidR="00C9705E" w:rsidRPr="008F0407">
        <w:rPr>
          <w:rFonts w:ascii="Times New Roman" w:hAnsi="Times New Roman"/>
        </w:rPr>
        <w:t>ny</w:t>
      </w:r>
      <w:r w:rsidR="00E91D34" w:rsidRPr="008F0407">
        <w:rPr>
          <w:rFonts w:ascii="Times New Roman" w:hAnsi="Times New Roman"/>
        </w:rPr>
        <w:t xml:space="preserve"> suggestion </w:t>
      </w:r>
      <w:r w:rsidR="00E5144B" w:rsidRPr="008F0407">
        <w:rPr>
          <w:rFonts w:ascii="Times New Roman" w:hAnsi="Times New Roman"/>
        </w:rPr>
        <w:t>to that effect</w:t>
      </w:r>
      <w:r w:rsidR="00877692" w:rsidRPr="008F0407">
        <w:rPr>
          <w:rFonts w:ascii="Times New Roman" w:hAnsi="Times New Roman"/>
        </w:rPr>
        <w:t xml:space="preserve"> </w:t>
      </w:r>
      <w:r w:rsidR="00EF7393" w:rsidRPr="008F0407">
        <w:rPr>
          <w:rFonts w:ascii="Times New Roman" w:hAnsi="Times New Roman"/>
        </w:rPr>
        <w:t xml:space="preserve">was </w:t>
      </w:r>
      <w:r w:rsidR="00877692" w:rsidRPr="008F0407">
        <w:rPr>
          <w:rFonts w:ascii="Times New Roman" w:hAnsi="Times New Roman"/>
        </w:rPr>
        <w:t>unsustainable.</w:t>
      </w:r>
      <w:r w:rsidR="004F36F8" w:rsidRPr="008F0407">
        <w:rPr>
          <w:rFonts w:ascii="Times New Roman" w:hAnsi="Times New Roman"/>
        </w:rPr>
        <w:t xml:space="preserve"> </w:t>
      </w:r>
      <w:r w:rsidR="00E5144B" w:rsidRPr="008F0407">
        <w:rPr>
          <w:rFonts w:ascii="Times New Roman" w:hAnsi="Times New Roman"/>
        </w:rPr>
        <w:t>As b</w:t>
      </w:r>
      <w:r w:rsidR="00E84662" w:rsidRPr="008F0407">
        <w:rPr>
          <w:rFonts w:ascii="Times New Roman" w:hAnsi="Times New Roman"/>
        </w:rPr>
        <w:t xml:space="preserve">oth </w:t>
      </w:r>
      <w:r w:rsidR="00B45DC4" w:rsidRPr="008F0407">
        <w:rPr>
          <w:rFonts w:ascii="Times New Roman" w:hAnsi="Times New Roman"/>
        </w:rPr>
        <w:t xml:space="preserve">the </w:t>
      </w:r>
      <w:r w:rsidR="00B45DC4" w:rsidRPr="008F0407">
        <w:rPr>
          <w:rFonts w:ascii="Times New Roman" w:hAnsi="Times New Roman"/>
        </w:rPr>
        <w:lastRenderedPageBreak/>
        <w:t>primary judge</w:t>
      </w:r>
      <w:r w:rsidR="00B45DC4" w:rsidRPr="008F0407">
        <w:rPr>
          <w:rStyle w:val="FootnoteReference"/>
          <w:rFonts w:ascii="Times New Roman" w:hAnsi="Times New Roman"/>
          <w:sz w:val="24"/>
        </w:rPr>
        <w:footnoteReference w:id="123"/>
      </w:r>
      <w:r w:rsidR="00B45DC4" w:rsidRPr="008F0407">
        <w:rPr>
          <w:rFonts w:ascii="Times New Roman" w:hAnsi="Times New Roman"/>
        </w:rPr>
        <w:t xml:space="preserve"> and the Full Court</w:t>
      </w:r>
      <w:r w:rsidR="00B45DC4" w:rsidRPr="008F0407">
        <w:rPr>
          <w:rStyle w:val="FootnoteReference"/>
          <w:rFonts w:ascii="Times New Roman" w:hAnsi="Times New Roman"/>
          <w:sz w:val="24"/>
        </w:rPr>
        <w:footnoteReference w:id="124"/>
      </w:r>
      <w:r w:rsidR="00B45DC4" w:rsidRPr="008F0407">
        <w:rPr>
          <w:rFonts w:ascii="Times New Roman" w:hAnsi="Times New Roman"/>
        </w:rPr>
        <w:t xml:space="preserve"> appreciated, Mr McCourt could not sensibly be said to </w:t>
      </w:r>
      <w:r w:rsidR="00D21D51" w:rsidRPr="008F0407">
        <w:rPr>
          <w:rFonts w:ascii="Times New Roman" w:hAnsi="Times New Roman"/>
        </w:rPr>
        <w:t xml:space="preserve">have </w:t>
      </w:r>
      <w:r w:rsidR="00B45DC4" w:rsidRPr="008F0407">
        <w:rPr>
          <w:rFonts w:ascii="Times New Roman" w:hAnsi="Times New Roman"/>
        </w:rPr>
        <w:t>be</w:t>
      </w:r>
      <w:r w:rsidR="00D21D51" w:rsidRPr="008F0407">
        <w:rPr>
          <w:rFonts w:ascii="Times New Roman" w:hAnsi="Times New Roman"/>
        </w:rPr>
        <w:t>en</w:t>
      </w:r>
      <w:r w:rsidR="00B45DC4" w:rsidRPr="008F0407">
        <w:rPr>
          <w:rFonts w:ascii="Times New Roman" w:hAnsi="Times New Roman"/>
        </w:rPr>
        <w:t xml:space="preserve"> carrying on business on his own account</w:t>
      </w:r>
      <w:r w:rsidR="00753C81" w:rsidRPr="008F0407">
        <w:rPr>
          <w:rFonts w:ascii="Times New Roman" w:hAnsi="Times New Roman"/>
        </w:rPr>
        <w:t xml:space="preserve">. That was plainly correct, </w:t>
      </w:r>
      <w:r w:rsidR="00B45DC4" w:rsidRPr="008F0407">
        <w:rPr>
          <w:rFonts w:ascii="Times New Roman" w:hAnsi="Times New Roman"/>
        </w:rPr>
        <w:t xml:space="preserve">notwithstanding </w:t>
      </w:r>
      <w:r w:rsidR="00BF50B9" w:rsidRPr="008F0407">
        <w:rPr>
          <w:rFonts w:ascii="Times New Roman" w:hAnsi="Times New Roman"/>
        </w:rPr>
        <w:t xml:space="preserve">the </w:t>
      </w:r>
      <w:r w:rsidR="00B45DC4" w:rsidRPr="008F0407">
        <w:rPr>
          <w:rFonts w:ascii="Times New Roman" w:hAnsi="Times New Roman"/>
        </w:rPr>
        <w:t xml:space="preserve">language </w:t>
      </w:r>
      <w:r w:rsidR="00EF7393" w:rsidRPr="008F0407">
        <w:rPr>
          <w:rFonts w:ascii="Times New Roman" w:hAnsi="Times New Roman"/>
        </w:rPr>
        <w:t xml:space="preserve">used </w:t>
      </w:r>
      <w:r w:rsidR="00B45DC4" w:rsidRPr="008F0407">
        <w:rPr>
          <w:rFonts w:ascii="Times New Roman" w:hAnsi="Times New Roman"/>
        </w:rPr>
        <w:t>in the ASA</w:t>
      </w:r>
      <w:r w:rsidR="00753C81" w:rsidRPr="008F0407">
        <w:rPr>
          <w:rFonts w:ascii="Times New Roman" w:hAnsi="Times New Roman"/>
        </w:rPr>
        <w:t xml:space="preserve"> </w:t>
      </w:r>
      <w:r w:rsidR="00EF7393" w:rsidRPr="008F0407">
        <w:rPr>
          <w:rFonts w:ascii="Times New Roman" w:hAnsi="Times New Roman"/>
        </w:rPr>
        <w:t>to describe</w:t>
      </w:r>
      <w:r w:rsidR="00753C81" w:rsidRPr="008F0407">
        <w:rPr>
          <w:rFonts w:ascii="Times New Roman" w:hAnsi="Times New Roman"/>
        </w:rPr>
        <w:t xml:space="preserve"> Mr McCourt's occupation</w:t>
      </w:r>
      <w:r w:rsidR="00B45DC4" w:rsidRPr="008F0407">
        <w:rPr>
          <w:rFonts w:ascii="Times New Roman" w:hAnsi="Times New Roman"/>
        </w:rPr>
        <w:t xml:space="preserve"> which suggested otherwise. </w:t>
      </w:r>
    </w:p>
    <w:p w14:paraId="6B0276C1" w14:textId="793EB7BA" w:rsidR="00752D37" w:rsidRPr="008F0407" w:rsidRDefault="00752D37"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Pr="008F0407">
        <w:rPr>
          <w:rFonts w:ascii="Times New Roman" w:hAnsi="Times New Roman"/>
          <w:i/>
          <w:iCs/>
        </w:rPr>
        <w:t xml:space="preserve">Lehigh Valley Coal Co v </w:t>
      </w:r>
      <w:proofErr w:type="spellStart"/>
      <w:r w:rsidRPr="008F0407">
        <w:rPr>
          <w:rFonts w:ascii="Times New Roman" w:hAnsi="Times New Roman"/>
          <w:i/>
          <w:iCs/>
        </w:rPr>
        <w:t>Yensavage</w:t>
      </w:r>
      <w:proofErr w:type="spellEnd"/>
      <w:r w:rsidRPr="008F0407">
        <w:rPr>
          <w:rStyle w:val="FootnoteReference"/>
          <w:rFonts w:ascii="Times New Roman" w:hAnsi="Times New Roman"/>
          <w:iCs/>
          <w:sz w:val="24"/>
        </w:rPr>
        <w:footnoteReference w:id="125"/>
      </w:r>
      <w:r w:rsidRPr="008F0407">
        <w:rPr>
          <w:rFonts w:ascii="Times New Roman" w:hAnsi="Times New Roman"/>
        </w:rPr>
        <w:t xml:space="preserve"> concerned </w:t>
      </w:r>
      <w:r w:rsidR="00FD44B5" w:rsidRPr="008F0407">
        <w:rPr>
          <w:rFonts w:ascii="Times New Roman" w:hAnsi="Times New Roman"/>
        </w:rPr>
        <w:t xml:space="preserve">the question </w:t>
      </w:r>
      <w:r w:rsidRPr="008F0407">
        <w:rPr>
          <w:rFonts w:ascii="Times New Roman" w:hAnsi="Times New Roman"/>
        </w:rPr>
        <w:t>whether a coal miner</w:t>
      </w:r>
      <w:r w:rsidR="00FD44B5" w:rsidRPr="008F0407">
        <w:rPr>
          <w:rFonts w:ascii="Times New Roman" w:hAnsi="Times New Roman"/>
        </w:rPr>
        <w:t xml:space="preserve"> working on a mine site</w:t>
      </w:r>
      <w:r w:rsidRPr="008F0407">
        <w:rPr>
          <w:rFonts w:ascii="Times New Roman" w:hAnsi="Times New Roman"/>
        </w:rPr>
        <w:t xml:space="preserve"> was the employer of his "helper", who had been injured in an explosion at the mine, </w:t>
      </w:r>
      <w:r w:rsidR="00FD44B5" w:rsidRPr="008F0407">
        <w:rPr>
          <w:rFonts w:ascii="Times New Roman" w:hAnsi="Times New Roman"/>
        </w:rPr>
        <w:t>for the purposes</w:t>
      </w:r>
      <w:r w:rsidRPr="008F0407">
        <w:rPr>
          <w:rFonts w:ascii="Times New Roman" w:hAnsi="Times New Roman"/>
        </w:rPr>
        <w:t xml:space="preserve"> of a statute which imposed an obligation </w:t>
      </w:r>
      <w:r w:rsidR="00FD44B5" w:rsidRPr="008F0407">
        <w:rPr>
          <w:rFonts w:ascii="Times New Roman" w:hAnsi="Times New Roman"/>
        </w:rPr>
        <w:t xml:space="preserve">upon employers </w:t>
      </w:r>
      <w:r w:rsidRPr="008F0407">
        <w:rPr>
          <w:rFonts w:ascii="Times New Roman" w:hAnsi="Times New Roman"/>
        </w:rPr>
        <w:t xml:space="preserve">to provide a safe system of work. The mine owner contended that </w:t>
      </w:r>
      <w:r w:rsidR="00F76FB4" w:rsidRPr="008F0407">
        <w:rPr>
          <w:rFonts w:ascii="Times New Roman" w:hAnsi="Times New Roman"/>
        </w:rPr>
        <w:t xml:space="preserve">neither </w:t>
      </w:r>
      <w:r w:rsidRPr="008F0407">
        <w:rPr>
          <w:rFonts w:ascii="Times New Roman" w:hAnsi="Times New Roman"/>
        </w:rPr>
        <w:t xml:space="preserve">the coal miner </w:t>
      </w:r>
      <w:r w:rsidR="00F76FB4" w:rsidRPr="008F0407">
        <w:rPr>
          <w:rFonts w:ascii="Times New Roman" w:hAnsi="Times New Roman"/>
        </w:rPr>
        <w:t xml:space="preserve">nor </w:t>
      </w:r>
      <w:r w:rsidRPr="008F0407">
        <w:rPr>
          <w:rFonts w:ascii="Times New Roman" w:hAnsi="Times New Roman"/>
        </w:rPr>
        <w:t xml:space="preserve">the injured </w:t>
      </w:r>
      <w:r w:rsidR="00F76FB4" w:rsidRPr="008F0407">
        <w:rPr>
          <w:rFonts w:ascii="Times New Roman" w:hAnsi="Times New Roman"/>
        </w:rPr>
        <w:t>"</w:t>
      </w:r>
      <w:r w:rsidRPr="008F0407">
        <w:rPr>
          <w:rFonts w:ascii="Times New Roman" w:hAnsi="Times New Roman"/>
        </w:rPr>
        <w:t>helper</w:t>
      </w:r>
      <w:r w:rsidR="00F76FB4" w:rsidRPr="008F0407">
        <w:rPr>
          <w:rFonts w:ascii="Times New Roman" w:hAnsi="Times New Roman"/>
        </w:rPr>
        <w:t>"</w:t>
      </w:r>
      <w:r w:rsidRPr="008F0407">
        <w:rPr>
          <w:rFonts w:ascii="Times New Roman" w:hAnsi="Times New Roman"/>
        </w:rPr>
        <w:t xml:space="preserve"> </w:t>
      </w:r>
      <w:r w:rsidR="00F72DAC" w:rsidRPr="008F0407">
        <w:rPr>
          <w:rFonts w:ascii="Times New Roman" w:hAnsi="Times New Roman"/>
        </w:rPr>
        <w:t xml:space="preserve">was </w:t>
      </w:r>
      <w:r w:rsidRPr="008F0407">
        <w:rPr>
          <w:rFonts w:ascii="Times New Roman" w:hAnsi="Times New Roman"/>
        </w:rPr>
        <w:t xml:space="preserve">its employee. </w:t>
      </w:r>
      <w:proofErr w:type="spellStart"/>
      <w:r w:rsidRPr="008F0407">
        <w:rPr>
          <w:rFonts w:ascii="Times New Roman" w:hAnsi="Times New Roman"/>
        </w:rPr>
        <w:t>Coxe</w:t>
      </w:r>
      <w:proofErr w:type="spellEnd"/>
      <w:r w:rsidRPr="008F0407">
        <w:rPr>
          <w:rFonts w:ascii="Times New Roman" w:hAnsi="Times New Roman"/>
        </w:rPr>
        <w:t xml:space="preserve"> and Learned</w:t>
      </w:r>
      <w:r w:rsidR="0042579A" w:rsidRPr="008F0407">
        <w:rPr>
          <w:rFonts w:ascii="Times New Roman" w:hAnsi="Times New Roman"/>
        </w:rPr>
        <w:t> </w:t>
      </w:r>
      <w:r w:rsidRPr="008F0407">
        <w:rPr>
          <w:rFonts w:ascii="Times New Roman" w:hAnsi="Times New Roman"/>
        </w:rPr>
        <w:t xml:space="preserve">Hand JJ </w:t>
      </w:r>
      <w:r w:rsidR="00013BBC" w:rsidRPr="008F0407">
        <w:rPr>
          <w:rFonts w:ascii="Times New Roman" w:hAnsi="Times New Roman"/>
        </w:rPr>
        <w:t>ridiculed</w:t>
      </w:r>
      <w:r w:rsidRPr="008F0407">
        <w:rPr>
          <w:rFonts w:ascii="Times New Roman" w:hAnsi="Times New Roman"/>
        </w:rPr>
        <w:t xml:space="preserve"> the mine owner's contention</w:t>
      </w:r>
      <w:r w:rsidR="0042579A" w:rsidRPr="008F0407">
        <w:rPr>
          <w:rFonts w:ascii="Times New Roman" w:hAnsi="Times New Roman"/>
        </w:rPr>
        <w:t xml:space="preserve"> by observing that, if that contention were accepted</w:t>
      </w:r>
      <w:r w:rsidRPr="008F0407">
        <w:rPr>
          <w:rStyle w:val="FootnoteReference"/>
          <w:rFonts w:ascii="Times New Roman" w:hAnsi="Times New Roman"/>
          <w:sz w:val="24"/>
        </w:rPr>
        <w:footnoteReference w:id="126"/>
      </w:r>
      <w:r w:rsidRPr="008F0407">
        <w:rPr>
          <w:rFonts w:ascii="Times New Roman" w:hAnsi="Times New Roman"/>
        </w:rPr>
        <w:t>:</w:t>
      </w:r>
    </w:p>
    <w:p w14:paraId="575F4903" w14:textId="417E90E0" w:rsidR="00C51452" w:rsidRPr="008F0407" w:rsidRDefault="00752D37" w:rsidP="008F0407">
      <w:pPr>
        <w:pStyle w:val="LeftrightafterHC"/>
        <w:spacing w:before="0" w:after="260" w:line="280" w:lineRule="exact"/>
        <w:ind w:right="0"/>
        <w:jc w:val="both"/>
        <w:rPr>
          <w:rFonts w:ascii="Times New Roman" w:hAnsi="Times New Roman"/>
        </w:rPr>
      </w:pPr>
      <w:r w:rsidRPr="008F0407">
        <w:rPr>
          <w:rFonts w:ascii="Times New Roman" w:hAnsi="Times New Roman"/>
        </w:rPr>
        <w:t>"</w:t>
      </w:r>
      <w:r w:rsidR="006D4CF9" w:rsidRPr="008F0407">
        <w:rPr>
          <w:rFonts w:ascii="Times New Roman" w:hAnsi="Times New Roman"/>
        </w:rPr>
        <w:t>[t]</w:t>
      </w:r>
      <w:r w:rsidRPr="008F0407">
        <w:rPr>
          <w:rFonts w:ascii="Times New Roman" w:hAnsi="Times New Roman"/>
        </w:rPr>
        <w:t xml:space="preserve">he </w:t>
      </w:r>
      <w:r w:rsidR="00CC42C8" w:rsidRPr="008F0407">
        <w:rPr>
          <w:rFonts w:ascii="Times New Roman" w:hAnsi="Times New Roman"/>
        </w:rPr>
        <w:t xml:space="preserve">[mine owner] </w:t>
      </w:r>
      <w:r w:rsidRPr="008F0407">
        <w:rPr>
          <w:rFonts w:ascii="Times New Roman" w:hAnsi="Times New Roman"/>
        </w:rPr>
        <w:t>is therefore not in the business of coal mining at all, in</w:t>
      </w:r>
      <w:r w:rsidR="004551BA" w:rsidRPr="008F0407">
        <w:rPr>
          <w:rFonts w:ascii="Times New Roman" w:hAnsi="Times New Roman"/>
        </w:rPr>
        <w:t xml:space="preserve"> </w:t>
      </w:r>
      <w:r w:rsidRPr="008F0407">
        <w:rPr>
          <w:rFonts w:ascii="Times New Roman" w:hAnsi="Times New Roman"/>
        </w:rPr>
        <w:t>so</w:t>
      </w:r>
      <w:r w:rsidR="004551BA" w:rsidRPr="008F0407">
        <w:rPr>
          <w:rFonts w:ascii="Times New Roman" w:hAnsi="Times New Roman"/>
        </w:rPr>
        <w:t xml:space="preserve"> </w:t>
      </w:r>
      <w:r w:rsidRPr="008F0407">
        <w:rPr>
          <w:rFonts w:ascii="Times New Roman" w:hAnsi="Times New Roman"/>
        </w:rPr>
        <w:t>far as it uses such miners, but is only engaged in letting out contracts to independent contractors</w:t>
      </w:r>
      <w:r w:rsidR="00405947" w:rsidRPr="008F0407">
        <w:rPr>
          <w:rFonts w:ascii="Times New Roman" w:hAnsi="Times New Roman"/>
        </w:rPr>
        <w:t>,</w:t>
      </w:r>
      <w:r w:rsidRPr="008F0407">
        <w:rPr>
          <w:rFonts w:ascii="Times New Roman" w:hAnsi="Times New Roman"/>
        </w:rPr>
        <w:t xml:space="preserve"> to whom they owe as little duty as to those firms which set up the pumps in their mines.</w:t>
      </w:r>
      <w:r w:rsidR="00405947" w:rsidRPr="008F0407">
        <w:rPr>
          <w:rFonts w:ascii="Times New Roman" w:hAnsi="Times New Roman"/>
        </w:rPr>
        <w:t xml:space="preserve"> </w:t>
      </w:r>
      <w:r w:rsidR="00C51452" w:rsidRPr="008F0407">
        <w:rPr>
          <w:rFonts w:ascii="Times New Roman" w:hAnsi="Times New Roman"/>
        </w:rPr>
        <w:t>...</w:t>
      </w:r>
    </w:p>
    <w:p w14:paraId="6F25254E" w14:textId="77777777" w:rsidR="008F0407" w:rsidRDefault="00C51452" w:rsidP="008F0407">
      <w:pPr>
        <w:pStyle w:val="leftright"/>
        <w:spacing w:before="0" w:after="260" w:line="280" w:lineRule="exact"/>
        <w:ind w:right="0"/>
        <w:jc w:val="both"/>
        <w:rPr>
          <w:rFonts w:ascii="Times New Roman" w:hAnsi="Times New Roman"/>
        </w:rPr>
      </w:pPr>
      <w:r w:rsidRPr="008F0407">
        <w:rPr>
          <w:rFonts w:ascii="Times New Roman" w:hAnsi="Times New Roman"/>
        </w:rPr>
        <w:t xml:space="preserve">It is absurd to class such a miner as an independent contractor </w:t>
      </w:r>
      <w:r w:rsidR="00AD3046" w:rsidRPr="008F0407">
        <w:rPr>
          <w:rFonts w:ascii="Times New Roman" w:hAnsi="Times New Roman"/>
        </w:rPr>
        <w:t>..</w:t>
      </w:r>
      <w:r w:rsidRPr="008F0407">
        <w:rPr>
          <w:rFonts w:ascii="Times New Roman" w:hAnsi="Times New Roman"/>
        </w:rPr>
        <w:t xml:space="preserve">. He has no capital, no financial responsibility. He is himself as dependent upon the conditions of his employment as the company fixes them as are his helpers. By him alone is carried on the company's only business; he is their </w:t>
      </w:r>
      <w:r w:rsidR="00AD3046" w:rsidRPr="008F0407">
        <w:rPr>
          <w:rFonts w:ascii="Times New Roman" w:hAnsi="Times New Roman"/>
        </w:rPr>
        <w:t>'</w:t>
      </w:r>
      <w:r w:rsidRPr="008F0407">
        <w:rPr>
          <w:rFonts w:ascii="Times New Roman" w:hAnsi="Times New Roman"/>
        </w:rPr>
        <w:t>hand,</w:t>
      </w:r>
      <w:r w:rsidR="00AD3046" w:rsidRPr="008F0407">
        <w:rPr>
          <w:rFonts w:ascii="Times New Roman" w:hAnsi="Times New Roman"/>
        </w:rPr>
        <w:t>'</w:t>
      </w:r>
      <w:r w:rsidRPr="008F0407">
        <w:rPr>
          <w:rFonts w:ascii="Times New Roman" w:hAnsi="Times New Roman"/>
        </w:rPr>
        <w:t xml:space="preserve"> if </w:t>
      </w:r>
      <w:proofErr w:type="spellStart"/>
      <w:r w:rsidRPr="008F0407">
        <w:rPr>
          <w:rFonts w:ascii="Times New Roman" w:hAnsi="Times New Roman"/>
        </w:rPr>
        <w:t>any one</w:t>
      </w:r>
      <w:proofErr w:type="spellEnd"/>
      <w:r w:rsidRPr="008F0407">
        <w:rPr>
          <w:rFonts w:ascii="Times New Roman" w:hAnsi="Times New Roman"/>
        </w:rPr>
        <w:t xml:space="preserve"> is. Because of the method of his pay one should not class him as though he came to do an adjunctive work, not the business of the company, something whose conduct and management they had not undertaken.</w:t>
      </w:r>
      <w:r w:rsidR="00752D37" w:rsidRPr="008F0407">
        <w:rPr>
          <w:rFonts w:ascii="Times New Roman" w:hAnsi="Times New Roman"/>
        </w:rPr>
        <w:t>"</w:t>
      </w:r>
    </w:p>
    <w:p w14:paraId="0B1F9A90" w14:textId="274A7988" w:rsidR="009D7B94" w:rsidRPr="008F0407" w:rsidRDefault="00752D37" w:rsidP="008F0407">
      <w:pPr>
        <w:pStyle w:val="FixListStyle"/>
        <w:spacing w:after="260" w:line="280" w:lineRule="exact"/>
        <w:ind w:right="0"/>
        <w:jc w:val="both"/>
        <w:rPr>
          <w:rFonts w:ascii="Times New Roman" w:hAnsi="Times New Roman"/>
        </w:rPr>
      </w:pPr>
      <w:r w:rsidRPr="008F0407">
        <w:rPr>
          <w:rFonts w:ascii="Times New Roman" w:hAnsi="Times New Roman"/>
        </w:rPr>
        <w:tab/>
        <w:t>This lampooning of the mine owner's argument focus</w:t>
      </w:r>
      <w:r w:rsidR="00291274" w:rsidRPr="008F0407">
        <w:rPr>
          <w:rFonts w:ascii="Times New Roman" w:hAnsi="Times New Roman"/>
        </w:rPr>
        <w:t>s</w:t>
      </w:r>
      <w:r w:rsidRPr="008F0407">
        <w:rPr>
          <w:rFonts w:ascii="Times New Roman" w:hAnsi="Times New Roman"/>
        </w:rPr>
        <w:t xml:space="preserve">ed </w:t>
      </w:r>
      <w:r w:rsidR="00C723A6" w:rsidRPr="008F0407">
        <w:rPr>
          <w:rFonts w:ascii="Times New Roman" w:hAnsi="Times New Roman"/>
        </w:rPr>
        <w:t xml:space="preserve">attention </w:t>
      </w:r>
      <w:r w:rsidRPr="008F0407">
        <w:rPr>
          <w:rFonts w:ascii="Times New Roman" w:hAnsi="Times New Roman"/>
        </w:rPr>
        <w:t xml:space="preserve">on the </w:t>
      </w:r>
      <w:r w:rsidR="00293515" w:rsidRPr="008F0407">
        <w:rPr>
          <w:rFonts w:ascii="Times New Roman" w:hAnsi="Times New Roman"/>
        </w:rPr>
        <w:t xml:space="preserve">nature of the </w:t>
      </w:r>
      <w:r w:rsidR="00CD5FD8" w:rsidRPr="008F0407">
        <w:rPr>
          <w:rFonts w:ascii="Times New Roman" w:hAnsi="Times New Roman"/>
        </w:rPr>
        <w:t>mine owner's</w:t>
      </w:r>
      <w:r w:rsidRPr="008F0407">
        <w:rPr>
          <w:rFonts w:ascii="Times New Roman" w:hAnsi="Times New Roman"/>
        </w:rPr>
        <w:t xml:space="preserve"> business</w:t>
      </w:r>
      <w:r w:rsidR="00525F44" w:rsidRPr="008F0407">
        <w:rPr>
          <w:rFonts w:ascii="Times New Roman" w:hAnsi="Times New Roman"/>
        </w:rPr>
        <w:t xml:space="preserve"> in order to</w:t>
      </w:r>
      <w:r w:rsidR="00293515" w:rsidRPr="008F0407">
        <w:rPr>
          <w:rFonts w:ascii="Times New Roman" w:hAnsi="Times New Roman"/>
        </w:rPr>
        <w:t xml:space="preserve"> </w:t>
      </w:r>
      <w:r w:rsidRPr="008F0407">
        <w:rPr>
          <w:rFonts w:ascii="Times New Roman" w:hAnsi="Times New Roman"/>
        </w:rPr>
        <w:t xml:space="preserve">highlight the absurdity of the notion that the </w:t>
      </w:r>
      <w:r w:rsidR="00CD5FD8" w:rsidRPr="008F0407">
        <w:rPr>
          <w:rFonts w:ascii="Times New Roman" w:hAnsi="Times New Roman"/>
        </w:rPr>
        <w:t>mine owner</w:t>
      </w:r>
      <w:r w:rsidRPr="008F0407">
        <w:rPr>
          <w:rFonts w:ascii="Times New Roman" w:hAnsi="Times New Roman"/>
        </w:rPr>
        <w:t xml:space="preserve"> was no more than an introduction agency</w:t>
      </w:r>
      <w:r w:rsidR="00CD5FD8" w:rsidRPr="008F0407">
        <w:rPr>
          <w:rFonts w:ascii="Times New Roman" w:hAnsi="Times New Roman"/>
        </w:rPr>
        <w:t xml:space="preserve"> and th</w:t>
      </w:r>
      <w:r w:rsidR="00D376CC" w:rsidRPr="008F0407">
        <w:rPr>
          <w:rFonts w:ascii="Times New Roman" w:hAnsi="Times New Roman"/>
        </w:rPr>
        <w:t>at th</w:t>
      </w:r>
      <w:r w:rsidR="00CD5FD8" w:rsidRPr="008F0407">
        <w:rPr>
          <w:rFonts w:ascii="Times New Roman" w:hAnsi="Times New Roman"/>
        </w:rPr>
        <w:t xml:space="preserve">e coal miner was </w:t>
      </w:r>
      <w:r w:rsidR="00525F44" w:rsidRPr="008F0407">
        <w:rPr>
          <w:rFonts w:ascii="Times New Roman" w:hAnsi="Times New Roman"/>
        </w:rPr>
        <w:t>carrying on</w:t>
      </w:r>
      <w:r w:rsidR="00CD5FD8" w:rsidRPr="008F0407">
        <w:rPr>
          <w:rFonts w:ascii="Times New Roman" w:hAnsi="Times New Roman"/>
        </w:rPr>
        <w:t xml:space="preserve"> a business that was separate from the business of the mine owner</w:t>
      </w:r>
      <w:r w:rsidRPr="008F0407">
        <w:rPr>
          <w:rFonts w:ascii="Times New Roman" w:hAnsi="Times New Roman"/>
        </w:rPr>
        <w:t xml:space="preserve">. That is a useful focus in this case too. </w:t>
      </w:r>
    </w:p>
    <w:p w14:paraId="52639C68" w14:textId="77578309" w:rsidR="003856C0" w:rsidRPr="008F0407" w:rsidRDefault="003856C0"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0C643D" w:rsidRPr="008F0407">
        <w:rPr>
          <w:rFonts w:ascii="Times New Roman" w:hAnsi="Times New Roman"/>
        </w:rPr>
        <w:t>Construct submitted that it was</w:t>
      </w:r>
      <w:r w:rsidR="009E75B0" w:rsidRPr="008F0407">
        <w:rPr>
          <w:rFonts w:ascii="Times New Roman" w:hAnsi="Times New Roman"/>
        </w:rPr>
        <w:t xml:space="preserve"> "simply a finder of labour". But </w:t>
      </w:r>
      <w:r w:rsidR="00C160F8" w:rsidRPr="008F0407">
        <w:rPr>
          <w:rFonts w:ascii="Times New Roman" w:hAnsi="Times New Roman"/>
        </w:rPr>
        <w:t xml:space="preserve">that ignores the complex suite of rights and obligations of Construct vis-à-vis Mr McCourt that </w:t>
      </w:r>
      <w:r w:rsidR="00C160F8" w:rsidRPr="008F0407">
        <w:rPr>
          <w:rFonts w:ascii="Times New Roman" w:hAnsi="Times New Roman"/>
        </w:rPr>
        <w:lastRenderedPageBreak/>
        <w:t xml:space="preserve">had been established under the ASA. </w:t>
      </w:r>
      <w:r w:rsidR="009E75B0" w:rsidRPr="008F0407">
        <w:rPr>
          <w:rFonts w:ascii="Times New Roman" w:hAnsi="Times New Roman"/>
        </w:rPr>
        <w:t>Construct was authorised</w:t>
      </w:r>
      <w:r w:rsidR="00CD6DD9" w:rsidRPr="008F0407">
        <w:rPr>
          <w:rFonts w:ascii="Times New Roman" w:hAnsi="Times New Roman"/>
        </w:rPr>
        <w:t>:</w:t>
      </w:r>
      <w:r w:rsidR="009E75B0" w:rsidRPr="008F0407">
        <w:rPr>
          <w:rFonts w:ascii="Times New Roman" w:hAnsi="Times New Roman"/>
        </w:rPr>
        <w:t xml:space="preserve"> to fix Mr McCourt's reward for his work</w:t>
      </w:r>
      <w:r w:rsidR="00CD6DD9" w:rsidRPr="008F0407">
        <w:rPr>
          <w:rFonts w:ascii="Times New Roman" w:hAnsi="Times New Roman"/>
        </w:rPr>
        <w:t> (cl 2(a));</w:t>
      </w:r>
      <w:r w:rsidR="009E75B0" w:rsidRPr="008F0407">
        <w:rPr>
          <w:rFonts w:ascii="Times New Roman" w:hAnsi="Times New Roman"/>
        </w:rPr>
        <w:t xml:space="preserve"> to act as Mr McCourt's paymaster</w:t>
      </w:r>
      <w:r w:rsidR="00CD6DD9" w:rsidRPr="008F0407">
        <w:rPr>
          <w:rFonts w:ascii="Times New Roman" w:hAnsi="Times New Roman"/>
        </w:rPr>
        <w:t> (</w:t>
      </w:r>
      <w:proofErr w:type="spellStart"/>
      <w:r w:rsidR="00CD6DD9" w:rsidRPr="008F0407">
        <w:rPr>
          <w:rFonts w:ascii="Times New Roman" w:hAnsi="Times New Roman"/>
        </w:rPr>
        <w:t>cll</w:t>
      </w:r>
      <w:proofErr w:type="spellEnd"/>
      <w:r w:rsidR="00CD6DD9" w:rsidRPr="008F0407">
        <w:rPr>
          <w:rFonts w:ascii="Times New Roman" w:hAnsi="Times New Roman"/>
        </w:rPr>
        <w:t> 1(d), 2(d))</w:t>
      </w:r>
      <w:r w:rsidR="00DE4F64" w:rsidRPr="008F0407">
        <w:rPr>
          <w:rFonts w:ascii="Times New Roman" w:hAnsi="Times New Roman"/>
        </w:rPr>
        <w:t>;</w:t>
      </w:r>
      <w:r w:rsidR="009E75B0" w:rsidRPr="008F0407">
        <w:rPr>
          <w:rFonts w:ascii="Times New Roman" w:hAnsi="Times New Roman"/>
        </w:rPr>
        <w:t xml:space="preserve"> </w:t>
      </w:r>
      <w:r w:rsidR="00DE4F64" w:rsidRPr="008F0407">
        <w:rPr>
          <w:rFonts w:ascii="Times New Roman" w:hAnsi="Times New Roman"/>
        </w:rPr>
        <w:t xml:space="preserve">and </w:t>
      </w:r>
      <w:r w:rsidR="009E75B0" w:rsidRPr="008F0407">
        <w:rPr>
          <w:rFonts w:ascii="Times New Roman" w:hAnsi="Times New Roman"/>
        </w:rPr>
        <w:t>to terminate Mr McCourt's engagement should he fail in any respect to obey the directions of Construct or Hanssen</w:t>
      </w:r>
      <w:r w:rsidR="00DF2AEF" w:rsidRPr="008F0407">
        <w:rPr>
          <w:rFonts w:ascii="Times New Roman" w:hAnsi="Times New Roman"/>
        </w:rPr>
        <w:t> </w:t>
      </w:r>
      <w:r w:rsidR="00DE4F64" w:rsidRPr="008F0407">
        <w:rPr>
          <w:rFonts w:ascii="Times New Roman" w:hAnsi="Times New Roman"/>
        </w:rPr>
        <w:t>(see cl 4(a),</w:t>
      </w:r>
      <w:r w:rsidR="00E3569D" w:rsidRPr="008F0407">
        <w:rPr>
          <w:rFonts w:ascii="Times New Roman" w:hAnsi="Times New Roman"/>
        </w:rPr>
        <w:t xml:space="preserve"> (c))</w:t>
      </w:r>
      <w:r w:rsidR="009E75B0" w:rsidRPr="008F0407">
        <w:rPr>
          <w:rFonts w:ascii="Times New Roman" w:hAnsi="Times New Roman"/>
        </w:rPr>
        <w:t>.</w:t>
      </w:r>
      <w:r w:rsidR="00441313" w:rsidRPr="008F0407">
        <w:rPr>
          <w:rFonts w:ascii="Times New Roman" w:hAnsi="Times New Roman"/>
        </w:rPr>
        <w:t xml:space="preserve"> And, as will be seen, by cl 4(a) Construct retained a right of control over Mr McCourt that was fundamental to its business as a labour</w:t>
      </w:r>
      <w:r w:rsidR="00441313" w:rsidRPr="008F0407">
        <w:rPr>
          <w:rFonts w:ascii="Times New Roman" w:hAnsi="Times New Roman"/>
        </w:rPr>
        <w:noBreakHyphen/>
        <w:t>hire agency. There would be no reason for the existence of such obligations if Construct were not in the business</w:t>
      </w:r>
      <w:r w:rsidR="006D615B" w:rsidRPr="008F0407">
        <w:rPr>
          <w:rFonts w:ascii="Times New Roman" w:hAnsi="Times New Roman"/>
        </w:rPr>
        <w:t xml:space="preserve"> of labour hire, but rather in the business of "introducing" suppliers of labour to builders and leaving those parties to sort their own affairs.</w:t>
      </w:r>
    </w:p>
    <w:p w14:paraId="53CAE027" w14:textId="16D194C8" w:rsidR="00752D37" w:rsidRPr="008F0407" w:rsidRDefault="009D7B94"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F725F7" w:rsidRPr="008F0407">
        <w:rPr>
          <w:rFonts w:ascii="Times New Roman" w:hAnsi="Times New Roman"/>
        </w:rPr>
        <w:t xml:space="preserve">In terms of the test suggested by Windeyer J in </w:t>
      </w:r>
      <w:r w:rsidR="00F725F7" w:rsidRPr="008F0407">
        <w:rPr>
          <w:rFonts w:ascii="Times New Roman" w:hAnsi="Times New Roman"/>
          <w:i/>
          <w:iCs/>
        </w:rPr>
        <w:t>Marshall</w:t>
      </w:r>
      <w:r w:rsidR="00FB2118" w:rsidRPr="008F0407">
        <w:rPr>
          <w:rFonts w:ascii="Times New Roman" w:hAnsi="Times New Roman"/>
          <w:iCs/>
        </w:rPr>
        <w:t>,</w:t>
      </w:r>
      <w:r w:rsidR="00F725F7" w:rsidRPr="008F0407">
        <w:rPr>
          <w:rFonts w:ascii="Times New Roman" w:hAnsi="Times New Roman"/>
          <w:i/>
          <w:iCs/>
        </w:rPr>
        <w:t xml:space="preserve"> </w:t>
      </w:r>
      <w:r w:rsidR="00F725F7" w:rsidRPr="008F0407">
        <w:rPr>
          <w:rFonts w:ascii="Times New Roman" w:hAnsi="Times New Roman"/>
        </w:rPr>
        <w:t xml:space="preserve">it is impossible to say that Mr McCourt was in business on his own account. </w:t>
      </w:r>
      <w:r w:rsidR="009C1C77" w:rsidRPr="008F0407">
        <w:rPr>
          <w:rFonts w:ascii="Times New Roman" w:hAnsi="Times New Roman"/>
        </w:rPr>
        <w:t xml:space="preserve">The </w:t>
      </w:r>
      <w:r w:rsidR="00FB2118" w:rsidRPr="008F0407">
        <w:rPr>
          <w:rFonts w:ascii="Times New Roman" w:hAnsi="Times New Roman"/>
        </w:rPr>
        <w:t xml:space="preserve">core </w:t>
      </w:r>
      <w:r w:rsidR="009C1C77" w:rsidRPr="008F0407">
        <w:rPr>
          <w:rFonts w:ascii="Times New Roman" w:hAnsi="Times New Roman"/>
        </w:rPr>
        <w:t>of Mr McCourt's obligation</w:t>
      </w:r>
      <w:r w:rsidR="00FB2118" w:rsidRPr="008F0407">
        <w:rPr>
          <w:rFonts w:ascii="Times New Roman" w:hAnsi="Times New Roman"/>
        </w:rPr>
        <w:t xml:space="preserve"> to Construct</w:t>
      </w:r>
      <w:r w:rsidR="009C1C77" w:rsidRPr="008F0407">
        <w:rPr>
          <w:rFonts w:ascii="Times New Roman" w:hAnsi="Times New Roman"/>
        </w:rPr>
        <w:t xml:space="preserve"> under the ASA was his promise to </w:t>
      </w:r>
      <w:r w:rsidR="0062269C" w:rsidRPr="008F0407">
        <w:rPr>
          <w:rFonts w:ascii="Times New Roman" w:hAnsi="Times New Roman"/>
        </w:rPr>
        <w:t>work as directed</w:t>
      </w:r>
      <w:r w:rsidR="00E243E9" w:rsidRPr="008F0407">
        <w:rPr>
          <w:rFonts w:ascii="Times New Roman" w:hAnsi="Times New Roman"/>
        </w:rPr>
        <w:t xml:space="preserve"> by Construct or </w:t>
      </w:r>
      <w:r w:rsidR="004D1531" w:rsidRPr="008F0407">
        <w:rPr>
          <w:rFonts w:ascii="Times New Roman" w:hAnsi="Times New Roman"/>
        </w:rPr>
        <w:t xml:space="preserve">by </w:t>
      </w:r>
      <w:r w:rsidR="00E243E9" w:rsidRPr="008F0407">
        <w:rPr>
          <w:rFonts w:ascii="Times New Roman" w:hAnsi="Times New Roman"/>
        </w:rPr>
        <w:t>its customer</w:t>
      </w:r>
      <w:r w:rsidR="00FB2118" w:rsidRPr="008F0407">
        <w:rPr>
          <w:rStyle w:val="FootnoteReference"/>
          <w:rFonts w:ascii="Times New Roman" w:hAnsi="Times New Roman"/>
          <w:sz w:val="24"/>
        </w:rPr>
        <w:footnoteReference w:id="127"/>
      </w:r>
      <w:r w:rsidR="0062269C" w:rsidRPr="008F0407">
        <w:rPr>
          <w:rFonts w:ascii="Times New Roman" w:hAnsi="Times New Roman"/>
        </w:rPr>
        <w:t xml:space="preserve">. </w:t>
      </w:r>
      <w:r w:rsidR="00F731FE" w:rsidRPr="008F0407">
        <w:rPr>
          <w:rFonts w:ascii="Times New Roman" w:hAnsi="Times New Roman"/>
        </w:rPr>
        <w:t>Mr McCourt's obligation to work was meaningful only because the benefit of that promise was ventured by Construct as an asset of its labour</w:t>
      </w:r>
      <w:r w:rsidR="00F731FE" w:rsidRPr="008F0407">
        <w:rPr>
          <w:rFonts w:ascii="Times New Roman" w:hAnsi="Times New Roman"/>
        </w:rPr>
        <w:noBreakHyphen/>
        <w:t>hire business.</w:t>
      </w:r>
    </w:p>
    <w:p w14:paraId="7780A47A" w14:textId="705DADD0" w:rsidR="007A40C6" w:rsidRPr="008F0407" w:rsidRDefault="005F404F" w:rsidP="008F0407">
      <w:pPr>
        <w:pStyle w:val="HeadingL1"/>
        <w:spacing w:after="260" w:line="280" w:lineRule="exact"/>
        <w:ind w:right="0"/>
        <w:jc w:val="both"/>
        <w:rPr>
          <w:rFonts w:ascii="Times New Roman" w:hAnsi="Times New Roman"/>
        </w:rPr>
      </w:pPr>
      <w:r w:rsidRPr="008F0407">
        <w:rPr>
          <w:rFonts w:ascii="Times New Roman" w:hAnsi="Times New Roman"/>
        </w:rPr>
        <w:t xml:space="preserve">Mr McCourt worked subject to </w:t>
      </w:r>
      <w:r w:rsidR="00D427AC" w:rsidRPr="008F0407">
        <w:rPr>
          <w:rFonts w:ascii="Times New Roman" w:hAnsi="Times New Roman"/>
        </w:rPr>
        <w:t>the control of Construct</w:t>
      </w:r>
    </w:p>
    <w:p w14:paraId="6B93C64F" w14:textId="4E139B8A" w:rsidR="000F6AC3" w:rsidRPr="008F0407" w:rsidRDefault="0081578F"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0F6AC3" w:rsidRPr="008F0407">
        <w:rPr>
          <w:rFonts w:ascii="Times New Roman" w:hAnsi="Times New Roman"/>
        </w:rPr>
        <w:t>Like the "own business</w:t>
      </w:r>
      <w:r w:rsidR="00F24D80" w:rsidRPr="008F0407">
        <w:rPr>
          <w:rFonts w:ascii="Times New Roman" w:hAnsi="Times New Roman"/>
        </w:rPr>
        <w:t>/employer's</w:t>
      </w:r>
      <w:r w:rsidR="002E49E8" w:rsidRPr="008F0407">
        <w:rPr>
          <w:rFonts w:ascii="Times New Roman" w:hAnsi="Times New Roman"/>
        </w:rPr>
        <w:t xml:space="preserve"> business</w:t>
      </w:r>
      <w:r w:rsidR="000F6AC3" w:rsidRPr="008F0407">
        <w:rPr>
          <w:rFonts w:ascii="Times New Roman" w:hAnsi="Times New Roman"/>
        </w:rPr>
        <w:t xml:space="preserve">" </w:t>
      </w:r>
      <w:r w:rsidR="00F731FE" w:rsidRPr="008F0407">
        <w:rPr>
          <w:rFonts w:ascii="Times New Roman" w:hAnsi="Times New Roman"/>
        </w:rPr>
        <w:t>dichotomy</w:t>
      </w:r>
      <w:r w:rsidR="000F6AC3" w:rsidRPr="008F0407">
        <w:rPr>
          <w:rFonts w:ascii="Times New Roman" w:hAnsi="Times New Roman"/>
        </w:rPr>
        <w:t xml:space="preserve">, the existence of a right of control </w:t>
      </w:r>
      <w:r w:rsidR="003879A9" w:rsidRPr="008F0407">
        <w:rPr>
          <w:rFonts w:ascii="Times New Roman" w:hAnsi="Times New Roman"/>
        </w:rPr>
        <w:t xml:space="preserve">by </w:t>
      </w:r>
      <w:r w:rsidR="00F731FE" w:rsidRPr="008F0407">
        <w:rPr>
          <w:rFonts w:ascii="Times New Roman" w:hAnsi="Times New Roman"/>
        </w:rPr>
        <w:t>a putative employer</w:t>
      </w:r>
      <w:r w:rsidR="003879A9" w:rsidRPr="008F0407">
        <w:rPr>
          <w:rFonts w:ascii="Times New Roman" w:hAnsi="Times New Roman"/>
        </w:rPr>
        <w:t xml:space="preserve"> </w:t>
      </w:r>
      <w:r w:rsidR="000F6AC3" w:rsidRPr="008F0407">
        <w:rPr>
          <w:rFonts w:ascii="Times New Roman" w:hAnsi="Times New Roman"/>
        </w:rPr>
        <w:t>o</w:t>
      </w:r>
      <w:r w:rsidR="003879A9" w:rsidRPr="008F0407">
        <w:rPr>
          <w:rFonts w:ascii="Times New Roman" w:hAnsi="Times New Roman"/>
        </w:rPr>
        <w:t>ver</w:t>
      </w:r>
      <w:r w:rsidR="000F6AC3" w:rsidRPr="008F0407">
        <w:rPr>
          <w:rFonts w:ascii="Times New Roman" w:hAnsi="Times New Roman"/>
        </w:rPr>
        <w:t xml:space="preserve"> the activities of the </w:t>
      </w:r>
      <w:r w:rsidR="00F731FE" w:rsidRPr="008F0407">
        <w:rPr>
          <w:rFonts w:ascii="Times New Roman" w:hAnsi="Times New Roman"/>
        </w:rPr>
        <w:t>putative employee</w:t>
      </w:r>
      <w:r w:rsidR="000F6AC3" w:rsidRPr="008F0407">
        <w:rPr>
          <w:rFonts w:ascii="Times New Roman" w:hAnsi="Times New Roman"/>
        </w:rPr>
        <w:t xml:space="preserve"> serves to sensitise one to the subservient and d</w:t>
      </w:r>
      <w:r w:rsidR="00E34781" w:rsidRPr="008F0407">
        <w:rPr>
          <w:rFonts w:ascii="Times New Roman" w:hAnsi="Times New Roman"/>
        </w:rPr>
        <w:t>ependent</w:t>
      </w:r>
      <w:r w:rsidR="000F6AC3" w:rsidRPr="008F0407">
        <w:rPr>
          <w:rFonts w:ascii="Times New Roman" w:hAnsi="Times New Roman"/>
        </w:rPr>
        <w:t xml:space="preserve"> nature of</w:t>
      </w:r>
      <w:r w:rsidR="00E34781" w:rsidRPr="008F0407">
        <w:rPr>
          <w:rFonts w:ascii="Times New Roman" w:hAnsi="Times New Roman"/>
        </w:rPr>
        <w:t xml:space="preserve"> </w:t>
      </w:r>
      <w:r w:rsidR="000F6AC3" w:rsidRPr="008F0407">
        <w:rPr>
          <w:rFonts w:ascii="Times New Roman" w:hAnsi="Times New Roman"/>
        </w:rPr>
        <w:t xml:space="preserve">the work of </w:t>
      </w:r>
      <w:r w:rsidR="00F731FE" w:rsidRPr="008F0407">
        <w:rPr>
          <w:rFonts w:ascii="Times New Roman" w:hAnsi="Times New Roman"/>
        </w:rPr>
        <w:t>the employee</w:t>
      </w:r>
      <w:r w:rsidR="000F6AC3" w:rsidRPr="008F0407">
        <w:rPr>
          <w:rFonts w:ascii="Times New Roman" w:hAnsi="Times New Roman"/>
        </w:rPr>
        <w:t xml:space="preserve">, so as to </w:t>
      </w:r>
      <w:r w:rsidR="00F731FE" w:rsidRPr="008F0407">
        <w:rPr>
          <w:rFonts w:ascii="Times New Roman" w:hAnsi="Times New Roman"/>
        </w:rPr>
        <w:t>assist in</w:t>
      </w:r>
      <w:r w:rsidR="000F6AC3" w:rsidRPr="008F0407">
        <w:rPr>
          <w:rFonts w:ascii="Times New Roman" w:hAnsi="Times New Roman"/>
        </w:rPr>
        <w:t xml:space="preserve"> an assessment of whether a relationship is</w:t>
      </w:r>
      <w:r w:rsidR="00F731FE" w:rsidRPr="008F0407">
        <w:rPr>
          <w:rFonts w:ascii="Times New Roman" w:hAnsi="Times New Roman"/>
        </w:rPr>
        <w:t xml:space="preserve"> properly to be regarded as</w:t>
      </w:r>
      <w:r w:rsidR="000F6AC3" w:rsidRPr="008F0407">
        <w:rPr>
          <w:rFonts w:ascii="Times New Roman" w:hAnsi="Times New Roman"/>
        </w:rPr>
        <w:t xml:space="preserve"> a contract of service </w:t>
      </w:r>
      <w:r w:rsidR="00F731FE" w:rsidRPr="008F0407">
        <w:rPr>
          <w:rFonts w:ascii="Times New Roman" w:hAnsi="Times New Roman"/>
        </w:rPr>
        <w:t xml:space="preserve">rather than a </w:t>
      </w:r>
      <w:r w:rsidR="000F6AC3" w:rsidRPr="008F0407">
        <w:rPr>
          <w:rFonts w:ascii="Times New Roman" w:hAnsi="Times New Roman"/>
        </w:rPr>
        <w:t xml:space="preserve">contract </w:t>
      </w:r>
      <w:r w:rsidR="00880F18" w:rsidRPr="008F0407">
        <w:rPr>
          <w:rFonts w:ascii="Times New Roman" w:hAnsi="Times New Roman"/>
        </w:rPr>
        <w:t xml:space="preserve">for </w:t>
      </w:r>
      <w:r w:rsidR="000F6AC3" w:rsidRPr="008F0407">
        <w:rPr>
          <w:rFonts w:ascii="Times New Roman" w:hAnsi="Times New Roman"/>
        </w:rPr>
        <w:t>services.</w:t>
      </w:r>
    </w:p>
    <w:p w14:paraId="12719FE4" w14:textId="1C208D55" w:rsidR="00140391" w:rsidRPr="008F0407" w:rsidRDefault="000F6AC3"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B80231" w:rsidRPr="008F0407">
        <w:rPr>
          <w:rFonts w:ascii="Times New Roman" w:hAnsi="Times New Roman"/>
        </w:rPr>
        <w:t xml:space="preserve">Construct submitted </w:t>
      </w:r>
      <w:r w:rsidR="00726932" w:rsidRPr="008F0407">
        <w:rPr>
          <w:rFonts w:ascii="Times New Roman" w:hAnsi="Times New Roman"/>
        </w:rPr>
        <w:t>that control was a necessary, though not sufficient, condition of a contract of service</w:t>
      </w:r>
      <w:r w:rsidR="00EE683E" w:rsidRPr="008F0407">
        <w:rPr>
          <w:rFonts w:ascii="Times New Roman" w:hAnsi="Times New Roman"/>
        </w:rPr>
        <w:t xml:space="preserve">, citing </w:t>
      </w:r>
      <w:proofErr w:type="spellStart"/>
      <w:r w:rsidR="00EE683E" w:rsidRPr="008F0407">
        <w:rPr>
          <w:rFonts w:ascii="Times New Roman" w:hAnsi="Times New Roman"/>
          <w:i/>
        </w:rPr>
        <w:t>Zuijs</w:t>
      </w:r>
      <w:proofErr w:type="spellEnd"/>
      <w:r w:rsidR="00EE683E" w:rsidRPr="008F0407">
        <w:rPr>
          <w:rFonts w:ascii="Times New Roman" w:hAnsi="Times New Roman"/>
          <w:i/>
        </w:rPr>
        <w:t xml:space="preserve"> v Wirth Brothers Pty Ltd</w:t>
      </w:r>
      <w:r w:rsidR="00726932" w:rsidRPr="008F0407">
        <w:rPr>
          <w:rStyle w:val="FootnoteReference"/>
          <w:rFonts w:ascii="Times New Roman" w:hAnsi="Times New Roman"/>
          <w:sz w:val="24"/>
        </w:rPr>
        <w:footnoteReference w:id="128"/>
      </w:r>
      <w:r w:rsidR="00726932" w:rsidRPr="008F0407">
        <w:rPr>
          <w:rFonts w:ascii="Times New Roman" w:hAnsi="Times New Roman"/>
        </w:rPr>
        <w:t xml:space="preserve">. </w:t>
      </w:r>
      <w:r w:rsidR="00DD1E3F" w:rsidRPr="008F0407">
        <w:rPr>
          <w:rFonts w:ascii="Times New Roman" w:hAnsi="Times New Roman"/>
        </w:rPr>
        <w:t xml:space="preserve">It </w:t>
      </w:r>
      <w:r w:rsidR="005F0889" w:rsidRPr="008F0407">
        <w:rPr>
          <w:rFonts w:ascii="Times New Roman" w:hAnsi="Times New Roman"/>
        </w:rPr>
        <w:t xml:space="preserve">was </w:t>
      </w:r>
      <w:r w:rsidR="00DD1E3F" w:rsidRPr="008F0407">
        <w:rPr>
          <w:rFonts w:ascii="Times New Roman" w:hAnsi="Times New Roman"/>
        </w:rPr>
        <w:t>submitted</w:t>
      </w:r>
      <w:r w:rsidR="00B80231" w:rsidRPr="008F0407">
        <w:rPr>
          <w:rFonts w:ascii="Times New Roman" w:hAnsi="Times New Roman"/>
        </w:rPr>
        <w:t xml:space="preserve"> that Hanssen alone supervised and directed every aspect of Mr McCourt's work</w:t>
      </w:r>
      <w:r w:rsidR="005F0889" w:rsidRPr="008F0407">
        <w:rPr>
          <w:rFonts w:ascii="Times New Roman" w:hAnsi="Times New Roman"/>
        </w:rPr>
        <w:t xml:space="preserve">, and it was emphasised that </w:t>
      </w:r>
      <w:r w:rsidR="00B80231" w:rsidRPr="008F0407">
        <w:rPr>
          <w:rFonts w:ascii="Times New Roman" w:hAnsi="Times New Roman"/>
        </w:rPr>
        <w:t>Construct was not entitled, under either the LHA or the ASA, to enter Hanssen's site and issue directions to Mr McCourt</w:t>
      </w:r>
      <w:r w:rsidR="002F687A" w:rsidRPr="008F0407">
        <w:rPr>
          <w:rFonts w:ascii="Times New Roman" w:hAnsi="Times New Roman"/>
        </w:rPr>
        <w:t xml:space="preserve"> </w:t>
      </w:r>
      <w:r w:rsidR="00D0597B" w:rsidRPr="008F0407">
        <w:rPr>
          <w:rFonts w:ascii="Times New Roman" w:hAnsi="Times New Roman"/>
        </w:rPr>
        <w:t>regarding</w:t>
      </w:r>
      <w:r w:rsidR="002F687A" w:rsidRPr="008F0407">
        <w:rPr>
          <w:rFonts w:ascii="Times New Roman" w:hAnsi="Times New Roman"/>
        </w:rPr>
        <w:t xml:space="preserve"> the performance of his work</w:t>
      </w:r>
      <w:r w:rsidR="00B80231" w:rsidRPr="008F0407">
        <w:rPr>
          <w:rFonts w:ascii="Times New Roman" w:hAnsi="Times New Roman"/>
        </w:rPr>
        <w:t xml:space="preserve">. </w:t>
      </w:r>
      <w:r w:rsidR="004F36F8" w:rsidRPr="008F0407">
        <w:rPr>
          <w:rFonts w:ascii="Times New Roman" w:hAnsi="Times New Roman"/>
        </w:rPr>
        <w:t xml:space="preserve">So much may be accepted. But </w:t>
      </w:r>
      <w:r w:rsidR="002F687A" w:rsidRPr="008F0407">
        <w:rPr>
          <w:rFonts w:ascii="Times New Roman" w:hAnsi="Times New Roman"/>
        </w:rPr>
        <w:t>this Court</w:t>
      </w:r>
      <w:r w:rsidR="00066FA1" w:rsidRPr="008F0407">
        <w:rPr>
          <w:rFonts w:ascii="Times New Roman" w:hAnsi="Times New Roman"/>
        </w:rPr>
        <w:t xml:space="preserve"> in </w:t>
      </w:r>
      <w:r w:rsidR="00066FA1" w:rsidRPr="008F0407">
        <w:rPr>
          <w:rFonts w:ascii="Times New Roman" w:hAnsi="Times New Roman"/>
          <w:i/>
          <w:iCs/>
        </w:rPr>
        <w:t>Stevens</w:t>
      </w:r>
      <w:r w:rsidR="00066FA1" w:rsidRPr="008F0407">
        <w:rPr>
          <w:rStyle w:val="FootnoteReference"/>
          <w:rFonts w:ascii="Times New Roman" w:hAnsi="Times New Roman"/>
          <w:iCs/>
          <w:sz w:val="24"/>
        </w:rPr>
        <w:footnoteReference w:id="129"/>
      </w:r>
      <w:r w:rsidR="002F687A" w:rsidRPr="008F0407">
        <w:rPr>
          <w:rFonts w:ascii="Times New Roman" w:hAnsi="Times New Roman"/>
          <w:iCs/>
        </w:rPr>
        <w:t xml:space="preserve">, and indeed in </w:t>
      </w:r>
      <w:proofErr w:type="spellStart"/>
      <w:r w:rsidR="002F687A" w:rsidRPr="008F0407">
        <w:rPr>
          <w:rFonts w:ascii="Times New Roman" w:hAnsi="Times New Roman"/>
          <w:i/>
          <w:iCs/>
        </w:rPr>
        <w:t>Zuijs</w:t>
      </w:r>
      <w:proofErr w:type="spellEnd"/>
      <w:r w:rsidR="000C1DD7" w:rsidRPr="008F0407">
        <w:rPr>
          <w:rStyle w:val="FootnoteReference"/>
          <w:rFonts w:ascii="Times New Roman" w:hAnsi="Times New Roman"/>
          <w:iCs/>
          <w:sz w:val="24"/>
        </w:rPr>
        <w:footnoteReference w:id="130"/>
      </w:r>
      <w:r w:rsidR="002F687A" w:rsidRPr="008F0407">
        <w:rPr>
          <w:rFonts w:ascii="Times New Roman" w:hAnsi="Times New Roman"/>
          <w:iCs/>
        </w:rPr>
        <w:t xml:space="preserve"> itself,</w:t>
      </w:r>
      <w:r w:rsidR="00066FA1" w:rsidRPr="008F0407">
        <w:rPr>
          <w:rFonts w:ascii="Times New Roman" w:hAnsi="Times New Roman"/>
          <w:i/>
          <w:iCs/>
        </w:rPr>
        <w:t xml:space="preserve"> </w:t>
      </w:r>
      <w:r w:rsidR="00066FA1" w:rsidRPr="008F0407">
        <w:rPr>
          <w:rFonts w:ascii="Times New Roman" w:hAnsi="Times New Roman"/>
        </w:rPr>
        <w:t>emphasise</w:t>
      </w:r>
      <w:r w:rsidR="004222B0" w:rsidRPr="008F0407">
        <w:rPr>
          <w:rFonts w:ascii="Times New Roman" w:hAnsi="Times New Roman"/>
        </w:rPr>
        <w:t>d</w:t>
      </w:r>
      <w:r w:rsidR="00066FA1" w:rsidRPr="008F0407">
        <w:rPr>
          <w:rFonts w:ascii="Times New Roman" w:hAnsi="Times New Roman"/>
        </w:rPr>
        <w:t xml:space="preserve"> that it is the right of a person to control the work of the other</w:t>
      </w:r>
      <w:r w:rsidR="005F0889" w:rsidRPr="008F0407">
        <w:rPr>
          <w:rFonts w:ascii="Times New Roman" w:hAnsi="Times New Roman"/>
        </w:rPr>
        <w:t>,</w:t>
      </w:r>
      <w:r w:rsidR="00066FA1" w:rsidRPr="008F0407">
        <w:rPr>
          <w:rFonts w:ascii="Times New Roman" w:hAnsi="Times New Roman"/>
        </w:rPr>
        <w:t xml:space="preserve"> rather than the detail of the </w:t>
      </w:r>
      <w:r w:rsidR="004222B0" w:rsidRPr="008F0407">
        <w:rPr>
          <w:rFonts w:ascii="Times New Roman" w:hAnsi="Times New Roman"/>
        </w:rPr>
        <w:t xml:space="preserve">actual </w:t>
      </w:r>
      <w:r w:rsidR="00066FA1" w:rsidRPr="008F0407">
        <w:rPr>
          <w:rFonts w:ascii="Times New Roman" w:hAnsi="Times New Roman"/>
        </w:rPr>
        <w:lastRenderedPageBreak/>
        <w:t>exercise of control</w:t>
      </w:r>
      <w:r w:rsidR="005F0889" w:rsidRPr="008F0407">
        <w:rPr>
          <w:rFonts w:ascii="Times New Roman" w:hAnsi="Times New Roman"/>
        </w:rPr>
        <w:t>,</w:t>
      </w:r>
      <w:r w:rsidR="00066FA1" w:rsidRPr="008F0407">
        <w:rPr>
          <w:rFonts w:ascii="Times New Roman" w:hAnsi="Times New Roman"/>
        </w:rPr>
        <w:t xml:space="preserve"> </w:t>
      </w:r>
      <w:r w:rsidR="004137CF" w:rsidRPr="008F0407">
        <w:rPr>
          <w:rFonts w:ascii="Times New Roman" w:hAnsi="Times New Roman"/>
        </w:rPr>
        <w:t>which serves to indicate</w:t>
      </w:r>
      <w:r w:rsidR="00066FA1" w:rsidRPr="008F0407">
        <w:rPr>
          <w:rFonts w:ascii="Times New Roman" w:hAnsi="Times New Roman"/>
        </w:rPr>
        <w:t xml:space="preserve"> that a relationship is one of employer and employee. </w:t>
      </w:r>
    </w:p>
    <w:p w14:paraId="270A3705" w14:textId="1A1F5CB5" w:rsidR="00E03E94" w:rsidRPr="008F0407" w:rsidRDefault="00140391"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CE53D7" w:rsidRPr="008F0407">
        <w:rPr>
          <w:rFonts w:ascii="Times New Roman" w:hAnsi="Times New Roman"/>
        </w:rPr>
        <w:t>U</w:t>
      </w:r>
      <w:r w:rsidR="004F36F8" w:rsidRPr="008F0407">
        <w:rPr>
          <w:rFonts w:ascii="Times New Roman" w:hAnsi="Times New Roman"/>
        </w:rPr>
        <w:t>nder</w:t>
      </w:r>
      <w:r w:rsidR="00FC4A0F" w:rsidRPr="008F0407">
        <w:rPr>
          <w:rFonts w:ascii="Times New Roman" w:hAnsi="Times New Roman"/>
        </w:rPr>
        <w:t xml:space="preserve"> </w:t>
      </w:r>
      <w:r w:rsidR="00A16EB3" w:rsidRPr="008F0407">
        <w:rPr>
          <w:rFonts w:ascii="Times New Roman" w:hAnsi="Times New Roman"/>
        </w:rPr>
        <w:t>the ASA</w:t>
      </w:r>
      <w:r w:rsidR="00FC4A0F" w:rsidRPr="008F0407">
        <w:rPr>
          <w:rFonts w:ascii="Times New Roman" w:hAnsi="Times New Roman"/>
        </w:rPr>
        <w:t xml:space="preserve">, Construct was entitled </w:t>
      </w:r>
      <w:r w:rsidR="00A16EB3" w:rsidRPr="008F0407">
        <w:rPr>
          <w:rFonts w:ascii="Times New Roman" w:hAnsi="Times New Roman"/>
        </w:rPr>
        <w:t xml:space="preserve">to determine </w:t>
      </w:r>
      <w:r w:rsidR="008C3C80" w:rsidRPr="008F0407">
        <w:rPr>
          <w:rFonts w:ascii="Times New Roman" w:hAnsi="Times New Roman"/>
        </w:rPr>
        <w:t>for whom</w:t>
      </w:r>
      <w:r w:rsidR="00FC4A0F" w:rsidRPr="008F0407">
        <w:rPr>
          <w:rFonts w:ascii="Times New Roman" w:hAnsi="Times New Roman"/>
        </w:rPr>
        <w:t xml:space="preserve"> </w:t>
      </w:r>
      <w:r w:rsidR="00A16EB3" w:rsidRPr="008F0407">
        <w:rPr>
          <w:rFonts w:ascii="Times New Roman" w:hAnsi="Times New Roman"/>
        </w:rPr>
        <w:t>Mr McCourt</w:t>
      </w:r>
      <w:r w:rsidR="008C3C80" w:rsidRPr="008F0407">
        <w:rPr>
          <w:rFonts w:ascii="Times New Roman" w:hAnsi="Times New Roman"/>
        </w:rPr>
        <w:t xml:space="preserve"> would work</w:t>
      </w:r>
      <w:r w:rsidR="004222B0" w:rsidRPr="008F0407">
        <w:rPr>
          <w:rStyle w:val="FootnoteReference"/>
          <w:rFonts w:ascii="Times New Roman" w:hAnsi="Times New Roman"/>
          <w:sz w:val="24"/>
        </w:rPr>
        <w:footnoteReference w:id="131"/>
      </w:r>
      <w:r w:rsidR="00FF6569" w:rsidRPr="008F0407">
        <w:rPr>
          <w:rFonts w:ascii="Times New Roman" w:hAnsi="Times New Roman"/>
        </w:rPr>
        <w:t xml:space="preserve">. </w:t>
      </w:r>
      <w:r w:rsidR="00A77D5E" w:rsidRPr="008F0407">
        <w:rPr>
          <w:rFonts w:ascii="Times New Roman" w:hAnsi="Times New Roman"/>
        </w:rPr>
        <w:t>Once assigned to a client, Mr McCourt was obliged by</w:t>
      </w:r>
      <w:r w:rsidRPr="008F0407">
        <w:rPr>
          <w:rFonts w:ascii="Times New Roman" w:hAnsi="Times New Roman"/>
        </w:rPr>
        <w:t xml:space="preserve"> cl 4(a) </w:t>
      </w:r>
      <w:r w:rsidR="00E03E94" w:rsidRPr="008F0407">
        <w:rPr>
          <w:rFonts w:ascii="Times New Roman" w:hAnsi="Times New Roman"/>
        </w:rPr>
        <w:t>to "</w:t>
      </w:r>
      <w:r w:rsidR="001F17CD" w:rsidRPr="008F0407">
        <w:rPr>
          <w:rFonts w:ascii="Times New Roman" w:hAnsi="Times New Roman"/>
        </w:rPr>
        <w:t>[</w:t>
      </w:r>
      <w:r w:rsidR="00E03E94" w:rsidRPr="008F0407">
        <w:rPr>
          <w:rFonts w:ascii="Times New Roman" w:hAnsi="Times New Roman"/>
        </w:rPr>
        <w:t>c</w:t>
      </w:r>
      <w:r w:rsidR="001F17CD" w:rsidRPr="008F0407">
        <w:rPr>
          <w:rFonts w:ascii="Times New Roman" w:hAnsi="Times New Roman"/>
        </w:rPr>
        <w:t>]</w:t>
      </w:r>
      <w:r w:rsidR="00E03E94" w:rsidRPr="008F0407">
        <w:rPr>
          <w:rFonts w:ascii="Times New Roman" w:hAnsi="Times New Roman"/>
        </w:rPr>
        <w:t xml:space="preserve">o-operate in all respects with Construct and </w:t>
      </w:r>
      <w:r w:rsidR="00A77D5E" w:rsidRPr="008F0407">
        <w:rPr>
          <w:rFonts w:ascii="Times New Roman" w:hAnsi="Times New Roman"/>
        </w:rPr>
        <w:t>the builder</w:t>
      </w:r>
      <w:r w:rsidR="00E03E94" w:rsidRPr="008F0407">
        <w:rPr>
          <w:rFonts w:ascii="Times New Roman" w:hAnsi="Times New Roman"/>
        </w:rPr>
        <w:t xml:space="preserve"> in the supply of labour to </w:t>
      </w:r>
      <w:r w:rsidR="00A77D5E" w:rsidRPr="008F0407">
        <w:rPr>
          <w:rFonts w:ascii="Times New Roman" w:hAnsi="Times New Roman"/>
        </w:rPr>
        <w:t>the Builder</w:t>
      </w:r>
      <w:r w:rsidR="00E03E94" w:rsidRPr="008F0407">
        <w:rPr>
          <w:rFonts w:ascii="Times New Roman" w:hAnsi="Times New Roman"/>
        </w:rPr>
        <w:t>"</w:t>
      </w:r>
      <w:r w:rsidR="00A77D5E" w:rsidRPr="008F0407">
        <w:rPr>
          <w:rFonts w:ascii="Times New Roman" w:hAnsi="Times New Roman"/>
        </w:rPr>
        <w:t>. That obligation</w:t>
      </w:r>
      <w:r w:rsidR="00E03E94" w:rsidRPr="008F0407">
        <w:rPr>
          <w:rFonts w:ascii="Times New Roman" w:hAnsi="Times New Roman"/>
        </w:rPr>
        <w:t xml:space="preserve"> </w:t>
      </w:r>
      <w:r w:rsidRPr="008F0407">
        <w:rPr>
          <w:rFonts w:ascii="Times New Roman" w:hAnsi="Times New Roman"/>
        </w:rPr>
        <w:t xml:space="preserve">must be understood in context. </w:t>
      </w:r>
      <w:r w:rsidR="00CE5FA2" w:rsidRPr="008F0407">
        <w:rPr>
          <w:rFonts w:ascii="Times New Roman" w:hAnsi="Times New Roman"/>
        </w:rPr>
        <w:t>It</w:t>
      </w:r>
      <w:r w:rsidR="004361AE" w:rsidRPr="008F0407">
        <w:rPr>
          <w:rFonts w:ascii="Times New Roman" w:hAnsi="Times New Roman"/>
        </w:rPr>
        <w:t xml:space="preserve"> was not directed towards the</w:t>
      </w:r>
      <w:r w:rsidRPr="008F0407">
        <w:rPr>
          <w:rFonts w:ascii="Times New Roman" w:hAnsi="Times New Roman"/>
        </w:rPr>
        <w:t xml:space="preserve"> carrying out of any </w:t>
      </w:r>
      <w:proofErr w:type="gramStart"/>
      <w:r w:rsidRPr="008F0407">
        <w:rPr>
          <w:rFonts w:ascii="Times New Roman" w:hAnsi="Times New Roman"/>
        </w:rPr>
        <w:t>particular task</w:t>
      </w:r>
      <w:proofErr w:type="gramEnd"/>
      <w:r w:rsidRPr="008F0407">
        <w:rPr>
          <w:rFonts w:ascii="Times New Roman" w:hAnsi="Times New Roman"/>
        </w:rPr>
        <w:t xml:space="preserve">, or </w:t>
      </w:r>
      <w:r w:rsidR="004361AE" w:rsidRPr="008F0407">
        <w:rPr>
          <w:rFonts w:ascii="Times New Roman" w:hAnsi="Times New Roman"/>
        </w:rPr>
        <w:t>the effec</w:t>
      </w:r>
      <w:r w:rsidR="00EC116D" w:rsidRPr="008F0407">
        <w:rPr>
          <w:rFonts w:ascii="Times New Roman" w:hAnsi="Times New Roman"/>
        </w:rPr>
        <w:t>ting of</w:t>
      </w:r>
      <w:r w:rsidRPr="008F0407">
        <w:rPr>
          <w:rFonts w:ascii="Times New Roman" w:hAnsi="Times New Roman"/>
        </w:rPr>
        <w:t xml:space="preserve"> any specific result, for Hanssen. </w:t>
      </w:r>
      <w:r w:rsidR="005109CF" w:rsidRPr="008F0407">
        <w:rPr>
          <w:rFonts w:ascii="Times New Roman" w:hAnsi="Times New Roman"/>
        </w:rPr>
        <w:t>T</w:t>
      </w:r>
      <w:r w:rsidRPr="008F0407">
        <w:rPr>
          <w:rFonts w:ascii="Times New Roman" w:hAnsi="Times New Roman"/>
        </w:rPr>
        <w:t xml:space="preserve">here </w:t>
      </w:r>
      <w:r w:rsidR="00EC116D" w:rsidRPr="008F0407">
        <w:rPr>
          <w:rFonts w:ascii="Times New Roman" w:hAnsi="Times New Roman"/>
        </w:rPr>
        <w:t>wa</w:t>
      </w:r>
      <w:r w:rsidRPr="008F0407">
        <w:rPr>
          <w:rFonts w:ascii="Times New Roman" w:hAnsi="Times New Roman"/>
        </w:rPr>
        <w:t xml:space="preserve">s no suggestion that the work </w:t>
      </w:r>
      <w:r w:rsidR="005109CF" w:rsidRPr="008F0407">
        <w:rPr>
          <w:rFonts w:ascii="Times New Roman" w:hAnsi="Times New Roman"/>
        </w:rPr>
        <w:t xml:space="preserve">Mr McCourt </w:t>
      </w:r>
      <w:r w:rsidRPr="008F0407">
        <w:rPr>
          <w:rFonts w:ascii="Times New Roman" w:hAnsi="Times New Roman"/>
        </w:rPr>
        <w:t xml:space="preserve">agreed to do would involve the exercise of any discretion on his part, either as to what he would do or </w:t>
      </w:r>
      <w:r w:rsidR="00B363C0" w:rsidRPr="008F0407">
        <w:rPr>
          <w:rFonts w:ascii="Times New Roman" w:hAnsi="Times New Roman"/>
        </w:rPr>
        <w:t xml:space="preserve">as to </w:t>
      </w:r>
      <w:r w:rsidRPr="008F0407">
        <w:rPr>
          <w:rFonts w:ascii="Times New Roman" w:hAnsi="Times New Roman"/>
        </w:rPr>
        <w:t xml:space="preserve">how he would do it. Mr McCourt's obligation to </w:t>
      </w:r>
      <w:r w:rsidR="00D9013B" w:rsidRPr="008F0407">
        <w:rPr>
          <w:rFonts w:ascii="Times New Roman" w:hAnsi="Times New Roman"/>
        </w:rPr>
        <w:t>"</w:t>
      </w:r>
      <w:r w:rsidRPr="008F0407">
        <w:rPr>
          <w:rFonts w:ascii="Times New Roman" w:hAnsi="Times New Roman"/>
        </w:rPr>
        <w:t xml:space="preserve">supply </w:t>
      </w:r>
      <w:r w:rsidR="006A531E" w:rsidRPr="008F0407">
        <w:rPr>
          <w:rFonts w:ascii="Times New Roman" w:hAnsi="Times New Roman"/>
        </w:rPr>
        <w:t xml:space="preserve">... </w:t>
      </w:r>
      <w:r w:rsidRPr="008F0407">
        <w:rPr>
          <w:rFonts w:ascii="Times New Roman" w:hAnsi="Times New Roman"/>
        </w:rPr>
        <w:t>labour</w:t>
      </w:r>
      <w:r w:rsidR="00D9013B" w:rsidRPr="008F0407">
        <w:rPr>
          <w:rFonts w:ascii="Times New Roman" w:hAnsi="Times New Roman"/>
        </w:rPr>
        <w:t>"</w:t>
      </w:r>
      <w:r w:rsidR="0086091A" w:rsidRPr="008F0407">
        <w:rPr>
          <w:rFonts w:ascii="Times New Roman" w:hAnsi="Times New Roman"/>
        </w:rPr>
        <w:t xml:space="preserve"> </w:t>
      </w:r>
      <w:r w:rsidRPr="008F0407">
        <w:rPr>
          <w:rFonts w:ascii="Times New Roman" w:hAnsi="Times New Roman"/>
        </w:rPr>
        <w:t>in cooperation with Hanssen necessarily meant that he agreed</w:t>
      </w:r>
      <w:r w:rsidR="00AF4507" w:rsidRPr="008F0407">
        <w:rPr>
          <w:rFonts w:ascii="Times New Roman" w:hAnsi="Times New Roman"/>
        </w:rPr>
        <w:t>, for the duration of the assignment,</w:t>
      </w:r>
      <w:r w:rsidRPr="008F0407">
        <w:rPr>
          <w:rFonts w:ascii="Times New Roman" w:hAnsi="Times New Roman"/>
        </w:rPr>
        <w:t xml:space="preserve"> to work in accordance with Hanssen's directions</w:t>
      </w:r>
      <w:r w:rsidR="003A16DF" w:rsidRPr="008F0407">
        <w:rPr>
          <w:rFonts w:ascii="Times New Roman" w:hAnsi="Times New Roman"/>
        </w:rPr>
        <w:t>.</w:t>
      </w:r>
      <w:r w:rsidRPr="008F0407">
        <w:rPr>
          <w:rFonts w:ascii="Times New Roman" w:hAnsi="Times New Roman"/>
        </w:rPr>
        <w:t xml:space="preserve"> </w:t>
      </w:r>
      <w:r w:rsidR="003A16DF" w:rsidRPr="008F0407">
        <w:rPr>
          <w:rFonts w:ascii="Times New Roman" w:hAnsi="Times New Roman"/>
        </w:rPr>
        <w:t>H</w:t>
      </w:r>
      <w:r w:rsidRPr="008F0407">
        <w:rPr>
          <w:rFonts w:ascii="Times New Roman" w:hAnsi="Times New Roman"/>
        </w:rPr>
        <w:t xml:space="preserve">e was simply not permitted to do otherwise. </w:t>
      </w:r>
      <w:r w:rsidR="003A16DF" w:rsidRPr="008F0407">
        <w:rPr>
          <w:rFonts w:ascii="Times New Roman" w:hAnsi="Times New Roman"/>
        </w:rPr>
        <w:t>Had Mr McCourt breached cl 4(a), Construct (not Hanssen) would have been entitled to terminate the ASA.</w:t>
      </w:r>
    </w:p>
    <w:p w14:paraId="33C83412" w14:textId="1D0BEF2A" w:rsidR="00FA7A99" w:rsidRPr="008F0407" w:rsidRDefault="00E03E94"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140391" w:rsidRPr="008F0407">
        <w:rPr>
          <w:rFonts w:ascii="Times New Roman" w:hAnsi="Times New Roman"/>
        </w:rPr>
        <w:t>Mr McCourt</w:t>
      </w:r>
      <w:r w:rsidR="003A16DF" w:rsidRPr="008F0407">
        <w:rPr>
          <w:rFonts w:ascii="Times New Roman" w:hAnsi="Times New Roman"/>
        </w:rPr>
        <w:t>'s</w:t>
      </w:r>
      <w:r w:rsidR="00140391" w:rsidRPr="008F0407">
        <w:rPr>
          <w:rFonts w:ascii="Times New Roman" w:hAnsi="Times New Roman"/>
        </w:rPr>
        <w:t xml:space="preserve"> performance of that obligation was unambiguously central to Construct's business</w:t>
      </w:r>
      <w:r w:rsidR="003A16DF" w:rsidRPr="008F0407">
        <w:rPr>
          <w:rFonts w:ascii="Times New Roman" w:hAnsi="Times New Roman"/>
        </w:rPr>
        <w:t xml:space="preserve"> of supplying labour to builders</w:t>
      </w:r>
      <w:r w:rsidR="00140391" w:rsidRPr="008F0407">
        <w:rPr>
          <w:rFonts w:ascii="Times New Roman" w:hAnsi="Times New Roman"/>
        </w:rPr>
        <w:t>. In referring Mr McCourt to Hanssen, Construct was exercising</w:t>
      </w:r>
      <w:r w:rsidR="003A16DF" w:rsidRPr="008F0407">
        <w:rPr>
          <w:rFonts w:ascii="Times New Roman" w:hAnsi="Times New Roman"/>
        </w:rPr>
        <w:t>, and commercialising,</w:t>
      </w:r>
      <w:r w:rsidR="00140391" w:rsidRPr="008F0407">
        <w:rPr>
          <w:rFonts w:ascii="Times New Roman" w:hAnsi="Times New Roman"/>
        </w:rPr>
        <w:t xml:space="preserve"> its right to control </w:t>
      </w:r>
      <w:r w:rsidR="00CF2A9A" w:rsidRPr="008F0407">
        <w:rPr>
          <w:rFonts w:ascii="Times New Roman" w:hAnsi="Times New Roman"/>
        </w:rPr>
        <w:t xml:space="preserve">the work that </w:t>
      </w:r>
      <w:r w:rsidR="00140391" w:rsidRPr="008F0407">
        <w:rPr>
          <w:rFonts w:ascii="Times New Roman" w:hAnsi="Times New Roman"/>
        </w:rPr>
        <w:t xml:space="preserve">Mr McCourt would do and how he would do it. </w:t>
      </w:r>
      <w:r w:rsidR="00F97D0E" w:rsidRPr="008F0407">
        <w:rPr>
          <w:rFonts w:ascii="Times New Roman" w:hAnsi="Times New Roman"/>
        </w:rPr>
        <w:t>The marketability of Construct's services as a labour</w:t>
      </w:r>
      <w:r w:rsidR="00F97D0E" w:rsidRPr="008F0407">
        <w:rPr>
          <w:rFonts w:ascii="Times New Roman" w:hAnsi="Times New Roman"/>
        </w:rPr>
        <w:noBreakHyphen/>
        <w:t xml:space="preserve">hire agency turned on its ability to supply compliant labour; without that subservience, that labour would be of no use to Construct's clients. </w:t>
      </w:r>
      <w:r w:rsidR="00E71548" w:rsidRPr="008F0407">
        <w:rPr>
          <w:rFonts w:ascii="Times New Roman" w:hAnsi="Times New Roman"/>
        </w:rPr>
        <w:t>That right</w:t>
      </w:r>
      <w:r w:rsidR="00AB5160" w:rsidRPr="008F0407">
        <w:rPr>
          <w:rFonts w:ascii="Times New Roman" w:hAnsi="Times New Roman"/>
        </w:rPr>
        <w:t xml:space="preserve"> </w:t>
      </w:r>
      <w:r w:rsidR="00F97D0E" w:rsidRPr="008F0407">
        <w:rPr>
          <w:rFonts w:ascii="Times New Roman" w:hAnsi="Times New Roman"/>
        </w:rPr>
        <w:t xml:space="preserve">of </w:t>
      </w:r>
      <w:r w:rsidR="00E63068" w:rsidRPr="008F0407">
        <w:rPr>
          <w:rFonts w:ascii="Times New Roman" w:hAnsi="Times New Roman"/>
        </w:rPr>
        <w:t xml:space="preserve">control </w:t>
      </w:r>
      <w:r w:rsidR="00AB5160" w:rsidRPr="008F0407">
        <w:rPr>
          <w:rFonts w:ascii="Times New Roman" w:hAnsi="Times New Roman"/>
        </w:rPr>
        <w:t xml:space="preserve">was </w:t>
      </w:r>
      <w:r w:rsidR="00F97D0E" w:rsidRPr="008F0407">
        <w:rPr>
          <w:rFonts w:ascii="Times New Roman" w:hAnsi="Times New Roman"/>
        </w:rPr>
        <w:t>therefore the key</w:t>
      </w:r>
      <w:r w:rsidR="00AB5160" w:rsidRPr="008F0407">
        <w:rPr>
          <w:rFonts w:ascii="Times New Roman" w:hAnsi="Times New Roman"/>
        </w:rPr>
        <w:t xml:space="preserve"> asset of Construct's business</w:t>
      </w:r>
      <w:r w:rsidR="00575423" w:rsidRPr="008F0407">
        <w:rPr>
          <w:rFonts w:ascii="Times New Roman" w:hAnsi="Times New Roman"/>
        </w:rPr>
        <w:t xml:space="preserve">. Its </w:t>
      </w:r>
      <w:r w:rsidR="00E71548" w:rsidRPr="008F0407">
        <w:rPr>
          <w:rFonts w:ascii="Times New Roman" w:hAnsi="Times New Roman"/>
        </w:rPr>
        <w:t>significance</w:t>
      </w:r>
      <w:r w:rsidR="00A24D27" w:rsidRPr="008F0407">
        <w:rPr>
          <w:rFonts w:ascii="Times New Roman" w:hAnsi="Times New Roman"/>
        </w:rPr>
        <w:t xml:space="preserve"> was not diminished </w:t>
      </w:r>
      <w:r w:rsidR="008F57E4" w:rsidRPr="008F0407">
        <w:rPr>
          <w:rFonts w:ascii="Times New Roman" w:hAnsi="Times New Roman"/>
        </w:rPr>
        <w:t xml:space="preserve">by the circumstance that </w:t>
      </w:r>
      <w:r w:rsidR="00575423" w:rsidRPr="008F0407">
        <w:rPr>
          <w:rFonts w:ascii="Times New Roman" w:hAnsi="Times New Roman"/>
        </w:rPr>
        <w:t xml:space="preserve">the minutiae of </w:t>
      </w:r>
      <w:r w:rsidR="008F57E4" w:rsidRPr="008F0407">
        <w:rPr>
          <w:rFonts w:ascii="Times New Roman" w:hAnsi="Times New Roman"/>
        </w:rPr>
        <w:t>Mr McCourt</w:t>
      </w:r>
      <w:r w:rsidR="00575423" w:rsidRPr="008F0407">
        <w:rPr>
          <w:rFonts w:ascii="Times New Roman" w:hAnsi="Times New Roman"/>
        </w:rPr>
        <w:t>'s</w:t>
      </w:r>
      <w:r w:rsidR="002837CE" w:rsidRPr="008F0407">
        <w:rPr>
          <w:rFonts w:ascii="Times New Roman" w:hAnsi="Times New Roman"/>
        </w:rPr>
        <w:t xml:space="preserve"> </w:t>
      </w:r>
      <w:r w:rsidR="00575423" w:rsidRPr="008F0407">
        <w:rPr>
          <w:rFonts w:ascii="Times New Roman" w:hAnsi="Times New Roman"/>
        </w:rPr>
        <w:t xml:space="preserve">performance of daily tasks </w:t>
      </w:r>
      <w:r w:rsidR="008839F7" w:rsidRPr="008F0407">
        <w:rPr>
          <w:rFonts w:ascii="Times New Roman" w:hAnsi="Times New Roman"/>
        </w:rPr>
        <w:t xml:space="preserve">were </w:t>
      </w:r>
      <w:r w:rsidR="00575423" w:rsidRPr="008F0407">
        <w:rPr>
          <w:rFonts w:ascii="Times New Roman" w:hAnsi="Times New Roman"/>
        </w:rPr>
        <w:t xml:space="preserve">at the direction of </w:t>
      </w:r>
      <w:r w:rsidR="00A16EB3" w:rsidRPr="008F0407">
        <w:rPr>
          <w:rFonts w:ascii="Times New Roman" w:hAnsi="Times New Roman"/>
        </w:rPr>
        <w:t xml:space="preserve">Hanssen. </w:t>
      </w:r>
      <w:r w:rsidR="00A81D5F" w:rsidRPr="008F0407">
        <w:rPr>
          <w:rFonts w:ascii="Times New Roman" w:hAnsi="Times New Roman"/>
        </w:rPr>
        <w:t>Indeed, the right of control held by Construct over Mr McCourt explains why there was no need for any contractual relationship between Mr McCourt and Hanssen in order to support Hanssen's ability to issue day</w:t>
      </w:r>
      <w:r w:rsidR="00A81D5F" w:rsidRPr="008F0407">
        <w:rPr>
          <w:rFonts w:ascii="Times New Roman" w:hAnsi="Times New Roman"/>
        </w:rPr>
        <w:noBreakHyphen/>
        <w:t>to</w:t>
      </w:r>
      <w:r w:rsidR="00A81D5F" w:rsidRPr="008F0407">
        <w:rPr>
          <w:rFonts w:ascii="Times New Roman" w:hAnsi="Times New Roman"/>
        </w:rPr>
        <w:noBreakHyphen/>
        <w:t>day directions to Mr McCourt.</w:t>
      </w:r>
    </w:p>
    <w:p w14:paraId="1C964E95" w14:textId="147388AD" w:rsidR="0012664D" w:rsidRPr="008F0407" w:rsidRDefault="0012664D" w:rsidP="008F0407">
      <w:pPr>
        <w:pStyle w:val="FixListStyle"/>
        <w:spacing w:after="260" w:line="280" w:lineRule="exact"/>
        <w:ind w:right="0"/>
        <w:jc w:val="both"/>
        <w:rPr>
          <w:rFonts w:ascii="Times New Roman" w:hAnsi="Times New Roman"/>
        </w:rPr>
      </w:pPr>
      <w:r w:rsidRPr="008F0407">
        <w:rPr>
          <w:rFonts w:ascii="Times New Roman" w:hAnsi="Times New Roman"/>
        </w:rPr>
        <w:tab/>
        <w:t xml:space="preserve">Mr McCourt had no right to exercise any control over what work he was to do and how that work was </w:t>
      </w:r>
      <w:r w:rsidR="00575423" w:rsidRPr="008F0407">
        <w:rPr>
          <w:rFonts w:ascii="Times New Roman" w:hAnsi="Times New Roman"/>
        </w:rPr>
        <w:t>to be carried out</w:t>
      </w:r>
      <w:r w:rsidRPr="008F0407">
        <w:rPr>
          <w:rFonts w:ascii="Times New Roman" w:hAnsi="Times New Roman"/>
        </w:rPr>
        <w:t xml:space="preserve">. That </w:t>
      </w:r>
      <w:proofErr w:type="gramStart"/>
      <w:r w:rsidRPr="008F0407">
        <w:rPr>
          <w:rFonts w:ascii="Times New Roman" w:hAnsi="Times New Roman"/>
        </w:rPr>
        <w:t>state of affairs was</w:t>
      </w:r>
      <w:proofErr w:type="gramEnd"/>
      <w:r w:rsidRPr="008F0407">
        <w:rPr>
          <w:rFonts w:ascii="Times New Roman" w:hAnsi="Times New Roman"/>
        </w:rPr>
        <w:t xml:space="preserve"> attributable </w:t>
      </w:r>
      <w:r w:rsidR="004868A7" w:rsidRPr="008F0407">
        <w:rPr>
          <w:rFonts w:ascii="Times New Roman" w:hAnsi="Times New Roman"/>
        </w:rPr>
        <w:t>to the ASA, by which</w:t>
      </w:r>
      <w:r w:rsidRPr="008F0407">
        <w:rPr>
          <w:rFonts w:ascii="Times New Roman" w:hAnsi="Times New Roman"/>
        </w:rPr>
        <w:t xml:space="preserve"> Mr McCourt's work was subordinated to Construct's right of control</w:t>
      </w:r>
      <w:r w:rsidR="004868A7" w:rsidRPr="008F0407">
        <w:rPr>
          <w:rFonts w:ascii="Times New Roman" w:hAnsi="Times New Roman"/>
        </w:rPr>
        <w:t>.</w:t>
      </w:r>
    </w:p>
    <w:p w14:paraId="7874DF0F" w14:textId="27DAAB28" w:rsidR="007153BF" w:rsidRPr="008F0407" w:rsidRDefault="00E24B3A"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0B2947" w:rsidRPr="008F0407">
        <w:rPr>
          <w:rFonts w:ascii="Times New Roman" w:hAnsi="Times New Roman"/>
        </w:rPr>
        <w:t xml:space="preserve">Contrary to Construct's submissions, and </w:t>
      </w:r>
      <w:r w:rsidR="00F53BA4" w:rsidRPr="008F0407">
        <w:rPr>
          <w:rFonts w:ascii="Times New Roman" w:hAnsi="Times New Roman"/>
        </w:rPr>
        <w:t xml:space="preserve">to </w:t>
      </w:r>
      <w:r w:rsidR="000B2947" w:rsidRPr="008F0407">
        <w:rPr>
          <w:rFonts w:ascii="Times New Roman" w:hAnsi="Times New Roman"/>
        </w:rPr>
        <w:t>the observations of Lee J</w:t>
      </w:r>
      <w:r w:rsidR="000B2947" w:rsidRPr="008F0407">
        <w:rPr>
          <w:rStyle w:val="FootnoteReference"/>
          <w:rFonts w:ascii="Times New Roman" w:hAnsi="Times New Roman"/>
          <w:sz w:val="24"/>
        </w:rPr>
        <w:footnoteReference w:id="132"/>
      </w:r>
      <w:r w:rsidR="000B2947" w:rsidRPr="008F0407">
        <w:rPr>
          <w:rFonts w:ascii="Times New Roman" w:hAnsi="Times New Roman"/>
        </w:rPr>
        <w:t>, there is nothing in the tripartite nature of a labour</w:t>
      </w:r>
      <w:r w:rsidR="000B2947" w:rsidRPr="008F0407">
        <w:rPr>
          <w:rFonts w:ascii="Times New Roman" w:hAnsi="Times New Roman"/>
        </w:rPr>
        <w:noBreakHyphen/>
        <w:t>hire arrangement that</w:t>
      </w:r>
      <w:r w:rsidR="00E632A4" w:rsidRPr="008F0407">
        <w:rPr>
          <w:rFonts w:ascii="Times New Roman" w:hAnsi="Times New Roman"/>
        </w:rPr>
        <w:t xml:space="preserve"> pr</w:t>
      </w:r>
      <w:r w:rsidR="00F05DAA" w:rsidRPr="008F0407">
        <w:rPr>
          <w:rFonts w:ascii="Times New Roman" w:hAnsi="Times New Roman"/>
        </w:rPr>
        <w:t>e</w:t>
      </w:r>
      <w:r w:rsidR="00E632A4" w:rsidRPr="008F0407">
        <w:rPr>
          <w:rFonts w:ascii="Times New Roman" w:hAnsi="Times New Roman"/>
        </w:rPr>
        <w:t>clude</w:t>
      </w:r>
      <w:r w:rsidR="00AA7DBE" w:rsidRPr="008F0407">
        <w:rPr>
          <w:rFonts w:ascii="Times New Roman" w:hAnsi="Times New Roman"/>
        </w:rPr>
        <w:t>s</w:t>
      </w:r>
      <w:r w:rsidR="00E632A4" w:rsidRPr="008F0407">
        <w:rPr>
          <w:rFonts w:ascii="Times New Roman" w:hAnsi="Times New Roman"/>
        </w:rPr>
        <w:t xml:space="preserve"> </w:t>
      </w:r>
      <w:r w:rsidR="006B7785" w:rsidRPr="008F0407">
        <w:rPr>
          <w:rFonts w:ascii="Times New Roman" w:hAnsi="Times New Roman"/>
        </w:rPr>
        <w:t>recognition of</w:t>
      </w:r>
      <w:r w:rsidR="00F0037A" w:rsidRPr="008F0407">
        <w:rPr>
          <w:rFonts w:ascii="Times New Roman" w:hAnsi="Times New Roman"/>
        </w:rPr>
        <w:t xml:space="preserve"> </w:t>
      </w:r>
      <w:r w:rsidR="00E632A4" w:rsidRPr="008F0407">
        <w:rPr>
          <w:rFonts w:ascii="Times New Roman" w:hAnsi="Times New Roman"/>
        </w:rPr>
        <w:t xml:space="preserve">Construct's </w:t>
      </w:r>
      <w:r w:rsidR="00CD0E17" w:rsidRPr="008F0407">
        <w:rPr>
          <w:rFonts w:ascii="Times New Roman" w:hAnsi="Times New Roman"/>
        </w:rPr>
        <w:t xml:space="preserve">contractual </w:t>
      </w:r>
      <w:r w:rsidR="00E632A4" w:rsidRPr="008F0407">
        <w:rPr>
          <w:rFonts w:ascii="Times New Roman" w:hAnsi="Times New Roman"/>
        </w:rPr>
        <w:t>right to control</w:t>
      </w:r>
      <w:r w:rsidR="000D4E6A" w:rsidRPr="008F0407">
        <w:rPr>
          <w:rFonts w:ascii="Times New Roman" w:hAnsi="Times New Roman"/>
        </w:rPr>
        <w:t xml:space="preserve"> the provision of</w:t>
      </w:r>
      <w:r w:rsidR="00E632A4" w:rsidRPr="008F0407">
        <w:rPr>
          <w:rFonts w:ascii="Times New Roman" w:hAnsi="Times New Roman"/>
        </w:rPr>
        <w:t xml:space="preserve"> Mr McCourt's </w:t>
      </w:r>
      <w:r w:rsidR="00A01260" w:rsidRPr="008F0407">
        <w:rPr>
          <w:rFonts w:ascii="Times New Roman" w:hAnsi="Times New Roman"/>
        </w:rPr>
        <w:t>labour</w:t>
      </w:r>
      <w:r w:rsidR="00E47525" w:rsidRPr="008F0407">
        <w:rPr>
          <w:rFonts w:ascii="Times New Roman" w:hAnsi="Times New Roman"/>
        </w:rPr>
        <w:t xml:space="preserve"> to its customers</w:t>
      </w:r>
      <w:r w:rsidR="00221A1E" w:rsidRPr="008F0407">
        <w:rPr>
          <w:rFonts w:ascii="Times New Roman" w:hAnsi="Times New Roman"/>
        </w:rPr>
        <w:t xml:space="preserve">, and the significance of that right </w:t>
      </w:r>
      <w:r w:rsidR="00F803B8" w:rsidRPr="008F0407">
        <w:rPr>
          <w:rFonts w:ascii="Times New Roman" w:hAnsi="Times New Roman"/>
        </w:rPr>
        <w:t xml:space="preserve">to the </w:t>
      </w:r>
      <w:r w:rsidR="00F803B8" w:rsidRPr="008F0407">
        <w:rPr>
          <w:rFonts w:ascii="Times New Roman" w:hAnsi="Times New Roman"/>
        </w:rPr>
        <w:lastRenderedPageBreak/>
        <w:t xml:space="preserve">relationship </w:t>
      </w:r>
      <w:r w:rsidR="00221A1E" w:rsidRPr="008F0407">
        <w:rPr>
          <w:rFonts w:ascii="Times New Roman" w:hAnsi="Times New Roman"/>
        </w:rPr>
        <w:t>between Construct and Mr McCourt</w:t>
      </w:r>
      <w:r w:rsidR="00E632A4" w:rsidRPr="008F0407">
        <w:rPr>
          <w:rFonts w:ascii="Times New Roman" w:hAnsi="Times New Roman"/>
        </w:rPr>
        <w:t xml:space="preserve">. </w:t>
      </w:r>
      <w:r w:rsidR="00F3539B" w:rsidRPr="008F0407">
        <w:rPr>
          <w:rFonts w:ascii="Times New Roman" w:hAnsi="Times New Roman"/>
        </w:rPr>
        <w:t>As between Construct</w:t>
      </w:r>
      <w:r w:rsidR="009878D3" w:rsidRPr="008F0407">
        <w:rPr>
          <w:rFonts w:ascii="Times New Roman" w:hAnsi="Times New Roman"/>
        </w:rPr>
        <w:t>, Mr McCourt and Hanssen,</w:t>
      </w:r>
      <w:r w:rsidR="00F3539B" w:rsidRPr="008F0407">
        <w:rPr>
          <w:rFonts w:ascii="Times New Roman" w:hAnsi="Times New Roman"/>
        </w:rPr>
        <w:t xml:space="preserve"> it was only</w:t>
      </w:r>
      <w:r w:rsidR="009B5DBD" w:rsidRPr="008F0407">
        <w:rPr>
          <w:rFonts w:ascii="Times New Roman" w:hAnsi="Times New Roman"/>
        </w:rPr>
        <w:t xml:space="preserve"> by reason of Mr McCourt's promise</w:t>
      </w:r>
      <w:r w:rsidR="00F3539B" w:rsidRPr="008F0407">
        <w:rPr>
          <w:rFonts w:ascii="Times New Roman" w:hAnsi="Times New Roman"/>
        </w:rPr>
        <w:t xml:space="preserve"> to Construct that Mr McCourt was bound to work as directed</w:t>
      </w:r>
      <w:r w:rsidR="00EF4AF5" w:rsidRPr="008F0407">
        <w:rPr>
          <w:rFonts w:ascii="Times New Roman" w:hAnsi="Times New Roman"/>
        </w:rPr>
        <w:t xml:space="preserve"> by Hanssen</w:t>
      </w:r>
      <w:r w:rsidR="00F3539B" w:rsidRPr="008F0407">
        <w:rPr>
          <w:rFonts w:ascii="Times New Roman" w:hAnsi="Times New Roman"/>
        </w:rPr>
        <w:t>.</w:t>
      </w:r>
      <w:r w:rsidR="00F71A3D" w:rsidRPr="008F0407">
        <w:rPr>
          <w:rFonts w:ascii="Times New Roman" w:hAnsi="Times New Roman"/>
        </w:rPr>
        <w:t xml:space="preserve"> </w:t>
      </w:r>
    </w:p>
    <w:p w14:paraId="402CBE99" w14:textId="5F6A9960" w:rsidR="00571947" w:rsidRPr="008F0407" w:rsidRDefault="00CF572C" w:rsidP="008F0407">
      <w:pPr>
        <w:pStyle w:val="HeadingL1"/>
        <w:spacing w:after="260" w:line="280" w:lineRule="exact"/>
        <w:ind w:right="0"/>
        <w:jc w:val="both"/>
        <w:rPr>
          <w:rFonts w:ascii="Times New Roman" w:hAnsi="Times New Roman"/>
        </w:rPr>
      </w:pPr>
      <w:r w:rsidRPr="008F0407">
        <w:rPr>
          <w:rFonts w:ascii="Times New Roman" w:hAnsi="Times New Roman"/>
        </w:rPr>
        <w:t>Mr McCourt</w:t>
      </w:r>
      <w:r w:rsidR="008E000D" w:rsidRPr="008F0407">
        <w:rPr>
          <w:rFonts w:ascii="Times New Roman" w:hAnsi="Times New Roman"/>
        </w:rPr>
        <w:t>'s designation as "the Contractor" is of no moment</w:t>
      </w:r>
    </w:p>
    <w:p w14:paraId="5A58B012" w14:textId="75EC9D6A" w:rsidR="008719AE" w:rsidRPr="008F0407" w:rsidRDefault="009F287B"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B84E6A" w:rsidRPr="008F0407">
        <w:rPr>
          <w:rFonts w:ascii="Times New Roman" w:hAnsi="Times New Roman"/>
        </w:rPr>
        <w:t xml:space="preserve">The ASA </w:t>
      </w:r>
      <w:r w:rsidR="008E331A" w:rsidRPr="008F0407">
        <w:rPr>
          <w:rFonts w:ascii="Times New Roman" w:hAnsi="Times New Roman"/>
        </w:rPr>
        <w:t>described</w:t>
      </w:r>
      <w:r w:rsidR="00B84E6A" w:rsidRPr="008F0407">
        <w:rPr>
          <w:rFonts w:ascii="Times New Roman" w:hAnsi="Times New Roman"/>
        </w:rPr>
        <w:t xml:space="preserve"> Mr McCourt as </w:t>
      </w:r>
      <w:r w:rsidR="008E000D" w:rsidRPr="008F0407">
        <w:rPr>
          <w:rFonts w:ascii="Times New Roman" w:hAnsi="Times New Roman"/>
        </w:rPr>
        <w:t>"</w:t>
      </w:r>
      <w:r w:rsidR="00B84E6A" w:rsidRPr="008F0407">
        <w:rPr>
          <w:rFonts w:ascii="Times New Roman" w:hAnsi="Times New Roman"/>
        </w:rPr>
        <w:t xml:space="preserve">the Contractor". But the effect of the rights and duties created by the ASA was that Mr McCourt was engaged </w:t>
      </w:r>
      <w:r w:rsidR="00910F4E" w:rsidRPr="008F0407">
        <w:rPr>
          <w:rFonts w:ascii="Times New Roman" w:hAnsi="Times New Roman"/>
        </w:rPr>
        <w:t xml:space="preserve">by Construct </w:t>
      </w:r>
      <w:r w:rsidR="00B84E6A" w:rsidRPr="008F0407">
        <w:rPr>
          <w:rFonts w:ascii="Times New Roman" w:hAnsi="Times New Roman"/>
        </w:rPr>
        <w:t xml:space="preserve">to serve Construct in its business. </w:t>
      </w:r>
      <w:r w:rsidR="00876AFF" w:rsidRPr="008F0407">
        <w:rPr>
          <w:rFonts w:ascii="Times New Roman" w:hAnsi="Times New Roman"/>
        </w:rPr>
        <w:t xml:space="preserve">The rights and duties agreed between Construct and Mr McCourt leave no room for ambiguity as to the character of that relationship. </w:t>
      </w:r>
      <w:r w:rsidR="00DF21C7" w:rsidRPr="008F0407">
        <w:rPr>
          <w:rFonts w:ascii="Times New Roman" w:hAnsi="Times New Roman"/>
        </w:rPr>
        <w:t xml:space="preserve">For the reasons stated above, </w:t>
      </w:r>
      <w:r w:rsidR="00B1630C" w:rsidRPr="008F0407">
        <w:rPr>
          <w:rFonts w:ascii="Times New Roman" w:hAnsi="Times New Roman"/>
        </w:rPr>
        <w:t>that the parties have described their relationship a certain way</w:t>
      </w:r>
      <w:r w:rsidR="007B58F7" w:rsidRPr="008F0407">
        <w:rPr>
          <w:rFonts w:ascii="Times New Roman" w:hAnsi="Times New Roman"/>
        </w:rPr>
        <w:t xml:space="preserve"> cannot change the character of the relationship established by their rights and obligations.</w:t>
      </w:r>
      <w:r w:rsidR="009E2333" w:rsidRPr="008F0407">
        <w:rPr>
          <w:rFonts w:ascii="Times New Roman" w:hAnsi="Times New Roman"/>
        </w:rPr>
        <w:t xml:space="preserve"> </w:t>
      </w:r>
      <w:r w:rsidR="00A76E0A" w:rsidRPr="008F0407">
        <w:rPr>
          <w:rFonts w:ascii="Times New Roman" w:hAnsi="Times New Roman"/>
        </w:rPr>
        <w:t xml:space="preserve">Lee J was right to </w:t>
      </w:r>
      <w:r w:rsidR="004E1E8F" w:rsidRPr="008F0407">
        <w:rPr>
          <w:rFonts w:ascii="Times New Roman" w:hAnsi="Times New Roman"/>
        </w:rPr>
        <w:t>suggest that it was erroneous in point of principle to use</w:t>
      </w:r>
      <w:r w:rsidR="00B20B44" w:rsidRPr="008F0407">
        <w:rPr>
          <w:rFonts w:ascii="Times New Roman" w:hAnsi="Times New Roman"/>
        </w:rPr>
        <w:t xml:space="preserve"> the</w:t>
      </w:r>
      <w:r w:rsidR="00B06B14" w:rsidRPr="008F0407">
        <w:rPr>
          <w:rFonts w:ascii="Times New Roman" w:hAnsi="Times New Roman"/>
        </w:rPr>
        <w:t xml:space="preserve"> parties' description of their relationship </w:t>
      </w:r>
      <w:r w:rsidR="004E1E8F" w:rsidRPr="008F0407">
        <w:rPr>
          <w:rFonts w:ascii="Times New Roman" w:hAnsi="Times New Roman"/>
        </w:rPr>
        <w:t>to resolve</w:t>
      </w:r>
      <w:r w:rsidR="00B06B14" w:rsidRPr="008F0407">
        <w:rPr>
          <w:rFonts w:ascii="Times New Roman" w:hAnsi="Times New Roman"/>
        </w:rPr>
        <w:t xml:space="preserve"> uncertainty produced by application of the</w:t>
      </w:r>
      <w:r w:rsidR="00330F82" w:rsidRPr="008F0407">
        <w:rPr>
          <w:rFonts w:ascii="Times New Roman" w:hAnsi="Times New Roman"/>
        </w:rPr>
        <w:t xml:space="preserve"> </w:t>
      </w:r>
      <w:r w:rsidR="00B06B14" w:rsidRPr="008F0407">
        <w:rPr>
          <w:rFonts w:ascii="Times New Roman" w:hAnsi="Times New Roman"/>
        </w:rPr>
        <w:t>multifactorial test.</w:t>
      </w:r>
      <w:r w:rsidR="001B2BAC" w:rsidRPr="008F0407">
        <w:rPr>
          <w:rFonts w:ascii="Times New Roman" w:hAnsi="Times New Roman"/>
        </w:rPr>
        <w:t xml:space="preserve"> </w:t>
      </w:r>
      <w:r w:rsidR="008719AE" w:rsidRPr="008F0407">
        <w:rPr>
          <w:rFonts w:ascii="Times New Roman" w:hAnsi="Times New Roman"/>
        </w:rPr>
        <w:t xml:space="preserve">There </w:t>
      </w:r>
      <w:r w:rsidR="001B2BAC" w:rsidRPr="008F0407">
        <w:rPr>
          <w:rFonts w:ascii="Times New Roman" w:hAnsi="Times New Roman"/>
        </w:rPr>
        <w:t>was</w:t>
      </w:r>
      <w:r w:rsidR="008719AE" w:rsidRPr="008F0407">
        <w:rPr>
          <w:rFonts w:ascii="Times New Roman" w:hAnsi="Times New Roman"/>
        </w:rPr>
        <w:t xml:space="preserve"> no occasion to have recourse to the label chosen by the parties, whether as a "tie</w:t>
      </w:r>
      <w:r w:rsidR="008719AE" w:rsidRPr="008F0407">
        <w:rPr>
          <w:rFonts w:ascii="Times New Roman" w:hAnsi="Times New Roman"/>
        </w:rPr>
        <w:noBreakHyphen/>
        <w:t>breaker" or otherwise.</w:t>
      </w:r>
    </w:p>
    <w:p w14:paraId="48D040E6" w14:textId="4C9E0188" w:rsidR="006712B9" w:rsidRPr="008F0407" w:rsidRDefault="006712B9" w:rsidP="008F0407">
      <w:pPr>
        <w:pStyle w:val="HeadingL1"/>
        <w:spacing w:after="260" w:line="280" w:lineRule="exact"/>
        <w:ind w:right="0"/>
        <w:jc w:val="both"/>
        <w:rPr>
          <w:rFonts w:ascii="Times New Roman" w:hAnsi="Times New Roman"/>
        </w:rPr>
      </w:pPr>
      <w:r w:rsidRPr="008F0407">
        <w:rPr>
          <w:rFonts w:ascii="Times New Roman" w:hAnsi="Times New Roman"/>
        </w:rPr>
        <w:t>Policy considerations underpinning vicarious liability</w:t>
      </w:r>
    </w:p>
    <w:p w14:paraId="1824F9FC" w14:textId="3A61968D" w:rsidR="000658B2" w:rsidRPr="008F0407" w:rsidRDefault="000658B2" w:rsidP="008F0407">
      <w:pPr>
        <w:pStyle w:val="FixListStyle"/>
        <w:spacing w:after="260" w:line="280" w:lineRule="exact"/>
        <w:ind w:right="0"/>
        <w:jc w:val="both"/>
        <w:rPr>
          <w:rFonts w:ascii="Times New Roman" w:hAnsi="Times New Roman"/>
        </w:rPr>
      </w:pPr>
      <w:r w:rsidRPr="008F0407">
        <w:rPr>
          <w:rFonts w:ascii="Times New Roman" w:hAnsi="Times New Roman"/>
        </w:rPr>
        <w:tab/>
        <w:t xml:space="preserve">Pursuant to a notice of contention, Construct argued that the Full Court ought to have found that none of the policy concerns which underpin the vicarious liability of an employer for the actions of </w:t>
      </w:r>
      <w:r w:rsidR="00AB21BC" w:rsidRPr="008F0407">
        <w:rPr>
          <w:rFonts w:ascii="Times New Roman" w:hAnsi="Times New Roman"/>
        </w:rPr>
        <w:t>its</w:t>
      </w:r>
      <w:r w:rsidRPr="008F0407">
        <w:rPr>
          <w:rFonts w:ascii="Times New Roman" w:hAnsi="Times New Roman"/>
        </w:rPr>
        <w:t xml:space="preserve"> employees favoured a characterisation of Mr McCourt's engagement as one of employment. In this regard, Construct argued that, as a result of its absence of practical ability or legal authority to influence the actual performance </w:t>
      </w:r>
      <w:r w:rsidR="00E4178E" w:rsidRPr="008F0407">
        <w:rPr>
          <w:rFonts w:ascii="Times New Roman" w:hAnsi="Times New Roman"/>
        </w:rPr>
        <w:t xml:space="preserve">by Mr McCourt </w:t>
      </w:r>
      <w:r w:rsidRPr="008F0407">
        <w:rPr>
          <w:rFonts w:ascii="Times New Roman" w:hAnsi="Times New Roman"/>
        </w:rPr>
        <w:t>of work on site, the imposition of vicarious liability on Construct would have no useful deterrent effect on its willingness to court risks to workplace health and safety. Secondly, Construct submitted that it was Hanssen</w:t>
      </w:r>
      <w:r w:rsidR="00A01A67" w:rsidRPr="008F0407">
        <w:rPr>
          <w:rFonts w:ascii="Times New Roman" w:hAnsi="Times New Roman"/>
        </w:rPr>
        <w:t>,</w:t>
      </w:r>
      <w:r w:rsidRPr="008F0407">
        <w:rPr>
          <w:rFonts w:ascii="Times New Roman" w:hAnsi="Times New Roman"/>
        </w:rPr>
        <w:t xml:space="preserve"> as builder</w:t>
      </w:r>
      <w:r w:rsidR="00A01A67" w:rsidRPr="008F0407">
        <w:rPr>
          <w:rFonts w:ascii="Times New Roman" w:hAnsi="Times New Roman"/>
        </w:rPr>
        <w:t>,</w:t>
      </w:r>
      <w:r w:rsidRPr="008F0407">
        <w:rPr>
          <w:rFonts w:ascii="Times New Roman" w:hAnsi="Times New Roman"/>
        </w:rPr>
        <w:t xml:space="preserve"> which created any enterprise risk</w:t>
      </w:r>
      <w:r w:rsidR="00A01A67" w:rsidRPr="008F0407">
        <w:rPr>
          <w:rFonts w:ascii="Times New Roman" w:hAnsi="Times New Roman"/>
        </w:rPr>
        <w:t>, and therefore Construct should not bear vicarious liability for Mr McCourt's actions in furtherance of Hanssen's enterprise</w:t>
      </w:r>
      <w:r w:rsidRPr="008F0407">
        <w:rPr>
          <w:rFonts w:ascii="Times New Roman" w:hAnsi="Times New Roman"/>
        </w:rPr>
        <w:t xml:space="preserve">. Thirdly, </w:t>
      </w:r>
      <w:r w:rsidR="00EB137A" w:rsidRPr="008F0407">
        <w:rPr>
          <w:rFonts w:ascii="Times New Roman" w:hAnsi="Times New Roman"/>
        </w:rPr>
        <w:t xml:space="preserve">Construct submitted that </w:t>
      </w:r>
      <w:r w:rsidRPr="008F0407">
        <w:rPr>
          <w:rFonts w:ascii="Times New Roman" w:hAnsi="Times New Roman"/>
        </w:rPr>
        <w:t>because Mr McCourt was not integrated into Construct's business</w:t>
      </w:r>
      <w:r w:rsidR="000A249B" w:rsidRPr="008F0407">
        <w:rPr>
          <w:rFonts w:ascii="Times New Roman" w:hAnsi="Times New Roman"/>
        </w:rPr>
        <w:t> </w:t>
      </w:r>
      <w:r w:rsidRPr="008F0407">
        <w:rPr>
          <w:rFonts w:ascii="Times New Roman" w:hAnsi="Times New Roman"/>
        </w:rPr>
        <w:t xml:space="preserve">– for example, by the wearing of a uniform or by acting </w:t>
      </w:r>
      <w:r w:rsidR="00EB137A" w:rsidRPr="008F0407">
        <w:rPr>
          <w:rFonts w:ascii="Times New Roman" w:hAnsi="Times New Roman"/>
        </w:rPr>
        <w:t xml:space="preserve">publicly </w:t>
      </w:r>
      <w:r w:rsidRPr="008F0407">
        <w:rPr>
          <w:rFonts w:ascii="Times New Roman" w:hAnsi="Times New Roman"/>
        </w:rPr>
        <w:t>as Construct's representative</w:t>
      </w:r>
      <w:r w:rsidR="000A249B" w:rsidRPr="008F0407">
        <w:rPr>
          <w:rFonts w:ascii="Times New Roman" w:hAnsi="Times New Roman"/>
        </w:rPr>
        <w:t> </w:t>
      </w:r>
      <w:r w:rsidRPr="008F0407">
        <w:rPr>
          <w:rFonts w:ascii="Times New Roman" w:hAnsi="Times New Roman"/>
        </w:rPr>
        <w:t xml:space="preserve">– it could not be said that Mr McCourt was </w:t>
      </w:r>
      <w:r w:rsidR="00EB137A" w:rsidRPr="008F0407">
        <w:rPr>
          <w:rFonts w:ascii="Times New Roman" w:hAnsi="Times New Roman"/>
        </w:rPr>
        <w:t>a</w:t>
      </w:r>
      <w:r w:rsidRPr="008F0407">
        <w:rPr>
          <w:rFonts w:ascii="Times New Roman" w:hAnsi="Times New Roman"/>
        </w:rPr>
        <w:t xml:space="preserve"> public manifestation of Construct's business</w:t>
      </w:r>
      <w:r w:rsidR="00EB137A" w:rsidRPr="008F0407">
        <w:rPr>
          <w:rFonts w:ascii="Times New Roman" w:hAnsi="Times New Roman"/>
        </w:rPr>
        <w:t xml:space="preserve"> for whom Construct should be held responsible</w:t>
      </w:r>
      <w:r w:rsidRPr="008F0407">
        <w:rPr>
          <w:rFonts w:ascii="Times New Roman" w:hAnsi="Times New Roman"/>
        </w:rPr>
        <w:t xml:space="preserve">. </w:t>
      </w:r>
    </w:p>
    <w:p w14:paraId="5D96F384" w14:textId="0006B20A" w:rsidR="000658B2" w:rsidRPr="008F0407" w:rsidRDefault="000658B2"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BA498D" w:rsidRPr="008F0407">
        <w:rPr>
          <w:rFonts w:ascii="Times New Roman" w:hAnsi="Times New Roman"/>
        </w:rPr>
        <w:t>The simple answer to these submissions is that t</w:t>
      </w:r>
      <w:r w:rsidRPr="008F0407">
        <w:rPr>
          <w:rFonts w:ascii="Times New Roman" w:hAnsi="Times New Roman"/>
        </w:rPr>
        <w:t xml:space="preserve">hese broad appeals to considerations of policy cannot alter the effect of the ASA, any more than </w:t>
      </w:r>
      <w:r w:rsidR="00520B66" w:rsidRPr="008F0407">
        <w:rPr>
          <w:rFonts w:ascii="Times New Roman" w:hAnsi="Times New Roman"/>
        </w:rPr>
        <w:t xml:space="preserve">Mr McCourt's </w:t>
      </w:r>
      <w:r w:rsidRPr="008F0407">
        <w:rPr>
          <w:rFonts w:ascii="Times New Roman" w:hAnsi="Times New Roman"/>
        </w:rPr>
        <w:t xml:space="preserve">invocation of the disparity in bargaining power can alter its effect in his favour. </w:t>
      </w:r>
      <w:r w:rsidR="00CD5EBB" w:rsidRPr="008F0407">
        <w:rPr>
          <w:rFonts w:ascii="Times New Roman" w:hAnsi="Times New Roman"/>
        </w:rPr>
        <w:t xml:space="preserve">In any event, it is important to recognise that </w:t>
      </w:r>
      <w:r w:rsidRPr="008F0407">
        <w:rPr>
          <w:rFonts w:ascii="Times New Roman" w:hAnsi="Times New Roman"/>
        </w:rPr>
        <w:t>Construct was able, by the deployment of its right of control over Mr McCourt, to determine the industrial environment in which he would work; and so there is nothing counter</w:t>
      </w:r>
      <w:r w:rsidRPr="008F0407">
        <w:rPr>
          <w:rFonts w:ascii="Times New Roman" w:hAnsi="Times New Roman"/>
        </w:rPr>
        <w:noBreakHyphen/>
        <w:t>intuitive about recognising both Construct's non</w:t>
      </w:r>
      <w:r w:rsidRPr="008F0407">
        <w:rPr>
          <w:rFonts w:ascii="Times New Roman" w:hAnsi="Times New Roman"/>
        </w:rPr>
        <w:noBreakHyphen/>
        <w:t xml:space="preserve">delegable duty to him and its vicarious </w:t>
      </w:r>
      <w:r w:rsidR="007468FF" w:rsidRPr="008F0407">
        <w:rPr>
          <w:rFonts w:ascii="Times New Roman" w:hAnsi="Times New Roman"/>
        </w:rPr>
        <w:t>liability</w:t>
      </w:r>
      <w:r w:rsidRPr="008F0407">
        <w:rPr>
          <w:rFonts w:ascii="Times New Roman" w:hAnsi="Times New Roman"/>
        </w:rPr>
        <w:t xml:space="preserve"> for his acts or omissions.</w:t>
      </w:r>
    </w:p>
    <w:p w14:paraId="226247C1" w14:textId="5E5FA7BC" w:rsidR="00322649" w:rsidRPr="008F0407" w:rsidRDefault="009F3AFD" w:rsidP="008F0407">
      <w:pPr>
        <w:pStyle w:val="FixListStyle"/>
        <w:spacing w:after="260" w:line="280" w:lineRule="exact"/>
        <w:ind w:right="0"/>
        <w:jc w:val="both"/>
        <w:rPr>
          <w:rFonts w:ascii="Times New Roman" w:hAnsi="Times New Roman"/>
        </w:rPr>
      </w:pPr>
      <w:r w:rsidRPr="008F0407">
        <w:rPr>
          <w:rFonts w:ascii="Times New Roman" w:hAnsi="Times New Roman"/>
        </w:rPr>
        <w:lastRenderedPageBreak/>
        <w:tab/>
      </w:r>
      <w:r w:rsidR="00BA498D" w:rsidRPr="008F0407">
        <w:rPr>
          <w:rFonts w:ascii="Times New Roman" w:hAnsi="Times New Roman"/>
        </w:rPr>
        <w:t xml:space="preserve">However, given the confusion that arises from the conflation of </w:t>
      </w:r>
      <w:r w:rsidR="00D15618" w:rsidRPr="008F0407">
        <w:rPr>
          <w:rFonts w:ascii="Times New Roman" w:hAnsi="Times New Roman"/>
        </w:rPr>
        <w:t>questions of</w:t>
      </w:r>
      <w:r w:rsidRPr="008F0407">
        <w:rPr>
          <w:rFonts w:ascii="Times New Roman" w:hAnsi="Times New Roman"/>
        </w:rPr>
        <w:t xml:space="preserve"> vicarious liability</w:t>
      </w:r>
      <w:r w:rsidR="003D0998" w:rsidRPr="008F0407">
        <w:rPr>
          <w:rFonts w:ascii="Times New Roman" w:hAnsi="Times New Roman"/>
        </w:rPr>
        <w:t xml:space="preserve"> of an employer</w:t>
      </w:r>
      <w:r w:rsidRPr="008F0407">
        <w:rPr>
          <w:rFonts w:ascii="Times New Roman" w:hAnsi="Times New Roman"/>
        </w:rPr>
        <w:t xml:space="preserve"> with</w:t>
      </w:r>
      <w:r w:rsidR="00D15618" w:rsidRPr="008F0407">
        <w:rPr>
          <w:rFonts w:ascii="Times New Roman" w:hAnsi="Times New Roman"/>
        </w:rPr>
        <w:t xml:space="preserve"> questions of characterisation of a </w:t>
      </w:r>
      <w:r w:rsidR="00701E51" w:rsidRPr="008F0407">
        <w:rPr>
          <w:rFonts w:ascii="Times New Roman" w:hAnsi="Times New Roman"/>
        </w:rPr>
        <w:t>putative employment relationship</w:t>
      </w:r>
      <w:r w:rsidR="00810AB2" w:rsidRPr="008F0407">
        <w:rPr>
          <w:rFonts w:ascii="Times New Roman" w:hAnsi="Times New Roman"/>
        </w:rPr>
        <w:t>,</w:t>
      </w:r>
      <w:r w:rsidR="00701E51" w:rsidRPr="008F0407">
        <w:rPr>
          <w:rFonts w:ascii="Times New Roman" w:hAnsi="Times New Roman"/>
        </w:rPr>
        <w:t xml:space="preserve"> it is necessary to explain the difference. </w:t>
      </w:r>
      <w:r w:rsidR="00277389" w:rsidRPr="008F0407">
        <w:rPr>
          <w:rFonts w:ascii="Times New Roman" w:hAnsi="Times New Roman"/>
        </w:rPr>
        <w:t>There are two conceptions of vicarious liability</w:t>
      </w:r>
      <w:r w:rsidR="00880071" w:rsidRPr="008F0407">
        <w:rPr>
          <w:rFonts w:ascii="Times New Roman" w:hAnsi="Times New Roman"/>
        </w:rPr>
        <w:t xml:space="preserve"> of an employer</w:t>
      </w:r>
      <w:r w:rsidR="008F7DF0" w:rsidRPr="008F0407">
        <w:rPr>
          <w:rStyle w:val="FootnoteReference"/>
          <w:rFonts w:ascii="Times New Roman" w:hAnsi="Times New Roman"/>
          <w:sz w:val="24"/>
        </w:rPr>
        <w:footnoteReference w:id="133"/>
      </w:r>
      <w:r w:rsidR="00277389" w:rsidRPr="008F0407">
        <w:rPr>
          <w:rFonts w:ascii="Times New Roman" w:hAnsi="Times New Roman"/>
        </w:rPr>
        <w:t xml:space="preserve">: </w:t>
      </w:r>
      <w:r w:rsidR="0077126D" w:rsidRPr="008F0407">
        <w:rPr>
          <w:rFonts w:ascii="Times New Roman" w:hAnsi="Times New Roman"/>
        </w:rPr>
        <w:t>the traditional "agency" conception</w:t>
      </w:r>
      <w:r w:rsidR="008A501F" w:rsidRPr="008F0407">
        <w:rPr>
          <w:rFonts w:ascii="Times New Roman" w:hAnsi="Times New Roman"/>
        </w:rPr>
        <w:t>,</w:t>
      </w:r>
      <w:r w:rsidR="0077126D" w:rsidRPr="008F0407">
        <w:rPr>
          <w:rFonts w:ascii="Times New Roman" w:hAnsi="Times New Roman"/>
        </w:rPr>
        <w:t xml:space="preserve"> where an employer </w:t>
      </w:r>
      <w:r w:rsidR="00663760" w:rsidRPr="008F0407">
        <w:rPr>
          <w:rFonts w:ascii="Times New Roman" w:hAnsi="Times New Roman"/>
        </w:rPr>
        <w:t xml:space="preserve">has a primary liability </w:t>
      </w:r>
      <w:r w:rsidR="00880071" w:rsidRPr="008F0407">
        <w:rPr>
          <w:rFonts w:ascii="Times New Roman" w:hAnsi="Times New Roman"/>
        </w:rPr>
        <w:t xml:space="preserve">for the actions of </w:t>
      </w:r>
      <w:r w:rsidR="003D0998" w:rsidRPr="008F0407">
        <w:rPr>
          <w:rFonts w:ascii="Times New Roman" w:hAnsi="Times New Roman"/>
        </w:rPr>
        <w:t xml:space="preserve">an </w:t>
      </w:r>
      <w:r w:rsidR="00880071" w:rsidRPr="008F0407">
        <w:rPr>
          <w:rFonts w:ascii="Times New Roman" w:hAnsi="Times New Roman"/>
        </w:rPr>
        <w:t>employee</w:t>
      </w:r>
      <w:r w:rsidR="003D0998" w:rsidRPr="008F0407">
        <w:rPr>
          <w:rFonts w:ascii="Times New Roman" w:hAnsi="Times New Roman"/>
        </w:rPr>
        <w:t xml:space="preserve"> or other agent</w:t>
      </w:r>
      <w:r w:rsidR="003D0998" w:rsidRPr="008F0407">
        <w:rPr>
          <w:rStyle w:val="FootnoteReference"/>
          <w:rFonts w:ascii="Times New Roman" w:hAnsi="Times New Roman"/>
          <w:sz w:val="24"/>
        </w:rPr>
        <w:footnoteReference w:id="134"/>
      </w:r>
      <w:r w:rsidR="00880071" w:rsidRPr="008F0407">
        <w:rPr>
          <w:rFonts w:ascii="Times New Roman" w:hAnsi="Times New Roman"/>
        </w:rPr>
        <w:t>; and the policy</w:t>
      </w:r>
      <w:r w:rsidR="00182060" w:rsidRPr="008F0407">
        <w:rPr>
          <w:rFonts w:ascii="Times New Roman" w:hAnsi="Times New Roman"/>
        </w:rPr>
        <w:noBreakHyphen/>
      </w:r>
      <w:r w:rsidR="00880071" w:rsidRPr="008F0407">
        <w:rPr>
          <w:rFonts w:ascii="Times New Roman" w:hAnsi="Times New Roman"/>
        </w:rPr>
        <w:t>based conception</w:t>
      </w:r>
      <w:r w:rsidR="008A501F" w:rsidRPr="008F0407">
        <w:rPr>
          <w:rFonts w:ascii="Times New Roman" w:hAnsi="Times New Roman"/>
        </w:rPr>
        <w:t>,</w:t>
      </w:r>
      <w:r w:rsidR="00880071" w:rsidRPr="008F0407">
        <w:rPr>
          <w:rFonts w:ascii="Times New Roman" w:hAnsi="Times New Roman"/>
        </w:rPr>
        <w:t xml:space="preserve"> where</w:t>
      </w:r>
      <w:r w:rsidR="003D0998" w:rsidRPr="008F0407">
        <w:rPr>
          <w:rFonts w:ascii="Times New Roman" w:hAnsi="Times New Roman"/>
        </w:rPr>
        <w:t xml:space="preserve"> </w:t>
      </w:r>
      <w:r w:rsidR="00F70EBD" w:rsidRPr="008F0407">
        <w:rPr>
          <w:rFonts w:ascii="Times New Roman" w:hAnsi="Times New Roman"/>
        </w:rPr>
        <w:t xml:space="preserve">an employer </w:t>
      </w:r>
      <w:r w:rsidR="00663760" w:rsidRPr="008F0407">
        <w:rPr>
          <w:rFonts w:ascii="Times New Roman" w:hAnsi="Times New Roman"/>
        </w:rPr>
        <w:t xml:space="preserve">has a secondary liability </w:t>
      </w:r>
      <w:r w:rsidR="00F70EBD" w:rsidRPr="008F0407">
        <w:rPr>
          <w:rFonts w:ascii="Times New Roman" w:hAnsi="Times New Roman"/>
        </w:rPr>
        <w:t>for the liability of the employee</w:t>
      </w:r>
      <w:r w:rsidR="00F70EBD" w:rsidRPr="008F0407">
        <w:rPr>
          <w:rStyle w:val="FootnoteReference"/>
          <w:rFonts w:ascii="Times New Roman" w:hAnsi="Times New Roman"/>
          <w:sz w:val="24"/>
        </w:rPr>
        <w:footnoteReference w:id="135"/>
      </w:r>
      <w:r w:rsidR="00F70EBD" w:rsidRPr="008F0407">
        <w:rPr>
          <w:rFonts w:ascii="Times New Roman" w:hAnsi="Times New Roman"/>
        </w:rPr>
        <w:t>.</w:t>
      </w:r>
      <w:r w:rsidR="00195B76" w:rsidRPr="008F0407">
        <w:rPr>
          <w:rFonts w:ascii="Times New Roman" w:hAnsi="Times New Roman"/>
        </w:rPr>
        <w:t xml:space="preserve"> On either conception</w:t>
      </w:r>
      <w:r w:rsidR="008A501F" w:rsidRPr="008F0407">
        <w:rPr>
          <w:rFonts w:ascii="Times New Roman" w:hAnsi="Times New Roman"/>
        </w:rPr>
        <w:t>,</w:t>
      </w:r>
      <w:r w:rsidR="00195B76" w:rsidRPr="008F0407">
        <w:rPr>
          <w:rFonts w:ascii="Times New Roman" w:hAnsi="Times New Roman"/>
        </w:rPr>
        <w:t xml:space="preserve"> the relationship of employment is only the first step in ascertaining whether vicarious liability exists. </w:t>
      </w:r>
      <w:r w:rsidR="00273E23" w:rsidRPr="008F0407">
        <w:rPr>
          <w:rFonts w:ascii="Times New Roman" w:hAnsi="Times New Roman"/>
        </w:rPr>
        <w:t>The</w:t>
      </w:r>
      <w:r w:rsidR="00026111" w:rsidRPr="008F0407">
        <w:rPr>
          <w:rFonts w:ascii="Times New Roman" w:hAnsi="Times New Roman"/>
        </w:rPr>
        <w:t>re is a necessary second ste</w:t>
      </w:r>
      <w:r w:rsidR="00FF05A1" w:rsidRPr="008F0407">
        <w:rPr>
          <w:rFonts w:ascii="Times New Roman" w:hAnsi="Times New Roman"/>
        </w:rPr>
        <w:t>p</w:t>
      </w:r>
      <w:r w:rsidR="00026111" w:rsidRPr="008F0407">
        <w:rPr>
          <w:rFonts w:ascii="Times New Roman" w:hAnsi="Times New Roman"/>
        </w:rPr>
        <w:t xml:space="preserve"> which requires consideration of the</w:t>
      </w:r>
      <w:r w:rsidR="00273E23" w:rsidRPr="008F0407">
        <w:rPr>
          <w:rFonts w:ascii="Times New Roman" w:hAnsi="Times New Roman"/>
        </w:rPr>
        <w:t xml:space="preserve"> subsequent conduct</w:t>
      </w:r>
      <w:r w:rsidR="008814C5" w:rsidRPr="008F0407">
        <w:rPr>
          <w:rFonts w:ascii="Times New Roman" w:hAnsi="Times New Roman"/>
        </w:rPr>
        <w:t xml:space="preserve"> of the employee</w:t>
      </w:r>
      <w:r w:rsidR="00273E23" w:rsidRPr="008F0407">
        <w:rPr>
          <w:rFonts w:ascii="Times New Roman" w:hAnsi="Times New Roman"/>
        </w:rPr>
        <w:t>, the event for which the employer is to be held primarily or secondarily liable</w:t>
      </w:r>
      <w:r w:rsidR="008814C5" w:rsidRPr="008F0407">
        <w:rPr>
          <w:rFonts w:ascii="Times New Roman" w:hAnsi="Times New Roman"/>
        </w:rPr>
        <w:t xml:space="preserve">, </w:t>
      </w:r>
      <w:r w:rsidR="00026111" w:rsidRPr="008F0407">
        <w:rPr>
          <w:rFonts w:ascii="Times New Roman" w:hAnsi="Times New Roman"/>
        </w:rPr>
        <w:t>and its association with the employment</w:t>
      </w:r>
      <w:r w:rsidR="00D65A4D" w:rsidRPr="008F0407">
        <w:rPr>
          <w:rFonts w:ascii="Times New Roman" w:hAnsi="Times New Roman"/>
        </w:rPr>
        <w:t xml:space="preserve"> relationship</w:t>
      </w:r>
      <w:r w:rsidR="00026111" w:rsidRPr="008F0407">
        <w:rPr>
          <w:rFonts w:ascii="Times New Roman" w:hAnsi="Times New Roman"/>
        </w:rPr>
        <w:t>.</w:t>
      </w:r>
    </w:p>
    <w:p w14:paraId="31B19D89" w14:textId="3623F677" w:rsidR="008B7111" w:rsidRPr="008F0407" w:rsidRDefault="0072761F"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A973A2" w:rsidRPr="008F0407">
        <w:rPr>
          <w:rFonts w:ascii="Times New Roman" w:hAnsi="Times New Roman"/>
        </w:rPr>
        <w:t xml:space="preserve">In many cases involving issues of vicarious liability in either sense above, </w:t>
      </w:r>
      <w:proofErr w:type="gramStart"/>
      <w:r w:rsidR="000C21C5" w:rsidRPr="008F0407">
        <w:rPr>
          <w:rFonts w:ascii="Times New Roman" w:hAnsi="Times New Roman"/>
        </w:rPr>
        <w:t>whether or not</w:t>
      </w:r>
      <w:proofErr w:type="gramEnd"/>
      <w:r w:rsidR="000C21C5" w:rsidRPr="008F0407">
        <w:rPr>
          <w:rFonts w:ascii="Times New Roman" w:hAnsi="Times New Roman"/>
        </w:rPr>
        <w:t xml:space="preserve"> the relationship is one of employment, </w:t>
      </w:r>
      <w:r w:rsidR="00A973A2" w:rsidRPr="008F0407">
        <w:rPr>
          <w:rFonts w:ascii="Times New Roman" w:hAnsi="Times New Roman"/>
        </w:rPr>
        <w:t>the focus is upon the second st</w:t>
      </w:r>
      <w:r w:rsidR="00FF05A1" w:rsidRPr="008F0407">
        <w:rPr>
          <w:rFonts w:ascii="Times New Roman" w:hAnsi="Times New Roman"/>
        </w:rPr>
        <w:t>ep</w:t>
      </w:r>
      <w:r w:rsidR="00A973A2" w:rsidRPr="008F0407">
        <w:rPr>
          <w:rFonts w:ascii="Times New Roman" w:hAnsi="Times New Roman"/>
        </w:rPr>
        <w:t xml:space="preserve"> of the </w:t>
      </w:r>
      <w:r w:rsidR="00006CF2" w:rsidRPr="008F0407">
        <w:rPr>
          <w:rFonts w:ascii="Times New Roman" w:hAnsi="Times New Roman"/>
        </w:rPr>
        <w:t>i</w:t>
      </w:r>
      <w:r w:rsidR="00A973A2" w:rsidRPr="008F0407">
        <w:rPr>
          <w:rFonts w:ascii="Times New Roman" w:hAnsi="Times New Roman"/>
        </w:rPr>
        <w:t>nquiry</w:t>
      </w:r>
      <w:r w:rsidR="000C21C5" w:rsidRPr="008F0407">
        <w:rPr>
          <w:rStyle w:val="FootnoteReference"/>
          <w:rFonts w:ascii="Times New Roman" w:hAnsi="Times New Roman"/>
          <w:sz w:val="24"/>
        </w:rPr>
        <w:footnoteReference w:id="136"/>
      </w:r>
      <w:r w:rsidR="00A973A2" w:rsidRPr="008F0407">
        <w:rPr>
          <w:rFonts w:ascii="Times New Roman" w:hAnsi="Times New Roman"/>
        </w:rPr>
        <w:t>.</w:t>
      </w:r>
      <w:r w:rsidR="002B3B15" w:rsidRPr="008F0407">
        <w:rPr>
          <w:rFonts w:ascii="Times New Roman" w:hAnsi="Times New Roman"/>
        </w:rPr>
        <w:t xml:space="preserve"> </w:t>
      </w:r>
      <w:r w:rsidR="00C238DE" w:rsidRPr="008F0407">
        <w:rPr>
          <w:rFonts w:ascii="Times New Roman" w:hAnsi="Times New Roman"/>
        </w:rPr>
        <w:t xml:space="preserve">It is essential in such cases to consider the </w:t>
      </w:r>
      <w:r w:rsidR="00890935" w:rsidRPr="008F0407">
        <w:rPr>
          <w:rFonts w:ascii="Times New Roman" w:hAnsi="Times New Roman"/>
        </w:rPr>
        <w:t xml:space="preserve">conduct of the parties </w:t>
      </w:r>
      <w:r w:rsidR="006F403E" w:rsidRPr="008F0407">
        <w:rPr>
          <w:rFonts w:ascii="Times New Roman" w:hAnsi="Times New Roman"/>
        </w:rPr>
        <w:t xml:space="preserve">subsequent to the contract that establishes their relationship, especially the conduct of the </w:t>
      </w:r>
      <w:r w:rsidR="00513442" w:rsidRPr="008F0407">
        <w:rPr>
          <w:rFonts w:ascii="Times New Roman" w:hAnsi="Times New Roman"/>
        </w:rPr>
        <w:t xml:space="preserve">person whose actions have caused the injury. </w:t>
      </w:r>
      <w:r w:rsidR="00A55BBD" w:rsidRPr="008F0407">
        <w:rPr>
          <w:rFonts w:ascii="Times New Roman" w:hAnsi="Times New Roman"/>
          <w:i/>
          <w:iCs/>
        </w:rPr>
        <w:t xml:space="preserve">Hollis </w:t>
      </w:r>
      <w:r w:rsidR="00A55BBD" w:rsidRPr="008F0407">
        <w:rPr>
          <w:rFonts w:ascii="Times New Roman" w:hAnsi="Times New Roman"/>
        </w:rPr>
        <w:t>was a case of such vicarious liability. S</w:t>
      </w:r>
      <w:r w:rsidR="000A2FF8" w:rsidRPr="008F0407">
        <w:rPr>
          <w:rFonts w:ascii="Times New Roman" w:hAnsi="Times New Roman"/>
        </w:rPr>
        <w:t xml:space="preserve">ince the contract between the parties was not entirely in writing, the subsequent conduct of the parties was necessary to establish the terms of their agreement. </w:t>
      </w:r>
      <w:r w:rsidR="00D8183B" w:rsidRPr="008F0407">
        <w:rPr>
          <w:rFonts w:ascii="Times New Roman" w:hAnsi="Times New Roman"/>
        </w:rPr>
        <w:t>But</w:t>
      </w:r>
      <w:r w:rsidR="000A2FF8" w:rsidRPr="008F0407">
        <w:rPr>
          <w:rFonts w:ascii="Times New Roman" w:hAnsi="Times New Roman"/>
        </w:rPr>
        <w:t xml:space="preserve"> it was also</w:t>
      </w:r>
      <w:r w:rsidR="00D8183B" w:rsidRPr="008F0407">
        <w:rPr>
          <w:rFonts w:ascii="Times New Roman" w:hAnsi="Times New Roman"/>
        </w:rPr>
        <w:t xml:space="preserve"> separately</w:t>
      </w:r>
      <w:r w:rsidR="000A2FF8" w:rsidRPr="008F0407">
        <w:rPr>
          <w:rFonts w:ascii="Times New Roman" w:hAnsi="Times New Roman"/>
        </w:rPr>
        <w:t xml:space="preserve"> necessary to establish</w:t>
      </w:r>
      <w:r w:rsidR="00D90F37" w:rsidRPr="008F0407">
        <w:rPr>
          <w:rFonts w:ascii="Times New Roman" w:hAnsi="Times New Roman"/>
        </w:rPr>
        <w:t xml:space="preserve"> satisfaction of</w:t>
      </w:r>
      <w:r w:rsidR="000A2FF8" w:rsidRPr="008F0407">
        <w:rPr>
          <w:rFonts w:ascii="Times New Roman" w:hAnsi="Times New Roman"/>
        </w:rPr>
        <w:t xml:space="preserve"> the </w:t>
      </w:r>
      <w:r w:rsidR="00D90F37" w:rsidRPr="008F0407">
        <w:rPr>
          <w:rFonts w:ascii="Times New Roman" w:hAnsi="Times New Roman"/>
        </w:rPr>
        <w:t>second st</w:t>
      </w:r>
      <w:r w:rsidR="00FF05A1" w:rsidRPr="008F0407">
        <w:rPr>
          <w:rFonts w:ascii="Times New Roman" w:hAnsi="Times New Roman"/>
        </w:rPr>
        <w:t>ep</w:t>
      </w:r>
      <w:r w:rsidR="00D90F37" w:rsidRPr="008F0407">
        <w:rPr>
          <w:rFonts w:ascii="Times New Roman" w:hAnsi="Times New Roman"/>
        </w:rPr>
        <w:t xml:space="preserve"> of the vicarious liability</w:t>
      </w:r>
      <w:r w:rsidR="00FF05A1" w:rsidRPr="008F0407">
        <w:rPr>
          <w:rFonts w:ascii="Times New Roman" w:hAnsi="Times New Roman"/>
        </w:rPr>
        <w:t xml:space="preserve"> </w:t>
      </w:r>
      <w:r w:rsidR="00006CF2" w:rsidRPr="008F0407">
        <w:rPr>
          <w:rFonts w:ascii="Times New Roman" w:hAnsi="Times New Roman"/>
        </w:rPr>
        <w:t>i</w:t>
      </w:r>
      <w:r w:rsidR="00FF05A1" w:rsidRPr="008F0407">
        <w:rPr>
          <w:rFonts w:ascii="Times New Roman" w:hAnsi="Times New Roman"/>
        </w:rPr>
        <w:t>nquiry</w:t>
      </w:r>
      <w:r w:rsidR="00D90F37" w:rsidRPr="008F0407">
        <w:rPr>
          <w:rFonts w:ascii="Times New Roman" w:hAnsi="Times New Roman"/>
        </w:rPr>
        <w:t>.</w:t>
      </w:r>
    </w:p>
    <w:p w14:paraId="70B9B245" w14:textId="7801F3D0" w:rsidR="00CD5EBB" w:rsidRPr="008F0407" w:rsidRDefault="005C6DAD" w:rsidP="008F0407">
      <w:pPr>
        <w:pStyle w:val="HeadingL1"/>
        <w:spacing w:after="260" w:line="280" w:lineRule="exact"/>
        <w:ind w:right="0"/>
        <w:jc w:val="both"/>
        <w:rPr>
          <w:rFonts w:ascii="Times New Roman" w:hAnsi="Times New Roman"/>
        </w:rPr>
      </w:pPr>
      <w:r w:rsidRPr="008F0407">
        <w:rPr>
          <w:rFonts w:ascii="Times New Roman" w:hAnsi="Times New Roman"/>
        </w:rPr>
        <w:t>Non-exclusive work is consistent with casual employment</w:t>
      </w:r>
    </w:p>
    <w:p w14:paraId="30EDEB98" w14:textId="2C120653" w:rsidR="00EE5149" w:rsidRPr="008F0407" w:rsidRDefault="000658B2"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5C6DAD" w:rsidRPr="008F0407">
        <w:rPr>
          <w:rFonts w:ascii="Times New Roman" w:hAnsi="Times New Roman"/>
        </w:rPr>
        <w:t>F</w:t>
      </w:r>
      <w:r w:rsidRPr="008F0407">
        <w:rPr>
          <w:rFonts w:ascii="Times New Roman" w:hAnsi="Times New Roman"/>
        </w:rPr>
        <w:t>or the sake of completeness</w:t>
      </w:r>
      <w:r w:rsidR="00CD5EBB" w:rsidRPr="008F0407">
        <w:rPr>
          <w:rFonts w:ascii="Times New Roman" w:hAnsi="Times New Roman"/>
        </w:rPr>
        <w:t>,</w:t>
      </w:r>
      <w:r w:rsidRPr="008F0407">
        <w:rPr>
          <w:rFonts w:ascii="Times New Roman" w:hAnsi="Times New Roman"/>
        </w:rPr>
        <w:t xml:space="preserve"> it should also be said that the primary judge erred in concluding that the circumstances that Mr McCourt </w:t>
      </w:r>
      <w:r w:rsidR="005C6DAD" w:rsidRPr="008F0407">
        <w:rPr>
          <w:rFonts w:ascii="Times New Roman" w:hAnsi="Times New Roman"/>
        </w:rPr>
        <w:t>was free to accept or reject any offer of work</w:t>
      </w:r>
      <w:r w:rsidR="005C6DAD" w:rsidRPr="008F0407">
        <w:rPr>
          <w:rStyle w:val="FootnoteReference"/>
          <w:rFonts w:ascii="Times New Roman" w:hAnsi="Times New Roman"/>
          <w:sz w:val="24"/>
        </w:rPr>
        <w:footnoteReference w:id="137"/>
      </w:r>
      <w:r w:rsidR="005C6DAD" w:rsidRPr="008F0407">
        <w:rPr>
          <w:rFonts w:ascii="Times New Roman" w:hAnsi="Times New Roman"/>
        </w:rPr>
        <w:t xml:space="preserve">, and </w:t>
      </w:r>
      <w:r w:rsidR="00A9395F" w:rsidRPr="008F0407">
        <w:rPr>
          <w:rFonts w:ascii="Times New Roman" w:hAnsi="Times New Roman"/>
        </w:rPr>
        <w:t xml:space="preserve">that he was not precluded from </w:t>
      </w:r>
      <w:r w:rsidRPr="008F0407">
        <w:rPr>
          <w:rFonts w:ascii="Times New Roman" w:hAnsi="Times New Roman"/>
        </w:rPr>
        <w:t>work</w:t>
      </w:r>
      <w:r w:rsidR="00A9395F" w:rsidRPr="008F0407">
        <w:rPr>
          <w:rFonts w:ascii="Times New Roman" w:hAnsi="Times New Roman"/>
        </w:rPr>
        <w:t>ing</w:t>
      </w:r>
      <w:r w:rsidRPr="008F0407">
        <w:rPr>
          <w:rFonts w:ascii="Times New Roman" w:hAnsi="Times New Roman"/>
        </w:rPr>
        <w:t xml:space="preserve"> for </w:t>
      </w:r>
      <w:r w:rsidRPr="008F0407">
        <w:rPr>
          <w:rFonts w:ascii="Times New Roman" w:hAnsi="Times New Roman"/>
        </w:rPr>
        <w:lastRenderedPageBreak/>
        <w:t>others</w:t>
      </w:r>
      <w:r w:rsidRPr="008F0407">
        <w:rPr>
          <w:rStyle w:val="FootnoteReference"/>
          <w:rFonts w:ascii="Times New Roman" w:hAnsi="Times New Roman"/>
          <w:sz w:val="24"/>
        </w:rPr>
        <w:footnoteReference w:id="138"/>
      </w:r>
      <w:r w:rsidR="00A9395F" w:rsidRPr="008F0407">
        <w:rPr>
          <w:rFonts w:ascii="Times New Roman" w:hAnsi="Times New Roman"/>
        </w:rPr>
        <w:t xml:space="preserve">, were factors which </w:t>
      </w:r>
      <w:r w:rsidRPr="008F0407">
        <w:rPr>
          <w:rFonts w:ascii="Times New Roman" w:hAnsi="Times New Roman"/>
        </w:rPr>
        <w:t xml:space="preserve">contraindicated </w:t>
      </w:r>
      <w:r w:rsidR="00A9395F" w:rsidRPr="008F0407">
        <w:rPr>
          <w:rFonts w:ascii="Times New Roman" w:hAnsi="Times New Roman"/>
        </w:rPr>
        <w:t xml:space="preserve">a </w:t>
      </w:r>
      <w:r w:rsidRPr="008F0407">
        <w:rPr>
          <w:rFonts w:ascii="Times New Roman" w:hAnsi="Times New Roman"/>
        </w:rPr>
        <w:t>characteris</w:t>
      </w:r>
      <w:r w:rsidR="00A9395F" w:rsidRPr="008F0407">
        <w:rPr>
          <w:rFonts w:ascii="Times New Roman" w:hAnsi="Times New Roman"/>
        </w:rPr>
        <w:t>ation</w:t>
      </w:r>
      <w:r w:rsidRPr="008F0407">
        <w:rPr>
          <w:rFonts w:ascii="Times New Roman" w:hAnsi="Times New Roman"/>
        </w:rPr>
        <w:t xml:space="preserve"> </w:t>
      </w:r>
      <w:r w:rsidR="00A9395F" w:rsidRPr="008F0407">
        <w:rPr>
          <w:rFonts w:ascii="Times New Roman" w:hAnsi="Times New Roman"/>
        </w:rPr>
        <w:t xml:space="preserve">of </w:t>
      </w:r>
      <w:r w:rsidRPr="008F0407">
        <w:rPr>
          <w:rFonts w:ascii="Times New Roman" w:hAnsi="Times New Roman"/>
        </w:rPr>
        <w:t xml:space="preserve">his relationship with Construct as one of employment. It is commonplace that casual employees do not work exclusively for one employer. In addition, </w:t>
      </w:r>
      <w:r w:rsidR="0050795A" w:rsidRPr="008F0407">
        <w:rPr>
          <w:rFonts w:ascii="Times New Roman" w:hAnsi="Times New Roman"/>
        </w:rPr>
        <w:t xml:space="preserve">Mr McCourt's right pursuant to cl 5(b) of the ASA to accept or reject any offer of work from a builder must be understood </w:t>
      </w:r>
      <w:r w:rsidRPr="008F0407">
        <w:rPr>
          <w:rFonts w:ascii="Times New Roman" w:hAnsi="Times New Roman"/>
        </w:rPr>
        <w:t>subject to his promise to Construct in cl 4(c) of the ASA to "supply labour</w:t>
      </w:r>
      <w:r w:rsidR="0050795A" w:rsidRPr="008F0407">
        <w:rPr>
          <w:rFonts w:ascii="Times New Roman" w:hAnsi="Times New Roman"/>
        </w:rPr>
        <w:t xml:space="preserve"> </w:t>
      </w:r>
      <w:r w:rsidRPr="008F0407">
        <w:rPr>
          <w:rFonts w:ascii="Times New Roman" w:hAnsi="Times New Roman"/>
        </w:rPr>
        <w:t>...</w:t>
      </w:r>
      <w:r w:rsidR="0050795A" w:rsidRPr="008F0407">
        <w:rPr>
          <w:rFonts w:ascii="Times New Roman" w:hAnsi="Times New Roman"/>
        </w:rPr>
        <w:t xml:space="preserve"> </w:t>
      </w:r>
      <w:r w:rsidRPr="008F0407">
        <w:rPr>
          <w:rFonts w:ascii="Times New Roman" w:hAnsi="Times New Roman"/>
        </w:rPr>
        <w:t xml:space="preserve">for the duration required by </w:t>
      </w:r>
      <w:r w:rsidR="0050795A" w:rsidRPr="008F0407">
        <w:rPr>
          <w:rFonts w:ascii="Times New Roman" w:hAnsi="Times New Roman"/>
        </w:rPr>
        <w:t>[</w:t>
      </w:r>
      <w:r w:rsidRPr="008F0407">
        <w:rPr>
          <w:rFonts w:ascii="Times New Roman" w:hAnsi="Times New Roman"/>
        </w:rPr>
        <w:t>Hanssen</w:t>
      </w:r>
      <w:r w:rsidR="0050795A" w:rsidRPr="008F0407">
        <w:rPr>
          <w:rFonts w:ascii="Times New Roman" w:hAnsi="Times New Roman"/>
        </w:rPr>
        <w:t>]</w:t>
      </w:r>
      <w:r w:rsidRPr="008F0407">
        <w:rPr>
          <w:rFonts w:ascii="Times New Roman" w:hAnsi="Times New Roman"/>
        </w:rPr>
        <w:t xml:space="preserve">". </w:t>
      </w:r>
      <w:r w:rsidR="0050795A" w:rsidRPr="008F0407">
        <w:rPr>
          <w:rFonts w:ascii="Times New Roman" w:hAnsi="Times New Roman"/>
        </w:rPr>
        <w:t xml:space="preserve">His right to reject an offer of work was exercisable </w:t>
      </w:r>
      <w:r w:rsidR="00E45B07" w:rsidRPr="008F0407">
        <w:rPr>
          <w:rFonts w:ascii="Times New Roman" w:hAnsi="Times New Roman"/>
        </w:rPr>
        <w:t xml:space="preserve">at the level of </w:t>
      </w:r>
      <w:r w:rsidRPr="008F0407">
        <w:rPr>
          <w:rFonts w:ascii="Times New Roman" w:hAnsi="Times New Roman"/>
        </w:rPr>
        <w:t xml:space="preserve">an overall engagement with Hanssen, rather than </w:t>
      </w:r>
      <w:proofErr w:type="gramStart"/>
      <w:r w:rsidR="00E45B07" w:rsidRPr="008F0407">
        <w:rPr>
          <w:rFonts w:ascii="Times New Roman" w:hAnsi="Times New Roman"/>
        </w:rPr>
        <w:t>on the basis of</w:t>
      </w:r>
      <w:proofErr w:type="gramEnd"/>
      <w:r w:rsidR="00E45B07" w:rsidRPr="008F0407">
        <w:rPr>
          <w:rFonts w:ascii="Times New Roman" w:hAnsi="Times New Roman"/>
        </w:rPr>
        <w:t xml:space="preserve"> </w:t>
      </w:r>
      <w:r w:rsidRPr="008F0407">
        <w:rPr>
          <w:rFonts w:ascii="Times New Roman" w:hAnsi="Times New Roman"/>
        </w:rPr>
        <w:t>a new engagement each day.</w:t>
      </w:r>
    </w:p>
    <w:p w14:paraId="639A9CD9" w14:textId="25F73545" w:rsidR="006712B9" w:rsidRPr="008F0407" w:rsidRDefault="00046073" w:rsidP="008F0407">
      <w:pPr>
        <w:pStyle w:val="HeadingL1"/>
        <w:spacing w:after="260" w:line="280" w:lineRule="exact"/>
        <w:ind w:right="0"/>
        <w:jc w:val="both"/>
        <w:rPr>
          <w:rFonts w:ascii="Times New Roman" w:hAnsi="Times New Roman"/>
        </w:rPr>
      </w:pPr>
      <w:r w:rsidRPr="008F0407">
        <w:rPr>
          <w:rFonts w:ascii="Times New Roman" w:hAnsi="Times New Roman"/>
        </w:rPr>
        <w:t>Earlier</w:t>
      </w:r>
      <w:r w:rsidR="006712B9" w:rsidRPr="008F0407">
        <w:rPr>
          <w:rFonts w:ascii="Times New Roman" w:hAnsi="Times New Roman"/>
        </w:rPr>
        <w:t xml:space="preserve"> decisions involving triangular labour</w:t>
      </w:r>
      <w:r w:rsidR="006712B9" w:rsidRPr="008F0407">
        <w:rPr>
          <w:rFonts w:ascii="Times New Roman" w:hAnsi="Times New Roman"/>
        </w:rPr>
        <w:noBreakHyphen/>
        <w:t>hire arrangements</w:t>
      </w:r>
    </w:p>
    <w:p w14:paraId="1BFEEDFA" w14:textId="54695CA6" w:rsidR="00BB26B7" w:rsidRPr="008F0407" w:rsidRDefault="00BB26B7" w:rsidP="008F0407">
      <w:pPr>
        <w:pStyle w:val="FixListStyle"/>
        <w:spacing w:after="260" w:line="280" w:lineRule="exact"/>
        <w:ind w:right="0"/>
        <w:jc w:val="both"/>
        <w:rPr>
          <w:rFonts w:ascii="Times New Roman" w:hAnsi="Times New Roman"/>
        </w:rPr>
      </w:pPr>
      <w:r w:rsidRPr="008F0407">
        <w:rPr>
          <w:rFonts w:ascii="Times New Roman" w:hAnsi="Times New Roman"/>
        </w:rPr>
        <w:tab/>
        <w:t xml:space="preserve">Construct </w:t>
      </w:r>
      <w:r w:rsidR="003C1DE4" w:rsidRPr="008F0407">
        <w:rPr>
          <w:rFonts w:ascii="Times New Roman" w:hAnsi="Times New Roman"/>
        </w:rPr>
        <w:t xml:space="preserve">argued </w:t>
      </w:r>
      <w:r w:rsidRPr="008F0407">
        <w:rPr>
          <w:rFonts w:ascii="Times New Roman" w:hAnsi="Times New Roman"/>
        </w:rPr>
        <w:t xml:space="preserve">that </w:t>
      </w:r>
      <w:r w:rsidRPr="008F0407">
        <w:rPr>
          <w:rFonts w:ascii="Times New Roman" w:hAnsi="Times New Roman"/>
          <w:i/>
        </w:rPr>
        <w:t>Personnel (No 1</w:t>
      </w:r>
      <w:r w:rsidR="003C1DE4" w:rsidRPr="008F0407">
        <w:rPr>
          <w:rFonts w:ascii="Times New Roman" w:hAnsi="Times New Roman"/>
          <w:i/>
        </w:rPr>
        <w:t>)</w:t>
      </w:r>
      <w:r w:rsidR="00E67EA3" w:rsidRPr="008F0407">
        <w:rPr>
          <w:rStyle w:val="FootnoteReference"/>
          <w:rFonts w:ascii="Times New Roman" w:hAnsi="Times New Roman"/>
          <w:sz w:val="24"/>
        </w:rPr>
        <w:footnoteReference w:id="139"/>
      </w:r>
      <w:r w:rsidR="00E67EA3" w:rsidRPr="008F0407">
        <w:rPr>
          <w:rFonts w:ascii="Times New Roman" w:hAnsi="Times New Roman"/>
        </w:rPr>
        <w:t>,</w:t>
      </w:r>
      <w:r w:rsidRPr="008F0407">
        <w:rPr>
          <w:rFonts w:ascii="Times New Roman" w:hAnsi="Times New Roman"/>
        </w:rPr>
        <w:t xml:space="preserve"> when </w:t>
      </w:r>
      <w:r w:rsidR="00E67EA3" w:rsidRPr="008F0407">
        <w:rPr>
          <w:rFonts w:ascii="Times New Roman" w:hAnsi="Times New Roman"/>
        </w:rPr>
        <w:t>viewed alongside</w:t>
      </w:r>
      <w:r w:rsidRPr="008F0407">
        <w:rPr>
          <w:rFonts w:ascii="Times New Roman" w:hAnsi="Times New Roman"/>
        </w:rPr>
        <w:t xml:space="preserve"> the decisions in </w:t>
      </w:r>
      <w:r w:rsidRPr="008F0407">
        <w:rPr>
          <w:rFonts w:ascii="Times New Roman" w:hAnsi="Times New Roman"/>
          <w:i/>
        </w:rPr>
        <w:t xml:space="preserve">Building Workers Industrial Union of Australia v </w:t>
      </w:r>
      <w:proofErr w:type="spellStart"/>
      <w:r w:rsidRPr="008F0407">
        <w:rPr>
          <w:rFonts w:ascii="Times New Roman" w:hAnsi="Times New Roman"/>
          <w:i/>
        </w:rPr>
        <w:t>Odco</w:t>
      </w:r>
      <w:proofErr w:type="spellEnd"/>
      <w:r w:rsidRPr="008F0407">
        <w:rPr>
          <w:rFonts w:ascii="Times New Roman" w:hAnsi="Times New Roman"/>
          <w:i/>
        </w:rPr>
        <w:t xml:space="preserve"> Pty Ltd</w:t>
      </w:r>
      <w:r w:rsidRPr="008F0407">
        <w:rPr>
          <w:rStyle w:val="FootnoteReference"/>
          <w:rFonts w:ascii="Times New Roman" w:hAnsi="Times New Roman"/>
          <w:sz w:val="24"/>
        </w:rPr>
        <w:footnoteReference w:id="140"/>
      </w:r>
      <w:r w:rsidRPr="008F0407">
        <w:rPr>
          <w:rFonts w:ascii="Times New Roman" w:hAnsi="Times New Roman"/>
        </w:rPr>
        <w:t xml:space="preserve"> and </w:t>
      </w:r>
      <w:r w:rsidRPr="008F0407">
        <w:rPr>
          <w:rFonts w:ascii="Times New Roman" w:hAnsi="Times New Roman"/>
          <w:i/>
        </w:rPr>
        <w:t>Young v Tasmanian Contracting Services Pty Ltd</w:t>
      </w:r>
      <w:r w:rsidRPr="008F0407">
        <w:rPr>
          <w:rStyle w:val="FootnoteReference"/>
          <w:rFonts w:ascii="Times New Roman" w:hAnsi="Times New Roman"/>
          <w:sz w:val="24"/>
        </w:rPr>
        <w:footnoteReference w:id="141"/>
      </w:r>
      <w:r w:rsidRPr="008F0407">
        <w:rPr>
          <w:rFonts w:ascii="Times New Roman" w:hAnsi="Times New Roman"/>
        </w:rPr>
        <w:t>,</w:t>
      </w:r>
      <w:r w:rsidRPr="008F0407">
        <w:rPr>
          <w:rFonts w:ascii="Times New Roman" w:hAnsi="Times New Roman"/>
          <w:i/>
        </w:rPr>
        <w:t xml:space="preserve"> </w:t>
      </w:r>
      <w:r w:rsidR="00416F0A" w:rsidRPr="008F0407">
        <w:rPr>
          <w:rFonts w:ascii="Times New Roman" w:hAnsi="Times New Roman"/>
        </w:rPr>
        <w:t>established a body</w:t>
      </w:r>
      <w:r w:rsidRPr="008F0407">
        <w:rPr>
          <w:rFonts w:ascii="Times New Roman" w:hAnsi="Times New Roman"/>
        </w:rPr>
        <w:t xml:space="preserve"> of authority in which "</w:t>
      </w:r>
      <w:proofErr w:type="spellStart"/>
      <w:r w:rsidRPr="008F0407">
        <w:rPr>
          <w:rFonts w:ascii="Times New Roman" w:hAnsi="Times New Roman"/>
          <w:i/>
        </w:rPr>
        <w:t>Odco</w:t>
      </w:r>
      <w:proofErr w:type="spellEnd"/>
      <w:r w:rsidR="00E67EA3" w:rsidRPr="008F0407">
        <w:rPr>
          <w:rFonts w:ascii="Times New Roman" w:hAnsi="Times New Roman"/>
        </w:rPr>
        <w:noBreakHyphen/>
      </w:r>
      <w:r w:rsidRPr="008F0407">
        <w:rPr>
          <w:rFonts w:ascii="Times New Roman" w:hAnsi="Times New Roman"/>
        </w:rPr>
        <w:t>style" triangular labour</w:t>
      </w:r>
      <w:r w:rsidRPr="008F0407">
        <w:rPr>
          <w:rFonts w:ascii="Times New Roman" w:hAnsi="Times New Roman"/>
        </w:rPr>
        <w:noBreakHyphen/>
        <w:t xml:space="preserve">hire arrangements have been held not to create relationships of employment. </w:t>
      </w:r>
      <w:r w:rsidR="0090733D" w:rsidRPr="008F0407">
        <w:rPr>
          <w:rFonts w:ascii="Times New Roman" w:hAnsi="Times New Roman"/>
        </w:rPr>
        <w:t>It was</w:t>
      </w:r>
      <w:r w:rsidRPr="008F0407">
        <w:rPr>
          <w:rFonts w:ascii="Times New Roman" w:hAnsi="Times New Roman"/>
        </w:rPr>
        <w:t xml:space="preserve"> submitted that this Court should not overturn </w:t>
      </w:r>
      <w:r w:rsidR="0085244F" w:rsidRPr="008F0407">
        <w:rPr>
          <w:rFonts w:ascii="Times New Roman" w:hAnsi="Times New Roman"/>
        </w:rPr>
        <w:t>this</w:t>
      </w:r>
      <w:r w:rsidRPr="008F0407">
        <w:rPr>
          <w:rFonts w:ascii="Times New Roman" w:hAnsi="Times New Roman"/>
        </w:rPr>
        <w:t xml:space="preserve"> long</w:t>
      </w:r>
      <w:r w:rsidR="00E67EA3" w:rsidRPr="008F0407">
        <w:rPr>
          <w:rFonts w:ascii="Times New Roman" w:hAnsi="Times New Roman"/>
        </w:rPr>
        <w:noBreakHyphen/>
      </w:r>
      <w:r w:rsidRPr="008F0407">
        <w:rPr>
          <w:rFonts w:ascii="Times New Roman" w:hAnsi="Times New Roman"/>
        </w:rPr>
        <w:t xml:space="preserve">standing </w:t>
      </w:r>
      <w:r w:rsidR="0085244F" w:rsidRPr="008F0407">
        <w:rPr>
          <w:rFonts w:ascii="Times New Roman" w:hAnsi="Times New Roman"/>
        </w:rPr>
        <w:t>position.</w:t>
      </w:r>
      <w:r w:rsidRPr="008F0407">
        <w:rPr>
          <w:rFonts w:ascii="Times New Roman" w:hAnsi="Times New Roman"/>
        </w:rPr>
        <w:t xml:space="preserve"> </w:t>
      </w:r>
      <w:r w:rsidR="0085244F" w:rsidRPr="008F0407">
        <w:rPr>
          <w:rFonts w:ascii="Times New Roman" w:hAnsi="Times New Roman"/>
        </w:rPr>
        <w:t>M</w:t>
      </w:r>
      <w:r w:rsidRPr="008F0407">
        <w:rPr>
          <w:rFonts w:ascii="Times New Roman" w:hAnsi="Times New Roman"/>
        </w:rPr>
        <w:t>any persons</w:t>
      </w:r>
      <w:r w:rsidR="0085244F" w:rsidRPr="008F0407">
        <w:rPr>
          <w:rFonts w:ascii="Times New Roman" w:hAnsi="Times New Roman"/>
        </w:rPr>
        <w:t>, it was said,</w:t>
      </w:r>
      <w:r w:rsidRPr="008F0407">
        <w:rPr>
          <w:rFonts w:ascii="Times New Roman" w:hAnsi="Times New Roman"/>
        </w:rPr>
        <w:t xml:space="preserve"> will have relied </w:t>
      </w:r>
      <w:r w:rsidR="00E67EA3" w:rsidRPr="008F0407">
        <w:rPr>
          <w:rFonts w:ascii="Times New Roman" w:hAnsi="Times New Roman"/>
        </w:rPr>
        <w:t xml:space="preserve">on these decisions </w:t>
      </w:r>
      <w:r w:rsidRPr="008F0407">
        <w:rPr>
          <w:rFonts w:ascii="Times New Roman" w:hAnsi="Times New Roman"/>
        </w:rPr>
        <w:t>in arranging their affairs.</w:t>
      </w:r>
    </w:p>
    <w:p w14:paraId="72716470" w14:textId="1CB2F518" w:rsidR="00CB014E" w:rsidRPr="008F0407" w:rsidRDefault="00BB26B7"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003D54" w:rsidRPr="008F0407">
        <w:rPr>
          <w:rFonts w:ascii="Times New Roman" w:hAnsi="Times New Roman"/>
        </w:rPr>
        <w:t xml:space="preserve">In this regard, </w:t>
      </w:r>
      <w:r w:rsidR="00003D54" w:rsidRPr="008F0407">
        <w:rPr>
          <w:rFonts w:ascii="Times New Roman" w:hAnsi="Times New Roman"/>
          <w:i/>
        </w:rPr>
        <w:t xml:space="preserve">Personnel (No 1) </w:t>
      </w:r>
      <w:r w:rsidR="00003D54" w:rsidRPr="008F0407">
        <w:rPr>
          <w:rFonts w:ascii="Times New Roman" w:hAnsi="Times New Roman"/>
        </w:rPr>
        <w:t>was wrongly decided</w:t>
      </w:r>
      <w:r w:rsidR="00046073" w:rsidRPr="008F0407">
        <w:rPr>
          <w:rFonts w:ascii="Times New Roman" w:hAnsi="Times New Roman"/>
        </w:rPr>
        <w:t>, the</w:t>
      </w:r>
      <w:r w:rsidRPr="008F0407">
        <w:rPr>
          <w:rFonts w:ascii="Times New Roman" w:hAnsi="Times New Roman"/>
        </w:rPr>
        <w:t xml:space="preserve"> critical </w:t>
      </w:r>
      <w:r w:rsidR="00057372" w:rsidRPr="008F0407">
        <w:rPr>
          <w:rFonts w:ascii="Times New Roman" w:hAnsi="Times New Roman"/>
        </w:rPr>
        <w:t>error</w:t>
      </w:r>
      <w:r w:rsidRPr="008F0407">
        <w:rPr>
          <w:rFonts w:ascii="Times New Roman" w:hAnsi="Times New Roman"/>
        </w:rPr>
        <w:t xml:space="preserve"> of the reasoning of the majority </w:t>
      </w:r>
      <w:r w:rsidR="007F528D" w:rsidRPr="008F0407">
        <w:rPr>
          <w:rFonts w:ascii="Times New Roman" w:hAnsi="Times New Roman"/>
        </w:rPr>
        <w:t xml:space="preserve">being </w:t>
      </w:r>
      <w:r w:rsidRPr="008F0407">
        <w:rPr>
          <w:rFonts w:ascii="Times New Roman" w:hAnsi="Times New Roman"/>
        </w:rPr>
        <w:t xml:space="preserve">the attribution of </w:t>
      </w:r>
      <w:r w:rsidR="007F528D" w:rsidRPr="008F0407">
        <w:rPr>
          <w:rFonts w:ascii="Times New Roman" w:hAnsi="Times New Roman"/>
        </w:rPr>
        <w:t xml:space="preserve">decisive </w:t>
      </w:r>
      <w:r w:rsidRPr="008F0407">
        <w:rPr>
          <w:rFonts w:ascii="Times New Roman" w:hAnsi="Times New Roman"/>
        </w:rPr>
        <w:t>significance</w:t>
      </w:r>
      <w:r w:rsidR="002B4FF7" w:rsidRPr="008F0407">
        <w:rPr>
          <w:rStyle w:val="FootnoteReference"/>
          <w:rFonts w:ascii="Times New Roman" w:hAnsi="Times New Roman"/>
          <w:sz w:val="24"/>
        </w:rPr>
        <w:footnoteReference w:id="142"/>
      </w:r>
      <w:r w:rsidRPr="008F0407">
        <w:rPr>
          <w:rFonts w:ascii="Times New Roman" w:hAnsi="Times New Roman"/>
        </w:rPr>
        <w:t xml:space="preserve"> to the </w:t>
      </w:r>
      <w:r w:rsidR="007468FF" w:rsidRPr="008F0407">
        <w:rPr>
          <w:rFonts w:ascii="Times New Roman" w:hAnsi="Times New Roman"/>
        </w:rPr>
        <w:t xml:space="preserve">parties' </w:t>
      </w:r>
      <w:r w:rsidRPr="008F0407">
        <w:rPr>
          <w:rFonts w:ascii="Times New Roman" w:hAnsi="Times New Roman"/>
        </w:rPr>
        <w:t>description of the</w:t>
      </w:r>
      <w:r w:rsidR="007468FF" w:rsidRPr="008F0407">
        <w:rPr>
          <w:rFonts w:ascii="Times New Roman" w:hAnsi="Times New Roman"/>
        </w:rPr>
        <w:t>ir</w:t>
      </w:r>
      <w:r w:rsidRPr="008F0407">
        <w:rPr>
          <w:rFonts w:ascii="Times New Roman" w:hAnsi="Times New Roman"/>
        </w:rPr>
        <w:t xml:space="preserve"> relationship </w:t>
      </w:r>
      <w:r w:rsidR="002B4FF7" w:rsidRPr="008F0407">
        <w:rPr>
          <w:rFonts w:ascii="Times New Roman" w:hAnsi="Times New Roman"/>
        </w:rPr>
        <w:t xml:space="preserve">in a manner </w:t>
      </w:r>
      <w:proofErr w:type="gramStart"/>
      <w:r w:rsidR="002B4FF7" w:rsidRPr="008F0407">
        <w:rPr>
          <w:rFonts w:ascii="Times New Roman" w:hAnsi="Times New Roman"/>
        </w:rPr>
        <w:t>so as to</w:t>
      </w:r>
      <w:proofErr w:type="gramEnd"/>
      <w:r w:rsidR="002B4FF7" w:rsidRPr="008F0407">
        <w:rPr>
          <w:rFonts w:ascii="Times New Roman" w:hAnsi="Times New Roman"/>
        </w:rPr>
        <w:t xml:space="preserve"> "remove [the] ambiguity"</w:t>
      </w:r>
      <w:r w:rsidR="00420C6F" w:rsidRPr="008F0407">
        <w:rPr>
          <w:rStyle w:val="FootnoteReference"/>
          <w:rFonts w:ascii="Times New Roman" w:hAnsi="Times New Roman"/>
          <w:sz w:val="24"/>
        </w:rPr>
        <w:footnoteReference w:id="143"/>
      </w:r>
      <w:r w:rsidR="002B4FF7" w:rsidRPr="008F0407">
        <w:rPr>
          <w:rFonts w:ascii="Times New Roman" w:hAnsi="Times New Roman"/>
        </w:rPr>
        <w:t xml:space="preserve"> </w:t>
      </w:r>
      <w:r w:rsidR="005F3016" w:rsidRPr="008F0407">
        <w:rPr>
          <w:rFonts w:ascii="Times New Roman" w:hAnsi="Times New Roman"/>
        </w:rPr>
        <w:t xml:space="preserve">generated </w:t>
      </w:r>
      <w:r w:rsidR="00A473BD" w:rsidRPr="008F0407">
        <w:rPr>
          <w:rFonts w:ascii="Times New Roman" w:hAnsi="Times New Roman"/>
        </w:rPr>
        <w:t xml:space="preserve">by other factors </w:t>
      </w:r>
      <w:r w:rsidR="005F3016" w:rsidRPr="008F0407">
        <w:rPr>
          <w:rFonts w:ascii="Times New Roman" w:hAnsi="Times New Roman"/>
        </w:rPr>
        <w:t xml:space="preserve">in the analysis pointing in opposite </w:t>
      </w:r>
      <w:r w:rsidR="005F3016" w:rsidRPr="008F0407">
        <w:rPr>
          <w:rFonts w:ascii="Times New Roman" w:hAnsi="Times New Roman"/>
        </w:rPr>
        <w:lastRenderedPageBreak/>
        <w:t>directions</w:t>
      </w:r>
      <w:r w:rsidRPr="008F0407">
        <w:rPr>
          <w:rFonts w:ascii="Times New Roman" w:hAnsi="Times New Roman"/>
        </w:rPr>
        <w:t xml:space="preserve">. The same </w:t>
      </w:r>
      <w:r w:rsidR="00CB288C" w:rsidRPr="008F0407">
        <w:rPr>
          <w:rFonts w:ascii="Times New Roman" w:hAnsi="Times New Roman"/>
        </w:rPr>
        <w:t xml:space="preserve">error infected the </w:t>
      </w:r>
      <w:r w:rsidRPr="008F0407">
        <w:rPr>
          <w:rFonts w:ascii="Times New Roman" w:hAnsi="Times New Roman"/>
        </w:rPr>
        <w:t xml:space="preserve">decision in </w:t>
      </w:r>
      <w:proofErr w:type="spellStart"/>
      <w:r w:rsidRPr="008F0407">
        <w:rPr>
          <w:rFonts w:ascii="Times New Roman" w:hAnsi="Times New Roman"/>
          <w:i/>
          <w:iCs/>
        </w:rPr>
        <w:t>Odco</w:t>
      </w:r>
      <w:proofErr w:type="spellEnd"/>
      <w:r w:rsidRPr="008F0407">
        <w:rPr>
          <w:rStyle w:val="FootnoteReference"/>
          <w:rFonts w:ascii="Times New Roman" w:hAnsi="Times New Roman"/>
          <w:iCs/>
          <w:sz w:val="24"/>
        </w:rPr>
        <w:footnoteReference w:id="144"/>
      </w:r>
      <w:r w:rsidRPr="008F0407">
        <w:rPr>
          <w:rFonts w:ascii="Times New Roman" w:hAnsi="Times New Roman"/>
          <w:i/>
          <w:iCs/>
        </w:rPr>
        <w:t>.</w:t>
      </w:r>
      <w:r w:rsidR="00420C6F" w:rsidRPr="008F0407">
        <w:rPr>
          <w:rFonts w:ascii="Times New Roman" w:hAnsi="Times New Roman"/>
        </w:rPr>
        <w:t xml:space="preserve"> That error involves a departure from principle </w:t>
      </w:r>
      <w:r w:rsidR="008A18BB" w:rsidRPr="008F0407">
        <w:rPr>
          <w:rFonts w:ascii="Times New Roman" w:hAnsi="Times New Roman"/>
        </w:rPr>
        <w:t>which</w:t>
      </w:r>
      <w:r w:rsidR="00420C6F" w:rsidRPr="008F0407">
        <w:rPr>
          <w:rFonts w:ascii="Times New Roman" w:hAnsi="Times New Roman"/>
        </w:rPr>
        <w:t xml:space="preserve"> should not be perpetuated.</w:t>
      </w:r>
    </w:p>
    <w:p w14:paraId="3E377F1B" w14:textId="6415A42F" w:rsidR="00202A03" w:rsidRPr="008F0407" w:rsidRDefault="00CB014E"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632862" w:rsidRPr="008F0407">
        <w:rPr>
          <w:rFonts w:ascii="Times New Roman" w:hAnsi="Times New Roman"/>
        </w:rPr>
        <w:t>Construct</w:t>
      </w:r>
      <w:r w:rsidR="00BB26B7" w:rsidRPr="008F0407">
        <w:rPr>
          <w:rFonts w:ascii="Times New Roman" w:hAnsi="Times New Roman"/>
        </w:rPr>
        <w:t xml:space="preserve"> </w:t>
      </w:r>
      <w:r w:rsidR="00D15E41" w:rsidRPr="008F0407">
        <w:rPr>
          <w:rFonts w:ascii="Times New Roman" w:hAnsi="Times New Roman"/>
        </w:rPr>
        <w:t xml:space="preserve">also </w:t>
      </w:r>
      <w:r w:rsidR="00BB26B7" w:rsidRPr="008F0407">
        <w:rPr>
          <w:rFonts w:ascii="Times New Roman" w:hAnsi="Times New Roman"/>
        </w:rPr>
        <w:t>placed reliance</w:t>
      </w:r>
      <w:r w:rsidR="000F172D" w:rsidRPr="008F0407">
        <w:rPr>
          <w:rFonts w:ascii="Times New Roman" w:hAnsi="Times New Roman"/>
        </w:rPr>
        <w:t xml:space="preserve"> </w:t>
      </w:r>
      <w:r w:rsidR="00BB26B7" w:rsidRPr="008F0407">
        <w:rPr>
          <w:rFonts w:ascii="Times New Roman" w:hAnsi="Times New Roman"/>
        </w:rPr>
        <w:t xml:space="preserve">on the decision of the Court of Appeal in </w:t>
      </w:r>
      <w:r w:rsidR="00BB26B7" w:rsidRPr="008F0407">
        <w:rPr>
          <w:rFonts w:ascii="Times New Roman" w:hAnsi="Times New Roman"/>
          <w:i/>
          <w:iCs/>
        </w:rPr>
        <w:t xml:space="preserve">Bunce v </w:t>
      </w:r>
      <w:proofErr w:type="spellStart"/>
      <w:r w:rsidR="00BB26B7" w:rsidRPr="008F0407">
        <w:rPr>
          <w:rFonts w:ascii="Times New Roman" w:hAnsi="Times New Roman"/>
          <w:i/>
          <w:iCs/>
        </w:rPr>
        <w:t>Postworth</w:t>
      </w:r>
      <w:proofErr w:type="spellEnd"/>
      <w:r w:rsidR="00BB26B7" w:rsidRPr="008F0407">
        <w:rPr>
          <w:rFonts w:ascii="Times New Roman" w:hAnsi="Times New Roman"/>
          <w:i/>
          <w:iCs/>
        </w:rPr>
        <w:t xml:space="preserve"> L</w:t>
      </w:r>
      <w:r w:rsidR="00C25DD0" w:rsidRPr="008F0407">
        <w:rPr>
          <w:rFonts w:ascii="Times New Roman" w:hAnsi="Times New Roman"/>
          <w:i/>
          <w:iCs/>
        </w:rPr>
        <w:t>t</w:t>
      </w:r>
      <w:r w:rsidR="00BB26B7" w:rsidRPr="008F0407">
        <w:rPr>
          <w:rFonts w:ascii="Times New Roman" w:hAnsi="Times New Roman"/>
          <w:i/>
          <w:iCs/>
        </w:rPr>
        <w:t>d</w:t>
      </w:r>
      <w:r w:rsidR="00BB26B7" w:rsidRPr="008F0407">
        <w:rPr>
          <w:rStyle w:val="FootnoteReference"/>
          <w:rFonts w:ascii="Times New Roman" w:hAnsi="Times New Roman"/>
          <w:iCs/>
          <w:sz w:val="24"/>
        </w:rPr>
        <w:footnoteReference w:id="145"/>
      </w:r>
      <w:r w:rsidR="00632862" w:rsidRPr="008F0407">
        <w:rPr>
          <w:rFonts w:ascii="Times New Roman" w:hAnsi="Times New Roman"/>
          <w:iCs/>
        </w:rPr>
        <w:t>.</w:t>
      </w:r>
      <w:r w:rsidR="00BB26B7" w:rsidRPr="008F0407">
        <w:rPr>
          <w:rFonts w:ascii="Times New Roman" w:hAnsi="Times New Roman"/>
          <w:i/>
          <w:iCs/>
        </w:rPr>
        <w:t xml:space="preserve"> </w:t>
      </w:r>
      <w:r w:rsidR="00632862" w:rsidRPr="008F0407">
        <w:rPr>
          <w:rFonts w:ascii="Times New Roman" w:hAnsi="Times New Roman"/>
        </w:rPr>
        <w:t xml:space="preserve">In that case, </w:t>
      </w:r>
      <w:r w:rsidR="00BB26B7" w:rsidRPr="008F0407">
        <w:rPr>
          <w:rFonts w:ascii="Times New Roman" w:hAnsi="Times New Roman"/>
        </w:rPr>
        <w:t>it was held that a labour</w:t>
      </w:r>
      <w:r w:rsidR="00632862" w:rsidRPr="008F0407">
        <w:rPr>
          <w:rFonts w:ascii="Times New Roman" w:hAnsi="Times New Roman"/>
        </w:rPr>
        <w:noBreakHyphen/>
      </w:r>
      <w:r w:rsidR="00BB26B7" w:rsidRPr="008F0407">
        <w:rPr>
          <w:rFonts w:ascii="Times New Roman" w:hAnsi="Times New Roman"/>
        </w:rPr>
        <w:t xml:space="preserve">hire agency </w:t>
      </w:r>
      <w:r w:rsidR="00632862" w:rsidRPr="008F0407">
        <w:rPr>
          <w:rFonts w:ascii="Times New Roman" w:hAnsi="Times New Roman"/>
        </w:rPr>
        <w:t>was not in a relationship of employment with its worker because it lacked</w:t>
      </w:r>
      <w:r w:rsidR="00BB26B7" w:rsidRPr="008F0407">
        <w:rPr>
          <w:rFonts w:ascii="Times New Roman" w:hAnsi="Times New Roman"/>
        </w:rPr>
        <w:t xml:space="preserve"> the requisite power of control</w:t>
      </w:r>
      <w:r w:rsidR="002E0872" w:rsidRPr="008F0407">
        <w:rPr>
          <w:rFonts w:ascii="Times New Roman" w:hAnsi="Times New Roman"/>
        </w:rPr>
        <w:t>, which instead was found to reside in the client to whom the worker was assigned.</w:t>
      </w:r>
      <w:r w:rsidR="00BB26B7" w:rsidRPr="008F0407">
        <w:rPr>
          <w:rFonts w:ascii="Times New Roman" w:hAnsi="Times New Roman"/>
        </w:rPr>
        <w:t xml:space="preserve"> The Court of Appeal rejected the argument that the client's </w:t>
      </w:r>
      <w:r w:rsidR="0092274F" w:rsidRPr="008F0407">
        <w:rPr>
          <w:rFonts w:ascii="Times New Roman" w:hAnsi="Times New Roman"/>
        </w:rPr>
        <w:t>day</w:t>
      </w:r>
      <w:r w:rsidR="0092274F" w:rsidRPr="008F0407">
        <w:rPr>
          <w:rFonts w:ascii="Times New Roman" w:hAnsi="Times New Roman"/>
        </w:rPr>
        <w:noBreakHyphen/>
        <w:t>to</w:t>
      </w:r>
      <w:r w:rsidR="0092274F" w:rsidRPr="008F0407">
        <w:rPr>
          <w:rFonts w:ascii="Times New Roman" w:hAnsi="Times New Roman"/>
        </w:rPr>
        <w:noBreakHyphen/>
        <w:t xml:space="preserve">day </w:t>
      </w:r>
      <w:r w:rsidR="00BB26B7" w:rsidRPr="008F0407">
        <w:rPr>
          <w:rFonts w:ascii="Times New Roman" w:hAnsi="Times New Roman"/>
        </w:rPr>
        <w:t xml:space="preserve">control </w:t>
      </w:r>
      <w:r w:rsidR="0092274F" w:rsidRPr="008F0407">
        <w:rPr>
          <w:rFonts w:ascii="Times New Roman" w:hAnsi="Times New Roman"/>
        </w:rPr>
        <w:t xml:space="preserve">originated </w:t>
      </w:r>
      <w:r w:rsidR="00BB26B7" w:rsidRPr="008F0407">
        <w:rPr>
          <w:rFonts w:ascii="Times New Roman" w:hAnsi="Times New Roman"/>
        </w:rPr>
        <w:t>in the contract between the labour</w:t>
      </w:r>
      <w:r w:rsidR="0092274F" w:rsidRPr="008F0407">
        <w:rPr>
          <w:rFonts w:ascii="Times New Roman" w:hAnsi="Times New Roman"/>
        </w:rPr>
        <w:noBreakHyphen/>
      </w:r>
      <w:r w:rsidR="00BB26B7" w:rsidRPr="008F0407">
        <w:rPr>
          <w:rFonts w:ascii="Times New Roman" w:hAnsi="Times New Roman"/>
        </w:rPr>
        <w:t>hire agency and the worker</w:t>
      </w:r>
      <w:r w:rsidR="003D54CB" w:rsidRPr="008F0407">
        <w:rPr>
          <w:rFonts w:ascii="Times New Roman" w:hAnsi="Times New Roman"/>
        </w:rPr>
        <w:t>.</w:t>
      </w:r>
      <w:r w:rsidR="00BB26B7" w:rsidRPr="008F0407">
        <w:rPr>
          <w:rFonts w:ascii="Times New Roman" w:hAnsi="Times New Roman"/>
        </w:rPr>
        <w:t xml:space="preserve"> Keene LJ</w:t>
      </w:r>
      <w:r w:rsidR="003D54CB" w:rsidRPr="008F0407">
        <w:rPr>
          <w:rFonts w:ascii="Times New Roman" w:hAnsi="Times New Roman"/>
        </w:rPr>
        <w:t xml:space="preserve"> (with whom Gage LJ and Sir Martin </w:t>
      </w:r>
      <w:proofErr w:type="spellStart"/>
      <w:r w:rsidR="003D54CB" w:rsidRPr="008F0407">
        <w:rPr>
          <w:rFonts w:ascii="Times New Roman" w:hAnsi="Times New Roman"/>
        </w:rPr>
        <w:t>Nourse</w:t>
      </w:r>
      <w:proofErr w:type="spellEnd"/>
      <w:r w:rsidR="003D54CB" w:rsidRPr="008F0407">
        <w:rPr>
          <w:rFonts w:ascii="Times New Roman" w:hAnsi="Times New Roman"/>
        </w:rPr>
        <w:t xml:space="preserve"> agreed) said</w:t>
      </w:r>
      <w:r w:rsidR="00BB26B7" w:rsidRPr="008F0407">
        <w:rPr>
          <w:rFonts w:ascii="Times New Roman" w:hAnsi="Times New Roman"/>
        </w:rPr>
        <w:t xml:space="preserve"> that</w:t>
      </w:r>
      <w:r w:rsidR="00202A03" w:rsidRPr="008F0407">
        <w:rPr>
          <w:rStyle w:val="FootnoteReference"/>
          <w:rFonts w:ascii="Times New Roman" w:hAnsi="Times New Roman"/>
          <w:iCs/>
          <w:sz w:val="24"/>
        </w:rPr>
        <w:footnoteReference w:id="146"/>
      </w:r>
      <w:r w:rsidR="00202A03" w:rsidRPr="008F0407">
        <w:rPr>
          <w:rFonts w:ascii="Times New Roman" w:hAnsi="Times New Roman"/>
        </w:rPr>
        <w:t>:</w:t>
      </w:r>
    </w:p>
    <w:p w14:paraId="53D9A80D" w14:textId="77777777" w:rsidR="008F0407" w:rsidRDefault="00BB26B7" w:rsidP="008F0407">
      <w:pPr>
        <w:pStyle w:val="LeftrightafterHC"/>
        <w:spacing w:before="0" w:after="260" w:line="280" w:lineRule="exact"/>
        <w:ind w:right="0"/>
        <w:jc w:val="both"/>
        <w:rPr>
          <w:rFonts w:ascii="Times New Roman" w:hAnsi="Times New Roman"/>
        </w:rPr>
      </w:pPr>
      <w:r w:rsidRPr="008F0407">
        <w:rPr>
          <w:rFonts w:ascii="Times New Roman" w:hAnsi="Times New Roman"/>
        </w:rPr>
        <w:t>"</w:t>
      </w:r>
      <w:r w:rsidR="003D54CB" w:rsidRPr="008F0407">
        <w:rPr>
          <w:rFonts w:ascii="Times New Roman" w:hAnsi="Times New Roman"/>
        </w:rPr>
        <w:t>[</w:t>
      </w:r>
      <w:r w:rsidRPr="008F0407">
        <w:rPr>
          <w:rFonts w:ascii="Times New Roman" w:hAnsi="Times New Roman"/>
        </w:rPr>
        <w:t>t</w:t>
      </w:r>
      <w:r w:rsidR="003D54CB" w:rsidRPr="008F0407">
        <w:rPr>
          <w:rFonts w:ascii="Times New Roman" w:hAnsi="Times New Roman"/>
        </w:rPr>
        <w:t>]</w:t>
      </w:r>
      <w:r w:rsidRPr="008F0407">
        <w:rPr>
          <w:rFonts w:ascii="Times New Roman" w:hAnsi="Times New Roman"/>
        </w:rPr>
        <w:t xml:space="preserve">he law has always been concerned with who </w:t>
      </w:r>
      <w:r w:rsidRPr="008F0407">
        <w:rPr>
          <w:rFonts w:ascii="Times New Roman" w:hAnsi="Times New Roman"/>
          <w:i/>
        </w:rPr>
        <w:t>in</w:t>
      </w:r>
      <w:r w:rsidRPr="008F0407">
        <w:rPr>
          <w:rFonts w:ascii="Times New Roman" w:hAnsi="Times New Roman"/>
        </w:rPr>
        <w:t xml:space="preserve"> </w:t>
      </w:r>
      <w:r w:rsidRPr="008F0407">
        <w:rPr>
          <w:rFonts w:ascii="Times New Roman" w:hAnsi="Times New Roman"/>
          <w:i/>
        </w:rPr>
        <w:t xml:space="preserve">reality </w:t>
      </w:r>
      <w:r w:rsidRPr="008F0407">
        <w:rPr>
          <w:rFonts w:ascii="Times New Roman" w:hAnsi="Times New Roman"/>
        </w:rPr>
        <w:t>has the power to control what the worker does and how he does it."</w:t>
      </w:r>
      <w:r w:rsidR="00202A03" w:rsidRPr="008F0407">
        <w:rPr>
          <w:rFonts w:ascii="Times New Roman" w:hAnsi="Times New Roman"/>
        </w:rPr>
        <w:t xml:space="preserve"> </w:t>
      </w:r>
      <w:r w:rsidRPr="008F0407">
        <w:rPr>
          <w:rFonts w:ascii="Times New Roman" w:hAnsi="Times New Roman"/>
        </w:rPr>
        <w:t>(</w:t>
      </w:r>
      <w:r w:rsidR="00471D9A" w:rsidRPr="008F0407">
        <w:rPr>
          <w:rFonts w:ascii="Times New Roman" w:hAnsi="Times New Roman"/>
        </w:rPr>
        <w:t>e</w:t>
      </w:r>
      <w:r w:rsidRPr="008F0407">
        <w:rPr>
          <w:rFonts w:ascii="Times New Roman" w:hAnsi="Times New Roman"/>
        </w:rPr>
        <w:t xml:space="preserve">mphasis in original) </w:t>
      </w:r>
    </w:p>
    <w:p w14:paraId="686C0148" w14:textId="7FFE24E0" w:rsidR="00BB26B7" w:rsidRPr="008F0407" w:rsidRDefault="00202A03"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903E15" w:rsidRPr="008F0407">
        <w:rPr>
          <w:rFonts w:ascii="Times New Roman" w:hAnsi="Times New Roman"/>
        </w:rPr>
        <w:t xml:space="preserve">The decision in </w:t>
      </w:r>
      <w:r w:rsidR="00903E15" w:rsidRPr="008F0407">
        <w:rPr>
          <w:rFonts w:ascii="Times New Roman" w:hAnsi="Times New Roman"/>
          <w:i/>
        </w:rPr>
        <w:t xml:space="preserve">Bunce </w:t>
      </w:r>
      <w:r w:rsidR="00903E15" w:rsidRPr="008F0407">
        <w:rPr>
          <w:rFonts w:ascii="Times New Roman" w:hAnsi="Times New Roman"/>
        </w:rPr>
        <w:t xml:space="preserve">is of little assistance in this case. </w:t>
      </w:r>
      <w:r w:rsidR="00BB26B7" w:rsidRPr="008F0407">
        <w:rPr>
          <w:rFonts w:ascii="Times New Roman" w:hAnsi="Times New Roman"/>
        </w:rPr>
        <w:t xml:space="preserve">The reference by Keene LJ to the </w:t>
      </w:r>
      <w:r w:rsidR="006E5EFA" w:rsidRPr="008F0407">
        <w:rPr>
          <w:rFonts w:ascii="Times New Roman" w:hAnsi="Times New Roman"/>
        </w:rPr>
        <w:t>"</w:t>
      </w:r>
      <w:r w:rsidR="00BB26B7" w:rsidRPr="008F0407">
        <w:rPr>
          <w:rFonts w:ascii="Times New Roman" w:hAnsi="Times New Roman"/>
        </w:rPr>
        <w:t xml:space="preserve">reality" of the situation does not accord with the central importance </w:t>
      </w:r>
      <w:r w:rsidR="000977B5" w:rsidRPr="008F0407">
        <w:rPr>
          <w:rFonts w:ascii="Times New Roman" w:hAnsi="Times New Roman"/>
        </w:rPr>
        <w:t xml:space="preserve">of </w:t>
      </w:r>
      <w:r w:rsidR="00BB26B7" w:rsidRPr="008F0407">
        <w:rPr>
          <w:rFonts w:ascii="Times New Roman" w:hAnsi="Times New Roman"/>
        </w:rPr>
        <w:t xml:space="preserve">the </w:t>
      </w:r>
      <w:r w:rsidR="00FB371C" w:rsidRPr="008F0407">
        <w:rPr>
          <w:rFonts w:ascii="Times New Roman" w:hAnsi="Times New Roman"/>
        </w:rPr>
        <w:t>rights and duties established</w:t>
      </w:r>
      <w:r w:rsidR="00BB26B7" w:rsidRPr="008F0407">
        <w:rPr>
          <w:rFonts w:ascii="Times New Roman" w:hAnsi="Times New Roman"/>
        </w:rPr>
        <w:t xml:space="preserve"> by the parties</w:t>
      </w:r>
      <w:r w:rsidR="000977B5" w:rsidRPr="008F0407">
        <w:rPr>
          <w:rFonts w:ascii="Times New Roman" w:hAnsi="Times New Roman"/>
        </w:rPr>
        <w:t xml:space="preserve"> in their written contract</w:t>
      </w:r>
      <w:r w:rsidR="00BB26B7" w:rsidRPr="008F0407">
        <w:rPr>
          <w:rFonts w:ascii="Times New Roman" w:hAnsi="Times New Roman"/>
        </w:rPr>
        <w:t xml:space="preserve">. </w:t>
      </w:r>
      <w:r w:rsidR="00FB371C" w:rsidRPr="008F0407">
        <w:rPr>
          <w:rFonts w:ascii="Times New Roman" w:hAnsi="Times New Roman"/>
        </w:rPr>
        <w:t>It suggests that</w:t>
      </w:r>
      <w:r w:rsidR="00BB26B7" w:rsidRPr="008F0407">
        <w:rPr>
          <w:rFonts w:ascii="Times New Roman" w:hAnsi="Times New Roman"/>
        </w:rPr>
        <w:t xml:space="preserve"> the "reality" of the situation is</w:t>
      </w:r>
      <w:r w:rsidR="00EB7ACA" w:rsidRPr="008F0407">
        <w:rPr>
          <w:rFonts w:ascii="Times New Roman" w:hAnsi="Times New Roman"/>
        </w:rPr>
        <w:t>,</w:t>
      </w:r>
      <w:r w:rsidR="00BB26B7" w:rsidRPr="008F0407">
        <w:rPr>
          <w:rFonts w:ascii="Times New Roman" w:hAnsi="Times New Roman"/>
        </w:rPr>
        <w:t xml:space="preserve"> </w:t>
      </w:r>
      <w:r w:rsidR="00E94D74" w:rsidRPr="008F0407">
        <w:rPr>
          <w:rFonts w:ascii="Times New Roman" w:hAnsi="Times New Roman"/>
        </w:rPr>
        <w:t xml:space="preserve">in some unexplained way, of a significance that transcends </w:t>
      </w:r>
      <w:r w:rsidR="00BB26B7" w:rsidRPr="008F0407">
        <w:rPr>
          <w:rFonts w:ascii="Times New Roman" w:hAnsi="Times New Roman"/>
        </w:rPr>
        <w:t>the rights and obligations agreed by the parties</w:t>
      </w:r>
      <w:r w:rsidR="00855766" w:rsidRPr="008F0407">
        <w:rPr>
          <w:rFonts w:ascii="Times New Roman" w:hAnsi="Times New Roman"/>
        </w:rPr>
        <w:t>.</w:t>
      </w:r>
      <w:r w:rsidR="00BB26B7" w:rsidRPr="008F0407">
        <w:rPr>
          <w:rFonts w:ascii="Times New Roman" w:hAnsi="Times New Roman"/>
        </w:rPr>
        <w:t xml:space="preserve"> </w:t>
      </w:r>
      <w:r w:rsidR="00C05972" w:rsidRPr="008F0407">
        <w:rPr>
          <w:rFonts w:ascii="Times New Roman" w:hAnsi="Times New Roman"/>
        </w:rPr>
        <w:t xml:space="preserve">To the extent that this involves an assumption that </w:t>
      </w:r>
      <w:r w:rsidR="00BB26B7" w:rsidRPr="008F0407">
        <w:rPr>
          <w:rFonts w:ascii="Times New Roman" w:hAnsi="Times New Roman"/>
        </w:rPr>
        <w:t xml:space="preserve">employment </w:t>
      </w:r>
      <w:r w:rsidR="00D04395" w:rsidRPr="008F0407">
        <w:rPr>
          <w:rFonts w:ascii="Times New Roman" w:hAnsi="Times New Roman"/>
        </w:rPr>
        <w:t>contracts are to be interpreted differently from</w:t>
      </w:r>
      <w:r w:rsidR="003A0D1D" w:rsidRPr="008F0407">
        <w:rPr>
          <w:rFonts w:ascii="Times New Roman" w:hAnsi="Times New Roman"/>
        </w:rPr>
        <w:t xml:space="preserve"> contracts</w:t>
      </w:r>
      <w:r w:rsidR="00045C8C" w:rsidRPr="008F0407">
        <w:rPr>
          <w:rFonts w:ascii="Times New Roman" w:hAnsi="Times New Roman"/>
        </w:rPr>
        <w:t xml:space="preserve"> generally,</w:t>
      </w:r>
      <w:r w:rsidR="003A0D1D" w:rsidRPr="008F0407">
        <w:rPr>
          <w:rFonts w:ascii="Times New Roman" w:hAnsi="Times New Roman"/>
        </w:rPr>
        <w:t xml:space="preserve"> t</w:t>
      </w:r>
      <w:r w:rsidR="00BB26B7" w:rsidRPr="008F0407">
        <w:rPr>
          <w:rFonts w:ascii="Times New Roman" w:hAnsi="Times New Roman"/>
        </w:rPr>
        <w:t>hat assumption is not consistent with the law in Australia</w:t>
      </w:r>
      <w:r w:rsidR="0096037D" w:rsidRPr="008F0407">
        <w:rPr>
          <w:rFonts w:ascii="Times New Roman" w:hAnsi="Times New Roman"/>
        </w:rPr>
        <w:t xml:space="preserve">. </w:t>
      </w:r>
      <w:r w:rsidR="00CE052B" w:rsidRPr="008F0407">
        <w:rPr>
          <w:rFonts w:ascii="Times New Roman" w:hAnsi="Times New Roman"/>
        </w:rPr>
        <w:t>Further</w:t>
      </w:r>
      <w:r w:rsidR="00BB26B7" w:rsidRPr="008F0407">
        <w:rPr>
          <w:rFonts w:ascii="Times New Roman" w:hAnsi="Times New Roman"/>
        </w:rPr>
        <w:t xml:space="preserve">, the </w:t>
      </w:r>
      <w:r w:rsidR="0096037D" w:rsidRPr="008F0407">
        <w:rPr>
          <w:rFonts w:ascii="Times New Roman" w:hAnsi="Times New Roman"/>
        </w:rPr>
        <w:t xml:space="preserve">Court of Appeal's </w:t>
      </w:r>
      <w:r w:rsidR="00BB26B7" w:rsidRPr="008F0407">
        <w:rPr>
          <w:rFonts w:ascii="Times New Roman" w:hAnsi="Times New Roman"/>
        </w:rPr>
        <w:t xml:space="preserve">emphasis on the </w:t>
      </w:r>
      <w:r w:rsidR="00BB26B7" w:rsidRPr="008F0407">
        <w:rPr>
          <w:rFonts w:ascii="Times New Roman" w:hAnsi="Times New Roman"/>
          <w:i/>
        </w:rPr>
        <w:t>exercise</w:t>
      </w:r>
      <w:r w:rsidR="00BB26B7" w:rsidRPr="008F0407">
        <w:rPr>
          <w:rFonts w:ascii="Times New Roman" w:hAnsi="Times New Roman"/>
        </w:rPr>
        <w:t xml:space="preserve"> of control is inconsistent with the </w:t>
      </w:r>
      <w:r w:rsidR="00D240E2" w:rsidRPr="008F0407">
        <w:rPr>
          <w:rFonts w:ascii="Times New Roman" w:hAnsi="Times New Roman"/>
        </w:rPr>
        <w:t>recognition by this Court that the gravamen of the concept of control lies in the authority to exercise control and not its practical exercise</w:t>
      </w:r>
      <w:r w:rsidR="00BB26B7" w:rsidRPr="008F0407">
        <w:rPr>
          <w:rStyle w:val="FootnoteReference"/>
          <w:rFonts w:ascii="Times New Roman" w:hAnsi="Times New Roman"/>
          <w:iCs/>
          <w:sz w:val="24"/>
        </w:rPr>
        <w:footnoteReference w:id="147"/>
      </w:r>
      <w:r w:rsidR="00BB26B7" w:rsidRPr="008F0407">
        <w:rPr>
          <w:rFonts w:ascii="Times New Roman" w:hAnsi="Times New Roman"/>
        </w:rPr>
        <w:t>.</w:t>
      </w:r>
    </w:p>
    <w:p w14:paraId="0F080C72" w14:textId="6D433380" w:rsidR="0002631A" w:rsidRPr="008F0407" w:rsidRDefault="0002631A" w:rsidP="008F0407">
      <w:pPr>
        <w:pStyle w:val="HeadingL1"/>
        <w:spacing w:after="260" w:line="280" w:lineRule="exact"/>
        <w:ind w:right="0"/>
        <w:jc w:val="both"/>
        <w:rPr>
          <w:rFonts w:ascii="Times New Roman" w:hAnsi="Times New Roman"/>
        </w:rPr>
      </w:pPr>
      <w:r w:rsidRPr="008F0407">
        <w:rPr>
          <w:rFonts w:ascii="Times New Roman" w:hAnsi="Times New Roman"/>
        </w:rPr>
        <w:t>Conclusion</w:t>
      </w:r>
    </w:p>
    <w:p w14:paraId="33DEF4A7" w14:textId="3848DAF9" w:rsidR="000342D6" w:rsidRPr="008F0407" w:rsidRDefault="0002631A"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5A777C" w:rsidRPr="008F0407">
        <w:rPr>
          <w:rFonts w:ascii="Times New Roman" w:hAnsi="Times New Roman"/>
        </w:rPr>
        <w:t>Under the ASA</w:t>
      </w:r>
      <w:r w:rsidR="006F6B22" w:rsidRPr="008F0407">
        <w:rPr>
          <w:rFonts w:ascii="Times New Roman" w:hAnsi="Times New Roman"/>
        </w:rPr>
        <w:t>,</w:t>
      </w:r>
      <w:r w:rsidR="005A777C" w:rsidRPr="008F0407">
        <w:rPr>
          <w:rFonts w:ascii="Times New Roman" w:hAnsi="Times New Roman"/>
        </w:rPr>
        <w:t xml:space="preserve"> </w:t>
      </w:r>
      <w:r w:rsidR="004670D9" w:rsidRPr="008F0407">
        <w:rPr>
          <w:rFonts w:ascii="Times New Roman" w:hAnsi="Times New Roman"/>
        </w:rPr>
        <w:t>Mr McCourt</w:t>
      </w:r>
      <w:r w:rsidR="00E95D5C" w:rsidRPr="008F0407">
        <w:rPr>
          <w:rFonts w:ascii="Times New Roman" w:hAnsi="Times New Roman"/>
        </w:rPr>
        <w:t xml:space="preserve"> </w:t>
      </w:r>
      <w:r w:rsidR="00CE052B" w:rsidRPr="008F0407">
        <w:rPr>
          <w:rFonts w:ascii="Times New Roman" w:hAnsi="Times New Roman"/>
        </w:rPr>
        <w:t>promised</w:t>
      </w:r>
      <w:r w:rsidR="00332348" w:rsidRPr="008F0407">
        <w:rPr>
          <w:rFonts w:ascii="Times New Roman" w:hAnsi="Times New Roman"/>
        </w:rPr>
        <w:t xml:space="preserve"> Construct</w:t>
      </w:r>
      <w:r w:rsidR="005A777C" w:rsidRPr="008F0407">
        <w:rPr>
          <w:rFonts w:ascii="Times New Roman" w:hAnsi="Times New Roman"/>
        </w:rPr>
        <w:t xml:space="preserve"> to work as directed by </w:t>
      </w:r>
      <w:r w:rsidR="00F96887" w:rsidRPr="008F0407">
        <w:rPr>
          <w:rFonts w:ascii="Times New Roman" w:hAnsi="Times New Roman"/>
        </w:rPr>
        <w:t xml:space="preserve">Construct and by </w:t>
      </w:r>
      <w:r w:rsidR="005A777C" w:rsidRPr="008F0407">
        <w:rPr>
          <w:rFonts w:ascii="Times New Roman" w:hAnsi="Times New Roman"/>
        </w:rPr>
        <w:t>Construct's customer</w:t>
      </w:r>
      <w:r w:rsidR="00E1635E" w:rsidRPr="008F0407">
        <w:rPr>
          <w:rFonts w:ascii="Times New Roman" w:hAnsi="Times New Roman"/>
        </w:rPr>
        <w:t>, Hanssen</w:t>
      </w:r>
      <w:r w:rsidR="005A777C" w:rsidRPr="008F0407">
        <w:rPr>
          <w:rFonts w:ascii="Times New Roman" w:hAnsi="Times New Roman"/>
        </w:rPr>
        <w:t xml:space="preserve">. </w:t>
      </w:r>
      <w:r w:rsidR="00F32615" w:rsidRPr="008F0407">
        <w:rPr>
          <w:rFonts w:ascii="Times New Roman" w:hAnsi="Times New Roman"/>
        </w:rPr>
        <w:t xml:space="preserve">Mr McCourt was entitled to be paid by Construct in return for the work he performed pursuant to </w:t>
      </w:r>
      <w:r w:rsidR="00296089" w:rsidRPr="008F0407">
        <w:rPr>
          <w:rFonts w:ascii="Times New Roman" w:hAnsi="Times New Roman"/>
        </w:rPr>
        <w:t>that</w:t>
      </w:r>
      <w:r w:rsidR="00F32615" w:rsidRPr="008F0407">
        <w:rPr>
          <w:rFonts w:ascii="Times New Roman" w:hAnsi="Times New Roman"/>
        </w:rPr>
        <w:t xml:space="preserve"> promise. </w:t>
      </w:r>
      <w:r w:rsidR="006F6B22" w:rsidRPr="008F0407">
        <w:rPr>
          <w:rFonts w:ascii="Times New Roman" w:hAnsi="Times New Roman"/>
        </w:rPr>
        <w:lastRenderedPageBreak/>
        <w:t>That</w:t>
      </w:r>
      <w:r w:rsidR="005A777C" w:rsidRPr="008F0407">
        <w:rPr>
          <w:rFonts w:ascii="Times New Roman" w:hAnsi="Times New Roman"/>
        </w:rPr>
        <w:t xml:space="preserve"> </w:t>
      </w:r>
      <w:r w:rsidR="00C665D2" w:rsidRPr="008F0407">
        <w:rPr>
          <w:rFonts w:ascii="Times New Roman" w:hAnsi="Times New Roman"/>
        </w:rPr>
        <w:t xml:space="preserve">promise to work for </w:t>
      </w:r>
      <w:r w:rsidR="006F6B22" w:rsidRPr="008F0407">
        <w:rPr>
          <w:rFonts w:ascii="Times New Roman" w:hAnsi="Times New Roman"/>
        </w:rPr>
        <w:t xml:space="preserve">Construct's </w:t>
      </w:r>
      <w:r w:rsidR="00C665D2" w:rsidRPr="008F0407">
        <w:rPr>
          <w:rFonts w:ascii="Times New Roman" w:hAnsi="Times New Roman"/>
        </w:rPr>
        <w:t>customer</w:t>
      </w:r>
      <w:r w:rsidR="008C4298" w:rsidRPr="008F0407">
        <w:rPr>
          <w:rFonts w:ascii="Times New Roman" w:hAnsi="Times New Roman"/>
        </w:rPr>
        <w:t>,</w:t>
      </w:r>
      <w:r w:rsidR="00C665D2" w:rsidRPr="008F0407">
        <w:rPr>
          <w:rFonts w:ascii="Times New Roman" w:hAnsi="Times New Roman"/>
        </w:rPr>
        <w:t xml:space="preserve"> and his entitlement to be paid for that work</w:t>
      </w:r>
      <w:r w:rsidR="008C4298" w:rsidRPr="008F0407">
        <w:rPr>
          <w:rFonts w:ascii="Times New Roman" w:hAnsi="Times New Roman"/>
        </w:rPr>
        <w:t>,</w:t>
      </w:r>
      <w:r w:rsidR="00C665D2" w:rsidRPr="008F0407">
        <w:rPr>
          <w:rFonts w:ascii="Times New Roman" w:hAnsi="Times New Roman"/>
        </w:rPr>
        <w:t xml:space="preserve"> </w:t>
      </w:r>
      <w:r w:rsidR="008C4298" w:rsidRPr="008F0407">
        <w:rPr>
          <w:rFonts w:ascii="Times New Roman" w:hAnsi="Times New Roman"/>
        </w:rPr>
        <w:t>were at the core of</w:t>
      </w:r>
      <w:r w:rsidR="00C665D2" w:rsidRPr="008F0407">
        <w:rPr>
          <w:rFonts w:ascii="Times New Roman" w:hAnsi="Times New Roman"/>
        </w:rPr>
        <w:t xml:space="preserve"> Construct's business of providing labour to its customers. The right to control the provision of Mr McCourt's labour was an </w:t>
      </w:r>
      <w:r w:rsidR="00A774A1" w:rsidRPr="008F0407">
        <w:rPr>
          <w:rFonts w:ascii="Times New Roman" w:hAnsi="Times New Roman"/>
        </w:rPr>
        <w:t xml:space="preserve">essential </w:t>
      </w:r>
      <w:r w:rsidR="00C665D2" w:rsidRPr="008F0407">
        <w:rPr>
          <w:rFonts w:ascii="Times New Roman" w:hAnsi="Times New Roman"/>
        </w:rPr>
        <w:t>asset of that business.</w:t>
      </w:r>
      <w:r w:rsidR="00AA3F54" w:rsidRPr="008F0407">
        <w:rPr>
          <w:rFonts w:ascii="Times New Roman" w:hAnsi="Times New Roman"/>
        </w:rPr>
        <w:t xml:space="preserve"> </w:t>
      </w:r>
      <w:r w:rsidR="00265FF4" w:rsidRPr="008F0407">
        <w:rPr>
          <w:rFonts w:ascii="Times New Roman" w:hAnsi="Times New Roman"/>
        </w:rPr>
        <w:t xml:space="preserve">Mr McCourt's </w:t>
      </w:r>
      <w:r w:rsidR="00AC0109" w:rsidRPr="008F0407">
        <w:rPr>
          <w:rFonts w:ascii="Times New Roman" w:hAnsi="Times New Roman"/>
        </w:rPr>
        <w:t xml:space="preserve">performance of </w:t>
      </w:r>
      <w:r w:rsidR="00265FF4" w:rsidRPr="008F0407">
        <w:rPr>
          <w:rFonts w:ascii="Times New Roman" w:hAnsi="Times New Roman"/>
        </w:rPr>
        <w:t>work for</w:t>
      </w:r>
      <w:r w:rsidR="008C4298" w:rsidRPr="008F0407">
        <w:rPr>
          <w:rFonts w:ascii="Times New Roman" w:hAnsi="Times New Roman"/>
        </w:rPr>
        <w:t>, and at the direction of,</w:t>
      </w:r>
      <w:r w:rsidR="00265FF4" w:rsidRPr="008F0407">
        <w:rPr>
          <w:rFonts w:ascii="Times New Roman" w:hAnsi="Times New Roman"/>
        </w:rPr>
        <w:t xml:space="preserve"> </w:t>
      </w:r>
      <w:r w:rsidR="00AC0109" w:rsidRPr="008F0407">
        <w:rPr>
          <w:rFonts w:ascii="Times New Roman" w:hAnsi="Times New Roman"/>
        </w:rPr>
        <w:t>Hanssen</w:t>
      </w:r>
      <w:r w:rsidR="00265FF4" w:rsidRPr="008F0407">
        <w:rPr>
          <w:rFonts w:ascii="Times New Roman" w:hAnsi="Times New Roman"/>
        </w:rPr>
        <w:t xml:space="preserve"> </w:t>
      </w:r>
      <w:r w:rsidR="008C4298" w:rsidRPr="008F0407">
        <w:rPr>
          <w:rFonts w:ascii="Times New Roman" w:hAnsi="Times New Roman"/>
        </w:rPr>
        <w:t>was a direct result of</w:t>
      </w:r>
      <w:r w:rsidR="00412B6D" w:rsidRPr="008F0407">
        <w:rPr>
          <w:rFonts w:ascii="Times New Roman" w:hAnsi="Times New Roman"/>
        </w:rPr>
        <w:t xml:space="preserve"> the deployment </w:t>
      </w:r>
      <w:r w:rsidR="008C4298" w:rsidRPr="008F0407">
        <w:rPr>
          <w:rFonts w:ascii="Times New Roman" w:hAnsi="Times New Roman"/>
        </w:rPr>
        <w:t xml:space="preserve">by Construct </w:t>
      </w:r>
      <w:r w:rsidR="00BF6512" w:rsidRPr="008F0407">
        <w:rPr>
          <w:rFonts w:ascii="Times New Roman" w:hAnsi="Times New Roman"/>
        </w:rPr>
        <w:t xml:space="preserve">of this asset </w:t>
      </w:r>
      <w:r w:rsidR="000342D6" w:rsidRPr="008F0407">
        <w:rPr>
          <w:rFonts w:ascii="Times New Roman" w:hAnsi="Times New Roman"/>
        </w:rPr>
        <w:t xml:space="preserve">in the course </w:t>
      </w:r>
      <w:r w:rsidR="00BF6512" w:rsidRPr="008F0407">
        <w:rPr>
          <w:rFonts w:ascii="Times New Roman" w:hAnsi="Times New Roman"/>
        </w:rPr>
        <w:t>of</w:t>
      </w:r>
      <w:r w:rsidR="00845DD3" w:rsidRPr="008F0407">
        <w:rPr>
          <w:rFonts w:ascii="Times New Roman" w:hAnsi="Times New Roman"/>
        </w:rPr>
        <w:t xml:space="preserve"> </w:t>
      </w:r>
      <w:r w:rsidR="008C4298" w:rsidRPr="008F0407">
        <w:rPr>
          <w:rFonts w:ascii="Times New Roman" w:hAnsi="Times New Roman"/>
        </w:rPr>
        <w:t>its ongoing relationship with its customer</w:t>
      </w:r>
      <w:r w:rsidR="007376FA" w:rsidRPr="008F0407">
        <w:rPr>
          <w:rFonts w:ascii="Times New Roman" w:hAnsi="Times New Roman"/>
        </w:rPr>
        <w:t>.</w:t>
      </w:r>
      <w:r w:rsidR="00845DD3" w:rsidRPr="008F0407">
        <w:rPr>
          <w:rFonts w:ascii="Times New Roman" w:hAnsi="Times New Roman"/>
        </w:rPr>
        <w:t xml:space="preserve"> </w:t>
      </w:r>
    </w:p>
    <w:p w14:paraId="44AA5574" w14:textId="36E2734F" w:rsidR="001E7C5F" w:rsidRPr="008F0407" w:rsidRDefault="000342D6"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4E18EA" w:rsidRPr="008F0407">
        <w:rPr>
          <w:rFonts w:ascii="Times New Roman" w:hAnsi="Times New Roman"/>
        </w:rPr>
        <w:t xml:space="preserve">In these circumstances, </w:t>
      </w:r>
      <w:r w:rsidRPr="008F0407">
        <w:rPr>
          <w:rFonts w:ascii="Times New Roman" w:hAnsi="Times New Roman"/>
        </w:rPr>
        <w:t xml:space="preserve">it is impossible to conclude other than that </w:t>
      </w:r>
      <w:r w:rsidR="00C94A05" w:rsidRPr="008F0407">
        <w:rPr>
          <w:rFonts w:ascii="Times New Roman" w:hAnsi="Times New Roman"/>
        </w:rPr>
        <w:t xml:space="preserve">Mr McCourt's work was </w:t>
      </w:r>
      <w:r w:rsidR="00682187" w:rsidRPr="008F0407">
        <w:rPr>
          <w:rFonts w:ascii="Times New Roman" w:hAnsi="Times New Roman"/>
        </w:rPr>
        <w:t xml:space="preserve">dependent upon, </w:t>
      </w:r>
      <w:r w:rsidR="008C4298" w:rsidRPr="008F0407">
        <w:rPr>
          <w:rFonts w:ascii="Times New Roman" w:hAnsi="Times New Roman"/>
        </w:rPr>
        <w:t xml:space="preserve">and </w:t>
      </w:r>
      <w:r w:rsidR="00C94A05" w:rsidRPr="008F0407">
        <w:rPr>
          <w:rFonts w:ascii="Times New Roman" w:hAnsi="Times New Roman"/>
        </w:rPr>
        <w:t>subservient to</w:t>
      </w:r>
      <w:r w:rsidR="00682187" w:rsidRPr="008F0407">
        <w:rPr>
          <w:rFonts w:ascii="Times New Roman" w:hAnsi="Times New Roman"/>
        </w:rPr>
        <w:t>,</w:t>
      </w:r>
      <w:r w:rsidR="00C94A05" w:rsidRPr="008F0407">
        <w:rPr>
          <w:rFonts w:ascii="Times New Roman" w:hAnsi="Times New Roman"/>
        </w:rPr>
        <w:t xml:space="preserve"> Construct's business</w:t>
      </w:r>
      <w:r w:rsidR="00B64DF0" w:rsidRPr="008F0407">
        <w:rPr>
          <w:rFonts w:ascii="Times New Roman" w:hAnsi="Times New Roman"/>
        </w:rPr>
        <w:t xml:space="preserve">. That being so, </w:t>
      </w:r>
      <w:r w:rsidR="008C4298" w:rsidRPr="008F0407">
        <w:rPr>
          <w:rFonts w:ascii="Times New Roman" w:hAnsi="Times New Roman"/>
        </w:rPr>
        <w:t xml:space="preserve">Mr McCourt's relationship with Construct </w:t>
      </w:r>
      <w:r w:rsidR="007376FA" w:rsidRPr="008F0407">
        <w:rPr>
          <w:rFonts w:ascii="Times New Roman" w:hAnsi="Times New Roman"/>
        </w:rPr>
        <w:t>is</w:t>
      </w:r>
      <w:r w:rsidR="003E10AA" w:rsidRPr="008F0407">
        <w:rPr>
          <w:rFonts w:ascii="Times New Roman" w:hAnsi="Times New Roman"/>
        </w:rPr>
        <w:t xml:space="preserve"> rightly characterised</w:t>
      </w:r>
      <w:r w:rsidR="007F28AD" w:rsidRPr="008F0407">
        <w:rPr>
          <w:rFonts w:ascii="Times New Roman" w:hAnsi="Times New Roman"/>
        </w:rPr>
        <w:t xml:space="preserve"> </w:t>
      </w:r>
      <w:r w:rsidR="003E10AA" w:rsidRPr="008F0407">
        <w:rPr>
          <w:rFonts w:ascii="Times New Roman" w:hAnsi="Times New Roman"/>
        </w:rPr>
        <w:t xml:space="preserve">as </w:t>
      </w:r>
      <w:r w:rsidR="007F28AD" w:rsidRPr="008F0407">
        <w:rPr>
          <w:rFonts w:ascii="Times New Roman" w:hAnsi="Times New Roman"/>
        </w:rPr>
        <w:t>a contract of service</w:t>
      </w:r>
      <w:r w:rsidR="003E10AA" w:rsidRPr="008F0407">
        <w:rPr>
          <w:rFonts w:ascii="Times New Roman" w:hAnsi="Times New Roman"/>
        </w:rPr>
        <w:t xml:space="preserve"> rather than a contract for services</w:t>
      </w:r>
      <w:r w:rsidR="007F28AD" w:rsidRPr="008F0407">
        <w:rPr>
          <w:rFonts w:ascii="Times New Roman" w:hAnsi="Times New Roman"/>
        </w:rPr>
        <w:t>.</w:t>
      </w:r>
      <w:r w:rsidR="00421A3A" w:rsidRPr="008F0407">
        <w:rPr>
          <w:rFonts w:ascii="Times New Roman" w:hAnsi="Times New Roman"/>
        </w:rPr>
        <w:t xml:space="preserve"> </w:t>
      </w:r>
      <w:r w:rsidR="00AB495B" w:rsidRPr="008F0407">
        <w:rPr>
          <w:rFonts w:ascii="Times New Roman" w:hAnsi="Times New Roman"/>
        </w:rPr>
        <w:t>Mr McCourt was Construct</w:t>
      </w:r>
      <w:r w:rsidR="008C4298" w:rsidRPr="008F0407">
        <w:rPr>
          <w:rFonts w:ascii="Times New Roman" w:hAnsi="Times New Roman"/>
        </w:rPr>
        <w:t>'s employee</w:t>
      </w:r>
      <w:r w:rsidR="00AB495B" w:rsidRPr="008F0407">
        <w:rPr>
          <w:rFonts w:ascii="Times New Roman" w:hAnsi="Times New Roman"/>
        </w:rPr>
        <w:t>.</w:t>
      </w:r>
    </w:p>
    <w:p w14:paraId="37CEAC87" w14:textId="42BCED56" w:rsidR="002368B1" w:rsidRPr="008F0407" w:rsidRDefault="00FC3DD5" w:rsidP="008F0407">
      <w:pPr>
        <w:pStyle w:val="HeadingL1"/>
        <w:spacing w:after="260" w:line="280" w:lineRule="exact"/>
        <w:ind w:right="0"/>
        <w:jc w:val="both"/>
        <w:rPr>
          <w:rFonts w:ascii="Times New Roman" w:hAnsi="Times New Roman"/>
        </w:rPr>
      </w:pPr>
      <w:r w:rsidRPr="008F0407">
        <w:rPr>
          <w:rFonts w:ascii="Times New Roman" w:hAnsi="Times New Roman"/>
        </w:rPr>
        <w:t>O</w:t>
      </w:r>
      <w:r w:rsidR="007D53D7" w:rsidRPr="008F0407">
        <w:rPr>
          <w:rFonts w:ascii="Times New Roman" w:hAnsi="Times New Roman"/>
        </w:rPr>
        <w:t>rder</w:t>
      </w:r>
      <w:r w:rsidRPr="008F0407">
        <w:rPr>
          <w:rFonts w:ascii="Times New Roman" w:hAnsi="Times New Roman"/>
        </w:rPr>
        <w:t>s</w:t>
      </w:r>
    </w:p>
    <w:p w14:paraId="38F95525" w14:textId="3A65449C" w:rsidR="00C21C83" w:rsidRPr="008F0407" w:rsidRDefault="007D53D7" w:rsidP="008F0407">
      <w:pPr>
        <w:pStyle w:val="FixListStyle"/>
        <w:spacing w:after="260" w:line="280" w:lineRule="exact"/>
        <w:ind w:right="0"/>
        <w:jc w:val="both"/>
        <w:rPr>
          <w:rFonts w:ascii="Times New Roman" w:hAnsi="Times New Roman"/>
        </w:rPr>
      </w:pPr>
      <w:r w:rsidRPr="008F0407">
        <w:rPr>
          <w:rFonts w:ascii="Times New Roman" w:hAnsi="Times New Roman"/>
        </w:rPr>
        <w:tab/>
        <w:t>The appeal should be allowed.</w:t>
      </w:r>
      <w:r w:rsidR="00537888" w:rsidRPr="008F0407">
        <w:rPr>
          <w:rFonts w:ascii="Times New Roman" w:hAnsi="Times New Roman"/>
        </w:rPr>
        <w:t xml:space="preserve"> </w:t>
      </w:r>
      <w:r w:rsidR="008C4298" w:rsidRPr="008F0407">
        <w:rPr>
          <w:rFonts w:ascii="Times New Roman" w:hAnsi="Times New Roman"/>
        </w:rPr>
        <w:t>The respondent should pay the appellants' costs of the appeal to this Court.</w:t>
      </w:r>
    </w:p>
    <w:p w14:paraId="40C196CA" w14:textId="46544C11" w:rsidR="007D53D7" w:rsidRPr="008F0407" w:rsidRDefault="00C21C83" w:rsidP="008F0407">
      <w:pPr>
        <w:pStyle w:val="FixListStyle"/>
        <w:spacing w:after="260" w:line="280" w:lineRule="exact"/>
        <w:ind w:right="0"/>
        <w:jc w:val="both"/>
        <w:rPr>
          <w:rFonts w:ascii="Times New Roman" w:hAnsi="Times New Roman"/>
        </w:rPr>
      </w:pPr>
      <w:r w:rsidRPr="008F0407">
        <w:rPr>
          <w:rFonts w:ascii="Times New Roman" w:hAnsi="Times New Roman"/>
        </w:rPr>
        <w:tab/>
      </w:r>
      <w:r w:rsidR="00537888" w:rsidRPr="008F0407">
        <w:rPr>
          <w:rFonts w:ascii="Times New Roman" w:hAnsi="Times New Roman"/>
        </w:rPr>
        <w:t>The order of the Full Court of the Federal Court of Australia made on 17</w:t>
      </w:r>
      <w:r w:rsidR="00F221E7" w:rsidRPr="008F0407">
        <w:rPr>
          <w:rFonts w:ascii="Times New Roman" w:hAnsi="Times New Roman"/>
        </w:rPr>
        <w:t> </w:t>
      </w:r>
      <w:r w:rsidR="00537888" w:rsidRPr="008F0407">
        <w:rPr>
          <w:rFonts w:ascii="Times New Roman" w:hAnsi="Times New Roman"/>
        </w:rPr>
        <w:t>July 202</w:t>
      </w:r>
      <w:r w:rsidR="00EC3E13" w:rsidRPr="008F0407">
        <w:rPr>
          <w:rFonts w:ascii="Times New Roman" w:hAnsi="Times New Roman"/>
        </w:rPr>
        <w:t>0</w:t>
      </w:r>
      <w:r w:rsidR="00537888" w:rsidRPr="008F0407">
        <w:rPr>
          <w:rFonts w:ascii="Times New Roman" w:hAnsi="Times New Roman"/>
        </w:rPr>
        <w:t xml:space="preserve"> should be set aside and</w:t>
      </w:r>
      <w:r w:rsidR="0057016B" w:rsidRPr="008F0407">
        <w:rPr>
          <w:rFonts w:ascii="Times New Roman" w:hAnsi="Times New Roman"/>
        </w:rPr>
        <w:t>,</w:t>
      </w:r>
      <w:r w:rsidR="00537888" w:rsidRPr="008F0407">
        <w:rPr>
          <w:rFonts w:ascii="Times New Roman" w:hAnsi="Times New Roman"/>
        </w:rPr>
        <w:t xml:space="preserve"> in </w:t>
      </w:r>
      <w:r w:rsidR="002E2A8A" w:rsidRPr="008F0407">
        <w:rPr>
          <w:rFonts w:ascii="Times New Roman" w:hAnsi="Times New Roman"/>
        </w:rPr>
        <w:t xml:space="preserve">its </w:t>
      </w:r>
      <w:r w:rsidR="00537888" w:rsidRPr="008F0407">
        <w:rPr>
          <w:rFonts w:ascii="Times New Roman" w:hAnsi="Times New Roman"/>
        </w:rPr>
        <w:t>place</w:t>
      </w:r>
      <w:r w:rsidR="0057016B" w:rsidRPr="008F0407">
        <w:rPr>
          <w:rFonts w:ascii="Times New Roman" w:hAnsi="Times New Roman"/>
        </w:rPr>
        <w:t>,</w:t>
      </w:r>
      <w:r w:rsidR="00537888" w:rsidRPr="008F0407">
        <w:rPr>
          <w:rFonts w:ascii="Times New Roman" w:hAnsi="Times New Roman"/>
        </w:rPr>
        <w:t xml:space="preserve"> it is ordered that:</w:t>
      </w:r>
    </w:p>
    <w:p w14:paraId="4B064260" w14:textId="7AE911EB" w:rsidR="00537888" w:rsidRPr="008F0407" w:rsidRDefault="008C4298" w:rsidP="008F0407">
      <w:pPr>
        <w:pStyle w:val="leftright"/>
        <w:spacing w:before="0" w:after="260" w:line="280" w:lineRule="exact"/>
        <w:ind w:right="0"/>
        <w:jc w:val="both"/>
        <w:rPr>
          <w:rFonts w:ascii="Times New Roman" w:hAnsi="Times New Roman"/>
        </w:rPr>
      </w:pPr>
      <w:r w:rsidRPr="008F0407">
        <w:rPr>
          <w:rFonts w:ascii="Times New Roman" w:hAnsi="Times New Roman"/>
        </w:rPr>
        <w:t>1.</w:t>
      </w:r>
      <w:r w:rsidR="0031559F" w:rsidRPr="008F0407">
        <w:rPr>
          <w:rFonts w:ascii="Times New Roman" w:hAnsi="Times New Roman"/>
        </w:rPr>
        <w:tab/>
      </w:r>
      <w:r w:rsidRPr="008F0407">
        <w:rPr>
          <w:rFonts w:ascii="Times New Roman" w:hAnsi="Times New Roman"/>
        </w:rPr>
        <w:t>T</w:t>
      </w:r>
      <w:r w:rsidR="0031559F" w:rsidRPr="008F0407">
        <w:rPr>
          <w:rFonts w:ascii="Times New Roman" w:hAnsi="Times New Roman"/>
        </w:rPr>
        <w:t>he appeal be allowed</w:t>
      </w:r>
      <w:r w:rsidRPr="008F0407">
        <w:rPr>
          <w:rFonts w:ascii="Times New Roman" w:hAnsi="Times New Roman"/>
        </w:rPr>
        <w:t>.</w:t>
      </w:r>
    </w:p>
    <w:p w14:paraId="053076C7" w14:textId="3C57BD94" w:rsidR="0031559F" w:rsidRPr="008F0407" w:rsidRDefault="008C4298" w:rsidP="008F0407">
      <w:pPr>
        <w:pStyle w:val="leftright"/>
        <w:spacing w:before="0" w:after="260" w:line="280" w:lineRule="exact"/>
        <w:ind w:left="1440" w:right="0" w:hanging="720"/>
        <w:jc w:val="both"/>
        <w:rPr>
          <w:rFonts w:ascii="Times New Roman" w:hAnsi="Times New Roman"/>
        </w:rPr>
      </w:pPr>
      <w:r w:rsidRPr="008F0407">
        <w:rPr>
          <w:rFonts w:ascii="Times New Roman" w:hAnsi="Times New Roman"/>
        </w:rPr>
        <w:t>2.</w:t>
      </w:r>
      <w:r w:rsidR="0031559F" w:rsidRPr="008F0407">
        <w:rPr>
          <w:rFonts w:ascii="Times New Roman" w:hAnsi="Times New Roman"/>
        </w:rPr>
        <w:tab/>
      </w:r>
      <w:r w:rsidR="002E2A8A" w:rsidRPr="008F0407">
        <w:rPr>
          <w:rFonts w:ascii="Times New Roman" w:hAnsi="Times New Roman"/>
        </w:rPr>
        <w:t>The order</w:t>
      </w:r>
      <w:r w:rsidR="00D11D4A" w:rsidRPr="008F0407">
        <w:rPr>
          <w:rFonts w:ascii="Times New Roman" w:hAnsi="Times New Roman"/>
        </w:rPr>
        <w:t xml:space="preserve"> of the Federal Court of Australia made</w:t>
      </w:r>
      <w:r w:rsidR="00D5600E" w:rsidRPr="008F0407">
        <w:rPr>
          <w:rFonts w:ascii="Times New Roman" w:hAnsi="Times New Roman"/>
        </w:rPr>
        <w:t xml:space="preserve"> on 6</w:t>
      </w:r>
      <w:r w:rsidR="00F221E7" w:rsidRPr="008F0407">
        <w:rPr>
          <w:rFonts w:ascii="Times New Roman" w:hAnsi="Times New Roman"/>
        </w:rPr>
        <w:t> </w:t>
      </w:r>
      <w:r w:rsidR="00333380" w:rsidRPr="008F0407">
        <w:rPr>
          <w:rFonts w:ascii="Times New Roman" w:hAnsi="Times New Roman"/>
        </w:rPr>
        <w:t>November</w:t>
      </w:r>
      <w:r w:rsidR="00D5600E" w:rsidRPr="008F0407">
        <w:rPr>
          <w:rFonts w:ascii="Times New Roman" w:hAnsi="Times New Roman"/>
        </w:rPr>
        <w:t xml:space="preserve"> 2019 be set aside</w:t>
      </w:r>
      <w:r w:rsidRPr="008F0407">
        <w:rPr>
          <w:rFonts w:ascii="Times New Roman" w:hAnsi="Times New Roman"/>
        </w:rPr>
        <w:t>.</w:t>
      </w:r>
    </w:p>
    <w:p w14:paraId="344EF228" w14:textId="753025DF" w:rsidR="00D5600E" w:rsidRPr="008F0407" w:rsidRDefault="008C4298" w:rsidP="008F0407">
      <w:pPr>
        <w:pStyle w:val="leftright"/>
        <w:spacing w:before="0" w:after="260" w:line="280" w:lineRule="exact"/>
        <w:ind w:left="1440" w:right="0" w:hanging="720"/>
        <w:jc w:val="both"/>
        <w:rPr>
          <w:rFonts w:ascii="Times New Roman" w:hAnsi="Times New Roman"/>
        </w:rPr>
      </w:pPr>
      <w:r w:rsidRPr="008F0407">
        <w:rPr>
          <w:rFonts w:ascii="Times New Roman" w:hAnsi="Times New Roman"/>
        </w:rPr>
        <w:t>3.</w:t>
      </w:r>
      <w:r w:rsidR="00D5600E" w:rsidRPr="008F0407">
        <w:rPr>
          <w:rFonts w:ascii="Times New Roman" w:hAnsi="Times New Roman"/>
        </w:rPr>
        <w:tab/>
      </w:r>
      <w:r w:rsidRPr="008F0407">
        <w:rPr>
          <w:rFonts w:ascii="Times New Roman" w:hAnsi="Times New Roman"/>
        </w:rPr>
        <w:t>I</w:t>
      </w:r>
      <w:r w:rsidR="00D5600E" w:rsidRPr="008F0407">
        <w:rPr>
          <w:rFonts w:ascii="Times New Roman" w:hAnsi="Times New Roman"/>
        </w:rPr>
        <w:t>t be declared and ordered that</w:t>
      </w:r>
      <w:r w:rsidR="00843EEA" w:rsidRPr="008F0407">
        <w:rPr>
          <w:rFonts w:ascii="Times New Roman" w:hAnsi="Times New Roman"/>
        </w:rPr>
        <w:t>,</w:t>
      </w:r>
      <w:r w:rsidR="00F90DEA" w:rsidRPr="008F0407">
        <w:rPr>
          <w:rFonts w:ascii="Times New Roman" w:hAnsi="Times New Roman"/>
        </w:rPr>
        <w:t xml:space="preserve"> b</w:t>
      </w:r>
      <w:r w:rsidR="00D5600E" w:rsidRPr="008F0407">
        <w:rPr>
          <w:rFonts w:ascii="Times New Roman" w:hAnsi="Times New Roman"/>
        </w:rPr>
        <w:t>etween 27</w:t>
      </w:r>
      <w:r w:rsidR="00F221E7" w:rsidRPr="008F0407">
        <w:rPr>
          <w:rFonts w:ascii="Times New Roman" w:hAnsi="Times New Roman"/>
        </w:rPr>
        <w:t> </w:t>
      </w:r>
      <w:r w:rsidR="00D5600E" w:rsidRPr="008F0407">
        <w:rPr>
          <w:rFonts w:ascii="Times New Roman" w:hAnsi="Times New Roman"/>
        </w:rPr>
        <w:t>July 201</w:t>
      </w:r>
      <w:r w:rsidR="00333380" w:rsidRPr="008F0407">
        <w:rPr>
          <w:rFonts w:ascii="Times New Roman" w:hAnsi="Times New Roman"/>
        </w:rPr>
        <w:t>6 and 6</w:t>
      </w:r>
      <w:r w:rsidR="00F221E7" w:rsidRPr="008F0407">
        <w:rPr>
          <w:rFonts w:ascii="Times New Roman" w:hAnsi="Times New Roman"/>
        </w:rPr>
        <w:t> </w:t>
      </w:r>
      <w:r w:rsidR="00333380" w:rsidRPr="008F0407">
        <w:rPr>
          <w:rFonts w:ascii="Times New Roman" w:hAnsi="Times New Roman"/>
        </w:rPr>
        <w:t>November 2016</w:t>
      </w:r>
      <w:r w:rsidR="00754EAD" w:rsidRPr="008F0407">
        <w:rPr>
          <w:rFonts w:ascii="Times New Roman" w:hAnsi="Times New Roman"/>
        </w:rPr>
        <w:t xml:space="preserve"> and 14</w:t>
      </w:r>
      <w:r w:rsidR="00F221E7" w:rsidRPr="008F0407">
        <w:rPr>
          <w:rFonts w:ascii="Times New Roman" w:hAnsi="Times New Roman"/>
        </w:rPr>
        <w:t> </w:t>
      </w:r>
      <w:r w:rsidR="00754EAD" w:rsidRPr="008F0407">
        <w:rPr>
          <w:rFonts w:ascii="Times New Roman" w:hAnsi="Times New Roman"/>
        </w:rPr>
        <w:t>March 2017 and 30</w:t>
      </w:r>
      <w:r w:rsidR="00F221E7" w:rsidRPr="008F0407">
        <w:rPr>
          <w:rFonts w:ascii="Times New Roman" w:hAnsi="Times New Roman"/>
        </w:rPr>
        <w:t> </w:t>
      </w:r>
      <w:r w:rsidR="00754EAD" w:rsidRPr="008F0407">
        <w:rPr>
          <w:rFonts w:ascii="Times New Roman" w:hAnsi="Times New Roman"/>
        </w:rPr>
        <w:t>June 2017, the second appellant was employed by the respondent</w:t>
      </w:r>
      <w:r w:rsidRPr="008F0407">
        <w:rPr>
          <w:rFonts w:ascii="Times New Roman" w:hAnsi="Times New Roman"/>
        </w:rPr>
        <w:t>.</w:t>
      </w:r>
    </w:p>
    <w:p w14:paraId="7473A2AF" w14:textId="77777777" w:rsidR="008F0407" w:rsidRDefault="008C4298" w:rsidP="008F0407">
      <w:pPr>
        <w:pStyle w:val="leftright"/>
        <w:spacing w:before="0" w:after="260" w:line="280" w:lineRule="exact"/>
        <w:ind w:left="1440" w:right="0" w:hanging="720"/>
        <w:jc w:val="both"/>
        <w:rPr>
          <w:rFonts w:ascii="Times New Roman" w:hAnsi="Times New Roman"/>
        </w:rPr>
      </w:pPr>
      <w:r w:rsidRPr="008F0407">
        <w:rPr>
          <w:rFonts w:ascii="Times New Roman" w:hAnsi="Times New Roman"/>
        </w:rPr>
        <w:t>4.</w:t>
      </w:r>
      <w:r w:rsidR="00B85C86" w:rsidRPr="008F0407">
        <w:rPr>
          <w:rFonts w:ascii="Times New Roman" w:hAnsi="Times New Roman"/>
        </w:rPr>
        <w:tab/>
      </w:r>
      <w:r w:rsidRPr="008F0407">
        <w:rPr>
          <w:rFonts w:ascii="Times New Roman" w:hAnsi="Times New Roman"/>
        </w:rPr>
        <w:t>T</w:t>
      </w:r>
      <w:r w:rsidR="00F6593F" w:rsidRPr="008F0407">
        <w:rPr>
          <w:rFonts w:ascii="Times New Roman" w:hAnsi="Times New Roman"/>
        </w:rPr>
        <w:t xml:space="preserve">he matter be remitted to the </w:t>
      </w:r>
      <w:r w:rsidRPr="008F0407">
        <w:rPr>
          <w:rFonts w:ascii="Times New Roman" w:hAnsi="Times New Roman"/>
        </w:rPr>
        <w:t xml:space="preserve">primary </w:t>
      </w:r>
      <w:r w:rsidR="0023626F" w:rsidRPr="008F0407">
        <w:rPr>
          <w:rFonts w:ascii="Times New Roman" w:hAnsi="Times New Roman"/>
        </w:rPr>
        <w:t>j</w:t>
      </w:r>
      <w:r w:rsidR="00F6593F" w:rsidRPr="008F0407">
        <w:rPr>
          <w:rFonts w:ascii="Times New Roman" w:hAnsi="Times New Roman"/>
        </w:rPr>
        <w:t>udge for determination according to law</w:t>
      </w:r>
      <w:r w:rsidRPr="008F0407">
        <w:rPr>
          <w:rFonts w:ascii="Times New Roman" w:hAnsi="Times New Roman"/>
        </w:rPr>
        <w:t>.</w:t>
      </w:r>
    </w:p>
    <w:p w14:paraId="550697FA" w14:textId="77777777" w:rsidR="00FF3369" w:rsidRDefault="008C4298" w:rsidP="00586409">
      <w:pPr>
        <w:pStyle w:val="FixListStyle"/>
        <w:numPr>
          <w:ilvl w:val="0"/>
          <w:numId w:val="0"/>
        </w:numPr>
        <w:spacing w:after="260" w:line="280" w:lineRule="exact"/>
        <w:ind w:right="0"/>
        <w:jc w:val="both"/>
        <w:rPr>
          <w:rFonts w:ascii="Times New Roman" w:hAnsi="Times New Roman"/>
        </w:rPr>
      </w:pPr>
      <w:r w:rsidRPr="008F0407">
        <w:rPr>
          <w:rFonts w:ascii="Times New Roman" w:hAnsi="Times New Roman"/>
        </w:rPr>
        <w:t>T</w:t>
      </w:r>
      <w:r w:rsidR="00F6593F" w:rsidRPr="008F0407">
        <w:rPr>
          <w:rFonts w:ascii="Times New Roman" w:hAnsi="Times New Roman"/>
        </w:rPr>
        <w:t xml:space="preserve">here </w:t>
      </w:r>
      <w:r w:rsidR="00C603D2" w:rsidRPr="008F0407">
        <w:rPr>
          <w:rFonts w:ascii="Times New Roman" w:hAnsi="Times New Roman"/>
        </w:rPr>
        <w:t xml:space="preserve">should </w:t>
      </w:r>
      <w:r w:rsidR="00F6593F" w:rsidRPr="008F0407">
        <w:rPr>
          <w:rFonts w:ascii="Times New Roman" w:hAnsi="Times New Roman"/>
        </w:rPr>
        <w:t xml:space="preserve">be no order as to </w:t>
      </w:r>
      <w:r w:rsidR="00C603D2" w:rsidRPr="008F0407">
        <w:rPr>
          <w:rFonts w:ascii="Times New Roman" w:hAnsi="Times New Roman"/>
        </w:rPr>
        <w:t xml:space="preserve">the </w:t>
      </w:r>
      <w:r w:rsidR="00F6593F" w:rsidRPr="008F0407">
        <w:rPr>
          <w:rFonts w:ascii="Times New Roman" w:hAnsi="Times New Roman"/>
        </w:rPr>
        <w:t>costs</w:t>
      </w:r>
      <w:r w:rsidR="00C603D2" w:rsidRPr="008F0407">
        <w:rPr>
          <w:rFonts w:ascii="Times New Roman" w:hAnsi="Times New Roman"/>
        </w:rPr>
        <w:t xml:space="preserve"> in the Full Court</w:t>
      </w:r>
      <w:r w:rsidR="00C21C83" w:rsidRPr="008F0407">
        <w:rPr>
          <w:rFonts w:ascii="Times New Roman" w:hAnsi="Times New Roman"/>
        </w:rPr>
        <w:t>.</w:t>
      </w:r>
    </w:p>
    <w:p w14:paraId="2449BA3A" w14:textId="77777777" w:rsidR="00FF3369" w:rsidRDefault="00FF3369" w:rsidP="00586409">
      <w:pPr>
        <w:pStyle w:val="FixListStyle"/>
        <w:numPr>
          <w:ilvl w:val="0"/>
          <w:numId w:val="0"/>
        </w:numPr>
        <w:spacing w:after="260" w:line="280" w:lineRule="exact"/>
        <w:ind w:right="0"/>
        <w:jc w:val="both"/>
        <w:rPr>
          <w:rFonts w:ascii="Times New Roman" w:hAnsi="Times New Roman"/>
        </w:rPr>
        <w:sectPr w:rsidR="00FF3369" w:rsidSect="007467EA">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4B5A77C0" w14:textId="77777777" w:rsidR="00FF3369" w:rsidRPr="009F3630" w:rsidRDefault="00FF3369" w:rsidP="00FF3369">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9F3630">
        <w:rPr>
          <w:rFonts w:ascii="Times New Roman" w:hAnsi="Times New Roman"/>
        </w:rPr>
        <w:lastRenderedPageBreak/>
        <w:t xml:space="preserve">GAGELER AND GLEESON JJ.   The </w:t>
      </w:r>
      <w:r w:rsidRPr="009F3630">
        <w:rPr>
          <w:rFonts w:ascii="Times New Roman" w:hAnsi="Times New Roman"/>
          <w:i/>
        </w:rPr>
        <w:t>Fair Work Act 2009</w:t>
      </w:r>
      <w:r w:rsidRPr="009F3630">
        <w:rPr>
          <w:rFonts w:ascii="Times New Roman" w:hAnsi="Times New Roman"/>
        </w:rPr>
        <w:t xml:space="preserve"> (</w:t>
      </w:r>
      <w:proofErr w:type="spellStart"/>
      <w:r w:rsidRPr="009F3630">
        <w:rPr>
          <w:rFonts w:ascii="Times New Roman" w:hAnsi="Times New Roman"/>
        </w:rPr>
        <w:t>Cth</w:t>
      </w:r>
      <w:proofErr w:type="spellEnd"/>
      <w:r w:rsidRPr="009F3630">
        <w:rPr>
          <w:rFonts w:ascii="Times New Roman" w:hAnsi="Times New Roman"/>
        </w:rPr>
        <w:t>) for the most part confers rights and imposes obligations on, and in respect of the relationship between, an employer and an employee</w:t>
      </w:r>
      <w:r w:rsidRPr="009F3630">
        <w:rPr>
          <w:rStyle w:val="FootnoteReference"/>
          <w:rFonts w:ascii="Times New Roman" w:hAnsi="Times New Roman"/>
          <w:sz w:val="24"/>
        </w:rPr>
        <w:footnoteReference w:id="148"/>
      </w:r>
      <w:r w:rsidRPr="009F3630">
        <w:rPr>
          <w:rFonts w:ascii="Times New Roman" w:hAnsi="Times New Roman"/>
        </w:rPr>
        <w:t>. The terms "employer" and "employee" are defined to "have their ordinary meanings"</w:t>
      </w:r>
      <w:r w:rsidRPr="009F3630">
        <w:rPr>
          <w:rStyle w:val="FootnoteReference"/>
          <w:rFonts w:ascii="Times New Roman" w:hAnsi="Times New Roman"/>
          <w:sz w:val="24"/>
        </w:rPr>
        <w:footnoteReference w:id="149"/>
      </w:r>
      <w:r w:rsidRPr="009F3630">
        <w:rPr>
          <w:rFonts w:ascii="Times New Roman" w:hAnsi="Times New Roman"/>
        </w:rPr>
        <w:t>. The "ordinary meanings" to which that foundational definition refers are not the grammatical meanings of the legislatively chosen words purposively construed in their statutory context</w:t>
      </w:r>
      <w:r w:rsidRPr="009F3630">
        <w:rPr>
          <w:rStyle w:val="FootnoteReference"/>
          <w:rFonts w:ascii="Times New Roman" w:hAnsi="Times New Roman"/>
          <w:sz w:val="24"/>
        </w:rPr>
        <w:footnoteReference w:id="150"/>
      </w:r>
      <w:r w:rsidRPr="009F3630">
        <w:rPr>
          <w:rFonts w:ascii="Times New Roman" w:hAnsi="Times New Roman"/>
        </w:rPr>
        <w:t>. The reference in the definition is instead to the meanings ascribed to "employer" and "employee" at common law</w:t>
      </w:r>
      <w:r w:rsidRPr="009F3630">
        <w:rPr>
          <w:rStyle w:val="FootnoteReference"/>
          <w:rFonts w:ascii="Times New Roman" w:hAnsi="Times New Roman"/>
          <w:sz w:val="24"/>
        </w:rPr>
        <w:footnoteReference w:id="151"/>
      </w:r>
      <w:r w:rsidRPr="009F3630">
        <w:rPr>
          <w:rFonts w:ascii="Times New Roman" w:hAnsi="Times New Roman"/>
        </w:rPr>
        <w:t xml:space="preserve">. </w:t>
      </w:r>
    </w:p>
    <w:p w14:paraId="68B0DB30"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The meanings ascribed to "employer" and "employee" at common law have been formulated over the past two centuries principally in the context of drawing, for the purpose of tortious liability, "the distinction between employees (for whose conduct the employer will generally be vicariously liable) and independent contractors (for whose conduct the person engaging the contractor will generally not be vicariously liable)"</w:t>
      </w:r>
      <w:r w:rsidRPr="009F3630">
        <w:rPr>
          <w:rStyle w:val="FootnoteReference"/>
          <w:rFonts w:ascii="Times New Roman" w:hAnsi="Times New Roman"/>
          <w:sz w:val="24"/>
        </w:rPr>
        <w:footnoteReference w:id="152"/>
      </w:r>
      <w:r w:rsidRPr="009F3630">
        <w:rPr>
          <w:rFonts w:ascii="Times New Roman" w:hAnsi="Times New Roman"/>
        </w:rPr>
        <w:t>. The common law distinction which has been drawn for that purpose has been said in this century in this country to be "too deeply rooted to be pulled out"</w:t>
      </w:r>
      <w:r w:rsidRPr="009F3630">
        <w:rPr>
          <w:rStyle w:val="FootnoteReference"/>
          <w:rFonts w:ascii="Times New Roman" w:hAnsi="Times New Roman"/>
          <w:sz w:val="24"/>
        </w:rPr>
        <w:footnoteReference w:id="153"/>
      </w:r>
      <w:r w:rsidRPr="009F3630">
        <w:rPr>
          <w:rFonts w:ascii="Times New Roman" w:hAnsi="Times New Roman"/>
        </w:rPr>
        <w:t xml:space="preserve">. </w:t>
      </w:r>
    </w:p>
    <w:p w14:paraId="63D5A37E"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Around the beginning of the twentieth century, the common law distinction "came somewhat deviously and indirectly into the early law of workmen's compensation"</w:t>
      </w:r>
      <w:r w:rsidRPr="009F3630">
        <w:rPr>
          <w:rStyle w:val="FootnoteReference"/>
          <w:rFonts w:ascii="Times New Roman" w:hAnsi="Times New Roman"/>
          <w:sz w:val="24"/>
        </w:rPr>
        <w:footnoteReference w:id="154"/>
      </w:r>
      <w:r w:rsidRPr="009F3630">
        <w:rPr>
          <w:rFonts w:ascii="Times New Roman" w:hAnsi="Times New Roman"/>
        </w:rPr>
        <w:t xml:space="preserve">. The common law distinction came in the course of the twentieth century to be imported more directly into a range of other areas of statute law, including industrial relations, taxation and superannuation. The </w:t>
      </w:r>
      <w:r w:rsidRPr="009F3630">
        <w:rPr>
          <w:rFonts w:ascii="Times New Roman" w:hAnsi="Times New Roman"/>
          <w:i/>
        </w:rPr>
        <w:t>Fair Work Act</w:t>
      </w:r>
      <w:r w:rsidRPr="009F3630">
        <w:rPr>
          <w:rFonts w:ascii="Times New Roman" w:hAnsi="Times New Roman"/>
        </w:rPr>
        <w:t xml:space="preserve"> continued that trend when, early in this century, its elaborate statutory edifice was erected on the foundation of precisely the same common law distinction.</w:t>
      </w:r>
    </w:p>
    <w:p w14:paraId="15EDF790"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lastRenderedPageBreak/>
        <w:tab/>
        <w:t xml:space="preserve">Professor Patrick </w:t>
      </w:r>
      <w:proofErr w:type="spellStart"/>
      <w:r w:rsidRPr="009F3630">
        <w:rPr>
          <w:rFonts w:ascii="Times New Roman" w:hAnsi="Times New Roman"/>
        </w:rPr>
        <w:t>Atiyah</w:t>
      </w:r>
      <w:proofErr w:type="spellEnd"/>
      <w:r w:rsidRPr="009F3630">
        <w:rPr>
          <w:rFonts w:ascii="Times New Roman" w:hAnsi="Times New Roman"/>
        </w:rPr>
        <w:t xml:space="preserve"> once noted that</w:t>
      </w:r>
      <w:r w:rsidRPr="009F3630">
        <w:rPr>
          <w:rStyle w:val="FootnoteReference"/>
          <w:rFonts w:ascii="Times New Roman" w:hAnsi="Times New Roman"/>
          <w:sz w:val="24"/>
        </w:rPr>
        <w:footnoteReference w:id="155"/>
      </w:r>
      <w:r w:rsidRPr="009F3630">
        <w:rPr>
          <w:rFonts w:ascii="Times New Roman" w:hAnsi="Times New Roman"/>
        </w:rPr>
        <w:t>:</w:t>
      </w:r>
    </w:p>
    <w:p w14:paraId="653EFA2B" w14:textId="77777777" w:rsidR="00FF3369" w:rsidRPr="009F3630" w:rsidRDefault="00FF3369" w:rsidP="009F3630">
      <w:pPr>
        <w:pStyle w:val="leftright"/>
        <w:spacing w:before="0" w:after="260" w:line="280" w:lineRule="exact"/>
        <w:ind w:right="0"/>
        <w:jc w:val="both"/>
        <w:rPr>
          <w:rFonts w:ascii="Times New Roman" w:hAnsi="Times New Roman"/>
        </w:rPr>
      </w:pPr>
      <w:r w:rsidRPr="009F3630">
        <w:rPr>
          <w:rFonts w:ascii="Times New Roman" w:hAnsi="Times New Roman"/>
        </w:rPr>
        <w:tab/>
        <w:t xml:space="preserve">"In attempting an answer to the question, 'Who is a servant?' two approaches are possible. The first </w:t>
      </w:r>
      <w:proofErr w:type="gramStart"/>
      <w:r w:rsidRPr="009F3630">
        <w:rPr>
          <w:rFonts w:ascii="Times New Roman" w:hAnsi="Times New Roman"/>
        </w:rPr>
        <w:t>is based on the assumption</w:t>
      </w:r>
      <w:proofErr w:type="gramEnd"/>
      <w:r w:rsidRPr="009F3630">
        <w:rPr>
          <w:rFonts w:ascii="Times New Roman" w:hAnsi="Times New Roman"/>
        </w:rPr>
        <w:t xml:space="preserve"> that a contract of service is a legal concept known to the law in a variety of contexts, and that the first enquiry in any case involving vicarious liability should be directed to the question whether a contract of service exists. ...</w:t>
      </w:r>
    </w:p>
    <w:p w14:paraId="3C103FED" w14:textId="77777777" w:rsidR="00FF3369" w:rsidRDefault="00FF3369" w:rsidP="009F3630">
      <w:pPr>
        <w:pStyle w:val="leftright"/>
        <w:spacing w:before="0" w:after="260" w:line="280" w:lineRule="exact"/>
        <w:ind w:right="0"/>
        <w:jc w:val="both"/>
        <w:rPr>
          <w:rFonts w:ascii="Times New Roman" w:hAnsi="Times New Roman"/>
        </w:rPr>
      </w:pPr>
      <w:r w:rsidRPr="009F3630">
        <w:rPr>
          <w:rFonts w:ascii="Times New Roman" w:hAnsi="Times New Roman"/>
        </w:rPr>
        <w:t>The alternative approach emphasises that the classification of a particular factual situation must always be considered in the light of the purpose for which the classification is being made."</w:t>
      </w:r>
    </w:p>
    <w:p w14:paraId="56714E0C"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The common law in and of Australia has steadfastly adhered to the first of those two approaches, and the Australian legislative references to employment or service have generally adopted the common law. Curial adherence to, and legislative adoption of, the same approach has not been quite so consistent in some other common law jurisdictions. In the United Kingdom, the common law distinction seems of late largely to have been abandoned</w:t>
      </w:r>
      <w:r w:rsidRPr="009F3630">
        <w:rPr>
          <w:rStyle w:val="FootnoteReference"/>
          <w:rFonts w:ascii="Times New Roman" w:hAnsi="Times New Roman"/>
          <w:sz w:val="24"/>
        </w:rPr>
        <w:footnoteReference w:id="156"/>
      </w:r>
      <w:r w:rsidRPr="009F3630">
        <w:rPr>
          <w:rFonts w:ascii="Times New Roman" w:hAnsi="Times New Roman"/>
        </w:rPr>
        <w:t>. In the United States, the common law distinction has been maintained, but different approaches have been taken in different statutes at different times</w:t>
      </w:r>
      <w:r w:rsidRPr="009F3630">
        <w:rPr>
          <w:rStyle w:val="FootnoteReference"/>
          <w:rFonts w:ascii="Times New Roman" w:hAnsi="Times New Roman"/>
          <w:sz w:val="24"/>
        </w:rPr>
        <w:footnoteReference w:id="157"/>
      </w:r>
      <w:r w:rsidRPr="009F3630">
        <w:rPr>
          <w:rFonts w:ascii="Times New Roman" w:hAnsi="Times New Roman"/>
        </w:rPr>
        <w:t>.</w:t>
      </w:r>
      <w:r w:rsidRPr="009F3630">
        <w:rPr>
          <w:rFonts w:ascii="Times New Roman" w:hAnsi="Times New Roman"/>
        </w:rPr>
        <w:tab/>
      </w:r>
    </w:p>
    <w:p w14:paraId="53CC123A"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 xml:space="preserve">So we have it that, like the </w:t>
      </w:r>
      <w:r w:rsidRPr="009F3630">
        <w:rPr>
          <w:rFonts w:ascii="Times New Roman" w:hAnsi="Times New Roman"/>
          <w:i/>
        </w:rPr>
        <w:t xml:space="preserve">National </w:t>
      </w:r>
      <w:proofErr w:type="spellStart"/>
      <w:r w:rsidRPr="009F3630">
        <w:rPr>
          <w:rFonts w:ascii="Times New Roman" w:hAnsi="Times New Roman"/>
          <w:i/>
        </w:rPr>
        <w:t>Labor</w:t>
      </w:r>
      <w:proofErr w:type="spellEnd"/>
      <w:r w:rsidRPr="009F3630">
        <w:rPr>
          <w:rFonts w:ascii="Times New Roman" w:hAnsi="Times New Roman"/>
          <w:i/>
        </w:rPr>
        <w:t xml:space="preserve"> Relations Act 1935</w:t>
      </w:r>
      <w:r w:rsidRPr="009F3630">
        <w:rPr>
          <w:rFonts w:ascii="Times New Roman" w:hAnsi="Times New Roman"/>
        </w:rPr>
        <w:t xml:space="preserve"> (US) as amended from 1947</w:t>
      </w:r>
      <w:r w:rsidRPr="009F3630">
        <w:rPr>
          <w:rStyle w:val="FootnoteReference"/>
          <w:rFonts w:ascii="Times New Roman" w:hAnsi="Times New Roman"/>
          <w:sz w:val="24"/>
        </w:rPr>
        <w:footnoteReference w:id="158"/>
      </w:r>
      <w:r w:rsidRPr="009F3630">
        <w:rPr>
          <w:rFonts w:ascii="Times New Roman" w:hAnsi="Times New Roman"/>
        </w:rPr>
        <w:t xml:space="preserve"> and like the </w:t>
      </w:r>
      <w:r w:rsidRPr="009F3630">
        <w:rPr>
          <w:rFonts w:ascii="Times New Roman" w:hAnsi="Times New Roman"/>
          <w:i/>
        </w:rPr>
        <w:t>Commonwealth Conciliation and Arbitration Act 1904</w:t>
      </w:r>
      <w:r w:rsidRPr="009F3630">
        <w:rPr>
          <w:rFonts w:ascii="Times New Roman" w:hAnsi="Times New Roman"/>
        </w:rPr>
        <w:t xml:space="preserve"> (</w:t>
      </w:r>
      <w:proofErr w:type="spellStart"/>
      <w:r w:rsidRPr="009F3630">
        <w:rPr>
          <w:rFonts w:ascii="Times New Roman" w:hAnsi="Times New Roman"/>
        </w:rPr>
        <w:t>Cth</w:t>
      </w:r>
      <w:proofErr w:type="spellEnd"/>
      <w:r w:rsidRPr="009F3630">
        <w:rPr>
          <w:rFonts w:ascii="Times New Roman" w:hAnsi="Times New Roman"/>
        </w:rPr>
        <w:t>) as also amended from 1947</w:t>
      </w:r>
      <w:r w:rsidRPr="009F3630">
        <w:rPr>
          <w:rStyle w:val="FootnoteReference"/>
          <w:rFonts w:ascii="Times New Roman" w:hAnsi="Times New Roman"/>
          <w:sz w:val="24"/>
        </w:rPr>
        <w:footnoteReference w:id="159"/>
      </w:r>
      <w:r w:rsidRPr="009F3630">
        <w:rPr>
          <w:rFonts w:ascii="Times New Roman" w:hAnsi="Times New Roman"/>
        </w:rPr>
        <w:t xml:space="preserve">, but unlike the </w:t>
      </w:r>
      <w:r w:rsidRPr="009F3630">
        <w:rPr>
          <w:rFonts w:ascii="Times New Roman" w:hAnsi="Times New Roman"/>
          <w:i/>
        </w:rPr>
        <w:t xml:space="preserve">Fair </w:t>
      </w:r>
      <w:proofErr w:type="spellStart"/>
      <w:r w:rsidRPr="009F3630">
        <w:rPr>
          <w:rFonts w:ascii="Times New Roman" w:hAnsi="Times New Roman"/>
          <w:i/>
        </w:rPr>
        <w:t>Labor</w:t>
      </w:r>
      <w:proofErr w:type="spellEnd"/>
      <w:r w:rsidRPr="009F3630">
        <w:rPr>
          <w:rFonts w:ascii="Times New Roman" w:hAnsi="Times New Roman"/>
          <w:i/>
        </w:rPr>
        <w:t xml:space="preserve"> Standards </w:t>
      </w:r>
      <w:r w:rsidRPr="009F3630">
        <w:rPr>
          <w:rFonts w:ascii="Times New Roman" w:hAnsi="Times New Roman"/>
          <w:i/>
        </w:rPr>
        <w:lastRenderedPageBreak/>
        <w:t>Act 1938</w:t>
      </w:r>
      <w:r w:rsidRPr="009F3630">
        <w:rPr>
          <w:rFonts w:ascii="Times New Roman" w:hAnsi="Times New Roman"/>
        </w:rPr>
        <w:t xml:space="preserve"> (US)</w:t>
      </w:r>
      <w:r w:rsidRPr="009F3630">
        <w:rPr>
          <w:rStyle w:val="FootnoteReference"/>
          <w:rFonts w:ascii="Times New Roman" w:hAnsi="Times New Roman"/>
          <w:sz w:val="24"/>
        </w:rPr>
        <w:footnoteReference w:id="160"/>
      </w:r>
      <w:r w:rsidRPr="009F3630">
        <w:rPr>
          <w:rFonts w:ascii="Times New Roman" w:hAnsi="Times New Roman"/>
        </w:rPr>
        <w:t xml:space="preserve"> and the </w:t>
      </w:r>
      <w:r w:rsidRPr="009F3630">
        <w:rPr>
          <w:rFonts w:ascii="Times New Roman" w:hAnsi="Times New Roman"/>
          <w:i/>
        </w:rPr>
        <w:t>National Minimum Wage Act 1998</w:t>
      </w:r>
      <w:r w:rsidRPr="009F3630">
        <w:rPr>
          <w:rFonts w:ascii="Times New Roman" w:hAnsi="Times New Roman"/>
        </w:rPr>
        <w:t xml:space="preserve"> (UK)</w:t>
      </w:r>
      <w:r w:rsidRPr="009F3630">
        <w:rPr>
          <w:rStyle w:val="FootnoteReference"/>
          <w:rFonts w:ascii="Times New Roman" w:hAnsi="Times New Roman"/>
          <w:sz w:val="24"/>
        </w:rPr>
        <w:footnoteReference w:id="161"/>
      </w:r>
      <w:r w:rsidRPr="009F3630">
        <w:rPr>
          <w:rFonts w:ascii="Times New Roman" w:hAnsi="Times New Roman"/>
        </w:rPr>
        <w:t xml:space="preserve">, the </w:t>
      </w:r>
      <w:r w:rsidRPr="009F3630">
        <w:rPr>
          <w:rFonts w:ascii="Times New Roman" w:hAnsi="Times New Roman"/>
          <w:i/>
        </w:rPr>
        <w:t>Fair Work Act</w:t>
      </w:r>
      <w:r w:rsidRPr="009F3630">
        <w:rPr>
          <w:rFonts w:ascii="Times New Roman" w:hAnsi="Times New Roman"/>
        </w:rPr>
        <w:t xml:space="preserve"> postulates the existence of employment at common law as a precondition to its operation. Subject to presently immaterial exceptions, unless two persons are or have been in a relationship of employment at common law independently of the operation of the </w:t>
      </w:r>
      <w:r w:rsidRPr="009F3630">
        <w:rPr>
          <w:rFonts w:ascii="Times New Roman" w:hAnsi="Times New Roman"/>
          <w:i/>
        </w:rPr>
        <w:t>Fair Work Act</w:t>
      </w:r>
      <w:r w:rsidRPr="009F3630">
        <w:rPr>
          <w:rFonts w:ascii="Times New Roman" w:hAnsi="Times New Roman"/>
        </w:rPr>
        <w:t xml:space="preserve">, one of those persons cannot be an "employer" and the other cannot be an "employee" within the meaning of the </w:t>
      </w:r>
      <w:r w:rsidRPr="009F3630">
        <w:rPr>
          <w:rFonts w:ascii="Times New Roman" w:hAnsi="Times New Roman"/>
          <w:i/>
        </w:rPr>
        <w:t>Fair Work Act</w:t>
      </w:r>
      <w:r w:rsidRPr="009F3630">
        <w:rPr>
          <w:rFonts w:ascii="Times New Roman" w:hAnsi="Times New Roman"/>
        </w:rPr>
        <w:t>.</w:t>
      </w:r>
    </w:p>
    <w:p w14:paraId="56E41C2D"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Although the context is statutory, the outcome of this appeal therefore turns on a question which arises at common law. The question is as to how the existence of a relationship of employment is to be determined. The question has not squarely arisen in this Court for 20 years. The answer is of far-reaching importance.</w:t>
      </w:r>
    </w:p>
    <w:p w14:paraId="0819D3C7"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 xml:space="preserve">The question now arises for the consideration of this Court in a procedural context fully described by Kiefel CJ, Keane and Edelman JJ. Their Honours' explanation of the facts and abbreviations can conveniently be adopted. Some additional facts will be mentioned in due course. </w:t>
      </w:r>
    </w:p>
    <w:p w14:paraId="61DE1C35"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The ultimate issue in the appeal is whether Mr McCourt was employed by Construct under the ASA during the two discrete periods during which Construct made the labour of Mr McCourt available to Hanssen under the LHA. The first period was from 27 July 2016 to 6 November 2016. The second period was from 14 March 2017 to 30 June 2017.</w:t>
      </w:r>
    </w:p>
    <w:p w14:paraId="20ED0FD2"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 xml:space="preserve">Our conclusion on the ultimate issue is that, whilst Mr McCourt was not employed by Construct merely by reason of having </w:t>
      </w:r>
      <w:proofErr w:type="gramStart"/>
      <w:r w:rsidRPr="009F3630">
        <w:rPr>
          <w:rFonts w:ascii="Times New Roman" w:hAnsi="Times New Roman"/>
        </w:rPr>
        <w:t>entered into</w:t>
      </w:r>
      <w:proofErr w:type="gramEnd"/>
      <w:r w:rsidRPr="009F3630">
        <w:rPr>
          <w:rFonts w:ascii="Times New Roman" w:hAnsi="Times New Roman"/>
        </w:rPr>
        <w:t xml:space="preserve"> the ASA, Mr McCourt was employed by Construct during each of those periods by reason of what then occurred in the performance of the ASA. </w:t>
      </w:r>
    </w:p>
    <w:p w14:paraId="4184BAB7"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The pathway of analysis leading to that conclusion proceeds in three stages. The first stage involves examining the nature of a relationship of employment at common law – the critical point being that it is a relationship which exists in fact. The second stage involves identifying the scope of the inquiry to be undertaken to determine whether a relationship that exists in fact is a relationship of that nature</w:t>
      </w:r>
      <w:r>
        <w:rPr>
          <w:rFonts w:ascii="Times New Roman" w:hAnsi="Times New Roman"/>
        </w:rPr>
        <w:t> </w:t>
      </w:r>
      <w:r w:rsidRPr="009F3630">
        <w:rPr>
          <w:rFonts w:ascii="Times New Roman" w:hAnsi="Times New Roman"/>
        </w:rPr>
        <w:t xml:space="preserve">– the critical point being that it involves looking beyond contractual terms to contractual performance. The final stage involves examining the relationship that existed in fact between Mr McCourt and Construct during the periods during which Construct made the labour of Mr McCourt available to Hanssen. That examination </w:t>
      </w:r>
      <w:proofErr w:type="gramStart"/>
      <w:r w:rsidRPr="009F3630">
        <w:rPr>
          <w:rFonts w:ascii="Times New Roman" w:hAnsi="Times New Roman"/>
        </w:rPr>
        <w:t>illuminates</w:t>
      </w:r>
      <w:proofErr w:type="gramEnd"/>
      <w:r w:rsidRPr="009F3630">
        <w:rPr>
          <w:rFonts w:ascii="Times New Roman" w:hAnsi="Times New Roman"/>
        </w:rPr>
        <w:t xml:space="preserve"> points of distinction between their relationship and some </w:t>
      </w:r>
      <w:r w:rsidRPr="009F3630">
        <w:rPr>
          <w:rFonts w:ascii="Times New Roman" w:hAnsi="Times New Roman"/>
        </w:rPr>
        <w:lastRenderedPageBreak/>
        <w:t>other "triangular" labour hire relationships which have been found in the past not to be relationships of employment.</w:t>
      </w:r>
    </w:p>
    <w:p w14:paraId="1BFBC6A4" w14:textId="77777777" w:rsidR="00FF3369" w:rsidRPr="009F3630" w:rsidRDefault="00FF3369" w:rsidP="009F3630">
      <w:pPr>
        <w:pStyle w:val="HeadingL1"/>
        <w:spacing w:after="260" w:line="280" w:lineRule="exact"/>
        <w:ind w:right="0"/>
        <w:jc w:val="both"/>
        <w:rPr>
          <w:rFonts w:ascii="Times New Roman" w:hAnsi="Times New Roman"/>
        </w:rPr>
      </w:pPr>
      <w:r w:rsidRPr="009F3630">
        <w:rPr>
          <w:rFonts w:ascii="Times New Roman" w:hAnsi="Times New Roman"/>
        </w:rPr>
        <w:t>The nature of a relationship of employment at common law</w:t>
      </w:r>
    </w:p>
    <w:p w14:paraId="250031FC"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Employment at common law has its roots in the relationship of service which the common law recognised between master and servant. Employment is a voluntary relationship between an individual, the employee, and another person, the employer, within which the employee performs a genus of work for the employer – what was traditionally called "service" – in exchange for some form of remuneration.</w:t>
      </w:r>
    </w:p>
    <w:p w14:paraId="138A5110"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Typically, although not universally</w:t>
      </w:r>
      <w:r w:rsidRPr="009F3630">
        <w:rPr>
          <w:rStyle w:val="FootnoteReference"/>
          <w:rFonts w:ascii="Times New Roman" w:hAnsi="Times New Roman"/>
          <w:sz w:val="24"/>
        </w:rPr>
        <w:footnoteReference w:id="162"/>
      </w:r>
      <w:r w:rsidRPr="009F3630">
        <w:rPr>
          <w:rFonts w:ascii="Times New Roman" w:hAnsi="Times New Roman"/>
        </w:rPr>
        <w:t>, the relationship of employment is established and maintained under a contract between the employer and the employee. Throughout the nineteenth century, a contract under which a relationship of master and servant was established was routinely referred to as a contract of service. Moving into the twentieth century, a contract under which a relationship of employer and employee was established and maintained came more commonly to be referred to as a contract of employment</w:t>
      </w:r>
      <w:r w:rsidRPr="009F3630">
        <w:rPr>
          <w:rStyle w:val="FootnoteReference"/>
          <w:rFonts w:ascii="Times New Roman" w:hAnsi="Times New Roman"/>
          <w:sz w:val="24"/>
        </w:rPr>
        <w:footnoteReference w:id="163"/>
      </w:r>
      <w:r w:rsidRPr="009F3630">
        <w:rPr>
          <w:rFonts w:ascii="Times New Roman" w:hAnsi="Times New Roman"/>
        </w:rPr>
        <w:t xml:space="preserve">. </w:t>
      </w:r>
    </w:p>
    <w:p w14:paraId="3C549559"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The terminology remains apt so long as two things are recognised. One is that a contract under which a relationship of employment is established and maintained need not be a contract that deals solely with the subject-matter of employment: a relationship of employment can be established and maintained under a contract that has contractual purposes broader than, and contractual consequences additional to, simply establishing a relationship within which an individual performs work of the requisite genus for another person. The other is that it is the character of the relationship that is established and maintained under a contract that gives character to the contract. Expressed using other prepositional terms, a contract "of" employment is a contract "for" a relationship of employment</w:t>
      </w:r>
      <w:r w:rsidRPr="009F3630">
        <w:rPr>
          <w:rStyle w:val="FootnoteReference"/>
          <w:rFonts w:ascii="Times New Roman" w:hAnsi="Times New Roman"/>
          <w:sz w:val="24"/>
        </w:rPr>
        <w:footnoteReference w:id="164"/>
      </w:r>
      <w:r w:rsidRPr="009F3630">
        <w:rPr>
          <w:rFonts w:ascii="Times New Roman" w:hAnsi="Times New Roman"/>
        </w:rPr>
        <w:t>. The employment relationship is established and maintained "within" the contractual relationship, the employment relationship does not subsist simply "in" the contractual relationship.</w:t>
      </w:r>
    </w:p>
    <w:p w14:paraId="13F25C90"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lastRenderedPageBreak/>
        <w:tab/>
        <w:t xml:space="preserve">In </w:t>
      </w:r>
      <w:r w:rsidRPr="009F3630">
        <w:rPr>
          <w:rFonts w:ascii="Times New Roman" w:hAnsi="Times New Roman"/>
          <w:i/>
        </w:rPr>
        <w:t>Dare v Dietrich</w:t>
      </w:r>
      <w:r w:rsidRPr="009F3630">
        <w:rPr>
          <w:rStyle w:val="FootnoteReference"/>
          <w:rFonts w:ascii="Times New Roman" w:hAnsi="Times New Roman"/>
          <w:sz w:val="24"/>
        </w:rPr>
        <w:footnoteReference w:id="165"/>
      </w:r>
      <w:r w:rsidRPr="009F3630">
        <w:rPr>
          <w:rFonts w:ascii="Times New Roman" w:hAnsi="Times New Roman"/>
        </w:rPr>
        <w:t xml:space="preserve">, Lockhart J, in addressing the question of whether a contract under which one person does work for another is a contract of service, pointed out that "[t]he </w:t>
      </w:r>
      <w:proofErr w:type="gramStart"/>
      <w:r w:rsidRPr="009F3630">
        <w:rPr>
          <w:rFonts w:ascii="Times New Roman" w:hAnsi="Times New Roman"/>
        </w:rPr>
        <w:t>question</w:t>
      </w:r>
      <w:proofErr w:type="gramEnd"/>
      <w:r w:rsidRPr="009F3630">
        <w:rPr>
          <w:rFonts w:ascii="Times New Roman" w:hAnsi="Times New Roman"/>
        </w:rPr>
        <w:t xml:space="preserve"> is answered by examining all the various elements which constitute the relationship between the parties"</w:t>
      </w:r>
      <w:r w:rsidRPr="009F3630">
        <w:rPr>
          <w:rStyle w:val="FootnoteReference"/>
          <w:rFonts w:ascii="Times New Roman" w:hAnsi="Times New Roman"/>
          <w:sz w:val="24"/>
        </w:rPr>
        <w:footnoteReference w:id="166"/>
      </w:r>
      <w:r w:rsidRPr="009F3630">
        <w:rPr>
          <w:rFonts w:ascii="Times New Roman" w:hAnsi="Times New Roman"/>
        </w:rPr>
        <w:t>. In the same case Deane J said</w:t>
      </w:r>
      <w:r w:rsidRPr="009F3630">
        <w:rPr>
          <w:rStyle w:val="FootnoteReference"/>
          <w:rFonts w:ascii="Times New Roman" w:hAnsi="Times New Roman"/>
          <w:sz w:val="24"/>
        </w:rPr>
        <w:footnoteReference w:id="167"/>
      </w:r>
      <w:r w:rsidRPr="009F3630">
        <w:rPr>
          <w:rFonts w:ascii="Times New Roman" w:hAnsi="Times New Roman"/>
        </w:rPr>
        <w:t>:</w:t>
      </w:r>
    </w:p>
    <w:p w14:paraId="53D5C2FF" w14:textId="77777777" w:rsidR="00FF3369" w:rsidRDefault="00FF3369" w:rsidP="009F3630">
      <w:pPr>
        <w:pStyle w:val="LeftrightHanging"/>
        <w:spacing w:before="0" w:after="260" w:line="280" w:lineRule="exact"/>
        <w:ind w:left="720" w:right="0"/>
        <w:jc w:val="both"/>
        <w:rPr>
          <w:rFonts w:ascii="Times New Roman" w:hAnsi="Times New Roman"/>
        </w:rPr>
      </w:pPr>
      <w:r w:rsidRPr="009F3630">
        <w:rPr>
          <w:rFonts w:ascii="Times New Roman" w:hAnsi="Times New Roman"/>
        </w:rPr>
        <w:tab/>
      </w:r>
      <w:r w:rsidRPr="009F3630">
        <w:rPr>
          <w:rFonts w:ascii="Times New Roman" w:hAnsi="Times New Roman"/>
        </w:rPr>
        <w:tab/>
        <w:t>"A contract of service is that form of contract which embodies the social relationship of employer and employee. It cannot be identified by reference to the presence of any one or more static characteristics. The relationship is a dynamic one which needs to be accommodated to a variety of different and changing social and economic circumstances. It is, however, of the essence of a contract of service that it is a bilateral contract involving executory obligations on behalf of both employer and employee".</w:t>
      </w:r>
    </w:p>
    <w:p w14:paraId="4AA6A3CD" w14:textId="77777777" w:rsidR="00FF3369" w:rsidRPr="009F3630" w:rsidRDefault="00FF3369" w:rsidP="009F3630">
      <w:pPr>
        <w:pStyle w:val="NormalBody"/>
        <w:spacing w:after="260" w:line="280" w:lineRule="exact"/>
        <w:ind w:right="0"/>
        <w:jc w:val="both"/>
        <w:rPr>
          <w:rFonts w:ascii="Times New Roman" w:hAnsi="Times New Roman"/>
        </w:rPr>
      </w:pPr>
      <w:r w:rsidRPr="009F3630">
        <w:rPr>
          <w:rFonts w:ascii="Times New Roman" w:hAnsi="Times New Roman"/>
        </w:rPr>
        <w:t xml:space="preserve">On the appeal to this Court, the substance of the reasoning of both Lockhart J and Deane J was endorsed by Gibbs, Mason and Wilson JJ, with whom </w:t>
      </w:r>
      <w:proofErr w:type="spellStart"/>
      <w:r w:rsidRPr="009F3630">
        <w:rPr>
          <w:rFonts w:ascii="Times New Roman" w:hAnsi="Times New Roman"/>
        </w:rPr>
        <w:t>Aickin</w:t>
      </w:r>
      <w:proofErr w:type="spellEnd"/>
      <w:r w:rsidRPr="009F3630">
        <w:rPr>
          <w:rFonts w:ascii="Times New Roman" w:hAnsi="Times New Roman"/>
        </w:rPr>
        <w:t> J agreed</w:t>
      </w:r>
      <w:r w:rsidRPr="009F3630">
        <w:rPr>
          <w:rStyle w:val="FootnoteReference"/>
          <w:rFonts w:ascii="Times New Roman" w:hAnsi="Times New Roman"/>
          <w:sz w:val="24"/>
        </w:rPr>
        <w:footnoteReference w:id="168"/>
      </w:r>
      <w:r w:rsidRPr="009F3630">
        <w:rPr>
          <w:rFonts w:ascii="Times New Roman" w:hAnsi="Times New Roman"/>
        </w:rPr>
        <w:t>. In finding that the arrangement between the parties in that case did not give rise to a contract of service, the plurality observed that the arrangement "lacked the element of mutuality of obligation that is essential to the formation of such a contract"</w:t>
      </w:r>
      <w:r w:rsidRPr="009F3630">
        <w:rPr>
          <w:rStyle w:val="FootnoteReference"/>
          <w:rFonts w:ascii="Times New Roman" w:hAnsi="Times New Roman"/>
          <w:sz w:val="24"/>
        </w:rPr>
        <w:footnoteReference w:id="169"/>
      </w:r>
      <w:r w:rsidRPr="009F3630">
        <w:rPr>
          <w:rFonts w:ascii="Times New Roman" w:hAnsi="Times New Roman"/>
        </w:rPr>
        <w:t xml:space="preserve">. </w:t>
      </w:r>
    </w:p>
    <w:p w14:paraId="75E6D047"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The centrality of the concern of the common law with the identification and characterisation of the relationship established and maintained between employer and employee under a contract has been emphasised in the description of a contract of employment as having "a two-tiered structure"</w:t>
      </w:r>
      <w:r w:rsidRPr="009F3630">
        <w:rPr>
          <w:rStyle w:val="FootnoteReference"/>
          <w:rFonts w:ascii="Times New Roman" w:hAnsi="Times New Roman"/>
          <w:sz w:val="24"/>
        </w:rPr>
        <w:footnoteReference w:id="170"/>
      </w:r>
      <w:r w:rsidRPr="009F3630">
        <w:rPr>
          <w:rFonts w:ascii="Times New Roman" w:hAnsi="Times New Roman"/>
        </w:rPr>
        <w:t>:</w:t>
      </w:r>
    </w:p>
    <w:p w14:paraId="32D127B5" w14:textId="77777777" w:rsidR="00FF3369" w:rsidRDefault="00FF3369" w:rsidP="009F3630">
      <w:pPr>
        <w:pStyle w:val="leftright"/>
        <w:spacing w:before="0" w:after="260" w:line="280" w:lineRule="exact"/>
        <w:ind w:right="0"/>
        <w:jc w:val="both"/>
        <w:rPr>
          <w:rFonts w:ascii="Times New Roman" w:hAnsi="Times New Roman"/>
        </w:rPr>
      </w:pPr>
      <w:r w:rsidRPr="009F3630">
        <w:rPr>
          <w:rFonts w:ascii="Times New Roman" w:hAnsi="Times New Roman"/>
        </w:rPr>
        <w:t>"At the first level there is an exchange of work and remuneration. At the second level there is an exchange of mutual obligations for future performance. The second level – the promises to employ and be employed</w:t>
      </w:r>
      <w:r>
        <w:rPr>
          <w:rFonts w:ascii="Times New Roman" w:hAnsi="Times New Roman"/>
        </w:rPr>
        <w:t> </w:t>
      </w:r>
      <w:r w:rsidRPr="009F3630">
        <w:rPr>
          <w:rFonts w:ascii="Times New Roman" w:hAnsi="Times New Roman"/>
        </w:rPr>
        <w:t xml:space="preserve">– provides the arrangement with its stability and with its continuity as a </w:t>
      </w:r>
      <w:r w:rsidRPr="009F3630">
        <w:rPr>
          <w:rFonts w:ascii="Times New Roman" w:hAnsi="Times New Roman"/>
        </w:rPr>
        <w:lastRenderedPageBreak/>
        <w:t xml:space="preserve">contract. The promises to employ and to be employed may be of short </w:t>
      </w:r>
      <w:proofErr w:type="gramStart"/>
      <w:r w:rsidRPr="009F3630">
        <w:rPr>
          <w:rFonts w:ascii="Times New Roman" w:hAnsi="Times New Roman"/>
        </w:rPr>
        <w:t>duration, or</w:t>
      </w:r>
      <w:proofErr w:type="gramEnd"/>
      <w:r w:rsidRPr="009F3630">
        <w:rPr>
          <w:rFonts w:ascii="Times New Roman" w:hAnsi="Times New Roman"/>
        </w:rPr>
        <w:t xml:space="preserve"> may be terminable at short notice; but they still form an integral and most important part of the structure of the contract. They are the mutual undertakings to maintain the employment relationship in being which are inherent in any contract of employment properly so called."</w:t>
      </w:r>
    </w:p>
    <w:p w14:paraId="1CED2498"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 xml:space="preserve">That description is consistent with the recent holding in </w:t>
      </w:r>
      <w:proofErr w:type="spellStart"/>
      <w:r w:rsidRPr="009F3630">
        <w:rPr>
          <w:rFonts w:ascii="Times New Roman" w:hAnsi="Times New Roman"/>
          <w:i/>
        </w:rPr>
        <w:t>WorkPac</w:t>
      </w:r>
      <w:proofErr w:type="spellEnd"/>
      <w:r w:rsidRPr="009F3630">
        <w:rPr>
          <w:rFonts w:ascii="Times New Roman" w:hAnsi="Times New Roman"/>
          <w:i/>
        </w:rPr>
        <w:t xml:space="preserve"> Pty Ltd v </w:t>
      </w:r>
      <w:proofErr w:type="spellStart"/>
      <w:r w:rsidRPr="009F3630">
        <w:rPr>
          <w:rFonts w:ascii="Times New Roman" w:hAnsi="Times New Roman"/>
          <w:i/>
        </w:rPr>
        <w:t>Rossato</w:t>
      </w:r>
      <w:proofErr w:type="spellEnd"/>
      <w:r w:rsidRPr="009F3630">
        <w:rPr>
          <w:rStyle w:val="FootnoteReference"/>
          <w:rFonts w:ascii="Times New Roman" w:hAnsi="Times New Roman"/>
          <w:sz w:val="24"/>
        </w:rPr>
        <w:footnoteReference w:id="171"/>
      </w:r>
      <w:r w:rsidRPr="009F3630">
        <w:rPr>
          <w:rFonts w:ascii="Times New Roman" w:hAnsi="Times New Roman"/>
        </w:rPr>
        <w:t xml:space="preserve"> that the distinction between a casual employee and another employee, according to the ordinary meaning of "casual employee", lay in the absence of a "firm advance commitment" as to the duration of the employee's employment to be found, if at all, in the terms of the contract of employment. There, six consecutive relationships of casual employment were found to have been created pursuant to six consecutive contracts of employment, each incorporating standard terms and conditions</w:t>
      </w:r>
      <w:r w:rsidRPr="009F3630">
        <w:rPr>
          <w:rStyle w:val="FootnoteReference"/>
          <w:rFonts w:ascii="Times New Roman" w:hAnsi="Times New Roman"/>
          <w:sz w:val="24"/>
        </w:rPr>
        <w:footnoteReference w:id="172"/>
      </w:r>
      <w:r w:rsidRPr="009F3630">
        <w:rPr>
          <w:rFonts w:ascii="Times New Roman" w:hAnsi="Times New Roman"/>
        </w:rPr>
        <w:t>. Here, for reasons that will eventually be explained, Mr McCourt entered into two consecutive relationships of casual employment with Construct in the performance by him and Construct of a single overarching contract: the ASA.</w:t>
      </w:r>
    </w:p>
    <w:p w14:paraId="50A1ACE4"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The relationship of employment is, however, not to be conflated with the contract under which the relationship is established and maintained. The two are "distinct"</w:t>
      </w:r>
      <w:r w:rsidRPr="009F3630">
        <w:rPr>
          <w:rStyle w:val="FootnoteReference"/>
          <w:rFonts w:ascii="Times New Roman" w:hAnsi="Times New Roman"/>
          <w:sz w:val="24"/>
        </w:rPr>
        <w:footnoteReference w:id="173"/>
      </w:r>
      <w:r w:rsidRPr="009F3630">
        <w:rPr>
          <w:rFonts w:ascii="Times New Roman" w:hAnsi="Times New Roman"/>
        </w:rPr>
        <w:t>. "The employment is the continual relationship, not the engagement or contracting to employ and to serve."</w:t>
      </w:r>
      <w:r w:rsidRPr="009F3630">
        <w:rPr>
          <w:rStyle w:val="FootnoteReference"/>
          <w:rFonts w:ascii="Times New Roman" w:hAnsi="Times New Roman"/>
          <w:sz w:val="24"/>
        </w:rPr>
        <w:footnoteReference w:id="174"/>
      </w:r>
      <w:r w:rsidRPr="009F3630">
        <w:rPr>
          <w:rFonts w:ascii="Times New Roman" w:hAnsi="Times New Roman"/>
        </w:rPr>
        <w:t xml:space="preserve"> "It is the service ... carried on."</w:t>
      </w:r>
      <w:r w:rsidRPr="009F3630">
        <w:rPr>
          <w:rStyle w:val="FootnoteReference"/>
          <w:rFonts w:ascii="Times New Roman" w:hAnsi="Times New Roman"/>
          <w:sz w:val="24"/>
        </w:rPr>
        <w:footnoteReference w:id="175"/>
      </w:r>
      <w:r w:rsidRPr="009F3630">
        <w:rPr>
          <w:rFonts w:ascii="Times New Roman" w:hAnsi="Times New Roman"/>
        </w:rPr>
        <w:t xml:space="preserve"> </w:t>
      </w:r>
    </w:p>
    <w:p w14:paraId="65728037"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 xml:space="preserve">Whether a continual relationship for which a contract might make provision </w:t>
      </w:r>
      <w:proofErr w:type="gramStart"/>
      <w:r w:rsidRPr="009F3630">
        <w:rPr>
          <w:rFonts w:ascii="Times New Roman" w:hAnsi="Times New Roman"/>
        </w:rPr>
        <w:t>actually exists</w:t>
      </w:r>
      <w:proofErr w:type="gramEnd"/>
      <w:r w:rsidRPr="009F3630">
        <w:rPr>
          <w:rFonts w:ascii="Times New Roman" w:hAnsi="Times New Roman"/>
        </w:rPr>
        <w:t xml:space="preserve"> at any given time is a question of fact</w:t>
      </w:r>
      <w:r w:rsidRPr="009F3630">
        <w:rPr>
          <w:rStyle w:val="FootnoteReference"/>
          <w:rFonts w:ascii="Times New Roman" w:hAnsi="Times New Roman"/>
          <w:sz w:val="24"/>
        </w:rPr>
        <w:footnoteReference w:id="176"/>
      </w:r>
      <w:r w:rsidRPr="009F3630">
        <w:rPr>
          <w:rFonts w:ascii="Times New Roman" w:hAnsi="Times New Roman"/>
        </w:rPr>
        <w:t>. Whatever the contract might say about the obligations of the parties, a relationship of employment does not exist until the relationship is in fact formed, and the relationship of employment ceases to exist when the relationship is in fact broken. Thus, "[</w:t>
      </w:r>
      <w:proofErr w:type="spellStart"/>
      <w:r w:rsidRPr="009F3630">
        <w:rPr>
          <w:rFonts w:ascii="Times New Roman" w:hAnsi="Times New Roman"/>
        </w:rPr>
        <w:t>i</w:t>
      </w:r>
      <w:proofErr w:type="spellEnd"/>
      <w:r w:rsidRPr="009F3630">
        <w:rPr>
          <w:rFonts w:ascii="Times New Roman" w:hAnsi="Times New Roman"/>
        </w:rPr>
        <w:t xml:space="preserve">]t does not appear to have been doubted in this country that a wrongful dismissal terminates the employment relationship notwithstanding that the contract of employment may continue until the employee accepts the repudiation constituted by the wrongful </w:t>
      </w:r>
      <w:r w:rsidRPr="009F3630">
        <w:rPr>
          <w:rFonts w:ascii="Times New Roman" w:hAnsi="Times New Roman"/>
        </w:rPr>
        <w:lastRenderedPageBreak/>
        <w:t>dismissal and puts an end to the contract"</w:t>
      </w:r>
      <w:r w:rsidRPr="009F3630">
        <w:rPr>
          <w:rStyle w:val="FootnoteReference"/>
          <w:rFonts w:ascii="Times New Roman" w:hAnsi="Times New Roman"/>
          <w:sz w:val="24"/>
        </w:rPr>
        <w:footnoteReference w:id="177"/>
      </w:r>
      <w:r w:rsidRPr="009F3630">
        <w:rPr>
          <w:rFonts w:ascii="Times New Roman" w:hAnsi="Times New Roman"/>
        </w:rPr>
        <w:t>. One consequence is that a wrongfully dismissed employee can refuse to accept the dismissal and can "[keep] the contract open" by remaining ready and willing to work</w:t>
      </w:r>
      <w:r w:rsidRPr="009F3630">
        <w:rPr>
          <w:rStyle w:val="FootnoteReference"/>
          <w:rFonts w:ascii="Times New Roman" w:hAnsi="Times New Roman"/>
          <w:sz w:val="24"/>
        </w:rPr>
        <w:footnoteReference w:id="178"/>
      </w:r>
      <w:r w:rsidRPr="009F3630">
        <w:rPr>
          <w:rFonts w:ascii="Times New Roman" w:hAnsi="Times New Roman"/>
        </w:rPr>
        <w:t>. If the employer can then be induced to retract the dismissal, the employment relationship can be re-established without need for a new contract</w:t>
      </w:r>
      <w:r w:rsidRPr="009F3630">
        <w:rPr>
          <w:rStyle w:val="FootnoteReference"/>
          <w:rFonts w:ascii="Times New Roman" w:hAnsi="Times New Roman"/>
          <w:sz w:val="24"/>
        </w:rPr>
        <w:footnoteReference w:id="179"/>
      </w:r>
      <w:r w:rsidRPr="009F3630">
        <w:rPr>
          <w:rFonts w:ascii="Times New Roman" w:hAnsi="Times New Roman"/>
        </w:rPr>
        <w:t>.</w:t>
      </w:r>
    </w:p>
    <w:p w14:paraId="74ADB291"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 xml:space="preserve">Here, again for reasons that will eventually be explained, Mr McCourt and Construct in fact established and maintained continual relationships for the doing of work by Mr McCourt throughout each of the two periods during which Construct made his labour available to Hanssen under the LHA. They did not establish a relationship of the requisite kind merely by </w:t>
      </w:r>
      <w:proofErr w:type="gramStart"/>
      <w:r w:rsidRPr="009F3630">
        <w:rPr>
          <w:rFonts w:ascii="Times New Roman" w:hAnsi="Times New Roman"/>
        </w:rPr>
        <w:t>entering into</w:t>
      </w:r>
      <w:proofErr w:type="gramEnd"/>
      <w:r w:rsidRPr="009F3630">
        <w:rPr>
          <w:rFonts w:ascii="Times New Roman" w:hAnsi="Times New Roman"/>
        </w:rPr>
        <w:t xml:space="preserve"> the ASA and they did not maintain a relationship of the requisite kind throughout the entirety of the term of the ASA.</w:t>
      </w:r>
    </w:p>
    <w:p w14:paraId="46A856CB"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Where a continual relationship under which work is done by an individual in exchange for remuneration in fact exists, the characterisation of that relationship as one of employment or service, on the one hand, or as one of hirer and independent contractor, on the other hand, has long been understood to turn on one or other or both of two main overlapping considerations. The first is the extent of the control that the putative employer can be seen to have over how, where and when the putative employee does the work</w:t>
      </w:r>
      <w:r w:rsidRPr="009F3630">
        <w:rPr>
          <w:rStyle w:val="FootnoteReference"/>
          <w:rFonts w:ascii="Times New Roman" w:hAnsi="Times New Roman"/>
          <w:sz w:val="24"/>
        </w:rPr>
        <w:footnoteReference w:id="180"/>
      </w:r>
      <w:r w:rsidRPr="009F3630">
        <w:rPr>
          <w:rFonts w:ascii="Times New Roman" w:hAnsi="Times New Roman"/>
        </w:rPr>
        <w:t xml:space="preserve">. The second is the extent to which the putative employee can be seen to work in his or her own business as distinct </w:t>
      </w:r>
      <w:r w:rsidRPr="009F3630">
        <w:rPr>
          <w:rFonts w:ascii="Times New Roman" w:hAnsi="Times New Roman"/>
        </w:rPr>
        <w:lastRenderedPageBreak/>
        <w:t>from the business of the putative employer</w:t>
      </w:r>
      <w:r w:rsidRPr="009F3630">
        <w:rPr>
          <w:rStyle w:val="FootnoteReference"/>
          <w:rFonts w:ascii="Times New Roman" w:hAnsi="Times New Roman"/>
          <w:sz w:val="24"/>
        </w:rPr>
        <w:footnoteReference w:id="181"/>
      </w:r>
      <w:r w:rsidRPr="009F3630">
        <w:rPr>
          <w:rFonts w:ascii="Times New Roman" w:hAnsi="Times New Roman"/>
        </w:rPr>
        <w:t>. Factors relevant to that second consideration have been said to include, but not to be limited to, "the mode of remuneration, the provision and maintenance of equipment, the obligation to work, the hours of work and provision for holidays, the deduction of income tax and the delegation of work by the putative employee"</w:t>
      </w:r>
      <w:r w:rsidRPr="009F3630">
        <w:rPr>
          <w:rStyle w:val="FootnoteReference"/>
          <w:rFonts w:ascii="Times New Roman" w:hAnsi="Times New Roman"/>
          <w:sz w:val="24"/>
        </w:rPr>
        <w:footnoteReference w:id="182"/>
      </w:r>
      <w:r w:rsidRPr="009F3630">
        <w:rPr>
          <w:rFonts w:ascii="Times New Roman" w:hAnsi="Times New Roman"/>
        </w:rPr>
        <w:t>. A third consideration sometimes identified is perhaps little more than a variation of the second consideration: it is the extent to which the work done by the putative employee can be seen to be integrated into the business of the putative employer</w:t>
      </w:r>
      <w:r w:rsidRPr="009F3630">
        <w:rPr>
          <w:rStyle w:val="FootnoteReference"/>
          <w:rFonts w:ascii="Times New Roman" w:hAnsi="Times New Roman"/>
          <w:sz w:val="24"/>
        </w:rPr>
        <w:footnoteReference w:id="183"/>
      </w:r>
      <w:r w:rsidRPr="009F3630">
        <w:rPr>
          <w:rFonts w:ascii="Times New Roman" w:hAnsi="Times New Roman"/>
        </w:rPr>
        <w:t>.</w:t>
      </w:r>
    </w:p>
    <w:p w14:paraId="431675CC"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 xml:space="preserve">Each consideration is a matter of degree. None is </w:t>
      </w:r>
      <w:proofErr w:type="gramStart"/>
      <w:r w:rsidRPr="009F3630">
        <w:rPr>
          <w:rFonts w:ascii="Times New Roman" w:hAnsi="Times New Roman"/>
        </w:rPr>
        <w:t>complete in itself</w:t>
      </w:r>
      <w:proofErr w:type="gramEnd"/>
      <w:r w:rsidRPr="009F3630">
        <w:rPr>
          <w:rFonts w:ascii="Times New Roman" w:hAnsi="Times New Roman"/>
        </w:rPr>
        <w:t>. Each can fairly be said to be "really posing the ultimate question in a different way rather than offering a definition which could be applied for the purpose of providing an answer"</w:t>
      </w:r>
      <w:r w:rsidRPr="009F3630">
        <w:rPr>
          <w:rStyle w:val="FootnoteReference"/>
          <w:rFonts w:ascii="Times New Roman" w:hAnsi="Times New Roman"/>
          <w:sz w:val="24"/>
        </w:rPr>
        <w:footnoteReference w:id="184"/>
      </w:r>
      <w:r w:rsidRPr="009F3630">
        <w:rPr>
          <w:rFonts w:ascii="Times New Roman" w:hAnsi="Times New Roman"/>
        </w:rPr>
        <w:t>.</w:t>
      </w:r>
    </w:p>
    <w:p w14:paraId="4FB1FAF6"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These considerations are compositely reflected in most standard descriptions of a relationship of employment, or of a contract of employment, at common law. In its first restatement of the law of agency, published in 1933, for example, the American Law Institute ("ALI") defined a "servant" as "a person employed to perform service for another in his affairs and who, with respect to his physical conduct in the performance of the service, is subject to the other's control or right to control"</w:t>
      </w:r>
      <w:r w:rsidRPr="009F3630">
        <w:rPr>
          <w:rStyle w:val="FootnoteReference"/>
          <w:rFonts w:ascii="Times New Roman" w:hAnsi="Times New Roman"/>
          <w:sz w:val="24"/>
        </w:rPr>
        <w:footnoteReference w:id="185"/>
      </w:r>
      <w:r w:rsidRPr="009F3630">
        <w:rPr>
          <w:rFonts w:ascii="Times New Roman" w:hAnsi="Times New Roman"/>
        </w:rPr>
        <w:t>. The ALI then went on to enumerate "matters of fact", to be considered, "among others", "[</w:t>
      </w:r>
      <w:proofErr w:type="spellStart"/>
      <w:r w:rsidRPr="009F3630">
        <w:rPr>
          <w:rFonts w:ascii="Times New Roman" w:hAnsi="Times New Roman"/>
        </w:rPr>
        <w:t>i</w:t>
      </w:r>
      <w:proofErr w:type="spellEnd"/>
      <w:r w:rsidRPr="009F3630">
        <w:rPr>
          <w:rFonts w:ascii="Times New Roman" w:hAnsi="Times New Roman"/>
        </w:rPr>
        <w:t xml:space="preserve">]n determining whether one acting for another is a </w:t>
      </w:r>
      <w:r w:rsidRPr="009F3630">
        <w:rPr>
          <w:rFonts w:ascii="Times New Roman" w:hAnsi="Times New Roman"/>
        </w:rPr>
        <w:lastRenderedPageBreak/>
        <w:t>servant or an independent contractor". The ALI definition was restated in almost identical terms in 1958 and in substantially similar terms in 2006</w:t>
      </w:r>
      <w:r w:rsidRPr="009F3630">
        <w:rPr>
          <w:rStyle w:val="FootnoteReference"/>
          <w:rFonts w:ascii="Times New Roman" w:hAnsi="Times New Roman"/>
          <w:sz w:val="24"/>
        </w:rPr>
        <w:footnoteReference w:id="186"/>
      </w:r>
      <w:r w:rsidRPr="009F3630">
        <w:rPr>
          <w:rFonts w:ascii="Times New Roman" w:hAnsi="Times New Roman"/>
        </w:rPr>
        <w:t xml:space="preserve">. </w:t>
      </w:r>
      <w:r w:rsidRPr="009F3630" w:rsidDel="00814D51">
        <w:rPr>
          <w:rFonts w:ascii="Times New Roman" w:hAnsi="Times New Roman"/>
        </w:rPr>
        <w:t xml:space="preserve"> </w:t>
      </w:r>
    </w:p>
    <w:p w14:paraId="79F57FC3"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 xml:space="preserve">The ALI definition was adopted and applied by Latham CJ in </w:t>
      </w:r>
      <w:r w:rsidRPr="009F3630">
        <w:rPr>
          <w:rFonts w:ascii="Times New Roman" w:hAnsi="Times New Roman"/>
          <w:i/>
        </w:rPr>
        <w:t>Federal Commissioner of Taxation v J Walter Thompson (Aust) Pty Ltd</w:t>
      </w:r>
      <w:r w:rsidRPr="009F3630">
        <w:rPr>
          <w:rStyle w:val="FootnoteReference"/>
          <w:rFonts w:ascii="Times New Roman" w:hAnsi="Times New Roman"/>
          <w:sz w:val="24"/>
        </w:rPr>
        <w:footnoteReference w:id="187"/>
      </w:r>
      <w:r w:rsidRPr="009F3630">
        <w:rPr>
          <w:rFonts w:ascii="Times New Roman" w:hAnsi="Times New Roman"/>
        </w:rPr>
        <w:t>. His Honour there said that the definition, including its enumeration of "matters of fact which are considered in determining whether one acting for another is a servant or an independent contractor", was "in accordance with our law"</w:t>
      </w:r>
      <w:r w:rsidRPr="009F3630">
        <w:rPr>
          <w:rStyle w:val="FootnoteReference"/>
          <w:rFonts w:ascii="Times New Roman" w:hAnsi="Times New Roman"/>
          <w:sz w:val="24"/>
        </w:rPr>
        <w:footnoteReference w:id="188"/>
      </w:r>
      <w:r w:rsidRPr="009F3630">
        <w:rPr>
          <w:rFonts w:ascii="Times New Roman" w:hAnsi="Times New Roman"/>
        </w:rPr>
        <w:t>. The definition remains in accordance with our law, notwithstanding the taxonomical shift that has since occurred through which, as a result of our preference to confine the term "agency" to its narrower sense of connoting "an authority or capacity in one person to create legal relations between a person occupying the position of principal and third parties"</w:t>
      </w:r>
      <w:r w:rsidRPr="009F3630">
        <w:rPr>
          <w:rStyle w:val="FootnoteReference"/>
          <w:rFonts w:ascii="Times New Roman" w:hAnsi="Times New Roman"/>
          <w:sz w:val="24"/>
        </w:rPr>
        <w:footnoteReference w:id="189"/>
      </w:r>
      <w:r w:rsidRPr="009F3630">
        <w:rPr>
          <w:rFonts w:ascii="Times New Roman" w:hAnsi="Times New Roman"/>
        </w:rPr>
        <w:t>, the vicarious liability of an employer for wrongs of an employee committed in the course of employment is here no longer "commonly regarded as part of the law of agency"</w:t>
      </w:r>
      <w:r w:rsidRPr="009F3630">
        <w:rPr>
          <w:rStyle w:val="FootnoteReference"/>
          <w:rFonts w:ascii="Times New Roman" w:hAnsi="Times New Roman"/>
          <w:sz w:val="24"/>
        </w:rPr>
        <w:footnoteReference w:id="190"/>
      </w:r>
      <w:r w:rsidRPr="009F3630">
        <w:rPr>
          <w:rFonts w:ascii="Times New Roman" w:hAnsi="Times New Roman"/>
        </w:rPr>
        <w:t>.</w:t>
      </w:r>
    </w:p>
    <w:p w14:paraId="5A335838"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 xml:space="preserve">Consistently with the definition it first formulated in 1933, in its more recent restatement of the law of employment, published in 2015, the ALI has sought to distil from the case law three conditions for the existence of a relationship of employment. They are that: "(1) the individual acts, at least in part, to serve the interests of the employer; (2) the employer consents to receive the individual's services; and (3) the employer controls the manner and means by which the individual renders services, or the employer otherwise effectively prevents the </w:t>
      </w:r>
      <w:r w:rsidRPr="009F3630">
        <w:rPr>
          <w:rFonts w:ascii="Times New Roman" w:hAnsi="Times New Roman"/>
        </w:rPr>
        <w:lastRenderedPageBreak/>
        <w:t>individual from rendering those services as an independent businessperson"</w:t>
      </w:r>
      <w:r w:rsidRPr="009F3630">
        <w:rPr>
          <w:rStyle w:val="FootnoteReference"/>
          <w:rFonts w:ascii="Times New Roman" w:hAnsi="Times New Roman"/>
          <w:sz w:val="24"/>
        </w:rPr>
        <w:footnoteReference w:id="191"/>
      </w:r>
      <w:r w:rsidRPr="009F3630">
        <w:rPr>
          <w:rFonts w:ascii="Times New Roman" w:hAnsi="Times New Roman"/>
        </w:rPr>
        <w:t>. In respect of the third of those identified conditions, the ALI has elaborated</w:t>
      </w:r>
      <w:r w:rsidRPr="009F3630">
        <w:rPr>
          <w:rStyle w:val="FootnoteReference"/>
          <w:rFonts w:ascii="Times New Roman" w:hAnsi="Times New Roman"/>
          <w:sz w:val="24"/>
        </w:rPr>
        <w:footnoteReference w:id="192"/>
      </w:r>
      <w:r w:rsidRPr="009F3630">
        <w:rPr>
          <w:rFonts w:ascii="Times New Roman" w:hAnsi="Times New Roman"/>
        </w:rPr>
        <w:t>:</w:t>
      </w:r>
    </w:p>
    <w:p w14:paraId="7ECC4A43" w14:textId="77777777" w:rsidR="00FF3369" w:rsidRDefault="00FF3369" w:rsidP="009F3630">
      <w:pPr>
        <w:pStyle w:val="leftright"/>
        <w:spacing w:before="0" w:after="260" w:line="280" w:lineRule="exact"/>
        <w:ind w:right="0"/>
        <w:jc w:val="both"/>
        <w:rPr>
          <w:rFonts w:ascii="Times New Roman" w:hAnsi="Times New Roman"/>
        </w:rPr>
      </w:pPr>
      <w:r w:rsidRPr="009F3630">
        <w:rPr>
          <w:rFonts w:ascii="Times New Roman" w:hAnsi="Times New Roman"/>
        </w:rPr>
        <w:t>"An individual renders services as an independent businessperson and not as an employee when the individual in his or her own interest exercises entrepreneurial control over important business decisions, including whether to hire and where to assign assistants, whether to purchase and where to deploy equipment, and whether and when to provide service to other customers."</w:t>
      </w:r>
    </w:p>
    <w:p w14:paraId="7E49D815"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To similar effect, Professor Joellen Riley has proffered the following definition of a contract of employment or of service</w:t>
      </w:r>
      <w:r w:rsidRPr="009F3630">
        <w:rPr>
          <w:rStyle w:val="FootnoteReference"/>
          <w:rFonts w:ascii="Times New Roman" w:hAnsi="Times New Roman"/>
          <w:sz w:val="24"/>
        </w:rPr>
        <w:footnoteReference w:id="193"/>
      </w:r>
      <w:r w:rsidRPr="009F3630">
        <w:rPr>
          <w:rFonts w:ascii="Times New Roman" w:hAnsi="Times New Roman"/>
        </w:rPr>
        <w:t>:</w:t>
      </w:r>
    </w:p>
    <w:p w14:paraId="71F3A59F" w14:textId="77777777" w:rsidR="00FF3369" w:rsidRDefault="00FF3369" w:rsidP="009F3630">
      <w:pPr>
        <w:pStyle w:val="leftright"/>
        <w:spacing w:before="0" w:after="260" w:line="280" w:lineRule="exact"/>
        <w:ind w:right="0"/>
        <w:jc w:val="both"/>
        <w:rPr>
          <w:rFonts w:ascii="Times New Roman" w:hAnsi="Times New Roman"/>
        </w:rPr>
      </w:pPr>
      <w:r w:rsidRPr="009F3630">
        <w:rPr>
          <w:rFonts w:ascii="Times New Roman" w:hAnsi="Times New Roman"/>
        </w:rPr>
        <w:tab/>
        <w:t xml:space="preserve">"The concept of a contract 'of service' captures the notion that the employed worker is subservient to the employer – as a servant to a master in past times – and works under their control and direction, and within an organizational structure determined by the demands of the business interests of the employer. This notion 'of service' is intended to distinguish the employee who is an integral part of the employer's enterprise from entrepreneurial workers who provide their labour </w:t>
      </w:r>
      <w:proofErr w:type="gramStart"/>
      <w:r w:rsidRPr="009F3630">
        <w:rPr>
          <w:rFonts w:ascii="Times New Roman" w:hAnsi="Times New Roman"/>
        </w:rPr>
        <w:t>as a consequence of</w:t>
      </w:r>
      <w:proofErr w:type="gramEnd"/>
      <w:r w:rsidRPr="009F3630">
        <w:rPr>
          <w:rFonts w:ascii="Times New Roman" w:hAnsi="Times New Roman"/>
        </w:rPr>
        <w:t xml:space="preserve"> some other commercial arrangement. The independent contractor provides labour to others while in pursuit of gains for his or her own discrete enterprise."</w:t>
      </w:r>
    </w:p>
    <w:p w14:paraId="2B25B8AD"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Those definitions are useful. But an important lesson of the experience of the common law would be lost if any of them were elevated to be any more than a description of the frequently identified features of a contract of employment or a relationship of employment. The overall experience of the common law has taught "respect for the humble particular against the pretentious rational formula"</w:t>
      </w:r>
      <w:r w:rsidRPr="009F3630">
        <w:rPr>
          <w:rStyle w:val="FootnoteReference"/>
          <w:rFonts w:ascii="Times New Roman" w:hAnsi="Times New Roman"/>
          <w:sz w:val="24"/>
        </w:rPr>
        <w:footnoteReference w:id="194"/>
      </w:r>
      <w:r w:rsidRPr="009F3630">
        <w:rPr>
          <w:rFonts w:ascii="Times New Roman" w:hAnsi="Times New Roman"/>
        </w:rPr>
        <w:t xml:space="preserve">. The peculiar experience of the common law in drawing the distinction between employees and independent contractors has taught more specifically that "there is no shorthand formula or magic phrase that can be applied to find the answer, but </w:t>
      </w:r>
      <w:r w:rsidRPr="009F3630">
        <w:rPr>
          <w:rFonts w:ascii="Times New Roman" w:hAnsi="Times New Roman"/>
        </w:rPr>
        <w:lastRenderedPageBreak/>
        <w:t>all of the incidents of the relationship must be assessed and weighed with no one factor being decisive"</w:t>
      </w:r>
      <w:r w:rsidRPr="009F3630">
        <w:rPr>
          <w:rStyle w:val="FootnoteReference"/>
          <w:rFonts w:ascii="Times New Roman" w:hAnsi="Times New Roman"/>
          <w:sz w:val="24"/>
        </w:rPr>
        <w:footnoteReference w:id="195"/>
      </w:r>
      <w:r w:rsidRPr="009F3630">
        <w:rPr>
          <w:rFonts w:ascii="Times New Roman" w:hAnsi="Times New Roman"/>
        </w:rPr>
        <w:t xml:space="preserve">. </w:t>
      </w:r>
    </w:p>
    <w:p w14:paraId="612A9EAF"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Through that case-by-case – "multi-factor"</w:t>
      </w:r>
      <w:r w:rsidRPr="009F3630">
        <w:rPr>
          <w:rStyle w:val="FootnoteReference"/>
          <w:rFonts w:ascii="Times New Roman" w:hAnsi="Times New Roman"/>
          <w:sz w:val="24"/>
        </w:rPr>
        <w:footnoteReference w:id="196"/>
      </w:r>
      <w:r w:rsidRPr="009F3630">
        <w:rPr>
          <w:rFonts w:ascii="Times New Roman" w:hAnsi="Times New Roman"/>
        </w:rPr>
        <w:t>, "multi-factorial"</w:t>
      </w:r>
      <w:r w:rsidRPr="009F3630">
        <w:rPr>
          <w:rStyle w:val="FootnoteReference"/>
          <w:rFonts w:ascii="Times New Roman" w:hAnsi="Times New Roman"/>
          <w:sz w:val="24"/>
        </w:rPr>
        <w:footnoteReference w:id="197"/>
      </w:r>
      <w:r w:rsidRPr="009F3630">
        <w:rPr>
          <w:rFonts w:ascii="Times New Roman" w:hAnsi="Times New Roman"/>
        </w:rPr>
        <w:t xml:space="preserve"> or multiple "indicia"</w:t>
      </w:r>
      <w:r w:rsidRPr="009F3630">
        <w:rPr>
          <w:rStyle w:val="FootnoteReference"/>
          <w:rFonts w:ascii="Times New Roman" w:hAnsi="Times New Roman"/>
          <w:sz w:val="24"/>
        </w:rPr>
        <w:footnoteReference w:id="198"/>
      </w:r>
      <w:r w:rsidRPr="009F3630">
        <w:rPr>
          <w:rFonts w:ascii="Times New Roman" w:hAnsi="Times New Roman"/>
        </w:rPr>
        <w:t xml:space="preserve"> – approach, the common law has shown itself to be "sufficiently flexible to adapt to changing social conditions"</w:t>
      </w:r>
      <w:r w:rsidRPr="009F3630">
        <w:rPr>
          <w:rStyle w:val="FootnoteReference"/>
          <w:rFonts w:ascii="Times New Roman" w:hAnsi="Times New Roman"/>
          <w:sz w:val="24"/>
        </w:rPr>
        <w:footnoteReference w:id="199"/>
      </w:r>
      <w:r w:rsidRPr="009F3630">
        <w:rPr>
          <w:rFonts w:ascii="Times New Roman" w:hAnsi="Times New Roman"/>
        </w:rPr>
        <w:t>. To adapt a remark of an English commentator, it may not be entirely unfair to observe that "[t]he accumulation of case law has added weight rather than wisdom"</w:t>
      </w:r>
      <w:r w:rsidRPr="009F3630">
        <w:rPr>
          <w:rStyle w:val="FootnoteReference"/>
          <w:rFonts w:ascii="Times New Roman" w:hAnsi="Times New Roman"/>
          <w:sz w:val="24"/>
        </w:rPr>
        <w:footnoteReference w:id="200"/>
      </w:r>
      <w:r w:rsidRPr="009F3630">
        <w:rPr>
          <w:rFonts w:ascii="Times New Roman" w:hAnsi="Times New Roman"/>
        </w:rPr>
        <w:t>, but it is fairer to observe that "the emphasis on various matters has shifted in response to the changing way work, and society in general, is organised" and that the "fundamental tests" have remained "more or less constant"</w:t>
      </w:r>
      <w:r w:rsidRPr="009F3630">
        <w:rPr>
          <w:rStyle w:val="FootnoteReference"/>
          <w:rFonts w:ascii="Times New Roman" w:hAnsi="Times New Roman"/>
          <w:sz w:val="24"/>
        </w:rPr>
        <w:footnoteReference w:id="201"/>
      </w:r>
      <w:r w:rsidRPr="009F3630">
        <w:rPr>
          <w:rFonts w:ascii="Times New Roman" w:hAnsi="Times New Roman"/>
        </w:rPr>
        <w:t xml:space="preserve">. Undoubtedly, the approach the common law has up till now developed will admit of results that are contestable in a marginal case. That is </w:t>
      </w:r>
      <w:proofErr w:type="gramStart"/>
      <w:r w:rsidRPr="009F3630">
        <w:rPr>
          <w:rFonts w:ascii="Times New Roman" w:hAnsi="Times New Roman"/>
        </w:rPr>
        <w:t>in the nature of any</w:t>
      </w:r>
      <w:proofErr w:type="gramEnd"/>
      <w:r w:rsidRPr="009F3630">
        <w:rPr>
          <w:rFonts w:ascii="Times New Roman" w:hAnsi="Times New Roman"/>
        </w:rPr>
        <w:t xml:space="preserve"> legal criterion application of which turns on evaluative judgment. Here, it is a tolerable incident of the common law's sensitivity to the diversity and vagaries of lived experience.</w:t>
      </w:r>
    </w:p>
    <w:p w14:paraId="3B16979C"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The reality is that, for so long as employment at common law is to be understood as a category of relationship that exists in fact, "it is the totality of the relationship between the parties which must be considered"</w:t>
      </w:r>
      <w:r w:rsidRPr="009F3630">
        <w:rPr>
          <w:rStyle w:val="FootnoteReference"/>
          <w:rFonts w:ascii="Times New Roman" w:hAnsi="Times New Roman"/>
          <w:sz w:val="24"/>
        </w:rPr>
        <w:footnoteReference w:id="202"/>
      </w:r>
      <w:r w:rsidRPr="009F3630">
        <w:rPr>
          <w:rFonts w:ascii="Times New Roman" w:hAnsi="Times New Roman"/>
        </w:rPr>
        <w:t xml:space="preserve">. "The ultimate question will always be whether a person is acting as the [employee] of another or on [his or her] own behalf and the answer to that question may be indicated in ways </w:t>
      </w:r>
      <w:r w:rsidRPr="009F3630">
        <w:rPr>
          <w:rFonts w:ascii="Times New Roman" w:hAnsi="Times New Roman"/>
        </w:rPr>
        <w:lastRenderedPageBreak/>
        <w:t>which are not always the same and which do not always have the same significance."</w:t>
      </w:r>
      <w:r w:rsidRPr="009F3630">
        <w:rPr>
          <w:rStyle w:val="FootnoteReference"/>
          <w:rFonts w:ascii="Times New Roman" w:hAnsi="Times New Roman"/>
          <w:sz w:val="24"/>
        </w:rPr>
        <w:footnoteReference w:id="203"/>
      </w:r>
      <w:r w:rsidRPr="009F3630">
        <w:rPr>
          <w:rFonts w:ascii="Times New Roman" w:hAnsi="Times New Roman"/>
        </w:rPr>
        <w:t xml:space="preserve"> </w:t>
      </w:r>
    </w:p>
    <w:p w14:paraId="6CC3150F"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Here, and again for reasons that will eventually be explained, the most significant indication that the relationships between Mr McCourt and Construct during the two relevant periods were relationships of employment was the degree of control that Construct ultimately had over how Mr McCourt physically performed his labour. Construct had that control through the combined operation of Mr McCourt's contractual obligations to it under the ASA and its relationship with Hanssen under the LHA.</w:t>
      </w:r>
    </w:p>
    <w:p w14:paraId="130BD50A" w14:textId="77777777" w:rsidR="00FF3369" w:rsidRPr="009F3630" w:rsidRDefault="00FF3369" w:rsidP="009F3630">
      <w:pPr>
        <w:pStyle w:val="HeadingL1"/>
        <w:spacing w:after="260" w:line="280" w:lineRule="exact"/>
        <w:ind w:right="0"/>
        <w:jc w:val="both"/>
        <w:rPr>
          <w:rFonts w:ascii="Times New Roman" w:hAnsi="Times New Roman"/>
        </w:rPr>
      </w:pPr>
      <w:r w:rsidRPr="009F3630">
        <w:rPr>
          <w:rFonts w:ascii="Times New Roman" w:hAnsi="Times New Roman"/>
        </w:rPr>
        <w:t>Determining the existence of a relationship of employment at common law</w:t>
      </w:r>
    </w:p>
    <w:p w14:paraId="47F8AC63"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Turning from the nature of a relationship of employment at common law to the inquiry that must be undertaken to determine whether a relationship of that nature exists, it must be frankly acknowledged that uncertainty has arisen as to the scope of the inquiry that is permissible where the contract of employment is wholly in writing.</w:t>
      </w:r>
    </w:p>
    <w:p w14:paraId="29FA1DF2"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 xml:space="preserve">The proposition that a written contract of employment must be interpreted according to ordinary contractual principles is not in doubt. Gleeson CJ referred to the application of those ordinary principles of interpretation to a written contract of employment, and no more, when he succinctly stated in </w:t>
      </w:r>
      <w:r w:rsidRPr="009F3630">
        <w:rPr>
          <w:rFonts w:ascii="Times New Roman" w:hAnsi="Times New Roman"/>
          <w:i/>
        </w:rPr>
        <w:t>Connelly v Wells</w:t>
      </w:r>
      <w:r w:rsidRPr="009F3630">
        <w:rPr>
          <w:rStyle w:val="FootnoteReference"/>
          <w:rFonts w:ascii="Times New Roman" w:hAnsi="Times New Roman"/>
          <w:sz w:val="24"/>
        </w:rPr>
        <w:footnoteReference w:id="204"/>
      </w:r>
      <w:r w:rsidRPr="009F3630">
        <w:rPr>
          <w:rFonts w:ascii="Times New Roman" w:hAnsi="Times New Roman"/>
        </w:rPr>
        <w:t>:</w:t>
      </w:r>
    </w:p>
    <w:p w14:paraId="7B5B876E" w14:textId="77777777" w:rsidR="00FF3369" w:rsidRDefault="00FF3369" w:rsidP="009F3630">
      <w:pPr>
        <w:pStyle w:val="leftright"/>
        <w:spacing w:before="0" w:after="260" w:line="280" w:lineRule="exact"/>
        <w:ind w:right="0"/>
        <w:jc w:val="both"/>
        <w:rPr>
          <w:rFonts w:ascii="Times New Roman" w:hAnsi="Times New Roman"/>
        </w:rPr>
      </w:pPr>
      <w:r w:rsidRPr="009F3630">
        <w:rPr>
          <w:rFonts w:ascii="Times New Roman" w:hAnsi="Times New Roman"/>
        </w:rPr>
        <w:tab/>
        <w:t xml:space="preserve">"Where the relationship between two persons is founded in contract, the character of the relationship depends upon the meaning and effect of the contract. In the absence of a suggestion that a contract was varied after it was originally made, its meaning and effect must be determined as at the time it was </w:t>
      </w:r>
      <w:proofErr w:type="gramStart"/>
      <w:r w:rsidRPr="009F3630">
        <w:rPr>
          <w:rFonts w:ascii="Times New Roman" w:hAnsi="Times New Roman"/>
        </w:rPr>
        <w:t>entered into</w:t>
      </w:r>
      <w:proofErr w:type="gramEnd"/>
      <w:r w:rsidRPr="009F3630">
        <w:rPr>
          <w:rFonts w:ascii="Times New Roman" w:hAnsi="Times New Roman"/>
        </w:rPr>
        <w:t>. If the contract is in writing, then the court which is considering the nature of the relationship between the parties is directed to an examination of the terms of the written agreement in the light of the circumstances surrounding its making."</w:t>
      </w:r>
    </w:p>
    <w:p w14:paraId="016781D9"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The uncertainty that has arisen is rather as to whether the inquiry into the nature of a relationship that has been established and maintained under a written contract is limited to consideration of the terms of the contract to the exclusion of consideration of the manner of performance of the contract.</w:t>
      </w:r>
    </w:p>
    <w:p w14:paraId="7AED111C"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lastRenderedPageBreak/>
        <w:tab/>
        <w:t xml:space="preserve">The source of the uncertainty can be traced to the decision of the Privy Council in </w:t>
      </w:r>
      <w:proofErr w:type="spellStart"/>
      <w:r w:rsidRPr="009F3630">
        <w:rPr>
          <w:rFonts w:ascii="Times New Roman" w:hAnsi="Times New Roman"/>
          <w:i/>
        </w:rPr>
        <w:t>Narich</w:t>
      </w:r>
      <w:proofErr w:type="spellEnd"/>
      <w:r w:rsidRPr="009F3630">
        <w:rPr>
          <w:rFonts w:ascii="Times New Roman" w:hAnsi="Times New Roman"/>
          <w:i/>
        </w:rPr>
        <w:t xml:space="preserve"> Pty Ltd v Commissioner of Pay-roll Tax</w:t>
      </w:r>
      <w:r w:rsidRPr="009F3630">
        <w:rPr>
          <w:rStyle w:val="FootnoteReference"/>
          <w:rFonts w:ascii="Times New Roman" w:hAnsi="Times New Roman"/>
          <w:sz w:val="24"/>
        </w:rPr>
        <w:footnoteReference w:id="205"/>
      </w:r>
      <w:r w:rsidRPr="009F3630">
        <w:rPr>
          <w:rFonts w:ascii="Times New Roman" w:hAnsi="Times New Roman"/>
        </w:rPr>
        <w:t>. There, just three years before the ultimate abolition of appeals to it</w:t>
      </w:r>
      <w:r w:rsidRPr="009F3630">
        <w:rPr>
          <w:rStyle w:val="FootnoteReference"/>
          <w:rFonts w:ascii="Times New Roman" w:hAnsi="Times New Roman"/>
          <w:sz w:val="24"/>
        </w:rPr>
        <w:footnoteReference w:id="206"/>
      </w:r>
      <w:r w:rsidRPr="009F3630">
        <w:rPr>
          <w:rFonts w:ascii="Times New Roman" w:hAnsi="Times New Roman"/>
        </w:rPr>
        <w:t xml:space="preserve"> and without reference to any authority other than its own decision five years earlier in </w:t>
      </w:r>
      <w:r w:rsidRPr="009F3630">
        <w:rPr>
          <w:rFonts w:ascii="Times New Roman" w:hAnsi="Times New Roman"/>
          <w:i/>
        </w:rPr>
        <w:t>Australian Mutual Provident Society v Chaplin</w:t>
      </w:r>
      <w:r w:rsidRPr="009F3630">
        <w:rPr>
          <w:rStyle w:val="FootnoteReference"/>
          <w:rFonts w:ascii="Times New Roman" w:hAnsi="Times New Roman"/>
          <w:sz w:val="24"/>
        </w:rPr>
        <w:footnoteReference w:id="207"/>
      </w:r>
      <w:r w:rsidRPr="009F3630">
        <w:rPr>
          <w:rFonts w:ascii="Times New Roman" w:hAnsi="Times New Roman"/>
        </w:rPr>
        <w:t>, the Privy Council stated three "governing principles"</w:t>
      </w:r>
      <w:r w:rsidRPr="009F3630">
        <w:rPr>
          <w:rStyle w:val="FootnoteReference"/>
          <w:rFonts w:ascii="Times New Roman" w:hAnsi="Times New Roman"/>
          <w:sz w:val="24"/>
        </w:rPr>
        <w:footnoteReference w:id="208"/>
      </w:r>
      <w:r w:rsidRPr="009F3630">
        <w:rPr>
          <w:rFonts w:ascii="Times New Roman" w:hAnsi="Times New Roman"/>
        </w:rPr>
        <w:t xml:space="preserve">: </w:t>
      </w:r>
    </w:p>
    <w:p w14:paraId="73B6509D" w14:textId="77777777" w:rsidR="00FF3369" w:rsidRPr="009F3630" w:rsidRDefault="00FF3369" w:rsidP="009F3630">
      <w:pPr>
        <w:pStyle w:val="leftright"/>
        <w:spacing w:before="0" w:after="260" w:line="280" w:lineRule="exact"/>
        <w:ind w:right="0"/>
        <w:jc w:val="both"/>
        <w:rPr>
          <w:rFonts w:ascii="Times New Roman" w:hAnsi="Times New Roman"/>
        </w:rPr>
      </w:pPr>
      <w:r w:rsidRPr="009F3630">
        <w:rPr>
          <w:rFonts w:ascii="Times New Roman" w:hAnsi="Times New Roman"/>
        </w:rPr>
        <w:t xml:space="preserve">"The first principle is that, subject to one exception, where there is a written contract between the parties whose relationship is in issue, a court is </w:t>
      </w:r>
      <w:r w:rsidRPr="009F3630">
        <w:rPr>
          <w:rFonts w:ascii="Times New Roman" w:hAnsi="Times New Roman"/>
          <w:i/>
        </w:rPr>
        <w:t>confined</w:t>
      </w:r>
      <w:r w:rsidRPr="009F3630">
        <w:rPr>
          <w:rFonts w:ascii="Times New Roman" w:hAnsi="Times New Roman"/>
        </w:rPr>
        <w:t xml:space="preserve">, in determining the nature of that relationship, to a consideration of the terms, express or implied, of that contract in the light of the circumstances surrounding the making of it; </w:t>
      </w:r>
      <w:r w:rsidRPr="009F3630">
        <w:rPr>
          <w:rFonts w:ascii="Times New Roman" w:hAnsi="Times New Roman"/>
          <w:i/>
        </w:rPr>
        <w:t>and it is not entitled to consider also the manner in which the parties subsequently acted in pursuance of such contract</w:t>
      </w:r>
      <w:r w:rsidRPr="009F3630">
        <w:rPr>
          <w:rFonts w:ascii="Times New Roman" w:hAnsi="Times New Roman"/>
        </w:rPr>
        <w:t xml:space="preserve">. The one exception to that rule is that, where the subsequent conduct of the parties can be shown to have amounted to an agreed addition to, or modification of, the original written contract, such conduct may be considered and </w:t>
      </w:r>
      <w:proofErr w:type="gramStart"/>
      <w:r w:rsidRPr="009F3630">
        <w:rPr>
          <w:rFonts w:ascii="Times New Roman" w:hAnsi="Times New Roman"/>
        </w:rPr>
        <w:t>taken into account</w:t>
      </w:r>
      <w:proofErr w:type="gramEnd"/>
      <w:r w:rsidRPr="009F3630">
        <w:rPr>
          <w:rFonts w:ascii="Times New Roman" w:hAnsi="Times New Roman"/>
        </w:rPr>
        <w:t xml:space="preserve"> by the court.</w:t>
      </w:r>
    </w:p>
    <w:p w14:paraId="343F7C90" w14:textId="77777777" w:rsidR="00FF3369" w:rsidRPr="009F3630" w:rsidRDefault="00FF3369" w:rsidP="009F3630">
      <w:pPr>
        <w:pStyle w:val="leftright"/>
        <w:spacing w:before="0" w:after="260" w:line="280" w:lineRule="exact"/>
        <w:ind w:right="0"/>
        <w:jc w:val="both"/>
        <w:rPr>
          <w:rFonts w:ascii="Times New Roman" w:hAnsi="Times New Roman"/>
        </w:rPr>
      </w:pPr>
      <w:r w:rsidRPr="009F3630">
        <w:rPr>
          <w:rFonts w:ascii="Times New Roman" w:hAnsi="Times New Roman"/>
        </w:rPr>
        <w:tab/>
        <w:t>The second principle is that, while all relevant terms of the contract must be regarded, the most important, and in most cases the decisive, criterion for determining the relationship between the parties is the extent to which the person, whose status as employee or independent contractor is in issue, is under the direction and control of the other party to the contract with regard to the manner in which he does his work under it.</w:t>
      </w:r>
    </w:p>
    <w:p w14:paraId="029A7EF3" w14:textId="77777777" w:rsidR="00FF3369" w:rsidRDefault="00FF3369" w:rsidP="009F3630">
      <w:pPr>
        <w:pStyle w:val="leftright"/>
        <w:spacing w:before="0" w:after="260" w:line="280" w:lineRule="exact"/>
        <w:ind w:right="0"/>
        <w:jc w:val="both"/>
        <w:rPr>
          <w:rFonts w:ascii="Times New Roman" w:hAnsi="Times New Roman"/>
        </w:rPr>
      </w:pPr>
      <w:r w:rsidRPr="009F3630">
        <w:rPr>
          <w:rFonts w:ascii="Times New Roman" w:hAnsi="Times New Roman"/>
        </w:rPr>
        <w:tab/>
        <w:t xml:space="preserve">The third principle relates to cases where the parties have ... included in their written contract an express provision purporting to define the status of the party engaged under it, either as that of employee on the one hand, or as that of independent contractor on the other. ... 'The law ... is this: if the true relationship of the parties is that of master and servant under a contract of service, the parties cannot alter the truth of that relationship by putting a different label upon it … On the other hand, if their relationship is ambiguous ..., then the parties can remove that ambiguity, by the very </w:t>
      </w:r>
      <w:r w:rsidRPr="009F3630">
        <w:rPr>
          <w:rFonts w:ascii="Times New Roman" w:hAnsi="Times New Roman"/>
        </w:rPr>
        <w:lastRenderedPageBreak/>
        <w:t>agreement itself which they make with one another. The agreement itself then becomes the best material from which to gather the true legal relationship between them.'"</w:t>
      </w:r>
    </w:p>
    <w:p w14:paraId="7C04F38F"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The third of those principles, although stated by means of a quotation from an earlier English decision, was entirely in accordance with the common law as then understood in Australia. Legal characterisation of a relationship into which parties have entered under a written contract has never been thought to be controlled by the contractual language chosen to describe the relationship. The characterisation must turn on the substantial relations between the parties, which might be informed but cannot be altered by the presence in the contract of "elaborate provisions expressed in terms appropriate to some other relation"</w:t>
      </w:r>
      <w:r w:rsidRPr="009F3630">
        <w:rPr>
          <w:rStyle w:val="FootnoteReference"/>
          <w:rFonts w:ascii="Times New Roman" w:hAnsi="Times New Roman"/>
          <w:sz w:val="24"/>
        </w:rPr>
        <w:footnoteReference w:id="209"/>
      </w:r>
      <w:r w:rsidRPr="009F3630">
        <w:rPr>
          <w:rFonts w:ascii="Times New Roman" w:hAnsi="Times New Roman"/>
        </w:rPr>
        <w:t xml:space="preserve">. Michael Black QC pithily encapsulated that understanding in an employment context in the submission that "the parties cannot create something which has every feature of a </w:t>
      </w:r>
      <w:proofErr w:type="gramStart"/>
      <w:r w:rsidRPr="009F3630">
        <w:rPr>
          <w:rFonts w:ascii="Times New Roman" w:hAnsi="Times New Roman"/>
        </w:rPr>
        <w:t>rooster, but</w:t>
      </w:r>
      <w:proofErr w:type="gramEnd"/>
      <w:r w:rsidRPr="009F3630">
        <w:rPr>
          <w:rFonts w:ascii="Times New Roman" w:hAnsi="Times New Roman"/>
        </w:rPr>
        <w:t xml:space="preserve"> call it a duck and insist that everybody else recognise it as a duck"</w:t>
      </w:r>
      <w:r w:rsidRPr="009F3630">
        <w:rPr>
          <w:rStyle w:val="FootnoteReference"/>
          <w:rFonts w:ascii="Times New Roman" w:hAnsi="Times New Roman"/>
          <w:sz w:val="24"/>
        </w:rPr>
        <w:footnoteReference w:id="210"/>
      </w:r>
      <w:r w:rsidRPr="009F3630">
        <w:rPr>
          <w:rFonts w:ascii="Times New Roman" w:hAnsi="Times New Roman"/>
        </w:rPr>
        <w:t>.</w:t>
      </w:r>
    </w:p>
    <w:p w14:paraId="6500B97F"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The second principle stated by the Privy Council amounted to an adequate, albeit incomplete, exposition of the nature of a relationship of employment at common law. That topic need not be further addressed.</w:t>
      </w:r>
    </w:p>
    <w:p w14:paraId="67D93A57"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 xml:space="preserve">The first principle stated by the Privy Council, in so far as it contained the italicised words, in our opinion, was wrong as a matter of common law principle and was contrary to the authority of this Court in two earlier decisions. The first was </w:t>
      </w:r>
      <w:r w:rsidRPr="009F3630">
        <w:rPr>
          <w:rFonts w:ascii="Times New Roman" w:hAnsi="Times New Roman"/>
          <w:i/>
        </w:rPr>
        <w:t>Cam &amp; Sons Pty Ltd v Sargent</w:t>
      </w:r>
      <w:r w:rsidRPr="009F3630">
        <w:rPr>
          <w:rStyle w:val="FootnoteReference"/>
          <w:rFonts w:ascii="Times New Roman" w:hAnsi="Times New Roman"/>
          <w:sz w:val="24"/>
        </w:rPr>
        <w:footnoteReference w:id="211"/>
      </w:r>
      <w:r w:rsidRPr="009F3630">
        <w:rPr>
          <w:rFonts w:ascii="Times New Roman" w:hAnsi="Times New Roman"/>
        </w:rPr>
        <w:t>,</w:t>
      </w:r>
      <w:r w:rsidRPr="009F3630">
        <w:rPr>
          <w:rFonts w:ascii="Times New Roman" w:hAnsi="Times New Roman"/>
          <w:i/>
        </w:rPr>
        <w:t xml:space="preserve"> </w:t>
      </w:r>
      <w:r w:rsidRPr="009F3630">
        <w:rPr>
          <w:rFonts w:ascii="Times New Roman" w:hAnsi="Times New Roman"/>
        </w:rPr>
        <w:t xml:space="preserve">where the primary judge was said to have been "perfectly right" in finding the relationship subsisting between parties to a written contract to have been in fact that of employer and employees in circumstances we explain in </w:t>
      </w:r>
      <w:r w:rsidRPr="009F3630">
        <w:rPr>
          <w:rFonts w:ascii="Times New Roman" w:hAnsi="Times New Roman"/>
          <w:i/>
        </w:rPr>
        <w:t xml:space="preserve">ZG Operations Australia Pty Ltd v </w:t>
      </w:r>
      <w:proofErr w:type="spellStart"/>
      <w:r w:rsidRPr="009F3630">
        <w:rPr>
          <w:rFonts w:ascii="Times New Roman" w:hAnsi="Times New Roman"/>
          <w:i/>
        </w:rPr>
        <w:t>Jamsek</w:t>
      </w:r>
      <w:proofErr w:type="spellEnd"/>
      <w:r w:rsidRPr="009F3630">
        <w:rPr>
          <w:rStyle w:val="FootnoteReference"/>
          <w:rFonts w:ascii="Times New Roman" w:hAnsi="Times New Roman"/>
          <w:sz w:val="24"/>
        </w:rPr>
        <w:footnoteReference w:id="212"/>
      </w:r>
      <w:r w:rsidRPr="009F3630">
        <w:rPr>
          <w:rFonts w:ascii="Times New Roman" w:hAnsi="Times New Roman"/>
        </w:rPr>
        <w:t xml:space="preserve">. The second was </w:t>
      </w:r>
      <w:r w:rsidRPr="009F3630">
        <w:rPr>
          <w:rFonts w:ascii="Times New Roman" w:hAnsi="Times New Roman"/>
          <w:i/>
        </w:rPr>
        <w:t xml:space="preserve">R v Foster; Ex </w:t>
      </w:r>
      <w:proofErr w:type="spellStart"/>
      <w:r w:rsidRPr="009F3630">
        <w:rPr>
          <w:rFonts w:ascii="Times New Roman" w:hAnsi="Times New Roman"/>
          <w:i/>
        </w:rPr>
        <w:t>parte</w:t>
      </w:r>
      <w:proofErr w:type="spellEnd"/>
      <w:r w:rsidRPr="009F3630">
        <w:rPr>
          <w:rFonts w:ascii="Times New Roman" w:hAnsi="Times New Roman"/>
          <w:i/>
        </w:rPr>
        <w:t xml:space="preserve"> The Commonwealth Life (Amalgamated) Assurances Ltd</w:t>
      </w:r>
      <w:r w:rsidRPr="009F3630">
        <w:rPr>
          <w:rStyle w:val="FootnoteReference"/>
          <w:rFonts w:ascii="Times New Roman" w:hAnsi="Times New Roman"/>
          <w:sz w:val="24"/>
        </w:rPr>
        <w:footnoteReference w:id="213"/>
      </w:r>
      <w:r w:rsidRPr="009F3630">
        <w:rPr>
          <w:rFonts w:ascii="Times New Roman" w:hAnsi="Times New Roman"/>
        </w:rPr>
        <w:t>, to which we will momentarily turn.</w:t>
      </w:r>
    </w:p>
    <w:p w14:paraId="13A00974"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 xml:space="preserve">The error of common law principle in </w:t>
      </w:r>
      <w:proofErr w:type="spellStart"/>
      <w:r w:rsidRPr="009F3630">
        <w:rPr>
          <w:rFonts w:ascii="Times New Roman" w:hAnsi="Times New Roman"/>
          <w:i/>
        </w:rPr>
        <w:t>Narich</w:t>
      </w:r>
      <w:proofErr w:type="spellEnd"/>
      <w:r w:rsidRPr="009F3630">
        <w:rPr>
          <w:rFonts w:ascii="Times New Roman" w:hAnsi="Times New Roman"/>
          <w:i/>
        </w:rPr>
        <w:t xml:space="preserve"> </w:t>
      </w:r>
      <w:r w:rsidRPr="009F3630">
        <w:rPr>
          <w:rFonts w:ascii="Times New Roman" w:hAnsi="Times New Roman"/>
        </w:rPr>
        <w:t xml:space="preserve">lay in conflation of the distinction between the relationship of employment and the contract under which </w:t>
      </w:r>
      <w:r w:rsidRPr="009F3630">
        <w:rPr>
          <w:rFonts w:ascii="Times New Roman" w:hAnsi="Times New Roman"/>
        </w:rPr>
        <w:lastRenderedPageBreak/>
        <w:t>the relationship is established and maintained. Focusing exclusively on the terms of the contract loses sight of the purpose for which the characterisation is undertaken. That purpose is to characterise the relationship.</w:t>
      </w:r>
    </w:p>
    <w:p w14:paraId="7D97658D"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 xml:space="preserve">The importance of keeping, and the danger of losing, sight of the purpose for which the characterisation is undertaken being the characterisation of the relationship were highlighted by </w:t>
      </w:r>
      <w:proofErr w:type="spellStart"/>
      <w:r w:rsidRPr="009F3630">
        <w:rPr>
          <w:rFonts w:ascii="Times New Roman" w:hAnsi="Times New Roman"/>
        </w:rPr>
        <w:t>Allsop</w:t>
      </w:r>
      <w:proofErr w:type="spellEnd"/>
      <w:r w:rsidRPr="009F3630">
        <w:rPr>
          <w:rFonts w:ascii="Times New Roman" w:hAnsi="Times New Roman"/>
        </w:rPr>
        <w:t> CJ in the decision under appeal. His Honour said (the emphasis being his)</w:t>
      </w:r>
      <w:r w:rsidRPr="009F3630">
        <w:rPr>
          <w:rStyle w:val="FootnoteReference"/>
          <w:rFonts w:ascii="Times New Roman" w:hAnsi="Times New Roman"/>
          <w:sz w:val="24"/>
        </w:rPr>
        <w:footnoteReference w:id="214"/>
      </w:r>
      <w:r w:rsidRPr="009F3630">
        <w:rPr>
          <w:rFonts w:ascii="Times New Roman" w:hAnsi="Times New Roman"/>
        </w:rPr>
        <w:t>:</w:t>
      </w:r>
    </w:p>
    <w:p w14:paraId="341FDE31" w14:textId="77777777" w:rsidR="00FF3369" w:rsidRDefault="00FF3369" w:rsidP="009F3630">
      <w:pPr>
        <w:pStyle w:val="leftright"/>
        <w:spacing w:before="0" w:after="260" w:line="280" w:lineRule="exact"/>
        <w:ind w:right="0"/>
        <w:jc w:val="both"/>
        <w:rPr>
          <w:rFonts w:ascii="Times New Roman" w:hAnsi="Times New Roman"/>
        </w:rPr>
      </w:pPr>
      <w:r w:rsidRPr="009F3630">
        <w:rPr>
          <w:rFonts w:ascii="Times New Roman" w:hAnsi="Times New Roman"/>
        </w:rPr>
        <w:t xml:space="preserve">"The relationship is founded on, but not defined by, the contract's terms. Hence the importance of standing back and examining the detail </w:t>
      </w:r>
      <w:r w:rsidRPr="009F3630">
        <w:rPr>
          <w:rFonts w:ascii="Times New Roman" w:hAnsi="Times New Roman"/>
          <w:i/>
          <w:iCs/>
        </w:rPr>
        <w:t xml:space="preserve">as a whole </w:t>
      </w:r>
      <w:r w:rsidRPr="009F3630">
        <w:rPr>
          <w:rFonts w:ascii="Times New Roman" w:hAnsi="Times New Roman"/>
        </w:rPr>
        <w:t>… This perspective is essential to view the circumstances as a practical matter ... This perspective and proper approach to the characterisation of the whole is likely to be distorted, not advanced, by an overly weighted importance being given to emphatic language crafted by lawyers in the interests of the dominant contracting party. The distortion will likely see formal legalism of the chosen language of such party supplant a practical and intuitively sound assessment of the whole of a relationship by reference to the elements of the informing conceptions."</w:t>
      </w:r>
    </w:p>
    <w:p w14:paraId="459BBCF7"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 xml:space="preserve">There will be cases, of which </w:t>
      </w:r>
      <w:proofErr w:type="spellStart"/>
      <w:r w:rsidRPr="009F3630">
        <w:rPr>
          <w:rFonts w:ascii="Times New Roman" w:hAnsi="Times New Roman"/>
          <w:i/>
        </w:rPr>
        <w:t>Narich</w:t>
      </w:r>
      <w:proofErr w:type="spellEnd"/>
      <w:r w:rsidRPr="009F3630">
        <w:rPr>
          <w:rFonts w:ascii="Times New Roman" w:hAnsi="Times New Roman"/>
          <w:i/>
        </w:rPr>
        <w:t xml:space="preserve"> </w:t>
      </w:r>
      <w:r w:rsidRPr="009F3630">
        <w:rPr>
          <w:rFonts w:ascii="Times New Roman" w:hAnsi="Times New Roman"/>
        </w:rPr>
        <w:t xml:space="preserve">and </w:t>
      </w:r>
      <w:r w:rsidRPr="009F3630">
        <w:rPr>
          <w:rFonts w:ascii="Times New Roman" w:hAnsi="Times New Roman"/>
          <w:i/>
        </w:rPr>
        <w:t>Chaplin</w:t>
      </w:r>
      <w:r w:rsidRPr="009F3630">
        <w:rPr>
          <w:rFonts w:ascii="Times New Roman" w:hAnsi="Times New Roman"/>
        </w:rPr>
        <w:t xml:space="preserve"> may well have been examples, in which an examination of the manner of performance of a written contract will reveal nothing of significance about a relationship in fact established and maintained by the parties under the contract that cannot be gleaned from an examination of the contractual terms. But there will be cases where, without any variation to the terms of a written contract, the true character of a relationship in fact established and maintained under the contract will be revealed through the manner of the performance of the contract. That will be so where the terms of the written contract are sufficiently opaque or obscure to admit of different manners of performance. And it will be especially so where such a contract is a standard form written contract couched in language that might arguably have been chosen by the putative employer to dress up the relationship to be established and maintained as something somewhat different from what it might turn out to be.</w:t>
      </w:r>
    </w:p>
    <w:p w14:paraId="02AD2E4B"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 xml:space="preserve">That was precisely the scenario considered in </w:t>
      </w:r>
      <w:r w:rsidRPr="009F3630">
        <w:rPr>
          <w:rFonts w:ascii="Times New Roman" w:hAnsi="Times New Roman"/>
          <w:i/>
        </w:rPr>
        <w:t>Foster</w:t>
      </w:r>
      <w:r w:rsidRPr="009F3630">
        <w:rPr>
          <w:rFonts w:ascii="Times New Roman" w:hAnsi="Times New Roman"/>
        </w:rPr>
        <w:t xml:space="preserve">. There an insurance company applied in the original jurisdiction of this Court under s 75(v) of the </w:t>
      </w:r>
      <w:r w:rsidRPr="009F3630">
        <w:rPr>
          <w:rFonts w:ascii="Times New Roman" w:hAnsi="Times New Roman"/>
          <w:i/>
        </w:rPr>
        <w:t>Constitution</w:t>
      </w:r>
      <w:r w:rsidRPr="009F3630">
        <w:rPr>
          <w:rFonts w:ascii="Times New Roman" w:hAnsi="Times New Roman"/>
        </w:rPr>
        <w:t xml:space="preserve"> for a writ of prohibition directed to the Commonwealth Court of Conciliation and Arbitration to restrain further proceedings in relation to an industrial award. The award had been made in respect of insurance salesmen engaged by the company under standard form written contracts which described them as agents and not employees and which stipulated that they were not subject </w:t>
      </w:r>
      <w:r w:rsidRPr="009F3630">
        <w:rPr>
          <w:rFonts w:ascii="Times New Roman" w:hAnsi="Times New Roman"/>
        </w:rPr>
        <w:lastRenderedPageBreak/>
        <w:t xml:space="preserve">to the will of the company as to the </w:t>
      </w:r>
      <w:proofErr w:type="gramStart"/>
      <w:r w:rsidRPr="009F3630">
        <w:rPr>
          <w:rFonts w:ascii="Times New Roman" w:hAnsi="Times New Roman"/>
        </w:rPr>
        <w:t>manner in which</w:t>
      </w:r>
      <w:proofErr w:type="gramEnd"/>
      <w:r w:rsidRPr="009F3630">
        <w:rPr>
          <w:rFonts w:ascii="Times New Roman" w:hAnsi="Times New Roman"/>
        </w:rPr>
        <w:t xml:space="preserve"> they performed the duties specified in the agreement. The ground on which the company sought the writ was that the award had not arisen from an "industrial dispute" within the meaning of the </w:t>
      </w:r>
      <w:r w:rsidRPr="009F3630">
        <w:rPr>
          <w:rFonts w:ascii="Times New Roman" w:hAnsi="Times New Roman"/>
          <w:i/>
        </w:rPr>
        <w:t>Conciliation and Arbitration Act</w:t>
      </w:r>
      <w:r w:rsidRPr="009F3630">
        <w:rPr>
          <w:rFonts w:ascii="Times New Roman" w:hAnsi="Times New Roman"/>
        </w:rPr>
        <w:t xml:space="preserve"> because the company and its agents did not stand in the relationship of employer and employees. The writ of prohibition was refused </w:t>
      </w:r>
      <w:proofErr w:type="gramStart"/>
      <w:r w:rsidRPr="009F3630">
        <w:rPr>
          <w:rFonts w:ascii="Times New Roman" w:hAnsi="Times New Roman"/>
        </w:rPr>
        <w:t>for the reason that</w:t>
      </w:r>
      <w:proofErr w:type="gramEnd"/>
      <w:r w:rsidRPr="009F3630">
        <w:rPr>
          <w:rFonts w:ascii="Times New Roman" w:hAnsi="Times New Roman"/>
        </w:rPr>
        <w:t>, notwithstanding the terms of the written contracts, the absence of the relationship of employer and employees was not established on the evidence before the Court.</w:t>
      </w:r>
    </w:p>
    <w:p w14:paraId="48D5AF90"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 xml:space="preserve">Having summarised </w:t>
      </w:r>
      <w:proofErr w:type="gramStart"/>
      <w:r w:rsidRPr="009F3630">
        <w:rPr>
          <w:rFonts w:ascii="Times New Roman" w:hAnsi="Times New Roman"/>
        </w:rPr>
        <w:t>a number of</w:t>
      </w:r>
      <w:proofErr w:type="gramEnd"/>
      <w:r w:rsidRPr="009F3630">
        <w:rPr>
          <w:rFonts w:ascii="Times New Roman" w:hAnsi="Times New Roman"/>
        </w:rPr>
        <w:t xml:space="preserve"> the terms of the standard form written contracts, Dixon, </w:t>
      </w:r>
      <w:proofErr w:type="spellStart"/>
      <w:r w:rsidRPr="009F3630">
        <w:rPr>
          <w:rFonts w:ascii="Times New Roman" w:hAnsi="Times New Roman"/>
        </w:rPr>
        <w:t>Fullagar</w:t>
      </w:r>
      <w:proofErr w:type="spellEnd"/>
      <w:r w:rsidRPr="009F3630">
        <w:rPr>
          <w:rFonts w:ascii="Times New Roman" w:hAnsi="Times New Roman"/>
        </w:rPr>
        <w:t xml:space="preserve"> and </w:t>
      </w:r>
      <w:proofErr w:type="spellStart"/>
      <w:r w:rsidRPr="009F3630">
        <w:rPr>
          <w:rFonts w:ascii="Times New Roman" w:hAnsi="Times New Roman"/>
        </w:rPr>
        <w:t>Kitto</w:t>
      </w:r>
      <w:proofErr w:type="spellEnd"/>
      <w:r w:rsidRPr="009F3630">
        <w:rPr>
          <w:rFonts w:ascii="Times New Roman" w:hAnsi="Times New Roman"/>
        </w:rPr>
        <w:t xml:space="preserve"> JJ said</w:t>
      </w:r>
      <w:r w:rsidRPr="009F3630">
        <w:rPr>
          <w:rStyle w:val="FootnoteReference"/>
          <w:rFonts w:ascii="Times New Roman" w:hAnsi="Times New Roman"/>
          <w:sz w:val="24"/>
        </w:rPr>
        <w:footnoteReference w:id="215"/>
      </w:r>
      <w:r w:rsidRPr="009F3630">
        <w:rPr>
          <w:rFonts w:ascii="Times New Roman" w:hAnsi="Times New Roman"/>
        </w:rPr>
        <w:t>:</w:t>
      </w:r>
    </w:p>
    <w:p w14:paraId="48BD099F" w14:textId="77777777" w:rsidR="00FF3369" w:rsidRPr="009F3630" w:rsidRDefault="00FF3369" w:rsidP="009F3630">
      <w:pPr>
        <w:pStyle w:val="leftright"/>
        <w:spacing w:before="0" w:after="260" w:line="280" w:lineRule="exact"/>
        <w:ind w:right="0"/>
        <w:jc w:val="both"/>
        <w:rPr>
          <w:rFonts w:ascii="Times New Roman" w:hAnsi="Times New Roman"/>
        </w:rPr>
      </w:pPr>
      <w:r w:rsidRPr="009F3630">
        <w:rPr>
          <w:rFonts w:ascii="Times New Roman" w:hAnsi="Times New Roman"/>
        </w:rPr>
        <w:tab/>
        <w:t>"Provisions of this character are perhaps more likely to arouse misgivings as to what the practical situation of the agent may be in fact than to prevent a relation of master and servant being formed.</w:t>
      </w:r>
    </w:p>
    <w:p w14:paraId="1726EF3B" w14:textId="77777777" w:rsidR="00FF3369" w:rsidRDefault="00FF3369" w:rsidP="009F3630">
      <w:pPr>
        <w:pStyle w:val="leftright"/>
        <w:spacing w:before="0" w:after="260" w:line="280" w:lineRule="exact"/>
        <w:ind w:right="0"/>
        <w:jc w:val="both"/>
        <w:rPr>
          <w:rFonts w:ascii="Times New Roman" w:hAnsi="Times New Roman"/>
        </w:rPr>
      </w:pPr>
      <w:r w:rsidRPr="009F3630">
        <w:rPr>
          <w:rFonts w:ascii="Times New Roman" w:hAnsi="Times New Roman"/>
        </w:rPr>
        <w:tab/>
        <w:t>For, if in practice the company assumes the detailed direction and control of the agents in the daily performance of their work and the agents tacitly accept a position of subordination to authority and to orders and instructions as to the manner in which they carry out their duties, a clause designed to prevent the relation receiving the legal complexion which it truly wears would be ineffectual."</w:t>
      </w:r>
    </w:p>
    <w:p w14:paraId="4BB47570" w14:textId="77777777" w:rsidR="00FF3369" w:rsidRPr="009F3630" w:rsidRDefault="00FF3369" w:rsidP="009F3630">
      <w:pPr>
        <w:pStyle w:val="NormalBody"/>
        <w:spacing w:after="260" w:line="280" w:lineRule="exact"/>
        <w:ind w:right="0"/>
        <w:jc w:val="both"/>
        <w:rPr>
          <w:rFonts w:ascii="Times New Roman" w:hAnsi="Times New Roman"/>
        </w:rPr>
      </w:pPr>
      <w:r w:rsidRPr="009F3630">
        <w:rPr>
          <w:rFonts w:ascii="Times New Roman" w:hAnsi="Times New Roman"/>
        </w:rPr>
        <w:t>Their Honours concluded</w:t>
      </w:r>
      <w:r w:rsidRPr="009F3630">
        <w:rPr>
          <w:rStyle w:val="FootnoteReference"/>
          <w:rFonts w:ascii="Times New Roman" w:hAnsi="Times New Roman"/>
          <w:sz w:val="24"/>
        </w:rPr>
        <w:footnoteReference w:id="216"/>
      </w:r>
      <w:r w:rsidRPr="009F3630">
        <w:rPr>
          <w:rFonts w:ascii="Times New Roman" w:hAnsi="Times New Roman"/>
        </w:rPr>
        <w:t>:</w:t>
      </w:r>
    </w:p>
    <w:p w14:paraId="650A1CB5" w14:textId="77777777" w:rsidR="00FF3369" w:rsidRDefault="00FF3369" w:rsidP="009F3630">
      <w:pPr>
        <w:pStyle w:val="leftright"/>
        <w:spacing w:before="0" w:after="260" w:line="280" w:lineRule="exact"/>
        <w:ind w:right="0"/>
        <w:jc w:val="both"/>
        <w:rPr>
          <w:rFonts w:ascii="Times New Roman" w:hAnsi="Times New Roman"/>
        </w:rPr>
      </w:pPr>
      <w:r w:rsidRPr="009F3630">
        <w:rPr>
          <w:rFonts w:ascii="Times New Roman" w:hAnsi="Times New Roman"/>
        </w:rPr>
        <w:tab/>
        <w:t>"The materials ... before [the] Court ... fail to exclude ... the possibility that the real relation between some or all of the agents and the ... company in their actual work, week in week out, is in fact that of employer and employee, whatever the agreement may say."</w:t>
      </w:r>
    </w:p>
    <w:p w14:paraId="4FFC2F7C"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r>
      <w:r w:rsidRPr="009F3630">
        <w:rPr>
          <w:rFonts w:ascii="Times New Roman" w:hAnsi="Times New Roman"/>
          <w:i/>
        </w:rPr>
        <w:t xml:space="preserve">Foster </w:t>
      </w:r>
      <w:r w:rsidRPr="009F3630">
        <w:rPr>
          <w:rFonts w:ascii="Times New Roman" w:hAnsi="Times New Roman"/>
        </w:rPr>
        <w:t xml:space="preserve">was applied by the Full Court of the Supreme Court of New South Wales in </w:t>
      </w:r>
      <w:r w:rsidRPr="009F3630">
        <w:rPr>
          <w:rFonts w:ascii="Times New Roman" w:hAnsi="Times New Roman"/>
          <w:i/>
        </w:rPr>
        <w:t xml:space="preserve">Ex </w:t>
      </w:r>
      <w:proofErr w:type="spellStart"/>
      <w:r w:rsidRPr="009F3630">
        <w:rPr>
          <w:rFonts w:ascii="Times New Roman" w:hAnsi="Times New Roman"/>
          <w:i/>
        </w:rPr>
        <w:t>parte</w:t>
      </w:r>
      <w:proofErr w:type="spellEnd"/>
      <w:r w:rsidRPr="009F3630">
        <w:rPr>
          <w:rFonts w:ascii="Times New Roman" w:hAnsi="Times New Roman"/>
          <w:i/>
        </w:rPr>
        <w:t xml:space="preserve"> Robert John Pty Ltd; Re </w:t>
      </w:r>
      <w:proofErr w:type="spellStart"/>
      <w:r w:rsidRPr="009F3630">
        <w:rPr>
          <w:rFonts w:ascii="Times New Roman" w:hAnsi="Times New Roman"/>
          <w:i/>
        </w:rPr>
        <w:t>Fostars</w:t>
      </w:r>
      <w:proofErr w:type="spellEnd"/>
      <w:r w:rsidRPr="009F3630">
        <w:rPr>
          <w:rFonts w:ascii="Times New Roman" w:hAnsi="Times New Roman"/>
          <w:i/>
        </w:rPr>
        <w:t xml:space="preserve"> Shoes Pty Ltd</w:t>
      </w:r>
      <w:r w:rsidRPr="009F3630">
        <w:rPr>
          <w:rStyle w:val="FootnoteReference"/>
          <w:rFonts w:ascii="Times New Roman" w:hAnsi="Times New Roman"/>
          <w:sz w:val="24"/>
        </w:rPr>
        <w:footnoteReference w:id="217"/>
      </w:r>
      <w:r w:rsidRPr="009F3630">
        <w:rPr>
          <w:rFonts w:ascii="Times New Roman" w:hAnsi="Times New Roman"/>
        </w:rPr>
        <w:t xml:space="preserve"> to hold that a "deed of licence", in the performance of which a shopkeeper was in fact given exclusive possession of shop premises, gave rise to a relationship of landlord and tenant within the jurisdiction of the fair rents board under the </w:t>
      </w:r>
      <w:r w:rsidRPr="009F3630">
        <w:rPr>
          <w:rFonts w:ascii="Times New Roman" w:hAnsi="Times New Roman"/>
          <w:i/>
        </w:rPr>
        <w:t xml:space="preserve">Landlord and Tenant (Amendment) Act 1948 </w:t>
      </w:r>
      <w:r w:rsidRPr="009F3630">
        <w:rPr>
          <w:rFonts w:ascii="Times New Roman" w:hAnsi="Times New Roman"/>
        </w:rPr>
        <w:t xml:space="preserve">(NSW), as amended. The reasoning of </w:t>
      </w:r>
      <w:proofErr w:type="spellStart"/>
      <w:r w:rsidRPr="009F3630">
        <w:rPr>
          <w:rFonts w:ascii="Times New Roman" w:hAnsi="Times New Roman"/>
        </w:rPr>
        <w:t>Sugerman</w:t>
      </w:r>
      <w:proofErr w:type="spellEnd"/>
      <w:r w:rsidRPr="009F3630">
        <w:rPr>
          <w:rFonts w:ascii="Times New Roman" w:hAnsi="Times New Roman"/>
        </w:rPr>
        <w:t xml:space="preserve"> J, with </w:t>
      </w:r>
      <w:r w:rsidRPr="009F3630">
        <w:rPr>
          <w:rFonts w:ascii="Times New Roman" w:hAnsi="Times New Roman"/>
        </w:rPr>
        <w:lastRenderedPageBreak/>
        <w:t>whom the other members of the Full Court agreed, is instructive</w:t>
      </w:r>
      <w:r w:rsidRPr="009F3630">
        <w:rPr>
          <w:rStyle w:val="FootnoteReference"/>
          <w:rFonts w:ascii="Times New Roman" w:hAnsi="Times New Roman"/>
          <w:sz w:val="24"/>
        </w:rPr>
        <w:footnoteReference w:id="218"/>
      </w:r>
      <w:r w:rsidRPr="009F3630">
        <w:rPr>
          <w:rFonts w:ascii="Times New Roman" w:hAnsi="Times New Roman"/>
        </w:rPr>
        <w:t>. His Honour said</w:t>
      </w:r>
      <w:r w:rsidRPr="009F3630">
        <w:rPr>
          <w:rStyle w:val="FootnoteReference"/>
          <w:rFonts w:ascii="Times New Roman" w:hAnsi="Times New Roman"/>
          <w:sz w:val="24"/>
        </w:rPr>
        <w:footnoteReference w:id="219"/>
      </w:r>
      <w:r w:rsidRPr="009F3630">
        <w:rPr>
          <w:rFonts w:ascii="Times New Roman" w:hAnsi="Times New Roman"/>
        </w:rPr>
        <w:t>:</w:t>
      </w:r>
    </w:p>
    <w:p w14:paraId="18B678D3" w14:textId="77777777" w:rsidR="00FF3369" w:rsidRDefault="00FF3369" w:rsidP="009F3630">
      <w:pPr>
        <w:pStyle w:val="leftright"/>
        <w:spacing w:before="0" w:after="260" w:line="280" w:lineRule="exact"/>
        <w:ind w:right="0"/>
        <w:jc w:val="both"/>
        <w:rPr>
          <w:rFonts w:ascii="Times New Roman" w:hAnsi="Times New Roman"/>
        </w:rPr>
      </w:pPr>
      <w:r w:rsidRPr="009F3630">
        <w:rPr>
          <w:rFonts w:ascii="Times New Roman" w:hAnsi="Times New Roman"/>
        </w:rPr>
        <w:t>"It is not necessary to go so far as to find the document a sham. It is simply a matter of finding the true relationship of the parties."</w:t>
      </w:r>
    </w:p>
    <w:p w14:paraId="2B45E2C9" w14:textId="77777777" w:rsidR="00FF3369" w:rsidRPr="009F3630" w:rsidRDefault="00FF3369" w:rsidP="009F3630">
      <w:pPr>
        <w:pStyle w:val="NormalBody"/>
        <w:spacing w:after="260" w:line="280" w:lineRule="exact"/>
        <w:ind w:right="0"/>
        <w:jc w:val="both"/>
        <w:rPr>
          <w:rFonts w:ascii="Times New Roman" w:hAnsi="Times New Roman"/>
        </w:rPr>
      </w:pPr>
      <w:r w:rsidRPr="009F3630">
        <w:rPr>
          <w:rFonts w:ascii="Times New Roman" w:hAnsi="Times New Roman"/>
        </w:rPr>
        <w:t>His Honour went on</w:t>
      </w:r>
      <w:r w:rsidRPr="009F3630">
        <w:rPr>
          <w:rStyle w:val="FootnoteReference"/>
          <w:rFonts w:ascii="Times New Roman" w:hAnsi="Times New Roman"/>
          <w:sz w:val="24"/>
        </w:rPr>
        <w:footnoteReference w:id="220"/>
      </w:r>
      <w:r w:rsidRPr="009F3630">
        <w:rPr>
          <w:rFonts w:ascii="Times New Roman" w:hAnsi="Times New Roman"/>
        </w:rPr>
        <w:t xml:space="preserve">: </w:t>
      </w:r>
    </w:p>
    <w:p w14:paraId="331A1256" w14:textId="77777777" w:rsidR="00FF3369" w:rsidRDefault="00FF3369" w:rsidP="009F3630">
      <w:pPr>
        <w:pStyle w:val="leftright"/>
        <w:spacing w:before="0" w:after="260" w:line="280" w:lineRule="exact"/>
        <w:ind w:right="0"/>
        <w:jc w:val="both"/>
        <w:rPr>
          <w:rFonts w:ascii="Times New Roman" w:hAnsi="Times New Roman"/>
        </w:rPr>
      </w:pPr>
      <w:r w:rsidRPr="009F3630">
        <w:rPr>
          <w:rFonts w:ascii="Times New Roman" w:hAnsi="Times New Roman"/>
        </w:rPr>
        <w:tab/>
        <w:t>"In determining whether the fair rents board had jurisdiction to determine the fair rent of the subject premises it is necessary to have regard to the real character of the relationship of the parties if this be found, as their relations worked out in fact, to have differed from the relationship which might be taken as intended to be constituted by the deed of licence if considered alone."</w:t>
      </w:r>
    </w:p>
    <w:p w14:paraId="0A3E3481"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 xml:space="preserve">Since </w:t>
      </w:r>
      <w:proofErr w:type="spellStart"/>
      <w:r w:rsidRPr="009F3630">
        <w:rPr>
          <w:rFonts w:ascii="Times New Roman" w:hAnsi="Times New Roman"/>
          <w:i/>
        </w:rPr>
        <w:t>Narich</w:t>
      </w:r>
      <w:proofErr w:type="spellEnd"/>
      <w:r w:rsidRPr="009F3630">
        <w:rPr>
          <w:rFonts w:ascii="Times New Roman" w:hAnsi="Times New Roman"/>
        </w:rPr>
        <w:t xml:space="preserve">, the existence of a relationship of employment at common law has been squarely considered by this Court only in </w:t>
      </w:r>
      <w:r w:rsidRPr="009F3630">
        <w:rPr>
          <w:rFonts w:ascii="Times New Roman" w:hAnsi="Times New Roman"/>
          <w:i/>
        </w:rPr>
        <w:t xml:space="preserve">Stevens v </w:t>
      </w:r>
      <w:proofErr w:type="spellStart"/>
      <w:r w:rsidRPr="009F3630">
        <w:rPr>
          <w:rFonts w:ascii="Times New Roman" w:hAnsi="Times New Roman"/>
          <w:i/>
        </w:rPr>
        <w:t>Brodribb</w:t>
      </w:r>
      <w:proofErr w:type="spellEnd"/>
      <w:r w:rsidRPr="009F3630">
        <w:rPr>
          <w:rFonts w:ascii="Times New Roman" w:hAnsi="Times New Roman"/>
          <w:i/>
        </w:rPr>
        <w:t xml:space="preserve"> Sawmilling Co Pty Ltd</w:t>
      </w:r>
      <w:r w:rsidRPr="009F3630">
        <w:rPr>
          <w:rStyle w:val="FootnoteReference"/>
          <w:rFonts w:ascii="Times New Roman" w:hAnsi="Times New Roman"/>
          <w:sz w:val="24"/>
        </w:rPr>
        <w:footnoteReference w:id="221"/>
      </w:r>
      <w:r w:rsidRPr="009F3630">
        <w:rPr>
          <w:rFonts w:ascii="Times New Roman" w:hAnsi="Times New Roman"/>
        </w:rPr>
        <w:t xml:space="preserve"> and </w:t>
      </w:r>
      <w:r w:rsidRPr="009F3630">
        <w:rPr>
          <w:rFonts w:ascii="Times New Roman" w:hAnsi="Times New Roman"/>
          <w:i/>
        </w:rPr>
        <w:t xml:space="preserve">Hollis v </w:t>
      </w:r>
      <w:proofErr w:type="spellStart"/>
      <w:r w:rsidRPr="009F3630">
        <w:rPr>
          <w:rFonts w:ascii="Times New Roman" w:hAnsi="Times New Roman"/>
          <w:i/>
        </w:rPr>
        <w:t>Vabu</w:t>
      </w:r>
      <w:proofErr w:type="spellEnd"/>
      <w:r w:rsidRPr="009F3630">
        <w:rPr>
          <w:rFonts w:ascii="Times New Roman" w:hAnsi="Times New Roman"/>
          <w:i/>
        </w:rPr>
        <w:t xml:space="preserve"> Pty Ltd</w:t>
      </w:r>
      <w:r w:rsidRPr="009F3630">
        <w:rPr>
          <w:rStyle w:val="FootnoteReference"/>
          <w:rFonts w:ascii="Times New Roman" w:hAnsi="Times New Roman"/>
          <w:sz w:val="24"/>
        </w:rPr>
        <w:footnoteReference w:id="222"/>
      </w:r>
      <w:r w:rsidRPr="009F3630">
        <w:rPr>
          <w:rFonts w:ascii="Times New Roman" w:hAnsi="Times New Roman"/>
        </w:rPr>
        <w:t xml:space="preserve">. It may be conceded that neither of those cases concerned a relationship formed under a contract wholly in writing. But it is impossible to understand the detailed factual reasoning </w:t>
      </w:r>
      <w:proofErr w:type="gramStart"/>
      <w:r w:rsidRPr="009F3630">
        <w:rPr>
          <w:rFonts w:ascii="Times New Roman" w:hAnsi="Times New Roman"/>
        </w:rPr>
        <w:t>actually engaged</w:t>
      </w:r>
      <w:proofErr w:type="gramEnd"/>
      <w:r w:rsidRPr="009F3630">
        <w:rPr>
          <w:rFonts w:ascii="Times New Roman" w:hAnsi="Times New Roman"/>
        </w:rPr>
        <w:t xml:space="preserve"> in by this Court in either </w:t>
      </w:r>
      <w:r w:rsidRPr="009F3630">
        <w:rPr>
          <w:rFonts w:ascii="Times New Roman" w:hAnsi="Times New Roman"/>
          <w:i/>
        </w:rPr>
        <w:t xml:space="preserve">Stevens </w:t>
      </w:r>
      <w:r w:rsidRPr="009F3630">
        <w:rPr>
          <w:rFonts w:ascii="Times New Roman" w:hAnsi="Times New Roman"/>
        </w:rPr>
        <w:t xml:space="preserve">or </w:t>
      </w:r>
      <w:r w:rsidRPr="009F3630">
        <w:rPr>
          <w:rFonts w:ascii="Times New Roman" w:hAnsi="Times New Roman"/>
          <w:i/>
        </w:rPr>
        <w:t>Hollis</w:t>
      </w:r>
      <w:r w:rsidRPr="009F3630">
        <w:rPr>
          <w:rFonts w:ascii="Times New Roman" w:hAnsi="Times New Roman"/>
        </w:rPr>
        <w:t xml:space="preserve"> as confined to the identification and interpretation of contractual terms. With the possible exception of one Justice responding to the argument put in one case</w:t>
      </w:r>
      <w:r w:rsidRPr="009F3630">
        <w:rPr>
          <w:rStyle w:val="FootnoteReference"/>
          <w:rFonts w:ascii="Times New Roman" w:hAnsi="Times New Roman"/>
          <w:sz w:val="24"/>
        </w:rPr>
        <w:footnoteReference w:id="223"/>
      </w:r>
      <w:r w:rsidRPr="009F3630">
        <w:rPr>
          <w:rFonts w:ascii="Times New Roman" w:hAnsi="Times New Roman"/>
        </w:rPr>
        <w:t xml:space="preserve">, the same may be said of the reasoning in every case before </w:t>
      </w:r>
      <w:r w:rsidRPr="009F3630">
        <w:rPr>
          <w:rFonts w:ascii="Times New Roman" w:hAnsi="Times New Roman"/>
          <w:i/>
        </w:rPr>
        <w:t xml:space="preserve">Stevens </w:t>
      </w:r>
      <w:r w:rsidRPr="009F3630">
        <w:rPr>
          <w:rFonts w:ascii="Times New Roman" w:hAnsi="Times New Roman"/>
        </w:rPr>
        <w:t xml:space="preserve">and </w:t>
      </w:r>
      <w:r w:rsidRPr="009F3630">
        <w:rPr>
          <w:rFonts w:ascii="Times New Roman" w:hAnsi="Times New Roman"/>
          <w:i/>
        </w:rPr>
        <w:t>Hollis</w:t>
      </w:r>
      <w:r w:rsidRPr="009F3630">
        <w:rPr>
          <w:rFonts w:ascii="Times New Roman" w:hAnsi="Times New Roman"/>
        </w:rPr>
        <w:t xml:space="preserve"> in which the existence of a relationship of employment </w:t>
      </w:r>
      <w:r w:rsidRPr="009F3630">
        <w:rPr>
          <w:rFonts w:ascii="Times New Roman" w:hAnsi="Times New Roman"/>
        </w:rPr>
        <w:lastRenderedPageBreak/>
        <w:t>had been in issue in this Court: contractual terms had always been examined, but never to the exclusion of contractual performance</w:t>
      </w:r>
      <w:r w:rsidRPr="009F3630">
        <w:rPr>
          <w:rStyle w:val="FootnoteReference"/>
          <w:rFonts w:ascii="Times New Roman" w:hAnsi="Times New Roman"/>
          <w:sz w:val="24"/>
        </w:rPr>
        <w:footnoteReference w:id="224"/>
      </w:r>
      <w:r w:rsidRPr="009F3630">
        <w:rPr>
          <w:rFonts w:ascii="Times New Roman" w:hAnsi="Times New Roman"/>
        </w:rPr>
        <w:t>.</w:t>
      </w:r>
    </w:p>
    <w:p w14:paraId="0F70E260"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 xml:space="preserve">The explanation given by Gleeson CJ, </w:t>
      </w:r>
      <w:proofErr w:type="spellStart"/>
      <w:r w:rsidRPr="009F3630">
        <w:rPr>
          <w:rFonts w:ascii="Times New Roman" w:hAnsi="Times New Roman"/>
        </w:rPr>
        <w:t>Gaudron</w:t>
      </w:r>
      <w:proofErr w:type="spellEnd"/>
      <w:r w:rsidRPr="009F3630">
        <w:rPr>
          <w:rFonts w:ascii="Times New Roman" w:hAnsi="Times New Roman"/>
        </w:rPr>
        <w:t xml:space="preserve">, </w:t>
      </w:r>
      <w:proofErr w:type="spellStart"/>
      <w:r w:rsidRPr="009F3630">
        <w:rPr>
          <w:rFonts w:ascii="Times New Roman" w:hAnsi="Times New Roman"/>
        </w:rPr>
        <w:t>Gummow</w:t>
      </w:r>
      <w:proofErr w:type="spellEnd"/>
      <w:r w:rsidRPr="009F3630">
        <w:rPr>
          <w:rFonts w:ascii="Times New Roman" w:hAnsi="Times New Roman"/>
        </w:rPr>
        <w:t xml:space="preserve">, Kirby and Hayne JJ of the overarching purpose of the factual inquiry in which they engaged in </w:t>
      </w:r>
      <w:r w:rsidRPr="009F3630">
        <w:rPr>
          <w:rFonts w:ascii="Times New Roman" w:hAnsi="Times New Roman"/>
          <w:i/>
        </w:rPr>
        <w:t>Hollis</w:t>
      </w:r>
      <w:r w:rsidRPr="009F3630">
        <w:rPr>
          <w:rFonts w:ascii="Times New Roman" w:hAnsi="Times New Roman"/>
        </w:rPr>
        <w:t xml:space="preserve"> also contradicts any notion that the factual inquiry in which their Honours were engaged in that case was confined to the identification and interpretation of contractual terms. Having noted </w:t>
      </w:r>
      <w:proofErr w:type="gramStart"/>
      <w:r w:rsidRPr="009F3630">
        <w:rPr>
          <w:rFonts w:ascii="Times New Roman" w:hAnsi="Times New Roman"/>
        </w:rPr>
        <w:t>a number of</w:t>
      </w:r>
      <w:proofErr w:type="gramEnd"/>
      <w:r w:rsidRPr="009F3630">
        <w:rPr>
          <w:rFonts w:ascii="Times New Roman" w:hAnsi="Times New Roman"/>
        </w:rPr>
        <w:t xml:space="preserve"> oral and written contractual terms, their Honours said</w:t>
      </w:r>
      <w:r w:rsidRPr="009F3630">
        <w:rPr>
          <w:rStyle w:val="FootnoteReference"/>
          <w:rFonts w:ascii="Times New Roman" w:hAnsi="Times New Roman"/>
          <w:sz w:val="24"/>
        </w:rPr>
        <w:footnoteReference w:id="225"/>
      </w:r>
      <w:r w:rsidRPr="009F3630">
        <w:rPr>
          <w:rFonts w:ascii="Times New Roman" w:hAnsi="Times New Roman"/>
        </w:rPr>
        <w:t>:</w:t>
      </w:r>
    </w:p>
    <w:p w14:paraId="78A94879" w14:textId="77777777" w:rsidR="00FF3369" w:rsidRDefault="00FF3369" w:rsidP="009F3630">
      <w:pPr>
        <w:pStyle w:val="leftright"/>
        <w:spacing w:before="0" w:after="260" w:line="280" w:lineRule="exact"/>
        <w:ind w:right="0"/>
        <w:jc w:val="both"/>
        <w:rPr>
          <w:rFonts w:ascii="Times New Roman" w:hAnsi="Times New Roman"/>
        </w:rPr>
      </w:pPr>
      <w:r w:rsidRPr="009F3630">
        <w:rPr>
          <w:rFonts w:ascii="Times New Roman" w:hAnsi="Times New Roman"/>
        </w:rPr>
        <w:t xml:space="preserve">"It should be added that the relationship between the parties, for the purposes of this litigation, is to be found not merely from these contractual terms. The system which was operated </w:t>
      </w:r>
      <w:proofErr w:type="gramStart"/>
      <w:r w:rsidRPr="009F3630">
        <w:rPr>
          <w:rFonts w:ascii="Times New Roman" w:hAnsi="Times New Roman"/>
        </w:rPr>
        <w:t>thereunder</w:t>
      </w:r>
      <w:proofErr w:type="gramEnd"/>
      <w:r w:rsidRPr="009F3630">
        <w:rPr>
          <w:rFonts w:ascii="Times New Roman" w:hAnsi="Times New Roman"/>
        </w:rPr>
        <w:t xml:space="preserve"> and the work practices imposed by </w:t>
      </w:r>
      <w:proofErr w:type="spellStart"/>
      <w:r w:rsidRPr="009F3630">
        <w:rPr>
          <w:rFonts w:ascii="Times New Roman" w:hAnsi="Times New Roman"/>
        </w:rPr>
        <w:t>Vabu</w:t>
      </w:r>
      <w:proofErr w:type="spellEnd"/>
      <w:r w:rsidRPr="009F3630">
        <w:rPr>
          <w:rFonts w:ascii="Times New Roman" w:hAnsi="Times New Roman"/>
        </w:rPr>
        <w:t xml:space="preserve"> go to establishing 'the totality of the relationship' between the parties; it is this which is to be considered."</w:t>
      </w:r>
    </w:p>
    <w:p w14:paraId="114E54BA" w14:textId="77777777" w:rsidR="00FF3369" w:rsidRPr="009F3630" w:rsidRDefault="00FF3369" w:rsidP="009F3630">
      <w:pPr>
        <w:pStyle w:val="NormalBody"/>
        <w:spacing w:after="260" w:line="280" w:lineRule="exact"/>
        <w:ind w:right="0"/>
        <w:jc w:val="both"/>
        <w:rPr>
          <w:rFonts w:ascii="Times New Roman" w:hAnsi="Times New Roman"/>
        </w:rPr>
      </w:pPr>
      <w:r w:rsidRPr="009F3630">
        <w:rPr>
          <w:rFonts w:ascii="Times New Roman" w:hAnsi="Times New Roman"/>
        </w:rPr>
        <w:t>Later, their Honours said</w:t>
      </w:r>
      <w:r w:rsidRPr="009F3630">
        <w:rPr>
          <w:rStyle w:val="FootnoteReference"/>
          <w:rFonts w:ascii="Times New Roman" w:hAnsi="Times New Roman"/>
          <w:sz w:val="24"/>
        </w:rPr>
        <w:footnoteReference w:id="226"/>
      </w:r>
      <w:r w:rsidRPr="009F3630">
        <w:rPr>
          <w:rFonts w:ascii="Times New Roman" w:hAnsi="Times New Roman"/>
        </w:rPr>
        <w:t>:</w:t>
      </w:r>
    </w:p>
    <w:p w14:paraId="05152656" w14:textId="77777777" w:rsidR="00FF3369" w:rsidRDefault="00FF3369" w:rsidP="009F3630">
      <w:pPr>
        <w:pStyle w:val="leftright"/>
        <w:spacing w:before="0" w:after="260" w:line="280" w:lineRule="exact"/>
        <w:ind w:right="0"/>
        <w:jc w:val="both"/>
        <w:rPr>
          <w:rFonts w:ascii="Times New Roman" w:hAnsi="Times New Roman"/>
        </w:rPr>
      </w:pPr>
      <w:r w:rsidRPr="009F3630">
        <w:rPr>
          <w:rFonts w:ascii="Times New Roman" w:hAnsi="Times New Roman"/>
        </w:rPr>
        <w:t xml:space="preserve">"The concern here is with the bicycle couriers engaged on </w:t>
      </w:r>
      <w:proofErr w:type="spellStart"/>
      <w:r w:rsidRPr="009F3630">
        <w:rPr>
          <w:rFonts w:ascii="Times New Roman" w:hAnsi="Times New Roman"/>
        </w:rPr>
        <w:t>Vabu's</w:t>
      </w:r>
      <w:proofErr w:type="spellEnd"/>
      <w:r w:rsidRPr="009F3630">
        <w:rPr>
          <w:rFonts w:ascii="Times New Roman" w:hAnsi="Times New Roman"/>
        </w:rPr>
        <w:t xml:space="preserve"> business. A consideration of the nature of their engagement, as evidenced by the documents to which reference has been made and by the work practices imposed by </w:t>
      </w:r>
      <w:proofErr w:type="spellStart"/>
      <w:r w:rsidRPr="009F3630">
        <w:rPr>
          <w:rFonts w:ascii="Times New Roman" w:hAnsi="Times New Roman"/>
        </w:rPr>
        <w:t>Vabu</w:t>
      </w:r>
      <w:proofErr w:type="spellEnd"/>
      <w:r w:rsidRPr="009F3630">
        <w:rPr>
          <w:rFonts w:ascii="Times New Roman" w:hAnsi="Times New Roman"/>
        </w:rPr>
        <w:t>, indicates that they were employees."</w:t>
      </w:r>
    </w:p>
    <w:p w14:paraId="176C5EA7" w14:textId="77777777" w:rsidR="00FF3369" w:rsidRPr="009F3630" w:rsidRDefault="00FF3369" w:rsidP="009F3630">
      <w:pPr>
        <w:pStyle w:val="NormalBody"/>
        <w:spacing w:after="260" w:line="280" w:lineRule="exact"/>
        <w:ind w:right="0"/>
        <w:jc w:val="both"/>
        <w:rPr>
          <w:rFonts w:ascii="Times New Roman" w:hAnsi="Times New Roman"/>
        </w:rPr>
      </w:pPr>
      <w:r w:rsidRPr="009F3630">
        <w:rPr>
          <w:rFonts w:ascii="Times New Roman" w:hAnsi="Times New Roman"/>
        </w:rPr>
        <w:t xml:space="preserve">The work practices identified as bearing on that characterisation included that the couriers "were not providing skilled labour or labour which required special </w:t>
      </w:r>
      <w:r w:rsidRPr="009F3630">
        <w:rPr>
          <w:rFonts w:ascii="Times New Roman" w:hAnsi="Times New Roman"/>
        </w:rPr>
        <w:lastRenderedPageBreak/>
        <w:t>qualifications"</w:t>
      </w:r>
      <w:r w:rsidRPr="009F3630">
        <w:rPr>
          <w:rStyle w:val="FootnoteReference"/>
          <w:rFonts w:ascii="Times New Roman" w:hAnsi="Times New Roman"/>
          <w:sz w:val="24"/>
        </w:rPr>
        <w:footnoteReference w:id="227"/>
      </w:r>
      <w:r w:rsidRPr="009F3630">
        <w:rPr>
          <w:rFonts w:ascii="Times New Roman" w:hAnsi="Times New Roman"/>
        </w:rPr>
        <w:t>, that they "had little control over the manner of performing their work"</w:t>
      </w:r>
      <w:r w:rsidRPr="009F3630">
        <w:rPr>
          <w:rStyle w:val="FootnoteReference"/>
          <w:rFonts w:ascii="Times New Roman" w:hAnsi="Times New Roman"/>
          <w:sz w:val="24"/>
        </w:rPr>
        <w:footnoteReference w:id="228"/>
      </w:r>
      <w:r w:rsidRPr="009F3630">
        <w:rPr>
          <w:rFonts w:ascii="Times New Roman" w:hAnsi="Times New Roman"/>
        </w:rPr>
        <w:t xml:space="preserve">, that they "were presented to the public and to those using the courier service as emanations of </w:t>
      </w:r>
      <w:proofErr w:type="spellStart"/>
      <w:r w:rsidRPr="009F3630">
        <w:rPr>
          <w:rFonts w:ascii="Times New Roman" w:hAnsi="Times New Roman"/>
        </w:rPr>
        <w:t>Vabu</w:t>
      </w:r>
      <w:proofErr w:type="spellEnd"/>
      <w:r w:rsidRPr="009F3630">
        <w:rPr>
          <w:rFonts w:ascii="Times New Roman" w:hAnsi="Times New Roman"/>
        </w:rPr>
        <w:t>"</w:t>
      </w:r>
      <w:r w:rsidRPr="009F3630">
        <w:rPr>
          <w:rStyle w:val="FootnoteReference"/>
          <w:rFonts w:ascii="Times New Roman" w:hAnsi="Times New Roman"/>
          <w:sz w:val="24"/>
        </w:rPr>
        <w:footnoteReference w:id="229"/>
      </w:r>
      <w:r w:rsidRPr="009F3630">
        <w:rPr>
          <w:rFonts w:ascii="Times New Roman" w:hAnsi="Times New Roman"/>
        </w:rPr>
        <w:t>, that "</w:t>
      </w:r>
      <w:proofErr w:type="spellStart"/>
      <w:r w:rsidRPr="009F3630">
        <w:rPr>
          <w:rFonts w:ascii="Times New Roman" w:hAnsi="Times New Roman"/>
        </w:rPr>
        <w:t>Vabu</w:t>
      </w:r>
      <w:proofErr w:type="spellEnd"/>
      <w:r w:rsidRPr="009F3630">
        <w:rPr>
          <w:rFonts w:ascii="Times New Roman" w:hAnsi="Times New Roman"/>
        </w:rPr>
        <w:t xml:space="preserve"> superintended the couriers' finances"</w:t>
      </w:r>
      <w:r w:rsidRPr="009F3630">
        <w:rPr>
          <w:rStyle w:val="FootnoteReference"/>
          <w:rFonts w:ascii="Times New Roman" w:hAnsi="Times New Roman"/>
          <w:sz w:val="24"/>
        </w:rPr>
        <w:footnoteReference w:id="230"/>
      </w:r>
      <w:r w:rsidRPr="009F3630">
        <w:rPr>
          <w:rFonts w:ascii="Times New Roman" w:hAnsi="Times New Roman"/>
        </w:rPr>
        <w:t xml:space="preserve"> and that "there was considerable scope for the actual exercise of control" over the couriers in the running of </w:t>
      </w:r>
      <w:proofErr w:type="spellStart"/>
      <w:r w:rsidRPr="009F3630">
        <w:rPr>
          <w:rFonts w:ascii="Times New Roman" w:hAnsi="Times New Roman"/>
        </w:rPr>
        <w:t>Vabu's</w:t>
      </w:r>
      <w:proofErr w:type="spellEnd"/>
      <w:r w:rsidRPr="009F3630">
        <w:rPr>
          <w:rFonts w:ascii="Times New Roman" w:hAnsi="Times New Roman"/>
        </w:rPr>
        <w:t xml:space="preserve"> business</w:t>
      </w:r>
      <w:r w:rsidRPr="009F3630">
        <w:rPr>
          <w:rStyle w:val="FootnoteReference"/>
          <w:rFonts w:ascii="Times New Roman" w:hAnsi="Times New Roman"/>
          <w:sz w:val="24"/>
        </w:rPr>
        <w:footnoteReference w:id="231"/>
      </w:r>
      <w:r w:rsidRPr="009F3630">
        <w:rPr>
          <w:rFonts w:ascii="Times New Roman" w:hAnsi="Times New Roman"/>
        </w:rPr>
        <w:t>.</w:t>
      </w:r>
    </w:p>
    <w:p w14:paraId="3377E2FE"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 xml:space="preserve">Faced with contracts wholly in writing, some trial and intermediate appellate courts in Australia have done their best to limit their analysis to the identification and interpretation of contractual terms in conformity with the approach indicated in </w:t>
      </w:r>
      <w:proofErr w:type="spellStart"/>
      <w:r w:rsidRPr="009F3630">
        <w:rPr>
          <w:rFonts w:ascii="Times New Roman" w:hAnsi="Times New Roman"/>
          <w:i/>
        </w:rPr>
        <w:t>Narich</w:t>
      </w:r>
      <w:proofErr w:type="spellEnd"/>
      <w:r w:rsidRPr="009F3630">
        <w:rPr>
          <w:rFonts w:ascii="Times New Roman" w:hAnsi="Times New Roman"/>
        </w:rPr>
        <w:t>. In so doing, they have sometimes been driven to engage in the rather artificial exercise of treating conduct engaged in by the parties in the performance of the contract as a "course of dealing" from which then to infer a mutual intention to supplement the written contract with further contractual terms making more specific provision for the conduct found in fact to have occurred</w:t>
      </w:r>
      <w:r w:rsidRPr="009F3630">
        <w:rPr>
          <w:rStyle w:val="FootnoteReference"/>
          <w:rFonts w:ascii="Times New Roman" w:hAnsi="Times New Roman"/>
          <w:sz w:val="24"/>
        </w:rPr>
        <w:footnoteReference w:id="232"/>
      </w:r>
      <w:r w:rsidRPr="009F3630">
        <w:rPr>
          <w:rFonts w:ascii="Times New Roman" w:hAnsi="Times New Roman"/>
        </w:rPr>
        <w:t>.</w:t>
      </w:r>
    </w:p>
    <w:p w14:paraId="194BF834"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 xml:space="preserve">Mostly, however, trial and intermediate appellate courts have taken their cue from </w:t>
      </w:r>
      <w:r w:rsidRPr="009F3630">
        <w:rPr>
          <w:rFonts w:ascii="Times New Roman" w:hAnsi="Times New Roman"/>
          <w:i/>
        </w:rPr>
        <w:t>Stevens</w:t>
      </w:r>
      <w:r w:rsidRPr="009F3630">
        <w:rPr>
          <w:rFonts w:ascii="Times New Roman" w:hAnsi="Times New Roman"/>
        </w:rPr>
        <w:t xml:space="preserve"> and </w:t>
      </w:r>
      <w:r w:rsidRPr="009F3630">
        <w:rPr>
          <w:rFonts w:ascii="Times New Roman" w:hAnsi="Times New Roman"/>
          <w:i/>
        </w:rPr>
        <w:t>Hollis</w:t>
      </w:r>
      <w:r w:rsidRPr="009F3630">
        <w:rPr>
          <w:rFonts w:ascii="Times New Roman" w:hAnsi="Times New Roman"/>
        </w:rPr>
        <w:t xml:space="preserve"> in assuming that, despite what was said in </w:t>
      </w:r>
      <w:proofErr w:type="spellStart"/>
      <w:r w:rsidRPr="009F3630">
        <w:rPr>
          <w:rFonts w:ascii="Times New Roman" w:hAnsi="Times New Roman"/>
          <w:i/>
        </w:rPr>
        <w:t>Narich</w:t>
      </w:r>
      <w:proofErr w:type="spellEnd"/>
      <w:r w:rsidRPr="009F3630">
        <w:rPr>
          <w:rFonts w:ascii="Times New Roman" w:hAnsi="Times New Roman"/>
        </w:rPr>
        <w:t>, "the nature of the relationship may be legitimately examined by reference to the actual way in which work was carried out"</w:t>
      </w:r>
      <w:r w:rsidRPr="009F3630">
        <w:rPr>
          <w:rStyle w:val="FootnoteReference"/>
          <w:rFonts w:ascii="Times New Roman" w:hAnsi="Times New Roman"/>
          <w:sz w:val="24"/>
        </w:rPr>
        <w:footnoteReference w:id="233"/>
      </w:r>
      <w:r w:rsidRPr="009F3630">
        <w:rPr>
          <w:rFonts w:ascii="Times New Roman" w:hAnsi="Times New Roman"/>
        </w:rPr>
        <w:t>. The assumption was explicit in the reasoning of the Full Court of the Federal Court in the decision here under appeal</w:t>
      </w:r>
      <w:r w:rsidRPr="009F3630">
        <w:rPr>
          <w:rStyle w:val="FootnoteReference"/>
          <w:rFonts w:ascii="Times New Roman" w:hAnsi="Times New Roman"/>
          <w:sz w:val="24"/>
        </w:rPr>
        <w:footnoteReference w:id="234"/>
      </w:r>
      <w:r w:rsidRPr="009F3630">
        <w:rPr>
          <w:rFonts w:ascii="Times New Roman" w:hAnsi="Times New Roman"/>
        </w:rPr>
        <w:t xml:space="preserve">. It was also explicit in the reasoning of the Full Court of that Court in the decision under appeal in </w:t>
      </w:r>
      <w:r w:rsidRPr="009F3630">
        <w:rPr>
          <w:rFonts w:ascii="Times New Roman" w:hAnsi="Times New Roman"/>
          <w:i/>
        </w:rPr>
        <w:t xml:space="preserve">ZG Operations Australia Pty Ltd v </w:t>
      </w:r>
      <w:proofErr w:type="spellStart"/>
      <w:r w:rsidRPr="009F3630">
        <w:rPr>
          <w:rFonts w:ascii="Times New Roman" w:hAnsi="Times New Roman"/>
          <w:i/>
        </w:rPr>
        <w:t>Jamsek</w:t>
      </w:r>
      <w:proofErr w:type="spellEnd"/>
      <w:r w:rsidRPr="009F3630">
        <w:rPr>
          <w:rStyle w:val="FootnoteReference"/>
          <w:rFonts w:ascii="Times New Roman" w:hAnsi="Times New Roman"/>
          <w:sz w:val="24"/>
        </w:rPr>
        <w:footnoteReference w:id="235"/>
      </w:r>
      <w:r w:rsidRPr="009F3630">
        <w:rPr>
          <w:rFonts w:ascii="Times New Roman" w:hAnsi="Times New Roman"/>
        </w:rPr>
        <w:t xml:space="preserve">. </w:t>
      </w:r>
    </w:p>
    <w:p w14:paraId="127D92C6"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lastRenderedPageBreak/>
        <w:tab/>
        <w:t>No doubt inspired by aspects of the reasoning in</w:t>
      </w:r>
      <w:r w:rsidRPr="009F3630">
        <w:rPr>
          <w:rFonts w:ascii="Times New Roman" w:hAnsi="Times New Roman"/>
          <w:i/>
        </w:rPr>
        <w:t xml:space="preserve"> </w:t>
      </w:r>
      <w:proofErr w:type="spellStart"/>
      <w:r w:rsidRPr="009F3630">
        <w:rPr>
          <w:rFonts w:ascii="Times New Roman" w:hAnsi="Times New Roman"/>
          <w:i/>
        </w:rPr>
        <w:t>WorkPac</w:t>
      </w:r>
      <w:proofErr w:type="spellEnd"/>
      <w:r w:rsidRPr="009F3630">
        <w:rPr>
          <w:rFonts w:ascii="Times New Roman" w:hAnsi="Times New Roman"/>
        </w:rPr>
        <w:t xml:space="preserve">, the focus of the arguments on the hearing of the appeal in this Court was on a close examination of the terms of the ASA. That said, it is not insignificant that no party was able to avoid </w:t>
      </w:r>
      <w:proofErr w:type="gramStart"/>
      <w:r w:rsidRPr="009F3630">
        <w:rPr>
          <w:rFonts w:ascii="Times New Roman" w:hAnsi="Times New Roman"/>
        </w:rPr>
        <w:t>making reference</w:t>
      </w:r>
      <w:proofErr w:type="gramEnd"/>
      <w:r w:rsidRPr="009F3630">
        <w:rPr>
          <w:rFonts w:ascii="Times New Roman" w:hAnsi="Times New Roman"/>
        </w:rPr>
        <w:t xml:space="preserve"> to the manner of performance of the ASA and to its interaction with the manner of performance of the LHA. </w:t>
      </w:r>
    </w:p>
    <w:p w14:paraId="76746C06"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The reticence of the parties to engage with the manner of the performance of the ASA and its interaction with the manner of the performance of the LHA was, in our opinion, unwarranted. As has already been noted,</w:t>
      </w:r>
      <w:r w:rsidRPr="009F3630">
        <w:rPr>
          <w:rFonts w:ascii="Times New Roman" w:hAnsi="Times New Roman"/>
          <w:i/>
        </w:rPr>
        <w:t xml:space="preserve"> </w:t>
      </w:r>
      <w:proofErr w:type="spellStart"/>
      <w:r w:rsidRPr="009F3630">
        <w:rPr>
          <w:rFonts w:ascii="Times New Roman" w:hAnsi="Times New Roman"/>
          <w:i/>
        </w:rPr>
        <w:t>WorkPac</w:t>
      </w:r>
      <w:proofErr w:type="spellEnd"/>
      <w:r w:rsidRPr="009F3630">
        <w:rPr>
          <w:rFonts w:ascii="Times New Roman" w:hAnsi="Times New Roman"/>
        </w:rPr>
        <w:t xml:space="preserve"> held only that the distinction between a casual employee and another employee was to be found in the terms of the contract of employment. The plurality was not laying down any principle directed to the distinction between an employee and an independent contractor</w:t>
      </w:r>
      <w:r w:rsidRPr="009F3630">
        <w:rPr>
          <w:rStyle w:val="FootnoteReference"/>
          <w:rFonts w:ascii="Times New Roman" w:hAnsi="Times New Roman"/>
          <w:sz w:val="24"/>
        </w:rPr>
        <w:footnoteReference w:id="236"/>
      </w:r>
      <w:r w:rsidRPr="009F3630">
        <w:rPr>
          <w:rFonts w:ascii="Times New Roman" w:hAnsi="Times New Roman"/>
        </w:rPr>
        <w:t>.</w:t>
      </w:r>
    </w:p>
    <w:p w14:paraId="6B6127ED"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 xml:space="preserve">The assumption on which lower courts have mostly proceeded is, in our opinion, correct. The italicised words in the first of the three principles stated by the Privy Council in </w:t>
      </w:r>
      <w:proofErr w:type="spellStart"/>
      <w:r w:rsidRPr="009F3630">
        <w:rPr>
          <w:rFonts w:ascii="Times New Roman" w:hAnsi="Times New Roman"/>
          <w:i/>
        </w:rPr>
        <w:t>Narich</w:t>
      </w:r>
      <w:proofErr w:type="spellEnd"/>
      <w:r w:rsidRPr="009F3630">
        <w:rPr>
          <w:rFonts w:ascii="Times New Roman" w:hAnsi="Times New Roman"/>
          <w:i/>
        </w:rPr>
        <w:t xml:space="preserve"> </w:t>
      </w:r>
      <w:r w:rsidRPr="009F3630">
        <w:rPr>
          <w:rFonts w:ascii="Times New Roman" w:hAnsi="Times New Roman"/>
        </w:rPr>
        <w:t xml:space="preserve">did not accord with the prevailing understanding of the common law in Australia when </w:t>
      </w:r>
      <w:proofErr w:type="spellStart"/>
      <w:r w:rsidRPr="009F3630">
        <w:rPr>
          <w:rFonts w:ascii="Times New Roman" w:hAnsi="Times New Roman"/>
          <w:i/>
        </w:rPr>
        <w:t>Narich</w:t>
      </w:r>
      <w:proofErr w:type="spellEnd"/>
      <w:r w:rsidRPr="009F3630">
        <w:rPr>
          <w:rFonts w:ascii="Times New Roman" w:hAnsi="Times New Roman"/>
          <w:i/>
        </w:rPr>
        <w:t xml:space="preserve"> </w:t>
      </w:r>
      <w:r w:rsidRPr="009F3630">
        <w:rPr>
          <w:rFonts w:ascii="Times New Roman" w:hAnsi="Times New Roman"/>
        </w:rPr>
        <w:t xml:space="preserve">was decided. To the extent of the inclusion of those words, that first principle was wrong when </w:t>
      </w:r>
      <w:proofErr w:type="spellStart"/>
      <w:r w:rsidRPr="009F3630">
        <w:rPr>
          <w:rFonts w:ascii="Times New Roman" w:hAnsi="Times New Roman"/>
          <w:i/>
        </w:rPr>
        <w:t>Narich</w:t>
      </w:r>
      <w:proofErr w:type="spellEnd"/>
      <w:r w:rsidRPr="009F3630">
        <w:rPr>
          <w:rFonts w:ascii="Times New Roman" w:hAnsi="Times New Roman"/>
        </w:rPr>
        <w:t xml:space="preserve"> was decided. That principle has not grown to be either correct or workable with age: it should not be accepted to be part of the common law of Australia.</w:t>
      </w:r>
    </w:p>
    <w:p w14:paraId="094591C8"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The true principle, in accordance with what we understand to have been the consistent doctrine of this Court until now, is that a court is not limited to considering the terms of a contract and any subsequent variation in determining whether a relationship established and maintained under that contract is a relationship of employment. The court can also consider the manner of performance of the contract. That has been and should remain true for a relationship established and maintained under a contract that is wholly in writing, just as it has been and should remain true for a relationship established and maintained under a contract expressed or implied in some other form or in multiple forms.</w:t>
      </w:r>
    </w:p>
    <w:p w14:paraId="4CF661AC" w14:textId="77777777" w:rsidR="00FF3369" w:rsidRPr="009F3630" w:rsidRDefault="00FF3369" w:rsidP="009F3630">
      <w:pPr>
        <w:pStyle w:val="HeadingL1"/>
        <w:spacing w:after="260" w:line="280" w:lineRule="exact"/>
        <w:ind w:right="0"/>
        <w:jc w:val="both"/>
        <w:rPr>
          <w:rFonts w:ascii="Times New Roman" w:hAnsi="Times New Roman"/>
        </w:rPr>
      </w:pPr>
      <w:r w:rsidRPr="009F3630">
        <w:rPr>
          <w:rFonts w:ascii="Times New Roman" w:hAnsi="Times New Roman"/>
        </w:rPr>
        <w:t>The relationships of employment at common law in this case</w:t>
      </w:r>
    </w:p>
    <w:p w14:paraId="230DF048"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 xml:space="preserve">Having to this stage established that the inquiry at common law is into the legal character of the relationship that existed in fact between Mr McCourt and Construct during the two relevant periods and that the scope of the inquiry informing the legal characterisation of the relationship legitimately extends to the manner of the performance of the ASA, including its interaction with the manner </w:t>
      </w:r>
      <w:r w:rsidRPr="009F3630">
        <w:rPr>
          <w:rFonts w:ascii="Times New Roman" w:hAnsi="Times New Roman"/>
        </w:rPr>
        <w:lastRenderedPageBreak/>
        <w:t xml:space="preserve">of the performance of the LHA, it is now necessary to undertake that characterisation. </w:t>
      </w:r>
    </w:p>
    <w:p w14:paraId="68C7CA1A"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 xml:space="preserve">The first point to be made is that Mr McCourt and Construct did not establish a continual relationship under which Mr McCourt was to perform work merely by </w:t>
      </w:r>
      <w:proofErr w:type="gramStart"/>
      <w:r w:rsidRPr="009F3630">
        <w:rPr>
          <w:rFonts w:ascii="Times New Roman" w:hAnsi="Times New Roman"/>
        </w:rPr>
        <w:t>entering into</w:t>
      </w:r>
      <w:proofErr w:type="gramEnd"/>
      <w:r w:rsidRPr="009F3630">
        <w:rPr>
          <w:rFonts w:ascii="Times New Roman" w:hAnsi="Times New Roman"/>
        </w:rPr>
        <w:t xml:space="preserve"> the ASA. The ASA obliged Construct to use reasonable endeavours to keep itself informed of opportunities in the building industry for Mr McCourt to supply labour to builders identified by Construct</w:t>
      </w:r>
      <w:r w:rsidRPr="009F3630">
        <w:rPr>
          <w:rStyle w:val="FootnoteReference"/>
          <w:rFonts w:ascii="Times New Roman" w:hAnsi="Times New Roman"/>
          <w:sz w:val="24"/>
        </w:rPr>
        <w:footnoteReference w:id="237"/>
      </w:r>
      <w:r w:rsidRPr="009F3630">
        <w:rPr>
          <w:rFonts w:ascii="Times New Roman" w:hAnsi="Times New Roman"/>
        </w:rPr>
        <w:t>, obliged Construct to inform Mr McCourt of opportunities to supply his labour to builders</w:t>
      </w:r>
      <w:r w:rsidRPr="009F3630">
        <w:rPr>
          <w:rStyle w:val="FootnoteReference"/>
          <w:rFonts w:ascii="Times New Roman" w:hAnsi="Times New Roman"/>
          <w:sz w:val="24"/>
        </w:rPr>
        <w:footnoteReference w:id="238"/>
      </w:r>
      <w:r w:rsidRPr="009F3630">
        <w:rPr>
          <w:rFonts w:ascii="Times New Roman" w:hAnsi="Times New Roman"/>
        </w:rPr>
        <w:t>, and entitled Construct to negotiate a payment rate for the supply of Mr McCourt's labour to a builder</w:t>
      </w:r>
      <w:r w:rsidRPr="009F3630">
        <w:rPr>
          <w:rStyle w:val="FootnoteReference"/>
          <w:rFonts w:ascii="Times New Roman" w:hAnsi="Times New Roman"/>
          <w:sz w:val="24"/>
        </w:rPr>
        <w:footnoteReference w:id="239"/>
      </w:r>
      <w:r w:rsidRPr="009F3630">
        <w:rPr>
          <w:rFonts w:ascii="Times New Roman" w:hAnsi="Times New Roman"/>
        </w:rPr>
        <w:t>. The ASA equally entitled Mr McCourt to refuse to take up an opportunity to supply his labour to any builder</w:t>
      </w:r>
      <w:r w:rsidRPr="009F3630">
        <w:rPr>
          <w:rStyle w:val="FootnoteReference"/>
          <w:rFonts w:ascii="Times New Roman" w:hAnsi="Times New Roman"/>
          <w:sz w:val="24"/>
        </w:rPr>
        <w:footnoteReference w:id="240"/>
      </w:r>
      <w:r w:rsidRPr="009F3630">
        <w:rPr>
          <w:rFonts w:ascii="Times New Roman" w:hAnsi="Times New Roman"/>
        </w:rPr>
        <w:t>.</w:t>
      </w:r>
    </w:p>
    <w:p w14:paraId="53A14061"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No continual relationship under which Mr McCourt was to perform work was established under the terms of the ASA until Construct informed Mr McCourt of an opportunity to supply his labour to a builder and Mr McCourt chose to take up that opportunity. The continual relationship under which Mr McCourt was to perform work was then one which the ASA contemplated would be maintained for so long as Mr McCourt's labour was required by the builder</w:t>
      </w:r>
      <w:r w:rsidRPr="009F3630">
        <w:rPr>
          <w:rStyle w:val="FootnoteReference"/>
          <w:rFonts w:ascii="Times New Roman" w:hAnsi="Times New Roman"/>
          <w:sz w:val="24"/>
        </w:rPr>
        <w:footnoteReference w:id="241"/>
      </w:r>
      <w:r w:rsidRPr="009F3630">
        <w:rPr>
          <w:rFonts w:ascii="Times New Roman" w:hAnsi="Times New Roman"/>
        </w:rPr>
        <w:t xml:space="preserve"> subject to an ability of Mr McCourt to terminate the relationship at any time on four hours' notice to Construct</w:t>
      </w:r>
      <w:r w:rsidRPr="009F3630">
        <w:rPr>
          <w:rStyle w:val="FootnoteReference"/>
          <w:rFonts w:ascii="Times New Roman" w:hAnsi="Times New Roman"/>
          <w:sz w:val="24"/>
        </w:rPr>
        <w:footnoteReference w:id="242"/>
      </w:r>
      <w:r w:rsidRPr="009F3630">
        <w:rPr>
          <w:rFonts w:ascii="Times New Roman" w:hAnsi="Times New Roman"/>
        </w:rPr>
        <w:t>.</w:t>
      </w:r>
    </w:p>
    <w:p w14:paraId="6C2FA985"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 xml:space="preserve">Only on the two occasions when Mr McCourt in fact took up an opportunity to supply his labour to Hanssen was a continual relationship of that nature in fact established. Following the exchange that occurred between Mr McCourt and Construct on 26 July 2016, the first relationship of that nature was established and maintained during the period from 27 July 2016 to 6 November 2016. Mr McCourt then went travelling around Australia. Following his return to Perth, the second relationship of that nature was established and maintained during the period from </w:t>
      </w:r>
      <w:r w:rsidRPr="009F3630">
        <w:rPr>
          <w:rFonts w:ascii="Times New Roman" w:hAnsi="Times New Roman"/>
        </w:rPr>
        <w:lastRenderedPageBreak/>
        <w:t xml:space="preserve">14 March 2017 to 30 June 2017, after which Hanssen appears no longer to have required Mr McCourt's labour. </w:t>
      </w:r>
    </w:p>
    <w:p w14:paraId="7B873CD0"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During each of those two periods in which a continual relationship under which Mr McCourt was to perform work existed, Mr McCourt was obliged under the ASA to attend Hanssen's building site and there to supply his labour to Hanssen in a "safe, competent and diligent manner"</w:t>
      </w:r>
      <w:r w:rsidRPr="009F3630">
        <w:rPr>
          <w:rStyle w:val="FootnoteReference"/>
          <w:rFonts w:ascii="Times New Roman" w:hAnsi="Times New Roman"/>
          <w:sz w:val="24"/>
        </w:rPr>
        <w:footnoteReference w:id="243"/>
      </w:r>
      <w:r w:rsidRPr="009F3630">
        <w:rPr>
          <w:rFonts w:ascii="Times New Roman" w:hAnsi="Times New Roman"/>
        </w:rPr>
        <w:t>. He was obliged to ensure that accurate records were maintained of his hours of labour</w:t>
      </w:r>
      <w:r w:rsidRPr="009F3630">
        <w:rPr>
          <w:rStyle w:val="FootnoteReference"/>
          <w:rFonts w:ascii="Times New Roman" w:hAnsi="Times New Roman"/>
          <w:sz w:val="24"/>
        </w:rPr>
        <w:footnoteReference w:id="244"/>
      </w:r>
      <w:r w:rsidRPr="009F3630">
        <w:rPr>
          <w:rFonts w:ascii="Times New Roman" w:hAnsi="Times New Roman"/>
        </w:rPr>
        <w:t>. Construct was in turn obliged, on presentation of an invoice by Mr McCourt, to "underwrite" payment to Mr McCourt of the rate Construct had negotiated with Hanssen</w:t>
      </w:r>
      <w:r w:rsidRPr="009F3630">
        <w:rPr>
          <w:rStyle w:val="FootnoteReference"/>
          <w:rFonts w:ascii="Times New Roman" w:hAnsi="Times New Roman"/>
          <w:sz w:val="24"/>
        </w:rPr>
        <w:footnoteReference w:id="245"/>
      </w:r>
      <w:r w:rsidRPr="009F3630">
        <w:rPr>
          <w:rFonts w:ascii="Times New Roman" w:hAnsi="Times New Roman"/>
        </w:rPr>
        <w:t xml:space="preserve">. </w:t>
      </w:r>
    </w:p>
    <w:p w14:paraId="0E34EE2D"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 xml:space="preserve">Of course, Mr McCourt never in fact kept any record and Construct never in fact insisted on him presenting any invoice before paying him. Whether acquiescence of the parties in that practice might be analysed in terms of contractual variation or waiver or estoppel by convention is of no present significance. </w:t>
      </w:r>
    </w:p>
    <w:p w14:paraId="1FA1FC82"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What is of significance is that, in the performance of each relationship between Mr McCourt and Construct that was in fact established and maintained under the ASA, Mr McCourt turned up at Hanssen's building site each morning, where he clocked on. During the day, he did whatever he was told to do in the way he was told to do it by Hanssen's site managers and leading hands. He then clocked off at the end of the day. Each week, he received from Construct, by direct debit into his bank account, an amount which represented the hourly rate of pay Construct had negotiated for his labour with Hanssen. The hours he had worked and the amount he was paid were recorded on a "payment advice" which Construct then gave to him.</w:t>
      </w:r>
    </w:p>
    <w:p w14:paraId="2460B7A2"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 xml:space="preserve">That pattern of work and </w:t>
      </w:r>
      <w:r>
        <w:rPr>
          <w:rFonts w:ascii="Times New Roman" w:hAnsi="Times New Roman"/>
        </w:rPr>
        <w:t xml:space="preserve">that </w:t>
      </w:r>
      <w:r w:rsidRPr="009F3630">
        <w:rPr>
          <w:rFonts w:ascii="Times New Roman" w:hAnsi="Times New Roman"/>
        </w:rPr>
        <w:t>method of payment were explained by the terms and manner of the performance of the LHA. Under the terms of the LHA, Hanssen was able to place an order with Construct for labour. Construct was then to arrange for workers to present themselves at Hanssen's building site. The workers were there to be "under [Hanssen's] direction and supervision from the time they report[ed] to [Hanssen] and for the duration of each day on the assignment"</w:t>
      </w:r>
      <w:r w:rsidRPr="009F3630">
        <w:rPr>
          <w:rStyle w:val="FootnoteReference"/>
          <w:rFonts w:ascii="Times New Roman" w:hAnsi="Times New Roman"/>
          <w:sz w:val="24"/>
        </w:rPr>
        <w:footnoteReference w:id="246"/>
      </w:r>
      <w:r w:rsidRPr="009F3630">
        <w:rPr>
          <w:rFonts w:ascii="Times New Roman" w:hAnsi="Times New Roman"/>
        </w:rPr>
        <w:t xml:space="preserve">. Hanssen was to pay Construct, and Construct was to pay the </w:t>
      </w:r>
      <w:r w:rsidRPr="009F3630">
        <w:rPr>
          <w:rFonts w:ascii="Times New Roman" w:hAnsi="Times New Roman"/>
        </w:rPr>
        <w:lastRenderedPageBreak/>
        <w:t>workers, for their hours worked</w:t>
      </w:r>
      <w:r w:rsidRPr="009F3630">
        <w:rPr>
          <w:rStyle w:val="FootnoteReference"/>
          <w:rFonts w:ascii="Times New Roman" w:hAnsi="Times New Roman"/>
          <w:sz w:val="24"/>
        </w:rPr>
        <w:footnoteReference w:id="247"/>
      </w:r>
      <w:r w:rsidRPr="009F3630">
        <w:rPr>
          <w:rFonts w:ascii="Times New Roman" w:hAnsi="Times New Roman"/>
        </w:rPr>
        <w:t>. That was essentially what occurred in practice in respect of the provision by Construct to Hanssen of the labour of Mr McCourt.</w:t>
      </w:r>
    </w:p>
    <w:p w14:paraId="2D71825E"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 xml:space="preserve">Although there are salient distinctions which will be noted in due course, the back-to-back operation of the contract between Mr McCourt and Construct (the ASA) and the contract between Construct and Hanssen (the LHA) was in important respects not dissimilar to the triangular labour hire arrangement considered by this Court in </w:t>
      </w:r>
      <w:r w:rsidRPr="009F3630">
        <w:rPr>
          <w:rFonts w:ascii="Times New Roman" w:hAnsi="Times New Roman"/>
          <w:i/>
        </w:rPr>
        <w:t xml:space="preserve">Accident Compensation Commission v </w:t>
      </w:r>
      <w:proofErr w:type="spellStart"/>
      <w:r w:rsidRPr="009F3630">
        <w:rPr>
          <w:rFonts w:ascii="Times New Roman" w:hAnsi="Times New Roman"/>
          <w:i/>
        </w:rPr>
        <w:t>Odco</w:t>
      </w:r>
      <w:proofErr w:type="spellEnd"/>
      <w:r w:rsidRPr="009F3630">
        <w:rPr>
          <w:rFonts w:ascii="Times New Roman" w:hAnsi="Times New Roman"/>
          <w:i/>
        </w:rPr>
        <w:t xml:space="preserve"> Pty Ltd</w:t>
      </w:r>
      <w:r w:rsidRPr="009F3630">
        <w:rPr>
          <w:rFonts w:ascii="Times New Roman" w:hAnsi="Times New Roman"/>
        </w:rPr>
        <w:t xml:space="preserve"> ("</w:t>
      </w:r>
      <w:proofErr w:type="spellStart"/>
      <w:r w:rsidRPr="009F3630">
        <w:rPr>
          <w:rFonts w:ascii="Times New Roman" w:hAnsi="Times New Roman"/>
          <w:i/>
        </w:rPr>
        <w:t>Odco</w:t>
      </w:r>
      <w:proofErr w:type="spellEnd"/>
      <w:r w:rsidRPr="009F3630">
        <w:rPr>
          <w:rFonts w:ascii="Times New Roman" w:hAnsi="Times New Roman"/>
          <w:i/>
        </w:rPr>
        <w:t xml:space="preserve"> [No 1]</w:t>
      </w:r>
      <w:r w:rsidRPr="009F3630">
        <w:rPr>
          <w:rFonts w:ascii="Times New Roman" w:hAnsi="Times New Roman"/>
        </w:rPr>
        <w:t>")</w:t>
      </w:r>
      <w:r w:rsidRPr="009F3630">
        <w:rPr>
          <w:rStyle w:val="FootnoteReference"/>
          <w:rFonts w:ascii="Times New Roman" w:hAnsi="Times New Roman"/>
          <w:sz w:val="24"/>
        </w:rPr>
        <w:footnoteReference w:id="248"/>
      </w:r>
      <w:r w:rsidRPr="009F3630">
        <w:rPr>
          <w:rFonts w:ascii="Times New Roman" w:hAnsi="Times New Roman"/>
        </w:rPr>
        <w:t>. Adapting language used by this Court to describe the arrangement in that case to the circumstances of this case, it can be seen that Mr McCourt worked under the ASA for the benefit of Construct, in the sense that his work was done for the purposes of Construct's business and enabled Construct to obtain payment from Hanssen under the LHA, which in turn enabled Construct to pay Mr McCourt under the ASA</w:t>
      </w:r>
      <w:r w:rsidRPr="009F3630">
        <w:rPr>
          <w:rStyle w:val="FootnoteReference"/>
          <w:rFonts w:ascii="Times New Roman" w:hAnsi="Times New Roman"/>
          <w:sz w:val="24"/>
        </w:rPr>
        <w:footnoteReference w:id="249"/>
      </w:r>
      <w:r w:rsidRPr="009F3630">
        <w:rPr>
          <w:rFonts w:ascii="Times New Roman" w:hAnsi="Times New Roman"/>
        </w:rPr>
        <w:t>. By supplying his labour to Hanssen for the purposes of Hanssen's business, Mr McCourt was at the same time supplying his labour to Construct for the purposes of Construct's business</w:t>
      </w:r>
      <w:r w:rsidRPr="009F3630">
        <w:rPr>
          <w:rStyle w:val="FootnoteReference"/>
          <w:rFonts w:ascii="Times New Roman" w:hAnsi="Times New Roman"/>
          <w:sz w:val="24"/>
        </w:rPr>
        <w:footnoteReference w:id="250"/>
      </w:r>
      <w:r w:rsidRPr="009F3630">
        <w:rPr>
          <w:rFonts w:ascii="Times New Roman" w:hAnsi="Times New Roman"/>
        </w:rPr>
        <w:t>.</w:t>
      </w:r>
    </w:p>
    <w:p w14:paraId="76A312AF"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 xml:space="preserve">The issue in </w:t>
      </w:r>
      <w:proofErr w:type="spellStart"/>
      <w:r w:rsidRPr="009F3630">
        <w:rPr>
          <w:rFonts w:ascii="Times New Roman" w:hAnsi="Times New Roman"/>
          <w:i/>
        </w:rPr>
        <w:t>Odco</w:t>
      </w:r>
      <w:proofErr w:type="spellEnd"/>
      <w:r w:rsidRPr="009F3630">
        <w:rPr>
          <w:rFonts w:ascii="Times New Roman" w:hAnsi="Times New Roman"/>
          <w:i/>
        </w:rPr>
        <w:t xml:space="preserve"> [No 1]</w:t>
      </w:r>
      <w:r w:rsidRPr="009F3630">
        <w:rPr>
          <w:rFonts w:ascii="Times New Roman" w:hAnsi="Times New Roman"/>
        </w:rPr>
        <w:t xml:space="preserve"> was whether a labour hire company was liable to pay a levy under an extended statutory definition of "employer" in the </w:t>
      </w:r>
      <w:r w:rsidRPr="009F3630">
        <w:rPr>
          <w:rFonts w:ascii="Times New Roman" w:hAnsi="Times New Roman"/>
          <w:i/>
        </w:rPr>
        <w:t>Accident Compensation Act 1985</w:t>
      </w:r>
      <w:r w:rsidRPr="009F3630">
        <w:rPr>
          <w:rFonts w:ascii="Times New Roman" w:hAnsi="Times New Roman"/>
        </w:rPr>
        <w:t xml:space="preserve"> (Vic). No issue was raised in the appeal to this Court in </w:t>
      </w:r>
      <w:proofErr w:type="spellStart"/>
      <w:r w:rsidRPr="009F3630">
        <w:rPr>
          <w:rFonts w:ascii="Times New Roman" w:hAnsi="Times New Roman"/>
          <w:i/>
        </w:rPr>
        <w:t>Odco</w:t>
      </w:r>
      <w:proofErr w:type="spellEnd"/>
      <w:r w:rsidRPr="009F3630">
        <w:rPr>
          <w:rFonts w:ascii="Times New Roman" w:hAnsi="Times New Roman"/>
          <w:i/>
        </w:rPr>
        <w:t> [No 1]</w:t>
      </w:r>
      <w:r w:rsidRPr="009F3630">
        <w:rPr>
          <w:rFonts w:ascii="Times New Roman" w:hAnsi="Times New Roman"/>
        </w:rPr>
        <w:t xml:space="preserve"> about whether the labour hire arrangement considered in that case gave rise to any relationship of employment at common law. The assumption on which the appeal was conducted was that it did not</w:t>
      </w:r>
      <w:r w:rsidRPr="009F3630">
        <w:rPr>
          <w:rStyle w:val="FootnoteReference"/>
          <w:rFonts w:ascii="Times New Roman" w:hAnsi="Times New Roman"/>
          <w:sz w:val="24"/>
        </w:rPr>
        <w:footnoteReference w:id="251"/>
      </w:r>
      <w:r w:rsidRPr="009F3630">
        <w:rPr>
          <w:rFonts w:ascii="Times New Roman" w:hAnsi="Times New Roman"/>
        </w:rPr>
        <w:t xml:space="preserve">. Issues about whether the labour hire arrangement considered in </w:t>
      </w:r>
      <w:proofErr w:type="spellStart"/>
      <w:r w:rsidRPr="009F3630">
        <w:rPr>
          <w:rFonts w:ascii="Times New Roman" w:hAnsi="Times New Roman"/>
          <w:i/>
        </w:rPr>
        <w:t>Odco</w:t>
      </w:r>
      <w:proofErr w:type="spellEnd"/>
      <w:r w:rsidRPr="009F3630">
        <w:rPr>
          <w:rFonts w:ascii="Times New Roman" w:hAnsi="Times New Roman"/>
          <w:i/>
        </w:rPr>
        <w:t xml:space="preserve"> [No 1]</w:t>
      </w:r>
      <w:r w:rsidRPr="009F3630">
        <w:rPr>
          <w:rFonts w:ascii="Times New Roman" w:hAnsi="Times New Roman"/>
        </w:rPr>
        <w:t xml:space="preserve"> gave rise to a relationship of employment at common law were addressed in separate proceedings before the Federal Court, both at first instance</w:t>
      </w:r>
      <w:r w:rsidRPr="009F3630">
        <w:rPr>
          <w:rStyle w:val="FootnoteReference"/>
          <w:rFonts w:ascii="Times New Roman" w:hAnsi="Times New Roman"/>
          <w:sz w:val="24"/>
        </w:rPr>
        <w:footnoteReference w:id="252"/>
      </w:r>
      <w:r w:rsidRPr="009F3630">
        <w:rPr>
          <w:rFonts w:ascii="Times New Roman" w:hAnsi="Times New Roman"/>
        </w:rPr>
        <w:t xml:space="preserve"> and on appeal in </w:t>
      </w:r>
      <w:r w:rsidRPr="009F3630">
        <w:rPr>
          <w:rFonts w:ascii="Times New Roman" w:hAnsi="Times New Roman"/>
          <w:i/>
        </w:rPr>
        <w:t xml:space="preserve">Building Workers' Industrial Union of Australia v </w:t>
      </w:r>
      <w:proofErr w:type="spellStart"/>
      <w:r w:rsidRPr="009F3630">
        <w:rPr>
          <w:rFonts w:ascii="Times New Roman" w:hAnsi="Times New Roman"/>
          <w:i/>
        </w:rPr>
        <w:t>Odco</w:t>
      </w:r>
      <w:proofErr w:type="spellEnd"/>
      <w:r w:rsidRPr="009F3630">
        <w:rPr>
          <w:rFonts w:ascii="Times New Roman" w:hAnsi="Times New Roman"/>
          <w:i/>
        </w:rPr>
        <w:t xml:space="preserve"> Pty Ltd </w:t>
      </w:r>
      <w:r w:rsidRPr="009F3630">
        <w:rPr>
          <w:rFonts w:ascii="Times New Roman" w:hAnsi="Times New Roman"/>
        </w:rPr>
        <w:t>("</w:t>
      </w:r>
      <w:proofErr w:type="spellStart"/>
      <w:r w:rsidRPr="009F3630">
        <w:rPr>
          <w:rFonts w:ascii="Times New Roman" w:hAnsi="Times New Roman"/>
          <w:i/>
        </w:rPr>
        <w:t>Odco</w:t>
      </w:r>
      <w:proofErr w:type="spellEnd"/>
      <w:r w:rsidRPr="009F3630">
        <w:rPr>
          <w:rFonts w:ascii="Times New Roman" w:hAnsi="Times New Roman"/>
          <w:i/>
        </w:rPr>
        <w:t xml:space="preserve"> [No 2]</w:t>
      </w:r>
      <w:r w:rsidRPr="009F3630">
        <w:rPr>
          <w:rFonts w:ascii="Times New Roman" w:hAnsi="Times New Roman"/>
        </w:rPr>
        <w:t>")</w:t>
      </w:r>
      <w:r w:rsidRPr="009F3630">
        <w:rPr>
          <w:rStyle w:val="FootnoteReference"/>
          <w:rFonts w:ascii="Times New Roman" w:hAnsi="Times New Roman"/>
          <w:sz w:val="24"/>
        </w:rPr>
        <w:footnoteReference w:id="253"/>
      </w:r>
      <w:r w:rsidRPr="009F3630">
        <w:rPr>
          <w:rFonts w:ascii="Times New Roman" w:hAnsi="Times New Roman"/>
        </w:rPr>
        <w:t xml:space="preserve">. The resolution </w:t>
      </w:r>
      <w:r w:rsidRPr="009F3630">
        <w:rPr>
          <w:rFonts w:ascii="Times New Roman" w:hAnsi="Times New Roman"/>
        </w:rPr>
        <w:lastRenderedPageBreak/>
        <w:t>of those issues was that the arrangement did not give rise to a relationship of employment at all</w:t>
      </w:r>
      <w:r w:rsidRPr="009F3630">
        <w:rPr>
          <w:rStyle w:val="FootnoteReference"/>
          <w:rFonts w:ascii="Times New Roman" w:hAnsi="Times New Roman"/>
          <w:sz w:val="24"/>
        </w:rPr>
        <w:footnoteReference w:id="254"/>
      </w:r>
      <w:r w:rsidRPr="009F3630">
        <w:rPr>
          <w:rFonts w:ascii="Times New Roman" w:hAnsi="Times New Roman"/>
        </w:rPr>
        <w:t>.</w:t>
      </w:r>
    </w:p>
    <w:p w14:paraId="6910A8CD"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 xml:space="preserve">Not very long afterwards, </w:t>
      </w:r>
      <w:proofErr w:type="spellStart"/>
      <w:r w:rsidRPr="009F3630">
        <w:rPr>
          <w:rFonts w:ascii="Times New Roman" w:hAnsi="Times New Roman"/>
          <w:i/>
        </w:rPr>
        <w:t>Odco</w:t>
      </w:r>
      <w:proofErr w:type="spellEnd"/>
      <w:r w:rsidRPr="009F3630">
        <w:rPr>
          <w:rFonts w:ascii="Times New Roman" w:hAnsi="Times New Roman"/>
          <w:i/>
        </w:rPr>
        <w:t xml:space="preserve"> [No 2]</w:t>
      </w:r>
      <w:r w:rsidRPr="009F3630">
        <w:rPr>
          <w:rFonts w:ascii="Times New Roman" w:hAnsi="Times New Roman"/>
        </w:rPr>
        <w:t xml:space="preserve"> was distinguished by the Victorian Court of Appeal in </w:t>
      </w:r>
      <w:r w:rsidRPr="009F3630">
        <w:rPr>
          <w:rFonts w:ascii="Times New Roman" w:hAnsi="Times New Roman"/>
          <w:i/>
        </w:rPr>
        <w:t>Drake Personnel Ltd v Commissioner of State Revenue</w:t>
      </w:r>
      <w:r w:rsidRPr="009F3630">
        <w:rPr>
          <w:rStyle w:val="FootnoteReference"/>
          <w:rFonts w:ascii="Times New Roman" w:hAnsi="Times New Roman"/>
          <w:sz w:val="24"/>
        </w:rPr>
        <w:footnoteReference w:id="255"/>
      </w:r>
      <w:r w:rsidRPr="009F3630">
        <w:rPr>
          <w:rFonts w:ascii="Times New Roman" w:hAnsi="Times New Roman"/>
        </w:rPr>
        <w:t>. There the putative employer was an employment agency described as being in the business of supplying "temporary workers" to its clients, who were entitled to and did exercise day-to-day control over the work of those temporary workers. The submission accepted by the Victorian Court of Appeal was to the effect that the exercise by the client of day-to-day control over the work of a temporary worker was properly "referred back" to the contract between the agency and the temporary worker for the purpose of characterising the relationship between them at common law. Working for the purposes of the agency's business, being paid by the agency, and being subject to day-to-day control by reference to the contractual arrangement between the agency and the client, a temporary worker was an employee of the agency</w:t>
      </w:r>
      <w:r w:rsidRPr="009F3630">
        <w:rPr>
          <w:rStyle w:val="FootnoteReference"/>
          <w:rFonts w:ascii="Times New Roman" w:hAnsi="Times New Roman"/>
          <w:sz w:val="24"/>
        </w:rPr>
        <w:footnoteReference w:id="256"/>
      </w:r>
      <w:r w:rsidRPr="009F3630">
        <w:rPr>
          <w:rFonts w:ascii="Times New Roman" w:hAnsi="Times New Roman"/>
        </w:rPr>
        <w:t>.</w:t>
      </w:r>
      <w:r w:rsidRPr="009F3630">
        <w:rPr>
          <w:rFonts w:ascii="Times New Roman" w:hAnsi="Times New Roman"/>
          <w:i/>
        </w:rPr>
        <w:t xml:space="preserve"> </w:t>
      </w:r>
    </w:p>
    <w:p w14:paraId="3F28A999"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 xml:space="preserve">The approach taken by the Victorian Court of Appeal in </w:t>
      </w:r>
      <w:r w:rsidRPr="009F3630">
        <w:rPr>
          <w:rFonts w:ascii="Times New Roman" w:hAnsi="Times New Roman"/>
          <w:i/>
        </w:rPr>
        <w:t>Drake Personnel</w:t>
      </w:r>
      <w:r>
        <w:rPr>
          <w:rFonts w:ascii="Times New Roman" w:hAnsi="Times New Roman"/>
          <w:i/>
        </w:rPr>
        <w:t> </w:t>
      </w:r>
      <w:r w:rsidRPr="009F3630">
        <w:rPr>
          <w:rFonts w:ascii="Times New Roman" w:hAnsi="Times New Roman"/>
        </w:rPr>
        <w:t xml:space="preserve">– attributing significance to the back-to-back contracts, between the temporary workers and the employment agency and between the agency and its client, in assessing the control that the agency had over the </w:t>
      </w:r>
      <w:proofErr w:type="gramStart"/>
      <w:r w:rsidRPr="009F3630">
        <w:rPr>
          <w:rFonts w:ascii="Times New Roman" w:hAnsi="Times New Roman"/>
        </w:rPr>
        <w:t>manner in which</w:t>
      </w:r>
      <w:proofErr w:type="gramEnd"/>
      <w:r w:rsidRPr="009F3630">
        <w:rPr>
          <w:rFonts w:ascii="Times New Roman" w:hAnsi="Times New Roman"/>
        </w:rPr>
        <w:t xml:space="preserve"> the temporary workers performed their work – was sound in principle. The approach is preferable to the rival approach taken five years later by the English Court of Appeal in </w:t>
      </w:r>
      <w:r w:rsidRPr="009F3630">
        <w:rPr>
          <w:rFonts w:ascii="Times New Roman" w:hAnsi="Times New Roman"/>
          <w:i/>
        </w:rPr>
        <w:t xml:space="preserve">Bunce v </w:t>
      </w:r>
      <w:proofErr w:type="spellStart"/>
      <w:r w:rsidRPr="009F3630">
        <w:rPr>
          <w:rFonts w:ascii="Times New Roman" w:hAnsi="Times New Roman"/>
          <w:i/>
        </w:rPr>
        <w:t>Postworth</w:t>
      </w:r>
      <w:proofErr w:type="spellEnd"/>
      <w:r w:rsidRPr="009F3630">
        <w:rPr>
          <w:rFonts w:ascii="Times New Roman" w:hAnsi="Times New Roman"/>
          <w:i/>
        </w:rPr>
        <w:t xml:space="preserve"> Ltd</w:t>
      </w:r>
      <w:r w:rsidRPr="009F3630">
        <w:rPr>
          <w:rStyle w:val="FootnoteReference"/>
          <w:rFonts w:ascii="Times New Roman" w:hAnsi="Times New Roman"/>
          <w:sz w:val="24"/>
        </w:rPr>
        <w:footnoteReference w:id="257"/>
      </w:r>
      <w:r w:rsidRPr="009F3630">
        <w:rPr>
          <w:rFonts w:ascii="Times New Roman" w:hAnsi="Times New Roman"/>
        </w:rPr>
        <w:t xml:space="preserve">, on which Construct sought to rely in argument for its persuasive value. The reasoning in </w:t>
      </w:r>
      <w:r w:rsidRPr="009F3630">
        <w:rPr>
          <w:rFonts w:ascii="Times New Roman" w:hAnsi="Times New Roman"/>
          <w:i/>
        </w:rPr>
        <w:t xml:space="preserve">Bunce </w:t>
      </w:r>
      <w:r w:rsidRPr="009F3630">
        <w:rPr>
          <w:rFonts w:ascii="Times New Roman" w:hAnsi="Times New Roman"/>
        </w:rPr>
        <w:t>is conspicuously unpersuasive.</w:t>
      </w:r>
      <w:r w:rsidRPr="009F3630">
        <w:rPr>
          <w:rFonts w:ascii="Times New Roman" w:hAnsi="Times New Roman"/>
          <w:i/>
        </w:rPr>
        <w:t xml:space="preserve"> </w:t>
      </w:r>
      <w:r w:rsidRPr="009F3630">
        <w:rPr>
          <w:rFonts w:ascii="Times New Roman" w:hAnsi="Times New Roman"/>
        </w:rPr>
        <w:t xml:space="preserve">Out of a professed and entirely proper concern to establish "who </w:t>
      </w:r>
      <w:r w:rsidRPr="009F3630">
        <w:rPr>
          <w:rFonts w:ascii="Times New Roman" w:hAnsi="Times New Roman"/>
          <w:i/>
        </w:rPr>
        <w:t>in reality</w:t>
      </w:r>
      <w:r w:rsidRPr="009F3630">
        <w:rPr>
          <w:rFonts w:ascii="Times New Roman" w:hAnsi="Times New Roman"/>
        </w:rPr>
        <w:t xml:space="preserve"> [had] the power to control what the worker [did] and how he [did] it"</w:t>
      </w:r>
      <w:r w:rsidRPr="009F3630">
        <w:rPr>
          <w:rStyle w:val="FootnoteReference"/>
          <w:rFonts w:ascii="Times New Roman" w:hAnsi="Times New Roman"/>
          <w:sz w:val="24"/>
        </w:rPr>
        <w:footnoteReference w:id="258"/>
      </w:r>
      <w:r w:rsidRPr="009F3630">
        <w:rPr>
          <w:rFonts w:ascii="Times New Roman" w:hAnsi="Times New Roman"/>
        </w:rPr>
        <w:t xml:space="preserve">, </w:t>
      </w:r>
      <w:r w:rsidRPr="009F3630">
        <w:rPr>
          <w:rFonts w:ascii="Times New Roman" w:hAnsi="Times New Roman"/>
          <w:i/>
        </w:rPr>
        <w:t xml:space="preserve">Bunce </w:t>
      </w:r>
      <w:r w:rsidRPr="009F3630">
        <w:rPr>
          <w:rFonts w:ascii="Times New Roman" w:hAnsi="Times New Roman"/>
        </w:rPr>
        <w:t xml:space="preserve">actually produced the result that a worker over whose day-to-day work a power of control was </w:t>
      </w:r>
      <w:r w:rsidRPr="009F3630">
        <w:rPr>
          <w:rFonts w:ascii="Times New Roman" w:hAnsi="Times New Roman"/>
          <w:i/>
        </w:rPr>
        <w:t>in reality</w:t>
      </w:r>
      <w:r w:rsidRPr="009F3630">
        <w:rPr>
          <w:rFonts w:ascii="Times New Roman" w:hAnsi="Times New Roman"/>
        </w:rPr>
        <w:t xml:space="preserve"> exercised through the operation of back-to-back contracts between him and an employment agency and between the agency and its client was treated as the employee of neither the agency nor its client. Of the rival approaches, </w:t>
      </w:r>
      <w:r w:rsidRPr="009F3630">
        <w:rPr>
          <w:rFonts w:ascii="Times New Roman" w:hAnsi="Times New Roman"/>
          <w:i/>
        </w:rPr>
        <w:t xml:space="preserve">Drake Personnel </w:t>
      </w:r>
      <w:r w:rsidRPr="009F3630">
        <w:rPr>
          <w:rFonts w:ascii="Times New Roman" w:hAnsi="Times New Roman"/>
        </w:rPr>
        <w:t xml:space="preserve">produces a result that accords with reality; </w:t>
      </w:r>
      <w:r w:rsidRPr="009F3630">
        <w:rPr>
          <w:rFonts w:ascii="Times New Roman" w:hAnsi="Times New Roman"/>
          <w:i/>
        </w:rPr>
        <w:t xml:space="preserve">Bunce </w:t>
      </w:r>
      <w:r w:rsidRPr="009F3630">
        <w:rPr>
          <w:rFonts w:ascii="Times New Roman" w:hAnsi="Times New Roman"/>
        </w:rPr>
        <w:t>does not.</w:t>
      </w:r>
    </w:p>
    <w:p w14:paraId="15FF265B"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lastRenderedPageBreak/>
        <w:tab/>
        <w:t xml:space="preserve">The </w:t>
      </w:r>
      <w:r w:rsidRPr="009F3630">
        <w:rPr>
          <w:rFonts w:ascii="Times New Roman" w:hAnsi="Times New Roman"/>
          <w:i/>
        </w:rPr>
        <w:t>Drake Personnel</w:t>
      </w:r>
      <w:r w:rsidRPr="009F3630">
        <w:rPr>
          <w:rFonts w:ascii="Times New Roman" w:hAnsi="Times New Roman"/>
        </w:rPr>
        <w:t xml:space="preserve"> approach was correctly applied by E M </w:t>
      </w:r>
      <w:proofErr w:type="spellStart"/>
      <w:r w:rsidRPr="009F3630">
        <w:rPr>
          <w:rFonts w:ascii="Times New Roman" w:hAnsi="Times New Roman"/>
        </w:rPr>
        <w:t>Heenan</w:t>
      </w:r>
      <w:proofErr w:type="spellEnd"/>
      <w:r w:rsidRPr="009F3630">
        <w:rPr>
          <w:rFonts w:ascii="Times New Roman" w:hAnsi="Times New Roman"/>
        </w:rPr>
        <w:t xml:space="preserve"> J in dissent in </w:t>
      </w:r>
      <w:r w:rsidRPr="009F3630">
        <w:rPr>
          <w:rFonts w:ascii="Times New Roman" w:hAnsi="Times New Roman"/>
          <w:i/>
        </w:rPr>
        <w:t>Personnel Contracting Pty Ltd v Construction, Forestry, Mining and Energy Union of Workers</w:t>
      </w:r>
      <w:r w:rsidRPr="009F3630">
        <w:rPr>
          <w:rStyle w:val="FootnoteReference"/>
          <w:rFonts w:ascii="Times New Roman" w:hAnsi="Times New Roman"/>
          <w:sz w:val="24"/>
        </w:rPr>
        <w:footnoteReference w:id="259"/>
      </w:r>
      <w:r w:rsidRPr="009F3630">
        <w:rPr>
          <w:rFonts w:ascii="Times New Roman" w:hAnsi="Times New Roman"/>
          <w:i/>
        </w:rPr>
        <w:t xml:space="preserve"> </w:t>
      </w:r>
      <w:r w:rsidRPr="009F3630">
        <w:rPr>
          <w:rFonts w:ascii="Times New Roman" w:hAnsi="Times New Roman"/>
        </w:rPr>
        <w:t xml:space="preserve">to find that labour hire arrangements into which Construct had entered of a kind </w:t>
      </w:r>
      <w:proofErr w:type="gramStart"/>
      <w:r w:rsidRPr="009F3630">
        <w:rPr>
          <w:rFonts w:ascii="Times New Roman" w:hAnsi="Times New Roman"/>
        </w:rPr>
        <w:t>similar to</w:t>
      </w:r>
      <w:proofErr w:type="gramEnd"/>
      <w:r w:rsidRPr="009F3630">
        <w:rPr>
          <w:rFonts w:ascii="Times New Roman" w:hAnsi="Times New Roman"/>
        </w:rPr>
        <w:t xml:space="preserve"> the arrangement in the present case gave rise to relationships of employment between Construct and workers. The dissent is to be preferred to the decision of the majority in that case.</w:t>
      </w:r>
    </w:p>
    <w:p w14:paraId="786F2761"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 xml:space="preserve">That is not to cast doubt on the correctness of </w:t>
      </w:r>
      <w:proofErr w:type="spellStart"/>
      <w:r w:rsidRPr="009F3630">
        <w:rPr>
          <w:rFonts w:ascii="Times New Roman" w:hAnsi="Times New Roman"/>
          <w:i/>
        </w:rPr>
        <w:t>Odco</w:t>
      </w:r>
      <w:proofErr w:type="spellEnd"/>
      <w:r w:rsidRPr="009F3630">
        <w:rPr>
          <w:rFonts w:ascii="Times New Roman" w:hAnsi="Times New Roman"/>
          <w:i/>
        </w:rPr>
        <w:t xml:space="preserve"> [No 2]. </w:t>
      </w:r>
      <w:r w:rsidRPr="009F3630">
        <w:rPr>
          <w:rFonts w:ascii="Times New Roman" w:hAnsi="Times New Roman"/>
        </w:rPr>
        <w:t xml:space="preserve">There are three important distinctions between the triangular labour hire arrangements considered in </w:t>
      </w:r>
      <w:proofErr w:type="spellStart"/>
      <w:r w:rsidRPr="009F3630">
        <w:rPr>
          <w:rFonts w:ascii="Times New Roman" w:hAnsi="Times New Roman"/>
          <w:i/>
        </w:rPr>
        <w:t>Odco</w:t>
      </w:r>
      <w:proofErr w:type="spellEnd"/>
      <w:r w:rsidRPr="009F3630">
        <w:rPr>
          <w:rFonts w:ascii="Times New Roman" w:hAnsi="Times New Roman"/>
          <w:i/>
        </w:rPr>
        <w:t xml:space="preserve"> [No 1]</w:t>
      </w:r>
      <w:r w:rsidRPr="009F3630">
        <w:rPr>
          <w:rFonts w:ascii="Times New Roman" w:hAnsi="Times New Roman"/>
        </w:rPr>
        <w:t xml:space="preserve"> and </w:t>
      </w:r>
      <w:proofErr w:type="spellStart"/>
      <w:r w:rsidRPr="009F3630">
        <w:rPr>
          <w:rFonts w:ascii="Times New Roman" w:hAnsi="Times New Roman"/>
          <w:i/>
        </w:rPr>
        <w:t>Odco</w:t>
      </w:r>
      <w:proofErr w:type="spellEnd"/>
      <w:r w:rsidRPr="009F3630">
        <w:rPr>
          <w:rFonts w:ascii="Times New Roman" w:hAnsi="Times New Roman"/>
          <w:i/>
        </w:rPr>
        <w:t xml:space="preserve"> [No 2]</w:t>
      </w:r>
      <w:r w:rsidRPr="009F3630">
        <w:rPr>
          <w:rFonts w:ascii="Times New Roman" w:hAnsi="Times New Roman"/>
        </w:rPr>
        <w:t xml:space="preserve"> and the arrangements in </w:t>
      </w:r>
      <w:r w:rsidRPr="009F3630">
        <w:rPr>
          <w:rFonts w:ascii="Times New Roman" w:hAnsi="Times New Roman"/>
          <w:i/>
        </w:rPr>
        <w:t>Drake Personnel</w:t>
      </w:r>
      <w:r w:rsidRPr="009F3630">
        <w:rPr>
          <w:rFonts w:ascii="Times New Roman" w:hAnsi="Times New Roman"/>
        </w:rPr>
        <w:t xml:space="preserve">, </w:t>
      </w:r>
      <w:r w:rsidRPr="009F3630">
        <w:rPr>
          <w:rFonts w:ascii="Times New Roman" w:hAnsi="Times New Roman"/>
          <w:i/>
        </w:rPr>
        <w:t>Personnel Contracting</w:t>
      </w:r>
      <w:r w:rsidRPr="009F3630">
        <w:rPr>
          <w:rFonts w:ascii="Times New Roman" w:hAnsi="Times New Roman"/>
        </w:rPr>
        <w:t xml:space="preserve"> and the present case. First, the subject-matter of the back-to-back standard form contracts in </w:t>
      </w:r>
      <w:proofErr w:type="spellStart"/>
      <w:r w:rsidRPr="009F3630">
        <w:rPr>
          <w:rFonts w:ascii="Times New Roman" w:hAnsi="Times New Roman"/>
          <w:i/>
        </w:rPr>
        <w:t>Odco</w:t>
      </w:r>
      <w:proofErr w:type="spellEnd"/>
      <w:r w:rsidRPr="009F3630">
        <w:rPr>
          <w:rFonts w:ascii="Times New Roman" w:hAnsi="Times New Roman"/>
          <w:i/>
        </w:rPr>
        <w:t xml:space="preserve"> [No 1] </w:t>
      </w:r>
      <w:r w:rsidRPr="009F3630">
        <w:rPr>
          <w:rFonts w:ascii="Times New Roman" w:hAnsi="Times New Roman"/>
        </w:rPr>
        <w:t xml:space="preserve">and </w:t>
      </w:r>
      <w:proofErr w:type="spellStart"/>
      <w:r w:rsidRPr="009F3630">
        <w:rPr>
          <w:rFonts w:ascii="Times New Roman" w:hAnsi="Times New Roman"/>
          <w:i/>
        </w:rPr>
        <w:t>Odco</w:t>
      </w:r>
      <w:proofErr w:type="spellEnd"/>
      <w:r w:rsidRPr="009F3630">
        <w:rPr>
          <w:rFonts w:ascii="Times New Roman" w:hAnsi="Times New Roman"/>
          <w:i/>
        </w:rPr>
        <w:t xml:space="preserve"> [No 2]</w:t>
      </w:r>
      <w:r w:rsidRPr="009F3630">
        <w:rPr>
          <w:rFonts w:ascii="Times New Roman" w:hAnsi="Times New Roman"/>
        </w:rPr>
        <w:t xml:space="preserve"> was not unambiguously hourly labour. The subject-matter was described contractually not just as "hourly" labour but also in terms of a "job" or "work done"</w:t>
      </w:r>
      <w:r w:rsidRPr="009F3630">
        <w:rPr>
          <w:rStyle w:val="FootnoteReference"/>
          <w:rFonts w:ascii="Times New Roman" w:hAnsi="Times New Roman"/>
          <w:sz w:val="24"/>
        </w:rPr>
        <w:footnoteReference w:id="260"/>
      </w:r>
      <w:r w:rsidRPr="009F3630">
        <w:rPr>
          <w:rFonts w:ascii="Times New Roman" w:hAnsi="Times New Roman"/>
        </w:rPr>
        <w:t xml:space="preserve">. The way in which the issue about employment at common law was joined between the parties in </w:t>
      </w:r>
      <w:proofErr w:type="spellStart"/>
      <w:r w:rsidRPr="009F3630">
        <w:rPr>
          <w:rFonts w:ascii="Times New Roman" w:hAnsi="Times New Roman"/>
          <w:i/>
        </w:rPr>
        <w:t>Odco</w:t>
      </w:r>
      <w:proofErr w:type="spellEnd"/>
      <w:r w:rsidRPr="009F3630">
        <w:rPr>
          <w:rFonts w:ascii="Times New Roman" w:hAnsi="Times New Roman"/>
          <w:i/>
        </w:rPr>
        <w:t xml:space="preserve"> [No 2] </w:t>
      </w:r>
      <w:r w:rsidRPr="009F3630">
        <w:rPr>
          <w:rFonts w:ascii="Times New Roman" w:hAnsi="Times New Roman"/>
        </w:rPr>
        <w:t>did not engage the Full Court of the Federal Court in any examination of potential differences in the performance of the contracts. Second, the contracts between the putative employees and the labour hire company in those cases did not oblige, as here, the putative employees to supply labour in a "safe, competent and diligent manner" but rather to "carry out all work" which the putative employees agreed with the clients of the labour hire company to do and which the putative employees "guaranteed against faulty workmanship"</w:t>
      </w:r>
      <w:r w:rsidRPr="009F3630">
        <w:rPr>
          <w:rStyle w:val="FootnoteReference"/>
          <w:rFonts w:ascii="Times New Roman" w:hAnsi="Times New Roman"/>
          <w:sz w:val="24"/>
        </w:rPr>
        <w:footnoteReference w:id="261"/>
      </w:r>
      <w:r w:rsidRPr="009F3630">
        <w:rPr>
          <w:rFonts w:ascii="Times New Roman" w:hAnsi="Times New Roman"/>
        </w:rPr>
        <w:t>. Third, and most importantly, nothing in the contracts between the labour hire company and its clients purported to place the putative employees under the direction and control of the clients</w:t>
      </w:r>
      <w:r w:rsidRPr="009F3630">
        <w:rPr>
          <w:rStyle w:val="FootnoteReference"/>
          <w:rFonts w:ascii="Times New Roman" w:hAnsi="Times New Roman"/>
          <w:sz w:val="24"/>
        </w:rPr>
        <w:footnoteReference w:id="262"/>
      </w:r>
      <w:r w:rsidRPr="009F3630">
        <w:rPr>
          <w:rFonts w:ascii="Times New Roman" w:hAnsi="Times New Roman"/>
        </w:rPr>
        <w:t>.</w:t>
      </w:r>
    </w:p>
    <w:p w14:paraId="5B46A887"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 xml:space="preserve">The aspects of the relationship that existed in fact between Mr McCourt and Construct during each of the two relevant periods most pertinent to the legal characterisation of the relationship can be summarised as follows. First, Mr McCourt was engaged by Construct under the ASA to supply nothing but his labour to Hanssen, which he in fact did and for which he was paid an agreed hourly rate by Construct. Second, by supplying his labour to Hanssen, Mr McCourt was at the same time supplying his labour to Construct for the purposes of Construct's business. He was not in any meaningful sense in business for himself. Third, and most importantly, when supplying his labour to Hanssen, Mr McCourt was subject to the direction and control of Hanssen through the back-to-back operation of his </w:t>
      </w:r>
      <w:r w:rsidRPr="009F3630">
        <w:rPr>
          <w:rFonts w:ascii="Times New Roman" w:hAnsi="Times New Roman"/>
        </w:rPr>
        <w:lastRenderedPageBreak/>
        <w:t>obligation to Construct under the ASA and Construct's obligation to Hanssen under the LHA. Those aspects of the relationship made it a relationship of employment.</w:t>
      </w:r>
    </w:p>
    <w:p w14:paraId="40BC1949" w14:textId="77777777" w:rsidR="00FF3369" w:rsidRPr="009F3630" w:rsidRDefault="00FF3369" w:rsidP="009F3630">
      <w:pPr>
        <w:pStyle w:val="HeadingL1"/>
        <w:spacing w:after="260" w:line="280" w:lineRule="exact"/>
        <w:ind w:right="0"/>
        <w:jc w:val="both"/>
        <w:rPr>
          <w:rFonts w:ascii="Times New Roman" w:hAnsi="Times New Roman"/>
        </w:rPr>
      </w:pPr>
      <w:r w:rsidRPr="009F3630">
        <w:rPr>
          <w:rFonts w:ascii="Times New Roman" w:hAnsi="Times New Roman"/>
        </w:rPr>
        <w:t xml:space="preserve">Conclusion </w:t>
      </w:r>
    </w:p>
    <w:p w14:paraId="0B22E1FC" w14:textId="77777777" w:rsidR="00FF3369" w:rsidRPr="009F3630" w:rsidRDefault="00FF3369" w:rsidP="00FF3369">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 xml:space="preserve">The conclusion that Mr McCourt was an employee of Construct during the two relevant periods is the conclusion to which the Full Court would have come in the decision under appeal were it not for the Full Court's inability to assess </w:t>
      </w:r>
      <w:r w:rsidRPr="009F3630">
        <w:rPr>
          <w:rFonts w:ascii="Times New Roman" w:hAnsi="Times New Roman"/>
          <w:i/>
        </w:rPr>
        <w:t xml:space="preserve">Personnel Contracting </w:t>
      </w:r>
      <w:r w:rsidRPr="009F3630">
        <w:rPr>
          <w:rFonts w:ascii="Times New Roman" w:hAnsi="Times New Roman"/>
        </w:rPr>
        <w:t>to have been "plainly wrong". That is clear from its reasoning</w:t>
      </w:r>
      <w:r w:rsidRPr="009F3630">
        <w:rPr>
          <w:rStyle w:val="FootnoteReference"/>
          <w:rFonts w:ascii="Times New Roman" w:hAnsi="Times New Roman"/>
          <w:sz w:val="24"/>
        </w:rPr>
        <w:footnoteReference w:id="263"/>
      </w:r>
      <w:r w:rsidRPr="009F3630">
        <w:rPr>
          <w:rFonts w:ascii="Times New Roman" w:hAnsi="Times New Roman"/>
        </w:rPr>
        <w:t>. In adopting the approach that it did, the Full Court conducted itself in a manner befitting its position as an intermediate appellate court within an integrated national legal system. The error in its conclusion is entirely without fault on its part.</w:t>
      </w:r>
    </w:p>
    <w:p w14:paraId="367E0720" w14:textId="77777777" w:rsidR="00782161" w:rsidRDefault="00FF3369" w:rsidP="00782161">
      <w:pPr>
        <w:pStyle w:val="FixListStyle"/>
        <w:numPr>
          <w:ilvl w:val="0"/>
          <w:numId w:val="18"/>
        </w:numPr>
        <w:spacing w:after="260" w:line="280" w:lineRule="exact"/>
        <w:ind w:left="0" w:right="0" w:hanging="720"/>
        <w:jc w:val="both"/>
        <w:rPr>
          <w:rFonts w:ascii="Times New Roman" w:hAnsi="Times New Roman"/>
        </w:rPr>
      </w:pPr>
      <w:r w:rsidRPr="009F3630">
        <w:rPr>
          <w:rFonts w:ascii="Times New Roman" w:hAnsi="Times New Roman"/>
        </w:rPr>
        <w:tab/>
        <w:t>The appeal must be allowed. The orders proposed by Kiefel CJ, Keane and Edelman JJ must be made.</w:t>
      </w:r>
    </w:p>
    <w:p w14:paraId="17F3E725" w14:textId="77777777" w:rsidR="00782161" w:rsidRDefault="00782161" w:rsidP="00782161">
      <w:pPr>
        <w:pStyle w:val="FixListStyle"/>
        <w:numPr>
          <w:ilvl w:val="0"/>
          <w:numId w:val="18"/>
        </w:numPr>
        <w:spacing w:after="260" w:line="280" w:lineRule="exact"/>
        <w:ind w:left="0" w:right="0" w:hanging="720"/>
        <w:jc w:val="both"/>
        <w:rPr>
          <w:rFonts w:ascii="Times New Roman" w:hAnsi="Times New Roman"/>
        </w:rPr>
        <w:sectPr w:rsidR="00782161" w:rsidSect="0075303D">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61E049EF" w14:textId="77777777" w:rsidR="00782161" w:rsidRPr="007A7FB2" w:rsidRDefault="00782161" w:rsidP="00782161">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7A7FB2">
        <w:rPr>
          <w:rFonts w:ascii="Times New Roman" w:hAnsi="Times New Roman"/>
        </w:rPr>
        <w:lastRenderedPageBreak/>
        <w:t>GORDON J.   The central question is whether Mr McCourt was "employed, or</w:t>
      </w:r>
      <w:r>
        <w:rPr>
          <w:rFonts w:ascii="Times New Roman" w:hAnsi="Times New Roman"/>
        </w:rPr>
        <w:t> </w:t>
      </w:r>
      <w:r w:rsidRPr="007A7FB2">
        <w:rPr>
          <w:rFonts w:ascii="Times New Roman" w:hAnsi="Times New Roman"/>
        </w:rPr>
        <w:t xml:space="preserve">usually employed" by </w:t>
      </w:r>
      <w:r w:rsidRPr="007A7FB2" w:rsidDel="001D5B7F">
        <w:rPr>
          <w:rFonts w:ascii="Times New Roman" w:hAnsi="Times New Roman"/>
        </w:rPr>
        <w:t>a "national system employer" (</w:t>
      </w:r>
      <w:r w:rsidRPr="007A7FB2">
        <w:rPr>
          <w:rFonts w:ascii="Times New Roman" w:hAnsi="Times New Roman"/>
        </w:rPr>
        <w:t>Personnel Contracting Pty Ltd, trading as "Construct"</w:t>
      </w:r>
      <w:r w:rsidRPr="007A7FB2" w:rsidDel="001D5B7F">
        <w:rPr>
          <w:rFonts w:ascii="Times New Roman" w:hAnsi="Times New Roman"/>
        </w:rPr>
        <w:t>)</w:t>
      </w:r>
      <w:r w:rsidRPr="007A7FB2">
        <w:rPr>
          <w:rFonts w:ascii="Times New Roman" w:hAnsi="Times New Roman"/>
        </w:rPr>
        <w:t xml:space="preserve"> </w:t>
      </w:r>
      <w:proofErr w:type="gramStart"/>
      <w:r w:rsidRPr="007A7FB2">
        <w:rPr>
          <w:rFonts w:ascii="Times New Roman" w:hAnsi="Times New Roman"/>
        </w:rPr>
        <w:t>so as to</w:t>
      </w:r>
      <w:proofErr w:type="gramEnd"/>
      <w:r w:rsidRPr="007A7FB2">
        <w:rPr>
          <w:rFonts w:ascii="Times New Roman" w:hAnsi="Times New Roman"/>
        </w:rPr>
        <w:t xml:space="preserve"> be a "national system employee" for the purposes of ss 13 and 14 of the </w:t>
      </w:r>
      <w:r w:rsidRPr="007A7FB2">
        <w:rPr>
          <w:rFonts w:ascii="Times New Roman" w:hAnsi="Times New Roman"/>
          <w:i/>
        </w:rPr>
        <w:t>Fair Work Act 2009</w:t>
      </w:r>
      <w:r w:rsidRPr="007A7FB2">
        <w:rPr>
          <w:rFonts w:ascii="Times New Roman" w:hAnsi="Times New Roman"/>
        </w:rPr>
        <w:t xml:space="preserve"> (</w:t>
      </w:r>
      <w:proofErr w:type="spellStart"/>
      <w:r w:rsidRPr="007A7FB2">
        <w:rPr>
          <w:rFonts w:ascii="Times New Roman" w:hAnsi="Times New Roman"/>
        </w:rPr>
        <w:t>Cth</w:t>
      </w:r>
      <w:proofErr w:type="spellEnd"/>
      <w:r w:rsidRPr="007A7FB2">
        <w:rPr>
          <w:rFonts w:ascii="Times New Roman" w:hAnsi="Times New Roman"/>
        </w:rPr>
        <w:t>) ("the Act"). In Pt 1-2 of the Act, which contains ss 13 and 14, "employee" and "employer" have their "ordinary meanings"</w:t>
      </w:r>
      <w:r w:rsidRPr="007A7FB2">
        <w:rPr>
          <w:rStyle w:val="FootnoteReference"/>
          <w:rFonts w:ascii="Times New Roman" w:hAnsi="Times New Roman"/>
          <w:sz w:val="24"/>
        </w:rPr>
        <w:footnoteReference w:id="264"/>
      </w:r>
      <w:r w:rsidRPr="007A7FB2">
        <w:rPr>
          <w:rFonts w:ascii="Times New Roman" w:hAnsi="Times New Roman"/>
        </w:rPr>
        <w:t>. There was no dispute that the "ordinary meanings" of employee and employer in the Act</w:t>
      </w:r>
      <w:r w:rsidRPr="007A7FB2" w:rsidDel="004331F3">
        <w:rPr>
          <w:rFonts w:ascii="Times New Roman" w:hAnsi="Times New Roman"/>
        </w:rPr>
        <w:t xml:space="preserve"> </w:t>
      </w:r>
      <w:r w:rsidRPr="007A7FB2">
        <w:rPr>
          <w:rFonts w:ascii="Times New Roman" w:hAnsi="Times New Roman"/>
        </w:rPr>
        <w:t>are the common law meanings of those terms</w:t>
      </w:r>
      <w:r w:rsidRPr="007A7FB2">
        <w:rPr>
          <w:rStyle w:val="FootnoteReference"/>
          <w:rFonts w:ascii="Times New Roman" w:hAnsi="Times New Roman"/>
          <w:sz w:val="24"/>
        </w:rPr>
        <w:footnoteReference w:id="265"/>
      </w:r>
      <w:r w:rsidRPr="007A7FB2">
        <w:rPr>
          <w:rFonts w:ascii="Times New Roman" w:hAnsi="Times New Roman"/>
        </w:rPr>
        <w:t>. The Act makes minor statutory amendments to the common law meanings</w:t>
      </w:r>
      <w:r w:rsidRPr="007A7FB2">
        <w:rPr>
          <w:rStyle w:val="FootnoteReference"/>
          <w:rFonts w:ascii="Times New Roman" w:hAnsi="Times New Roman"/>
          <w:sz w:val="24"/>
        </w:rPr>
        <w:footnoteReference w:id="266"/>
      </w:r>
      <w:r w:rsidRPr="007A7FB2">
        <w:rPr>
          <w:rFonts w:ascii="Times New Roman" w:hAnsi="Times New Roman"/>
        </w:rPr>
        <w:t>, none of which were at issue in this appeal.</w:t>
      </w:r>
    </w:p>
    <w:p w14:paraId="74814ED5"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The resolution of the central question requires consideration of the totality of the relationship between Construct and Mr McCourt, which must be determined by reference to the legal rights and obligations that constitute that relationship. Where the parties have entered a wholly written employment contract, as in this case, the totality of the relationship which must be considered is the totality of the legal rights and obligations provided for in the contract, construed according to the established principles of contractual interpretation. In such a case, the central question neither permits nor requires consideration of subsequent conduct and is not assisted by seeing the question as involving a binary choice between employment and own business. The totality of the relationship between Construct and Mr McCourt was that of employer and employee.</w:t>
      </w:r>
    </w:p>
    <w:p w14:paraId="1FBA28A2" w14:textId="77777777" w:rsidR="00782161" w:rsidRPr="007A7FB2" w:rsidRDefault="00782161" w:rsidP="007A7FB2">
      <w:pPr>
        <w:pStyle w:val="HeadingL1"/>
        <w:spacing w:after="260" w:line="280" w:lineRule="exact"/>
        <w:ind w:right="0"/>
        <w:jc w:val="both"/>
        <w:rPr>
          <w:rFonts w:ascii="Times New Roman" w:hAnsi="Times New Roman"/>
        </w:rPr>
      </w:pPr>
      <w:r w:rsidRPr="007A7FB2">
        <w:rPr>
          <w:rFonts w:ascii="Times New Roman" w:hAnsi="Times New Roman"/>
        </w:rPr>
        <w:t>Background</w:t>
      </w:r>
    </w:p>
    <w:p w14:paraId="43B58E04"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Mr McCourt arrived in Australia in June 2016 on a working holiday visa, having previously worked in the United Kingdom as a part</w:t>
      </w:r>
      <w:r w:rsidRPr="007A7FB2">
        <w:rPr>
          <w:rFonts w:ascii="Times New Roman" w:hAnsi="Times New Roman"/>
        </w:rPr>
        <w:noBreakHyphen/>
        <w:t xml:space="preserve">time brick-layer and in hospitality jobs. While looking for work in Western Australia, Mr McCourt obtained a "white card", which he needed to work on construction sites. </w:t>
      </w:r>
    </w:p>
    <w:p w14:paraId="27160E04"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lastRenderedPageBreak/>
        <w:tab/>
        <w:t>Mr McCourt contacted Construct, which described itself as a labour hire company, to express interest in obtaining work. During an interview at Construct's office on 25 July 2016, Mr McCourt indicated that he was prepared to do any construction labouring that he was capable of and to work on weekends; that he had his own means of transport to get to jobs; that he was available to start work immediately; and that he had a hard hat, steel-capped boots and hi-vis clothing. Mr</w:t>
      </w:r>
      <w:r>
        <w:rPr>
          <w:rFonts w:ascii="Times New Roman" w:hAnsi="Times New Roman"/>
        </w:rPr>
        <w:t> </w:t>
      </w:r>
      <w:r w:rsidRPr="007A7FB2">
        <w:rPr>
          <w:rFonts w:ascii="Times New Roman" w:hAnsi="Times New Roman"/>
        </w:rPr>
        <w:t xml:space="preserve">McCourt was informed of the rate at which he would be paid and was given an "Administrative Services Agreement" ("the ASA"), a "Most Frequently Asked Questions" document, a "Contractor Safety Induction Manual" and a document entitled "Guide to Work at a Glance". </w:t>
      </w:r>
    </w:p>
    <w:p w14:paraId="14246BC6"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The contract between Construct and Mr McCourt was wholly in writing. The terms of the contract were set out in the ASA, supplemented by the Contractor Safety Induction Manual, which was found by the Full Court of the Federal Court of Australia to be "contractual in nature". Mr McCourt signed the ASA on</w:t>
      </w:r>
      <w:r w:rsidRPr="007A7FB2" w:rsidDel="00AA7D2A">
        <w:rPr>
          <w:rFonts w:ascii="Times New Roman" w:hAnsi="Times New Roman"/>
        </w:rPr>
        <w:t xml:space="preserve"> </w:t>
      </w:r>
      <w:r w:rsidRPr="007A7FB2">
        <w:rPr>
          <w:rFonts w:ascii="Times New Roman" w:hAnsi="Times New Roman"/>
        </w:rPr>
        <w:t>the day of his interview. The terms of the ASA are addressed later in these reasons. The</w:t>
      </w:r>
      <w:r>
        <w:rPr>
          <w:rFonts w:ascii="Times New Roman" w:hAnsi="Times New Roman"/>
        </w:rPr>
        <w:t> </w:t>
      </w:r>
      <w:r w:rsidRPr="007A7FB2">
        <w:rPr>
          <w:rFonts w:ascii="Times New Roman" w:hAnsi="Times New Roman"/>
        </w:rPr>
        <w:t xml:space="preserve">ASA made separate provision for the rights and obligations of each party. </w:t>
      </w:r>
    </w:p>
    <w:p w14:paraId="544746DF"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No one suggested that the written contract between Mr McCourt and Construct was subsequently varied or that it was a sham.</w:t>
      </w:r>
    </w:p>
    <w:p w14:paraId="4D76BED7"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 xml:space="preserve">On 26 July 2016, the day after the interview, </w:t>
      </w:r>
      <w:proofErr w:type="gramStart"/>
      <w:r w:rsidRPr="007A7FB2">
        <w:rPr>
          <w:rFonts w:ascii="Times New Roman" w:hAnsi="Times New Roman"/>
        </w:rPr>
        <w:t>Construct</w:t>
      </w:r>
      <w:proofErr w:type="gramEnd"/>
      <w:r w:rsidRPr="007A7FB2">
        <w:rPr>
          <w:rFonts w:ascii="Times New Roman" w:hAnsi="Times New Roman"/>
        </w:rPr>
        <w:t xml:space="preserve"> informed Mr</w:t>
      </w:r>
      <w:r>
        <w:rPr>
          <w:rFonts w:ascii="Times New Roman" w:hAnsi="Times New Roman"/>
        </w:rPr>
        <w:t> </w:t>
      </w:r>
      <w:r w:rsidRPr="007A7FB2">
        <w:rPr>
          <w:rFonts w:ascii="Times New Roman" w:hAnsi="Times New Roman"/>
        </w:rPr>
        <w:t>McCourt that there was work at a site run by Hanssen Pty Ltd ("Hanssen"), "the</w:t>
      </w:r>
      <w:r>
        <w:rPr>
          <w:rFonts w:ascii="Times New Roman" w:hAnsi="Times New Roman"/>
        </w:rPr>
        <w:t> </w:t>
      </w:r>
      <w:r w:rsidRPr="007A7FB2">
        <w:rPr>
          <w:rFonts w:ascii="Times New Roman" w:hAnsi="Times New Roman"/>
        </w:rPr>
        <w:t xml:space="preserve">Concerto Project", and that the work would start the following day and would likely run until at least Christmas. Mr McCourt confirmed that he was happy to commence work the next day. </w:t>
      </w:r>
    </w:p>
    <w:p w14:paraId="5F84122C"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 xml:space="preserve">Construct's relationship with Hanssen was governed by a "Labour Hire Agreement" ("the LHA"). The LHA described Construct as "an administrative services agency, liaising between the </w:t>
      </w:r>
      <w:r w:rsidRPr="007A7FB2">
        <w:rPr>
          <w:rFonts w:ascii="Times New Roman" w:hAnsi="Times New Roman"/>
          <w:i/>
        </w:rPr>
        <w:t>client</w:t>
      </w:r>
      <w:r w:rsidRPr="007A7FB2">
        <w:rPr>
          <w:rFonts w:ascii="Times New Roman" w:hAnsi="Times New Roman"/>
        </w:rPr>
        <w:t xml:space="preserve"> [</w:t>
      </w:r>
      <w:proofErr w:type="spellStart"/>
      <w:r w:rsidRPr="007A7FB2">
        <w:rPr>
          <w:rFonts w:ascii="Times New Roman" w:hAnsi="Times New Roman"/>
        </w:rPr>
        <w:t>ie</w:t>
      </w:r>
      <w:proofErr w:type="spellEnd"/>
      <w:r w:rsidRPr="007A7FB2">
        <w:rPr>
          <w:rFonts w:ascii="Times New Roman" w:hAnsi="Times New Roman"/>
        </w:rPr>
        <w:t xml:space="preserve">, Hanssen] and self-employed </w:t>
      </w:r>
      <w:r w:rsidRPr="007A7FB2">
        <w:rPr>
          <w:rFonts w:ascii="Times New Roman" w:hAnsi="Times New Roman"/>
          <w:i/>
        </w:rPr>
        <w:t>contractors</w:t>
      </w:r>
      <w:r w:rsidRPr="007A7FB2">
        <w:rPr>
          <w:rFonts w:ascii="Times New Roman" w:hAnsi="Times New Roman"/>
        </w:rPr>
        <w:t xml:space="preserve"> for the provision of labour by self</w:t>
      </w:r>
      <w:r w:rsidRPr="007A7FB2">
        <w:rPr>
          <w:rFonts w:ascii="Times New Roman" w:hAnsi="Times New Roman"/>
        </w:rPr>
        <w:noBreakHyphen/>
        <w:t xml:space="preserve">employed </w:t>
      </w:r>
      <w:r w:rsidRPr="007A7FB2">
        <w:rPr>
          <w:rFonts w:ascii="Times New Roman" w:hAnsi="Times New Roman"/>
          <w:i/>
        </w:rPr>
        <w:t>contractors</w:t>
      </w:r>
      <w:r w:rsidRPr="007A7FB2">
        <w:rPr>
          <w:rFonts w:ascii="Times New Roman" w:hAnsi="Times New Roman"/>
        </w:rPr>
        <w:t xml:space="preserve"> to the </w:t>
      </w:r>
      <w:r w:rsidRPr="007A7FB2">
        <w:rPr>
          <w:rFonts w:ascii="Times New Roman" w:hAnsi="Times New Roman"/>
          <w:i/>
        </w:rPr>
        <w:t>client</w:t>
      </w:r>
      <w:r w:rsidRPr="007A7FB2">
        <w:rPr>
          <w:rFonts w:ascii="Times New Roman" w:hAnsi="Times New Roman"/>
        </w:rPr>
        <w:t>"</w:t>
      </w:r>
      <w:r w:rsidRPr="007A7FB2">
        <w:rPr>
          <w:rStyle w:val="FootnoteReference"/>
          <w:rFonts w:ascii="Times New Roman" w:hAnsi="Times New Roman"/>
          <w:sz w:val="24"/>
        </w:rPr>
        <w:footnoteReference w:id="267"/>
      </w:r>
      <w:r w:rsidRPr="007A7FB2">
        <w:rPr>
          <w:rFonts w:ascii="Times New Roman" w:hAnsi="Times New Roman"/>
        </w:rPr>
        <w:t>. Under the LHA, among other things:</w:t>
      </w:r>
    </w:p>
    <w:p w14:paraId="68BA1A8B" w14:textId="77777777" w:rsidR="00782161" w:rsidRPr="007A7FB2" w:rsidRDefault="00782161" w:rsidP="007A7FB2">
      <w:pPr>
        <w:pStyle w:val="NormalBody"/>
        <w:spacing w:after="260" w:line="280" w:lineRule="exact"/>
        <w:ind w:left="720" w:right="0" w:hanging="720"/>
        <w:jc w:val="both"/>
        <w:rPr>
          <w:rFonts w:ascii="Times New Roman" w:hAnsi="Times New Roman"/>
        </w:rPr>
      </w:pPr>
      <w:r w:rsidRPr="007A7FB2">
        <w:rPr>
          <w:rFonts w:ascii="Times New Roman" w:hAnsi="Times New Roman"/>
        </w:rPr>
        <w:t>(1)</w:t>
      </w:r>
      <w:r w:rsidRPr="007A7FB2">
        <w:rPr>
          <w:rFonts w:ascii="Times New Roman" w:hAnsi="Times New Roman"/>
        </w:rPr>
        <w:tab/>
        <w:t>Construct's "contractors" were "referred on a daily hire basis" and charged out "on flat hourly rates" negotiated between Hanssen and Construct</w:t>
      </w:r>
      <w:r w:rsidRPr="007A7FB2">
        <w:rPr>
          <w:rStyle w:val="FootnoteReference"/>
          <w:rFonts w:ascii="Times New Roman" w:hAnsi="Times New Roman"/>
          <w:sz w:val="24"/>
        </w:rPr>
        <w:footnoteReference w:id="268"/>
      </w:r>
      <w:r w:rsidRPr="007A7FB2">
        <w:rPr>
          <w:rFonts w:ascii="Times New Roman" w:hAnsi="Times New Roman"/>
        </w:rPr>
        <w:t>, the</w:t>
      </w:r>
      <w:r>
        <w:rPr>
          <w:rFonts w:ascii="Times New Roman" w:hAnsi="Times New Roman"/>
        </w:rPr>
        <w:t> </w:t>
      </w:r>
      <w:r w:rsidRPr="007A7FB2">
        <w:rPr>
          <w:rFonts w:ascii="Times New Roman" w:hAnsi="Times New Roman"/>
        </w:rPr>
        <w:t>minimum period of hire was four hours on any given day (subject to specified exceptions)</w:t>
      </w:r>
      <w:r w:rsidRPr="007A7FB2">
        <w:rPr>
          <w:rStyle w:val="FootnoteReference"/>
          <w:rFonts w:ascii="Times New Roman" w:hAnsi="Times New Roman"/>
          <w:sz w:val="24"/>
        </w:rPr>
        <w:footnoteReference w:id="269"/>
      </w:r>
      <w:r w:rsidRPr="007A7FB2">
        <w:rPr>
          <w:rFonts w:ascii="Times New Roman" w:hAnsi="Times New Roman"/>
        </w:rPr>
        <w:t xml:space="preserve">, and the contractors were subject to Hanssen's </w:t>
      </w:r>
      <w:r w:rsidRPr="007A7FB2">
        <w:rPr>
          <w:rFonts w:ascii="Times New Roman" w:hAnsi="Times New Roman"/>
        </w:rPr>
        <w:lastRenderedPageBreak/>
        <w:t>"direction and supervision from the time they report[ed] to [Hanssen] and</w:t>
      </w:r>
      <w:r>
        <w:rPr>
          <w:rFonts w:ascii="Times New Roman" w:hAnsi="Times New Roman"/>
        </w:rPr>
        <w:t> </w:t>
      </w:r>
      <w:r w:rsidRPr="007A7FB2">
        <w:rPr>
          <w:rFonts w:ascii="Times New Roman" w:hAnsi="Times New Roman"/>
        </w:rPr>
        <w:t>for the duration of each day on the assignment"</w:t>
      </w:r>
      <w:r w:rsidRPr="007A7FB2">
        <w:rPr>
          <w:rStyle w:val="FootnoteReference"/>
          <w:rFonts w:ascii="Times New Roman" w:hAnsi="Times New Roman"/>
          <w:sz w:val="24"/>
        </w:rPr>
        <w:footnoteReference w:id="270"/>
      </w:r>
      <w:r w:rsidRPr="007A7FB2">
        <w:rPr>
          <w:rFonts w:ascii="Times New Roman" w:hAnsi="Times New Roman"/>
        </w:rPr>
        <w:t>.</w:t>
      </w:r>
    </w:p>
    <w:p w14:paraId="46992A4D" w14:textId="77777777" w:rsidR="00782161" w:rsidRPr="007A7FB2" w:rsidRDefault="00782161" w:rsidP="007A7FB2">
      <w:pPr>
        <w:pStyle w:val="NormalBody"/>
        <w:spacing w:after="260" w:line="280" w:lineRule="exact"/>
        <w:ind w:left="720" w:right="0" w:hanging="720"/>
        <w:jc w:val="both"/>
        <w:rPr>
          <w:rFonts w:ascii="Times New Roman" w:hAnsi="Times New Roman"/>
        </w:rPr>
      </w:pPr>
      <w:r w:rsidRPr="007A7FB2">
        <w:rPr>
          <w:rFonts w:ascii="Times New Roman" w:hAnsi="Times New Roman"/>
        </w:rPr>
        <w:t>(2)</w:t>
      </w:r>
      <w:r w:rsidRPr="007A7FB2">
        <w:rPr>
          <w:rFonts w:ascii="Times New Roman" w:hAnsi="Times New Roman"/>
        </w:rPr>
        <w:tab/>
        <w:t>Construct agreed to invoice Hanssen on a weekly basis (including amounts due, with regard to the agreed charge-out rate and the hours or pieces completed)</w:t>
      </w:r>
      <w:r w:rsidRPr="007A7FB2">
        <w:rPr>
          <w:rStyle w:val="FootnoteReference"/>
          <w:rFonts w:ascii="Times New Roman" w:hAnsi="Times New Roman"/>
          <w:sz w:val="24"/>
        </w:rPr>
        <w:footnoteReference w:id="271"/>
      </w:r>
      <w:r w:rsidRPr="007A7FB2">
        <w:rPr>
          <w:rFonts w:ascii="Times New Roman" w:hAnsi="Times New Roman"/>
        </w:rPr>
        <w:t xml:space="preserve"> and, if notified by Hanssen of the unsuitability of a "contractor" within four hours on the first day of an assignment, to not charge for the contractor and to replace them as soon as practicable</w:t>
      </w:r>
      <w:r w:rsidRPr="007A7FB2">
        <w:rPr>
          <w:rStyle w:val="FootnoteReference"/>
          <w:rFonts w:ascii="Times New Roman" w:hAnsi="Times New Roman"/>
          <w:sz w:val="24"/>
        </w:rPr>
        <w:footnoteReference w:id="272"/>
      </w:r>
      <w:r w:rsidRPr="007A7FB2">
        <w:rPr>
          <w:rFonts w:ascii="Times New Roman" w:hAnsi="Times New Roman"/>
        </w:rPr>
        <w:t xml:space="preserve">. </w:t>
      </w:r>
    </w:p>
    <w:p w14:paraId="7CF8A3B6" w14:textId="77777777" w:rsidR="00782161" w:rsidRPr="007A7FB2" w:rsidRDefault="00782161" w:rsidP="007A7FB2">
      <w:pPr>
        <w:pStyle w:val="NormalBody"/>
        <w:spacing w:after="260" w:line="280" w:lineRule="exact"/>
        <w:ind w:left="720" w:right="0" w:hanging="720"/>
        <w:jc w:val="both"/>
        <w:rPr>
          <w:rFonts w:ascii="Times New Roman" w:hAnsi="Times New Roman"/>
        </w:rPr>
      </w:pPr>
      <w:r w:rsidRPr="007A7FB2">
        <w:rPr>
          <w:rFonts w:ascii="Times New Roman" w:hAnsi="Times New Roman"/>
        </w:rPr>
        <w:t>(3)</w:t>
      </w:r>
      <w:r w:rsidRPr="007A7FB2">
        <w:rPr>
          <w:rFonts w:ascii="Times New Roman" w:hAnsi="Times New Roman"/>
        </w:rPr>
        <w:tab/>
        <w:t>Hanssen agreed to "comply with all applicable workplace health and safety laws, codes and standards applicable to self</w:t>
      </w:r>
      <w:r w:rsidRPr="007A7FB2">
        <w:rPr>
          <w:rFonts w:ascii="Times New Roman" w:hAnsi="Times New Roman"/>
        </w:rPr>
        <w:noBreakHyphen/>
        <w:t xml:space="preserve">employed </w:t>
      </w:r>
      <w:r w:rsidRPr="007A7FB2">
        <w:rPr>
          <w:rFonts w:ascii="Times New Roman" w:hAnsi="Times New Roman"/>
          <w:i/>
        </w:rPr>
        <w:t>contractors</w:t>
      </w:r>
      <w:r w:rsidRPr="007A7FB2">
        <w:rPr>
          <w:rFonts w:ascii="Times New Roman" w:hAnsi="Times New Roman"/>
        </w:rPr>
        <w:t>"</w:t>
      </w:r>
      <w:r w:rsidRPr="007A7FB2">
        <w:rPr>
          <w:rStyle w:val="FootnoteReference"/>
          <w:rFonts w:ascii="Times New Roman" w:hAnsi="Times New Roman"/>
          <w:sz w:val="24"/>
        </w:rPr>
        <w:footnoteReference w:id="273"/>
      </w:r>
      <w:r w:rsidRPr="007A7FB2">
        <w:rPr>
          <w:rFonts w:ascii="Times New Roman" w:hAnsi="Times New Roman"/>
        </w:rPr>
        <w:t>; "not</w:t>
      </w:r>
      <w:r>
        <w:rPr>
          <w:rFonts w:ascii="Times New Roman" w:hAnsi="Times New Roman"/>
        </w:rPr>
        <w:t> </w:t>
      </w:r>
      <w:r w:rsidRPr="007A7FB2">
        <w:rPr>
          <w:rFonts w:ascii="Times New Roman" w:hAnsi="Times New Roman"/>
        </w:rPr>
        <w:t>to employ or contract" any contractor referred by Construct, "either</w:t>
      </w:r>
      <w:r>
        <w:rPr>
          <w:rFonts w:ascii="Times New Roman" w:hAnsi="Times New Roman"/>
        </w:rPr>
        <w:t> </w:t>
      </w:r>
      <w:r w:rsidRPr="007A7FB2">
        <w:rPr>
          <w:rFonts w:ascii="Times New Roman" w:hAnsi="Times New Roman"/>
        </w:rPr>
        <w:t>directly or indirectly through an interposed entity, within twelve months of their commencement of work" with Hanssen</w:t>
      </w:r>
      <w:r w:rsidRPr="007A7FB2">
        <w:rPr>
          <w:rStyle w:val="FootnoteReference"/>
          <w:rFonts w:ascii="Times New Roman" w:hAnsi="Times New Roman"/>
          <w:sz w:val="24"/>
        </w:rPr>
        <w:footnoteReference w:id="274"/>
      </w:r>
      <w:r w:rsidRPr="007A7FB2">
        <w:rPr>
          <w:rFonts w:ascii="Times New Roman" w:hAnsi="Times New Roman"/>
        </w:rPr>
        <w:t>; to ensure that a weekly schedule of units (with hours or pieces completed by each Construct contractor per week) was accurately compiled and sent to Construct in a specified manner and by a specified time</w:t>
      </w:r>
      <w:r w:rsidRPr="007A7FB2">
        <w:rPr>
          <w:rStyle w:val="FootnoteReference"/>
          <w:rFonts w:ascii="Times New Roman" w:hAnsi="Times New Roman"/>
          <w:sz w:val="24"/>
        </w:rPr>
        <w:footnoteReference w:id="275"/>
      </w:r>
      <w:r w:rsidRPr="007A7FB2">
        <w:rPr>
          <w:rFonts w:ascii="Times New Roman" w:hAnsi="Times New Roman"/>
        </w:rPr>
        <w:t>; and to pay invoices received from Construct within seven days</w:t>
      </w:r>
      <w:r w:rsidRPr="007A7FB2">
        <w:rPr>
          <w:rStyle w:val="FootnoteReference"/>
          <w:rFonts w:ascii="Times New Roman" w:hAnsi="Times New Roman"/>
          <w:sz w:val="24"/>
        </w:rPr>
        <w:footnoteReference w:id="276"/>
      </w:r>
      <w:r w:rsidRPr="007A7FB2">
        <w:rPr>
          <w:rFonts w:ascii="Times New Roman" w:hAnsi="Times New Roman"/>
        </w:rPr>
        <w:t>.</w:t>
      </w:r>
    </w:p>
    <w:p w14:paraId="69AD71DA"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On 27 July 2016, Mr McCourt arrived at the Concerto Project and participated in a site induction. During the induction, he was given a Hanssen site safety induction form and the Hanssen site rules. No contract existed between Mr</w:t>
      </w:r>
      <w:r>
        <w:rPr>
          <w:rFonts w:ascii="Times New Roman" w:hAnsi="Times New Roman"/>
        </w:rPr>
        <w:t> </w:t>
      </w:r>
      <w:r w:rsidRPr="007A7FB2">
        <w:rPr>
          <w:rFonts w:ascii="Times New Roman" w:hAnsi="Times New Roman"/>
        </w:rPr>
        <w:t>McCourt and Hanssen. Mr McCourt worked at the Concerto Project from 27</w:t>
      </w:r>
      <w:r>
        <w:rPr>
          <w:rFonts w:ascii="Times New Roman" w:hAnsi="Times New Roman"/>
        </w:rPr>
        <w:t> </w:t>
      </w:r>
      <w:r w:rsidRPr="007A7FB2">
        <w:rPr>
          <w:rFonts w:ascii="Times New Roman" w:hAnsi="Times New Roman"/>
        </w:rPr>
        <w:t>July 2016 to 6 November 2016. After finishing work at the Concerto Project in November 2016, Mr McCourt left Perth temporarily. He returned in March 2017. On 9 March 2017, Mr McCourt contacted Ms O'Grady, the "Finishing Foreman" at the Concerto Project, to ask if there was any work available. He resumed work at the Concerto Project on 14 March 2017 and continued until 24 June 2017. Mr</w:t>
      </w:r>
      <w:r>
        <w:rPr>
          <w:rFonts w:ascii="Times New Roman" w:hAnsi="Times New Roman"/>
        </w:rPr>
        <w:t> </w:t>
      </w:r>
      <w:r w:rsidRPr="007A7FB2">
        <w:rPr>
          <w:rFonts w:ascii="Times New Roman" w:hAnsi="Times New Roman"/>
        </w:rPr>
        <w:t xml:space="preserve">McCourt subsequently worked at another Hanssen site, "the Aire Project", from 26 June 2017 to 30 June 2017. On 30 June 2017, Mr McCourt was informed </w:t>
      </w:r>
      <w:r w:rsidRPr="007A7FB2">
        <w:rPr>
          <w:rFonts w:ascii="Times New Roman" w:hAnsi="Times New Roman"/>
        </w:rPr>
        <w:lastRenderedPageBreak/>
        <w:t>that he was not to go back to the Aire Project to work. Mr McCourt did not receive any further work from Construct.</w:t>
      </w:r>
    </w:p>
    <w:p w14:paraId="3DF5B866"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Mr McCourt and the Construction, Forestry, Maritime, Mining and Energy Union ("the CFMMEU") brought claims against Construct and Hanssen under ss 545, 546 and 547 of the Act for orders for compensation and penalties. They</w:t>
      </w:r>
      <w:r>
        <w:rPr>
          <w:rFonts w:ascii="Times New Roman" w:hAnsi="Times New Roman"/>
        </w:rPr>
        <w:t> </w:t>
      </w:r>
      <w:r w:rsidRPr="007A7FB2">
        <w:rPr>
          <w:rFonts w:ascii="Times New Roman" w:hAnsi="Times New Roman"/>
        </w:rPr>
        <w:t>alleged that Mr McCourt was not paid or treated according to the Building and Construction General On-Site Award 2010 ("the Award"). Mr McCourt was only entitled to be paid under the Award if he was an "employee" of Construct under the Act.</w:t>
      </w:r>
    </w:p>
    <w:p w14:paraId="16AFF2BB" w14:textId="77777777" w:rsidR="00782161" w:rsidRPr="007A7FB2" w:rsidRDefault="00782161" w:rsidP="007A7FB2">
      <w:pPr>
        <w:pStyle w:val="HeadingL1"/>
        <w:spacing w:after="260" w:line="280" w:lineRule="exact"/>
        <w:ind w:right="0"/>
        <w:jc w:val="both"/>
        <w:rPr>
          <w:rFonts w:ascii="Times New Roman" w:hAnsi="Times New Roman"/>
        </w:rPr>
      </w:pPr>
      <w:r w:rsidRPr="007A7FB2">
        <w:rPr>
          <w:rFonts w:ascii="Times New Roman" w:hAnsi="Times New Roman"/>
        </w:rPr>
        <w:t>The meaning of employee and employer</w:t>
      </w:r>
    </w:p>
    <w:p w14:paraId="76FFA2F5"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As we have seen, there was no dispute that the "ordinary meanings" of</w:t>
      </w:r>
      <w:r>
        <w:rPr>
          <w:rFonts w:ascii="Times New Roman" w:hAnsi="Times New Roman"/>
        </w:rPr>
        <w:t> </w:t>
      </w:r>
      <w:r w:rsidRPr="007A7FB2">
        <w:rPr>
          <w:rFonts w:ascii="Times New Roman" w:hAnsi="Times New Roman"/>
        </w:rPr>
        <w:t>employee and employer in the Act</w:t>
      </w:r>
      <w:r w:rsidRPr="007A7FB2" w:rsidDel="004331F3">
        <w:rPr>
          <w:rFonts w:ascii="Times New Roman" w:hAnsi="Times New Roman"/>
        </w:rPr>
        <w:t xml:space="preserve"> </w:t>
      </w:r>
      <w:r w:rsidRPr="007A7FB2">
        <w:rPr>
          <w:rFonts w:ascii="Times New Roman" w:hAnsi="Times New Roman"/>
        </w:rPr>
        <w:t xml:space="preserve">are the common law meanings of those terms and that the Act recognises that those terms have legal content. </w:t>
      </w:r>
    </w:p>
    <w:p w14:paraId="481B8598"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In deciding whether a relationship between two parties is one of employment, it is the "totality of the relationship" which must be considered</w:t>
      </w:r>
      <w:r w:rsidRPr="007A7FB2">
        <w:rPr>
          <w:rStyle w:val="FootnoteReference"/>
          <w:rFonts w:ascii="Times New Roman" w:hAnsi="Times New Roman"/>
          <w:sz w:val="24"/>
        </w:rPr>
        <w:footnoteReference w:id="277"/>
      </w:r>
      <w:r w:rsidRPr="007A7FB2">
        <w:rPr>
          <w:rFonts w:ascii="Times New Roman" w:hAnsi="Times New Roman"/>
        </w:rPr>
        <w:t xml:space="preserve">. That approach must be understood </w:t>
      </w:r>
      <w:proofErr w:type="gramStart"/>
      <w:r w:rsidRPr="007A7FB2">
        <w:rPr>
          <w:rFonts w:ascii="Times New Roman" w:hAnsi="Times New Roman"/>
        </w:rPr>
        <w:t>in light of</w:t>
      </w:r>
      <w:proofErr w:type="gramEnd"/>
      <w:r w:rsidRPr="007A7FB2">
        <w:rPr>
          <w:rFonts w:ascii="Times New Roman" w:hAnsi="Times New Roman"/>
        </w:rPr>
        <w:t xml:space="preserve"> the view, recently re-affirmed by six judges of this Court in </w:t>
      </w:r>
      <w:proofErr w:type="spellStart"/>
      <w:r w:rsidRPr="007A7FB2">
        <w:rPr>
          <w:rFonts w:ascii="Times New Roman" w:hAnsi="Times New Roman"/>
          <w:i/>
        </w:rPr>
        <w:t>WorkPac</w:t>
      </w:r>
      <w:proofErr w:type="spellEnd"/>
      <w:r w:rsidRPr="007A7FB2">
        <w:rPr>
          <w:rFonts w:ascii="Times New Roman" w:hAnsi="Times New Roman"/>
          <w:i/>
        </w:rPr>
        <w:t xml:space="preserve"> Pty Ltd v Rossato</w:t>
      </w:r>
      <w:r w:rsidRPr="007A7FB2">
        <w:rPr>
          <w:rStyle w:val="FootnoteReference"/>
          <w:rFonts w:ascii="Times New Roman" w:hAnsi="Times New Roman"/>
          <w:sz w:val="24"/>
        </w:rPr>
        <w:footnoteReference w:id="278"/>
      </w:r>
      <w:r w:rsidRPr="007A7FB2">
        <w:rPr>
          <w:rFonts w:ascii="Times New Roman" w:hAnsi="Times New Roman"/>
        </w:rPr>
        <w:t xml:space="preserve">, that "[a] court can determine the character of a legal relationship between the parties </w:t>
      </w:r>
      <w:r w:rsidRPr="007A7FB2">
        <w:rPr>
          <w:rFonts w:ascii="Times New Roman" w:hAnsi="Times New Roman"/>
          <w:i/>
        </w:rPr>
        <w:t>only</w:t>
      </w:r>
      <w:r w:rsidRPr="007A7FB2">
        <w:rPr>
          <w:rFonts w:ascii="Times New Roman" w:hAnsi="Times New Roman"/>
        </w:rPr>
        <w:t xml:space="preserve"> by reference to the legal rights and obligations which constitute that relationship" (emphasis added). In modern times, those legal rights and obligations derive from a contract of employment. That is because "[t]he employment relationship, in Australia, operates within a legal framework defined by statute and by common law principles, informing the construction and content of the contract of employment"</w:t>
      </w:r>
      <w:r w:rsidRPr="007A7FB2">
        <w:rPr>
          <w:rStyle w:val="FootnoteReference"/>
          <w:rFonts w:ascii="Times New Roman" w:hAnsi="Times New Roman"/>
          <w:sz w:val="24"/>
        </w:rPr>
        <w:footnoteReference w:id="279"/>
      </w:r>
      <w:r w:rsidRPr="007A7FB2">
        <w:rPr>
          <w:rFonts w:ascii="Times New Roman" w:hAnsi="Times New Roman"/>
        </w:rPr>
        <w:t xml:space="preserve">. Indeed, the evolution of the employment relationship is "a classic </w:t>
      </w:r>
      <w:r w:rsidRPr="007A7FB2">
        <w:rPr>
          <w:rFonts w:ascii="Times New Roman" w:hAnsi="Times New Roman"/>
        </w:rPr>
        <w:lastRenderedPageBreak/>
        <w:t>illustration of the shift from status (that of master and servant) to that of contract (between employer and employee)"</w:t>
      </w:r>
      <w:r w:rsidRPr="007A7FB2">
        <w:rPr>
          <w:rStyle w:val="FootnoteReference"/>
          <w:rFonts w:ascii="Times New Roman" w:hAnsi="Times New Roman"/>
          <w:sz w:val="24"/>
        </w:rPr>
        <w:footnoteReference w:id="280"/>
      </w:r>
      <w:r w:rsidRPr="007A7FB2">
        <w:rPr>
          <w:rFonts w:ascii="Times New Roman" w:hAnsi="Times New Roman"/>
        </w:rPr>
        <w:t xml:space="preserve">. </w:t>
      </w:r>
    </w:p>
    <w:p w14:paraId="62E0E3F8"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It follows that, in the case of a wholly written employment contract, the</w:t>
      </w:r>
      <w:r>
        <w:rPr>
          <w:rFonts w:ascii="Times New Roman" w:hAnsi="Times New Roman"/>
        </w:rPr>
        <w:t> </w:t>
      </w:r>
      <w:r w:rsidRPr="007A7FB2">
        <w:rPr>
          <w:rFonts w:ascii="Times New Roman" w:hAnsi="Times New Roman"/>
        </w:rPr>
        <w:t>"totality of the relationship" which must be considered is the totality of the legal rights and obligations provided for in the contract</w:t>
      </w:r>
      <w:r w:rsidRPr="007A7FB2">
        <w:rPr>
          <w:rStyle w:val="FootnoteReference"/>
          <w:rFonts w:ascii="Times New Roman" w:hAnsi="Times New Roman"/>
          <w:sz w:val="24"/>
        </w:rPr>
        <w:footnoteReference w:id="281"/>
      </w:r>
      <w:r w:rsidRPr="007A7FB2">
        <w:rPr>
          <w:rFonts w:ascii="Times New Roman" w:hAnsi="Times New Roman"/>
        </w:rPr>
        <w:t>. To ascertain those legal rights and obligations the contract in issue must be construed according to the established principles of contractual interpretation</w:t>
      </w:r>
      <w:r w:rsidRPr="007A7FB2">
        <w:rPr>
          <w:rStyle w:val="FootnoteReference"/>
          <w:rFonts w:ascii="Times New Roman" w:hAnsi="Times New Roman"/>
          <w:sz w:val="24"/>
        </w:rPr>
        <w:footnoteReference w:id="282"/>
      </w:r>
      <w:r w:rsidRPr="007A7FB2">
        <w:rPr>
          <w:rFonts w:ascii="Times New Roman" w:hAnsi="Times New Roman"/>
        </w:rPr>
        <w:t>. The statutory command to give "employee" and "employer" their ordinary meanings requires no less and permits no more</w:t>
      </w:r>
      <w:r w:rsidRPr="007A7FB2">
        <w:rPr>
          <w:rStyle w:val="FootnoteReference"/>
          <w:rFonts w:ascii="Times New Roman" w:hAnsi="Times New Roman"/>
          <w:sz w:val="24"/>
        </w:rPr>
        <w:footnoteReference w:id="283"/>
      </w:r>
      <w:r w:rsidRPr="007A7FB2">
        <w:rPr>
          <w:rFonts w:ascii="Times New Roman" w:hAnsi="Times New Roman"/>
        </w:rPr>
        <w:t xml:space="preserve">. </w:t>
      </w:r>
    </w:p>
    <w:p w14:paraId="6896936F"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The task is to construe and characterise the contract made between the parties at the time it was entered into</w:t>
      </w:r>
      <w:r w:rsidRPr="007A7FB2">
        <w:rPr>
          <w:rStyle w:val="FootnoteReference"/>
          <w:rFonts w:ascii="Times New Roman" w:hAnsi="Times New Roman"/>
          <w:sz w:val="24"/>
        </w:rPr>
        <w:footnoteReference w:id="284"/>
      </w:r>
      <w:r w:rsidRPr="007A7FB2">
        <w:rPr>
          <w:rFonts w:ascii="Times New Roman" w:hAnsi="Times New Roman"/>
        </w:rPr>
        <w:t>. The nature of the contracting parties, such</w:t>
      </w:r>
      <w:r>
        <w:rPr>
          <w:rFonts w:ascii="Times New Roman" w:hAnsi="Times New Roman"/>
        </w:rPr>
        <w:t> </w:t>
      </w:r>
      <w:r w:rsidRPr="007A7FB2">
        <w:rPr>
          <w:rFonts w:ascii="Times New Roman" w:hAnsi="Times New Roman"/>
        </w:rPr>
        <w:t>as where a contracting party is a separate entity or a partnership, rather than an individual, may suggest that the relationship between the parties is not that of employer and employee</w:t>
      </w:r>
      <w:r w:rsidRPr="007A7FB2">
        <w:rPr>
          <w:rStyle w:val="FootnoteReference"/>
          <w:rFonts w:ascii="Times New Roman" w:hAnsi="Times New Roman"/>
          <w:sz w:val="24"/>
        </w:rPr>
        <w:footnoteReference w:id="285"/>
      </w:r>
      <w:r w:rsidRPr="007A7FB2">
        <w:rPr>
          <w:rFonts w:ascii="Times New Roman" w:hAnsi="Times New Roman"/>
        </w:rPr>
        <w:t xml:space="preserve">. The way that the contractual terms address the mode of remuneration, the provision and maintenance of equipment, the obligation to work, the hours of work, the provision for holidays, the delegation of work, and </w:t>
      </w:r>
      <w:r w:rsidRPr="007A7FB2">
        <w:rPr>
          <w:rFonts w:ascii="Times New Roman" w:hAnsi="Times New Roman"/>
        </w:rPr>
        <w:lastRenderedPageBreak/>
        <w:t>where the right to exercise direction and control resides may together show that the relationship is not one of employer and employee</w:t>
      </w:r>
      <w:r w:rsidRPr="007A7FB2">
        <w:rPr>
          <w:rStyle w:val="FootnoteReference"/>
          <w:rFonts w:ascii="Times New Roman" w:hAnsi="Times New Roman"/>
          <w:sz w:val="24"/>
        </w:rPr>
        <w:footnoteReference w:id="286"/>
      </w:r>
      <w:r w:rsidRPr="007A7FB2">
        <w:rPr>
          <w:rFonts w:ascii="Times New Roman" w:hAnsi="Times New Roman"/>
        </w:rPr>
        <w:t xml:space="preserve">. </w:t>
      </w:r>
    </w:p>
    <w:p w14:paraId="73A2EA34" w14:textId="34FA0DD9"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 xml:space="preserve">Recourse may be had to events, circumstances and things external to the contract which are objective, </w:t>
      </w:r>
      <w:bookmarkStart w:id="2" w:name="_Hlk84966634"/>
      <w:r w:rsidRPr="007A7FB2">
        <w:rPr>
          <w:rFonts w:ascii="Times New Roman" w:hAnsi="Times New Roman"/>
        </w:rPr>
        <w:t xml:space="preserve">which are known to the parties </w:t>
      </w:r>
      <w:bookmarkEnd w:id="2"/>
      <w:r w:rsidRPr="007A7FB2">
        <w:rPr>
          <w:rFonts w:ascii="Times New Roman" w:hAnsi="Times New Roman"/>
        </w:rPr>
        <w:t>at the time of contracting and which assist in identifying the purpose or object of the contract</w:t>
      </w:r>
      <w:r w:rsidRPr="007A7FB2">
        <w:rPr>
          <w:rStyle w:val="FootnoteReference"/>
          <w:rFonts w:ascii="Times New Roman" w:hAnsi="Times New Roman"/>
          <w:sz w:val="24"/>
        </w:rPr>
        <w:footnoteReference w:id="287"/>
      </w:r>
      <w:r w:rsidRPr="007A7FB2">
        <w:rPr>
          <w:rFonts w:ascii="Times New Roman" w:hAnsi="Times New Roman"/>
        </w:rPr>
        <w:t xml:space="preserve">. The nature of the specific job that the purported employee applied for as well as the nature and extent of the equipment to be supplied by that purported employee for that </w:t>
      </w:r>
      <w:proofErr w:type="gramStart"/>
      <w:r w:rsidRPr="007A7FB2">
        <w:rPr>
          <w:rFonts w:ascii="Times New Roman" w:hAnsi="Times New Roman"/>
        </w:rPr>
        <w:t>particular job</w:t>
      </w:r>
      <w:proofErr w:type="gramEnd"/>
      <w:r w:rsidRPr="007A7FB2">
        <w:rPr>
          <w:rFonts w:ascii="Times New Roman" w:hAnsi="Times New Roman"/>
        </w:rPr>
        <w:t xml:space="preserve"> may well be relevant to the question of characterisation of the contract</w:t>
      </w:r>
      <w:r w:rsidRPr="007A7FB2">
        <w:rPr>
          <w:rStyle w:val="FootnoteReference"/>
          <w:rFonts w:ascii="Times New Roman" w:hAnsi="Times New Roman"/>
          <w:sz w:val="24"/>
        </w:rPr>
        <w:footnoteReference w:id="288"/>
      </w:r>
      <w:r w:rsidRPr="007A7FB2">
        <w:rPr>
          <w:rFonts w:ascii="Times New Roman" w:hAnsi="Times New Roman"/>
        </w:rPr>
        <w:t>. Indeed, it is often relevant, but not determinative, to observe that the purported employee must supply some uniform, tools or equipment</w:t>
      </w:r>
      <w:r w:rsidRPr="007A7FB2">
        <w:rPr>
          <w:rStyle w:val="FootnoteReference"/>
          <w:rFonts w:ascii="Times New Roman" w:hAnsi="Times New Roman"/>
          <w:sz w:val="24"/>
        </w:rPr>
        <w:footnoteReference w:id="289"/>
      </w:r>
      <w:r w:rsidRPr="007A7FB2">
        <w:rPr>
          <w:rFonts w:ascii="Times New Roman" w:hAnsi="Times New Roman"/>
        </w:rPr>
        <w:t>. But</w:t>
      </w:r>
      <w:r w:rsidR="00821109">
        <w:rPr>
          <w:rFonts w:ascii="Times New Roman" w:hAnsi="Times New Roman"/>
        </w:rPr>
        <w:t> </w:t>
      </w:r>
      <w:proofErr w:type="gramStart"/>
      <w:r w:rsidRPr="007A7FB2">
        <w:rPr>
          <w:rFonts w:ascii="Times New Roman" w:hAnsi="Times New Roman"/>
        </w:rPr>
        <w:t>again</w:t>
      </w:r>
      <w:proofErr w:type="gramEnd"/>
      <w:r w:rsidRPr="007A7FB2">
        <w:rPr>
          <w:rFonts w:ascii="Times New Roman" w:hAnsi="Times New Roman"/>
        </w:rPr>
        <w:t xml:space="preserve"> that observation must be made in context. The context is the nature and extent of what is required to be provided under the contract. In many forms of employment, employees provide their own uniform and bring their own tools to work.</w:t>
      </w:r>
    </w:p>
    <w:p w14:paraId="4BFFC7C6"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One "general principle" of construction of contracts is that "it is not legitimate to use as an aid in the construction of [a] contract anything which the parties said or did after it was made"</w:t>
      </w:r>
      <w:r w:rsidRPr="007A7FB2">
        <w:rPr>
          <w:rStyle w:val="FootnoteReference"/>
          <w:rFonts w:ascii="Times New Roman" w:hAnsi="Times New Roman"/>
          <w:sz w:val="24"/>
        </w:rPr>
        <w:footnoteReference w:id="290"/>
      </w:r>
      <w:r w:rsidRPr="007A7FB2">
        <w:rPr>
          <w:rFonts w:ascii="Times New Roman" w:hAnsi="Times New Roman"/>
        </w:rPr>
        <w:t xml:space="preserve"> (what might be described as "subsequent </w:t>
      </w:r>
      <w:r w:rsidRPr="007A7FB2">
        <w:rPr>
          <w:rFonts w:ascii="Times New Roman" w:hAnsi="Times New Roman"/>
        </w:rPr>
        <w:lastRenderedPageBreak/>
        <w:t>conduct"</w:t>
      </w:r>
      <w:r w:rsidRPr="007A7FB2">
        <w:rPr>
          <w:rStyle w:val="FootnoteReference"/>
          <w:rFonts w:ascii="Times New Roman" w:hAnsi="Times New Roman"/>
          <w:sz w:val="24"/>
        </w:rPr>
        <w:footnoteReference w:id="291"/>
      </w:r>
      <w:r w:rsidRPr="007A7FB2">
        <w:rPr>
          <w:rFonts w:ascii="Times New Roman" w:hAnsi="Times New Roman"/>
        </w:rPr>
        <w:t xml:space="preserve">). The rationale of the general principle, identified by Lord Reid in </w:t>
      </w:r>
      <w:r w:rsidRPr="007A7FB2">
        <w:rPr>
          <w:rFonts w:ascii="Times New Roman" w:hAnsi="Times New Roman"/>
          <w:i/>
        </w:rPr>
        <w:t>James Miller &amp; Partners Ltd v Whitworth Street Estates (Manchester) Ltd</w:t>
      </w:r>
      <w:r w:rsidRPr="007A7FB2">
        <w:rPr>
          <w:rStyle w:val="FootnoteReference"/>
          <w:rFonts w:ascii="Times New Roman" w:hAnsi="Times New Roman"/>
          <w:sz w:val="24"/>
        </w:rPr>
        <w:footnoteReference w:id="292"/>
      </w:r>
      <w:r w:rsidRPr="007A7FB2">
        <w:rPr>
          <w:rFonts w:ascii="Times New Roman" w:hAnsi="Times New Roman"/>
        </w:rPr>
        <w:t>, is to avoid the result "that a contract meant one thing the day it was signed, but by reason of subsequent events meant something different a month or a year later". The general principle may permit exceptions</w:t>
      </w:r>
      <w:r w:rsidRPr="007A7FB2">
        <w:rPr>
          <w:rStyle w:val="FootnoteReference"/>
          <w:rFonts w:ascii="Times New Roman" w:hAnsi="Times New Roman"/>
          <w:sz w:val="24"/>
        </w:rPr>
        <w:footnoteReference w:id="293"/>
      </w:r>
      <w:r w:rsidRPr="007A7FB2">
        <w:rPr>
          <w:rFonts w:ascii="Times New Roman" w:hAnsi="Times New Roman"/>
        </w:rPr>
        <w:t>. No party contended that any exception should be recognised in this appeal.</w:t>
      </w:r>
    </w:p>
    <w:p w14:paraId="2E9FCC93"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r>
      <w:bookmarkStart w:id="3" w:name="_Ref84589741"/>
      <w:r w:rsidRPr="007A7FB2">
        <w:rPr>
          <w:rFonts w:ascii="Times New Roman" w:hAnsi="Times New Roman"/>
        </w:rPr>
        <w:t>Of course, the general principle against the use of subsequent</w:t>
      </w:r>
      <w:r w:rsidRPr="007A7FB2" w:rsidDel="009B5FF8">
        <w:rPr>
          <w:rFonts w:ascii="Times New Roman" w:hAnsi="Times New Roman"/>
        </w:rPr>
        <w:t xml:space="preserve"> </w:t>
      </w:r>
      <w:r w:rsidRPr="007A7FB2">
        <w:rPr>
          <w:rFonts w:ascii="Times New Roman" w:hAnsi="Times New Roman"/>
        </w:rPr>
        <w:t xml:space="preserve">conduct in construing a contract wholly in writing says nothing against the admissibility of conduct for purposes </w:t>
      </w:r>
      <w:r w:rsidRPr="007A7FB2">
        <w:rPr>
          <w:rFonts w:ascii="Times New Roman" w:hAnsi="Times New Roman"/>
          <w:i/>
        </w:rPr>
        <w:t>unrelated</w:t>
      </w:r>
      <w:r w:rsidRPr="007A7FB2">
        <w:rPr>
          <w:rFonts w:ascii="Times New Roman" w:hAnsi="Times New Roman"/>
        </w:rPr>
        <w:t xml:space="preserve"> to construction, including in relation to: (1) </w:t>
      </w:r>
      <w:r w:rsidRPr="007A7FB2">
        <w:rPr>
          <w:rFonts w:ascii="Times New Roman" w:hAnsi="Times New Roman"/>
          <w:i/>
        </w:rPr>
        <w:t>formation</w:t>
      </w:r>
      <w:r w:rsidRPr="007A7FB2">
        <w:rPr>
          <w:rFonts w:ascii="Times New Roman" w:hAnsi="Times New Roman"/>
        </w:rPr>
        <w:t xml:space="preserve"> – to establish whether a contract was actually formed and when it was formed</w:t>
      </w:r>
      <w:r w:rsidRPr="007A7FB2">
        <w:rPr>
          <w:rStyle w:val="FootnoteReference"/>
          <w:rFonts w:ascii="Times New Roman" w:hAnsi="Times New Roman"/>
          <w:sz w:val="24"/>
        </w:rPr>
        <w:footnoteReference w:id="294"/>
      </w:r>
      <w:r w:rsidRPr="007A7FB2">
        <w:rPr>
          <w:rFonts w:ascii="Times New Roman" w:hAnsi="Times New Roman"/>
        </w:rPr>
        <w:t>; (2) </w:t>
      </w:r>
      <w:r w:rsidRPr="007A7FB2">
        <w:rPr>
          <w:rFonts w:ascii="Times New Roman" w:hAnsi="Times New Roman"/>
          <w:i/>
        </w:rPr>
        <w:t xml:space="preserve">contractual terms </w:t>
      </w:r>
      <w:r w:rsidRPr="007A7FB2">
        <w:rPr>
          <w:rFonts w:ascii="Times New Roman" w:hAnsi="Times New Roman"/>
        </w:rPr>
        <w:t>– where a contract is not wholly in writing, to establish the existence of a</w:t>
      </w:r>
      <w:r w:rsidRPr="007A7FB2" w:rsidDel="00846FD9">
        <w:rPr>
          <w:rFonts w:ascii="Times New Roman" w:hAnsi="Times New Roman"/>
        </w:rPr>
        <w:t xml:space="preserve"> </w:t>
      </w:r>
      <w:r w:rsidRPr="007A7FB2">
        <w:rPr>
          <w:rFonts w:ascii="Times New Roman" w:hAnsi="Times New Roman"/>
        </w:rPr>
        <w:t>contractual term or terms</w:t>
      </w:r>
      <w:r w:rsidRPr="007A7FB2">
        <w:rPr>
          <w:rStyle w:val="FootnoteReference"/>
          <w:rFonts w:ascii="Times New Roman" w:hAnsi="Times New Roman"/>
          <w:sz w:val="24"/>
        </w:rPr>
        <w:footnoteReference w:id="295"/>
      </w:r>
      <w:r w:rsidRPr="007A7FB2">
        <w:rPr>
          <w:rFonts w:ascii="Times New Roman" w:hAnsi="Times New Roman"/>
        </w:rPr>
        <w:t>;</w:t>
      </w:r>
      <w:r w:rsidRPr="007A7FB2" w:rsidDel="00426157">
        <w:rPr>
          <w:rFonts w:ascii="Times New Roman" w:hAnsi="Times New Roman"/>
        </w:rPr>
        <w:t xml:space="preserve"> </w:t>
      </w:r>
      <w:r w:rsidRPr="007A7FB2">
        <w:rPr>
          <w:rFonts w:ascii="Times New Roman" w:hAnsi="Times New Roman"/>
        </w:rPr>
        <w:t>(3) </w:t>
      </w:r>
      <w:r w:rsidRPr="007A7FB2">
        <w:rPr>
          <w:rFonts w:ascii="Times New Roman" w:hAnsi="Times New Roman"/>
          <w:i/>
        </w:rPr>
        <w:t xml:space="preserve">discharge or variation </w:t>
      </w:r>
      <w:r w:rsidRPr="007A7FB2">
        <w:rPr>
          <w:rFonts w:ascii="Times New Roman" w:hAnsi="Times New Roman"/>
        </w:rPr>
        <w:t xml:space="preserve">– to demonstrate that a subsequent agreement has been made varying one </w:t>
      </w:r>
      <w:r w:rsidRPr="007A7FB2">
        <w:rPr>
          <w:rFonts w:ascii="Times New Roman" w:hAnsi="Times New Roman"/>
        </w:rPr>
        <w:lastRenderedPageBreak/>
        <w:t>or more terms of the original contract</w:t>
      </w:r>
      <w:r w:rsidRPr="007A7FB2">
        <w:rPr>
          <w:rStyle w:val="FootnoteReference"/>
          <w:rFonts w:ascii="Times New Roman" w:hAnsi="Times New Roman"/>
          <w:sz w:val="24"/>
        </w:rPr>
        <w:footnoteReference w:id="296"/>
      </w:r>
      <w:r w:rsidRPr="007A7FB2">
        <w:rPr>
          <w:rFonts w:ascii="Times New Roman" w:hAnsi="Times New Roman"/>
        </w:rPr>
        <w:t>; (4) </w:t>
      </w:r>
      <w:r w:rsidRPr="007A7FB2">
        <w:rPr>
          <w:rFonts w:ascii="Times New Roman" w:hAnsi="Times New Roman"/>
          <w:i/>
        </w:rPr>
        <w:t>sham </w:t>
      </w:r>
      <w:r w:rsidRPr="007A7FB2">
        <w:rPr>
          <w:rFonts w:ascii="Times New Roman" w:hAnsi="Times New Roman"/>
        </w:rPr>
        <w:t>– to show that the contract was a "sham" in that it was brought into existence as "a mere piece of machinery" to serve some purpose other than that of constituting the whole of the arrangement</w:t>
      </w:r>
      <w:r w:rsidRPr="007A7FB2">
        <w:rPr>
          <w:rStyle w:val="FootnoteReference"/>
          <w:rFonts w:ascii="Times New Roman" w:hAnsi="Times New Roman"/>
          <w:sz w:val="24"/>
        </w:rPr>
        <w:footnoteReference w:id="297"/>
      </w:r>
      <w:r w:rsidRPr="007A7FB2">
        <w:rPr>
          <w:rFonts w:ascii="Times New Roman" w:hAnsi="Times New Roman"/>
        </w:rPr>
        <w:t xml:space="preserve">; and (5) </w:t>
      </w:r>
      <w:r w:rsidRPr="007A7FB2">
        <w:rPr>
          <w:rFonts w:ascii="Times New Roman" w:hAnsi="Times New Roman"/>
          <w:i/>
        </w:rPr>
        <w:t xml:space="preserve">other </w:t>
      </w:r>
      <w:r w:rsidRPr="007A7FB2">
        <w:rPr>
          <w:rFonts w:ascii="Times New Roman" w:hAnsi="Times New Roman"/>
        </w:rPr>
        <w:t>– to reveal "probative evidence of facts relevant to rectification, estoppel or any other legal, equitable or statutory rights or remedies that may impinge on an otherwise concluded, construed and interpreted contract"</w:t>
      </w:r>
      <w:r w:rsidRPr="007A7FB2">
        <w:rPr>
          <w:rStyle w:val="FootnoteReference"/>
          <w:rFonts w:ascii="Times New Roman" w:hAnsi="Times New Roman"/>
          <w:sz w:val="24"/>
        </w:rPr>
        <w:footnoteReference w:id="298"/>
      </w:r>
      <w:r w:rsidRPr="007A7FB2">
        <w:rPr>
          <w:rFonts w:ascii="Times New Roman" w:hAnsi="Times New Roman"/>
        </w:rPr>
        <w:t>. The relevance of subsequent conduct for the purposes of a particular statutory provision, legislative instrument or award was not in issue in this appeal.</w:t>
      </w:r>
      <w:bookmarkEnd w:id="3"/>
    </w:p>
    <w:p w14:paraId="4377EE7B"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 xml:space="preserve">It is necessary to say something further about the admissibility of conduct. Where a wholly written contract has expired but the parties' conduct suggests that there was an agreement to continue dealing on the same terms, a contract may be implied </w:t>
      </w:r>
      <w:r w:rsidRPr="007A7FB2">
        <w:rPr>
          <w:rFonts w:ascii="Times New Roman" w:hAnsi="Times New Roman"/>
          <w:i/>
        </w:rPr>
        <w:t>on those terms</w:t>
      </w:r>
      <w:r w:rsidRPr="007A7FB2">
        <w:rPr>
          <w:rFonts w:ascii="Times New Roman" w:hAnsi="Times New Roman"/>
        </w:rPr>
        <w:t xml:space="preserve"> (save as to duration and termination)</w:t>
      </w:r>
      <w:r w:rsidRPr="007A7FB2">
        <w:rPr>
          <w:rStyle w:val="FootnoteReference"/>
          <w:rFonts w:ascii="Times New Roman" w:hAnsi="Times New Roman"/>
          <w:sz w:val="24"/>
        </w:rPr>
        <w:footnoteReference w:id="299"/>
      </w:r>
      <w:r w:rsidRPr="007A7FB2">
        <w:rPr>
          <w:rFonts w:ascii="Times New Roman" w:hAnsi="Times New Roman"/>
        </w:rPr>
        <w:t>. The parties' conduct may also demonstrate "a tacit understanding or agreement" sufficient to show that there was a contract in the absence of an earlier express contract</w:t>
      </w:r>
      <w:r w:rsidRPr="007A7FB2">
        <w:rPr>
          <w:rStyle w:val="FootnoteReference"/>
          <w:rFonts w:ascii="Times New Roman" w:hAnsi="Times New Roman"/>
          <w:sz w:val="24"/>
        </w:rPr>
        <w:footnoteReference w:id="300"/>
      </w:r>
      <w:r w:rsidRPr="007A7FB2">
        <w:rPr>
          <w:rFonts w:ascii="Times New Roman" w:hAnsi="Times New Roman"/>
        </w:rPr>
        <w:t xml:space="preserve">. In a dynamic relationship where "new terms [may] be added or [may] supersede older </w:t>
      </w:r>
      <w:r w:rsidRPr="007A7FB2">
        <w:rPr>
          <w:rFonts w:ascii="Times New Roman" w:hAnsi="Times New Roman"/>
        </w:rPr>
        <w:lastRenderedPageBreak/>
        <w:t>terms", it</w:t>
      </w:r>
      <w:r>
        <w:rPr>
          <w:rFonts w:ascii="Times New Roman" w:hAnsi="Times New Roman"/>
        </w:rPr>
        <w:t> </w:t>
      </w:r>
      <w:r w:rsidRPr="007A7FB2">
        <w:rPr>
          <w:rFonts w:ascii="Times New Roman" w:hAnsi="Times New Roman"/>
        </w:rPr>
        <w:t>may also be necessary "to look at the whole relationship and not only at what was said and done when the relationship was first formed"</w:t>
      </w:r>
      <w:r w:rsidRPr="007A7FB2">
        <w:rPr>
          <w:rStyle w:val="FootnoteReference"/>
          <w:rFonts w:ascii="Times New Roman" w:hAnsi="Times New Roman"/>
          <w:sz w:val="24"/>
        </w:rPr>
        <w:footnoteReference w:id="301"/>
      </w:r>
      <w:r w:rsidRPr="007A7FB2">
        <w:rPr>
          <w:rFonts w:ascii="Times New Roman" w:hAnsi="Times New Roman"/>
        </w:rPr>
        <w:t>. The reference to the "whole relationship" should not be misunderstood. The inquiry remains an objective inquiry</w:t>
      </w:r>
      <w:r w:rsidRPr="007A7FB2">
        <w:rPr>
          <w:rStyle w:val="FootnoteReference"/>
          <w:rFonts w:ascii="Times New Roman" w:hAnsi="Times New Roman"/>
          <w:sz w:val="24"/>
        </w:rPr>
        <w:footnoteReference w:id="302"/>
      </w:r>
      <w:r w:rsidRPr="007A7FB2">
        <w:rPr>
          <w:rFonts w:ascii="Times New Roman" w:hAnsi="Times New Roman"/>
        </w:rPr>
        <w:t xml:space="preserve"> the purpose of which is to ascertain the terms the parties can be taken to have agreed</w:t>
      </w:r>
      <w:r w:rsidRPr="007A7FB2">
        <w:rPr>
          <w:rStyle w:val="FootnoteReference"/>
          <w:rFonts w:ascii="Times New Roman" w:hAnsi="Times New Roman"/>
          <w:sz w:val="24"/>
        </w:rPr>
        <w:footnoteReference w:id="303"/>
      </w:r>
      <w:r w:rsidRPr="007A7FB2">
        <w:rPr>
          <w:rFonts w:ascii="Times New Roman" w:hAnsi="Times New Roman"/>
        </w:rPr>
        <w:t>. It is not an approach directed to</w:t>
      </w:r>
      <w:r w:rsidRPr="007A7FB2" w:rsidDel="00B24FEC">
        <w:rPr>
          <w:rFonts w:ascii="Times New Roman" w:hAnsi="Times New Roman"/>
        </w:rPr>
        <w:t xml:space="preserve"> </w:t>
      </w:r>
      <w:r w:rsidRPr="007A7FB2">
        <w:rPr>
          <w:rFonts w:ascii="Times New Roman" w:hAnsi="Times New Roman"/>
        </w:rPr>
        <w:t xml:space="preserve">inquiring into the conduct of parties which is not adduced to establish the formation of </w:t>
      </w:r>
      <w:r>
        <w:rPr>
          <w:rFonts w:ascii="Times New Roman" w:hAnsi="Times New Roman"/>
        </w:rPr>
        <w:t xml:space="preserve">the contract </w:t>
      </w:r>
      <w:r w:rsidRPr="007A7FB2">
        <w:rPr>
          <w:rFonts w:ascii="Times New Roman" w:hAnsi="Times New Roman"/>
        </w:rPr>
        <w:t>or the terms on which the parties contracted.</w:t>
      </w:r>
    </w:p>
    <w:p w14:paraId="6B04BEAC"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i/>
        </w:rPr>
        <w:tab/>
      </w:r>
      <w:r w:rsidRPr="007A7FB2">
        <w:rPr>
          <w:rFonts w:ascii="Times New Roman" w:hAnsi="Times New Roman"/>
        </w:rPr>
        <w:t xml:space="preserve">The decision in </w:t>
      </w:r>
      <w:r w:rsidRPr="007A7FB2">
        <w:rPr>
          <w:rFonts w:ascii="Times New Roman" w:hAnsi="Times New Roman"/>
          <w:i/>
        </w:rPr>
        <w:t xml:space="preserve">R v Foster; Ex </w:t>
      </w:r>
      <w:proofErr w:type="spellStart"/>
      <w:r w:rsidRPr="007A7FB2">
        <w:rPr>
          <w:rFonts w:ascii="Times New Roman" w:hAnsi="Times New Roman"/>
          <w:i/>
        </w:rPr>
        <w:t>parte</w:t>
      </w:r>
      <w:proofErr w:type="spellEnd"/>
      <w:r w:rsidRPr="007A7FB2">
        <w:rPr>
          <w:rFonts w:ascii="Times New Roman" w:hAnsi="Times New Roman"/>
          <w:i/>
        </w:rPr>
        <w:t xml:space="preserve"> The Commonwealth Life (Amalgamated) Assurances Ltd</w:t>
      </w:r>
      <w:r w:rsidRPr="007A7FB2">
        <w:rPr>
          <w:rStyle w:val="FootnoteReference"/>
          <w:rFonts w:ascii="Times New Roman" w:hAnsi="Times New Roman"/>
          <w:sz w:val="24"/>
        </w:rPr>
        <w:footnoteReference w:id="304"/>
      </w:r>
      <w:r w:rsidRPr="007A7FB2">
        <w:rPr>
          <w:rFonts w:ascii="Times New Roman" w:hAnsi="Times New Roman"/>
        </w:rPr>
        <w:t xml:space="preserve"> is instructive. It was an application for an order nisi for a writ of prohibition directed to three judges of the Commonwealth Court of Conciliation and Arbitration ("the Arbitration Court") to restrain further proceedings in relation to an industrial award</w:t>
      </w:r>
      <w:r w:rsidRPr="007A7FB2">
        <w:rPr>
          <w:rStyle w:val="FootnoteReference"/>
          <w:rFonts w:ascii="Times New Roman" w:hAnsi="Times New Roman"/>
          <w:sz w:val="24"/>
        </w:rPr>
        <w:footnoteReference w:id="305"/>
      </w:r>
      <w:r w:rsidRPr="007A7FB2">
        <w:rPr>
          <w:rFonts w:ascii="Times New Roman" w:hAnsi="Times New Roman"/>
        </w:rPr>
        <w:t>. The award had been made in respect of adults engaged by an insurance company to sell insurance under a standard form agreement. This Court refused relief. It refused relief because there was a live issue that the standard form agreement was a sham</w:t>
      </w:r>
      <w:r w:rsidRPr="007A7FB2">
        <w:rPr>
          <w:rStyle w:val="FootnoteReference"/>
          <w:rFonts w:ascii="Times New Roman" w:hAnsi="Times New Roman"/>
          <w:sz w:val="24"/>
        </w:rPr>
        <w:footnoteReference w:id="306"/>
      </w:r>
      <w:r w:rsidRPr="007A7FB2">
        <w:rPr>
          <w:rFonts w:ascii="Times New Roman" w:hAnsi="Times New Roman"/>
        </w:rPr>
        <w:t>. The Court expressly decided not to determine that issue</w:t>
      </w:r>
      <w:r w:rsidRPr="007A7FB2">
        <w:rPr>
          <w:rStyle w:val="FootnoteReference"/>
          <w:rFonts w:ascii="Times New Roman" w:hAnsi="Times New Roman"/>
          <w:sz w:val="24"/>
        </w:rPr>
        <w:footnoteReference w:id="307"/>
      </w:r>
      <w:r w:rsidRPr="007A7FB2">
        <w:rPr>
          <w:rFonts w:ascii="Times New Roman" w:hAnsi="Times New Roman"/>
        </w:rPr>
        <w:t xml:space="preserve">. Whether a particular adult engaged by the insurance company was or was not an employee was a matter to be determined by the Arbitration Court. </w:t>
      </w:r>
      <w:proofErr w:type="gramStart"/>
      <w:r w:rsidRPr="007A7FB2">
        <w:rPr>
          <w:rFonts w:ascii="Times New Roman" w:hAnsi="Times New Roman"/>
        </w:rPr>
        <w:t>In particular, references</w:t>
      </w:r>
      <w:proofErr w:type="gramEnd"/>
      <w:r w:rsidRPr="007A7FB2">
        <w:rPr>
          <w:rFonts w:ascii="Times New Roman" w:hAnsi="Times New Roman"/>
        </w:rPr>
        <w:t xml:space="preserve"> to what was happening "in practice"</w:t>
      </w:r>
      <w:r w:rsidRPr="007A7FB2">
        <w:rPr>
          <w:rStyle w:val="FootnoteReference"/>
          <w:rFonts w:ascii="Times New Roman" w:hAnsi="Times New Roman"/>
          <w:sz w:val="24"/>
        </w:rPr>
        <w:footnoteReference w:id="308"/>
      </w:r>
      <w:r w:rsidRPr="007A7FB2">
        <w:rPr>
          <w:rFonts w:ascii="Times New Roman" w:hAnsi="Times New Roman"/>
        </w:rPr>
        <w:t xml:space="preserve"> were provoked by and addressing the allegation of sham and, no less significantly, seeking to explain why the High Court could not resolve that issue. </w:t>
      </w:r>
      <w:r w:rsidRPr="007A7FB2">
        <w:rPr>
          <w:rFonts w:ascii="Times New Roman" w:hAnsi="Times New Roman"/>
          <w:i/>
        </w:rPr>
        <w:t>Foster </w:t>
      </w:r>
      <w:r w:rsidRPr="007A7FB2">
        <w:rPr>
          <w:rFonts w:ascii="Times New Roman" w:hAnsi="Times New Roman"/>
        </w:rPr>
        <w:t xml:space="preserve">illustrates the necessity of identifying the precise question being </w:t>
      </w:r>
      <w:r w:rsidRPr="007A7FB2">
        <w:rPr>
          <w:rFonts w:ascii="Times New Roman" w:hAnsi="Times New Roman"/>
        </w:rPr>
        <w:lastRenderedPageBreak/>
        <w:t xml:space="preserve">addressed – there, a question of sham – and the relevance of evidence and statements of judicial principle to that question. </w:t>
      </w:r>
    </w:p>
    <w:p w14:paraId="3013AC18"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In construction of an employment contract it is not necessary to ask whether the</w:t>
      </w:r>
      <w:r w:rsidRPr="007A7FB2" w:rsidDel="00F26C29">
        <w:rPr>
          <w:rFonts w:ascii="Times New Roman" w:hAnsi="Times New Roman"/>
        </w:rPr>
        <w:t xml:space="preserve"> </w:t>
      </w:r>
      <w:r w:rsidRPr="007A7FB2">
        <w:rPr>
          <w:rFonts w:ascii="Times New Roman" w:hAnsi="Times New Roman"/>
        </w:rPr>
        <w:t xml:space="preserve">purported </w:t>
      </w:r>
      <w:r w:rsidRPr="007A7FB2">
        <w:rPr>
          <w:rFonts w:ascii="Times New Roman" w:hAnsi="Times New Roman"/>
          <w:i/>
        </w:rPr>
        <w:t>employee</w:t>
      </w:r>
      <w:r w:rsidRPr="007A7FB2">
        <w:rPr>
          <w:rFonts w:ascii="Times New Roman" w:hAnsi="Times New Roman"/>
        </w:rPr>
        <w:t xml:space="preserve"> conducts their own business</w:t>
      </w:r>
      <w:r w:rsidRPr="007A7FB2">
        <w:rPr>
          <w:rStyle w:val="FootnoteReference"/>
          <w:rFonts w:ascii="Times New Roman" w:hAnsi="Times New Roman"/>
          <w:sz w:val="24"/>
        </w:rPr>
        <w:footnoteReference w:id="309"/>
      </w:r>
      <w:r w:rsidRPr="007A7FB2">
        <w:rPr>
          <w:rFonts w:ascii="Times New Roman" w:hAnsi="Times New Roman"/>
        </w:rPr>
        <w:t>. That is, the inquiry is not to be reduced to a binary choice between employment or own business. The</w:t>
      </w:r>
      <w:r>
        <w:rPr>
          <w:rFonts w:ascii="Times New Roman" w:hAnsi="Times New Roman"/>
        </w:rPr>
        <w:t> </w:t>
      </w:r>
      <w:r w:rsidRPr="007A7FB2">
        <w:rPr>
          <w:rFonts w:ascii="Times New Roman" w:hAnsi="Times New Roman"/>
        </w:rPr>
        <w:t xml:space="preserve">question must always focus on the nature of the relationship created by the contract between the parties. </w:t>
      </w:r>
    </w:p>
    <w:p w14:paraId="7DBDE5DD"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Asking whether a person is working in their own business may not always be a suitable inquiry for modern working relationships. It may not take very much for a person, be they low-skilled or otherwise, to be carrying on their own business</w:t>
      </w:r>
      <w:r w:rsidRPr="007A7FB2">
        <w:rPr>
          <w:rStyle w:val="FootnoteReference"/>
          <w:rFonts w:ascii="Times New Roman" w:hAnsi="Times New Roman"/>
          <w:sz w:val="24"/>
        </w:rPr>
        <w:footnoteReference w:id="310"/>
      </w:r>
      <w:r w:rsidRPr="007A7FB2">
        <w:rPr>
          <w:rFonts w:ascii="Times New Roman" w:hAnsi="Times New Roman"/>
        </w:rPr>
        <w:t>. The reality of modern working arrangements, the gig economy, and the possibility that workers might work in their own business as well as one or more other businesses in the same week, suggest that focusing the analysis on "own business" considerations distracts attention from the relevant analysis – whether the totality of the relationship created by contract between the person and a purported employer is one of employee and employer</w:t>
      </w:r>
      <w:r w:rsidRPr="007A7FB2">
        <w:rPr>
          <w:rStyle w:val="FootnoteReference"/>
          <w:rFonts w:ascii="Times New Roman" w:hAnsi="Times New Roman"/>
          <w:sz w:val="24"/>
        </w:rPr>
        <w:footnoteReference w:id="311"/>
      </w:r>
      <w:r w:rsidRPr="007A7FB2">
        <w:rPr>
          <w:rFonts w:ascii="Times New Roman" w:hAnsi="Times New Roman"/>
        </w:rPr>
        <w:t xml:space="preserve">. The parties to, and the terms of, the contract </w:t>
      </w:r>
      <w:r w:rsidRPr="007A7FB2">
        <w:rPr>
          <w:rFonts w:ascii="Times New Roman" w:hAnsi="Times New Roman"/>
          <w:i/>
        </w:rPr>
        <w:t>may</w:t>
      </w:r>
      <w:r w:rsidRPr="007A7FB2">
        <w:rPr>
          <w:rFonts w:ascii="Times New Roman" w:hAnsi="Times New Roman"/>
        </w:rPr>
        <w:t xml:space="preserve"> show that the purported employee entered into the contract as part of their own business. </w:t>
      </w:r>
    </w:p>
    <w:p w14:paraId="7928449F"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r>
      <w:bookmarkStart w:id="4" w:name="_Hlk84512779"/>
      <w:r w:rsidRPr="007A7FB2">
        <w:rPr>
          <w:rFonts w:ascii="Times New Roman" w:hAnsi="Times New Roman"/>
        </w:rPr>
        <w:t>Another reason for not asking whether a person is carrying on a business of their own is that that inquiry will ordinarily direct attention to matters which are not recorded in the contract, such as what "the parties said or did after it was made"</w:t>
      </w:r>
      <w:r w:rsidRPr="007A7FB2">
        <w:rPr>
          <w:rStyle w:val="FootnoteReference"/>
          <w:rFonts w:ascii="Times New Roman" w:hAnsi="Times New Roman"/>
          <w:sz w:val="24"/>
        </w:rPr>
        <w:footnoteReference w:id="312"/>
      </w:r>
      <w:r w:rsidRPr="007A7FB2">
        <w:rPr>
          <w:rFonts w:ascii="Times New Roman" w:hAnsi="Times New Roman"/>
        </w:rPr>
        <w:t>.</w:t>
      </w:r>
      <w:bookmarkEnd w:id="4"/>
      <w:r w:rsidRPr="007A7FB2">
        <w:rPr>
          <w:rFonts w:ascii="Times New Roman" w:hAnsi="Times New Roman"/>
        </w:rPr>
        <w:t xml:space="preserve"> For instance, in </w:t>
      </w:r>
      <w:r w:rsidRPr="007A7FB2">
        <w:rPr>
          <w:rFonts w:ascii="Times New Roman" w:hAnsi="Times New Roman"/>
          <w:i/>
        </w:rPr>
        <w:t>Fair Work Ombudsman v Quest South Perth Holdings Pty Ltd</w:t>
      </w:r>
      <w:r w:rsidRPr="007A7FB2">
        <w:rPr>
          <w:rStyle w:val="FootnoteReference"/>
          <w:rFonts w:ascii="Times New Roman" w:hAnsi="Times New Roman"/>
          <w:sz w:val="24"/>
        </w:rPr>
        <w:footnoteReference w:id="313"/>
      </w:r>
      <w:r w:rsidRPr="007A7FB2">
        <w:rPr>
          <w:rFonts w:ascii="Times New Roman" w:hAnsi="Times New Roman"/>
        </w:rPr>
        <w:t xml:space="preserve">, North and Bromberg JJ </w:t>
      </w:r>
      <w:r w:rsidRPr="007A7FB2" w:rsidDel="0077205F">
        <w:rPr>
          <w:rFonts w:ascii="Times New Roman" w:hAnsi="Times New Roman"/>
        </w:rPr>
        <w:t xml:space="preserve">said </w:t>
      </w:r>
      <w:r w:rsidRPr="007A7FB2">
        <w:rPr>
          <w:rFonts w:ascii="Times New Roman" w:hAnsi="Times New Roman"/>
        </w:rPr>
        <w:t xml:space="preserve">that some of the "hallmarks of a business" </w:t>
      </w:r>
      <w:r w:rsidRPr="007A7FB2">
        <w:rPr>
          <w:rFonts w:ascii="Times New Roman" w:hAnsi="Times New Roman"/>
        </w:rPr>
        <w:lastRenderedPageBreak/>
        <w:t>are conducting a commercial enterprise "as a going concern", the "acquisition and use of both tangible and intangible assets in the pursuit of profit", the "notion of system, repetition and continuity", and "</w:t>
      </w:r>
      <w:proofErr w:type="spellStart"/>
      <w:r w:rsidRPr="007A7FB2">
        <w:rPr>
          <w:rFonts w:ascii="Times New Roman" w:hAnsi="Times New Roman"/>
        </w:rPr>
        <w:t>operat</w:t>
      </w:r>
      <w:proofErr w:type="spellEnd"/>
      <w:r w:rsidRPr="007A7FB2">
        <w:rPr>
          <w:rFonts w:ascii="Times New Roman" w:hAnsi="Times New Roman"/>
        </w:rPr>
        <w:t>[</w:t>
      </w:r>
      <w:proofErr w:type="spellStart"/>
      <w:r w:rsidRPr="007A7FB2">
        <w:rPr>
          <w:rFonts w:ascii="Times New Roman" w:hAnsi="Times New Roman"/>
        </w:rPr>
        <w:t>ing</w:t>
      </w:r>
      <w:proofErr w:type="spellEnd"/>
      <w:r w:rsidRPr="007A7FB2">
        <w:rPr>
          <w:rFonts w:ascii="Times New Roman" w:hAnsi="Times New Roman"/>
        </w:rPr>
        <w:t>] in a business-like way". But,</w:t>
      </w:r>
      <w:r>
        <w:rPr>
          <w:rFonts w:ascii="Times New Roman" w:hAnsi="Times New Roman"/>
        </w:rPr>
        <w:t> </w:t>
      </w:r>
      <w:r w:rsidRPr="007A7FB2">
        <w:rPr>
          <w:rFonts w:ascii="Times New Roman" w:hAnsi="Times New Roman"/>
        </w:rPr>
        <w:t>unless those matters are provided for in the contract, they are not relevant and should be put to one side.</w:t>
      </w:r>
    </w:p>
    <w:p w14:paraId="18DD72FD"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 xml:space="preserve">The better question to ask is whether, by construction of the terms of the contract, the person is </w:t>
      </w:r>
      <w:r w:rsidRPr="007A7FB2">
        <w:rPr>
          <w:rFonts w:ascii="Times New Roman" w:hAnsi="Times New Roman"/>
          <w:i/>
        </w:rPr>
        <w:t>contracted to work in the business</w:t>
      </w:r>
      <w:r w:rsidRPr="007A7FB2">
        <w:rPr>
          <w:rFonts w:ascii="Times New Roman" w:hAnsi="Times New Roman"/>
        </w:rPr>
        <w:t xml:space="preserve"> </w:t>
      </w:r>
      <w:r w:rsidRPr="007A7FB2">
        <w:rPr>
          <w:rFonts w:ascii="Times New Roman" w:hAnsi="Times New Roman"/>
          <w:i/>
        </w:rPr>
        <w:t>or enterprise of</w:t>
      </w:r>
      <w:r w:rsidRPr="007A7FB2">
        <w:rPr>
          <w:rFonts w:ascii="Times New Roman" w:hAnsi="Times New Roman"/>
        </w:rPr>
        <w:t xml:space="preserve"> the purported employer</w:t>
      </w:r>
      <w:r w:rsidRPr="007A7FB2">
        <w:rPr>
          <w:rStyle w:val="FootnoteReference"/>
          <w:rFonts w:ascii="Times New Roman" w:hAnsi="Times New Roman"/>
          <w:sz w:val="24"/>
        </w:rPr>
        <w:footnoteReference w:id="314"/>
      </w:r>
      <w:r w:rsidRPr="007A7FB2">
        <w:rPr>
          <w:rFonts w:ascii="Times New Roman" w:hAnsi="Times New Roman"/>
        </w:rPr>
        <w:t>. That question is focused on the contract, the nature of the relationship disclosed by the contract and, in this context, whether the contract discloses that the person is working in the business of the purported employer. It invites no</w:t>
      </w:r>
      <w:r w:rsidRPr="007A7FB2" w:rsidDel="007F15F1">
        <w:rPr>
          <w:rFonts w:ascii="Times New Roman" w:hAnsi="Times New Roman"/>
        </w:rPr>
        <w:t xml:space="preserve"> </w:t>
      </w:r>
      <w:r w:rsidRPr="007A7FB2">
        <w:rPr>
          <w:rFonts w:ascii="Times New Roman" w:hAnsi="Times New Roman"/>
        </w:rPr>
        <w:t>inquiry into subsequent conduct</w:t>
      </w:r>
      <w:r w:rsidRPr="007A7FB2">
        <w:rPr>
          <w:rStyle w:val="FootnoteReference"/>
          <w:rFonts w:ascii="Times New Roman" w:hAnsi="Times New Roman"/>
          <w:sz w:val="24"/>
        </w:rPr>
        <w:footnoteReference w:id="315"/>
      </w:r>
      <w:r w:rsidRPr="007A7FB2">
        <w:rPr>
          <w:rFonts w:ascii="Times New Roman" w:hAnsi="Times New Roman"/>
        </w:rPr>
        <w:t xml:space="preserve">. A consequence of a negative answer to that alternative question may be that the person is not an employee. Another consequence may be, but does not have to be, that they have their own business. As five judges of this Court said in </w:t>
      </w:r>
      <w:r w:rsidRPr="007A7FB2">
        <w:rPr>
          <w:rFonts w:ascii="Times New Roman" w:hAnsi="Times New Roman"/>
          <w:i/>
        </w:rPr>
        <w:t xml:space="preserve">Hollis v </w:t>
      </w:r>
      <w:proofErr w:type="spellStart"/>
      <w:r w:rsidRPr="007A7FB2">
        <w:rPr>
          <w:rFonts w:ascii="Times New Roman" w:hAnsi="Times New Roman"/>
          <w:i/>
        </w:rPr>
        <w:t>Vabu</w:t>
      </w:r>
      <w:proofErr w:type="spellEnd"/>
      <w:r w:rsidRPr="007A7FB2">
        <w:rPr>
          <w:rFonts w:ascii="Times New Roman" w:hAnsi="Times New Roman"/>
          <w:i/>
        </w:rPr>
        <w:t xml:space="preserve"> Pty Ltd</w:t>
      </w:r>
      <w:r w:rsidRPr="007A7FB2">
        <w:rPr>
          <w:rStyle w:val="FootnoteReference"/>
          <w:rFonts w:ascii="Times New Roman" w:hAnsi="Times New Roman"/>
          <w:sz w:val="24"/>
        </w:rPr>
        <w:footnoteReference w:id="316"/>
      </w:r>
      <w:r w:rsidRPr="007A7FB2">
        <w:rPr>
          <w:rFonts w:ascii="Times New Roman" w:hAnsi="Times New Roman"/>
        </w:rPr>
        <w:t>, both</w:t>
      </w:r>
      <w:r>
        <w:rPr>
          <w:rFonts w:ascii="Times New Roman" w:hAnsi="Times New Roman"/>
        </w:rPr>
        <w:t> </w:t>
      </w:r>
      <w:r w:rsidRPr="007A7FB2">
        <w:rPr>
          <w:rFonts w:ascii="Times New Roman" w:hAnsi="Times New Roman"/>
        </w:rPr>
        <w:t xml:space="preserve">employees </w:t>
      </w:r>
      <w:r w:rsidRPr="007A7FB2">
        <w:rPr>
          <w:rFonts w:ascii="Times New Roman" w:hAnsi="Times New Roman"/>
          <w:i/>
        </w:rPr>
        <w:t>and</w:t>
      </w:r>
      <w:r w:rsidRPr="007A7FB2">
        <w:rPr>
          <w:rFonts w:ascii="Times New Roman" w:hAnsi="Times New Roman"/>
        </w:rPr>
        <w:t xml:space="preserve"> contractors can work "for the benefit of" their employers and principals respectively, and so that, "</w:t>
      </w:r>
      <w:r w:rsidRPr="007A7FB2">
        <w:rPr>
          <w:rFonts w:ascii="Times New Roman" w:hAnsi="Times New Roman"/>
          <w:i/>
        </w:rPr>
        <w:t>by itself</w:t>
      </w:r>
      <w:r w:rsidRPr="007A7FB2">
        <w:rPr>
          <w:rFonts w:ascii="Times New Roman" w:hAnsi="Times New Roman"/>
        </w:rPr>
        <w:t>", cannot be a sufficient indication that a person is an employee (emphasis added). That does not detract from the fact that where the contract is oral, or partly oral and partly in writing, subsequent conduct may be admissible in specific circumstances for specific purposes – to objectively determine the point at which the contract was formed,</w:t>
      </w:r>
      <w:r w:rsidRPr="007A7FB2" w:rsidDel="00B97633">
        <w:rPr>
          <w:rFonts w:ascii="Times New Roman" w:hAnsi="Times New Roman"/>
        </w:rPr>
        <w:t xml:space="preserve"> </w:t>
      </w:r>
      <w:r w:rsidRPr="007A7FB2">
        <w:rPr>
          <w:rFonts w:ascii="Times New Roman" w:hAnsi="Times New Roman"/>
        </w:rPr>
        <w:t>the</w:t>
      </w:r>
      <w:r>
        <w:rPr>
          <w:rFonts w:ascii="Times New Roman" w:hAnsi="Times New Roman"/>
        </w:rPr>
        <w:t> </w:t>
      </w:r>
      <w:r w:rsidRPr="007A7FB2">
        <w:rPr>
          <w:rFonts w:ascii="Times New Roman" w:hAnsi="Times New Roman"/>
        </w:rPr>
        <w:t>contractual terms that were agreed or whether the contract has been varied or discharged</w:t>
      </w:r>
      <w:r w:rsidRPr="007A7FB2">
        <w:rPr>
          <w:rStyle w:val="FootnoteReference"/>
          <w:rFonts w:ascii="Times New Roman" w:hAnsi="Times New Roman"/>
          <w:sz w:val="24"/>
        </w:rPr>
        <w:footnoteReference w:id="317"/>
      </w:r>
      <w:r w:rsidRPr="007A7FB2">
        <w:rPr>
          <w:rFonts w:ascii="Times New Roman" w:hAnsi="Times New Roman"/>
        </w:rPr>
        <w:t xml:space="preserve">. </w:t>
      </w:r>
    </w:p>
    <w:p w14:paraId="029104B1"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r>
      <w:bookmarkStart w:id="5" w:name="_Ref84602776"/>
      <w:r w:rsidRPr="007A7FB2">
        <w:rPr>
          <w:rFonts w:ascii="Times New Roman" w:hAnsi="Times New Roman"/>
        </w:rPr>
        <w:t>This Court has previously cautioned against ascribing too much weight to "labels" used by parties to describe their relationship</w:t>
      </w:r>
      <w:r w:rsidRPr="007A7FB2">
        <w:rPr>
          <w:rStyle w:val="FootnoteReference"/>
          <w:rFonts w:ascii="Times New Roman" w:hAnsi="Times New Roman"/>
          <w:sz w:val="24"/>
        </w:rPr>
        <w:footnoteReference w:id="318"/>
      </w:r>
      <w:r w:rsidRPr="007A7FB2">
        <w:rPr>
          <w:rFonts w:ascii="Times New Roman" w:hAnsi="Times New Roman"/>
        </w:rPr>
        <w:t xml:space="preserve">. The whole of the contract </w:t>
      </w:r>
      <w:r w:rsidRPr="007A7FB2">
        <w:rPr>
          <w:rFonts w:ascii="Times New Roman" w:hAnsi="Times New Roman"/>
        </w:rPr>
        <w:lastRenderedPageBreak/>
        <w:t>is to be construed including whatever labels the parties have used to describe their relationship, but those labels are not determinative: "parties cannot deem the relationship between themselves to be something it is not"</w:t>
      </w:r>
      <w:r w:rsidRPr="007A7FB2">
        <w:rPr>
          <w:rStyle w:val="FootnoteReference"/>
          <w:rFonts w:ascii="Times New Roman" w:hAnsi="Times New Roman"/>
          <w:sz w:val="24"/>
        </w:rPr>
        <w:footnoteReference w:id="319"/>
      </w:r>
      <w:r w:rsidRPr="007A7FB2">
        <w:rPr>
          <w:rFonts w:ascii="Times New Roman" w:hAnsi="Times New Roman"/>
        </w:rPr>
        <w:t xml:space="preserve">. Adopting and adapting what was said by Gleeson CJ, </w:t>
      </w:r>
      <w:proofErr w:type="spellStart"/>
      <w:r w:rsidRPr="007A7FB2">
        <w:rPr>
          <w:rFonts w:ascii="Times New Roman" w:hAnsi="Times New Roman"/>
        </w:rPr>
        <w:t>Gummow</w:t>
      </w:r>
      <w:proofErr w:type="spellEnd"/>
      <w:r w:rsidRPr="007A7FB2">
        <w:rPr>
          <w:rFonts w:ascii="Times New Roman" w:hAnsi="Times New Roman"/>
        </w:rPr>
        <w:t xml:space="preserve">, Kirby, Hayne and </w:t>
      </w:r>
      <w:proofErr w:type="spellStart"/>
      <w:r w:rsidRPr="007A7FB2">
        <w:rPr>
          <w:rFonts w:ascii="Times New Roman" w:hAnsi="Times New Roman"/>
        </w:rPr>
        <w:t>Crennan</w:t>
      </w:r>
      <w:proofErr w:type="spellEnd"/>
      <w:r w:rsidRPr="007A7FB2">
        <w:rPr>
          <w:rFonts w:ascii="Times New Roman" w:hAnsi="Times New Roman"/>
        </w:rPr>
        <w:t xml:space="preserve"> JJ in </w:t>
      </w:r>
      <w:r w:rsidRPr="007A7FB2">
        <w:rPr>
          <w:rFonts w:ascii="Times New Roman" w:hAnsi="Times New Roman"/>
          <w:i/>
        </w:rPr>
        <w:t>Bluebottle UK</w:t>
      </w:r>
      <w:r w:rsidRPr="007A7FB2">
        <w:rPr>
          <w:rFonts w:ascii="Times New Roman" w:hAnsi="Times New Roman"/>
        </w:rPr>
        <w:t xml:space="preserve"> </w:t>
      </w:r>
      <w:r w:rsidRPr="007A7FB2">
        <w:rPr>
          <w:rFonts w:ascii="Times New Roman" w:hAnsi="Times New Roman"/>
          <w:i/>
          <w:szCs w:val="18"/>
        </w:rPr>
        <w:t>Ltd v Deputy Commissioner of Taxation</w:t>
      </w:r>
      <w:r w:rsidRPr="007A7FB2">
        <w:rPr>
          <w:rStyle w:val="FootnoteReference"/>
          <w:rFonts w:ascii="Times New Roman" w:hAnsi="Times New Roman"/>
          <w:sz w:val="24"/>
          <w:szCs w:val="18"/>
        </w:rPr>
        <w:footnoteReference w:id="320"/>
      </w:r>
      <w:r w:rsidRPr="007A7FB2">
        <w:rPr>
          <w:rFonts w:ascii="Times New Roman" w:hAnsi="Times New Roman"/>
          <w:szCs w:val="18"/>
        </w:rPr>
        <w:t xml:space="preserve"> </w:t>
      </w:r>
      <w:r w:rsidRPr="007A7FB2">
        <w:rPr>
          <w:rFonts w:ascii="Times New Roman" w:hAnsi="Times New Roman"/>
        </w:rPr>
        <w:t>in relation to a clause of deeds of assignment headed "Equitable and Legal Assignments": the</w:t>
      </w:r>
      <w:r>
        <w:rPr>
          <w:rFonts w:ascii="Times New Roman" w:hAnsi="Times New Roman"/>
        </w:rPr>
        <w:t> </w:t>
      </w:r>
      <w:r w:rsidRPr="007A7FB2">
        <w:rPr>
          <w:rFonts w:ascii="Times New Roman" w:hAnsi="Times New Roman"/>
        </w:rPr>
        <w:t xml:space="preserve">classification adopted by the parties in the contract is not determinative. The classification turns upon the identification of the nature and content of the rights created by the contract and the identity of those parties which enjoyed those rights. The contract can have no greater efficacy than that </w:t>
      </w:r>
      <w:r w:rsidRPr="007A7FB2" w:rsidDel="006D2340">
        <w:rPr>
          <w:rFonts w:ascii="Times New Roman" w:hAnsi="Times New Roman"/>
        </w:rPr>
        <w:t>given by</w:t>
      </w:r>
      <w:r w:rsidRPr="007A7FB2">
        <w:rPr>
          <w:rFonts w:ascii="Times New Roman" w:hAnsi="Times New Roman"/>
        </w:rPr>
        <w:t xml:space="preserve"> the rights </w:t>
      </w:r>
      <w:r w:rsidRPr="007A7FB2" w:rsidDel="00C712D3">
        <w:rPr>
          <w:rFonts w:ascii="Times New Roman" w:hAnsi="Times New Roman"/>
        </w:rPr>
        <w:t xml:space="preserve">which provided </w:t>
      </w:r>
      <w:r w:rsidRPr="007A7FB2">
        <w:rPr>
          <w:rFonts w:ascii="Times New Roman" w:hAnsi="Times New Roman"/>
        </w:rPr>
        <w:t>its</w:t>
      </w:r>
      <w:r w:rsidRPr="007A7FB2" w:rsidDel="00C712D3">
        <w:rPr>
          <w:rFonts w:ascii="Times New Roman" w:hAnsi="Times New Roman"/>
        </w:rPr>
        <w:t xml:space="preserve"> subject matter</w:t>
      </w:r>
      <w:r w:rsidRPr="007A7FB2">
        <w:rPr>
          <w:rFonts w:ascii="Times New Roman" w:hAnsi="Times New Roman"/>
        </w:rPr>
        <w:t>.</w:t>
      </w:r>
      <w:bookmarkEnd w:id="5"/>
      <w:r w:rsidRPr="007A7FB2">
        <w:rPr>
          <w:rFonts w:ascii="Times New Roman" w:hAnsi="Times New Roman"/>
        </w:rPr>
        <w:t xml:space="preserve"> </w:t>
      </w:r>
    </w:p>
    <w:p w14:paraId="106DB74C"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Two further matters remain to be addressed: rejection of the "multifactorial approach" applied by the Courts below; and the authorities which have considered the employment relationship in the context of vicarious liability.</w:t>
      </w:r>
    </w:p>
    <w:p w14:paraId="5C1D8C8B"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 xml:space="preserve">The primary judge and the Full Court (following </w:t>
      </w:r>
      <w:r w:rsidRPr="007A7FB2">
        <w:rPr>
          <w:rFonts w:ascii="Times New Roman" w:hAnsi="Times New Roman"/>
          <w:i/>
        </w:rPr>
        <w:t>Personnel Contracting Pty Ltd v Construction, Forestry, Mining and Energy Union of Workers</w:t>
      </w:r>
      <w:r w:rsidRPr="007A7FB2">
        <w:rPr>
          <w:rStyle w:val="FootnoteReference"/>
          <w:rFonts w:ascii="Times New Roman" w:hAnsi="Times New Roman"/>
          <w:sz w:val="24"/>
        </w:rPr>
        <w:footnoteReference w:id="321"/>
      </w:r>
      <w:r w:rsidRPr="007A7FB2">
        <w:rPr>
          <w:rFonts w:ascii="Times New Roman" w:hAnsi="Times New Roman"/>
        </w:rPr>
        <w:t xml:space="preserve">) approached the question of whether Mr McCourt was an employee of Construct for the purposes of the Act by applying a "multifactorial approach" that had been developed by lower courts following this Court's decisions in </w:t>
      </w:r>
      <w:r w:rsidRPr="007A7FB2">
        <w:rPr>
          <w:rFonts w:ascii="Times New Roman" w:hAnsi="Times New Roman"/>
          <w:i/>
        </w:rPr>
        <w:t xml:space="preserve">Stevens v </w:t>
      </w:r>
      <w:proofErr w:type="spellStart"/>
      <w:r w:rsidRPr="007A7FB2">
        <w:rPr>
          <w:rFonts w:ascii="Times New Roman" w:hAnsi="Times New Roman"/>
          <w:i/>
        </w:rPr>
        <w:t>Brodribb</w:t>
      </w:r>
      <w:proofErr w:type="spellEnd"/>
      <w:r w:rsidRPr="007A7FB2">
        <w:rPr>
          <w:rFonts w:ascii="Times New Roman" w:hAnsi="Times New Roman"/>
          <w:i/>
        </w:rPr>
        <w:t xml:space="preserve"> </w:t>
      </w:r>
      <w:r w:rsidRPr="007A7FB2">
        <w:rPr>
          <w:rFonts w:ascii="Times New Roman" w:hAnsi="Times New Roman"/>
          <w:i/>
        </w:rPr>
        <w:lastRenderedPageBreak/>
        <w:t>Sawmilling Co Pty Ltd</w:t>
      </w:r>
      <w:r w:rsidRPr="007A7FB2">
        <w:rPr>
          <w:rStyle w:val="FootnoteReference"/>
          <w:rFonts w:ascii="Times New Roman" w:hAnsi="Times New Roman"/>
          <w:sz w:val="24"/>
        </w:rPr>
        <w:footnoteReference w:id="322"/>
      </w:r>
      <w:r w:rsidRPr="007A7FB2">
        <w:rPr>
          <w:rFonts w:ascii="Times New Roman" w:hAnsi="Times New Roman"/>
          <w:i/>
        </w:rPr>
        <w:t xml:space="preserve"> </w:t>
      </w:r>
      <w:r w:rsidRPr="007A7FB2">
        <w:rPr>
          <w:rFonts w:ascii="Times New Roman" w:hAnsi="Times New Roman"/>
        </w:rPr>
        <w:t xml:space="preserve">and </w:t>
      </w:r>
      <w:r w:rsidRPr="007A7FB2">
        <w:rPr>
          <w:rFonts w:ascii="Times New Roman" w:hAnsi="Times New Roman"/>
          <w:i/>
        </w:rPr>
        <w:t>Hollis</w:t>
      </w:r>
      <w:r w:rsidRPr="007A7FB2">
        <w:rPr>
          <w:rStyle w:val="FootnoteReference"/>
          <w:rFonts w:ascii="Times New Roman" w:hAnsi="Times New Roman"/>
          <w:sz w:val="24"/>
        </w:rPr>
        <w:footnoteReference w:id="323"/>
      </w:r>
      <w:r w:rsidRPr="007A7FB2">
        <w:rPr>
          <w:rFonts w:ascii="Times New Roman" w:hAnsi="Times New Roman"/>
        </w:rPr>
        <w:t>. It has been the subject of criticism</w:t>
      </w:r>
      <w:r w:rsidRPr="007A7FB2">
        <w:rPr>
          <w:rStyle w:val="FootnoteReference"/>
          <w:rFonts w:ascii="Times New Roman" w:hAnsi="Times New Roman"/>
          <w:sz w:val="24"/>
        </w:rPr>
        <w:footnoteReference w:id="324"/>
      </w:r>
      <w:r w:rsidRPr="007A7FB2">
        <w:rPr>
          <w:rFonts w:ascii="Times New Roman" w:hAnsi="Times New Roman"/>
        </w:rPr>
        <w:t>, including on the basis that it "is somewhat empty"</w:t>
      </w:r>
      <w:r w:rsidRPr="007A7FB2">
        <w:rPr>
          <w:rStyle w:val="FootnoteReference"/>
          <w:rFonts w:ascii="Times New Roman" w:hAnsi="Times New Roman"/>
          <w:sz w:val="24"/>
        </w:rPr>
        <w:footnoteReference w:id="325"/>
      </w:r>
      <w:r w:rsidRPr="007A7FB2">
        <w:rPr>
          <w:rFonts w:ascii="Times New Roman" w:hAnsi="Times New Roman"/>
        </w:rPr>
        <w:t xml:space="preserve"> and "does not provide any external test or requirement by which the materiality of the elements may be assessed"</w:t>
      </w:r>
      <w:r w:rsidRPr="007A7FB2">
        <w:rPr>
          <w:rStyle w:val="FootnoteReference"/>
          <w:rFonts w:ascii="Times New Roman" w:hAnsi="Times New Roman"/>
          <w:sz w:val="24"/>
        </w:rPr>
        <w:footnoteReference w:id="326"/>
      </w:r>
      <w:r w:rsidRPr="007A7FB2">
        <w:rPr>
          <w:rFonts w:ascii="Times New Roman" w:hAnsi="Times New Roman"/>
        </w:rPr>
        <w:t>. The indicia that might be regarded as relevant are unconfined and "[t]here are no consistent rules about the weight that should be given to the different indicia"</w:t>
      </w:r>
      <w:r w:rsidRPr="007A7FB2">
        <w:rPr>
          <w:rStyle w:val="FootnoteReference"/>
          <w:rFonts w:ascii="Times New Roman" w:hAnsi="Times New Roman"/>
          <w:sz w:val="24"/>
        </w:rPr>
        <w:footnoteReference w:id="327"/>
      </w:r>
      <w:r w:rsidRPr="007A7FB2">
        <w:rPr>
          <w:rFonts w:ascii="Times New Roman" w:hAnsi="Times New Roman"/>
        </w:rPr>
        <w:t xml:space="preserve">. This creates considerable uncertainty. </w:t>
      </w:r>
    </w:p>
    <w:p w14:paraId="74A5883C"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 xml:space="preserve">Moreover, that multifactorial approach directs attention to subsequent conduct, and potentially to matters which are peculiarly within the knowledge of one party. For reasons explained, this is contrary to principles of contractual interpretation, namely, that recourse may be had to events, circumstances and things external to the contract which are </w:t>
      </w:r>
      <w:r w:rsidRPr="007A7FB2">
        <w:rPr>
          <w:rFonts w:ascii="Times New Roman" w:hAnsi="Times New Roman"/>
          <w:i/>
        </w:rPr>
        <w:t>objective</w:t>
      </w:r>
      <w:r w:rsidRPr="007A7FB2">
        <w:rPr>
          <w:rFonts w:ascii="Times New Roman" w:hAnsi="Times New Roman"/>
        </w:rPr>
        <w:t xml:space="preserve">, which are </w:t>
      </w:r>
      <w:r w:rsidRPr="007A7FB2" w:rsidDel="007708A9">
        <w:rPr>
          <w:rFonts w:ascii="Times New Roman" w:hAnsi="Times New Roman"/>
          <w:i/>
        </w:rPr>
        <w:t xml:space="preserve">known to </w:t>
      </w:r>
      <w:r w:rsidRPr="007A7FB2">
        <w:rPr>
          <w:rFonts w:ascii="Times New Roman" w:hAnsi="Times New Roman"/>
          <w:i/>
        </w:rPr>
        <w:t>the parties at the time of contracting</w:t>
      </w:r>
      <w:r w:rsidRPr="007A7FB2">
        <w:rPr>
          <w:rFonts w:ascii="Times New Roman" w:hAnsi="Times New Roman"/>
        </w:rPr>
        <w:t xml:space="preserve"> and which assist in identifying the purpose or object of </w:t>
      </w:r>
      <w:r w:rsidRPr="007A7FB2">
        <w:rPr>
          <w:rFonts w:ascii="Times New Roman" w:hAnsi="Times New Roman"/>
        </w:rPr>
        <w:lastRenderedPageBreak/>
        <w:t>the contract</w:t>
      </w:r>
      <w:r w:rsidRPr="007A7FB2">
        <w:rPr>
          <w:rStyle w:val="FootnoteReference"/>
          <w:rFonts w:ascii="Times New Roman" w:hAnsi="Times New Roman"/>
          <w:sz w:val="24"/>
        </w:rPr>
        <w:footnoteReference w:id="328"/>
      </w:r>
      <w:r w:rsidRPr="007A7FB2">
        <w:rPr>
          <w:rFonts w:ascii="Times New Roman" w:hAnsi="Times New Roman"/>
        </w:rPr>
        <w:t xml:space="preserve"> and, relatedly, that it is not legitimate to have regard to subsequent conduct to construe a contract</w:t>
      </w:r>
      <w:r w:rsidRPr="007A7FB2">
        <w:rPr>
          <w:rStyle w:val="FootnoteReference"/>
          <w:rFonts w:ascii="Times New Roman" w:hAnsi="Times New Roman"/>
          <w:sz w:val="24"/>
        </w:rPr>
        <w:footnoteReference w:id="329"/>
      </w:r>
      <w:r w:rsidRPr="007A7FB2">
        <w:rPr>
          <w:rFonts w:ascii="Times New Roman" w:hAnsi="Times New Roman"/>
        </w:rPr>
        <w:t>. There are good reasons for adhering to those principles. Otherwise, contrary to those principles, consideration of subsequent conduct might in some cases result in the nature of an employment relationship changing over time</w:t>
      </w:r>
      <w:r w:rsidRPr="007A7FB2">
        <w:rPr>
          <w:rStyle w:val="FootnoteReference"/>
          <w:rFonts w:ascii="Times New Roman" w:hAnsi="Times New Roman"/>
          <w:sz w:val="24"/>
        </w:rPr>
        <w:footnoteReference w:id="330"/>
      </w:r>
      <w:r w:rsidRPr="007A7FB2">
        <w:rPr>
          <w:rFonts w:ascii="Times New Roman" w:hAnsi="Times New Roman"/>
        </w:rPr>
        <w:t xml:space="preserve"> – on the day after a contract is formed, the parties may be in an employer/employee relationship, but six months or a year later, having regard to the parties' subsequent conduct, their relationship may have changed to one of principal/independent contractor, without any suggestion that there was any variation to the terms of their contractual agreement. Matters such as the degree of control or direction </w:t>
      </w:r>
      <w:r w:rsidRPr="007A7FB2">
        <w:rPr>
          <w:rFonts w:ascii="Times New Roman" w:hAnsi="Times New Roman"/>
          <w:i/>
        </w:rPr>
        <w:t>in fact</w:t>
      </w:r>
      <w:r w:rsidRPr="007A7FB2">
        <w:rPr>
          <w:rFonts w:ascii="Times New Roman" w:hAnsi="Times New Roman"/>
        </w:rPr>
        <w:t xml:space="preserve"> exercised by an alleged employer in relation to the way an alleged employee performs their work, the extent to which an alleged employee provides their own equipment and tools, and whether uniforms are worn</w:t>
      </w:r>
      <w:r w:rsidRPr="007A7FB2">
        <w:rPr>
          <w:rStyle w:val="FootnoteReference"/>
          <w:rFonts w:ascii="Times New Roman" w:hAnsi="Times New Roman"/>
          <w:sz w:val="24"/>
        </w:rPr>
        <w:footnoteReference w:id="331"/>
      </w:r>
      <w:r w:rsidRPr="007A7FB2">
        <w:rPr>
          <w:rFonts w:ascii="Times New Roman" w:hAnsi="Times New Roman"/>
        </w:rPr>
        <w:t xml:space="preserve"> may change over the course of an employment relationship. The potential for the legal character of a relationship between two parties to be affected by "unilateral" conduct of one party that may be unknown to the other party (for example, how</w:t>
      </w:r>
      <w:r>
        <w:rPr>
          <w:rFonts w:ascii="Times New Roman" w:hAnsi="Times New Roman"/>
        </w:rPr>
        <w:t> </w:t>
      </w:r>
      <w:r w:rsidRPr="007A7FB2">
        <w:rPr>
          <w:rFonts w:ascii="Times New Roman" w:hAnsi="Times New Roman"/>
        </w:rPr>
        <w:t>one party administers their tax affairs; the extent to which an alleged employee operates in a "business-like" manner, with systems and manuals</w:t>
      </w:r>
      <w:r w:rsidRPr="007A7FB2">
        <w:rPr>
          <w:rStyle w:val="FootnoteReference"/>
          <w:rFonts w:ascii="Times New Roman" w:hAnsi="Times New Roman"/>
          <w:sz w:val="24"/>
        </w:rPr>
        <w:footnoteReference w:id="332"/>
      </w:r>
      <w:r w:rsidRPr="007A7FB2">
        <w:rPr>
          <w:rFonts w:ascii="Times New Roman" w:hAnsi="Times New Roman"/>
        </w:rPr>
        <w:t>; how significant an alleged employee's investment in capital equipment is</w:t>
      </w:r>
      <w:r w:rsidRPr="007A7FB2">
        <w:rPr>
          <w:rStyle w:val="FootnoteReference"/>
          <w:rFonts w:ascii="Times New Roman" w:hAnsi="Times New Roman"/>
          <w:sz w:val="24"/>
        </w:rPr>
        <w:footnoteReference w:id="333"/>
      </w:r>
      <w:r w:rsidRPr="007A7FB2">
        <w:rPr>
          <w:rFonts w:ascii="Times New Roman" w:hAnsi="Times New Roman"/>
        </w:rPr>
        <w:t>; or the extent to which an alleged employee is financially self-reliant</w:t>
      </w:r>
      <w:r w:rsidRPr="007A7FB2">
        <w:rPr>
          <w:rStyle w:val="FootnoteReference"/>
          <w:rFonts w:ascii="Times New Roman" w:hAnsi="Times New Roman"/>
          <w:sz w:val="24"/>
        </w:rPr>
        <w:footnoteReference w:id="334"/>
      </w:r>
      <w:r w:rsidRPr="007A7FB2">
        <w:rPr>
          <w:rFonts w:ascii="Times New Roman" w:hAnsi="Times New Roman"/>
        </w:rPr>
        <w:t>) is equally problematic.</w:t>
      </w:r>
    </w:p>
    <w:p w14:paraId="0D685A8A"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 xml:space="preserve">The multifactorial approach was applied not merely without any central principle to guide it but also by reference to a roaming inquiry beyond the contract. It allowed consideration of what had happened after the entry into the contract to </w:t>
      </w:r>
      <w:r w:rsidRPr="007A7FB2">
        <w:rPr>
          <w:rFonts w:ascii="Times New Roman" w:hAnsi="Times New Roman"/>
        </w:rPr>
        <w:lastRenderedPageBreak/>
        <w:t>characterise the nature of "the status or relationship of parties"</w:t>
      </w:r>
      <w:r w:rsidRPr="007A7FB2">
        <w:rPr>
          <w:rStyle w:val="FootnoteReference"/>
          <w:rFonts w:ascii="Times New Roman" w:hAnsi="Times New Roman"/>
          <w:sz w:val="24"/>
        </w:rPr>
        <w:footnoteReference w:id="335"/>
      </w:r>
      <w:r w:rsidRPr="007A7FB2">
        <w:rPr>
          <w:rFonts w:ascii="Times New Roman" w:hAnsi="Times New Roman"/>
        </w:rPr>
        <w:t>. That is not appropriate. Such an inquiry slips away from – slips over – the critical consideration that the relationship between the parties is the relationship established by contract</w:t>
      </w:r>
      <w:r w:rsidRPr="007A7FB2">
        <w:rPr>
          <w:rStyle w:val="FootnoteReference"/>
          <w:rFonts w:ascii="Times New Roman" w:hAnsi="Times New Roman"/>
          <w:sz w:val="24"/>
        </w:rPr>
        <w:footnoteReference w:id="336"/>
      </w:r>
      <w:r w:rsidRPr="007A7FB2">
        <w:rPr>
          <w:rFonts w:ascii="Times New Roman" w:hAnsi="Times New Roman"/>
        </w:rPr>
        <w:t>. Conduct may be looked at to establish the formation</w:t>
      </w:r>
      <w:r w:rsidRPr="007A7FB2">
        <w:rPr>
          <w:rStyle w:val="FootnoteReference"/>
          <w:rFonts w:ascii="Times New Roman" w:hAnsi="Times New Roman"/>
          <w:sz w:val="24"/>
        </w:rPr>
        <w:footnoteReference w:id="337"/>
      </w:r>
      <w:r w:rsidRPr="007A7FB2">
        <w:rPr>
          <w:rFonts w:ascii="Times New Roman" w:hAnsi="Times New Roman"/>
        </w:rPr>
        <w:t>, variation</w:t>
      </w:r>
      <w:r w:rsidRPr="007A7FB2">
        <w:rPr>
          <w:rStyle w:val="FootnoteReference"/>
          <w:rFonts w:ascii="Times New Roman" w:hAnsi="Times New Roman"/>
          <w:sz w:val="24"/>
        </w:rPr>
        <w:footnoteReference w:id="338"/>
      </w:r>
      <w:r w:rsidRPr="007A7FB2">
        <w:rPr>
          <w:rFonts w:ascii="Times New Roman" w:hAnsi="Times New Roman"/>
        </w:rPr>
        <w:t xml:space="preserve"> or discharge by agreement and the remaking of a contract</w:t>
      </w:r>
      <w:r w:rsidRPr="007A7FB2">
        <w:rPr>
          <w:rStyle w:val="FootnoteReference"/>
          <w:rFonts w:ascii="Times New Roman" w:hAnsi="Times New Roman"/>
          <w:sz w:val="24"/>
        </w:rPr>
        <w:footnoteReference w:id="339"/>
      </w:r>
      <w:r w:rsidRPr="007A7FB2">
        <w:rPr>
          <w:rFonts w:ascii="Times New Roman" w:hAnsi="Times New Roman"/>
        </w:rPr>
        <w:t>. But</w:t>
      </w:r>
      <w:r>
        <w:rPr>
          <w:rFonts w:ascii="Times New Roman" w:hAnsi="Times New Roman"/>
        </w:rPr>
        <w:t> </w:t>
      </w:r>
      <w:r w:rsidRPr="007A7FB2">
        <w:rPr>
          <w:rFonts w:ascii="Times New Roman" w:hAnsi="Times New Roman"/>
        </w:rPr>
        <w:t>evidence that is relevant to inquiries of those kinds is limited by the purpose of the inquiry. The evidence of what was done is relevant only if and to the extent that it shows or tends to show that a contract was made between the parties or a contract previously made between the parties was varied or discharged.</w:t>
      </w:r>
    </w:p>
    <w:p w14:paraId="7766139B"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 xml:space="preserve">Following </w:t>
      </w:r>
      <w:proofErr w:type="spellStart"/>
      <w:r w:rsidRPr="007A7FB2">
        <w:rPr>
          <w:rFonts w:ascii="Times New Roman" w:hAnsi="Times New Roman"/>
          <w:i/>
        </w:rPr>
        <w:t>WorkPac</w:t>
      </w:r>
      <w:proofErr w:type="spellEnd"/>
      <w:r w:rsidRPr="007A7FB2">
        <w:rPr>
          <w:rStyle w:val="FootnoteReference"/>
          <w:rFonts w:ascii="Times New Roman" w:hAnsi="Times New Roman"/>
          <w:sz w:val="24"/>
        </w:rPr>
        <w:footnoteReference w:id="340"/>
      </w:r>
      <w:r w:rsidRPr="007A7FB2">
        <w:rPr>
          <w:rFonts w:ascii="Times New Roman" w:hAnsi="Times New Roman"/>
        </w:rPr>
        <w:t xml:space="preserve">, the multifactorial approach applied in previous authorities must be put to one side when characterising a relationship as one of employment under a contract. The approach in </w:t>
      </w:r>
      <w:proofErr w:type="spellStart"/>
      <w:r w:rsidRPr="007A7FB2">
        <w:rPr>
          <w:rFonts w:ascii="Times New Roman" w:hAnsi="Times New Roman"/>
          <w:i/>
        </w:rPr>
        <w:t>WorkPac</w:t>
      </w:r>
      <w:proofErr w:type="spellEnd"/>
      <w:r w:rsidRPr="007A7FB2">
        <w:rPr>
          <w:rFonts w:ascii="Times New Roman" w:hAnsi="Times New Roman"/>
          <w:i/>
        </w:rPr>
        <w:t xml:space="preserve"> </w:t>
      </w:r>
      <w:r w:rsidRPr="007A7FB2">
        <w:rPr>
          <w:rFonts w:ascii="Times New Roman" w:hAnsi="Times New Roman"/>
        </w:rPr>
        <w:t>seeks to avoid the difficulties just identified with the multifactorial approach and</w:t>
      </w:r>
      <w:proofErr w:type="gramStart"/>
      <w:r w:rsidRPr="007A7FB2">
        <w:rPr>
          <w:rFonts w:ascii="Times New Roman" w:hAnsi="Times New Roman"/>
        </w:rPr>
        <w:t>, in particular, seeks</w:t>
      </w:r>
      <w:proofErr w:type="gramEnd"/>
      <w:r>
        <w:rPr>
          <w:rFonts w:ascii="Times New Roman" w:hAnsi="Times New Roman"/>
        </w:rPr>
        <w:t> </w:t>
      </w:r>
      <w:r w:rsidRPr="007A7FB2">
        <w:rPr>
          <w:rFonts w:ascii="Times New Roman" w:hAnsi="Times New Roman"/>
        </w:rPr>
        <w:t>to avoid "employee" and "employer" becoming legal terms of meaningless reference. It focuses the task of characterisation by reference to established doctrine, rather than inviting an assessment of the relationship between two parties which is "amorphous" and "inevitably productive of inconsistency"</w:t>
      </w:r>
      <w:r w:rsidRPr="007A7FB2">
        <w:rPr>
          <w:rStyle w:val="FootnoteReference"/>
          <w:rFonts w:ascii="Times New Roman" w:hAnsi="Times New Roman"/>
          <w:sz w:val="24"/>
        </w:rPr>
        <w:footnoteReference w:id="341"/>
      </w:r>
      <w:r w:rsidRPr="007A7FB2">
        <w:rPr>
          <w:rFonts w:ascii="Times New Roman" w:hAnsi="Times New Roman"/>
        </w:rPr>
        <w:t>. The need for</w:t>
      </w:r>
      <w:r w:rsidRPr="007A7FB2" w:rsidDel="00E33394">
        <w:rPr>
          <w:rFonts w:ascii="Times New Roman" w:hAnsi="Times New Roman"/>
        </w:rPr>
        <w:t xml:space="preserve"> </w:t>
      </w:r>
      <w:r w:rsidRPr="007A7FB2">
        <w:rPr>
          <w:rFonts w:ascii="Times New Roman" w:hAnsi="Times New Roman"/>
        </w:rPr>
        <w:t xml:space="preserve">judgment is unavoidable, but this approach promotes certainty by providing </w:t>
      </w:r>
      <w:r w:rsidRPr="007A7FB2">
        <w:rPr>
          <w:rFonts w:ascii="Times New Roman" w:hAnsi="Times New Roman"/>
        </w:rPr>
        <w:lastRenderedPageBreak/>
        <w:t>identified and well</w:t>
      </w:r>
      <w:r w:rsidRPr="007A7FB2">
        <w:rPr>
          <w:rFonts w:ascii="Times New Roman" w:hAnsi="Times New Roman"/>
        </w:rPr>
        <w:noBreakHyphen/>
        <w:t xml:space="preserve">established limits: admissible evidence to identify the formation and the terms of the contract and the established principles of contractual interpretation. </w:t>
      </w:r>
    </w:p>
    <w:p w14:paraId="220B1959"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 xml:space="preserve">It is necessary to address other aspects of </w:t>
      </w:r>
      <w:r w:rsidRPr="007A7FB2">
        <w:rPr>
          <w:rFonts w:ascii="Times New Roman" w:hAnsi="Times New Roman"/>
          <w:i/>
        </w:rPr>
        <w:t xml:space="preserve">Hollis </w:t>
      </w:r>
      <w:r w:rsidRPr="007A7FB2">
        <w:rPr>
          <w:rFonts w:ascii="Times New Roman" w:hAnsi="Times New Roman"/>
        </w:rPr>
        <w:t xml:space="preserve">and </w:t>
      </w:r>
      <w:r w:rsidRPr="007A7FB2">
        <w:rPr>
          <w:rFonts w:ascii="Times New Roman" w:hAnsi="Times New Roman"/>
          <w:i/>
        </w:rPr>
        <w:t>Stevens</w:t>
      </w:r>
      <w:r w:rsidRPr="007A7FB2">
        <w:rPr>
          <w:rFonts w:ascii="Times New Roman" w:hAnsi="Times New Roman"/>
        </w:rPr>
        <w:t xml:space="preserve">. Unlike the present case, the contract in issue in </w:t>
      </w:r>
      <w:r w:rsidRPr="007A7FB2">
        <w:rPr>
          <w:rFonts w:ascii="Times New Roman" w:hAnsi="Times New Roman"/>
          <w:i/>
        </w:rPr>
        <w:t>Hollis</w:t>
      </w:r>
      <w:r w:rsidRPr="007A7FB2">
        <w:rPr>
          <w:rFonts w:ascii="Times New Roman" w:hAnsi="Times New Roman"/>
        </w:rPr>
        <w:t xml:space="preserve"> was partly oral and partly in writing</w:t>
      </w:r>
      <w:r w:rsidRPr="007A7FB2">
        <w:rPr>
          <w:rStyle w:val="FootnoteReference"/>
          <w:rFonts w:ascii="Times New Roman" w:hAnsi="Times New Roman"/>
          <w:sz w:val="24"/>
        </w:rPr>
        <w:footnoteReference w:id="342"/>
      </w:r>
      <w:r w:rsidRPr="007A7FB2">
        <w:rPr>
          <w:rFonts w:ascii="Times New Roman" w:hAnsi="Times New Roman"/>
        </w:rPr>
        <w:t xml:space="preserve"> and the relevant contractual arrangements in </w:t>
      </w:r>
      <w:r w:rsidRPr="007A7FB2">
        <w:rPr>
          <w:rFonts w:ascii="Times New Roman" w:hAnsi="Times New Roman"/>
          <w:i/>
        </w:rPr>
        <w:t>Stevens</w:t>
      </w:r>
      <w:r w:rsidRPr="007A7FB2">
        <w:rPr>
          <w:rFonts w:ascii="Times New Roman" w:hAnsi="Times New Roman"/>
        </w:rPr>
        <w:t xml:space="preserve"> were not "formalized"</w:t>
      </w:r>
      <w:r w:rsidRPr="007A7FB2">
        <w:rPr>
          <w:rStyle w:val="FootnoteReference"/>
          <w:rFonts w:ascii="Times New Roman" w:hAnsi="Times New Roman"/>
          <w:sz w:val="24"/>
        </w:rPr>
        <w:footnoteReference w:id="343"/>
      </w:r>
      <w:r w:rsidRPr="007A7FB2">
        <w:rPr>
          <w:rFonts w:ascii="Times New Roman" w:hAnsi="Times New Roman"/>
        </w:rPr>
        <w:t>. As</w:t>
      </w:r>
      <w:r>
        <w:rPr>
          <w:rFonts w:ascii="Times New Roman" w:hAnsi="Times New Roman"/>
        </w:rPr>
        <w:t> </w:t>
      </w:r>
      <w:r w:rsidRPr="007A7FB2">
        <w:rPr>
          <w:rFonts w:ascii="Times New Roman" w:hAnsi="Times New Roman"/>
        </w:rPr>
        <w:t>explained, when an oral contract or a partly oral, partly written contract is in issue, recourse to conduct may be necessary to identify the point at which the contract was formed and the contractual terms that were agreed. In relation to the latter, "[s]</w:t>
      </w:r>
      <w:proofErr w:type="spellStart"/>
      <w:r w:rsidRPr="007A7FB2">
        <w:rPr>
          <w:rFonts w:ascii="Times New Roman" w:hAnsi="Times New Roman"/>
        </w:rPr>
        <w:t>ome</w:t>
      </w:r>
      <w:proofErr w:type="spellEnd"/>
      <w:r w:rsidRPr="007A7FB2">
        <w:rPr>
          <w:rFonts w:ascii="Times New Roman" w:hAnsi="Times New Roman"/>
        </w:rPr>
        <w:t xml:space="preserve"> terms may be inferred from the evidence of a course of dealing between the parties", "[s]</w:t>
      </w:r>
      <w:proofErr w:type="spellStart"/>
      <w:r w:rsidRPr="007A7FB2">
        <w:rPr>
          <w:rFonts w:ascii="Times New Roman" w:hAnsi="Times New Roman"/>
        </w:rPr>
        <w:t>ome</w:t>
      </w:r>
      <w:proofErr w:type="spellEnd"/>
      <w:r w:rsidRPr="007A7FB2">
        <w:rPr>
          <w:rFonts w:ascii="Times New Roman" w:hAnsi="Times New Roman"/>
        </w:rPr>
        <w:t xml:space="preserve"> terms may be implied by established custom or usage", and "[o]</w:t>
      </w:r>
      <w:proofErr w:type="spellStart"/>
      <w:r w:rsidRPr="007A7FB2">
        <w:rPr>
          <w:rFonts w:ascii="Times New Roman" w:hAnsi="Times New Roman"/>
        </w:rPr>
        <w:t>ther</w:t>
      </w:r>
      <w:proofErr w:type="spellEnd"/>
      <w:r w:rsidRPr="007A7FB2">
        <w:rPr>
          <w:rFonts w:ascii="Times New Roman" w:hAnsi="Times New Roman"/>
        </w:rPr>
        <w:t xml:space="preserve"> terms may satisfy the criterion of being so obvious that they go without saying"</w:t>
      </w:r>
      <w:r w:rsidRPr="007A7FB2">
        <w:rPr>
          <w:rStyle w:val="FootnoteReference"/>
          <w:rFonts w:ascii="Times New Roman" w:hAnsi="Times New Roman"/>
          <w:sz w:val="24"/>
        </w:rPr>
        <w:footnoteReference w:id="344"/>
      </w:r>
      <w:r w:rsidRPr="007A7FB2">
        <w:rPr>
          <w:rFonts w:ascii="Times New Roman" w:hAnsi="Times New Roman"/>
        </w:rPr>
        <w:t xml:space="preserve">. But in each of these cases, the question is whether the </w:t>
      </w:r>
      <w:proofErr w:type="gramStart"/>
      <w:r w:rsidRPr="007A7FB2">
        <w:rPr>
          <w:rFonts w:ascii="Times New Roman" w:hAnsi="Times New Roman"/>
        </w:rPr>
        <w:t>particular term</w:t>
      </w:r>
      <w:proofErr w:type="gramEnd"/>
      <w:r w:rsidRPr="007A7FB2">
        <w:rPr>
          <w:rFonts w:ascii="Times New Roman" w:hAnsi="Times New Roman"/>
        </w:rPr>
        <w:t xml:space="preserve"> "is necessary for the reasonable or effective operation of the contract in the circumstances of the case"</w:t>
      </w:r>
      <w:r w:rsidRPr="007A7FB2">
        <w:rPr>
          <w:rStyle w:val="FootnoteReference"/>
          <w:rFonts w:ascii="Times New Roman" w:hAnsi="Times New Roman"/>
          <w:sz w:val="24"/>
        </w:rPr>
        <w:footnoteReference w:id="345"/>
      </w:r>
      <w:r w:rsidRPr="007A7FB2">
        <w:rPr>
          <w:rFonts w:ascii="Times New Roman" w:hAnsi="Times New Roman"/>
        </w:rPr>
        <w:t>. In this way,</w:t>
      </w:r>
      <w:r w:rsidRPr="007A7FB2" w:rsidDel="00D37ACE">
        <w:rPr>
          <w:rFonts w:ascii="Times New Roman" w:hAnsi="Times New Roman"/>
        </w:rPr>
        <w:t xml:space="preserve"> </w:t>
      </w:r>
      <w:r w:rsidRPr="007A7FB2">
        <w:rPr>
          <w:rFonts w:ascii="Times New Roman" w:hAnsi="Times New Roman"/>
        </w:rPr>
        <w:t>even where the contract has not been reduced to a complete written form, the admissible evidence is limited to identifying those matters – formation and terms – objectively and for those limited purposes</w:t>
      </w:r>
      <w:r w:rsidRPr="007A7FB2">
        <w:rPr>
          <w:rStyle w:val="FootnoteReference"/>
          <w:rFonts w:ascii="Times New Roman" w:hAnsi="Times New Roman"/>
          <w:sz w:val="24"/>
        </w:rPr>
        <w:footnoteReference w:id="346"/>
      </w:r>
      <w:r w:rsidRPr="007A7FB2">
        <w:rPr>
          <w:rFonts w:ascii="Times New Roman" w:hAnsi="Times New Roman"/>
        </w:rPr>
        <w:t xml:space="preserve">. Further, it must be recalled that </w:t>
      </w:r>
      <w:r w:rsidRPr="007A7FB2">
        <w:rPr>
          <w:rFonts w:ascii="Times New Roman" w:hAnsi="Times New Roman"/>
          <w:i/>
        </w:rPr>
        <w:t xml:space="preserve">Hollis </w:t>
      </w:r>
      <w:r w:rsidRPr="007A7FB2">
        <w:rPr>
          <w:rFonts w:ascii="Times New Roman" w:hAnsi="Times New Roman"/>
        </w:rPr>
        <w:t xml:space="preserve">and </w:t>
      </w:r>
      <w:r w:rsidRPr="007A7FB2">
        <w:rPr>
          <w:rFonts w:ascii="Times New Roman" w:hAnsi="Times New Roman"/>
          <w:i/>
        </w:rPr>
        <w:t xml:space="preserve">Stevens </w:t>
      </w:r>
      <w:r w:rsidRPr="007A7FB2">
        <w:rPr>
          <w:rFonts w:ascii="Times New Roman" w:hAnsi="Times New Roman"/>
        </w:rPr>
        <w:t xml:space="preserve">concerned vicarious liability. </w:t>
      </w:r>
    </w:p>
    <w:p w14:paraId="1ED81E83"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Whatever might be the principles upon which vicarious liability operates</w:t>
      </w:r>
      <w:r w:rsidRPr="007A7FB2">
        <w:rPr>
          <w:rStyle w:val="FootnoteReference"/>
          <w:rFonts w:ascii="Times New Roman" w:hAnsi="Times New Roman"/>
          <w:sz w:val="24"/>
        </w:rPr>
        <w:footnoteReference w:id="347"/>
      </w:r>
      <w:r w:rsidRPr="007A7FB2">
        <w:rPr>
          <w:rFonts w:ascii="Times New Roman" w:hAnsi="Times New Roman"/>
        </w:rPr>
        <w:t xml:space="preserve">, there is an important distinction between whether there is an employer/employee relationship and whether what was done was done in "the course of [that] </w:t>
      </w:r>
      <w:r w:rsidRPr="007A7FB2">
        <w:rPr>
          <w:rFonts w:ascii="Times New Roman" w:hAnsi="Times New Roman"/>
        </w:rPr>
        <w:lastRenderedPageBreak/>
        <w:t>employment"</w:t>
      </w:r>
      <w:r w:rsidRPr="007A7FB2">
        <w:rPr>
          <w:rStyle w:val="FootnoteReference"/>
          <w:rFonts w:ascii="Times New Roman" w:hAnsi="Times New Roman"/>
          <w:sz w:val="24"/>
        </w:rPr>
        <w:footnoteReference w:id="348"/>
      </w:r>
      <w:r w:rsidRPr="007A7FB2">
        <w:rPr>
          <w:rFonts w:ascii="Times New Roman" w:hAnsi="Times New Roman"/>
        </w:rPr>
        <w:t>. The relevant inquiry is not only</w:t>
      </w:r>
      <w:r w:rsidRPr="007A7FB2" w:rsidDel="006E420D">
        <w:rPr>
          <w:rFonts w:ascii="Times New Roman" w:hAnsi="Times New Roman"/>
        </w:rPr>
        <w:t xml:space="preserve"> </w:t>
      </w:r>
      <w:r w:rsidRPr="007A7FB2">
        <w:rPr>
          <w:rFonts w:ascii="Times New Roman" w:hAnsi="Times New Roman"/>
        </w:rPr>
        <w:t>about whether an alleged tortfeasor was an employee. There is a separate question about whether the relevant act or omission of the alleged employee took place in the course of that employment</w:t>
      </w:r>
      <w:r w:rsidRPr="007A7FB2">
        <w:rPr>
          <w:rStyle w:val="FootnoteReference"/>
          <w:rFonts w:ascii="Times New Roman" w:hAnsi="Times New Roman"/>
          <w:sz w:val="24"/>
        </w:rPr>
        <w:footnoteReference w:id="349"/>
      </w:r>
      <w:r w:rsidRPr="007A7FB2">
        <w:rPr>
          <w:rFonts w:ascii="Times New Roman" w:hAnsi="Times New Roman"/>
        </w:rPr>
        <w:t xml:space="preserve">. That second question necessarily directs attention to the </w:t>
      </w:r>
      <w:proofErr w:type="gramStart"/>
      <w:r w:rsidRPr="007A7FB2">
        <w:rPr>
          <w:rFonts w:ascii="Times New Roman" w:hAnsi="Times New Roman"/>
        </w:rPr>
        <w:t>state of affairs at</w:t>
      </w:r>
      <w:proofErr w:type="gramEnd"/>
      <w:r w:rsidRPr="007A7FB2">
        <w:rPr>
          <w:rFonts w:ascii="Times New Roman" w:hAnsi="Times New Roman"/>
        </w:rPr>
        <w:t xml:space="preserve"> the time the cause of action accrues. The second question is asked for a different purpose and at a different point in time. The state of affairs relevant to that inquiry necessarily includes facts and matters, including subsequent conduct, that are not relevant to answering the first question. To the extent that a fact or matter may be considered relevant to both questions, not only is that fact or matter considered for a different purpose in answering each question but the weight to be attached to that consideration is likely to be different. </w:t>
      </w:r>
    </w:p>
    <w:p w14:paraId="64173D63" w14:textId="77777777" w:rsidR="00782161" w:rsidRPr="007A7FB2" w:rsidRDefault="00782161" w:rsidP="007A7FB2">
      <w:pPr>
        <w:pStyle w:val="HeadingL1"/>
        <w:spacing w:after="260" w:line="280" w:lineRule="exact"/>
        <w:ind w:right="0"/>
        <w:jc w:val="both"/>
        <w:rPr>
          <w:rFonts w:ascii="Times New Roman" w:hAnsi="Times New Roman"/>
        </w:rPr>
      </w:pPr>
      <w:r w:rsidRPr="007A7FB2">
        <w:rPr>
          <w:rFonts w:ascii="Times New Roman" w:hAnsi="Times New Roman"/>
        </w:rPr>
        <w:t>Mr McCourt and Construct</w:t>
      </w:r>
    </w:p>
    <w:p w14:paraId="6A9AE8D6"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Mr McCourt worked at the Concerto Project over two separate periods – 27</w:t>
      </w:r>
      <w:r>
        <w:rPr>
          <w:rFonts w:ascii="Times New Roman" w:hAnsi="Times New Roman"/>
        </w:rPr>
        <w:t> </w:t>
      </w:r>
      <w:r w:rsidRPr="007A7FB2">
        <w:rPr>
          <w:rFonts w:ascii="Times New Roman" w:hAnsi="Times New Roman"/>
        </w:rPr>
        <w:t>July 2016 to 6 November 2016 and 14 March 2017 to 24 June 2017</w:t>
      </w:r>
      <w:r w:rsidRPr="007A7FB2">
        <w:rPr>
          <w:rFonts w:ascii="Times New Roman" w:hAnsi="Times New Roman"/>
          <w:b/>
        </w:rPr>
        <w:t xml:space="preserve"> </w:t>
      </w:r>
      <w:r w:rsidRPr="007A7FB2">
        <w:rPr>
          <w:rFonts w:ascii="Times New Roman" w:hAnsi="Times New Roman"/>
        </w:rPr>
        <w:t>– and he briefly worked at the Aire Project from 26 June 2017 to 30 June 2017. Each of those periods was a period in which Mr McCourt and Construct were in an employment relationship. The legal rights and obligations which constituted the employment relationship for each period derived from the same written contract of employment.</w:t>
      </w:r>
    </w:p>
    <w:p w14:paraId="53E34CD5"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The contract between Construct and Mr McCourt was wholly in writing and the relevant provisions were set out in the ASA. Under the heading "Construct's Responsibilities", cl 1(c)</w:t>
      </w:r>
      <w:r w:rsidRPr="007A7FB2">
        <w:rPr>
          <w:rFonts w:ascii="Times New Roman" w:hAnsi="Times New Roman"/>
          <w:b/>
        </w:rPr>
        <w:t xml:space="preserve"> </w:t>
      </w:r>
      <w:r w:rsidRPr="007A7FB2">
        <w:rPr>
          <w:rFonts w:ascii="Times New Roman" w:hAnsi="Times New Roman"/>
        </w:rPr>
        <w:t>provided that Construct was obliged to "[l]</w:t>
      </w:r>
      <w:proofErr w:type="spellStart"/>
      <w:r w:rsidRPr="007A7FB2">
        <w:rPr>
          <w:rFonts w:ascii="Times New Roman" w:hAnsi="Times New Roman"/>
        </w:rPr>
        <w:t>iaise</w:t>
      </w:r>
      <w:proofErr w:type="spellEnd"/>
      <w:r w:rsidRPr="007A7FB2">
        <w:rPr>
          <w:rFonts w:ascii="Times New Roman" w:hAnsi="Times New Roman"/>
        </w:rPr>
        <w:t xml:space="preserve"> between builders and the Contractor [</w:t>
      </w:r>
      <w:proofErr w:type="spellStart"/>
      <w:r w:rsidRPr="007A7FB2">
        <w:rPr>
          <w:rFonts w:ascii="Times New Roman" w:hAnsi="Times New Roman"/>
        </w:rPr>
        <w:t>ie</w:t>
      </w:r>
      <w:proofErr w:type="spellEnd"/>
      <w:r w:rsidRPr="007A7FB2">
        <w:rPr>
          <w:rFonts w:ascii="Times New Roman" w:hAnsi="Times New Roman"/>
        </w:rPr>
        <w:t xml:space="preserve">, Mr McCourt] regarding the means by which the Contractor shall supply labour to such builders, including the </w:t>
      </w:r>
      <w:r w:rsidRPr="007A7FB2">
        <w:rPr>
          <w:rFonts w:ascii="Times New Roman" w:hAnsi="Times New Roman"/>
          <w:i/>
        </w:rPr>
        <w:t>duration</w:t>
      </w:r>
      <w:r w:rsidRPr="007A7FB2">
        <w:rPr>
          <w:rFonts w:ascii="Times New Roman" w:hAnsi="Times New Roman"/>
        </w:rPr>
        <w:t xml:space="preserve"> that the builder requires such labour, the </w:t>
      </w:r>
      <w:r w:rsidRPr="007A7FB2">
        <w:rPr>
          <w:rFonts w:ascii="Times New Roman" w:hAnsi="Times New Roman"/>
          <w:i/>
        </w:rPr>
        <w:t>place</w:t>
      </w:r>
      <w:r w:rsidRPr="007A7FB2">
        <w:rPr>
          <w:rFonts w:ascii="Times New Roman" w:hAnsi="Times New Roman"/>
        </w:rPr>
        <w:t xml:space="preserve"> at which labour is to be supplied, the </w:t>
      </w:r>
      <w:r w:rsidRPr="007A7FB2">
        <w:rPr>
          <w:rFonts w:ascii="Times New Roman" w:hAnsi="Times New Roman"/>
          <w:i/>
        </w:rPr>
        <w:t>daily hours of work</w:t>
      </w:r>
      <w:r w:rsidRPr="007A7FB2">
        <w:rPr>
          <w:rFonts w:ascii="Times New Roman" w:hAnsi="Times New Roman"/>
        </w:rPr>
        <w:t xml:space="preserve"> during which labour is to be supplied and </w:t>
      </w:r>
      <w:r w:rsidRPr="007A7FB2">
        <w:rPr>
          <w:rFonts w:ascii="Times New Roman" w:hAnsi="Times New Roman"/>
          <w:i/>
        </w:rPr>
        <w:t>any other terms and conditions</w:t>
      </w:r>
      <w:r w:rsidRPr="007A7FB2">
        <w:rPr>
          <w:rFonts w:ascii="Times New Roman" w:hAnsi="Times New Roman"/>
        </w:rPr>
        <w:t xml:space="preserve"> upon which labour is to be supplied by the Contractor to the builder" (emphasis added). This clause is significant. It gave Construct the central role in relation to, and control over, key aspects of the work to be performed by </w:t>
      </w:r>
      <w:r w:rsidRPr="007A7FB2">
        <w:rPr>
          <w:rFonts w:ascii="Times New Roman" w:hAnsi="Times New Roman"/>
        </w:rPr>
        <w:lastRenderedPageBreak/>
        <w:t xml:space="preserve">Mr McCourt </w:t>
      </w:r>
      <w:bookmarkStart w:id="6" w:name="_Hlk84342774"/>
      <w:r w:rsidRPr="007A7FB2">
        <w:rPr>
          <w:rFonts w:ascii="Times New Roman" w:hAnsi="Times New Roman"/>
        </w:rPr>
        <w:t>–</w:t>
      </w:r>
      <w:bookmarkEnd w:id="6"/>
      <w:r w:rsidRPr="007A7FB2">
        <w:rPr>
          <w:rFonts w:ascii="Times New Roman" w:hAnsi="Times New Roman"/>
        </w:rPr>
        <w:t xml:space="preserve"> when, where and how. There was no contract between Mr McCourt and the builder, Hanssen. </w:t>
      </w:r>
    </w:p>
    <w:p w14:paraId="52076138"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Clause 1(d) then relevantly provided that Construct was obliged, "</w:t>
      </w:r>
      <w:r w:rsidRPr="007A7FB2">
        <w:rPr>
          <w:rFonts w:ascii="Times New Roman" w:hAnsi="Times New Roman"/>
          <w:i/>
        </w:rPr>
        <w:t>[s]</w:t>
      </w:r>
      <w:proofErr w:type="spellStart"/>
      <w:r w:rsidRPr="007A7FB2">
        <w:rPr>
          <w:rFonts w:ascii="Times New Roman" w:hAnsi="Times New Roman"/>
          <w:i/>
        </w:rPr>
        <w:t>ubject</w:t>
      </w:r>
      <w:proofErr w:type="spellEnd"/>
      <w:r w:rsidRPr="007A7FB2">
        <w:rPr>
          <w:rFonts w:ascii="Times New Roman" w:hAnsi="Times New Roman"/>
          <w:i/>
        </w:rPr>
        <w:t xml:space="preserve"> to performance by the Contractor of his or its obligations</w:t>
      </w:r>
      <w:r w:rsidRPr="007A7FB2">
        <w:rPr>
          <w:rFonts w:ascii="Times New Roman" w:hAnsi="Times New Roman"/>
        </w:rPr>
        <w:t xml:space="preserve"> under [the ASA] ... [to] underwrite payment to the Contractor" (emphasis added). Despite the ASA using the word "underwrite", only Construct was responsible for paying Mr McCourt</w:t>
      </w:r>
      <w:r w:rsidRPr="007A7FB2">
        <w:rPr>
          <w:rStyle w:val="FootnoteReference"/>
          <w:rFonts w:ascii="Times New Roman" w:hAnsi="Times New Roman"/>
          <w:sz w:val="24"/>
        </w:rPr>
        <w:footnoteReference w:id="350"/>
      </w:r>
      <w:r w:rsidRPr="007A7FB2">
        <w:rPr>
          <w:rFonts w:ascii="Times New Roman" w:hAnsi="Times New Roman"/>
        </w:rPr>
        <w:t xml:space="preserve">. No party suggested that Hanssen (or any entity other than Construct) was bound to pay Mr McCourt. Clause 1(d) tied Mr McCourt's performance of his </w:t>
      </w:r>
      <w:r w:rsidRPr="007A7FB2">
        <w:rPr>
          <w:rFonts w:ascii="Times New Roman" w:hAnsi="Times New Roman"/>
          <w:i/>
        </w:rPr>
        <w:t>obligations</w:t>
      </w:r>
      <w:r w:rsidRPr="007A7FB2">
        <w:rPr>
          <w:rFonts w:ascii="Times New Roman" w:hAnsi="Times New Roman"/>
        </w:rPr>
        <w:t xml:space="preserve"> under the ASA to his entitlement to payment from Construct. It is necessary to address those two tied aspects – obligations and entitlement to payment – in turn. </w:t>
      </w:r>
    </w:p>
    <w:p w14:paraId="00297305"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First, Mr McCourt's obligations. Mr McCourt's obligations – set out in cl 4 of the ASA</w:t>
      </w:r>
      <w:r w:rsidRPr="007A7FB2">
        <w:rPr>
          <w:rFonts w:ascii="Times New Roman" w:hAnsi="Times New Roman"/>
          <w:b/>
        </w:rPr>
        <w:t xml:space="preserve"> </w:t>
      </w:r>
      <w:r w:rsidRPr="007A7FB2">
        <w:rPr>
          <w:rFonts w:ascii="Times New Roman" w:hAnsi="Times New Roman"/>
        </w:rPr>
        <w:t>– were owed to Construct to enable Construct to carry on its business as described in Recital A – supplying labour to builders. Mr McCourt owed no relevant obligations to Hanssen. Under cl 4(a), he was obliged to "[c]o</w:t>
      </w:r>
      <w:r w:rsidRPr="007A7FB2">
        <w:rPr>
          <w:rFonts w:ascii="Times New Roman" w:hAnsi="Times New Roman"/>
        </w:rPr>
        <w:noBreakHyphen/>
        <w:t xml:space="preserve">operate in all respects </w:t>
      </w:r>
      <w:r w:rsidRPr="007A7FB2">
        <w:rPr>
          <w:rFonts w:ascii="Times New Roman" w:hAnsi="Times New Roman"/>
          <w:i/>
        </w:rPr>
        <w:t>with Construct</w:t>
      </w:r>
      <w:r w:rsidRPr="007A7FB2">
        <w:rPr>
          <w:rFonts w:ascii="Times New Roman" w:hAnsi="Times New Roman"/>
        </w:rPr>
        <w:t xml:space="preserve"> and the builder in the supply of labour to the Builder" (emphasis added). Next, under cl 4(c), Mr McCourt was obliged to "[a]</w:t>
      </w:r>
      <w:proofErr w:type="spellStart"/>
      <w:r w:rsidRPr="007A7FB2">
        <w:rPr>
          <w:rFonts w:ascii="Times New Roman" w:hAnsi="Times New Roman"/>
        </w:rPr>
        <w:t>ttend</w:t>
      </w:r>
      <w:proofErr w:type="spellEnd"/>
      <w:r w:rsidRPr="007A7FB2">
        <w:rPr>
          <w:rFonts w:ascii="Times New Roman" w:hAnsi="Times New Roman"/>
        </w:rPr>
        <w:t xml:space="preserve"> at any building site as agreed with the Builder at the time required by the Builder, and ... supply labour to the Builder (subject to notification under [cl] 5(c)) for the duration required by the Builder in a safe, competent and diligent manner". </w:t>
      </w:r>
    </w:p>
    <w:p w14:paraId="512E39D8"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While </w:t>
      </w:r>
      <w:proofErr w:type="spellStart"/>
      <w:r w:rsidRPr="007A7FB2">
        <w:rPr>
          <w:rFonts w:ascii="Times New Roman" w:hAnsi="Times New Roman"/>
        </w:rPr>
        <w:t>cll</w:t>
      </w:r>
      <w:proofErr w:type="spellEnd"/>
      <w:r w:rsidRPr="007A7FB2">
        <w:rPr>
          <w:rFonts w:ascii="Times New Roman" w:hAnsi="Times New Roman"/>
        </w:rPr>
        <w:t xml:space="preserve"> 4(a) and 4(c) were expressed in terms of Mr McCourt's obligation to co-operate with and to perform work as agreed with and as required by the "Builder", these obligations were owed to Construct in a contract with Construct. That is, in the event that Mr McCourt did not co-operate with the builder, Hanssen, or perform work as agreed with and as required by Hanssen, Construct would be entitled, in appropriate circumstances, to terminate the contract or to bring a claim against Mr McCourt for breach of contract under the terms of the ASA. Clause</w:t>
      </w:r>
      <w:r>
        <w:rPr>
          <w:rFonts w:ascii="Times New Roman" w:hAnsi="Times New Roman"/>
        </w:rPr>
        <w:t> </w:t>
      </w:r>
      <w:r w:rsidRPr="007A7FB2">
        <w:rPr>
          <w:rFonts w:ascii="Times New Roman" w:hAnsi="Times New Roman"/>
        </w:rPr>
        <w:t>4(d) was related to cl 4(c). It provided that the "Contractor"</w:t>
      </w:r>
      <w:r w:rsidRPr="007A7FB2" w:rsidDel="00A54D3B">
        <w:rPr>
          <w:rFonts w:ascii="Times New Roman" w:hAnsi="Times New Roman"/>
        </w:rPr>
        <w:t xml:space="preserve"> </w:t>
      </w:r>
      <w:r w:rsidRPr="007A7FB2">
        <w:rPr>
          <w:rFonts w:ascii="Times New Roman" w:hAnsi="Times New Roman"/>
        </w:rPr>
        <w:t>was obliged to "[</w:t>
      </w:r>
      <w:proofErr w:type="spellStart"/>
      <w:r w:rsidRPr="007A7FB2">
        <w:rPr>
          <w:rFonts w:ascii="Times New Roman" w:hAnsi="Times New Roman"/>
        </w:rPr>
        <w:t>i</w:t>
      </w:r>
      <w:proofErr w:type="spellEnd"/>
      <w:r w:rsidRPr="007A7FB2">
        <w:rPr>
          <w:rFonts w:ascii="Times New Roman" w:hAnsi="Times New Roman"/>
        </w:rPr>
        <w:t>]</w:t>
      </w:r>
      <w:proofErr w:type="spellStart"/>
      <w:r w:rsidRPr="007A7FB2">
        <w:rPr>
          <w:rFonts w:ascii="Times New Roman" w:hAnsi="Times New Roman"/>
        </w:rPr>
        <w:t>ndemnify</w:t>
      </w:r>
      <w:proofErr w:type="spellEnd"/>
      <w:r w:rsidRPr="007A7FB2">
        <w:rPr>
          <w:rFonts w:ascii="Times New Roman" w:hAnsi="Times New Roman"/>
        </w:rPr>
        <w:t xml:space="preserve"> Construct against any breach by the Contractor of [cl] 4(c)". This clause was directed to ensuring that Construct did not suffer loss caused by the non</w:t>
      </w:r>
      <w:r w:rsidRPr="007A7FB2">
        <w:rPr>
          <w:rFonts w:ascii="Times New Roman" w:hAnsi="Times New Roman"/>
        </w:rPr>
        <w:noBreakHyphen/>
        <w:t>performance of work by the Contractor. And, finally, under cl 5(c), if</w:t>
      </w:r>
      <w:r>
        <w:rPr>
          <w:rFonts w:ascii="Times New Roman" w:hAnsi="Times New Roman"/>
        </w:rPr>
        <w:t> </w:t>
      </w:r>
      <w:r w:rsidRPr="007A7FB2">
        <w:rPr>
          <w:rFonts w:ascii="Times New Roman" w:hAnsi="Times New Roman"/>
        </w:rPr>
        <w:t>Mr</w:t>
      </w:r>
      <w:r>
        <w:rPr>
          <w:rFonts w:ascii="Times New Roman" w:hAnsi="Times New Roman"/>
        </w:rPr>
        <w:t> </w:t>
      </w:r>
      <w:r w:rsidRPr="007A7FB2">
        <w:rPr>
          <w:rFonts w:ascii="Times New Roman" w:hAnsi="Times New Roman"/>
        </w:rPr>
        <w:t>McCourt was no longer available to supply labour under the terms of the ASA, he</w:t>
      </w:r>
      <w:r>
        <w:rPr>
          <w:rFonts w:ascii="Times New Roman" w:hAnsi="Times New Roman"/>
        </w:rPr>
        <w:t> </w:t>
      </w:r>
      <w:r w:rsidRPr="007A7FB2">
        <w:rPr>
          <w:rFonts w:ascii="Times New Roman" w:hAnsi="Times New Roman"/>
        </w:rPr>
        <w:t xml:space="preserve">was entitled to notify the builder </w:t>
      </w:r>
      <w:r w:rsidRPr="007A7FB2">
        <w:rPr>
          <w:rFonts w:ascii="Times New Roman" w:hAnsi="Times New Roman"/>
          <w:i/>
        </w:rPr>
        <w:t>and Construct</w:t>
      </w:r>
      <w:r w:rsidRPr="007A7FB2">
        <w:rPr>
          <w:rFonts w:ascii="Times New Roman" w:hAnsi="Times New Roman"/>
        </w:rPr>
        <w:t xml:space="preserve"> on four hours' notice. The fact that Mr McCourt could give such notice may be indicative of a relationship of casual employment (so too might the fact that, under cl 3(c) of the </w:t>
      </w:r>
      <w:r w:rsidRPr="007A7FB2">
        <w:rPr>
          <w:rFonts w:ascii="Times New Roman" w:hAnsi="Times New Roman"/>
        </w:rPr>
        <w:lastRenderedPageBreak/>
        <w:t>ASA, Mr</w:t>
      </w:r>
      <w:r>
        <w:rPr>
          <w:rFonts w:ascii="Times New Roman" w:hAnsi="Times New Roman"/>
        </w:rPr>
        <w:t> </w:t>
      </w:r>
      <w:r w:rsidRPr="007A7FB2">
        <w:rPr>
          <w:rFonts w:ascii="Times New Roman" w:hAnsi="Times New Roman"/>
        </w:rPr>
        <w:t>McCourt warranted that he did not require Construct to guarantee work of any duration)</w:t>
      </w:r>
      <w:r w:rsidRPr="007A7FB2">
        <w:rPr>
          <w:rStyle w:val="FootnoteReference"/>
          <w:rFonts w:ascii="Times New Roman" w:hAnsi="Times New Roman"/>
          <w:sz w:val="24"/>
        </w:rPr>
        <w:footnoteReference w:id="351"/>
      </w:r>
      <w:r w:rsidRPr="007A7FB2">
        <w:rPr>
          <w:rFonts w:ascii="Times New Roman" w:hAnsi="Times New Roman"/>
        </w:rPr>
        <w:t>.</w:t>
      </w:r>
    </w:p>
    <w:p w14:paraId="756DE1B1"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The second aspect to be addressed is payment. As explained above, Construct, not the builder, was obliged to pay Mr McCourt for work undertaken by him under the ASA</w:t>
      </w:r>
      <w:r w:rsidRPr="007A7FB2">
        <w:rPr>
          <w:rStyle w:val="FootnoteReference"/>
          <w:rFonts w:ascii="Times New Roman" w:hAnsi="Times New Roman"/>
          <w:sz w:val="24"/>
        </w:rPr>
        <w:footnoteReference w:id="352"/>
      </w:r>
      <w:r w:rsidRPr="007A7FB2">
        <w:rPr>
          <w:rFonts w:ascii="Times New Roman" w:hAnsi="Times New Roman"/>
        </w:rPr>
        <w:t>. Pursuant to cl 2(a), under the heading "Construct's Rights", Construct was entitled to "[n]</w:t>
      </w:r>
      <w:proofErr w:type="spellStart"/>
      <w:r w:rsidRPr="007A7FB2">
        <w:rPr>
          <w:rFonts w:ascii="Times New Roman" w:hAnsi="Times New Roman"/>
        </w:rPr>
        <w:t>egotiate</w:t>
      </w:r>
      <w:proofErr w:type="spellEnd"/>
      <w:r w:rsidRPr="007A7FB2">
        <w:rPr>
          <w:rFonts w:ascii="Times New Roman" w:hAnsi="Times New Roman"/>
        </w:rPr>
        <w:t xml:space="preserve"> with any builder a payment rate for the supply by the Contractor of labour to the builder", provided that the "Contractor" was also at liberty to negotiate the payment rate and other terms and conditions with the builder. Other clauses are relevant. Clause 2(c) provided that Construct had a right to "[n]</w:t>
      </w:r>
      <w:proofErr w:type="spellStart"/>
      <w:r w:rsidRPr="007A7FB2">
        <w:rPr>
          <w:rFonts w:ascii="Times New Roman" w:hAnsi="Times New Roman"/>
        </w:rPr>
        <w:t>egotiate</w:t>
      </w:r>
      <w:proofErr w:type="spellEnd"/>
      <w:r w:rsidRPr="007A7FB2">
        <w:rPr>
          <w:rFonts w:ascii="Times New Roman" w:hAnsi="Times New Roman"/>
        </w:rPr>
        <w:t xml:space="preserve"> with the builder for remuneration in respect of any increase in the payment rate negotiated directly by the Contractor with the builder". Although </w:t>
      </w:r>
      <w:proofErr w:type="spellStart"/>
      <w:r w:rsidRPr="007A7FB2">
        <w:rPr>
          <w:rFonts w:ascii="Times New Roman" w:hAnsi="Times New Roman"/>
        </w:rPr>
        <w:t>cll</w:t>
      </w:r>
      <w:proofErr w:type="spellEnd"/>
      <w:r w:rsidRPr="007A7FB2">
        <w:rPr>
          <w:rFonts w:ascii="Times New Roman" w:hAnsi="Times New Roman"/>
        </w:rPr>
        <w:t xml:space="preserve"> 2(a) and 3(d) contemplated that Mr McCourt was able to independently negotiate an increase to his salary with Hanssen, cl 5(a) provided that the "Contractor" was entitled to receive payment from Construct, not Hanssen. Moreover, cl 2(d) provided that Construct could "[w]</w:t>
      </w:r>
      <w:proofErr w:type="spellStart"/>
      <w:r w:rsidRPr="007A7FB2">
        <w:rPr>
          <w:rFonts w:ascii="Times New Roman" w:hAnsi="Times New Roman"/>
        </w:rPr>
        <w:t>ithhold</w:t>
      </w:r>
      <w:proofErr w:type="spellEnd"/>
      <w:r w:rsidRPr="007A7FB2">
        <w:rPr>
          <w:rFonts w:ascii="Times New Roman" w:hAnsi="Times New Roman"/>
        </w:rPr>
        <w:t xml:space="preserve"> from the Contractor payment of any monies reasonably required by Construct to compensate it for any claim made against Construct by the builder in respect of the supply of labour by the Contractor to the builder". </w:t>
      </w:r>
    </w:p>
    <w:p w14:paraId="137843CE"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As is apparent, Construct was owed obligations by Mr McCourt which enabled it to carry on its labour hire business, and the discharge of those obligations by Mr McCourt was a necessary condition of Mr McCourt receiving payment for his work. The contractual terms also reveal that the contract was for Mr McCourt's personal performance of work and his mode of remuneration was consistent with that of an employment relationship</w:t>
      </w:r>
      <w:r w:rsidRPr="007A7FB2">
        <w:rPr>
          <w:rStyle w:val="FootnoteReference"/>
          <w:rFonts w:ascii="Times New Roman" w:hAnsi="Times New Roman"/>
          <w:sz w:val="24"/>
        </w:rPr>
        <w:footnoteReference w:id="353"/>
      </w:r>
      <w:r w:rsidRPr="007A7FB2">
        <w:rPr>
          <w:rFonts w:ascii="Times New Roman" w:hAnsi="Times New Roman"/>
        </w:rPr>
        <w:t xml:space="preserve">. </w:t>
      </w:r>
    </w:p>
    <w:p w14:paraId="07CDFD19"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There are some aspects of the ASA which suggest that Mr McCourt was not Construct's employee. In the Recitals and various terms of the ASA, Mr McCourt was expressly identified as an independent contractor, or as not an employee of Construct: Recital A referred to Construct liaising between builders and "self</w:t>
      </w:r>
      <w:r w:rsidRPr="007A7FB2">
        <w:rPr>
          <w:rFonts w:ascii="Times New Roman" w:hAnsi="Times New Roman"/>
        </w:rPr>
        <w:noBreakHyphen/>
        <w:t>employed contractors for the provision of labour by self</w:t>
      </w:r>
      <w:r w:rsidRPr="007A7FB2">
        <w:rPr>
          <w:rFonts w:ascii="Times New Roman" w:hAnsi="Times New Roman"/>
        </w:rPr>
        <w:noBreakHyphen/>
        <w:t>employed contractors to builders and supplying to the self</w:t>
      </w:r>
      <w:r w:rsidRPr="007A7FB2">
        <w:rPr>
          <w:rFonts w:ascii="Times New Roman" w:hAnsi="Times New Roman"/>
        </w:rPr>
        <w:noBreakHyphen/>
        <w:t>employed contractors financial administrative services"; under</w:t>
      </w:r>
      <w:r w:rsidRPr="007A7FB2">
        <w:rPr>
          <w:rFonts w:ascii="Times New Roman" w:hAnsi="Times New Roman"/>
          <w:b/>
        </w:rPr>
        <w:t> </w:t>
      </w:r>
      <w:r w:rsidRPr="007A7FB2">
        <w:rPr>
          <w:rFonts w:ascii="Times New Roman" w:hAnsi="Times New Roman"/>
        </w:rPr>
        <w:t>cl 3(b) the "Contractor" warranted that "[h]e [was] self</w:t>
      </w:r>
      <w:r w:rsidRPr="007A7FB2">
        <w:rPr>
          <w:rFonts w:ascii="Times New Roman" w:hAnsi="Times New Roman"/>
        </w:rPr>
        <w:noBreakHyphen/>
        <w:t>employed"; under cl 3(e) the "Contractor" warranted that "Construct [was not] liable to pay the Contractor any amounts in respect of annual leave, sick leave, long service leave or any other statutory entitlement required in an employer</w:t>
      </w:r>
      <w:r>
        <w:rPr>
          <w:rFonts w:ascii="Times New Roman" w:hAnsi="Times New Roman"/>
        </w:rPr>
        <w:noBreakHyphen/>
      </w:r>
      <w:r w:rsidRPr="007A7FB2">
        <w:rPr>
          <w:rFonts w:ascii="Times New Roman" w:hAnsi="Times New Roman"/>
        </w:rPr>
        <w:t xml:space="preserve">employee relationship"; and under cl 4(h) the "Contractor" was obliged </w:t>
      </w:r>
      <w:r w:rsidRPr="007A7FB2">
        <w:rPr>
          <w:rFonts w:ascii="Times New Roman" w:hAnsi="Times New Roman"/>
        </w:rPr>
        <w:lastRenderedPageBreak/>
        <w:t>to "[n]</w:t>
      </w:r>
      <w:proofErr w:type="spellStart"/>
      <w:r w:rsidRPr="007A7FB2">
        <w:rPr>
          <w:rFonts w:ascii="Times New Roman" w:hAnsi="Times New Roman"/>
        </w:rPr>
        <w:t>ot</w:t>
      </w:r>
      <w:proofErr w:type="spellEnd"/>
      <w:r w:rsidRPr="007A7FB2">
        <w:rPr>
          <w:rFonts w:ascii="Times New Roman" w:hAnsi="Times New Roman"/>
        </w:rPr>
        <w:t xml:space="preserve"> represent himself as being an employee of Construct at any time or otherwise represent himself as authorised to act on behalf of Construct other than strictly under the terms of [the ASA]". As has been observed, those matters are relevant but not determinative</w:t>
      </w:r>
      <w:r w:rsidRPr="007A7FB2">
        <w:rPr>
          <w:rStyle w:val="FootnoteReference"/>
          <w:rFonts w:ascii="Times New Roman" w:hAnsi="Times New Roman"/>
          <w:sz w:val="24"/>
        </w:rPr>
        <w:footnoteReference w:id="354"/>
      </w:r>
      <w:r w:rsidRPr="007A7FB2">
        <w:rPr>
          <w:rFonts w:ascii="Times New Roman" w:hAnsi="Times New Roman"/>
        </w:rPr>
        <w:t xml:space="preserve">. </w:t>
      </w:r>
    </w:p>
    <w:p w14:paraId="04735199"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 xml:space="preserve">The totality of the relationship between Construct and Mr McCourt provided for by the ASA was that of employer and employee. The totality of that relationship can be contrasted with the description of an independent contractor given by Dixon J in </w:t>
      </w:r>
      <w:r w:rsidRPr="007A7FB2">
        <w:rPr>
          <w:rFonts w:ascii="Times New Roman" w:hAnsi="Times New Roman"/>
          <w:i/>
        </w:rPr>
        <w:t>Colonial Mutual Life Assurance Society Ltd v Producers and Citizens Co-operative Assurance Co of Australia Ltd</w:t>
      </w:r>
      <w:r w:rsidRPr="007A7FB2">
        <w:rPr>
          <w:rStyle w:val="FootnoteReference"/>
          <w:rFonts w:ascii="Times New Roman" w:hAnsi="Times New Roman"/>
          <w:sz w:val="24"/>
        </w:rPr>
        <w:footnoteReference w:id="355"/>
      </w:r>
      <w:r w:rsidRPr="007A7FB2">
        <w:rPr>
          <w:rFonts w:ascii="Times New Roman" w:hAnsi="Times New Roman"/>
        </w:rPr>
        <w:t>, namely: "[t]he work ... is</w:t>
      </w:r>
      <w:r>
        <w:rPr>
          <w:rFonts w:ascii="Times New Roman" w:hAnsi="Times New Roman"/>
        </w:rPr>
        <w:t> </w:t>
      </w:r>
      <w:r w:rsidRPr="007A7FB2">
        <w:rPr>
          <w:rFonts w:ascii="Times New Roman" w:hAnsi="Times New Roman"/>
        </w:rPr>
        <w:t xml:space="preserve">considered as the independent function of the person who undertakes it, and not as something which the person obtaining the benefit does by his representative standing in his place". Under the ASA, Mr McCourt agreed to work in the business or enterprise of Construct. Construct's business was labour hire and Mr McCourt agreed with Construct that in return for Construct paying him for the work he would do, he would provide his labour to Hanssen (the entity to which Construct had agreed it would provide labour). Put in different terms, under the ASA Mr McCourt contracted with Construct and promised Construct that he would work at its direction for the benefit of Construct's business of supplying labour to Construct's customers and, in return, he was paid by Construct. </w:t>
      </w:r>
    </w:p>
    <w:p w14:paraId="570DFFD2" w14:textId="77777777" w:rsidR="00782161" w:rsidRPr="007A7FB2"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 xml:space="preserve">Nothing in the context objectively </w:t>
      </w:r>
      <w:r w:rsidRPr="007A7FB2" w:rsidDel="002926AD">
        <w:rPr>
          <w:rFonts w:ascii="Times New Roman" w:hAnsi="Times New Roman"/>
        </w:rPr>
        <w:t xml:space="preserve">known </w:t>
      </w:r>
      <w:r w:rsidRPr="007A7FB2">
        <w:rPr>
          <w:rFonts w:ascii="Times New Roman" w:hAnsi="Times New Roman"/>
        </w:rPr>
        <w:t>to the parties at the time of making the ASA detracts from that characterisation of that relationship as one of employer and employee. Rather, the context of an individual on a working holiday visa being contracted to perform labouring work as directed by Construct and required to provide nothing but basic personal protective equipment reinforces that characterisation. Given that both parties accepted that the contract between Construct and Mr McCourt was wholly in writing (relevantly, in the ASA), it is neither necessary nor appropriate to look at how the ASA was performed. In this appeal, subsequent conduct is irrelevant.</w:t>
      </w:r>
    </w:p>
    <w:p w14:paraId="4F1BFFB1" w14:textId="77777777" w:rsidR="00782161" w:rsidRPr="007A7FB2" w:rsidRDefault="00782161" w:rsidP="007A7FB2">
      <w:pPr>
        <w:pStyle w:val="HeadingL1"/>
        <w:spacing w:after="260" w:line="280" w:lineRule="exact"/>
        <w:ind w:right="0"/>
        <w:jc w:val="both"/>
        <w:rPr>
          <w:rFonts w:ascii="Times New Roman" w:hAnsi="Times New Roman"/>
        </w:rPr>
      </w:pPr>
      <w:r w:rsidRPr="007A7FB2">
        <w:rPr>
          <w:rFonts w:ascii="Times New Roman" w:hAnsi="Times New Roman"/>
        </w:rPr>
        <w:t>Conclusion and orders</w:t>
      </w:r>
    </w:p>
    <w:p w14:paraId="1626784F" w14:textId="77777777" w:rsidR="005E53F7" w:rsidRDefault="00782161" w:rsidP="00782161">
      <w:pPr>
        <w:pStyle w:val="FixListStyle"/>
        <w:numPr>
          <w:ilvl w:val="0"/>
          <w:numId w:val="18"/>
        </w:numPr>
        <w:spacing w:after="260" w:line="280" w:lineRule="exact"/>
        <w:ind w:left="0" w:right="0" w:hanging="720"/>
        <w:jc w:val="both"/>
        <w:rPr>
          <w:rFonts w:ascii="Times New Roman" w:hAnsi="Times New Roman"/>
        </w:rPr>
      </w:pPr>
      <w:r w:rsidRPr="007A7FB2">
        <w:rPr>
          <w:rFonts w:ascii="Times New Roman" w:hAnsi="Times New Roman"/>
        </w:rPr>
        <w:tab/>
        <w:t>For these reasons, I agree with the orders proposed by Kiefel CJ, Keane and Edelman JJ. The appeal should be allowed and the matter should be remitted to the primary judge to determine the application made by the CFMMEU and Mr</w:t>
      </w:r>
      <w:r>
        <w:rPr>
          <w:rFonts w:ascii="Times New Roman" w:hAnsi="Times New Roman"/>
        </w:rPr>
        <w:t> </w:t>
      </w:r>
      <w:r w:rsidRPr="007A7FB2">
        <w:rPr>
          <w:rFonts w:ascii="Times New Roman" w:hAnsi="Times New Roman"/>
        </w:rPr>
        <w:t xml:space="preserve">McCourt for compensation for contraventions of the Award according to law. </w:t>
      </w:r>
    </w:p>
    <w:p w14:paraId="6A0C839B" w14:textId="77777777" w:rsidR="005E53F7" w:rsidRDefault="005E53F7" w:rsidP="00782161">
      <w:pPr>
        <w:pStyle w:val="FixListStyle"/>
        <w:numPr>
          <w:ilvl w:val="0"/>
          <w:numId w:val="18"/>
        </w:numPr>
        <w:spacing w:after="260" w:line="280" w:lineRule="exact"/>
        <w:ind w:left="0" w:right="0" w:hanging="720"/>
        <w:jc w:val="both"/>
        <w:rPr>
          <w:rFonts w:ascii="Times New Roman" w:hAnsi="Times New Roman"/>
        </w:rPr>
        <w:sectPr w:rsidR="005E53F7" w:rsidSect="0075303D">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78F40A0B" w14:textId="77777777" w:rsidR="005E53F7" w:rsidRPr="00226D4E" w:rsidRDefault="005E53F7" w:rsidP="005E53F7">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226D4E">
        <w:rPr>
          <w:rFonts w:ascii="Times New Roman" w:hAnsi="Times New Roman"/>
        </w:rPr>
        <w:lastRenderedPageBreak/>
        <w:t>STEWARD J.   I respectfully agree with Gordon J's expression of the test to determine whether a person is an employee. Subject to three observations, I would nonetheless dismiss the appeal, confined to the reasons expressed below.</w:t>
      </w:r>
    </w:p>
    <w:p w14:paraId="45323F35" w14:textId="77777777" w:rsidR="005E53F7" w:rsidRPr="00226D4E" w:rsidRDefault="005E53F7" w:rsidP="00226D4E">
      <w:pPr>
        <w:pStyle w:val="HeadingL1"/>
        <w:spacing w:after="260" w:line="280" w:lineRule="exact"/>
        <w:ind w:right="0"/>
        <w:jc w:val="both"/>
        <w:rPr>
          <w:rFonts w:ascii="Times New Roman" w:hAnsi="Times New Roman"/>
        </w:rPr>
      </w:pPr>
      <w:r w:rsidRPr="00226D4E">
        <w:rPr>
          <w:rFonts w:ascii="Times New Roman" w:hAnsi="Times New Roman"/>
        </w:rPr>
        <w:t>The three observations</w:t>
      </w:r>
    </w:p>
    <w:p w14:paraId="33AFADCB" w14:textId="77777777" w:rsidR="005E53F7" w:rsidRPr="00226D4E" w:rsidRDefault="005E53F7" w:rsidP="005E53F7">
      <w:pPr>
        <w:pStyle w:val="FixListStyle"/>
        <w:numPr>
          <w:ilvl w:val="0"/>
          <w:numId w:val="18"/>
        </w:numPr>
        <w:spacing w:after="260" w:line="280" w:lineRule="exact"/>
        <w:ind w:left="0" w:right="0" w:hanging="720"/>
        <w:jc w:val="both"/>
        <w:rPr>
          <w:rFonts w:ascii="Times New Roman" w:hAnsi="Times New Roman"/>
        </w:rPr>
      </w:pPr>
      <w:r w:rsidRPr="00226D4E">
        <w:rPr>
          <w:rFonts w:ascii="Times New Roman" w:hAnsi="Times New Roman"/>
        </w:rPr>
        <w:tab/>
        <w:t>First, care should be taken before concluding that even very unskilled or simple activities are not capable of constituting a business. A business can arise from limited activities which are passive in nature</w:t>
      </w:r>
      <w:r w:rsidRPr="00226D4E">
        <w:rPr>
          <w:rStyle w:val="FootnoteReference"/>
          <w:rFonts w:ascii="Times New Roman" w:hAnsi="Times New Roman"/>
          <w:sz w:val="24"/>
        </w:rPr>
        <w:footnoteReference w:id="356"/>
      </w:r>
      <w:r w:rsidRPr="00226D4E">
        <w:rPr>
          <w:rFonts w:ascii="Times New Roman" w:hAnsi="Times New Roman"/>
        </w:rPr>
        <w:t xml:space="preserve"> and can exist in the absence of any entrepreneurial skill</w:t>
      </w:r>
      <w:r w:rsidRPr="00226D4E">
        <w:rPr>
          <w:rStyle w:val="FootnoteReference"/>
          <w:rFonts w:ascii="Times New Roman" w:hAnsi="Times New Roman"/>
          <w:sz w:val="24"/>
        </w:rPr>
        <w:footnoteReference w:id="357"/>
      </w:r>
      <w:r w:rsidRPr="00226D4E">
        <w:rPr>
          <w:rFonts w:ascii="Times New Roman" w:hAnsi="Times New Roman"/>
        </w:rPr>
        <w:t>. It can also exist where a profit motive is entirely lacking</w:t>
      </w:r>
      <w:r w:rsidRPr="00226D4E">
        <w:rPr>
          <w:rStyle w:val="FootnoteReference"/>
          <w:rFonts w:ascii="Times New Roman" w:hAnsi="Times New Roman"/>
          <w:sz w:val="24"/>
        </w:rPr>
        <w:footnoteReference w:id="358"/>
      </w:r>
      <w:r w:rsidRPr="00226D4E">
        <w:rPr>
          <w:rFonts w:ascii="Times New Roman" w:hAnsi="Times New Roman"/>
        </w:rPr>
        <w:t>. Secondly, it is arguable that cl 4(a) of the Administrative Services Agreement ("the ASA") did not confer on the respondent significant control over the second appellant ("Mr McCourt"). In a contractual context in which the respondent specifically sought to avoid a legal conclusion whereby Mr McCourt became its employee – an objective acknowledged by Mr McCourt</w:t>
      </w:r>
      <w:r w:rsidRPr="00226D4E">
        <w:rPr>
          <w:rStyle w:val="FootnoteReference"/>
          <w:rFonts w:ascii="Times New Roman" w:hAnsi="Times New Roman"/>
          <w:sz w:val="24"/>
        </w:rPr>
        <w:footnoteReference w:id="359"/>
      </w:r>
      <w:r w:rsidRPr="00226D4E">
        <w:rPr>
          <w:rFonts w:ascii="Times New Roman" w:hAnsi="Times New Roman"/>
        </w:rPr>
        <w:t xml:space="preserve"> – the use of the word "co</w:t>
      </w:r>
      <w:r w:rsidRPr="00226D4E">
        <w:rPr>
          <w:rFonts w:ascii="Times New Roman" w:hAnsi="Times New Roman"/>
        </w:rPr>
        <w:noBreakHyphen/>
        <w:t>operate" in cl 4(a) may be significant. It suggests that the parties intended to reserve to Mr McCourt a degree of independence and wished to avoid a relationship of subservience. Thirdly, it is also arguable that the ASA did not give the respondent a right to terminate its arrangement with Mr McCourt following any breach by him of cl 4(a) (or (c)) of the ASA. The ASA conferred no express right of termination</w:t>
      </w:r>
      <w:r w:rsidRPr="00226D4E">
        <w:rPr>
          <w:rStyle w:val="FootnoteReference"/>
          <w:rFonts w:ascii="Times New Roman" w:hAnsi="Times New Roman"/>
          <w:sz w:val="24"/>
        </w:rPr>
        <w:footnoteReference w:id="360"/>
      </w:r>
      <w:r w:rsidRPr="00226D4E">
        <w:rPr>
          <w:rFonts w:ascii="Times New Roman" w:hAnsi="Times New Roman"/>
        </w:rPr>
        <w:t xml:space="preserve">. It would otherwise depend on the facts whether Mr McCourt's hypothetical conduct in breaching the ASA would permit the respondent to terminate that agreement. </w:t>
      </w:r>
    </w:p>
    <w:p w14:paraId="75AB20E8" w14:textId="77777777" w:rsidR="005E53F7" w:rsidRPr="00226D4E" w:rsidRDefault="005E53F7" w:rsidP="00226D4E">
      <w:pPr>
        <w:pStyle w:val="HeadingL1"/>
        <w:spacing w:after="260" w:line="280" w:lineRule="exact"/>
        <w:ind w:right="0"/>
        <w:jc w:val="both"/>
        <w:rPr>
          <w:rFonts w:ascii="Times New Roman" w:hAnsi="Times New Roman"/>
        </w:rPr>
      </w:pPr>
      <w:r w:rsidRPr="00226D4E">
        <w:rPr>
          <w:rFonts w:ascii="Times New Roman" w:hAnsi="Times New Roman"/>
        </w:rPr>
        <w:t>Reasons for dismissing the appeal</w:t>
      </w:r>
    </w:p>
    <w:p w14:paraId="411A4E28" w14:textId="77777777" w:rsidR="005E53F7" w:rsidRPr="00226D4E" w:rsidRDefault="005E53F7" w:rsidP="005E53F7">
      <w:pPr>
        <w:pStyle w:val="FixListStyle"/>
        <w:numPr>
          <w:ilvl w:val="0"/>
          <w:numId w:val="18"/>
        </w:numPr>
        <w:spacing w:after="260" w:line="280" w:lineRule="exact"/>
        <w:ind w:left="0" w:right="0" w:hanging="720"/>
        <w:jc w:val="both"/>
        <w:rPr>
          <w:rFonts w:ascii="Times New Roman" w:hAnsi="Times New Roman"/>
        </w:rPr>
      </w:pPr>
      <w:r w:rsidRPr="00226D4E">
        <w:rPr>
          <w:rFonts w:ascii="Times New Roman" w:hAnsi="Times New Roman"/>
        </w:rPr>
        <w:tab/>
        <w:t xml:space="preserve">In 1989, Woodward J handed down his decision in </w:t>
      </w:r>
      <w:r w:rsidRPr="00226D4E">
        <w:rPr>
          <w:rFonts w:ascii="Times New Roman" w:hAnsi="Times New Roman"/>
          <w:i/>
        </w:rPr>
        <w:t>Odco Pty Ltd v Building Workers' Industrial Union of Australia</w:t>
      </w:r>
      <w:r w:rsidRPr="00226D4E">
        <w:rPr>
          <w:rStyle w:val="FootnoteReference"/>
          <w:rFonts w:ascii="Times New Roman" w:hAnsi="Times New Roman"/>
          <w:sz w:val="24"/>
        </w:rPr>
        <w:footnoteReference w:id="361"/>
      </w:r>
      <w:r w:rsidRPr="00226D4E">
        <w:rPr>
          <w:rFonts w:ascii="Times New Roman" w:hAnsi="Times New Roman"/>
        </w:rPr>
        <w:t xml:space="preserve">. His Honour decided that workers </w:t>
      </w:r>
      <w:r w:rsidRPr="00226D4E">
        <w:rPr>
          <w:rFonts w:ascii="Times New Roman" w:hAnsi="Times New Roman"/>
        </w:rPr>
        <w:lastRenderedPageBreak/>
        <w:t>supplied by a business, trading as "Troubleshooters Available", to participants in the building industry were not employees of that business, but were instead independent contractors. The arrangement considered by Woodward J is materially the same as the one used here by the respondent, whereby the labour of Mr McCourt was supplied to a building company in Perth. The essence of these arrangements is the supply of labour rather than some product or result.</w:t>
      </w:r>
    </w:p>
    <w:p w14:paraId="29352156" w14:textId="77777777" w:rsidR="005E53F7" w:rsidRPr="00226D4E" w:rsidRDefault="005E53F7" w:rsidP="005E53F7">
      <w:pPr>
        <w:pStyle w:val="FixListStyle"/>
        <w:numPr>
          <w:ilvl w:val="0"/>
          <w:numId w:val="18"/>
        </w:numPr>
        <w:spacing w:after="260" w:line="280" w:lineRule="exact"/>
        <w:ind w:left="0" w:right="0" w:hanging="720"/>
        <w:jc w:val="both"/>
        <w:rPr>
          <w:rFonts w:ascii="Times New Roman" w:hAnsi="Times New Roman"/>
        </w:rPr>
      </w:pPr>
      <w:r w:rsidRPr="00226D4E">
        <w:rPr>
          <w:rFonts w:ascii="Times New Roman" w:hAnsi="Times New Roman"/>
        </w:rPr>
        <w:tab/>
        <w:t xml:space="preserve">Woodward J's decision was upheld on appeal by a unanimous decision of the Full Court of the Federal Court of Australia in </w:t>
      </w:r>
      <w:r w:rsidRPr="00226D4E">
        <w:rPr>
          <w:rFonts w:ascii="Times New Roman" w:hAnsi="Times New Roman"/>
          <w:i/>
        </w:rPr>
        <w:t>Building Workers' Industrial Union of Australia v Odco Pty Ltd</w:t>
      </w:r>
      <w:r w:rsidRPr="00226D4E">
        <w:rPr>
          <w:rStyle w:val="FootnoteReference"/>
          <w:rFonts w:ascii="Times New Roman" w:hAnsi="Times New Roman"/>
          <w:sz w:val="24"/>
        </w:rPr>
        <w:footnoteReference w:id="362"/>
      </w:r>
      <w:r w:rsidRPr="00226D4E">
        <w:rPr>
          <w:rFonts w:ascii="Times New Roman" w:hAnsi="Times New Roman"/>
        </w:rPr>
        <w:t>. A subsequent application for special leave to this Court was unsuccessful on the ground that the proposition, amongst others, that there was no contract of employment between the worker and Troubleshooters Available was not attended with sufficient doubt</w:t>
      </w:r>
      <w:r w:rsidRPr="00226D4E">
        <w:rPr>
          <w:rStyle w:val="FootnoteReference"/>
          <w:rFonts w:ascii="Times New Roman" w:hAnsi="Times New Roman"/>
          <w:sz w:val="24"/>
        </w:rPr>
        <w:footnoteReference w:id="363"/>
      </w:r>
      <w:r w:rsidRPr="00226D4E">
        <w:rPr>
          <w:rFonts w:ascii="Times New Roman" w:hAnsi="Times New Roman"/>
        </w:rPr>
        <w:t>.</w:t>
      </w:r>
    </w:p>
    <w:p w14:paraId="764C9AAF" w14:textId="77777777" w:rsidR="005E53F7" w:rsidRPr="00226D4E" w:rsidRDefault="005E53F7" w:rsidP="005E53F7">
      <w:pPr>
        <w:pStyle w:val="FixListStyle"/>
        <w:numPr>
          <w:ilvl w:val="0"/>
          <w:numId w:val="18"/>
        </w:numPr>
        <w:spacing w:after="260" w:line="280" w:lineRule="exact"/>
        <w:ind w:left="0" w:right="0" w:hanging="720"/>
        <w:jc w:val="both"/>
        <w:rPr>
          <w:rFonts w:ascii="Times New Roman" w:hAnsi="Times New Roman"/>
        </w:rPr>
      </w:pPr>
      <w:r w:rsidRPr="00226D4E">
        <w:rPr>
          <w:rFonts w:ascii="Times New Roman" w:hAnsi="Times New Roman"/>
        </w:rPr>
        <w:tab/>
        <w:t xml:space="preserve">In the years which followed, many businesses sought to implement the same arrangement upheld in </w:t>
      </w:r>
      <w:r w:rsidRPr="00226D4E">
        <w:rPr>
          <w:rFonts w:ascii="Times New Roman" w:hAnsi="Times New Roman"/>
          <w:i/>
        </w:rPr>
        <w:t>Odco</w:t>
      </w:r>
      <w:r w:rsidRPr="00226D4E">
        <w:rPr>
          <w:rFonts w:ascii="Times New Roman" w:hAnsi="Times New Roman"/>
        </w:rPr>
        <w:t xml:space="preserve"> – they became known as "Odco" arrangements. When businesses conformed materially to that arrangement, the workers they supplied were found to be independent contractors; it did not matter what type of labour was to be supplied. An example is found in the Industrial Appeal Court of Western Australia's decision in </w:t>
      </w:r>
      <w:r w:rsidRPr="00226D4E">
        <w:rPr>
          <w:rFonts w:ascii="Times New Roman" w:hAnsi="Times New Roman"/>
          <w:i/>
        </w:rPr>
        <w:t>Personnel Contracting Pty Ltd t/as Tricord Personnel v Construction</w:t>
      </w:r>
      <w:r>
        <w:rPr>
          <w:rFonts w:ascii="Times New Roman" w:hAnsi="Times New Roman"/>
          <w:i/>
        </w:rPr>
        <w:t>,</w:t>
      </w:r>
      <w:r w:rsidRPr="00226D4E">
        <w:rPr>
          <w:rFonts w:ascii="Times New Roman" w:hAnsi="Times New Roman"/>
          <w:i/>
        </w:rPr>
        <w:t xml:space="preserve"> Forestry</w:t>
      </w:r>
      <w:r>
        <w:rPr>
          <w:rFonts w:ascii="Times New Roman" w:hAnsi="Times New Roman"/>
          <w:i/>
        </w:rPr>
        <w:t>,</w:t>
      </w:r>
      <w:r w:rsidRPr="00226D4E">
        <w:rPr>
          <w:rFonts w:ascii="Times New Roman" w:hAnsi="Times New Roman"/>
          <w:i/>
        </w:rPr>
        <w:t xml:space="preserve"> Mining and Energy Union of Workers</w:t>
      </w:r>
      <w:r w:rsidRPr="00226D4E">
        <w:rPr>
          <w:rStyle w:val="FootnoteReference"/>
          <w:rFonts w:ascii="Times New Roman" w:hAnsi="Times New Roman"/>
          <w:sz w:val="24"/>
        </w:rPr>
        <w:footnoteReference w:id="364"/>
      </w:r>
      <w:r w:rsidRPr="00226D4E">
        <w:rPr>
          <w:rFonts w:ascii="Times New Roman" w:hAnsi="Times New Roman"/>
        </w:rPr>
        <w:t>. As Allsop CJ observed below, that case concerned an "earlier version" of the contract entered into here between Mr McCourt and the respondent</w:t>
      </w:r>
      <w:r w:rsidRPr="00226D4E">
        <w:rPr>
          <w:rStyle w:val="FootnoteReference"/>
          <w:rFonts w:ascii="Times New Roman" w:hAnsi="Times New Roman"/>
          <w:sz w:val="24"/>
        </w:rPr>
        <w:footnoteReference w:id="365"/>
      </w:r>
      <w:r w:rsidRPr="00226D4E">
        <w:rPr>
          <w:rFonts w:ascii="Times New Roman" w:hAnsi="Times New Roman"/>
        </w:rPr>
        <w:t xml:space="preserve">. Another example is the decision of the Full Court of the Supreme Court of Tasmania in </w:t>
      </w:r>
      <w:r w:rsidRPr="00226D4E">
        <w:rPr>
          <w:rFonts w:ascii="Times New Roman" w:hAnsi="Times New Roman"/>
          <w:i/>
        </w:rPr>
        <w:t>Young v Tasmanian Contracting Services Pty Ltd</w:t>
      </w:r>
      <w:r w:rsidRPr="00226D4E">
        <w:rPr>
          <w:rStyle w:val="FootnoteReference"/>
          <w:rFonts w:ascii="Times New Roman" w:hAnsi="Times New Roman"/>
          <w:sz w:val="24"/>
        </w:rPr>
        <w:footnoteReference w:id="366"/>
      </w:r>
      <w:r w:rsidRPr="00226D4E">
        <w:rPr>
          <w:rFonts w:ascii="Times New Roman" w:hAnsi="Times New Roman"/>
        </w:rPr>
        <w:t>.</w:t>
      </w:r>
    </w:p>
    <w:p w14:paraId="73D71F7C" w14:textId="77777777" w:rsidR="005E53F7" w:rsidRPr="00226D4E" w:rsidRDefault="005E53F7" w:rsidP="005E53F7">
      <w:pPr>
        <w:pStyle w:val="FixListStyle"/>
        <w:numPr>
          <w:ilvl w:val="0"/>
          <w:numId w:val="18"/>
        </w:numPr>
        <w:spacing w:after="260" w:line="280" w:lineRule="exact"/>
        <w:ind w:left="0" w:right="0" w:hanging="720"/>
        <w:jc w:val="both"/>
        <w:rPr>
          <w:rFonts w:ascii="Times New Roman" w:hAnsi="Times New Roman"/>
        </w:rPr>
      </w:pPr>
      <w:r w:rsidRPr="00226D4E">
        <w:rPr>
          <w:rFonts w:ascii="Times New Roman" w:hAnsi="Times New Roman"/>
        </w:rPr>
        <w:tab/>
        <w:t xml:space="preserve">On occasion, arrangements which differed in some respects from "Odco" arrangements led to a conclusion being drawn that the worker was an employee of the labour hire company. An example of this is found in the decision of the Court of Appeal of the Supreme Court of Victoria in </w:t>
      </w:r>
      <w:r w:rsidRPr="00226D4E">
        <w:rPr>
          <w:rFonts w:ascii="Times New Roman" w:hAnsi="Times New Roman"/>
          <w:i/>
        </w:rPr>
        <w:t xml:space="preserve">Drake Personnel Ltd v </w:t>
      </w:r>
      <w:r w:rsidRPr="00226D4E">
        <w:rPr>
          <w:rFonts w:ascii="Times New Roman" w:hAnsi="Times New Roman"/>
          <w:i/>
        </w:rPr>
        <w:lastRenderedPageBreak/>
        <w:t>Commissioner of State Revenue</w:t>
      </w:r>
      <w:r w:rsidRPr="00226D4E">
        <w:rPr>
          <w:rStyle w:val="FootnoteReference"/>
          <w:rFonts w:ascii="Times New Roman" w:hAnsi="Times New Roman"/>
          <w:sz w:val="24"/>
        </w:rPr>
        <w:footnoteReference w:id="367"/>
      </w:r>
      <w:r w:rsidRPr="00226D4E">
        <w:rPr>
          <w:rFonts w:ascii="Times New Roman" w:hAnsi="Times New Roman"/>
        </w:rPr>
        <w:t>. In that case, Phillips JA observed that the labour hire company had taken on more obligations of responsibility for the worker</w:t>
      </w:r>
      <w:r w:rsidRPr="00226D4E">
        <w:rPr>
          <w:rStyle w:val="FootnoteReference"/>
          <w:rFonts w:ascii="Times New Roman" w:hAnsi="Times New Roman"/>
          <w:sz w:val="24"/>
        </w:rPr>
        <w:footnoteReference w:id="368"/>
      </w:r>
      <w:r w:rsidRPr="00226D4E">
        <w:rPr>
          <w:rFonts w:ascii="Times New Roman" w:hAnsi="Times New Roman"/>
        </w:rPr>
        <w:t xml:space="preserve"> and, as a result, the worker was found to be a casual employee. On another occasion, the labour hire company that was party to the original decision of Woodward J was found to be an employer of labourers working under a contract of service by reason of specific statutory deeming provisions. This occurred in relation to certain workers in this Court's decision in </w:t>
      </w:r>
      <w:r w:rsidRPr="00226D4E">
        <w:rPr>
          <w:rFonts w:ascii="Times New Roman" w:hAnsi="Times New Roman"/>
          <w:i/>
        </w:rPr>
        <w:t>Accident Compensation Commission v Odco Pty Ltd</w:t>
      </w:r>
      <w:r w:rsidRPr="00226D4E">
        <w:rPr>
          <w:rStyle w:val="FootnoteReference"/>
          <w:rFonts w:ascii="Times New Roman" w:hAnsi="Times New Roman"/>
          <w:sz w:val="24"/>
        </w:rPr>
        <w:footnoteReference w:id="369"/>
      </w:r>
      <w:r w:rsidRPr="00226D4E">
        <w:rPr>
          <w:rFonts w:ascii="Times New Roman" w:hAnsi="Times New Roman"/>
        </w:rPr>
        <w:t xml:space="preserve">, which concerned the </w:t>
      </w:r>
      <w:r w:rsidRPr="00226D4E">
        <w:rPr>
          <w:rFonts w:ascii="Times New Roman" w:hAnsi="Times New Roman"/>
          <w:i/>
        </w:rPr>
        <w:t xml:space="preserve">Accident Compensation Act 1985 </w:t>
      </w:r>
      <w:r w:rsidRPr="00226D4E">
        <w:rPr>
          <w:rFonts w:ascii="Times New Roman" w:hAnsi="Times New Roman"/>
        </w:rPr>
        <w:t>(Vic). The arrangement considered by the Court was described as follows</w:t>
      </w:r>
      <w:r w:rsidRPr="00226D4E">
        <w:rPr>
          <w:rStyle w:val="FootnoteReference"/>
          <w:rFonts w:ascii="Times New Roman" w:hAnsi="Times New Roman"/>
          <w:sz w:val="24"/>
        </w:rPr>
        <w:footnoteReference w:id="370"/>
      </w:r>
      <w:r w:rsidRPr="00226D4E">
        <w:rPr>
          <w:rFonts w:ascii="Times New Roman" w:hAnsi="Times New Roman"/>
        </w:rPr>
        <w:t>:</w:t>
      </w:r>
    </w:p>
    <w:p w14:paraId="1EDFD840" w14:textId="77777777" w:rsidR="005E53F7" w:rsidRDefault="005E53F7" w:rsidP="00226D4E">
      <w:pPr>
        <w:pStyle w:val="LRIndentafterHC"/>
        <w:spacing w:before="0" w:after="260" w:line="280" w:lineRule="exact"/>
        <w:ind w:right="0"/>
        <w:jc w:val="both"/>
        <w:rPr>
          <w:rFonts w:ascii="Times New Roman" w:hAnsi="Times New Roman"/>
        </w:rPr>
      </w:pPr>
      <w:r w:rsidRPr="00226D4E">
        <w:rPr>
          <w:rFonts w:ascii="Times New Roman" w:hAnsi="Times New Roman"/>
        </w:rPr>
        <w:t>"When a builder needs a tradesman [she or he] contacts [Troubleshooters Available ('TSA')] and places an order. An employee of TSA then completes an order sheet recording the builder's name, the person to whom the tradesman should report at the building site, the type of tradesman required and the duration of the work. The employee of TSA then contacts an appropriate tradesman and advises the tradesman of the builder's requirements. If the proposal is acceptable to the tradesman, [she or he] attends at the building site and performs the necessary work at the direction of the builder. Subsequently, the tradesman telephones TSA to advise details of hours worked during the previous seven days. TSA raises an invoice to the builder charging the hours worked by the tradesman at a previously agreed hourly rate (which includes remuneration to TSA for its services to the builder). The tradesman is paid by TSA at the hourly rate or set price agreed between TSA and the tradesman. The tradesman makes no payment to TSA for having placed [her or him]. TSA's reward comes from the difference between the amount it charges the builder and the amount it pays the tradesman."</w:t>
      </w:r>
    </w:p>
    <w:p w14:paraId="0C77E100" w14:textId="77777777" w:rsidR="005E53F7" w:rsidRPr="00226D4E" w:rsidRDefault="005E53F7" w:rsidP="005E53F7">
      <w:pPr>
        <w:pStyle w:val="FixListStyle"/>
        <w:numPr>
          <w:ilvl w:val="0"/>
          <w:numId w:val="18"/>
        </w:numPr>
        <w:spacing w:after="260" w:line="280" w:lineRule="exact"/>
        <w:ind w:left="0" w:right="0" w:hanging="720"/>
        <w:jc w:val="both"/>
        <w:rPr>
          <w:rFonts w:ascii="Times New Roman" w:hAnsi="Times New Roman"/>
        </w:rPr>
      </w:pPr>
      <w:r w:rsidRPr="00226D4E">
        <w:rPr>
          <w:rFonts w:ascii="Times New Roman" w:hAnsi="Times New Roman"/>
        </w:rPr>
        <w:tab/>
        <w:t>It was not then suggested that the tradesmen under the foregoing arrangement were casual employees at common law.</w:t>
      </w:r>
    </w:p>
    <w:p w14:paraId="6DFF76FE" w14:textId="5FC45B71" w:rsidR="005E53F7" w:rsidRPr="00226D4E" w:rsidRDefault="005E53F7" w:rsidP="005E53F7">
      <w:pPr>
        <w:pStyle w:val="FixListStyle"/>
        <w:numPr>
          <w:ilvl w:val="0"/>
          <w:numId w:val="18"/>
        </w:numPr>
        <w:spacing w:after="260" w:line="280" w:lineRule="exact"/>
        <w:ind w:left="0" w:right="0" w:hanging="720"/>
        <w:jc w:val="both"/>
        <w:rPr>
          <w:rFonts w:ascii="Times New Roman" w:hAnsi="Times New Roman"/>
        </w:rPr>
      </w:pPr>
      <w:r w:rsidRPr="00226D4E">
        <w:rPr>
          <w:rFonts w:ascii="Times New Roman" w:hAnsi="Times New Roman"/>
        </w:rPr>
        <w:tab/>
        <w:t xml:space="preserve">In 2005, the House of Representatives Standing Committee on Employment, Workplace Relations and Workforce Participation published the result of its inquiry into "independent contracting and labour hire arrangements". </w:t>
      </w:r>
      <w:r w:rsidRPr="00226D4E">
        <w:rPr>
          <w:rFonts w:ascii="Times New Roman" w:hAnsi="Times New Roman"/>
        </w:rPr>
        <w:lastRenderedPageBreak/>
        <w:t>The Standing Committee noted that the growth in "independent contracting and labour hire employment" had "clearly" indicated that it had "become a preferred employment choice for many Australians"</w:t>
      </w:r>
      <w:r w:rsidRPr="00226D4E">
        <w:rPr>
          <w:rStyle w:val="FootnoteReference"/>
          <w:rFonts w:ascii="Times New Roman" w:hAnsi="Times New Roman"/>
          <w:sz w:val="24"/>
        </w:rPr>
        <w:footnoteReference w:id="371"/>
      </w:r>
      <w:r w:rsidRPr="00226D4E">
        <w:rPr>
          <w:rFonts w:ascii="Times New Roman" w:hAnsi="Times New Roman"/>
        </w:rPr>
        <w:t>. It also observed that "over 10</w:t>
      </w:r>
      <w:r w:rsidR="005B1B85">
        <w:rPr>
          <w:rFonts w:ascii="Times New Roman" w:hAnsi="Times New Roman"/>
        </w:rPr>
        <w:t> </w:t>
      </w:r>
      <w:r w:rsidRPr="00226D4E">
        <w:rPr>
          <w:rFonts w:ascii="Times New Roman" w:hAnsi="Times New Roman"/>
        </w:rPr>
        <w:t>per cent of the workforce" at that time identified themselves as being "independent contractors across a wide variety of industries"</w:t>
      </w:r>
      <w:r w:rsidRPr="00226D4E">
        <w:rPr>
          <w:rStyle w:val="FootnoteReference"/>
          <w:rFonts w:ascii="Times New Roman" w:hAnsi="Times New Roman"/>
          <w:sz w:val="24"/>
        </w:rPr>
        <w:footnoteReference w:id="372"/>
      </w:r>
      <w:r w:rsidRPr="00226D4E">
        <w:rPr>
          <w:rFonts w:ascii="Times New Roman" w:hAnsi="Times New Roman"/>
        </w:rPr>
        <w:t>. The Committee specifically referred to the use of "Odco" arrangements. The report thus stated</w:t>
      </w:r>
      <w:r w:rsidRPr="00226D4E">
        <w:rPr>
          <w:rStyle w:val="FootnoteReference"/>
          <w:rFonts w:ascii="Times New Roman" w:hAnsi="Times New Roman"/>
          <w:sz w:val="24"/>
        </w:rPr>
        <w:footnoteReference w:id="373"/>
      </w:r>
      <w:r w:rsidRPr="00226D4E">
        <w:rPr>
          <w:rFonts w:ascii="Times New Roman" w:hAnsi="Times New Roman"/>
        </w:rPr>
        <w:t>:</w:t>
      </w:r>
    </w:p>
    <w:p w14:paraId="7C84DEBD" w14:textId="77777777" w:rsidR="005E53F7" w:rsidRPr="00226D4E" w:rsidRDefault="005E53F7" w:rsidP="00226D4E">
      <w:pPr>
        <w:pStyle w:val="LRHangingafterHC"/>
        <w:spacing w:before="0" w:after="260" w:line="280" w:lineRule="exact"/>
        <w:ind w:left="2160" w:right="0" w:hanging="1440"/>
        <w:jc w:val="both"/>
        <w:rPr>
          <w:rFonts w:ascii="Times New Roman" w:hAnsi="Times New Roman"/>
        </w:rPr>
      </w:pPr>
      <w:r w:rsidRPr="00226D4E">
        <w:rPr>
          <w:rFonts w:ascii="Times New Roman" w:hAnsi="Times New Roman"/>
        </w:rPr>
        <w:t>"3.14</w:t>
      </w:r>
      <w:r w:rsidRPr="00226D4E">
        <w:rPr>
          <w:rFonts w:ascii="Times New Roman" w:hAnsi="Times New Roman"/>
        </w:rPr>
        <w:tab/>
      </w:r>
      <w:r w:rsidRPr="00226D4E">
        <w:rPr>
          <w:rFonts w:ascii="Times New Roman" w:hAnsi="Times New Roman"/>
        </w:rPr>
        <w:tab/>
        <w:t xml:space="preserve">Labour hire of contractor services involves the labour hire agency hiring contractors (that is workers with their own Australian Business Numbers (ABNs), as determined by taxation legislation) to host businesses to meet the client's production or service requirements. </w:t>
      </w:r>
    </w:p>
    <w:p w14:paraId="1061EB3B" w14:textId="77777777" w:rsidR="005E53F7" w:rsidRPr="00226D4E" w:rsidRDefault="005E53F7" w:rsidP="00226D4E">
      <w:pPr>
        <w:pStyle w:val="LeftrightHanging"/>
        <w:spacing w:before="0" w:after="260" w:line="280" w:lineRule="exact"/>
        <w:ind w:left="2160" w:right="0" w:hanging="1440"/>
        <w:jc w:val="both"/>
        <w:rPr>
          <w:rFonts w:ascii="Times New Roman" w:hAnsi="Times New Roman"/>
        </w:rPr>
      </w:pPr>
      <w:r w:rsidRPr="00226D4E">
        <w:rPr>
          <w:rFonts w:ascii="Times New Roman" w:hAnsi="Times New Roman"/>
        </w:rPr>
        <w:t>3.15</w:t>
      </w:r>
      <w:r w:rsidRPr="00226D4E">
        <w:rPr>
          <w:rFonts w:ascii="Times New Roman" w:hAnsi="Times New Roman"/>
        </w:rPr>
        <w:tab/>
      </w:r>
      <w:r w:rsidRPr="00226D4E">
        <w:rPr>
          <w:rFonts w:ascii="Times New Roman" w:hAnsi="Times New Roman"/>
        </w:rPr>
        <w:tab/>
        <w:t xml:space="preserve">The contractor services model is based on 'Odco' arrangements, which are independent contracting arrangements in the labour hire industry. 'Odco' arrangements create an independent contracting arrangement where the workers are neither employees of the labour hire agency nor the host business. These kinds of arrangements were upheld in a full Federal Court decision, </w:t>
      </w:r>
      <w:r w:rsidRPr="00226D4E">
        <w:rPr>
          <w:rFonts w:ascii="Times New Roman" w:hAnsi="Times New Roman"/>
          <w:i/>
        </w:rPr>
        <w:t>Building Workers['] Industrial Union of Australia v Odco Pty Ltd</w:t>
      </w:r>
      <w:r w:rsidRPr="00226D4E">
        <w:rPr>
          <w:rFonts w:ascii="Times New Roman" w:hAnsi="Times New Roman"/>
        </w:rPr>
        <w:t>. On other occasions, courts have found that contractual arrangements did not conf[o]rm to 'Odco' arrangements, and have held on the facts that the workers in question were 'employees', notwithstanding having been described in contractual documents as 'contractors'.</w:t>
      </w:r>
    </w:p>
    <w:p w14:paraId="1789DF92" w14:textId="77777777" w:rsidR="005E53F7" w:rsidRDefault="005E53F7" w:rsidP="00226D4E">
      <w:pPr>
        <w:pStyle w:val="LeftrightHanging"/>
        <w:spacing w:before="0" w:after="260" w:line="280" w:lineRule="exact"/>
        <w:ind w:left="2160" w:right="0" w:hanging="1440"/>
        <w:jc w:val="both"/>
        <w:rPr>
          <w:rFonts w:ascii="Times New Roman" w:hAnsi="Times New Roman"/>
        </w:rPr>
      </w:pPr>
      <w:r w:rsidRPr="00226D4E">
        <w:rPr>
          <w:rFonts w:ascii="Times New Roman" w:hAnsi="Times New Roman"/>
        </w:rPr>
        <w:t>3.16</w:t>
      </w:r>
      <w:r w:rsidRPr="00226D4E">
        <w:rPr>
          <w:rFonts w:ascii="Times New Roman" w:hAnsi="Times New Roman"/>
        </w:rPr>
        <w:tab/>
      </w:r>
      <w:r w:rsidRPr="00226D4E">
        <w:rPr>
          <w:rFonts w:ascii="Times New Roman" w:hAnsi="Times New Roman"/>
        </w:rPr>
        <w:tab/>
        <w:t xml:space="preserve">'Odco' arrangements operate in a range of industries. Independent contractors working under this system include farm hands, doctors, secretaries, personal assistants, family </w:t>
      </w:r>
      <w:r w:rsidRPr="00226D4E">
        <w:rPr>
          <w:rFonts w:ascii="Times New Roman" w:hAnsi="Times New Roman"/>
        </w:rPr>
        <w:lastRenderedPageBreak/>
        <w:t>day</w:t>
      </w:r>
      <w:r w:rsidRPr="00226D4E">
        <w:rPr>
          <w:rFonts w:ascii="Times New Roman" w:hAnsi="Times New Roman"/>
        </w:rPr>
        <w:noBreakHyphen/>
        <w:t>care workers, fishermen, salespeople, cleaners, security guards and building workers." (footnotes omitted)</w:t>
      </w:r>
    </w:p>
    <w:p w14:paraId="1F52B32A" w14:textId="77777777" w:rsidR="005E53F7" w:rsidRPr="00226D4E" w:rsidRDefault="005E53F7" w:rsidP="005E53F7">
      <w:pPr>
        <w:pStyle w:val="FixListStyle"/>
        <w:numPr>
          <w:ilvl w:val="0"/>
          <w:numId w:val="18"/>
        </w:numPr>
        <w:spacing w:after="260" w:line="280" w:lineRule="exact"/>
        <w:ind w:left="0" w:right="0" w:hanging="720"/>
        <w:jc w:val="both"/>
        <w:rPr>
          <w:rFonts w:ascii="Times New Roman" w:hAnsi="Times New Roman"/>
        </w:rPr>
      </w:pPr>
      <w:r w:rsidRPr="00226D4E">
        <w:rPr>
          <w:rFonts w:ascii="Times New Roman" w:hAnsi="Times New Roman"/>
        </w:rPr>
        <w:tab/>
        <w:t xml:space="preserve">Following the publication of that report, the Federal Parliament passed the </w:t>
      </w:r>
      <w:r w:rsidRPr="00226D4E">
        <w:rPr>
          <w:rFonts w:ascii="Times New Roman" w:hAnsi="Times New Roman"/>
          <w:i/>
        </w:rPr>
        <w:t>Independent Contractors Act 2006</w:t>
      </w:r>
      <w:r w:rsidRPr="00226D4E">
        <w:rPr>
          <w:rFonts w:ascii="Times New Roman" w:hAnsi="Times New Roman"/>
        </w:rPr>
        <w:t xml:space="preserve"> (Cth). The relevant Explanatory Memorandum referred to the foregoing report, as well as to a discussion paper prepared by the Department of Employment and Workplace Relations entitled "Proposals for Legislative Reform in Independent Contracting and Labour Hire Arrangements"</w:t>
      </w:r>
      <w:r w:rsidRPr="00226D4E">
        <w:rPr>
          <w:rStyle w:val="FootnoteReference"/>
          <w:rFonts w:ascii="Times New Roman" w:hAnsi="Times New Roman"/>
          <w:sz w:val="24"/>
        </w:rPr>
        <w:footnoteReference w:id="374"/>
      </w:r>
      <w:r w:rsidRPr="00226D4E">
        <w:rPr>
          <w:rFonts w:ascii="Times New Roman" w:hAnsi="Times New Roman"/>
        </w:rPr>
        <w:t>. That discussion paper also referred to industry use of "Odco" arrangements, which were described as follows</w:t>
      </w:r>
      <w:r w:rsidRPr="00226D4E">
        <w:rPr>
          <w:rStyle w:val="FootnoteReference"/>
          <w:rFonts w:ascii="Times New Roman" w:hAnsi="Times New Roman"/>
          <w:sz w:val="24"/>
        </w:rPr>
        <w:footnoteReference w:id="375"/>
      </w:r>
      <w:r w:rsidRPr="00226D4E">
        <w:rPr>
          <w:rFonts w:ascii="Times New Roman" w:hAnsi="Times New Roman"/>
        </w:rPr>
        <w:t>:</w:t>
      </w:r>
    </w:p>
    <w:p w14:paraId="42B024E7" w14:textId="77777777" w:rsidR="005E53F7" w:rsidRDefault="005E53F7" w:rsidP="00226D4E">
      <w:pPr>
        <w:pStyle w:val="LRIndentafterHC"/>
        <w:spacing w:before="0" w:after="260" w:line="280" w:lineRule="exact"/>
        <w:ind w:right="0"/>
        <w:jc w:val="both"/>
        <w:rPr>
          <w:rFonts w:ascii="Times New Roman" w:hAnsi="Times New Roman"/>
        </w:rPr>
      </w:pPr>
      <w:r w:rsidRPr="00226D4E">
        <w:rPr>
          <w:rFonts w:ascii="Times New Roman" w:hAnsi="Times New Roman"/>
        </w:rPr>
        <w:t xml:space="preserve">"The contractor services model is based on 'Odco' arrangements which are independent contracting arrangements in the labour hire industry. These kinds of arrangements were upheld in a Full Federal Court decision, </w:t>
      </w:r>
      <w:r w:rsidRPr="00226D4E">
        <w:rPr>
          <w:rFonts w:ascii="Times New Roman" w:hAnsi="Times New Roman"/>
          <w:i/>
        </w:rPr>
        <w:t>Building Workers['] Industrial Union of Australia v Odco Pty Ltd</w:t>
      </w:r>
      <w:r w:rsidRPr="00226D4E">
        <w:rPr>
          <w:rFonts w:ascii="Times New Roman" w:hAnsi="Times New Roman"/>
        </w:rPr>
        <w:t>. Odco arrangements create independent contracting arrangement[s] where the workers are neither employees of the labour hire company nor of that company's clients." (footnote omitted)</w:t>
      </w:r>
    </w:p>
    <w:p w14:paraId="7A84992A" w14:textId="77777777" w:rsidR="005E53F7" w:rsidRPr="00226D4E" w:rsidRDefault="005E53F7" w:rsidP="005E53F7">
      <w:pPr>
        <w:pStyle w:val="FixListStyle"/>
        <w:numPr>
          <w:ilvl w:val="0"/>
          <w:numId w:val="18"/>
        </w:numPr>
        <w:spacing w:after="260" w:line="280" w:lineRule="exact"/>
        <w:ind w:left="0" w:right="0" w:hanging="720"/>
        <w:jc w:val="both"/>
        <w:rPr>
          <w:rFonts w:ascii="Times New Roman" w:hAnsi="Times New Roman"/>
        </w:rPr>
      </w:pPr>
      <w:r w:rsidRPr="00226D4E">
        <w:rPr>
          <w:rFonts w:ascii="Times New Roman" w:hAnsi="Times New Roman"/>
        </w:rPr>
        <w:tab/>
        <w:t xml:space="preserve">Section 3 of the </w:t>
      </w:r>
      <w:r w:rsidRPr="00226D4E">
        <w:rPr>
          <w:rFonts w:ascii="Times New Roman" w:hAnsi="Times New Roman"/>
          <w:i/>
        </w:rPr>
        <w:t>Independent Contractors Act</w:t>
      </w:r>
      <w:r w:rsidRPr="00226D4E">
        <w:rPr>
          <w:rFonts w:ascii="Times New Roman" w:hAnsi="Times New Roman"/>
        </w:rPr>
        <w:t xml:space="preserve"> states that the objects of the Act include protecting "the freedom of independent contractors to enter into services contracts"; the recognition of "independent contracting as a legitimate form of work arrangement that is primarily commercial"; and the prevention of "interference with the terms of genuine independent contracting arrangements". The term "independent contractor" is not defined in this Act, but the Explanatory Memorandum describes such a contractor as someone who might work for a labour hire firm and states as follows</w:t>
      </w:r>
      <w:r w:rsidRPr="00226D4E">
        <w:rPr>
          <w:rStyle w:val="FootnoteReference"/>
          <w:rFonts w:ascii="Times New Roman" w:hAnsi="Times New Roman"/>
          <w:sz w:val="24"/>
        </w:rPr>
        <w:footnoteReference w:id="376"/>
      </w:r>
      <w:r w:rsidRPr="00226D4E">
        <w:rPr>
          <w:rFonts w:ascii="Times New Roman" w:hAnsi="Times New Roman"/>
        </w:rPr>
        <w:t>:</w:t>
      </w:r>
    </w:p>
    <w:p w14:paraId="4BF4EC00" w14:textId="77777777" w:rsidR="005E53F7" w:rsidRDefault="005E53F7" w:rsidP="00226D4E">
      <w:pPr>
        <w:pStyle w:val="LRIndentafterHC"/>
        <w:spacing w:before="0" w:after="260" w:line="280" w:lineRule="exact"/>
        <w:ind w:right="0"/>
        <w:jc w:val="both"/>
        <w:rPr>
          <w:rFonts w:ascii="Times New Roman" w:hAnsi="Times New Roman"/>
        </w:rPr>
      </w:pPr>
      <w:r w:rsidRPr="00226D4E">
        <w:rPr>
          <w:rFonts w:ascii="Times New Roman" w:hAnsi="Times New Roman"/>
        </w:rPr>
        <w:t>"An 'independent contractor' is a person who contracts to perform services for others without having the legal status of an employee. The term is generally used to refer to a person who is engaged by a principal, rather than an employer, on a labour only contract. Under such a contract, the principal pays the independent contractor a one</w:t>
      </w:r>
      <w:r w:rsidRPr="00226D4E">
        <w:rPr>
          <w:rFonts w:ascii="Times New Roman" w:hAnsi="Times New Roman"/>
        </w:rPr>
        <w:noBreakHyphen/>
        <w:t xml:space="preserve">off flat rate. There are generally no legislatively prescribed minimum entitlements or other </w:t>
      </w:r>
      <w:r w:rsidRPr="00226D4E">
        <w:rPr>
          <w:rFonts w:ascii="Times New Roman" w:hAnsi="Times New Roman"/>
        </w:rPr>
        <w:lastRenderedPageBreak/>
        <w:t>employee</w:t>
      </w:r>
      <w:r w:rsidRPr="00226D4E">
        <w:rPr>
          <w:rFonts w:ascii="Times New Roman" w:hAnsi="Times New Roman"/>
        </w:rPr>
        <w:noBreakHyphen/>
        <w:t>style benefits and the independent contractor is responsible for a number of aspects of the relationship that would usually be the responsibility of an employer (for instance, remitting income tax to the Australian Tax Office and contributing to a superannuation fund). Independent contractors' work arrangements take a variety of forms, for example, they may have a direct relationship with another enterprise or work through an intermediary (such as a labour hire firm), and they may or may not employ staff."</w:t>
      </w:r>
    </w:p>
    <w:p w14:paraId="0E0E8CB3" w14:textId="77777777" w:rsidR="005E53F7" w:rsidRPr="00226D4E" w:rsidRDefault="005E53F7" w:rsidP="005E53F7">
      <w:pPr>
        <w:pStyle w:val="FixListStyle"/>
        <w:numPr>
          <w:ilvl w:val="0"/>
          <w:numId w:val="18"/>
        </w:numPr>
        <w:spacing w:after="260" w:line="280" w:lineRule="exact"/>
        <w:ind w:left="0" w:right="0" w:hanging="720"/>
        <w:jc w:val="both"/>
        <w:rPr>
          <w:rFonts w:ascii="Times New Roman" w:hAnsi="Times New Roman"/>
        </w:rPr>
      </w:pPr>
      <w:r w:rsidRPr="00226D4E">
        <w:rPr>
          <w:rFonts w:ascii="Times New Roman" w:hAnsi="Times New Roman"/>
        </w:rPr>
        <w:tab/>
        <w:t xml:space="preserve">The </w:t>
      </w:r>
      <w:r w:rsidRPr="00226D4E">
        <w:rPr>
          <w:rFonts w:ascii="Times New Roman" w:hAnsi="Times New Roman"/>
          <w:i/>
        </w:rPr>
        <w:t>Independent Contractors Act</w:t>
      </w:r>
      <w:r w:rsidRPr="00226D4E">
        <w:rPr>
          <w:rFonts w:ascii="Times New Roman" w:hAnsi="Times New Roman"/>
        </w:rPr>
        <w:t xml:space="preserve"> permits, amongst other things, an application to be made to a federal court to review a "services contract" (as defined)</w:t>
      </w:r>
      <w:r w:rsidRPr="00226D4E">
        <w:rPr>
          <w:rStyle w:val="FootnoteReference"/>
          <w:rFonts w:ascii="Times New Roman" w:hAnsi="Times New Roman"/>
          <w:sz w:val="24"/>
        </w:rPr>
        <w:footnoteReference w:id="377"/>
      </w:r>
      <w:r w:rsidRPr="00226D4E">
        <w:rPr>
          <w:rFonts w:ascii="Times New Roman" w:hAnsi="Times New Roman"/>
        </w:rPr>
        <w:t xml:space="preserve"> on the grounds that it is unfair or harsh</w:t>
      </w:r>
      <w:r w:rsidRPr="00226D4E">
        <w:rPr>
          <w:rStyle w:val="FootnoteReference"/>
          <w:rFonts w:ascii="Times New Roman" w:hAnsi="Times New Roman"/>
          <w:sz w:val="24"/>
        </w:rPr>
        <w:footnoteReference w:id="378"/>
      </w:r>
      <w:r w:rsidRPr="00226D4E">
        <w:rPr>
          <w:rFonts w:ascii="Times New Roman" w:hAnsi="Times New Roman"/>
        </w:rPr>
        <w:t>. An "unfairness ground" is defined to include being paid "less than the rate of remuneration for an employee performing similar work"</w:t>
      </w:r>
      <w:r w:rsidRPr="00226D4E">
        <w:rPr>
          <w:rStyle w:val="FootnoteReference"/>
          <w:rFonts w:ascii="Times New Roman" w:hAnsi="Times New Roman"/>
          <w:sz w:val="24"/>
        </w:rPr>
        <w:footnoteReference w:id="379"/>
      </w:r>
      <w:r w:rsidRPr="00226D4E">
        <w:rPr>
          <w:rFonts w:ascii="Times New Roman" w:hAnsi="Times New Roman"/>
        </w:rPr>
        <w:t>.</w:t>
      </w:r>
    </w:p>
    <w:p w14:paraId="5F387A8E" w14:textId="77777777" w:rsidR="005E53F7" w:rsidRPr="00226D4E" w:rsidRDefault="005E53F7" w:rsidP="005E53F7">
      <w:pPr>
        <w:pStyle w:val="FixListStyle"/>
        <w:numPr>
          <w:ilvl w:val="0"/>
          <w:numId w:val="18"/>
        </w:numPr>
        <w:spacing w:after="260" w:line="280" w:lineRule="exact"/>
        <w:ind w:left="0" w:right="0" w:hanging="720"/>
        <w:jc w:val="both"/>
        <w:rPr>
          <w:rFonts w:ascii="Times New Roman" w:hAnsi="Times New Roman"/>
        </w:rPr>
      </w:pPr>
      <w:r w:rsidRPr="00226D4E">
        <w:rPr>
          <w:rFonts w:ascii="Times New Roman" w:hAnsi="Times New Roman"/>
        </w:rPr>
        <w:tab/>
        <w:t xml:space="preserve">Mr Peter </w:t>
      </w:r>
      <w:proofErr w:type="spellStart"/>
      <w:r w:rsidRPr="00226D4E">
        <w:rPr>
          <w:rFonts w:ascii="Times New Roman" w:hAnsi="Times New Roman"/>
        </w:rPr>
        <w:t>Wieske</w:t>
      </w:r>
      <w:proofErr w:type="spellEnd"/>
      <w:r w:rsidRPr="00226D4E">
        <w:rPr>
          <w:rFonts w:ascii="Times New Roman" w:hAnsi="Times New Roman"/>
        </w:rPr>
        <w:t xml:space="preserve"> is a director of the respondent. He gave evidence before the Federal Court that he had discovered "ODCO" and had "learned much from their website and precedent court cases". His unchallenged evidence was that the arrangement used in this case was "modelled on the ODCO system". </w:t>
      </w:r>
    </w:p>
    <w:p w14:paraId="14C27706" w14:textId="77777777" w:rsidR="005E53F7" w:rsidRPr="00226D4E" w:rsidRDefault="005E53F7" w:rsidP="005E53F7">
      <w:pPr>
        <w:pStyle w:val="FixListStyle"/>
        <w:numPr>
          <w:ilvl w:val="0"/>
          <w:numId w:val="18"/>
        </w:numPr>
        <w:spacing w:after="260" w:line="280" w:lineRule="exact"/>
        <w:ind w:left="0" w:right="0" w:hanging="720"/>
        <w:jc w:val="both"/>
        <w:rPr>
          <w:rFonts w:ascii="Times New Roman" w:hAnsi="Times New Roman"/>
        </w:rPr>
      </w:pPr>
      <w:r w:rsidRPr="00226D4E">
        <w:rPr>
          <w:rFonts w:ascii="Times New Roman" w:hAnsi="Times New Roman"/>
        </w:rPr>
        <w:tab/>
        <w:t>In the Full Court's decision below, Lee J observed that "[w]</w:t>
      </w:r>
      <w:proofErr w:type="spellStart"/>
      <w:r w:rsidRPr="00226D4E">
        <w:rPr>
          <w:rFonts w:ascii="Times New Roman" w:hAnsi="Times New Roman"/>
        </w:rPr>
        <w:t>hatever</w:t>
      </w:r>
      <w:proofErr w:type="spellEnd"/>
      <w:r w:rsidRPr="00226D4E">
        <w:rPr>
          <w:rFonts w:ascii="Times New Roman" w:hAnsi="Times New Roman"/>
        </w:rPr>
        <w:t xml:space="preserve"> else may be unclear, what is pellucid is that [the respondent] sought to replicate an 'Odco' style arrangement"</w:t>
      </w:r>
      <w:r w:rsidRPr="00226D4E">
        <w:rPr>
          <w:rStyle w:val="FootnoteReference"/>
          <w:rFonts w:ascii="Times New Roman" w:hAnsi="Times New Roman"/>
          <w:sz w:val="24"/>
        </w:rPr>
        <w:footnoteReference w:id="380"/>
      </w:r>
      <w:r w:rsidRPr="00226D4E">
        <w:rPr>
          <w:rFonts w:ascii="Times New Roman" w:hAnsi="Times New Roman"/>
        </w:rPr>
        <w:t>. Lee J also observed that the "'Odco' style arrangement [had] been replicated on a multitude of occasions, with courts then tasked with adjudicating upon whether such arrangement [had] been successfully implemented"</w:t>
      </w:r>
      <w:r w:rsidRPr="00226D4E">
        <w:rPr>
          <w:rStyle w:val="FootnoteReference"/>
          <w:rFonts w:ascii="Times New Roman" w:hAnsi="Times New Roman"/>
          <w:sz w:val="24"/>
        </w:rPr>
        <w:footnoteReference w:id="381"/>
      </w:r>
      <w:r w:rsidRPr="00226D4E">
        <w:rPr>
          <w:rFonts w:ascii="Times New Roman" w:hAnsi="Times New Roman"/>
        </w:rPr>
        <w:t xml:space="preserve">. Lee J concluded that the respondent had, if anything, sought to </w:t>
      </w:r>
      <w:r w:rsidRPr="00226D4E">
        <w:rPr>
          <w:rFonts w:ascii="Times New Roman" w:hAnsi="Times New Roman"/>
        </w:rPr>
        <w:lastRenderedPageBreak/>
        <w:t>buttress further its contention that it was not the employer of its workers after its success in the Industrial Appeal Court of Western Australia. Lee J said</w:t>
      </w:r>
      <w:r w:rsidRPr="00226D4E">
        <w:rPr>
          <w:rStyle w:val="FootnoteReference"/>
          <w:rFonts w:ascii="Times New Roman" w:hAnsi="Times New Roman"/>
          <w:sz w:val="24"/>
        </w:rPr>
        <w:footnoteReference w:id="382"/>
      </w:r>
      <w:r w:rsidRPr="00226D4E">
        <w:rPr>
          <w:rFonts w:ascii="Times New Roman" w:hAnsi="Times New Roman"/>
        </w:rPr>
        <w:t>:</w:t>
      </w:r>
    </w:p>
    <w:p w14:paraId="035CE811" w14:textId="77777777" w:rsidR="005E53F7" w:rsidRDefault="005E53F7" w:rsidP="00226D4E">
      <w:pPr>
        <w:pStyle w:val="LeftrightafterHC"/>
        <w:spacing w:before="0" w:after="260" w:line="280" w:lineRule="exact"/>
        <w:ind w:right="0"/>
        <w:jc w:val="both"/>
        <w:rPr>
          <w:rFonts w:ascii="Times New Roman" w:hAnsi="Times New Roman"/>
        </w:rPr>
      </w:pPr>
      <w:r w:rsidRPr="00226D4E">
        <w:rPr>
          <w:rFonts w:ascii="Times New Roman" w:hAnsi="Times New Roman"/>
        </w:rPr>
        <w:t>"To simplify an exercise in semantics, which is neither productive nor helpful, what has in effect happened, is that [the respondent], following its success in 2004, has sought to make assurance doubly sure by backfilling any gaps in the written agreement which could be construed as contra</w:t>
      </w:r>
      <w:r w:rsidRPr="00226D4E">
        <w:rPr>
          <w:rFonts w:ascii="Times New Roman" w:hAnsi="Times New Roman"/>
        </w:rPr>
        <w:noBreakHyphen/>
        <w:t>indicating an independent contractor relationship. These include factors such as: the removal of an express right to terminate the arrangement on the part of [the respondent]; the removal of a non</w:t>
      </w:r>
      <w:r w:rsidRPr="00226D4E">
        <w:rPr>
          <w:rFonts w:ascii="Times New Roman" w:hAnsi="Times New Roman"/>
        </w:rPr>
        <w:noBreakHyphen/>
        <w:t>compete clause; the introduction of an express right to negotiate rate increases; the removal of the express incorporation of occupational health and safety, discrimination and equal opportunity guides in the agreement; the removal of the term that stated the engagement commences on the day of this agreement and expires when either terminated by the company or contractor (implying instead that a contract arises only in relation to a particular offer of work and only for a duration that is required by the builder). Indeed, as senior counsel for the [appellants] engagingly conceded, 'the situation has got worse for us'." (citations omitted)</w:t>
      </w:r>
    </w:p>
    <w:p w14:paraId="1E3F8136" w14:textId="77777777" w:rsidR="005E53F7" w:rsidRPr="00226D4E" w:rsidRDefault="005E53F7" w:rsidP="005E53F7">
      <w:pPr>
        <w:pStyle w:val="FixListStyle"/>
        <w:numPr>
          <w:ilvl w:val="0"/>
          <w:numId w:val="18"/>
        </w:numPr>
        <w:spacing w:after="260" w:line="280" w:lineRule="exact"/>
        <w:ind w:left="0" w:right="0" w:hanging="720"/>
        <w:jc w:val="both"/>
        <w:rPr>
          <w:rFonts w:ascii="Times New Roman" w:hAnsi="Times New Roman"/>
        </w:rPr>
      </w:pPr>
      <w:r w:rsidRPr="00226D4E">
        <w:rPr>
          <w:rFonts w:ascii="Times New Roman" w:hAnsi="Times New Roman"/>
        </w:rPr>
        <w:tab/>
        <w:t>Before this Court, senior counsel for the appellants described some of the language contained in the ASA as "weasel" words, although he did not allege that any part of the ASA was a "sham". Given that concession, the brandishing of such adjectives adds little to the necessary legal analysis. The law, generally speaking, has always recognised the right of free women and men to choose the form of their arrangements</w:t>
      </w:r>
      <w:r w:rsidRPr="00226D4E">
        <w:rPr>
          <w:rStyle w:val="FootnoteReference"/>
          <w:rFonts w:ascii="Times New Roman" w:hAnsi="Times New Roman"/>
          <w:sz w:val="24"/>
        </w:rPr>
        <w:footnoteReference w:id="383"/>
      </w:r>
      <w:r w:rsidRPr="00226D4E">
        <w:rPr>
          <w:rFonts w:ascii="Times New Roman" w:hAnsi="Times New Roman"/>
        </w:rPr>
        <w:t xml:space="preserve">; the choice of that form may well have particular legal consequences. As Windeyer J said in </w:t>
      </w:r>
      <w:r w:rsidRPr="00226D4E">
        <w:rPr>
          <w:rFonts w:ascii="Times New Roman" w:hAnsi="Times New Roman"/>
          <w:i/>
        </w:rPr>
        <w:t>Federal Commissioner of Taxation v Casuarina Pty Ltd</w:t>
      </w:r>
      <w:r w:rsidRPr="00226D4E">
        <w:rPr>
          <w:rStyle w:val="FootnoteReference"/>
          <w:rFonts w:ascii="Times New Roman" w:hAnsi="Times New Roman"/>
          <w:sz w:val="24"/>
        </w:rPr>
        <w:footnoteReference w:id="384"/>
      </w:r>
      <w:r w:rsidRPr="00226D4E">
        <w:rPr>
          <w:rFonts w:ascii="Times New Roman" w:hAnsi="Times New Roman"/>
        </w:rPr>
        <w:t>:</w:t>
      </w:r>
    </w:p>
    <w:p w14:paraId="054CAE77" w14:textId="77777777" w:rsidR="005E53F7" w:rsidRDefault="005E53F7" w:rsidP="00226D4E">
      <w:pPr>
        <w:pStyle w:val="leftright"/>
        <w:spacing w:before="0" w:after="260" w:line="280" w:lineRule="exact"/>
        <w:ind w:right="0"/>
        <w:jc w:val="both"/>
        <w:rPr>
          <w:rFonts w:ascii="Times New Roman" w:hAnsi="Times New Roman"/>
        </w:rPr>
      </w:pPr>
      <w:r w:rsidRPr="00226D4E">
        <w:rPr>
          <w:rFonts w:ascii="Times New Roman" w:hAnsi="Times New Roman"/>
        </w:rPr>
        <w:t>"A proprietary company may well seem to be, in reality, merely the trade</w:t>
      </w:r>
      <w:r w:rsidRPr="00226D4E">
        <w:rPr>
          <w:rFonts w:ascii="Times New Roman" w:hAnsi="Times New Roman"/>
        </w:rPr>
        <w:noBreakHyphen/>
        <w:t xml:space="preserve">name in which a [woman or man] carries on some part of [her or his] affairs. But by a following of correct legal forms the name becomes in law a thing. Formalism produces a legal substance, and its 'owner' can by careful bookkeeping get all the advantages, be they limited liability, relief from </w:t>
      </w:r>
      <w:r w:rsidRPr="00226D4E">
        <w:rPr>
          <w:rFonts w:ascii="Times New Roman" w:hAnsi="Times New Roman"/>
        </w:rPr>
        <w:lastRenderedPageBreak/>
        <w:t>taxation or other benefit, which the law annexes to [her or his] sedulous use of the corporate name."</w:t>
      </w:r>
    </w:p>
    <w:p w14:paraId="69CDC765" w14:textId="77777777" w:rsidR="005E53F7" w:rsidRPr="00226D4E" w:rsidRDefault="005E53F7" w:rsidP="005E53F7">
      <w:pPr>
        <w:pStyle w:val="FixListStyle"/>
        <w:numPr>
          <w:ilvl w:val="0"/>
          <w:numId w:val="18"/>
        </w:numPr>
        <w:spacing w:after="260" w:line="280" w:lineRule="exact"/>
        <w:ind w:left="0" w:right="0" w:hanging="720"/>
        <w:jc w:val="both"/>
        <w:rPr>
          <w:rFonts w:ascii="Times New Roman" w:hAnsi="Times New Roman"/>
        </w:rPr>
      </w:pPr>
      <w:r w:rsidRPr="00226D4E">
        <w:rPr>
          <w:rFonts w:ascii="Times New Roman" w:hAnsi="Times New Roman"/>
        </w:rPr>
        <w:tab/>
        <w:t xml:space="preserve">Ultimately, Lee J was of the view that "if approached </w:t>
      </w:r>
      <w:r w:rsidRPr="00226D4E">
        <w:rPr>
          <w:rFonts w:ascii="Times New Roman" w:hAnsi="Times New Roman"/>
          <w:i/>
        </w:rPr>
        <w:t>tabula rasa</w:t>
      </w:r>
      <w:r w:rsidRPr="00226D4E">
        <w:rPr>
          <w:rFonts w:ascii="Times New Roman" w:hAnsi="Times New Roman"/>
        </w:rPr>
        <w:t>", he would have thought it "somewhat less than intuitively sound" to consider Mr McCourt to have been an independent contractor</w:t>
      </w:r>
      <w:r w:rsidRPr="00226D4E">
        <w:rPr>
          <w:rStyle w:val="FootnoteReference"/>
          <w:rFonts w:ascii="Times New Roman" w:hAnsi="Times New Roman"/>
          <w:sz w:val="24"/>
        </w:rPr>
        <w:footnoteReference w:id="385"/>
      </w:r>
      <w:r w:rsidRPr="00226D4E">
        <w:rPr>
          <w:rFonts w:ascii="Times New Roman" w:hAnsi="Times New Roman"/>
        </w:rPr>
        <w:t>. However, Lee J considered himself bound by the "Odco" authorities</w:t>
      </w:r>
      <w:r w:rsidRPr="00226D4E">
        <w:rPr>
          <w:rStyle w:val="FootnoteReference"/>
          <w:rFonts w:ascii="Times New Roman" w:hAnsi="Times New Roman"/>
          <w:sz w:val="24"/>
        </w:rPr>
        <w:footnoteReference w:id="386"/>
      </w:r>
      <w:r w:rsidRPr="00226D4E">
        <w:rPr>
          <w:rFonts w:ascii="Times New Roman" w:hAnsi="Times New Roman"/>
        </w:rPr>
        <w:t>, in particular by the decision of the Industrial Appeal Court of Western Australia</w:t>
      </w:r>
      <w:r w:rsidRPr="00226D4E">
        <w:rPr>
          <w:rStyle w:val="FootnoteReference"/>
          <w:rFonts w:ascii="Times New Roman" w:hAnsi="Times New Roman"/>
          <w:sz w:val="24"/>
        </w:rPr>
        <w:footnoteReference w:id="387"/>
      </w:r>
      <w:r w:rsidRPr="00226D4E">
        <w:rPr>
          <w:rFonts w:ascii="Times New Roman" w:hAnsi="Times New Roman"/>
        </w:rPr>
        <w:t>. In deciding that these decisions were not plainly wrong, Lee J was influenced by the fact that a number of entities, in the past, must have relied upon the "Odco" authorities in developing their "mode of doing business", and that to overturn those authorities now would throw the respondent's "whole enterprise", and that of those other entities, into "uncertainty"</w:t>
      </w:r>
      <w:r w:rsidRPr="00226D4E">
        <w:rPr>
          <w:rStyle w:val="FootnoteReference"/>
          <w:rFonts w:ascii="Times New Roman" w:hAnsi="Times New Roman"/>
          <w:sz w:val="24"/>
        </w:rPr>
        <w:footnoteReference w:id="388"/>
      </w:r>
      <w:r w:rsidRPr="00226D4E">
        <w:rPr>
          <w:rFonts w:ascii="Times New Roman" w:hAnsi="Times New Roman"/>
        </w:rPr>
        <w:t xml:space="preserve">. In addition, it would expose the respondent and those entities to "numerous civil penalties of some seriousness" for contravening the </w:t>
      </w:r>
      <w:r w:rsidRPr="00226D4E">
        <w:rPr>
          <w:rFonts w:ascii="Times New Roman" w:hAnsi="Times New Roman"/>
          <w:i/>
        </w:rPr>
        <w:t>Fair Work Act 2009</w:t>
      </w:r>
      <w:r w:rsidRPr="00226D4E">
        <w:rPr>
          <w:rFonts w:ascii="Times New Roman" w:hAnsi="Times New Roman"/>
        </w:rPr>
        <w:t xml:space="preserve"> (Cth)</w:t>
      </w:r>
      <w:r w:rsidRPr="00226D4E">
        <w:rPr>
          <w:rStyle w:val="FootnoteReference"/>
          <w:rFonts w:ascii="Times New Roman" w:hAnsi="Times New Roman"/>
          <w:sz w:val="24"/>
        </w:rPr>
        <w:footnoteReference w:id="389"/>
      </w:r>
      <w:r w:rsidRPr="00226D4E">
        <w:rPr>
          <w:rFonts w:ascii="Times New Roman" w:hAnsi="Times New Roman"/>
        </w:rPr>
        <w:t>. Allsop CJ expressed a very similar opinion</w:t>
      </w:r>
      <w:r w:rsidRPr="00226D4E">
        <w:rPr>
          <w:rStyle w:val="FootnoteReference"/>
          <w:rFonts w:ascii="Times New Roman" w:hAnsi="Times New Roman"/>
          <w:sz w:val="24"/>
        </w:rPr>
        <w:footnoteReference w:id="390"/>
      </w:r>
      <w:r w:rsidRPr="00226D4E">
        <w:rPr>
          <w:rFonts w:ascii="Times New Roman" w:hAnsi="Times New Roman"/>
        </w:rPr>
        <w:t>. With respect, their Honours were both correct.</w:t>
      </w:r>
    </w:p>
    <w:p w14:paraId="1667686D" w14:textId="77777777" w:rsidR="005E53F7" w:rsidRPr="00226D4E" w:rsidRDefault="005E53F7" w:rsidP="005E53F7">
      <w:pPr>
        <w:pStyle w:val="FixListStyle"/>
        <w:numPr>
          <w:ilvl w:val="0"/>
          <w:numId w:val="18"/>
        </w:numPr>
        <w:spacing w:after="260" w:line="280" w:lineRule="exact"/>
        <w:ind w:left="0" w:right="0" w:hanging="720"/>
        <w:jc w:val="both"/>
        <w:rPr>
          <w:rFonts w:ascii="Times New Roman" w:hAnsi="Times New Roman"/>
        </w:rPr>
      </w:pPr>
      <w:r w:rsidRPr="00226D4E">
        <w:rPr>
          <w:rFonts w:ascii="Times New Roman" w:hAnsi="Times New Roman"/>
        </w:rPr>
        <w:tab/>
        <w:t xml:space="preserve">Longstanding authorities that have had important legislative and/or very significant commercial impact should not be overruled unless it is clear that they </w:t>
      </w:r>
      <w:r w:rsidRPr="00226D4E">
        <w:rPr>
          <w:rFonts w:ascii="Times New Roman" w:hAnsi="Times New Roman"/>
        </w:rPr>
        <w:lastRenderedPageBreak/>
        <w:t>are plainly wrong</w:t>
      </w:r>
      <w:r w:rsidRPr="00226D4E">
        <w:rPr>
          <w:rStyle w:val="FootnoteReference"/>
          <w:rFonts w:ascii="Times New Roman" w:hAnsi="Times New Roman"/>
          <w:sz w:val="24"/>
        </w:rPr>
        <w:footnoteReference w:id="391"/>
      </w:r>
      <w:r w:rsidRPr="00226D4E">
        <w:rPr>
          <w:rFonts w:ascii="Times New Roman" w:hAnsi="Times New Roman"/>
        </w:rPr>
        <w:t xml:space="preserve">. That is especially the case where parties have ordered their affairs in reliance, over a long period of time, on the effect of the authority in question. In that respect, one of the reasons given by Lord Buckmaster in </w:t>
      </w:r>
      <w:r w:rsidRPr="00226D4E">
        <w:rPr>
          <w:rFonts w:ascii="Times New Roman" w:hAnsi="Times New Roman"/>
          <w:i/>
        </w:rPr>
        <w:t>Bourne v Keane</w:t>
      </w:r>
      <w:r w:rsidRPr="00226D4E">
        <w:rPr>
          <w:rFonts w:ascii="Times New Roman" w:hAnsi="Times New Roman"/>
        </w:rPr>
        <w:t xml:space="preserve"> for this judicial restraint is especially apt and should be repeated</w:t>
      </w:r>
      <w:r w:rsidRPr="00226D4E">
        <w:rPr>
          <w:rStyle w:val="FootnoteReference"/>
          <w:rFonts w:ascii="Times New Roman" w:hAnsi="Times New Roman"/>
          <w:sz w:val="24"/>
        </w:rPr>
        <w:footnoteReference w:id="392"/>
      </w:r>
      <w:r w:rsidRPr="00226D4E">
        <w:rPr>
          <w:rFonts w:ascii="Times New Roman" w:hAnsi="Times New Roman"/>
        </w:rPr>
        <w:t>:</w:t>
      </w:r>
    </w:p>
    <w:p w14:paraId="181DE54F" w14:textId="77777777" w:rsidR="005E53F7" w:rsidRDefault="005E53F7" w:rsidP="00226D4E">
      <w:pPr>
        <w:pStyle w:val="LeftrightafterHC"/>
        <w:spacing w:before="0" w:after="260" w:line="280" w:lineRule="exact"/>
        <w:ind w:right="0"/>
        <w:jc w:val="both"/>
        <w:rPr>
          <w:rFonts w:ascii="Times New Roman" w:hAnsi="Times New Roman"/>
        </w:rPr>
      </w:pPr>
      <w:r w:rsidRPr="00226D4E">
        <w:rPr>
          <w:rFonts w:ascii="Times New Roman" w:hAnsi="Times New Roman"/>
        </w:rPr>
        <w:t>"[D]ecisions that affect the general conduct of affairs, so that their alteration would mean that taxes had been unlawfully imposed, or exemption unlawfully obtained, payments needlessly made, or the position of the public materially affected, ought in the same way to continue."</w:t>
      </w:r>
    </w:p>
    <w:p w14:paraId="4DF2B4A8" w14:textId="77777777" w:rsidR="005E53F7" w:rsidRPr="00226D4E" w:rsidRDefault="005E53F7" w:rsidP="005E53F7">
      <w:pPr>
        <w:pStyle w:val="FixListStyle"/>
        <w:numPr>
          <w:ilvl w:val="0"/>
          <w:numId w:val="18"/>
        </w:numPr>
        <w:spacing w:after="260" w:line="280" w:lineRule="exact"/>
        <w:ind w:left="0" w:right="0" w:hanging="720"/>
        <w:jc w:val="both"/>
        <w:rPr>
          <w:rFonts w:ascii="Times New Roman" w:hAnsi="Times New Roman"/>
        </w:rPr>
      </w:pPr>
      <w:r w:rsidRPr="00226D4E">
        <w:rPr>
          <w:rFonts w:ascii="Times New Roman" w:hAnsi="Times New Roman"/>
        </w:rPr>
        <w:tab/>
        <w:t xml:space="preserve">In </w:t>
      </w:r>
      <w:proofErr w:type="spellStart"/>
      <w:r w:rsidRPr="00226D4E">
        <w:rPr>
          <w:rFonts w:ascii="Times New Roman" w:hAnsi="Times New Roman"/>
          <w:i/>
        </w:rPr>
        <w:t>Babaniaris</w:t>
      </w:r>
      <w:proofErr w:type="spellEnd"/>
      <w:r w:rsidRPr="00226D4E">
        <w:rPr>
          <w:rFonts w:ascii="Times New Roman" w:hAnsi="Times New Roman"/>
          <w:i/>
        </w:rPr>
        <w:t xml:space="preserve"> v </w:t>
      </w:r>
      <w:proofErr w:type="spellStart"/>
      <w:r w:rsidRPr="00226D4E">
        <w:rPr>
          <w:rFonts w:ascii="Times New Roman" w:hAnsi="Times New Roman"/>
          <w:i/>
        </w:rPr>
        <w:t>Lutony</w:t>
      </w:r>
      <w:proofErr w:type="spellEnd"/>
      <w:r w:rsidRPr="00226D4E">
        <w:rPr>
          <w:rFonts w:ascii="Times New Roman" w:hAnsi="Times New Roman"/>
          <w:i/>
        </w:rPr>
        <w:t xml:space="preserve"> Fashions Pty Ltd</w:t>
      </w:r>
      <w:r w:rsidRPr="00226D4E">
        <w:rPr>
          <w:rFonts w:ascii="Times New Roman" w:hAnsi="Times New Roman"/>
        </w:rPr>
        <w:t>, Brennan and Deane JJ declined to overturn a longstanding decision of the Victorian Workers' Compensation Board</w:t>
      </w:r>
      <w:r w:rsidRPr="00226D4E">
        <w:rPr>
          <w:rStyle w:val="FootnoteReference"/>
          <w:rFonts w:ascii="Times New Roman" w:hAnsi="Times New Roman"/>
          <w:sz w:val="24"/>
        </w:rPr>
        <w:footnoteReference w:id="393"/>
      </w:r>
      <w:r w:rsidRPr="00226D4E">
        <w:rPr>
          <w:rFonts w:ascii="Times New Roman" w:hAnsi="Times New Roman"/>
        </w:rPr>
        <w:t>, because to have done so would have created "serious embarrassment" for workers who, because of that decision, considered themselves to be independent contractors</w:t>
      </w:r>
      <w:r w:rsidRPr="00226D4E">
        <w:rPr>
          <w:rStyle w:val="FootnoteReference"/>
          <w:rFonts w:ascii="Times New Roman" w:hAnsi="Times New Roman"/>
          <w:sz w:val="24"/>
        </w:rPr>
        <w:footnoteReference w:id="394"/>
      </w:r>
      <w:r w:rsidRPr="00226D4E">
        <w:rPr>
          <w:rFonts w:ascii="Times New Roman" w:hAnsi="Times New Roman"/>
        </w:rPr>
        <w:t xml:space="preserve">. </w:t>
      </w:r>
    </w:p>
    <w:p w14:paraId="73096A45" w14:textId="77777777" w:rsidR="005E53F7" w:rsidRPr="00226D4E" w:rsidRDefault="005E53F7" w:rsidP="005E53F7">
      <w:pPr>
        <w:pStyle w:val="FixListStyle"/>
        <w:numPr>
          <w:ilvl w:val="0"/>
          <w:numId w:val="18"/>
        </w:numPr>
        <w:spacing w:after="260" w:line="280" w:lineRule="exact"/>
        <w:ind w:left="0" w:right="0" w:hanging="720"/>
        <w:jc w:val="both"/>
        <w:rPr>
          <w:rFonts w:ascii="Times New Roman" w:hAnsi="Times New Roman"/>
        </w:rPr>
      </w:pPr>
      <w:r w:rsidRPr="00226D4E">
        <w:rPr>
          <w:rFonts w:ascii="Times New Roman" w:hAnsi="Times New Roman"/>
        </w:rPr>
        <w:tab/>
        <w:t xml:space="preserve">In </w:t>
      </w:r>
      <w:r w:rsidRPr="00226D4E">
        <w:rPr>
          <w:rFonts w:ascii="Times New Roman" w:hAnsi="Times New Roman"/>
          <w:i/>
        </w:rPr>
        <w:t xml:space="preserve">Dow Jones &amp; Co Inc v </w:t>
      </w:r>
      <w:proofErr w:type="spellStart"/>
      <w:r w:rsidRPr="00226D4E">
        <w:rPr>
          <w:rFonts w:ascii="Times New Roman" w:hAnsi="Times New Roman"/>
          <w:i/>
        </w:rPr>
        <w:t>Gutnick</w:t>
      </w:r>
      <w:proofErr w:type="spellEnd"/>
      <w:r w:rsidRPr="00226D4E">
        <w:rPr>
          <w:rFonts w:ascii="Times New Roman" w:hAnsi="Times New Roman"/>
        </w:rPr>
        <w:t>, Kirby J helpfully summarised the applicable principles as follows</w:t>
      </w:r>
      <w:r w:rsidRPr="00226D4E">
        <w:rPr>
          <w:rStyle w:val="FootnoteReference"/>
          <w:rFonts w:ascii="Times New Roman" w:hAnsi="Times New Roman"/>
          <w:sz w:val="24"/>
        </w:rPr>
        <w:footnoteReference w:id="395"/>
      </w:r>
      <w:r w:rsidRPr="00226D4E">
        <w:rPr>
          <w:rFonts w:ascii="Times New Roman" w:hAnsi="Times New Roman"/>
        </w:rPr>
        <w:t>:</w:t>
      </w:r>
    </w:p>
    <w:p w14:paraId="4B3EBFB8" w14:textId="77777777" w:rsidR="005E53F7" w:rsidRDefault="005E53F7" w:rsidP="00226D4E">
      <w:pPr>
        <w:pStyle w:val="LRIndentafterHC"/>
        <w:spacing w:before="0" w:after="260" w:line="280" w:lineRule="exact"/>
        <w:ind w:right="0"/>
        <w:jc w:val="both"/>
        <w:rPr>
          <w:rFonts w:ascii="Times New Roman" w:hAnsi="Times New Roman"/>
        </w:rPr>
      </w:pPr>
      <w:r w:rsidRPr="00226D4E">
        <w:rPr>
          <w:rFonts w:ascii="Times New Roman" w:hAnsi="Times New Roman"/>
        </w:rPr>
        <w:t xml:space="preserve">"Sometimes, asked to reformulate an established principle of the common law, this Court will decline the invitation, considering that any alteration of the law should be left to the legislature. Factors relevant to such decisions have included the effect on competing interests that should be consulted before any alteration of the law; the existence of significant economic implications of any change; the enactment of legislation evidencing parliamentary attention to the subject; the perceived undesirability of imposing retrospective liability, especially criminal liability, on persons; and the desirability, in particular cases, of not making any change until after intensive analysis of social data and public consultation, facilities typically unavailable to a court. The fundamental restraint upon substantial judicial innovation in the expression of the law is imposed by the character of a court's functions as such and an acceptance that, under the Constitution, major legal changes in the Australian </w:t>
      </w:r>
      <w:r w:rsidRPr="00226D4E">
        <w:rPr>
          <w:rFonts w:ascii="Times New Roman" w:hAnsi="Times New Roman"/>
        </w:rPr>
        <w:lastRenderedPageBreak/>
        <w:t>Commonwealth are the responsibility of the other branches of government, not of the courts." (footnotes omitted)</w:t>
      </w:r>
    </w:p>
    <w:p w14:paraId="414DC9FD" w14:textId="77777777" w:rsidR="005E53F7" w:rsidRPr="00226D4E" w:rsidRDefault="005E53F7" w:rsidP="005E53F7">
      <w:pPr>
        <w:pStyle w:val="FixListStyle"/>
        <w:numPr>
          <w:ilvl w:val="0"/>
          <w:numId w:val="18"/>
        </w:numPr>
        <w:spacing w:after="260" w:line="280" w:lineRule="exact"/>
        <w:ind w:left="0" w:right="0" w:hanging="720"/>
        <w:jc w:val="both"/>
        <w:rPr>
          <w:rFonts w:ascii="Times New Roman" w:hAnsi="Times New Roman"/>
        </w:rPr>
      </w:pPr>
      <w:r w:rsidRPr="00226D4E">
        <w:rPr>
          <w:rFonts w:ascii="Times New Roman" w:hAnsi="Times New Roman"/>
        </w:rPr>
        <w:tab/>
        <w:t>More recently, a majority of this Court declined to overrule a decision of the Victorian Court of Appeal</w:t>
      </w:r>
      <w:r w:rsidRPr="00226D4E">
        <w:rPr>
          <w:rStyle w:val="FootnoteReference"/>
          <w:rFonts w:ascii="Times New Roman" w:hAnsi="Times New Roman"/>
          <w:sz w:val="24"/>
        </w:rPr>
        <w:footnoteReference w:id="396"/>
      </w:r>
      <w:r w:rsidRPr="00226D4E">
        <w:rPr>
          <w:rFonts w:ascii="Times New Roman" w:hAnsi="Times New Roman"/>
        </w:rPr>
        <w:t xml:space="preserve"> concerning the concept of recklessness in criminal law, even though doubts arose concerning its correctness</w:t>
      </w:r>
      <w:r w:rsidRPr="00226D4E">
        <w:rPr>
          <w:rStyle w:val="FootnoteReference"/>
          <w:rFonts w:ascii="Times New Roman" w:hAnsi="Times New Roman"/>
          <w:sz w:val="24"/>
        </w:rPr>
        <w:footnoteReference w:id="397"/>
      </w:r>
      <w:r w:rsidRPr="00226D4E">
        <w:rPr>
          <w:rFonts w:ascii="Times New Roman" w:hAnsi="Times New Roman"/>
        </w:rPr>
        <w:t>. Edelman J observed that the principle of judicial reluctance to overthrow a longstanding decision applied "a fortiori" to criminal law cases</w:t>
      </w:r>
      <w:r w:rsidRPr="00226D4E">
        <w:rPr>
          <w:rStyle w:val="FootnoteReference"/>
          <w:rFonts w:ascii="Times New Roman" w:hAnsi="Times New Roman"/>
          <w:sz w:val="24"/>
        </w:rPr>
        <w:footnoteReference w:id="398"/>
      </w:r>
      <w:r w:rsidRPr="00226D4E">
        <w:rPr>
          <w:rFonts w:ascii="Times New Roman" w:hAnsi="Times New Roman"/>
        </w:rPr>
        <w:t>. Gageler, Gordon and Steward JJ also referred to the same type of "unfairness", noting that</w:t>
      </w:r>
      <w:r w:rsidRPr="00226D4E">
        <w:rPr>
          <w:rStyle w:val="FootnoteReference"/>
          <w:rFonts w:ascii="Times New Roman" w:hAnsi="Times New Roman"/>
          <w:sz w:val="24"/>
        </w:rPr>
        <w:footnoteReference w:id="399"/>
      </w:r>
      <w:r w:rsidRPr="00226D4E">
        <w:rPr>
          <w:rFonts w:ascii="Times New Roman" w:hAnsi="Times New Roman"/>
        </w:rPr>
        <w:t>:</w:t>
      </w:r>
    </w:p>
    <w:p w14:paraId="604AC813" w14:textId="77777777" w:rsidR="005E53F7" w:rsidRDefault="005E53F7" w:rsidP="00226D4E">
      <w:pPr>
        <w:pStyle w:val="LeftrightafterHC"/>
        <w:spacing w:before="0" w:after="260" w:line="280" w:lineRule="exact"/>
        <w:ind w:right="0"/>
        <w:jc w:val="both"/>
        <w:rPr>
          <w:rFonts w:ascii="Times New Roman" w:hAnsi="Times New Roman"/>
        </w:rPr>
      </w:pPr>
      <w:r w:rsidRPr="00226D4E">
        <w:rPr>
          <w:rFonts w:ascii="Times New Roman" w:hAnsi="Times New Roman"/>
        </w:rPr>
        <w:t xml:space="preserve">"unfairness would follow if the meaning of recklessness was changed retrospectively by this Court with the result that potentially criminal conduct which occurred before this Court's decision – if that conduct has not yet been charged, or if it has been charged but not tried – would attract the lower standard of recklessness contended for by the DPP and where the DPP conceded that the decision of this Court on s 17 of the </w:t>
      </w:r>
      <w:r w:rsidRPr="00226D4E">
        <w:rPr>
          <w:rFonts w:ascii="Times New Roman" w:hAnsi="Times New Roman"/>
          <w:i/>
        </w:rPr>
        <w:t>Crimes Act</w:t>
      </w:r>
      <w:r w:rsidRPr="00226D4E">
        <w:rPr>
          <w:rFonts w:ascii="Times New Roman" w:hAnsi="Times New Roman"/>
        </w:rPr>
        <w:t xml:space="preserve"> would have a 'flow‑on effect' for other offence provisions in Victoria." (footnote omitted)</w:t>
      </w:r>
    </w:p>
    <w:p w14:paraId="2FEA6096" w14:textId="77777777" w:rsidR="005E53F7" w:rsidRPr="00226D4E" w:rsidRDefault="005E53F7" w:rsidP="005E53F7">
      <w:pPr>
        <w:pStyle w:val="FixListStyle"/>
        <w:numPr>
          <w:ilvl w:val="0"/>
          <w:numId w:val="18"/>
        </w:numPr>
        <w:spacing w:after="260" w:line="280" w:lineRule="exact"/>
        <w:ind w:left="0" w:right="0" w:hanging="720"/>
        <w:jc w:val="both"/>
        <w:rPr>
          <w:rFonts w:ascii="Times New Roman" w:hAnsi="Times New Roman"/>
        </w:rPr>
      </w:pPr>
      <w:r w:rsidRPr="00226D4E">
        <w:rPr>
          <w:rFonts w:ascii="Times New Roman" w:hAnsi="Times New Roman"/>
        </w:rPr>
        <w:tab/>
        <w:t xml:space="preserve">Whilst this is not a criminal law case, overturning the Full Court's decision in </w:t>
      </w:r>
      <w:r w:rsidRPr="00226D4E">
        <w:rPr>
          <w:rFonts w:ascii="Times New Roman" w:hAnsi="Times New Roman"/>
          <w:i/>
        </w:rPr>
        <w:t>Odco</w:t>
      </w:r>
      <w:r w:rsidRPr="00226D4E">
        <w:rPr>
          <w:rStyle w:val="FootnoteReference"/>
          <w:rFonts w:ascii="Times New Roman" w:hAnsi="Times New Roman"/>
          <w:sz w:val="24"/>
        </w:rPr>
        <w:footnoteReference w:id="400"/>
      </w:r>
      <w:r w:rsidRPr="00226D4E">
        <w:rPr>
          <w:rFonts w:ascii="Times New Roman" w:hAnsi="Times New Roman"/>
        </w:rPr>
        <w:t xml:space="preserve"> would expose the respondent to significant penalties on a retrospective basis. That is unfair. It will also, as Lee J observed, greatly damage the respondent's business and the businesses of many others</w:t>
      </w:r>
      <w:r w:rsidRPr="00226D4E">
        <w:rPr>
          <w:rStyle w:val="FootnoteReference"/>
          <w:rFonts w:ascii="Times New Roman" w:hAnsi="Times New Roman"/>
          <w:sz w:val="24"/>
        </w:rPr>
        <w:footnoteReference w:id="401"/>
      </w:r>
      <w:r w:rsidRPr="00226D4E">
        <w:rPr>
          <w:rFonts w:ascii="Times New Roman" w:hAnsi="Times New Roman"/>
        </w:rPr>
        <w:t xml:space="preserve">. That is undesirable. It will also potentially deny to workers a choice they may wish to make to supply their labour as independent contractors, thus possibly undermining one of the objects of the </w:t>
      </w:r>
      <w:r w:rsidRPr="00226D4E">
        <w:rPr>
          <w:rFonts w:ascii="Times New Roman" w:hAnsi="Times New Roman"/>
          <w:i/>
        </w:rPr>
        <w:t>Independent Contractors Act</w:t>
      </w:r>
      <w:r w:rsidRPr="00226D4E">
        <w:rPr>
          <w:rFonts w:ascii="Times New Roman" w:hAnsi="Times New Roman"/>
        </w:rPr>
        <w:t xml:space="preserve">. Given the severity of these potential </w:t>
      </w:r>
      <w:r w:rsidRPr="00226D4E">
        <w:rPr>
          <w:rFonts w:ascii="Times New Roman" w:hAnsi="Times New Roman"/>
        </w:rPr>
        <w:lastRenderedPageBreak/>
        <w:t>consequences, which will apply retrospectively</w:t>
      </w:r>
      <w:r w:rsidRPr="00226D4E">
        <w:rPr>
          <w:rStyle w:val="FootnoteReference"/>
          <w:rFonts w:ascii="Times New Roman" w:hAnsi="Times New Roman"/>
          <w:sz w:val="24"/>
        </w:rPr>
        <w:footnoteReference w:id="402"/>
      </w:r>
      <w:r w:rsidRPr="00226D4E">
        <w:rPr>
          <w:rFonts w:ascii="Times New Roman" w:hAnsi="Times New Roman"/>
        </w:rPr>
        <w:t xml:space="preserve">, the fate of the Full Court's decision in </w:t>
      </w:r>
      <w:r w:rsidRPr="00226D4E">
        <w:rPr>
          <w:rFonts w:ascii="Times New Roman" w:hAnsi="Times New Roman"/>
          <w:i/>
        </w:rPr>
        <w:t>Odco</w:t>
      </w:r>
      <w:r w:rsidRPr="00226D4E">
        <w:rPr>
          <w:rStyle w:val="FootnoteReference"/>
          <w:rFonts w:ascii="Times New Roman" w:hAnsi="Times New Roman"/>
          <w:sz w:val="24"/>
        </w:rPr>
        <w:footnoteReference w:id="403"/>
      </w:r>
      <w:r w:rsidRPr="00226D4E">
        <w:rPr>
          <w:rFonts w:ascii="Times New Roman" w:hAnsi="Times New Roman"/>
        </w:rPr>
        <w:t xml:space="preserve"> should be a matter left for the legislative branch of government to consider</w:t>
      </w:r>
      <w:r w:rsidRPr="00226D4E">
        <w:rPr>
          <w:rStyle w:val="FootnoteReference"/>
          <w:rFonts w:ascii="Times New Roman" w:hAnsi="Times New Roman"/>
          <w:sz w:val="24"/>
        </w:rPr>
        <w:footnoteReference w:id="404"/>
      </w:r>
      <w:r w:rsidRPr="00226D4E">
        <w:rPr>
          <w:rFonts w:ascii="Times New Roman" w:hAnsi="Times New Roman"/>
        </w:rPr>
        <w:t>. The decision, and those that have followed it, are not plainly wrong. The cogency of the reasons of the learned primary judge in this case is a sufficient basis for that conclusion.</w:t>
      </w:r>
    </w:p>
    <w:p w14:paraId="7BD5F9AE" w14:textId="418B9CF9" w:rsidR="00F6593F" w:rsidRPr="005E53F7" w:rsidRDefault="005E53F7" w:rsidP="005E53F7">
      <w:pPr>
        <w:pStyle w:val="FixListStyle"/>
        <w:numPr>
          <w:ilvl w:val="0"/>
          <w:numId w:val="18"/>
        </w:numPr>
        <w:spacing w:after="260" w:line="280" w:lineRule="exact"/>
        <w:ind w:left="0" w:right="0" w:hanging="720"/>
        <w:jc w:val="both"/>
        <w:rPr>
          <w:rFonts w:ascii="Times New Roman" w:hAnsi="Times New Roman"/>
        </w:rPr>
      </w:pPr>
      <w:r w:rsidRPr="00226D4E">
        <w:rPr>
          <w:rFonts w:ascii="Times New Roman" w:hAnsi="Times New Roman"/>
        </w:rPr>
        <w:tab/>
        <w:t>I would dismiss the appeal.</w:t>
      </w:r>
    </w:p>
    <w:sectPr w:rsidR="00F6593F" w:rsidRPr="005E53F7" w:rsidSect="0075303D">
      <w:headerReference w:type="even" r:id="rId29"/>
      <w:headerReference w:type="default" r:id="rId30"/>
      <w:headerReference w:type="first" r:id="rId31"/>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A06E7" w14:textId="77777777" w:rsidR="00A57361" w:rsidRDefault="00A57361">
      <w:pPr>
        <w:spacing w:line="240" w:lineRule="auto"/>
      </w:pPr>
      <w:r>
        <w:separator/>
      </w:r>
    </w:p>
  </w:endnote>
  <w:endnote w:type="continuationSeparator" w:id="0">
    <w:p w14:paraId="2D7E01C0" w14:textId="77777777" w:rsidR="00A57361" w:rsidRDefault="00A57361">
      <w:pPr>
        <w:spacing w:line="240" w:lineRule="auto"/>
      </w:pPr>
      <w:r>
        <w:continuationSeparator/>
      </w:r>
    </w:p>
  </w:endnote>
  <w:endnote w:type="continuationNotice" w:id="1">
    <w:p w14:paraId="23D006CE" w14:textId="77777777" w:rsidR="00A57361" w:rsidRDefault="00A5736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9446E" w14:textId="77777777" w:rsidR="007467EA" w:rsidRDefault="00746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BBA57" w14:textId="77777777" w:rsidR="007467EA" w:rsidRDefault="007467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AF0E2" w14:textId="77777777" w:rsidR="007467EA" w:rsidRDefault="007467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289CB" w14:textId="77777777" w:rsidR="007467EA" w:rsidRDefault="007467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FB56A" w14:textId="77777777" w:rsidR="007467EA" w:rsidRDefault="007467E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D1586" w14:textId="77777777" w:rsidR="007467EA" w:rsidRDefault="00746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F8F68" w14:textId="77777777" w:rsidR="00A57361" w:rsidRPr="008F0407" w:rsidRDefault="00A57361" w:rsidP="008F0407">
      <w:pPr>
        <w:pStyle w:val="Footer"/>
        <w:spacing w:before="120" w:after="20"/>
        <w:ind w:right="0"/>
        <w:rPr>
          <w:rFonts w:ascii="Times New Roman" w:hAnsi="Times New Roman"/>
        </w:rPr>
      </w:pPr>
      <w:r>
        <w:continuationSeparator/>
      </w:r>
    </w:p>
  </w:footnote>
  <w:footnote w:type="continuationSeparator" w:id="0">
    <w:p w14:paraId="17C66194" w14:textId="77777777" w:rsidR="00A57361" w:rsidRPr="008F0407" w:rsidRDefault="00A57361" w:rsidP="008F0407">
      <w:pPr>
        <w:pStyle w:val="Footer"/>
        <w:spacing w:before="120" w:after="20"/>
        <w:ind w:right="0"/>
        <w:rPr>
          <w:rFonts w:ascii="Times New Roman" w:hAnsi="Times New Roman"/>
        </w:rPr>
      </w:pPr>
      <w:r w:rsidRPr="008F0407">
        <w:rPr>
          <w:rFonts w:ascii="Times New Roman" w:hAnsi="Times New Roman"/>
        </w:rPr>
        <w:continuationSeparator/>
      </w:r>
    </w:p>
  </w:footnote>
  <w:footnote w:type="continuationNotice" w:id="1">
    <w:p w14:paraId="2586AB2D" w14:textId="77777777" w:rsidR="00A57361" w:rsidRPr="0075303D" w:rsidRDefault="00A57361">
      <w:pPr>
        <w:jc w:val="right"/>
        <w:rPr>
          <w:rFonts w:ascii="Times New Roman" w:hAnsi="Times New Roman"/>
          <w:sz w:val="24"/>
        </w:rPr>
      </w:pPr>
    </w:p>
  </w:footnote>
  <w:footnote w:id="2">
    <w:p w14:paraId="5B7B9D8F" w14:textId="1DA678AB"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(2020) 279 FCR 631 at 645 [46]</w:t>
      </w:r>
      <w:r w:rsidRPr="008F0407">
        <w:rPr>
          <w:rFonts w:ascii="Times New Roman" w:hAnsi="Times New Roman"/>
          <w:sz w:val="24"/>
        </w:rPr>
        <w:noBreakHyphen/>
        <w:t>[47].</w:t>
      </w:r>
    </w:p>
  </w:footnote>
  <w:footnote w:id="3">
    <w:p w14:paraId="221B04EA" w14:textId="437DE16D"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iCs/>
          <w:sz w:val="24"/>
        </w:rPr>
        <w:t xml:space="preserve">Construction, Forestry, Maritime, Mining and Energy Union v Personnel Contracting Pty Ltd </w:t>
      </w:r>
      <w:r w:rsidRPr="008F0407">
        <w:rPr>
          <w:rFonts w:ascii="Times New Roman" w:hAnsi="Times New Roman"/>
          <w:sz w:val="24"/>
        </w:rPr>
        <w:t>(2020) 279 FCR 631 at 644 [42], 649 [55].</w:t>
      </w:r>
    </w:p>
  </w:footnote>
  <w:footnote w:id="4">
    <w:p w14:paraId="3DBA1C06" w14:textId="166FFB69"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(2020) 279 FCR 631 at 649 [</w:t>
      </w:r>
      <w:r w:rsidRPr="008F0407">
        <w:rPr>
          <w:rFonts w:ascii="Times New Roman" w:hAnsi="Times New Roman"/>
          <w:sz w:val="24"/>
        </w:rPr>
        <w:t>57]</w:t>
      </w:r>
      <w:r w:rsidRPr="008F0407">
        <w:rPr>
          <w:rFonts w:ascii="Times New Roman" w:hAnsi="Times New Roman"/>
          <w:sz w:val="24"/>
        </w:rPr>
        <w:noBreakHyphen/>
        <w:t>[58], 650 [60].</w:t>
      </w:r>
    </w:p>
  </w:footnote>
  <w:footnote w:id="5">
    <w:p w14:paraId="6759F54E" w14:textId="610CA2F7"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(2020) 279 FCR 631 at 649</w:t>
      </w:r>
      <w:r w:rsidRPr="008F0407">
        <w:rPr>
          <w:rFonts w:ascii="Times New Roman" w:hAnsi="Times New Roman"/>
          <w:sz w:val="24"/>
        </w:rPr>
        <w:noBreakHyphen/>
        <w:t>650 [54], [</w:t>
      </w:r>
      <w:r w:rsidRPr="008F0407">
        <w:rPr>
          <w:rFonts w:ascii="Times New Roman" w:hAnsi="Times New Roman"/>
          <w:sz w:val="24"/>
        </w:rPr>
        <w:t>59]</w:t>
      </w:r>
      <w:r w:rsidRPr="008F0407">
        <w:rPr>
          <w:rFonts w:ascii="Times New Roman" w:hAnsi="Times New Roman"/>
          <w:sz w:val="24"/>
        </w:rPr>
        <w:noBreakHyphen/>
        <w:t>[60].</w:t>
      </w:r>
    </w:p>
  </w:footnote>
  <w:footnote w:id="6">
    <w:p w14:paraId="313547A2" w14:textId="3CD4C3EF"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(2020) 279 FCR 631 at 644 [42].</w:t>
      </w:r>
    </w:p>
  </w:footnote>
  <w:footnote w:id="7">
    <w:p w14:paraId="4F2C4D39" w14:textId="496D785F"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(2020) 279 FCR 631 at 649</w:t>
      </w:r>
      <w:r w:rsidRPr="008F0407">
        <w:rPr>
          <w:rFonts w:ascii="Times New Roman" w:hAnsi="Times New Roman"/>
          <w:sz w:val="24"/>
        </w:rPr>
        <w:noBreakHyphen/>
        <w:t>650 [59].</w:t>
      </w:r>
    </w:p>
  </w:footnote>
  <w:footnote w:id="8">
    <w:p w14:paraId="427ECBB3" w14:textId="07AFB878"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iCs/>
          <w:sz w:val="24"/>
        </w:rPr>
        <w:t xml:space="preserve">Construction, Forestry, Maritime, Mining and Energy Union v Personnel Contracting Pty Ltd </w:t>
      </w:r>
      <w:r w:rsidRPr="008F0407">
        <w:rPr>
          <w:rFonts w:ascii="Times New Roman" w:hAnsi="Times New Roman"/>
          <w:sz w:val="24"/>
        </w:rPr>
        <w:t>[2019] FCA 1806 at [</w:t>
      </w:r>
      <w:r w:rsidRPr="008F0407">
        <w:rPr>
          <w:rFonts w:ascii="Times New Roman" w:hAnsi="Times New Roman"/>
          <w:sz w:val="24"/>
        </w:rPr>
        <w:t>176]</w:t>
      </w:r>
      <w:r w:rsidRPr="008F0407">
        <w:rPr>
          <w:rFonts w:ascii="Times New Roman" w:hAnsi="Times New Roman"/>
          <w:sz w:val="24"/>
        </w:rPr>
        <w:noBreakHyphen/>
        <w:t>[178].</w:t>
      </w:r>
    </w:p>
  </w:footnote>
  <w:footnote w:id="9">
    <w:p w14:paraId="48D252EE" w14:textId="77777777"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[2019] FCA 1806.</w:t>
      </w:r>
    </w:p>
  </w:footnote>
  <w:footnote w:id="10">
    <w:p w14:paraId="47C43E57" w14:textId="77777777"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(2020) 279 FCR 631.</w:t>
      </w:r>
    </w:p>
  </w:footnote>
  <w:footnote w:id="11">
    <w:p w14:paraId="5D3D620A" w14:textId="08354E68"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iCs/>
          <w:sz w:val="24"/>
        </w:rPr>
        <w:t xml:space="preserve">Construction, Forestry, Maritime, Mining and Energy Union v Personnel Contracting Pty Ltd </w:t>
      </w:r>
      <w:r w:rsidRPr="008F0407">
        <w:rPr>
          <w:rFonts w:ascii="Times New Roman" w:hAnsi="Times New Roman"/>
          <w:sz w:val="24"/>
        </w:rPr>
        <w:t>(2020) 279 FCR 631 at 642</w:t>
      </w:r>
      <w:r w:rsidRPr="008F0407">
        <w:rPr>
          <w:rFonts w:ascii="Times New Roman" w:hAnsi="Times New Roman"/>
          <w:sz w:val="24"/>
        </w:rPr>
        <w:noBreakHyphen/>
        <w:t>644 [</w:t>
      </w:r>
      <w:r w:rsidRPr="008F0407">
        <w:rPr>
          <w:rFonts w:ascii="Times New Roman" w:hAnsi="Times New Roman"/>
          <w:sz w:val="24"/>
        </w:rPr>
        <w:t>31]</w:t>
      </w:r>
      <w:r w:rsidRPr="008F0407">
        <w:rPr>
          <w:rFonts w:ascii="Times New Roman" w:hAnsi="Times New Roman"/>
          <w:sz w:val="24"/>
        </w:rPr>
        <w:noBreakHyphen/>
        <w:t>[40]</w:t>
      </w:r>
      <w:r w:rsidR="00276BD9" w:rsidRPr="008F0407">
        <w:rPr>
          <w:rFonts w:ascii="Times New Roman" w:hAnsi="Times New Roman"/>
          <w:sz w:val="24"/>
        </w:rPr>
        <w:t>,</w:t>
      </w:r>
      <w:r w:rsidRPr="008F0407">
        <w:rPr>
          <w:rFonts w:ascii="Times New Roman" w:hAnsi="Times New Roman"/>
          <w:sz w:val="24"/>
        </w:rPr>
        <w:t xml:space="preserve"> 667</w:t>
      </w:r>
      <w:r w:rsidRPr="008F0407">
        <w:rPr>
          <w:rFonts w:ascii="Times New Roman" w:hAnsi="Times New Roman"/>
          <w:sz w:val="24"/>
        </w:rPr>
        <w:noBreakHyphen/>
        <w:t>670 [125]</w:t>
      </w:r>
      <w:r w:rsidRPr="008F0407">
        <w:rPr>
          <w:rFonts w:ascii="Times New Roman" w:hAnsi="Times New Roman"/>
          <w:sz w:val="24"/>
        </w:rPr>
        <w:noBreakHyphen/>
        <w:t>[134].</w:t>
      </w:r>
    </w:p>
  </w:footnote>
  <w:footnote w:id="12">
    <w:p w14:paraId="1E0C46BE" w14:textId="52761BAB"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(2004) 141 IR 31.</w:t>
      </w:r>
    </w:p>
  </w:footnote>
  <w:footnote w:id="13">
    <w:p w14:paraId="424E19E1" w14:textId="77777777"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(2020) 279 FCR 631 at 666 [121].</w:t>
      </w:r>
    </w:p>
  </w:footnote>
  <w:footnote w:id="14">
    <w:p w14:paraId="2EEAF089" w14:textId="545602F3" w:rsidR="006642B9" w:rsidRPr="008F0407" w:rsidRDefault="006642B9" w:rsidP="008F0407">
      <w:pPr>
        <w:pStyle w:val="FootnoteText"/>
        <w:spacing w:line="280" w:lineRule="exact"/>
        <w:ind w:right="0"/>
        <w:jc w:val="both"/>
        <w:rPr>
          <w:rFonts w:ascii="Times New Roman" w:hAnsi="Times New Roman"/>
          <w:i/>
          <w:iCs/>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(2020) 279 FCR 631 at 682 [185]. See also 641</w:t>
      </w:r>
      <w:r w:rsidRPr="008F0407">
        <w:rPr>
          <w:rFonts w:ascii="Times New Roman" w:hAnsi="Times New Roman"/>
          <w:sz w:val="24"/>
        </w:rPr>
        <w:noBreakHyphen/>
        <w:t>642 [</w:t>
      </w:r>
      <w:r w:rsidRPr="008F0407">
        <w:rPr>
          <w:rFonts w:ascii="Times New Roman" w:hAnsi="Times New Roman"/>
          <w:sz w:val="24"/>
        </w:rPr>
        <w:t>28]</w:t>
      </w:r>
      <w:r w:rsidRPr="008F0407">
        <w:rPr>
          <w:rFonts w:ascii="Times New Roman" w:hAnsi="Times New Roman"/>
          <w:sz w:val="24"/>
        </w:rPr>
        <w:noBreakHyphen/>
        <w:t>[29].</w:t>
      </w:r>
    </w:p>
  </w:footnote>
  <w:footnote w:id="15">
    <w:p w14:paraId="141CFFA9" w14:textId="0052DF1C"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iCs/>
          <w:sz w:val="24"/>
        </w:rPr>
        <w:t xml:space="preserve">Construction, Forestry, Maritime, Mining and Energy Union v Personnel Contracting Pty Ltd </w:t>
      </w:r>
      <w:r w:rsidRPr="008F0407">
        <w:rPr>
          <w:rFonts w:ascii="Times New Roman" w:hAnsi="Times New Roman"/>
          <w:sz w:val="24"/>
        </w:rPr>
        <w:t>(2020) 279 FCR 631 at 644 [40], 682 [185].</w:t>
      </w:r>
    </w:p>
  </w:footnote>
  <w:footnote w:id="16">
    <w:p w14:paraId="1F7AF435" w14:textId="0645EBA7"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cl 1 of the LHA.</w:t>
      </w:r>
    </w:p>
  </w:footnote>
  <w:footnote w:id="17">
    <w:p w14:paraId="4AF767E6" w14:textId="6FC79284"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sz w:val="24"/>
        </w:rPr>
        <w:t>cll 3, 9 of the LHA.</w:t>
      </w:r>
    </w:p>
  </w:footnote>
  <w:footnote w:id="18">
    <w:p w14:paraId="1059C9CF" w14:textId="5CAE3446"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cl 1 of the LHA.</w:t>
      </w:r>
    </w:p>
  </w:footnote>
  <w:footnote w:id="19">
    <w:p w14:paraId="5F9FC936" w14:textId="186423B2"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cl 2 of the LHA.</w:t>
      </w:r>
    </w:p>
  </w:footnote>
  <w:footnote w:id="20">
    <w:p w14:paraId="6F4C6B8D" w14:textId="5D220261"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iCs/>
          <w:sz w:val="24"/>
        </w:rPr>
        <w:t xml:space="preserve">Construction, Forestry, Maritime, Mining and Energy Union v Personnel Contracting Pty Ltd </w:t>
      </w:r>
      <w:r w:rsidRPr="008F0407">
        <w:rPr>
          <w:rFonts w:ascii="Times New Roman" w:hAnsi="Times New Roman"/>
          <w:sz w:val="24"/>
        </w:rPr>
        <w:t>(2020) 279 FCR 631 at 673 [151], 676 [160].</w:t>
      </w:r>
    </w:p>
  </w:footnote>
  <w:footnote w:id="21">
    <w:p w14:paraId="037C7515" w14:textId="7CC239EC"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[2019] FCA 1806 at [14].</w:t>
      </w:r>
    </w:p>
  </w:footnote>
  <w:footnote w:id="22">
    <w:p w14:paraId="68FCF454" w14:textId="42350826"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[2019] FCA 1806 at [115], [119].</w:t>
      </w:r>
    </w:p>
  </w:footnote>
  <w:footnote w:id="23">
    <w:p w14:paraId="6E714AAD" w14:textId="07866590"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[2019] FCA 1806 at [138], [140], [147].</w:t>
      </w:r>
    </w:p>
  </w:footnote>
  <w:footnote w:id="24">
    <w:p w14:paraId="671666C9" w14:textId="49F2EAED"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[2019] FCA 1806 at [</w:t>
      </w:r>
      <w:r w:rsidRPr="008F0407">
        <w:rPr>
          <w:rFonts w:ascii="Times New Roman" w:hAnsi="Times New Roman"/>
          <w:sz w:val="24"/>
        </w:rPr>
        <w:t>135]</w:t>
      </w:r>
      <w:r w:rsidRPr="008F0407">
        <w:rPr>
          <w:rFonts w:ascii="Times New Roman" w:hAnsi="Times New Roman"/>
          <w:sz w:val="24"/>
        </w:rPr>
        <w:noBreakHyphen/>
        <w:t>[141].</w:t>
      </w:r>
    </w:p>
  </w:footnote>
  <w:footnote w:id="25">
    <w:p w14:paraId="703BEA1E" w14:textId="072B66FC"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iCs/>
          <w:sz w:val="24"/>
        </w:rPr>
        <w:t xml:space="preserve">Construction, Forestry, Maritime, Mining and Energy Union v Personnel Contracting Pty Ltd </w:t>
      </w:r>
      <w:r w:rsidRPr="008F0407">
        <w:rPr>
          <w:rFonts w:ascii="Times New Roman" w:hAnsi="Times New Roman"/>
          <w:sz w:val="24"/>
        </w:rPr>
        <w:t>[2019] FCA 1806 at [156].</w:t>
      </w:r>
    </w:p>
  </w:footnote>
  <w:footnote w:id="26">
    <w:p w14:paraId="08C825B5" w14:textId="271A7FB4"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[2019] FCA 1806 at [153], [157].</w:t>
      </w:r>
    </w:p>
  </w:footnote>
  <w:footnote w:id="27">
    <w:p w14:paraId="27B58FE1" w14:textId="3EA1F209"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[2019] FCA 1806 at [164].</w:t>
      </w:r>
    </w:p>
  </w:footnote>
  <w:footnote w:id="28">
    <w:p w14:paraId="57BBFF48" w14:textId="65CF0E58"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[2019] FCA 1806 at [163].</w:t>
      </w:r>
    </w:p>
  </w:footnote>
  <w:footnote w:id="29">
    <w:p w14:paraId="1F3643C9" w14:textId="53664652"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[2019] FCA 1806 at [</w:t>
      </w:r>
      <w:r w:rsidRPr="008F0407">
        <w:rPr>
          <w:rFonts w:ascii="Times New Roman" w:hAnsi="Times New Roman"/>
          <w:sz w:val="24"/>
        </w:rPr>
        <w:t>167]</w:t>
      </w:r>
      <w:r w:rsidRPr="008F0407">
        <w:rPr>
          <w:rFonts w:ascii="Times New Roman" w:hAnsi="Times New Roman"/>
          <w:sz w:val="24"/>
        </w:rPr>
        <w:noBreakHyphen/>
        <w:t>[169].</w:t>
      </w:r>
    </w:p>
  </w:footnote>
  <w:footnote w:id="30">
    <w:p w14:paraId="5A904940" w14:textId="15A49767"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[2019] FCA 1806 at [170].</w:t>
      </w:r>
    </w:p>
  </w:footnote>
  <w:footnote w:id="31">
    <w:p w14:paraId="0318DA9E" w14:textId="6650F533"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[2019] FCA 1806 at [177].</w:t>
      </w:r>
    </w:p>
  </w:footnote>
  <w:footnote w:id="32">
    <w:p w14:paraId="61F40514" w14:textId="4ADB9ADD"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[2019] FCA 1806 at [172].</w:t>
      </w:r>
    </w:p>
  </w:footnote>
  <w:footnote w:id="33">
    <w:p w14:paraId="3E2E520B" w14:textId="65D0FB5B"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[2019] FCA 1806 at [177].</w:t>
      </w:r>
    </w:p>
  </w:footnote>
  <w:footnote w:id="34">
    <w:p w14:paraId="173EB1DA" w14:textId="1EFA46D3"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 xml:space="preserve">See, </w:t>
      </w:r>
      <w:r w:rsidRPr="008F0407">
        <w:rPr>
          <w:rFonts w:ascii="Times New Roman" w:hAnsi="Times New Roman"/>
          <w:sz w:val="24"/>
        </w:rPr>
        <w:t>eg, Recital A and cl 3(b) of the A</w:t>
      </w:r>
      <w:r w:rsidR="00B32D1E" w:rsidRPr="008F0407">
        <w:rPr>
          <w:rFonts w:ascii="Times New Roman" w:hAnsi="Times New Roman"/>
          <w:sz w:val="24"/>
        </w:rPr>
        <w:t>S</w:t>
      </w:r>
      <w:r w:rsidRPr="008F0407">
        <w:rPr>
          <w:rFonts w:ascii="Times New Roman" w:hAnsi="Times New Roman"/>
          <w:sz w:val="24"/>
        </w:rPr>
        <w:t>A.</w:t>
      </w:r>
    </w:p>
  </w:footnote>
  <w:footnote w:id="35">
    <w:p w14:paraId="1B9097D7" w14:textId="027BE093"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cl 4(h) of the A</w:t>
      </w:r>
      <w:r w:rsidR="00B32D1E" w:rsidRPr="008F0407">
        <w:rPr>
          <w:rFonts w:ascii="Times New Roman" w:hAnsi="Times New Roman"/>
          <w:sz w:val="24"/>
        </w:rPr>
        <w:t>S</w:t>
      </w:r>
      <w:r w:rsidRPr="008F0407">
        <w:rPr>
          <w:rFonts w:ascii="Times New Roman" w:hAnsi="Times New Roman"/>
          <w:sz w:val="24"/>
        </w:rPr>
        <w:t>A.</w:t>
      </w:r>
    </w:p>
  </w:footnote>
  <w:footnote w:id="36">
    <w:p w14:paraId="30D93412" w14:textId="1D47C18E" w:rsidR="006642B9" w:rsidRPr="008F0407" w:rsidRDefault="006642B9" w:rsidP="008F0407">
      <w:pPr>
        <w:pStyle w:val="FootnoteText"/>
        <w:tabs>
          <w:tab w:val="left" w:pos="495"/>
        </w:tabs>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[2019] FCA 1806 at [</w:t>
      </w:r>
      <w:r w:rsidRPr="008F0407">
        <w:rPr>
          <w:rFonts w:ascii="Times New Roman" w:hAnsi="Times New Roman"/>
          <w:sz w:val="24"/>
        </w:rPr>
        <w:t>177]</w:t>
      </w:r>
      <w:r w:rsidRPr="008F0407">
        <w:rPr>
          <w:rFonts w:ascii="Times New Roman" w:hAnsi="Times New Roman"/>
          <w:sz w:val="24"/>
        </w:rPr>
        <w:noBreakHyphen/>
        <w:t>[178], [181].</w:t>
      </w:r>
    </w:p>
  </w:footnote>
  <w:footnote w:id="37">
    <w:p w14:paraId="3FD61C93" w14:textId="55F5E80A"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(2020) 279 FCR 631 at 654 [73].</w:t>
      </w:r>
    </w:p>
  </w:footnote>
  <w:footnote w:id="38">
    <w:p w14:paraId="53A0AAC9" w14:textId="1697D1B2"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(2020) 279 FCR 631 at 656</w:t>
      </w:r>
      <w:r w:rsidRPr="008F0407">
        <w:rPr>
          <w:rFonts w:ascii="Times New Roman" w:hAnsi="Times New Roman"/>
          <w:sz w:val="24"/>
        </w:rPr>
        <w:noBreakHyphen/>
        <w:t>658 [</w:t>
      </w:r>
      <w:r w:rsidRPr="008F0407">
        <w:rPr>
          <w:rFonts w:ascii="Times New Roman" w:hAnsi="Times New Roman"/>
          <w:sz w:val="24"/>
        </w:rPr>
        <w:t>81]</w:t>
      </w:r>
      <w:r w:rsidRPr="008F0407">
        <w:rPr>
          <w:rFonts w:ascii="Times New Roman" w:hAnsi="Times New Roman"/>
          <w:sz w:val="24"/>
        </w:rPr>
        <w:noBreakHyphen/>
        <w:t>[86].</w:t>
      </w:r>
    </w:p>
  </w:footnote>
  <w:footnote w:id="39">
    <w:p w14:paraId="56A14221" w14:textId="6EB261D4"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(2020) 279 FCR 631 at 656 [81].</w:t>
      </w:r>
    </w:p>
  </w:footnote>
  <w:footnote w:id="40">
    <w:p w14:paraId="51D11E58" w14:textId="5954512F"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(2020) 279 FCR 631 at 658 [</w:t>
      </w:r>
      <w:r w:rsidRPr="008F0407">
        <w:rPr>
          <w:rFonts w:ascii="Times New Roman" w:hAnsi="Times New Roman"/>
          <w:sz w:val="24"/>
        </w:rPr>
        <w:t>87]</w:t>
      </w:r>
      <w:r w:rsidRPr="008F0407">
        <w:rPr>
          <w:rFonts w:ascii="Times New Roman" w:hAnsi="Times New Roman"/>
          <w:sz w:val="24"/>
        </w:rPr>
        <w:noBreakHyphen/>
        <w:t>[88]. See also 679 [170].</w:t>
      </w:r>
    </w:p>
  </w:footnote>
  <w:footnote w:id="41">
    <w:p w14:paraId="374DF3E9" w14:textId="12BB68C5"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(2020) 279 FCR 631 at 660 [96].</w:t>
      </w:r>
    </w:p>
  </w:footnote>
  <w:footnote w:id="42">
    <w:p w14:paraId="7EBCF01F" w14:textId="3AAF083C"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(2020) 279 FCR 631 at 681 [181].</w:t>
      </w:r>
    </w:p>
  </w:footnote>
  <w:footnote w:id="43">
    <w:p w14:paraId="12828980" w14:textId="759E3303"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(2020) 279 FCR 631 at 665</w:t>
      </w:r>
      <w:r w:rsidRPr="008F0407">
        <w:rPr>
          <w:rFonts w:ascii="Times New Roman" w:hAnsi="Times New Roman"/>
          <w:sz w:val="24"/>
        </w:rPr>
        <w:noBreakHyphen/>
        <w:t>666 [</w:t>
      </w:r>
      <w:r w:rsidRPr="008F0407">
        <w:rPr>
          <w:rFonts w:ascii="Times New Roman" w:hAnsi="Times New Roman"/>
          <w:sz w:val="24"/>
        </w:rPr>
        <w:t>116]</w:t>
      </w:r>
      <w:r w:rsidRPr="008F0407">
        <w:rPr>
          <w:rFonts w:ascii="Times New Roman" w:hAnsi="Times New Roman"/>
          <w:sz w:val="24"/>
        </w:rPr>
        <w:noBreakHyphen/>
        <w:t>[117], 682 [183]</w:t>
      </w:r>
      <w:r w:rsidRPr="008F0407">
        <w:rPr>
          <w:rFonts w:ascii="Times New Roman" w:hAnsi="Times New Roman"/>
          <w:sz w:val="24"/>
        </w:rPr>
        <w:noBreakHyphen/>
        <w:t>[184].</w:t>
      </w:r>
    </w:p>
  </w:footnote>
  <w:footnote w:id="44">
    <w:p w14:paraId="51EEDE0C" w14:textId="5117EC48"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(2020) 279 FCR 631 at 666 [117].</w:t>
      </w:r>
    </w:p>
  </w:footnote>
  <w:footnote w:id="45">
    <w:p w14:paraId="53C9667F" w14:textId="1DD0591B"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(2020) 279 FCR 631 at 682 [185].</w:t>
      </w:r>
    </w:p>
  </w:footnote>
  <w:footnote w:id="46">
    <w:p w14:paraId="706E04CE" w14:textId="5CF71735"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(2020) 279 FCR 631 at 682 [185].</w:t>
      </w:r>
    </w:p>
  </w:footnote>
  <w:footnote w:id="47">
    <w:p w14:paraId="47BB378A" w14:textId="77777777"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(2004) 141 IR 31.</w:t>
      </w:r>
    </w:p>
  </w:footnote>
  <w:footnote w:id="48">
    <w:p w14:paraId="3D0E8D55" w14:textId="77777777"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(2020) 279 FCR 631 at 669</w:t>
      </w:r>
      <w:r w:rsidRPr="008F0407">
        <w:rPr>
          <w:rFonts w:ascii="Times New Roman" w:hAnsi="Times New Roman"/>
          <w:sz w:val="24"/>
        </w:rPr>
        <w:noBreakHyphen/>
        <w:t>670 [</w:t>
      </w:r>
      <w:r w:rsidRPr="008F0407">
        <w:rPr>
          <w:rFonts w:ascii="Times New Roman" w:hAnsi="Times New Roman"/>
          <w:sz w:val="24"/>
        </w:rPr>
        <w:t>128]</w:t>
      </w:r>
      <w:r w:rsidRPr="008F0407">
        <w:rPr>
          <w:rFonts w:ascii="Times New Roman" w:hAnsi="Times New Roman"/>
          <w:sz w:val="24"/>
        </w:rPr>
        <w:noBreakHyphen/>
        <w:t>[132].</w:t>
      </w:r>
    </w:p>
  </w:footnote>
  <w:footnote w:id="49">
    <w:p w14:paraId="0137D298" w14:textId="5FF28AEB"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(2020) 279 FCR 631 at 669 [129].</w:t>
      </w:r>
    </w:p>
  </w:footnote>
  <w:footnote w:id="50">
    <w:p w14:paraId="0C68AB64" w14:textId="4147ED6C"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(2020) 279 FCR 631 at 670 [</w:t>
      </w:r>
      <w:r w:rsidRPr="008F0407">
        <w:rPr>
          <w:rFonts w:ascii="Times New Roman" w:hAnsi="Times New Roman"/>
          <w:sz w:val="24"/>
        </w:rPr>
        <w:t>133]</w:t>
      </w:r>
      <w:r w:rsidRPr="008F0407">
        <w:rPr>
          <w:rFonts w:ascii="Times New Roman" w:hAnsi="Times New Roman"/>
          <w:sz w:val="24"/>
        </w:rPr>
        <w:noBreakHyphen/>
        <w:t>[134].</w:t>
      </w:r>
    </w:p>
  </w:footnote>
  <w:footnote w:id="51">
    <w:p w14:paraId="645D1F2E" w14:textId="0E422127"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sz w:val="24"/>
        </w:rPr>
        <w:t xml:space="preserve">Allsop CJ would have favoured a characterisation of Mr McCourt as a casual employee: see </w:t>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(2020) 279 FCR 631 at 642 [31].</w:t>
      </w:r>
    </w:p>
  </w:footnote>
  <w:footnote w:id="52">
    <w:p w14:paraId="63821661" w14:textId="19FE80EE"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(2020) 279 FCR 631 at 642 [29], [31].</w:t>
      </w:r>
    </w:p>
  </w:footnote>
  <w:footnote w:id="53">
    <w:p w14:paraId="10A16BF2" w14:textId="53A4E0EF"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(2020) 279 FCR 631 at 643</w:t>
      </w:r>
      <w:r w:rsidRPr="008F0407">
        <w:rPr>
          <w:rFonts w:ascii="Times New Roman" w:hAnsi="Times New Roman"/>
          <w:sz w:val="24"/>
        </w:rPr>
        <w:noBreakHyphen/>
        <w:t>644 [36], [38].</w:t>
      </w:r>
    </w:p>
  </w:footnote>
  <w:footnote w:id="54">
    <w:p w14:paraId="45B91402" w14:textId="77777777"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iCs/>
          <w:sz w:val="24"/>
        </w:rPr>
        <w:t>Ellis v Wallsend District Hospital</w:t>
      </w:r>
      <w:r w:rsidRPr="008F0407">
        <w:rPr>
          <w:rFonts w:ascii="Times New Roman" w:hAnsi="Times New Roman"/>
          <w:sz w:val="24"/>
        </w:rPr>
        <w:t xml:space="preserve"> (1989) 17 NSWLR 553 at 597.</w:t>
      </w:r>
    </w:p>
  </w:footnote>
  <w:footnote w:id="55">
    <w:p w14:paraId="4C813B54" w14:textId="3B3189F0"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 xml:space="preserve">(2020) 279 FCR 631 at 655 [76]; </w:t>
      </w:r>
      <w:r w:rsidRPr="008F0407">
        <w:rPr>
          <w:rFonts w:ascii="Times New Roman" w:hAnsi="Times New Roman"/>
          <w:sz w:val="24"/>
        </w:rPr>
        <w:t xml:space="preserve">cf </w:t>
      </w:r>
      <w:r w:rsidRPr="008F0407">
        <w:rPr>
          <w:rFonts w:ascii="Times New Roman" w:hAnsi="Times New Roman"/>
          <w:i/>
          <w:iCs/>
          <w:sz w:val="24"/>
        </w:rPr>
        <w:t xml:space="preserve">Stevens v Brodribb Sawmilling Co Pty Ltd </w:t>
      </w:r>
      <w:r w:rsidRPr="008F0407">
        <w:rPr>
          <w:rFonts w:ascii="Times New Roman" w:hAnsi="Times New Roman"/>
          <w:sz w:val="24"/>
        </w:rPr>
        <w:t>(1986) 160 CLR 16 at 49.</w:t>
      </w:r>
    </w:p>
  </w:footnote>
  <w:footnote w:id="56">
    <w:p w14:paraId="14CDE068" w14:textId="17CDBCF0"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iCs/>
          <w:sz w:val="24"/>
        </w:rPr>
        <w:t xml:space="preserve">Construction, Forestry, Maritime, Mining and Energy Union v Personnel Contracting Pty Ltd </w:t>
      </w:r>
      <w:r w:rsidRPr="008F0407">
        <w:rPr>
          <w:rFonts w:ascii="Times New Roman" w:hAnsi="Times New Roman"/>
          <w:sz w:val="24"/>
        </w:rPr>
        <w:t>(2020) 279 FCR 631 at 654</w:t>
      </w:r>
      <w:r w:rsidR="00E03641" w:rsidRPr="008F0407">
        <w:rPr>
          <w:rFonts w:ascii="Times New Roman" w:hAnsi="Times New Roman"/>
          <w:sz w:val="24"/>
        </w:rPr>
        <w:noBreakHyphen/>
        <w:t>655</w:t>
      </w:r>
      <w:r w:rsidRPr="008F0407">
        <w:rPr>
          <w:rFonts w:ascii="Times New Roman" w:hAnsi="Times New Roman"/>
          <w:sz w:val="24"/>
        </w:rPr>
        <w:t> [</w:t>
      </w:r>
      <w:r w:rsidRPr="008F0407">
        <w:rPr>
          <w:rFonts w:ascii="Times New Roman" w:hAnsi="Times New Roman"/>
          <w:sz w:val="24"/>
        </w:rPr>
        <w:t>74]</w:t>
      </w:r>
      <w:r w:rsidRPr="008F0407">
        <w:rPr>
          <w:rFonts w:ascii="Times New Roman" w:hAnsi="Times New Roman"/>
          <w:sz w:val="24"/>
        </w:rPr>
        <w:noBreakHyphen/>
        <w:t>[75].</w:t>
      </w:r>
    </w:p>
  </w:footnote>
  <w:footnote w:id="57">
    <w:p w14:paraId="3926B5EC" w14:textId="675A8A57"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(2020) 279 FCR 631 at 655 [76].</w:t>
      </w:r>
    </w:p>
  </w:footnote>
  <w:footnote w:id="58">
    <w:p w14:paraId="1937FB56" w14:textId="177A0B24"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Cs/>
          <w:sz w:val="24"/>
        </w:rPr>
        <w:t xml:space="preserve">(1986) 160 CLR 16 at 29. </w:t>
      </w:r>
    </w:p>
  </w:footnote>
  <w:footnote w:id="59">
    <w:p w14:paraId="74D2C6A5" w14:textId="400A2E42"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Cs/>
          <w:sz w:val="24"/>
        </w:rPr>
        <w:t>(2001) 207 CLR 21 at 33 [24].</w:t>
      </w:r>
    </w:p>
  </w:footnote>
  <w:footnote w:id="60">
    <w:p w14:paraId="315A0612" w14:textId="77777777"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iCs/>
          <w:sz w:val="24"/>
        </w:rPr>
        <w:t>Ellis v Wallsend District Hospital</w:t>
      </w:r>
      <w:r w:rsidRPr="008F0407">
        <w:rPr>
          <w:rFonts w:ascii="Times New Roman" w:hAnsi="Times New Roman"/>
          <w:sz w:val="24"/>
        </w:rPr>
        <w:t xml:space="preserve"> (1989) 17 NSWLR 553 at 597</w:t>
      </w:r>
      <w:r w:rsidRPr="008F0407">
        <w:rPr>
          <w:rFonts w:ascii="Times New Roman" w:hAnsi="Times New Roman"/>
          <w:sz w:val="24"/>
        </w:rPr>
        <w:noBreakHyphen/>
        <w:t>598.</w:t>
      </w:r>
    </w:p>
  </w:footnote>
  <w:footnote w:id="61">
    <w:p w14:paraId="6A727DB1" w14:textId="6F6E363C"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(1922) 233 NY 122 at 124.</w:t>
      </w:r>
    </w:p>
  </w:footnote>
  <w:footnote w:id="62">
    <w:p w14:paraId="31E9511B" w14:textId="334423F5"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(1963) 109 CLR 210 at 217.</w:t>
      </w:r>
    </w:p>
  </w:footnote>
  <w:footnote w:id="63">
    <w:p w14:paraId="1364D32E" w14:textId="77777777"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(1986) 160 CLR 16 at 35.</w:t>
      </w:r>
    </w:p>
  </w:footnote>
  <w:footnote w:id="64">
    <w:p w14:paraId="2F542A2A" w14:textId="65632BA9"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(2001) 20</w:t>
      </w:r>
      <w:r w:rsidR="003E0701" w:rsidRPr="008F0407">
        <w:rPr>
          <w:rFonts w:ascii="Times New Roman" w:hAnsi="Times New Roman"/>
          <w:sz w:val="24"/>
        </w:rPr>
        <w:t>7</w:t>
      </w:r>
      <w:r w:rsidRPr="008F0407">
        <w:rPr>
          <w:rFonts w:ascii="Times New Roman" w:hAnsi="Times New Roman"/>
          <w:sz w:val="24"/>
        </w:rPr>
        <w:t xml:space="preserve"> CLR 21 at 39 [40].</w:t>
      </w:r>
    </w:p>
  </w:footnote>
  <w:footnote w:id="65">
    <w:p w14:paraId="089BD76E" w14:textId="288EDE72"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Hollis v </w:t>
      </w:r>
      <w:r w:rsidRPr="008F0407">
        <w:rPr>
          <w:rFonts w:ascii="Times New Roman" w:hAnsi="Times New Roman"/>
          <w:i/>
          <w:sz w:val="24"/>
        </w:rPr>
        <w:t xml:space="preserve">Vabu Pty Ltd </w:t>
      </w:r>
      <w:r w:rsidRPr="008F0407">
        <w:rPr>
          <w:rFonts w:ascii="Times New Roman" w:hAnsi="Times New Roman"/>
          <w:sz w:val="24"/>
        </w:rPr>
        <w:t>(2001) 20</w:t>
      </w:r>
      <w:r w:rsidR="003E0701" w:rsidRPr="008F0407">
        <w:rPr>
          <w:rFonts w:ascii="Times New Roman" w:hAnsi="Times New Roman"/>
          <w:sz w:val="24"/>
        </w:rPr>
        <w:t>7</w:t>
      </w:r>
      <w:r w:rsidRPr="008F0407">
        <w:rPr>
          <w:rFonts w:ascii="Times New Roman" w:hAnsi="Times New Roman"/>
          <w:sz w:val="24"/>
        </w:rPr>
        <w:t xml:space="preserve"> CLR 21 at 39 [39], citing </w:t>
      </w:r>
      <w:r w:rsidRPr="008F0407">
        <w:rPr>
          <w:rFonts w:ascii="Times New Roman" w:hAnsi="Times New Roman"/>
          <w:i/>
          <w:sz w:val="24"/>
        </w:rPr>
        <w:t>Colonial Mutual Life Assurance Society Ltd v Producers and Citizens Co</w:t>
      </w:r>
      <w:r w:rsidRPr="008F0407">
        <w:rPr>
          <w:rFonts w:ascii="Times New Roman" w:hAnsi="Times New Roman"/>
          <w:i/>
          <w:sz w:val="24"/>
        </w:rPr>
        <w:noBreakHyphen/>
        <w:t xml:space="preserve">operative Assurance Co of Australia Ltd </w:t>
      </w:r>
      <w:r w:rsidRPr="008F0407">
        <w:rPr>
          <w:rFonts w:ascii="Times New Roman" w:hAnsi="Times New Roman"/>
          <w:sz w:val="24"/>
        </w:rPr>
        <w:t>(1931) 46 CLR 41</w:t>
      </w:r>
      <w:r w:rsidRPr="008F0407">
        <w:rPr>
          <w:rFonts w:ascii="Times New Roman" w:hAnsi="Times New Roman"/>
          <w:i/>
          <w:sz w:val="24"/>
        </w:rPr>
        <w:t xml:space="preserve"> </w:t>
      </w:r>
      <w:r w:rsidRPr="008F0407">
        <w:rPr>
          <w:rFonts w:ascii="Times New Roman" w:hAnsi="Times New Roman"/>
          <w:sz w:val="24"/>
        </w:rPr>
        <w:t>at 48.</w:t>
      </w:r>
    </w:p>
  </w:footnote>
  <w:footnote w:id="66">
    <w:p w14:paraId="48CB027E" w14:textId="1F45AFA0"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Fair Work Ombudsman v Quest South Perth Holdings Pty Ltd </w:t>
      </w:r>
      <w:r w:rsidRPr="008F0407">
        <w:rPr>
          <w:rFonts w:ascii="Times New Roman" w:hAnsi="Times New Roman"/>
          <w:sz w:val="24"/>
        </w:rPr>
        <w:t>(2015) 228 FCR 346 at 389 [</w:t>
      </w:r>
      <w:r w:rsidRPr="008F0407">
        <w:rPr>
          <w:rFonts w:ascii="Times New Roman" w:hAnsi="Times New Roman"/>
          <w:sz w:val="24"/>
        </w:rPr>
        <w:t>176]</w:t>
      </w:r>
      <w:r w:rsidRPr="008F0407">
        <w:rPr>
          <w:rFonts w:ascii="Times New Roman" w:hAnsi="Times New Roman"/>
          <w:sz w:val="24"/>
        </w:rPr>
        <w:noBreakHyphen/>
        <w:t>[177], 391 [184].</w:t>
      </w:r>
    </w:p>
  </w:footnote>
  <w:footnote w:id="67">
    <w:p w14:paraId="6707E4E1" w14:textId="6F46BB35"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iCs/>
          <w:sz w:val="24"/>
        </w:rPr>
        <w:t xml:space="preserve">Tattsbet Ltd v Morrow </w:t>
      </w:r>
      <w:r w:rsidRPr="008F0407">
        <w:rPr>
          <w:rFonts w:ascii="Times New Roman" w:hAnsi="Times New Roman"/>
          <w:sz w:val="24"/>
        </w:rPr>
        <w:t>(2015) 233 FCR 46 at 61 [61].</w:t>
      </w:r>
    </w:p>
  </w:footnote>
  <w:footnote w:id="68">
    <w:p w14:paraId="165C2E50" w14:textId="784D7AF0"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See [</w:t>
      </w:r>
      <w:r w:rsidRPr="008F0407">
        <w:rPr>
          <w:rFonts w:ascii="Times New Roman" w:hAnsi="Times New Roman"/>
          <w:sz w:val="24"/>
        </w:rPr>
        <w:t>40]</w:t>
      </w:r>
      <w:r w:rsidRPr="008F0407">
        <w:rPr>
          <w:rFonts w:ascii="Times New Roman" w:hAnsi="Times New Roman"/>
          <w:sz w:val="24"/>
        </w:rPr>
        <w:noBreakHyphen/>
        <w:t>[54] below.</w:t>
      </w:r>
    </w:p>
  </w:footnote>
  <w:footnote w:id="69">
    <w:p w14:paraId="34E46B46" w14:textId="49E3AA6B"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iCs/>
          <w:sz w:val="24"/>
        </w:rPr>
        <w:t>Ready Mixed Concrete (South East) Ltd v Minister of Pensions and National Insurance</w:t>
      </w:r>
      <w:r w:rsidRPr="008F0407">
        <w:rPr>
          <w:rFonts w:ascii="Times New Roman" w:hAnsi="Times New Roman"/>
          <w:sz w:val="24"/>
        </w:rPr>
        <w:t xml:space="preserve"> [1968] 2 QB 497 at 515; </w:t>
      </w:r>
      <w:r w:rsidRPr="008F0407">
        <w:rPr>
          <w:rFonts w:ascii="Times New Roman" w:hAnsi="Times New Roman"/>
          <w:i/>
          <w:iCs/>
          <w:sz w:val="24"/>
        </w:rPr>
        <w:t>Market Investigations Ltd v Minister of Social Security</w:t>
      </w:r>
      <w:r w:rsidRPr="008F0407">
        <w:rPr>
          <w:rFonts w:ascii="Times New Roman" w:hAnsi="Times New Roman"/>
          <w:sz w:val="24"/>
        </w:rPr>
        <w:t xml:space="preserve"> [1969] 2 QB 173 at 184</w:t>
      </w:r>
      <w:r w:rsidRPr="008F0407">
        <w:rPr>
          <w:rFonts w:ascii="Times New Roman" w:hAnsi="Times New Roman"/>
          <w:sz w:val="24"/>
        </w:rPr>
        <w:noBreakHyphen/>
        <w:t>185.</w:t>
      </w:r>
    </w:p>
  </w:footnote>
  <w:footnote w:id="70">
    <w:p w14:paraId="4504E56D" w14:textId="2003D393"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 xml:space="preserve">(2014) 253 CLR 169 at 178 [1]. See also </w:t>
      </w:r>
      <w:r w:rsidRPr="008F0407">
        <w:rPr>
          <w:rFonts w:ascii="Times New Roman" w:hAnsi="Times New Roman"/>
          <w:i/>
          <w:iCs/>
          <w:sz w:val="24"/>
        </w:rPr>
        <w:t>WorkPac Pty Ltd v Rossato</w:t>
      </w:r>
      <w:r w:rsidRPr="008F0407">
        <w:rPr>
          <w:rFonts w:ascii="Times New Roman" w:hAnsi="Times New Roman"/>
          <w:sz w:val="24"/>
        </w:rPr>
        <w:t xml:space="preserve"> (2021) 95 ALJR 681 at 693 [56]; 392 ALR 39 at 52.</w:t>
      </w:r>
    </w:p>
  </w:footnote>
  <w:footnote w:id="71">
    <w:p w14:paraId="62C97E42" w14:textId="49F2CA5A"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iCs/>
          <w:sz w:val="24"/>
        </w:rPr>
        <w:t xml:space="preserve">Concut Pty Ltd v Worrell </w:t>
      </w:r>
      <w:r w:rsidRPr="008F0407">
        <w:rPr>
          <w:rFonts w:ascii="Times New Roman" w:hAnsi="Times New Roman"/>
          <w:sz w:val="24"/>
        </w:rPr>
        <w:t>(2000) 75 ALJR 312 at 315</w:t>
      </w:r>
      <w:r w:rsidRPr="008F0407">
        <w:rPr>
          <w:rFonts w:ascii="Times New Roman" w:hAnsi="Times New Roman"/>
          <w:sz w:val="24"/>
        </w:rPr>
        <w:noBreakHyphen/>
        <w:t>316 [17]; 176 ALR 693 at 697</w:t>
      </w:r>
      <w:r w:rsidRPr="008F0407">
        <w:rPr>
          <w:rFonts w:ascii="Times New Roman" w:hAnsi="Times New Roman"/>
          <w:sz w:val="24"/>
        </w:rPr>
        <w:noBreakHyphen/>
        <w:t>698.</w:t>
      </w:r>
    </w:p>
  </w:footnote>
  <w:footnote w:id="72">
    <w:p w14:paraId="67E24DC7" w14:textId="02355AA5"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iCs/>
          <w:sz w:val="24"/>
        </w:rPr>
        <w:t>Commonwealth Bank of Australia v Barker</w:t>
      </w:r>
      <w:r w:rsidRPr="008F0407">
        <w:rPr>
          <w:rFonts w:ascii="Times New Roman" w:hAnsi="Times New Roman"/>
          <w:sz w:val="24"/>
        </w:rPr>
        <w:t xml:space="preserve"> (2014) 253 CLR 169 at 182</w:t>
      </w:r>
      <w:r w:rsidRPr="008F0407">
        <w:rPr>
          <w:rFonts w:ascii="Times New Roman" w:hAnsi="Times New Roman"/>
          <w:sz w:val="24"/>
        </w:rPr>
        <w:noBreakHyphen/>
        <w:t>183 [16].</w:t>
      </w:r>
    </w:p>
  </w:footnote>
  <w:footnote w:id="73">
    <w:p w14:paraId="6FCEBA8F" w14:textId="6553913C"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iCs/>
          <w:sz w:val="24"/>
        </w:rPr>
        <w:t>Commonwealth Bank of Australia v Barker</w:t>
      </w:r>
      <w:r w:rsidRPr="008F0407">
        <w:rPr>
          <w:rFonts w:ascii="Times New Roman" w:hAnsi="Times New Roman"/>
          <w:sz w:val="24"/>
        </w:rPr>
        <w:t xml:space="preserve"> (2014) 253 CLR 169 at 178</w:t>
      </w:r>
      <w:r w:rsidR="00D14472" w:rsidRPr="008F0407">
        <w:rPr>
          <w:rFonts w:ascii="Times New Roman" w:hAnsi="Times New Roman"/>
          <w:sz w:val="24"/>
        </w:rPr>
        <w:t> </w:t>
      </w:r>
      <w:r w:rsidRPr="008F0407">
        <w:rPr>
          <w:rFonts w:ascii="Times New Roman" w:hAnsi="Times New Roman"/>
          <w:sz w:val="24"/>
        </w:rPr>
        <w:t>[1].</w:t>
      </w:r>
    </w:p>
  </w:footnote>
  <w:footnote w:id="74">
    <w:p w14:paraId="68D7F609" w14:textId="3E4A0F17"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See s 65(2)(b)(ii) of the Act.</w:t>
      </w:r>
    </w:p>
  </w:footnote>
  <w:footnote w:id="75">
    <w:p w14:paraId="40069B4D" w14:textId="0E18902E"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sz w:val="24"/>
        </w:rPr>
        <w:t xml:space="preserve">cf </w:t>
      </w:r>
      <w:r w:rsidRPr="008F0407">
        <w:rPr>
          <w:rFonts w:ascii="Times New Roman" w:hAnsi="Times New Roman"/>
          <w:i/>
          <w:iCs/>
          <w:sz w:val="24"/>
        </w:rPr>
        <w:t xml:space="preserve">Hollis v Vabu Pty Ltd </w:t>
      </w:r>
      <w:r w:rsidRPr="008F0407">
        <w:rPr>
          <w:rFonts w:ascii="Times New Roman" w:hAnsi="Times New Roman"/>
          <w:sz w:val="24"/>
        </w:rPr>
        <w:t>(2001) 207 CLR 21 at 41</w:t>
      </w:r>
      <w:r w:rsidRPr="008F0407">
        <w:rPr>
          <w:rFonts w:ascii="Times New Roman" w:hAnsi="Times New Roman"/>
          <w:sz w:val="24"/>
        </w:rPr>
        <w:noBreakHyphen/>
        <w:t>45 [</w:t>
      </w:r>
      <w:r w:rsidRPr="008F0407">
        <w:rPr>
          <w:rFonts w:ascii="Times New Roman" w:hAnsi="Times New Roman"/>
          <w:sz w:val="24"/>
        </w:rPr>
        <w:t>47]</w:t>
      </w:r>
      <w:r w:rsidRPr="008F0407">
        <w:rPr>
          <w:rFonts w:ascii="Times New Roman" w:hAnsi="Times New Roman"/>
          <w:sz w:val="24"/>
        </w:rPr>
        <w:noBreakHyphen/>
        <w:t>[57].</w:t>
      </w:r>
    </w:p>
  </w:footnote>
  <w:footnote w:id="76">
    <w:p w14:paraId="58809F41" w14:textId="57D720D0"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iCs/>
          <w:sz w:val="24"/>
        </w:rPr>
        <w:t xml:space="preserve">WorkPac Pty Ltd v Rossato </w:t>
      </w:r>
      <w:r w:rsidRPr="008F0407">
        <w:rPr>
          <w:rFonts w:ascii="Times New Roman" w:hAnsi="Times New Roman"/>
          <w:sz w:val="24"/>
        </w:rPr>
        <w:t>(2021) 95 ALJR 681 at 693 [</w:t>
      </w:r>
      <w:r w:rsidRPr="008F0407">
        <w:rPr>
          <w:rFonts w:ascii="Times New Roman" w:hAnsi="Times New Roman"/>
          <w:sz w:val="24"/>
        </w:rPr>
        <w:t>56]</w:t>
      </w:r>
      <w:r w:rsidRPr="008F0407">
        <w:rPr>
          <w:rFonts w:ascii="Times New Roman" w:hAnsi="Times New Roman"/>
          <w:sz w:val="24"/>
        </w:rPr>
        <w:noBreakHyphen/>
        <w:t>[57], 694 [63]; 392 ALR 39 at 52</w:t>
      </w:r>
      <w:r w:rsidRPr="008F0407">
        <w:rPr>
          <w:rFonts w:ascii="Times New Roman" w:hAnsi="Times New Roman"/>
          <w:sz w:val="24"/>
        </w:rPr>
        <w:noBreakHyphen/>
        <w:t>53.</w:t>
      </w:r>
    </w:p>
  </w:footnote>
  <w:footnote w:id="77">
    <w:p w14:paraId="741B76B4" w14:textId="1322299D" w:rsidR="009572FD" w:rsidRPr="008F0407" w:rsidRDefault="009572FD"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006A192B" w:rsidRPr="008F0407">
        <w:rPr>
          <w:rFonts w:ascii="Times New Roman" w:hAnsi="Times New Roman"/>
          <w:i/>
          <w:iCs/>
          <w:sz w:val="24"/>
        </w:rPr>
        <w:t xml:space="preserve">Gouriet v Union of Post Office Workers </w:t>
      </w:r>
      <w:r w:rsidR="007C202B" w:rsidRPr="008F0407">
        <w:rPr>
          <w:rFonts w:ascii="Times New Roman" w:hAnsi="Times New Roman"/>
          <w:sz w:val="24"/>
        </w:rPr>
        <w:t xml:space="preserve">[1978] </w:t>
      </w:r>
      <w:r w:rsidR="001115C9" w:rsidRPr="008F0407">
        <w:rPr>
          <w:rFonts w:ascii="Times New Roman" w:hAnsi="Times New Roman"/>
          <w:sz w:val="24"/>
        </w:rPr>
        <w:t>AC 435 at 501.</w:t>
      </w:r>
    </w:p>
  </w:footnote>
  <w:footnote w:id="78">
    <w:p w14:paraId="596A68FD" w14:textId="721859BE"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[1983] 2 NSWLR 597 at 600</w:t>
      </w:r>
      <w:r w:rsidRPr="008F0407">
        <w:rPr>
          <w:rFonts w:ascii="Times New Roman" w:hAnsi="Times New Roman"/>
          <w:sz w:val="24"/>
        </w:rPr>
        <w:noBreakHyphen/>
        <w:t>601.</w:t>
      </w:r>
    </w:p>
  </w:footnote>
  <w:footnote w:id="79">
    <w:p w14:paraId="624A8CB9" w14:textId="7312A313"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(1978) 52 ALJR 407 at 409</w:t>
      </w:r>
      <w:r w:rsidRPr="008F0407">
        <w:rPr>
          <w:rFonts w:ascii="Times New Roman" w:hAnsi="Times New Roman"/>
          <w:sz w:val="24"/>
        </w:rPr>
        <w:noBreakHyphen/>
        <w:t>410; 18 ALR 385 at 389</w:t>
      </w:r>
      <w:r w:rsidRPr="008F0407">
        <w:rPr>
          <w:rFonts w:ascii="Times New Roman" w:hAnsi="Times New Roman"/>
          <w:sz w:val="24"/>
        </w:rPr>
        <w:noBreakHyphen/>
        <w:t>390.</w:t>
      </w:r>
    </w:p>
  </w:footnote>
  <w:footnote w:id="80">
    <w:p w14:paraId="7F6C0C0E" w14:textId="2D07161A"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iCs/>
          <w:sz w:val="24"/>
        </w:rPr>
        <w:t>Narich Pty Ltd v Commissioner of Pay</w:t>
      </w:r>
      <w:r w:rsidRPr="008F0407">
        <w:rPr>
          <w:rFonts w:ascii="Times New Roman" w:hAnsi="Times New Roman"/>
          <w:i/>
          <w:iCs/>
          <w:sz w:val="24"/>
        </w:rPr>
        <w:noBreakHyphen/>
        <w:t xml:space="preserve">roll Tax </w:t>
      </w:r>
      <w:r w:rsidRPr="008F0407">
        <w:rPr>
          <w:rFonts w:ascii="Times New Roman" w:hAnsi="Times New Roman"/>
          <w:sz w:val="24"/>
        </w:rPr>
        <w:t>[1983] 2 NSWLR 597 at 601.</w:t>
      </w:r>
    </w:p>
  </w:footnote>
  <w:footnote w:id="81">
    <w:p w14:paraId="295C6734" w14:textId="77777777"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(1994) 55 IR 73 at 74.</w:t>
      </w:r>
    </w:p>
  </w:footnote>
  <w:footnote w:id="82">
    <w:p w14:paraId="58F008FC" w14:textId="03E7A337"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iCs/>
          <w:sz w:val="24"/>
        </w:rPr>
        <w:t>Narich Pty Ltd v Commissioner of Pay</w:t>
      </w:r>
      <w:r w:rsidRPr="008F0407">
        <w:rPr>
          <w:rFonts w:ascii="Times New Roman" w:hAnsi="Times New Roman"/>
          <w:i/>
          <w:iCs/>
          <w:sz w:val="24"/>
        </w:rPr>
        <w:noBreakHyphen/>
        <w:t xml:space="preserve">roll Tax </w:t>
      </w:r>
      <w:r w:rsidRPr="008F0407">
        <w:rPr>
          <w:rFonts w:ascii="Times New Roman" w:hAnsi="Times New Roman"/>
          <w:sz w:val="24"/>
        </w:rPr>
        <w:t>[1983] 2 NSWLR 597 at 601.</w:t>
      </w:r>
    </w:p>
  </w:footnote>
  <w:footnote w:id="83">
    <w:p w14:paraId="6C0FF5A2" w14:textId="51BA1883"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00894757" w:rsidRPr="008F0407">
        <w:rPr>
          <w:rFonts w:ascii="Times New Roman" w:hAnsi="Times New Roman"/>
          <w:sz w:val="24"/>
        </w:rPr>
        <w:t xml:space="preserve">See, </w:t>
      </w:r>
      <w:r w:rsidR="00894757" w:rsidRPr="008F0407">
        <w:rPr>
          <w:rFonts w:ascii="Times New Roman" w:hAnsi="Times New Roman"/>
          <w:sz w:val="24"/>
        </w:rPr>
        <w:t xml:space="preserve">eg, </w:t>
      </w:r>
      <w:r w:rsidRPr="008F0407">
        <w:rPr>
          <w:rFonts w:ascii="Times New Roman" w:hAnsi="Times New Roman"/>
          <w:i/>
          <w:iCs/>
          <w:sz w:val="24"/>
        </w:rPr>
        <w:t>Trans</w:t>
      </w:r>
      <w:r w:rsidR="005D6812" w:rsidRPr="008F0407">
        <w:rPr>
          <w:rFonts w:ascii="Times New Roman" w:hAnsi="Times New Roman"/>
          <w:i/>
          <w:iCs/>
          <w:sz w:val="24"/>
        </w:rPr>
        <w:t>A</w:t>
      </w:r>
      <w:r w:rsidRPr="008F0407">
        <w:rPr>
          <w:rFonts w:ascii="Times New Roman" w:hAnsi="Times New Roman"/>
          <w:i/>
          <w:iCs/>
          <w:sz w:val="24"/>
        </w:rPr>
        <w:t>delaide v Leddy</w:t>
      </w:r>
      <w:r w:rsidR="00D27D52" w:rsidRPr="008F0407">
        <w:rPr>
          <w:rFonts w:ascii="Times New Roman" w:hAnsi="Times New Roman"/>
          <w:i/>
          <w:iCs/>
          <w:sz w:val="24"/>
        </w:rPr>
        <w:t xml:space="preserve"> </w:t>
      </w:r>
      <w:r w:rsidRPr="008F0407">
        <w:rPr>
          <w:rFonts w:ascii="Times New Roman" w:hAnsi="Times New Roman"/>
          <w:sz w:val="24"/>
        </w:rPr>
        <w:t>(199</w:t>
      </w:r>
      <w:r w:rsidR="001019D9" w:rsidRPr="008F0407">
        <w:rPr>
          <w:rFonts w:ascii="Times New Roman" w:hAnsi="Times New Roman"/>
          <w:sz w:val="24"/>
        </w:rPr>
        <w:t>8</w:t>
      </w:r>
      <w:r w:rsidRPr="008F0407">
        <w:rPr>
          <w:rFonts w:ascii="Times New Roman" w:hAnsi="Times New Roman"/>
          <w:sz w:val="24"/>
        </w:rPr>
        <w:t xml:space="preserve">) </w:t>
      </w:r>
      <w:r w:rsidR="001019D9" w:rsidRPr="008F0407">
        <w:rPr>
          <w:rFonts w:ascii="Times New Roman" w:hAnsi="Times New Roman"/>
          <w:sz w:val="24"/>
        </w:rPr>
        <w:t>71 SASR 413</w:t>
      </w:r>
      <w:r w:rsidRPr="008F0407">
        <w:rPr>
          <w:rFonts w:ascii="Times New Roman" w:hAnsi="Times New Roman"/>
          <w:sz w:val="24"/>
        </w:rPr>
        <w:t xml:space="preserve"> at </w:t>
      </w:r>
      <w:r w:rsidR="001019D9" w:rsidRPr="008F0407">
        <w:rPr>
          <w:rFonts w:ascii="Times New Roman" w:hAnsi="Times New Roman"/>
          <w:sz w:val="24"/>
        </w:rPr>
        <w:t>426</w:t>
      </w:r>
      <w:r w:rsidRPr="008F0407">
        <w:rPr>
          <w:rFonts w:ascii="Times New Roman" w:hAnsi="Times New Roman"/>
          <w:sz w:val="24"/>
        </w:rPr>
        <w:t xml:space="preserve">; </w:t>
      </w:r>
      <w:r w:rsidRPr="008F0407">
        <w:rPr>
          <w:rFonts w:ascii="Times New Roman" w:hAnsi="Times New Roman"/>
          <w:i/>
          <w:iCs/>
          <w:sz w:val="24"/>
        </w:rPr>
        <w:t xml:space="preserve">Tobiassen v Reilly </w:t>
      </w:r>
      <w:r w:rsidRPr="008F0407">
        <w:rPr>
          <w:rFonts w:ascii="Times New Roman" w:hAnsi="Times New Roman"/>
          <w:iCs/>
          <w:sz w:val="24"/>
        </w:rPr>
        <w:t>(2009) 178 IR 213</w:t>
      </w:r>
      <w:r w:rsidRPr="008F0407">
        <w:rPr>
          <w:rFonts w:ascii="Times New Roman" w:hAnsi="Times New Roman"/>
          <w:sz w:val="24"/>
        </w:rPr>
        <w:t xml:space="preserve"> at 233</w:t>
      </w:r>
      <w:r w:rsidRPr="008F0407">
        <w:rPr>
          <w:rFonts w:ascii="Times New Roman" w:hAnsi="Times New Roman"/>
          <w:sz w:val="24"/>
        </w:rPr>
        <w:noBreakHyphen/>
        <w:t>234</w:t>
      </w:r>
      <w:r w:rsidR="002316E3" w:rsidRPr="008F0407">
        <w:rPr>
          <w:rFonts w:ascii="Times New Roman" w:hAnsi="Times New Roman"/>
          <w:sz w:val="24"/>
        </w:rPr>
        <w:t> </w:t>
      </w:r>
      <w:r w:rsidRPr="008F0407">
        <w:rPr>
          <w:rFonts w:ascii="Times New Roman" w:hAnsi="Times New Roman"/>
          <w:sz w:val="24"/>
        </w:rPr>
        <w:t>[100]</w:t>
      </w:r>
      <w:r w:rsidRPr="008F0407">
        <w:rPr>
          <w:rFonts w:ascii="Times New Roman" w:hAnsi="Times New Roman"/>
          <w:sz w:val="24"/>
        </w:rPr>
        <w:noBreakHyphen/>
        <w:t xml:space="preserve">[101]; </w:t>
      </w:r>
      <w:r w:rsidRPr="008F0407">
        <w:rPr>
          <w:rFonts w:ascii="Times New Roman" w:hAnsi="Times New Roman"/>
          <w:i/>
          <w:iCs/>
          <w:sz w:val="24"/>
        </w:rPr>
        <w:t xml:space="preserve">Fair Work Ombudsman v Quest South Perth Holdings Pty Ltd </w:t>
      </w:r>
      <w:r w:rsidRPr="008F0407">
        <w:rPr>
          <w:rFonts w:ascii="Times New Roman" w:hAnsi="Times New Roman"/>
          <w:iCs/>
          <w:sz w:val="24"/>
        </w:rPr>
        <w:t>(2015) 228 FCR 346</w:t>
      </w:r>
      <w:r w:rsidRPr="008F0407">
        <w:rPr>
          <w:rFonts w:ascii="Times New Roman" w:hAnsi="Times New Roman"/>
          <w:sz w:val="24"/>
        </w:rPr>
        <w:t xml:space="preserve"> at 379</w:t>
      </w:r>
      <w:r w:rsidRPr="008F0407">
        <w:rPr>
          <w:rFonts w:ascii="Times New Roman" w:hAnsi="Times New Roman"/>
          <w:sz w:val="24"/>
        </w:rPr>
        <w:noBreakHyphen/>
        <w:t>380</w:t>
      </w:r>
      <w:r w:rsidR="002316E3" w:rsidRPr="008F0407">
        <w:rPr>
          <w:rFonts w:ascii="Times New Roman" w:hAnsi="Times New Roman"/>
          <w:sz w:val="24"/>
        </w:rPr>
        <w:t> </w:t>
      </w:r>
      <w:r w:rsidRPr="008F0407">
        <w:rPr>
          <w:rFonts w:ascii="Times New Roman" w:hAnsi="Times New Roman"/>
          <w:sz w:val="24"/>
        </w:rPr>
        <w:t>[148]</w:t>
      </w:r>
      <w:r w:rsidRPr="008F0407">
        <w:rPr>
          <w:rFonts w:ascii="Times New Roman" w:hAnsi="Times New Roman"/>
          <w:sz w:val="24"/>
        </w:rPr>
        <w:noBreakHyphen/>
        <w:t>[150]</w:t>
      </w:r>
      <w:r w:rsidR="00B01167" w:rsidRPr="008F0407">
        <w:rPr>
          <w:rFonts w:ascii="Times New Roman" w:hAnsi="Times New Roman"/>
          <w:sz w:val="24"/>
        </w:rPr>
        <w:t xml:space="preserve"> (reversed on other grounds: </w:t>
      </w:r>
      <w:r w:rsidR="00C55EB2" w:rsidRPr="008F0407">
        <w:rPr>
          <w:rFonts w:ascii="Times New Roman" w:hAnsi="Times New Roman"/>
          <w:sz w:val="24"/>
        </w:rPr>
        <w:t>(2015) 256 CLR 137</w:t>
      </w:r>
      <w:r w:rsidR="009C6A89" w:rsidRPr="008F0407">
        <w:rPr>
          <w:rFonts w:ascii="Times New Roman" w:hAnsi="Times New Roman"/>
          <w:sz w:val="24"/>
        </w:rPr>
        <w:t>)</w:t>
      </w:r>
      <w:r w:rsidRPr="008F0407">
        <w:rPr>
          <w:rFonts w:ascii="Times New Roman" w:hAnsi="Times New Roman"/>
          <w:sz w:val="24"/>
        </w:rPr>
        <w:t xml:space="preserve">; </w:t>
      </w:r>
      <w:r w:rsidRPr="008F0407">
        <w:rPr>
          <w:rFonts w:ascii="Times New Roman" w:hAnsi="Times New Roman"/>
          <w:i/>
          <w:iCs/>
          <w:sz w:val="24"/>
        </w:rPr>
        <w:t xml:space="preserve">Mutch v ISG Management Pty Ltd </w:t>
      </w:r>
      <w:r w:rsidRPr="008F0407">
        <w:rPr>
          <w:rFonts w:ascii="Times New Roman" w:hAnsi="Times New Roman"/>
          <w:sz w:val="24"/>
        </w:rPr>
        <w:t>[2020] FCA 362 at [68].</w:t>
      </w:r>
    </w:p>
  </w:footnote>
  <w:footnote w:id="84">
    <w:p w14:paraId="15117B16" w14:textId="6F2939C0"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 xml:space="preserve">See, </w:t>
      </w:r>
      <w:r w:rsidRPr="008F0407">
        <w:rPr>
          <w:rFonts w:ascii="Times New Roman" w:hAnsi="Times New Roman"/>
          <w:sz w:val="24"/>
        </w:rPr>
        <w:t xml:space="preserve">eg, </w:t>
      </w:r>
      <w:r w:rsidRPr="008F0407">
        <w:rPr>
          <w:rFonts w:ascii="Times New Roman" w:hAnsi="Times New Roman"/>
          <w:i/>
          <w:sz w:val="24"/>
        </w:rPr>
        <w:t xml:space="preserve">ACE Insurance Ltd v Trifunovski </w:t>
      </w:r>
      <w:r w:rsidRPr="008F0407">
        <w:rPr>
          <w:rFonts w:ascii="Times New Roman" w:hAnsi="Times New Roman"/>
          <w:sz w:val="24"/>
        </w:rPr>
        <w:t>(2013) 209 FCR 146</w:t>
      </w:r>
      <w:r w:rsidRPr="008F0407">
        <w:rPr>
          <w:rFonts w:ascii="Times New Roman" w:hAnsi="Times New Roman"/>
          <w:i/>
          <w:sz w:val="24"/>
        </w:rPr>
        <w:t xml:space="preserve"> </w:t>
      </w:r>
      <w:r w:rsidRPr="008F0407">
        <w:rPr>
          <w:rFonts w:ascii="Times New Roman" w:hAnsi="Times New Roman"/>
          <w:sz w:val="24"/>
        </w:rPr>
        <w:t>at 174 [107]</w:t>
      </w:r>
      <w:r w:rsidR="007F67C2" w:rsidRPr="008F0407">
        <w:rPr>
          <w:rFonts w:ascii="Times New Roman" w:hAnsi="Times New Roman"/>
          <w:sz w:val="24"/>
        </w:rPr>
        <w:t>;</w:t>
      </w:r>
      <w:r w:rsidRPr="008F0407">
        <w:rPr>
          <w:rFonts w:ascii="Times New Roman" w:hAnsi="Times New Roman"/>
          <w:sz w:val="24"/>
        </w:rPr>
        <w:t xml:space="preserve"> </w:t>
      </w:r>
      <w:r w:rsidRPr="008F0407">
        <w:rPr>
          <w:rFonts w:ascii="Times New Roman" w:hAnsi="Times New Roman"/>
          <w:i/>
          <w:iCs/>
          <w:sz w:val="24"/>
        </w:rPr>
        <w:t xml:space="preserve">Jensen v Cultural Infusion (Int) Pty Ltd </w:t>
      </w:r>
      <w:r w:rsidRPr="008F0407">
        <w:rPr>
          <w:rFonts w:ascii="Times New Roman" w:hAnsi="Times New Roman"/>
          <w:sz w:val="24"/>
        </w:rPr>
        <w:t>[2020] FCA 358 at [83].</w:t>
      </w:r>
    </w:p>
  </w:footnote>
  <w:footnote w:id="85">
    <w:p w14:paraId="0B959640" w14:textId="3C461E3D"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 xml:space="preserve">See </w:t>
      </w:r>
      <w:r w:rsidRPr="008F0407">
        <w:rPr>
          <w:rFonts w:ascii="Times New Roman" w:hAnsi="Times New Roman"/>
          <w:i/>
          <w:iCs/>
          <w:sz w:val="24"/>
        </w:rPr>
        <w:t xml:space="preserve">Construction, Forestry, Maritime, Mining and Energy Union v Personnel Contracting Pty Ltd </w:t>
      </w:r>
      <w:r w:rsidRPr="008F0407">
        <w:rPr>
          <w:rFonts w:ascii="Times New Roman" w:hAnsi="Times New Roman"/>
          <w:sz w:val="24"/>
        </w:rPr>
        <w:t>(2020) 279 FCR 631 at 636 [8], 637 [</w:t>
      </w:r>
      <w:r w:rsidRPr="008F0407">
        <w:rPr>
          <w:rFonts w:ascii="Times New Roman" w:hAnsi="Times New Roman"/>
          <w:sz w:val="24"/>
        </w:rPr>
        <w:t>11]</w:t>
      </w:r>
      <w:r w:rsidRPr="008F0407">
        <w:rPr>
          <w:rFonts w:ascii="Times New Roman" w:hAnsi="Times New Roman"/>
          <w:sz w:val="24"/>
        </w:rPr>
        <w:noBreakHyphen/>
        <w:t>[12], 639</w:t>
      </w:r>
      <w:r w:rsidRPr="008F0407">
        <w:rPr>
          <w:rFonts w:ascii="Times New Roman" w:hAnsi="Times New Roman"/>
          <w:sz w:val="24"/>
        </w:rPr>
        <w:noBreakHyphen/>
        <w:t>640 [21], 654 [73], 661 [98]</w:t>
      </w:r>
      <w:r w:rsidRPr="008F0407">
        <w:rPr>
          <w:rFonts w:ascii="Times New Roman" w:hAnsi="Times New Roman"/>
          <w:sz w:val="24"/>
        </w:rPr>
        <w:noBreakHyphen/>
        <w:t>[99], 663 [106], 673 [150], 676 [160].</w:t>
      </w:r>
    </w:p>
  </w:footnote>
  <w:footnote w:id="86">
    <w:p w14:paraId="2CD487BB" w14:textId="2997D879"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(2004) 141 IR 31 at 39</w:t>
      </w:r>
      <w:r w:rsidR="00DA2406" w:rsidRPr="008F0407">
        <w:rPr>
          <w:rFonts w:ascii="Times New Roman" w:hAnsi="Times New Roman"/>
          <w:sz w:val="24"/>
        </w:rPr>
        <w:t> </w:t>
      </w:r>
      <w:r w:rsidRPr="008F0407">
        <w:rPr>
          <w:rFonts w:ascii="Times New Roman" w:hAnsi="Times New Roman"/>
          <w:sz w:val="24"/>
        </w:rPr>
        <w:t>[33], 44</w:t>
      </w:r>
      <w:r w:rsidR="00DA2406" w:rsidRPr="008F0407">
        <w:rPr>
          <w:rFonts w:ascii="Times New Roman" w:hAnsi="Times New Roman"/>
          <w:sz w:val="24"/>
        </w:rPr>
        <w:t> </w:t>
      </w:r>
      <w:r w:rsidRPr="008F0407">
        <w:rPr>
          <w:rFonts w:ascii="Times New Roman" w:hAnsi="Times New Roman"/>
          <w:sz w:val="24"/>
        </w:rPr>
        <w:t>[52].</w:t>
      </w:r>
    </w:p>
  </w:footnote>
  <w:footnote w:id="87">
    <w:p w14:paraId="0E8B7EC4" w14:textId="364FF6B5"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(1952) 85 CLR 138.</w:t>
      </w:r>
    </w:p>
  </w:footnote>
  <w:footnote w:id="88">
    <w:p w14:paraId="4EE6B847" w14:textId="421FE702"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(1952) 85 CLR 138 at 144.</w:t>
      </w:r>
    </w:p>
  </w:footnote>
  <w:footnote w:id="89">
    <w:p w14:paraId="7E70ED5E" w14:textId="633F7417"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(1952) 85 CLR 138 at 155.</w:t>
      </w:r>
    </w:p>
  </w:footnote>
  <w:footnote w:id="90">
    <w:p w14:paraId="70C91688" w14:textId="18392BE1"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(1952) 85 CLR 138 at 151.</w:t>
      </w:r>
    </w:p>
  </w:footnote>
  <w:footnote w:id="91">
    <w:p w14:paraId="68A2F875" w14:textId="75825744"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 xml:space="preserve">See, </w:t>
      </w:r>
      <w:r w:rsidRPr="008F0407">
        <w:rPr>
          <w:rFonts w:ascii="Times New Roman" w:hAnsi="Times New Roman"/>
          <w:sz w:val="24"/>
        </w:rPr>
        <w:t xml:space="preserve">eg, </w:t>
      </w:r>
      <w:r w:rsidRPr="008F0407">
        <w:rPr>
          <w:rFonts w:ascii="Times New Roman" w:hAnsi="Times New Roman"/>
          <w:i/>
          <w:iCs/>
          <w:sz w:val="24"/>
        </w:rPr>
        <w:t xml:space="preserve">Fair Work Ombudsman v Quest South Perth Holdings Pty Ltd </w:t>
      </w:r>
      <w:r w:rsidR="005A682B" w:rsidRPr="008F0407">
        <w:rPr>
          <w:rFonts w:ascii="Times New Roman" w:hAnsi="Times New Roman"/>
          <w:iCs/>
          <w:sz w:val="24"/>
        </w:rPr>
        <w:t>(2015) 228 FCR 346</w:t>
      </w:r>
      <w:r w:rsidRPr="008F0407">
        <w:rPr>
          <w:rFonts w:ascii="Times New Roman" w:hAnsi="Times New Roman"/>
          <w:sz w:val="24"/>
        </w:rPr>
        <w:t xml:space="preserve"> at </w:t>
      </w:r>
      <w:r w:rsidR="007D4F7B" w:rsidRPr="008F0407">
        <w:rPr>
          <w:rFonts w:ascii="Times New Roman" w:hAnsi="Times New Roman"/>
          <w:sz w:val="24"/>
        </w:rPr>
        <w:t>379</w:t>
      </w:r>
      <w:r w:rsidR="007D4F7B" w:rsidRPr="008F0407">
        <w:rPr>
          <w:rFonts w:ascii="Times New Roman" w:hAnsi="Times New Roman"/>
          <w:sz w:val="24"/>
        </w:rPr>
        <w:noBreakHyphen/>
        <w:t>380</w:t>
      </w:r>
      <w:r w:rsidR="00DA2406" w:rsidRPr="008F0407">
        <w:rPr>
          <w:rFonts w:ascii="Times New Roman" w:hAnsi="Times New Roman"/>
          <w:sz w:val="24"/>
        </w:rPr>
        <w:t> </w:t>
      </w:r>
      <w:r w:rsidRPr="008F0407">
        <w:rPr>
          <w:rFonts w:ascii="Times New Roman" w:hAnsi="Times New Roman"/>
          <w:sz w:val="24"/>
        </w:rPr>
        <w:t>[149].</w:t>
      </w:r>
    </w:p>
  </w:footnote>
  <w:footnote w:id="92">
    <w:p w14:paraId="4F8F0A8A" w14:textId="5C54FE04"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[1963] SR (NSW) 260 at 272.</w:t>
      </w:r>
    </w:p>
  </w:footnote>
  <w:footnote w:id="93">
    <w:p w14:paraId="12F84FD7" w14:textId="550264CF"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[1963] SR (NSW) 26</w:t>
      </w:r>
      <w:r w:rsidR="00BC0CD9" w:rsidRPr="008F0407">
        <w:rPr>
          <w:rFonts w:ascii="Times New Roman" w:hAnsi="Times New Roman"/>
          <w:sz w:val="24"/>
        </w:rPr>
        <w:t>0</w:t>
      </w:r>
      <w:r w:rsidRPr="008F0407">
        <w:rPr>
          <w:rFonts w:ascii="Times New Roman" w:hAnsi="Times New Roman"/>
          <w:sz w:val="24"/>
        </w:rPr>
        <w:t xml:space="preserve"> at 271.</w:t>
      </w:r>
    </w:p>
  </w:footnote>
  <w:footnote w:id="94">
    <w:p w14:paraId="5C8C42E3" w14:textId="57E24099" w:rsidR="00E82DF8" w:rsidRPr="008F0407" w:rsidRDefault="00E82DF8"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[1963] SR (NSW) 26</w:t>
      </w:r>
      <w:r w:rsidR="00BC0CD9" w:rsidRPr="008F0407">
        <w:rPr>
          <w:rFonts w:ascii="Times New Roman" w:hAnsi="Times New Roman"/>
          <w:sz w:val="24"/>
        </w:rPr>
        <w:t>0</w:t>
      </w:r>
      <w:r w:rsidRPr="008F0407">
        <w:rPr>
          <w:rFonts w:ascii="Times New Roman" w:hAnsi="Times New Roman"/>
          <w:sz w:val="24"/>
        </w:rPr>
        <w:t xml:space="preserve"> at 267.</w:t>
      </w:r>
    </w:p>
  </w:footnote>
  <w:footnote w:id="95">
    <w:p w14:paraId="52C0CE1D" w14:textId="674885CF"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iCs/>
          <w:sz w:val="24"/>
        </w:rPr>
        <w:t xml:space="preserve">Western Australia v Ward </w:t>
      </w:r>
      <w:r w:rsidRPr="008F0407">
        <w:rPr>
          <w:rFonts w:ascii="Times New Roman" w:hAnsi="Times New Roman"/>
          <w:sz w:val="24"/>
        </w:rPr>
        <w:t>(2002) 213 CLR 1 at 229</w:t>
      </w:r>
      <w:r w:rsidR="0057424A" w:rsidRPr="008F0407">
        <w:rPr>
          <w:rFonts w:ascii="Times New Roman" w:hAnsi="Times New Roman"/>
          <w:sz w:val="24"/>
        </w:rPr>
        <w:t> </w:t>
      </w:r>
      <w:r w:rsidRPr="008F0407">
        <w:rPr>
          <w:rFonts w:ascii="Times New Roman" w:hAnsi="Times New Roman"/>
          <w:sz w:val="24"/>
        </w:rPr>
        <w:t>[521].</w:t>
      </w:r>
    </w:p>
  </w:footnote>
  <w:footnote w:id="96">
    <w:p w14:paraId="40358D64" w14:textId="2191C827"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iCs/>
          <w:sz w:val="24"/>
        </w:rPr>
        <w:t xml:space="preserve">Street v </w:t>
      </w:r>
      <w:r w:rsidRPr="008F0407">
        <w:rPr>
          <w:rFonts w:ascii="Times New Roman" w:hAnsi="Times New Roman"/>
          <w:i/>
          <w:iCs/>
          <w:sz w:val="24"/>
        </w:rPr>
        <w:t xml:space="preserve">Mountford </w:t>
      </w:r>
      <w:r w:rsidRPr="008F0407">
        <w:rPr>
          <w:rFonts w:ascii="Times New Roman" w:hAnsi="Times New Roman"/>
          <w:sz w:val="24"/>
        </w:rPr>
        <w:t>[1985] AC 809 at 819</w:t>
      </w:r>
      <w:r w:rsidR="00E82DF8" w:rsidRPr="008F0407">
        <w:rPr>
          <w:rFonts w:ascii="Times New Roman" w:hAnsi="Times New Roman"/>
          <w:sz w:val="24"/>
        </w:rPr>
        <w:t>. See also</w:t>
      </w:r>
      <w:r w:rsidRPr="008F0407">
        <w:rPr>
          <w:rFonts w:ascii="Times New Roman" w:hAnsi="Times New Roman"/>
          <w:sz w:val="24"/>
        </w:rPr>
        <w:t xml:space="preserve"> </w:t>
      </w:r>
      <w:r w:rsidRPr="008F0407">
        <w:rPr>
          <w:rFonts w:ascii="Times New Roman" w:hAnsi="Times New Roman"/>
          <w:i/>
          <w:iCs/>
          <w:sz w:val="24"/>
        </w:rPr>
        <w:t xml:space="preserve">Bruton v London </w:t>
      </w:r>
      <w:r w:rsidR="006528CA" w:rsidRPr="008F0407">
        <w:rPr>
          <w:rFonts w:ascii="Times New Roman" w:hAnsi="Times New Roman"/>
          <w:i/>
          <w:iCs/>
          <w:sz w:val="24"/>
        </w:rPr>
        <w:t>&amp;</w:t>
      </w:r>
      <w:r w:rsidRPr="008F0407">
        <w:rPr>
          <w:rFonts w:ascii="Times New Roman" w:hAnsi="Times New Roman"/>
          <w:i/>
          <w:iCs/>
          <w:sz w:val="24"/>
        </w:rPr>
        <w:t xml:space="preserve"> Quadrant Housing Trust </w:t>
      </w:r>
      <w:r w:rsidRPr="008F0407">
        <w:rPr>
          <w:rFonts w:ascii="Times New Roman" w:hAnsi="Times New Roman"/>
          <w:sz w:val="24"/>
        </w:rPr>
        <w:t>[2000] 1 AC 406 at 413.</w:t>
      </w:r>
    </w:p>
  </w:footnote>
  <w:footnote w:id="97">
    <w:p w14:paraId="3013E665" w14:textId="07318969"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 xml:space="preserve">(1927) 33 ALR 321. </w:t>
      </w:r>
    </w:p>
  </w:footnote>
  <w:footnote w:id="98">
    <w:p w14:paraId="56906668" w14:textId="4DF0ADD0" w:rsidR="007B4DA6" w:rsidRPr="008F0407" w:rsidRDefault="007B4DA6"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(1927) 33 ALR 321 at 322</w:t>
      </w:r>
      <w:r w:rsidR="00F849D9" w:rsidRPr="008F0407">
        <w:rPr>
          <w:rFonts w:ascii="Times New Roman" w:hAnsi="Times New Roman"/>
          <w:sz w:val="24"/>
        </w:rPr>
        <w:t xml:space="preserve"> (emphasis added)</w:t>
      </w:r>
      <w:r w:rsidR="00CE4DE9" w:rsidRPr="008F0407">
        <w:rPr>
          <w:rFonts w:ascii="Times New Roman" w:hAnsi="Times New Roman"/>
          <w:sz w:val="24"/>
        </w:rPr>
        <w:t>,</w:t>
      </w:r>
      <w:r w:rsidRPr="008F0407">
        <w:rPr>
          <w:rFonts w:ascii="Times New Roman" w:hAnsi="Times New Roman"/>
          <w:sz w:val="24"/>
        </w:rPr>
        <w:t xml:space="preserve"> quoting </w:t>
      </w:r>
      <w:r w:rsidRPr="008F0407">
        <w:rPr>
          <w:rFonts w:ascii="Times New Roman" w:hAnsi="Times New Roman"/>
          <w:i/>
          <w:sz w:val="24"/>
        </w:rPr>
        <w:t xml:space="preserve">Bain v Central Vermont Railway Company </w:t>
      </w:r>
      <w:r w:rsidRPr="008F0407">
        <w:rPr>
          <w:rFonts w:ascii="Times New Roman" w:hAnsi="Times New Roman"/>
          <w:sz w:val="24"/>
        </w:rPr>
        <w:t>[1921] 2 AC 412 at 416.</w:t>
      </w:r>
    </w:p>
  </w:footnote>
  <w:footnote w:id="99">
    <w:p w14:paraId="58BBDDC6" w14:textId="6CBC5FE4" w:rsidR="00427217" w:rsidRPr="008F0407" w:rsidRDefault="00427217"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(1927) 33 ALR 321 at 322.</w:t>
      </w:r>
    </w:p>
  </w:footnote>
  <w:footnote w:id="100">
    <w:p w14:paraId="0B5ACC2D" w14:textId="4259DB54"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(1945) 70 CLR 539 at 551. See also 544</w:t>
      </w:r>
      <w:r w:rsidR="00A33C8B" w:rsidRPr="008F0407">
        <w:rPr>
          <w:rFonts w:ascii="Times New Roman" w:hAnsi="Times New Roman"/>
          <w:sz w:val="24"/>
        </w:rPr>
        <w:t xml:space="preserve"> per</w:t>
      </w:r>
      <w:r w:rsidRPr="008F0407">
        <w:rPr>
          <w:rFonts w:ascii="Times New Roman" w:hAnsi="Times New Roman"/>
          <w:sz w:val="24"/>
        </w:rPr>
        <w:t xml:space="preserve"> Latham CJ</w:t>
      </w:r>
      <w:r w:rsidR="00A33C8B" w:rsidRPr="008F0407">
        <w:rPr>
          <w:rFonts w:ascii="Times New Roman" w:hAnsi="Times New Roman"/>
          <w:sz w:val="24"/>
        </w:rPr>
        <w:t>,</w:t>
      </w:r>
      <w:r w:rsidRPr="008F0407">
        <w:rPr>
          <w:rFonts w:ascii="Times New Roman" w:hAnsi="Times New Roman"/>
          <w:sz w:val="24"/>
        </w:rPr>
        <w:t xml:space="preserve"> asking whether "the contracts created the relation of employer and employee". See further 548 </w:t>
      </w:r>
      <w:r w:rsidR="00A33C8B" w:rsidRPr="008F0407">
        <w:rPr>
          <w:rFonts w:ascii="Times New Roman" w:hAnsi="Times New Roman"/>
          <w:sz w:val="24"/>
        </w:rPr>
        <w:t xml:space="preserve">per </w:t>
      </w:r>
      <w:r w:rsidRPr="008F0407">
        <w:rPr>
          <w:rFonts w:ascii="Times New Roman" w:hAnsi="Times New Roman"/>
          <w:sz w:val="24"/>
        </w:rPr>
        <w:t>Rich J.</w:t>
      </w:r>
    </w:p>
  </w:footnote>
  <w:footnote w:id="101">
    <w:p w14:paraId="7EA4295B" w14:textId="3A4A8041"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 xml:space="preserve">(1949) 79 CLR 389 at 404. See also </w:t>
      </w:r>
      <w:r w:rsidRPr="008F0407">
        <w:rPr>
          <w:rFonts w:ascii="Times New Roman" w:hAnsi="Times New Roman"/>
          <w:i/>
          <w:iCs/>
          <w:sz w:val="24"/>
        </w:rPr>
        <w:t xml:space="preserve">Wright v Attorney-General for the State of Tasmania </w:t>
      </w:r>
      <w:r w:rsidRPr="008F0407">
        <w:rPr>
          <w:rFonts w:ascii="Times New Roman" w:hAnsi="Times New Roman"/>
          <w:sz w:val="24"/>
        </w:rPr>
        <w:t>(1954) 94 CLR 409 at 418.</w:t>
      </w:r>
    </w:p>
  </w:footnote>
  <w:footnote w:id="102">
    <w:p w14:paraId="79A3EFCA" w14:textId="0C40002F"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(1944) 69 CLR 227 at 233 (emphasis added)</w:t>
      </w:r>
      <w:r w:rsidR="00CE7F27" w:rsidRPr="008F0407">
        <w:rPr>
          <w:rFonts w:ascii="Times New Roman" w:hAnsi="Times New Roman"/>
          <w:sz w:val="24"/>
        </w:rPr>
        <w:t>,</w:t>
      </w:r>
      <w:r w:rsidR="00182D5E" w:rsidRPr="008F0407">
        <w:rPr>
          <w:rFonts w:ascii="Times New Roman" w:hAnsi="Times New Roman"/>
          <w:sz w:val="24"/>
        </w:rPr>
        <w:t xml:space="preserve"> quoting in part from </w:t>
      </w:r>
      <w:r w:rsidR="00F237FC" w:rsidRPr="008F0407">
        <w:rPr>
          <w:rFonts w:ascii="Times New Roman" w:hAnsi="Times New Roman"/>
          <w:sz w:val="24"/>
        </w:rPr>
        <w:t xml:space="preserve">the American Law Institute, </w:t>
      </w:r>
      <w:r w:rsidR="00F237FC" w:rsidRPr="008F0407">
        <w:rPr>
          <w:rFonts w:ascii="Times New Roman" w:hAnsi="Times New Roman"/>
          <w:i/>
          <w:iCs/>
          <w:sz w:val="24"/>
        </w:rPr>
        <w:t>Restatement of the Law, Agency</w:t>
      </w:r>
      <w:r w:rsidR="00F237FC" w:rsidRPr="008F0407">
        <w:rPr>
          <w:rFonts w:ascii="Times New Roman" w:hAnsi="Times New Roman"/>
          <w:sz w:val="24"/>
        </w:rPr>
        <w:t xml:space="preserve">, vol 1 </w:t>
      </w:r>
      <w:r w:rsidR="00931D0F" w:rsidRPr="008F0407">
        <w:rPr>
          <w:rFonts w:ascii="Times New Roman" w:hAnsi="Times New Roman"/>
          <w:sz w:val="24"/>
        </w:rPr>
        <w:t>at 483.</w:t>
      </w:r>
    </w:p>
  </w:footnote>
  <w:footnote w:id="103">
    <w:p w14:paraId="0A1E921E" w14:textId="77777777"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 xml:space="preserve">(1940) 14 ALJ 162 at 163. </w:t>
      </w:r>
    </w:p>
  </w:footnote>
  <w:footnote w:id="104">
    <w:p w14:paraId="51D84BE2" w14:textId="3B758086"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00BF169F" w:rsidRPr="008F0407">
        <w:rPr>
          <w:rFonts w:ascii="Times New Roman" w:hAnsi="Times New Roman"/>
          <w:sz w:val="24"/>
        </w:rPr>
        <w:tab/>
      </w:r>
      <w:r w:rsidRPr="008F0407">
        <w:rPr>
          <w:rFonts w:ascii="Times New Roman" w:hAnsi="Times New Roman"/>
          <w:sz w:val="24"/>
        </w:rPr>
        <w:t xml:space="preserve">See also </w:t>
      </w:r>
      <w:r w:rsidRPr="008F0407">
        <w:rPr>
          <w:rFonts w:ascii="Times New Roman" w:hAnsi="Times New Roman"/>
          <w:i/>
          <w:iCs/>
          <w:sz w:val="24"/>
        </w:rPr>
        <w:t>Zuijs v Wirth Brothers Pty Ltd</w:t>
      </w:r>
      <w:r w:rsidRPr="008F0407">
        <w:rPr>
          <w:rFonts w:ascii="Times New Roman" w:hAnsi="Times New Roman"/>
          <w:sz w:val="24"/>
        </w:rPr>
        <w:t xml:space="preserve"> (1955) 93 CLR 561 at 571, "the terms of the engagement fixed the character of the act"; </w:t>
      </w:r>
      <w:r w:rsidRPr="008F0407">
        <w:rPr>
          <w:rFonts w:ascii="Times New Roman" w:hAnsi="Times New Roman"/>
          <w:i/>
          <w:iCs/>
          <w:sz w:val="24"/>
        </w:rPr>
        <w:t>Marshall v Whittaker's Building Supply Co</w:t>
      </w:r>
      <w:r w:rsidRPr="008F0407">
        <w:rPr>
          <w:rFonts w:ascii="Times New Roman" w:hAnsi="Times New Roman"/>
          <w:sz w:val="24"/>
        </w:rPr>
        <w:t xml:space="preserve"> (1963) 109 CLR 210 at 215</w:t>
      </w:r>
      <w:r w:rsidR="00DC4461" w:rsidRPr="008F0407">
        <w:rPr>
          <w:rFonts w:ascii="Times New Roman" w:hAnsi="Times New Roman"/>
          <w:sz w:val="24"/>
        </w:rPr>
        <w:t>,</w:t>
      </w:r>
      <w:r w:rsidRPr="008F0407">
        <w:rPr>
          <w:rFonts w:ascii="Times New Roman" w:hAnsi="Times New Roman"/>
          <w:sz w:val="24"/>
        </w:rPr>
        <w:t xml:space="preserve"> the requirements of the contract "by its terms". </w:t>
      </w:r>
    </w:p>
  </w:footnote>
  <w:footnote w:id="105">
    <w:p w14:paraId="71E405C6" w14:textId="7FFE6493"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00BF169F" w:rsidRPr="008F0407">
        <w:rPr>
          <w:rFonts w:ascii="Times New Roman" w:hAnsi="Times New Roman"/>
          <w:sz w:val="24"/>
        </w:rPr>
        <w:tab/>
      </w:r>
      <w:r w:rsidRPr="008F0407">
        <w:rPr>
          <w:rFonts w:ascii="Times New Roman" w:hAnsi="Times New Roman"/>
          <w:i/>
          <w:iCs/>
          <w:sz w:val="24"/>
        </w:rPr>
        <w:t>Trans</w:t>
      </w:r>
      <w:r w:rsidR="00A13F7C" w:rsidRPr="008F0407">
        <w:rPr>
          <w:rFonts w:ascii="Times New Roman" w:hAnsi="Times New Roman"/>
          <w:i/>
          <w:iCs/>
          <w:sz w:val="24"/>
        </w:rPr>
        <w:t>A</w:t>
      </w:r>
      <w:r w:rsidRPr="008F0407">
        <w:rPr>
          <w:rFonts w:ascii="Times New Roman" w:hAnsi="Times New Roman"/>
          <w:i/>
          <w:iCs/>
          <w:sz w:val="24"/>
        </w:rPr>
        <w:t xml:space="preserve">delaide v Leddy </w:t>
      </w:r>
      <w:r w:rsidRPr="008F0407">
        <w:rPr>
          <w:rFonts w:ascii="Times New Roman" w:hAnsi="Times New Roman"/>
          <w:sz w:val="24"/>
        </w:rPr>
        <w:t>(1997) 76 IR 341 at 348</w:t>
      </w:r>
      <w:r w:rsidR="007B6847" w:rsidRPr="008F0407">
        <w:rPr>
          <w:rFonts w:ascii="Times New Roman" w:hAnsi="Times New Roman"/>
          <w:sz w:val="24"/>
        </w:rPr>
        <w:noBreakHyphen/>
      </w:r>
      <w:r w:rsidRPr="008F0407">
        <w:rPr>
          <w:rFonts w:ascii="Times New Roman" w:hAnsi="Times New Roman"/>
          <w:sz w:val="24"/>
        </w:rPr>
        <w:t>349.</w:t>
      </w:r>
      <w:r w:rsidR="00931D0F" w:rsidRPr="008F0407">
        <w:rPr>
          <w:rFonts w:ascii="Times New Roman" w:hAnsi="Times New Roman"/>
          <w:sz w:val="24"/>
        </w:rPr>
        <w:t xml:space="preserve"> Not doubted on appeal on this point: </w:t>
      </w:r>
      <w:r w:rsidR="008A501F" w:rsidRPr="008F0407">
        <w:rPr>
          <w:rFonts w:ascii="Times New Roman" w:hAnsi="Times New Roman"/>
          <w:i/>
          <w:iCs/>
          <w:sz w:val="24"/>
        </w:rPr>
        <w:t>Trans</w:t>
      </w:r>
      <w:r w:rsidR="00A13F7C" w:rsidRPr="008F0407">
        <w:rPr>
          <w:rFonts w:ascii="Times New Roman" w:hAnsi="Times New Roman"/>
          <w:i/>
          <w:iCs/>
          <w:sz w:val="24"/>
        </w:rPr>
        <w:t>A</w:t>
      </w:r>
      <w:r w:rsidR="008A501F" w:rsidRPr="008F0407">
        <w:rPr>
          <w:rFonts w:ascii="Times New Roman" w:hAnsi="Times New Roman"/>
          <w:i/>
          <w:iCs/>
          <w:sz w:val="24"/>
        </w:rPr>
        <w:t xml:space="preserve">delaide v Leddy </w:t>
      </w:r>
      <w:r w:rsidR="008A501F" w:rsidRPr="008F0407">
        <w:rPr>
          <w:rFonts w:ascii="Times New Roman" w:hAnsi="Times New Roman"/>
          <w:sz w:val="24"/>
        </w:rPr>
        <w:t>(1998) 71 SASR 413.</w:t>
      </w:r>
    </w:p>
  </w:footnote>
  <w:footnote w:id="106">
    <w:p w14:paraId="0D3DF613" w14:textId="2C6E40AB"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(195</w:t>
      </w:r>
      <w:r w:rsidR="002D600C" w:rsidRPr="008F0407">
        <w:rPr>
          <w:rFonts w:ascii="Times New Roman" w:hAnsi="Times New Roman"/>
          <w:sz w:val="24"/>
        </w:rPr>
        <w:t>5</w:t>
      </w:r>
      <w:r w:rsidRPr="008F0407">
        <w:rPr>
          <w:rFonts w:ascii="Times New Roman" w:hAnsi="Times New Roman"/>
          <w:sz w:val="24"/>
        </w:rPr>
        <w:t>) 94 CLR 419 at 422.</w:t>
      </w:r>
    </w:p>
  </w:footnote>
  <w:footnote w:id="107">
    <w:p w14:paraId="10ED59ED" w14:textId="66C19B43"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(195</w:t>
      </w:r>
      <w:r w:rsidR="002D600C" w:rsidRPr="008F0407">
        <w:rPr>
          <w:rFonts w:ascii="Times New Roman" w:hAnsi="Times New Roman"/>
          <w:sz w:val="24"/>
        </w:rPr>
        <w:t>5</w:t>
      </w:r>
      <w:r w:rsidRPr="008F0407">
        <w:rPr>
          <w:rFonts w:ascii="Times New Roman" w:hAnsi="Times New Roman"/>
          <w:sz w:val="24"/>
        </w:rPr>
        <w:t>) 94 CLR 419 at 428.</w:t>
      </w:r>
    </w:p>
  </w:footnote>
  <w:footnote w:id="108">
    <w:p w14:paraId="3862B337" w14:textId="77777777"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(1986) 160 CLR 16 at 29.</w:t>
      </w:r>
    </w:p>
  </w:footnote>
  <w:footnote w:id="109">
    <w:p w14:paraId="5C017A10" w14:textId="30A971E3"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See (1986) 160 CLR 16 at 39.</w:t>
      </w:r>
    </w:p>
  </w:footnote>
  <w:footnote w:id="110">
    <w:p w14:paraId="52E7F39B" w14:textId="77777777"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(2001) 207 CLR 21 at 33 [24].</w:t>
      </w:r>
    </w:p>
  </w:footnote>
  <w:footnote w:id="111">
    <w:p w14:paraId="65BDC9B1" w14:textId="04E5AA9A"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(1986) 160 CLR 16 at 26, 39.</w:t>
      </w:r>
    </w:p>
  </w:footnote>
  <w:footnote w:id="112">
    <w:p w14:paraId="2920E255" w14:textId="48329BD6"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 xml:space="preserve">Stewart, "Redefining Employment? Meeting the Challenge of Contract and Agency Labour" (2002) 15 </w:t>
      </w:r>
      <w:r w:rsidRPr="008F0407">
        <w:rPr>
          <w:rFonts w:ascii="Times New Roman" w:hAnsi="Times New Roman"/>
          <w:i/>
          <w:iCs/>
          <w:sz w:val="24"/>
        </w:rPr>
        <w:t xml:space="preserve">Australian Journal of Labour Law </w:t>
      </w:r>
      <w:r w:rsidRPr="008F0407">
        <w:rPr>
          <w:rFonts w:ascii="Times New Roman" w:hAnsi="Times New Roman"/>
          <w:sz w:val="24"/>
        </w:rPr>
        <w:t>235 at 250</w:t>
      </w:r>
      <w:r w:rsidR="00337274" w:rsidRPr="008F0407">
        <w:rPr>
          <w:rFonts w:ascii="Times New Roman" w:hAnsi="Times New Roman"/>
          <w:sz w:val="24"/>
        </w:rPr>
        <w:noBreakHyphen/>
      </w:r>
      <w:r w:rsidRPr="008F0407">
        <w:rPr>
          <w:rFonts w:ascii="Times New Roman" w:hAnsi="Times New Roman"/>
          <w:sz w:val="24"/>
        </w:rPr>
        <w:t>251</w:t>
      </w:r>
      <w:r w:rsidR="0082340B" w:rsidRPr="008F0407">
        <w:rPr>
          <w:rFonts w:ascii="Times New Roman" w:hAnsi="Times New Roman"/>
          <w:sz w:val="24"/>
        </w:rPr>
        <w:t>,</w:t>
      </w:r>
      <w:r w:rsidRPr="008F0407">
        <w:rPr>
          <w:rFonts w:ascii="Times New Roman" w:hAnsi="Times New Roman"/>
          <w:sz w:val="24"/>
        </w:rPr>
        <w:t xml:space="preserve"> quoting </w:t>
      </w:r>
      <w:r w:rsidRPr="008F0407">
        <w:rPr>
          <w:rFonts w:ascii="Times New Roman" w:hAnsi="Times New Roman"/>
          <w:i/>
          <w:iCs/>
          <w:sz w:val="24"/>
        </w:rPr>
        <w:t xml:space="preserve">Express &amp; Echo Publications Ltd v </w:t>
      </w:r>
      <w:r w:rsidRPr="008F0407">
        <w:rPr>
          <w:rFonts w:ascii="Times New Roman" w:hAnsi="Times New Roman"/>
          <w:i/>
          <w:iCs/>
          <w:sz w:val="24"/>
        </w:rPr>
        <w:t xml:space="preserve">Tanton </w:t>
      </w:r>
      <w:r w:rsidRPr="008F0407">
        <w:rPr>
          <w:rFonts w:ascii="Times New Roman" w:hAnsi="Times New Roman"/>
          <w:sz w:val="24"/>
        </w:rPr>
        <w:t xml:space="preserve">[1999] ICR 693 at 697. See also Bomball, </w:t>
      </w:r>
      <w:r w:rsidR="00072D4F" w:rsidRPr="008F0407">
        <w:rPr>
          <w:rFonts w:ascii="Times New Roman" w:hAnsi="Times New Roman"/>
          <w:sz w:val="24"/>
        </w:rPr>
        <w:t>"</w:t>
      </w:r>
      <w:r w:rsidRPr="008F0407">
        <w:rPr>
          <w:rFonts w:ascii="Times New Roman" w:hAnsi="Times New Roman"/>
          <w:sz w:val="24"/>
        </w:rPr>
        <w:t xml:space="preserve">Subsequent Conduct, Construction and Characterisation in Employment Contract Law" (2015) 32 </w:t>
      </w:r>
      <w:r w:rsidRPr="008F0407">
        <w:rPr>
          <w:rFonts w:ascii="Times New Roman" w:hAnsi="Times New Roman"/>
          <w:i/>
          <w:iCs/>
          <w:sz w:val="24"/>
        </w:rPr>
        <w:t xml:space="preserve">Journal of Contract Law </w:t>
      </w:r>
      <w:r w:rsidRPr="008F0407">
        <w:rPr>
          <w:rFonts w:ascii="Times New Roman" w:hAnsi="Times New Roman"/>
          <w:sz w:val="24"/>
        </w:rPr>
        <w:t>149 at 157.</w:t>
      </w:r>
    </w:p>
  </w:footnote>
  <w:footnote w:id="113">
    <w:p w14:paraId="28B3404D" w14:textId="05FB4772"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 xml:space="preserve">See, </w:t>
      </w:r>
      <w:r w:rsidRPr="008F0407">
        <w:rPr>
          <w:rFonts w:ascii="Times New Roman" w:hAnsi="Times New Roman"/>
          <w:sz w:val="24"/>
        </w:rPr>
        <w:t xml:space="preserve">eg, </w:t>
      </w:r>
      <w:r w:rsidRPr="008F0407">
        <w:rPr>
          <w:rFonts w:ascii="Times New Roman" w:hAnsi="Times New Roman"/>
          <w:i/>
          <w:iCs/>
          <w:sz w:val="24"/>
        </w:rPr>
        <w:t>Independent Contractors Act 2006</w:t>
      </w:r>
      <w:r w:rsidR="002339CA" w:rsidRPr="008F0407">
        <w:rPr>
          <w:rFonts w:ascii="Times New Roman" w:hAnsi="Times New Roman"/>
          <w:sz w:val="24"/>
        </w:rPr>
        <w:t> </w:t>
      </w:r>
      <w:r w:rsidRPr="008F0407">
        <w:rPr>
          <w:rFonts w:ascii="Times New Roman" w:hAnsi="Times New Roman"/>
          <w:sz w:val="24"/>
        </w:rPr>
        <w:t xml:space="preserve">(Cth), Pt 3; </w:t>
      </w:r>
      <w:r w:rsidRPr="008F0407">
        <w:rPr>
          <w:rFonts w:ascii="Times New Roman" w:hAnsi="Times New Roman"/>
          <w:i/>
          <w:iCs/>
          <w:sz w:val="24"/>
        </w:rPr>
        <w:t>Contracts Review Act 1980</w:t>
      </w:r>
      <w:r w:rsidR="002339CA" w:rsidRPr="008F0407">
        <w:rPr>
          <w:rFonts w:ascii="Times New Roman" w:hAnsi="Times New Roman"/>
          <w:sz w:val="24"/>
        </w:rPr>
        <w:t> </w:t>
      </w:r>
      <w:r w:rsidRPr="008F0407">
        <w:rPr>
          <w:rFonts w:ascii="Times New Roman" w:hAnsi="Times New Roman"/>
          <w:sz w:val="24"/>
        </w:rPr>
        <w:t xml:space="preserve">(NSW), Pt 2; </w:t>
      </w:r>
      <w:r w:rsidRPr="008F0407">
        <w:rPr>
          <w:rFonts w:ascii="Times New Roman" w:hAnsi="Times New Roman"/>
          <w:i/>
          <w:iCs/>
          <w:sz w:val="24"/>
        </w:rPr>
        <w:t>Industrial Relations Act 1996</w:t>
      </w:r>
      <w:r w:rsidR="002339CA" w:rsidRPr="008F0407">
        <w:rPr>
          <w:rFonts w:ascii="Times New Roman" w:hAnsi="Times New Roman"/>
          <w:sz w:val="24"/>
        </w:rPr>
        <w:t> </w:t>
      </w:r>
      <w:r w:rsidRPr="008F0407">
        <w:rPr>
          <w:rFonts w:ascii="Times New Roman" w:hAnsi="Times New Roman"/>
          <w:sz w:val="24"/>
        </w:rPr>
        <w:t xml:space="preserve">(NSW), </w:t>
      </w:r>
      <w:r w:rsidR="0064193C" w:rsidRPr="008F0407">
        <w:rPr>
          <w:rFonts w:ascii="Times New Roman" w:hAnsi="Times New Roman"/>
          <w:sz w:val="24"/>
        </w:rPr>
        <w:t>Ch </w:t>
      </w:r>
      <w:r w:rsidR="00754B4E" w:rsidRPr="008F0407">
        <w:rPr>
          <w:rFonts w:ascii="Times New Roman" w:hAnsi="Times New Roman"/>
          <w:sz w:val="24"/>
        </w:rPr>
        <w:t>2</w:t>
      </w:r>
      <w:r w:rsidR="0064193C" w:rsidRPr="008F0407">
        <w:rPr>
          <w:rFonts w:ascii="Times New Roman" w:hAnsi="Times New Roman"/>
          <w:sz w:val="24"/>
        </w:rPr>
        <w:t xml:space="preserve"> </w:t>
      </w:r>
      <w:r w:rsidRPr="008F0407">
        <w:rPr>
          <w:rFonts w:ascii="Times New Roman" w:hAnsi="Times New Roman"/>
          <w:sz w:val="24"/>
        </w:rPr>
        <w:t xml:space="preserve">Pt 9; </w:t>
      </w:r>
      <w:r w:rsidRPr="008F0407">
        <w:rPr>
          <w:rFonts w:ascii="Times New Roman" w:hAnsi="Times New Roman"/>
          <w:i/>
          <w:iCs/>
          <w:sz w:val="24"/>
        </w:rPr>
        <w:t>Industrial Relations Act 2016</w:t>
      </w:r>
      <w:r w:rsidR="002339CA" w:rsidRPr="008F0407">
        <w:rPr>
          <w:rFonts w:ascii="Times New Roman" w:hAnsi="Times New Roman"/>
          <w:sz w:val="24"/>
        </w:rPr>
        <w:t> </w:t>
      </w:r>
      <w:r w:rsidRPr="008F0407">
        <w:rPr>
          <w:rFonts w:ascii="Times New Roman" w:hAnsi="Times New Roman"/>
          <w:sz w:val="24"/>
        </w:rPr>
        <w:t>(Qld), Ch 11 Pt 2 Div 4 Subdiv 7.</w:t>
      </w:r>
    </w:p>
  </w:footnote>
  <w:footnote w:id="114">
    <w:p w14:paraId="76A4A739" w14:textId="7B0B69F4"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iCs/>
          <w:sz w:val="24"/>
        </w:rPr>
        <w:t xml:space="preserve">WorkPac Pty Ltd v Rossato </w:t>
      </w:r>
      <w:r w:rsidRPr="008F0407">
        <w:rPr>
          <w:rFonts w:ascii="Times New Roman" w:hAnsi="Times New Roman"/>
          <w:sz w:val="24"/>
        </w:rPr>
        <w:t>(2021) 95 ALJR 681 at 694 [</w:t>
      </w:r>
      <w:r w:rsidRPr="008F0407">
        <w:rPr>
          <w:rFonts w:ascii="Times New Roman" w:hAnsi="Times New Roman"/>
          <w:sz w:val="24"/>
        </w:rPr>
        <w:t>62]</w:t>
      </w:r>
      <w:r w:rsidRPr="008F0407">
        <w:rPr>
          <w:rFonts w:ascii="Times New Roman" w:hAnsi="Times New Roman"/>
          <w:sz w:val="24"/>
        </w:rPr>
        <w:noBreakHyphen/>
        <w:t>[63]; 392 ALR 39 at 53; cf </w:t>
      </w:r>
      <w:r w:rsidRPr="008F0407">
        <w:rPr>
          <w:rFonts w:ascii="Times New Roman" w:hAnsi="Times New Roman"/>
          <w:i/>
          <w:iCs/>
          <w:sz w:val="24"/>
        </w:rPr>
        <w:t xml:space="preserve">Fish v Solution 6 Holdings Ltd </w:t>
      </w:r>
      <w:r w:rsidRPr="008F0407">
        <w:rPr>
          <w:rFonts w:ascii="Times New Roman" w:hAnsi="Times New Roman"/>
          <w:sz w:val="24"/>
        </w:rPr>
        <w:t>(2006) 225 CLR 180.</w:t>
      </w:r>
    </w:p>
  </w:footnote>
  <w:footnote w:id="115">
    <w:p w14:paraId="119977A7" w14:textId="26398A09"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Autoclenz Ltd v Belcher </w:t>
      </w:r>
      <w:r w:rsidRPr="008F0407">
        <w:rPr>
          <w:rFonts w:ascii="Times New Roman" w:hAnsi="Times New Roman"/>
          <w:sz w:val="24"/>
        </w:rPr>
        <w:t>[2011] 4 All ER 745 at 752</w:t>
      </w:r>
      <w:r w:rsidRPr="008F0407">
        <w:rPr>
          <w:rFonts w:ascii="Times New Roman" w:hAnsi="Times New Roman"/>
          <w:sz w:val="24"/>
        </w:rPr>
        <w:noBreakHyphen/>
        <w:t>757 [</w:t>
      </w:r>
      <w:r w:rsidRPr="008F0407">
        <w:rPr>
          <w:rFonts w:ascii="Times New Roman" w:hAnsi="Times New Roman"/>
          <w:sz w:val="24"/>
        </w:rPr>
        <w:t>20]</w:t>
      </w:r>
      <w:r w:rsidRPr="008F0407">
        <w:rPr>
          <w:rFonts w:ascii="Times New Roman" w:hAnsi="Times New Roman"/>
          <w:sz w:val="24"/>
        </w:rPr>
        <w:noBreakHyphen/>
        <w:t>[35].</w:t>
      </w:r>
    </w:p>
  </w:footnote>
  <w:footnote w:id="116">
    <w:p w14:paraId="47DF8830" w14:textId="0DE254F6"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Stevens v </w:t>
      </w:r>
      <w:r w:rsidRPr="008F0407">
        <w:rPr>
          <w:rFonts w:ascii="Times New Roman" w:hAnsi="Times New Roman"/>
          <w:i/>
          <w:sz w:val="24"/>
        </w:rPr>
        <w:t>Brodribb Sawmilling Co Pty Ltd</w:t>
      </w:r>
      <w:r w:rsidRPr="008F0407">
        <w:rPr>
          <w:rFonts w:ascii="Times New Roman" w:hAnsi="Times New Roman"/>
          <w:sz w:val="24"/>
        </w:rPr>
        <w:t xml:space="preserve"> (1986) 160 CLR 16 at 29; </w:t>
      </w:r>
      <w:r w:rsidRPr="008F0407">
        <w:rPr>
          <w:rFonts w:ascii="Times New Roman" w:hAnsi="Times New Roman"/>
          <w:i/>
          <w:sz w:val="24"/>
        </w:rPr>
        <w:t>Hollis v Vabu Pty Ltd</w:t>
      </w:r>
      <w:r w:rsidRPr="008F0407">
        <w:rPr>
          <w:rFonts w:ascii="Times New Roman" w:hAnsi="Times New Roman"/>
          <w:sz w:val="24"/>
        </w:rPr>
        <w:t xml:space="preserve"> (2001) 207 CLR 21 at 33</w:t>
      </w:r>
      <w:r w:rsidR="002339CA" w:rsidRPr="008F0407">
        <w:rPr>
          <w:rFonts w:ascii="Times New Roman" w:hAnsi="Times New Roman"/>
          <w:sz w:val="24"/>
        </w:rPr>
        <w:t> </w:t>
      </w:r>
      <w:r w:rsidRPr="008F0407">
        <w:rPr>
          <w:rFonts w:ascii="Times New Roman" w:hAnsi="Times New Roman"/>
          <w:sz w:val="24"/>
        </w:rPr>
        <w:t>[24].</w:t>
      </w:r>
    </w:p>
  </w:footnote>
  <w:footnote w:id="117">
    <w:p w14:paraId="25B02833" w14:textId="79501121"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(2021) 95 ALJR 681; 392 ALR 39.</w:t>
      </w:r>
    </w:p>
  </w:footnote>
  <w:footnote w:id="118">
    <w:p w14:paraId="7202F4FB" w14:textId="77777777"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(2001) 207 CLR 21 at 33 [24].</w:t>
      </w:r>
    </w:p>
  </w:footnote>
  <w:footnote w:id="119">
    <w:p w14:paraId="3C39FC32" w14:textId="62577D0E"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WorkPac Pty Ltd v Rossato</w:t>
      </w:r>
      <w:r w:rsidRPr="008F0407">
        <w:rPr>
          <w:rFonts w:ascii="Times New Roman" w:hAnsi="Times New Roman"/>
          <w:sz w:val="24"/>
        </w:rPr>
        <w:t xml:space="preserve"> (2021) 95 ALJR 681 at 700 [101]; 392 ALR 39 at 61, citing </w:t>
      </w:r>
      <w:r w:rsidRPr="008F0407">
        <w:rPr>
          <w:rFonts w:ascii="Times New Roman" w:hAnsi="Times New Roman"/>
          <w:i/>
          <w:iCs/>
          <w:sz w:val="24"/>
        </w:rPr>
        <w:t>R v Foster; Ex parte The Commonwealth Life (Amalgamated) Assurances Ltd</w:t>
      </w:r>
      <w:r w:rsidRPr="008F0407">
        <w:rPr>
          <w:rFonts w:ascii="Times New Roman" w:hAnsi="Times New Roman"/>
          <w:sz w:val="24"/>
        </w:rPr>
        <w:t xml:space="preserve"> (1952) 85 CLR 138 at 151.</w:t>
      </w:r>
    </w:p>
  </w:footnote>
  <w:footnote w:id="120">
    <w:p w14:paraId="1ECC6A71" w14:textId="2C83334C"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iCs/>
          <w:sz w:val="24"/>
        </w:rPr>
        <w:t xml:space="preserve">R v Foster; Ex </w:t>
      </w:r>
      <w:r w:rsidRPr="008F0407">
        <w:rPr>
          <w:rFonts w:ascii="Times New Roman" w:hAnsi="Times New Roman"/>
          <w:i/>
          <w:iCs/>
          <w:sz w:val="24"/>
        </w:rPr>
        <w:t xml:space="preserve">parte The Commonwealth Life (Amalgamated) Assurances Ltd </w:t>
      </w:r>
      <w:r w:rsidRPr="008F0407">
        <w:rPr>
          <w:rFonts w:ascii="Times New Roman" w:hAnsi="Times New Roman"/>
          <w:sz w:val="24"/>
        </w:rPr>
        <w:t xml:space="preserve">(1952) 85 CLR 138 at 151; </w:t>
      </w:r>
      <w:r w:rsidRPr="008F0407">
        <w:rPr>
          <w:rFonts w:ascii="Times New Roman" w:hAnsi="Times New Roman"/>
          <w:i/>
          <w:iCs/>
          <w:sz w:val="24"/>
        </w:rPr>
        <w:t xml:space="preserve">Australian Mutual Provident Society v Chaplin </w:t>
      </w:r>
      <w:r w:rsidRPr="008F0407">
        <w:rPr>
          <w:rFonts w:ascii="Times New Roman" w:hAnsi="Times New Roman"/>
          <w:sz w:val="24"/>
        </w:rPr>
        <w:t>(1978) 52 ALJR 407 at 409</w:t>
      </w:r>
      <w:r w:rsidRPr="008F0407">
        <w:rPr>
          <w:rFonts w:ascii="Times New Roman" w:hAnsi="Times New Roman"/>
          <w:sz w:val="24"/>
        </w:rPr>
        <w:noBreakHyphen/>
        <w:t>410; 18 ALR 385 at 389</w:t>
      </w:r>
      <w:r w:rsidRPr="008F0407">
        <w:rPr>
          <w:rFonts w:ascii="Times New Roman" w:hAnsi="Times New Roman"/>
          <w:sz w:val="24"/>
        </w:rPr>
        <w:noBreakHyphen/>
        <w:t xml:space="preserve">390; </w:t>
      </w:r>
      <w:r w:rsidRPr="008F0407">
        <w:rPr>
          <w:rFonts w:ascii="Times New Roman" w:hAnsi="Times New Roman"/>
          <w:i/>
          <w:iCs/>
          <w:sz w:val="24"/>
        </w:rPr>
        <w:t>Narich Pty Ltd v Commissioner of Pay</w:t>
      </w:r>
      <w:r w:rsidRPr="008F0407">
        <w:rPr>
          <w:rFonts w:ascii="Times New Roman" w:hAnsi="Times New Roman"/>
          <w:i/>
          <w:iCs/>
          <w:sz w:val="24"/>
        </w:rPr>
        <w:noBreakHyphen/>
        <w:t xml:space="preserve">roll Tax </w:t>
      </w:r>
      <w:r w:rsidRPr="008F0407">
        <w:rPr>
          <w:rFonts w:ascii="Times New Roman" w:hAnsi="Times New Roman"/>
          <w:sz w:val="24"/>
        </w:rPr>
        <w:t>[1983] 2 NSWLR 597 at 600</w:t>
      </w:r>
      <w:r w:rsidRPr="008F0407">
        <w:rPr>
          <w:rFonts w:ascii="Times New Roman" w:hAnsi="Times New Roman"/>
          <w:sz w:val="24"/>
        </w:rPr>
        <w:noBreakHyphen/>
        <w:t xml:space="preserve">601; </w:t>
      </w:r>
      <w:r w:rsidRPr="008F0407">
        <w:rPr>
          <w:rFonts w:ascii="Times New Roman" w:hAnsi="Times New Roman"/>
          <w:i/>
          <w:sz w:val="24"/>
        </w:rPr>
        <w:t xml:space="preserve">WorkPac Pty Ltd v Rossato </w:t>
      </w:r>
      <w:r w:rsidRPr="008F0407">
        <w:rPr>
          <w:rFonts w:ascii="Times New Roman" w:hAnsi="Times New Roman"/>
          <w:sz w:val="24"/>
        </w:rPr>
        <w:t>(2021) 95 ALJR 681 at 699</w:t>
      </w:r>
      <w:r w:rsidRPr="008F0407">
        <w:rPr>
          <w:rFonts w:ascii="Times New Roman" w:hAnsi="Times New Roman"/>
          <w:sz w:val="24"/>
        </w:rPr>
        <w:noBreakHyphen/>
        <w:t>700 [97]; 392 ALR 39 at 60.</w:t>
      </w:r>
    </w:p>
  </w:footnote>
  <w:footnote w:id="121">
    <w:p w14:paraId="231C26ED" w14:textId="4053A56E"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(1978) 52 ALJR 407 at 409; 18 ALR 385 at 389.</w:t>
      </w:r>
    </w:p>
  </w:footnote>
  <w:footnote w:id="122">
    <w:p w14:paraId="76BD4072" w14:textId="767CA5EE"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 xml:space="preserve">Citing </w:t>
      </w:r>
      <w:r w:rsidRPr="008F0407">
        <w:rPr>
          <w:rFonts w:ascii="Times New Roman" w:hAnsi="Times New Roman"/>
          <w:i/>
          <w:sz w:val="24"/>
        </w:rPr>
        <w:t xml:space="preserve">Massey v Crown Life Insurance Co </w:t>
      </w:r>
      <w:r w:rsidRPr="008F0407">
        <w:rPr>
          <w:rFonts w:ascii="Times New Roman" w:hAnsi="Times New Roman"/>
          <w:sz w:val="24"/>
        </w:rPr>
        <w:t>[1978] 1 WLR 676</w:t>
      </w:r>
      <w:r w:rsidR="0080363A" w:rsidRPr="008F0407">
        <w:rPr>
          <w:rFonts w:ascii="Times New Roman" w:hAnsi="Times New Roman"/>
          <w:sz w:val="24"/>
        </w:rPr>
        <w:t xml:space="preserve">; </w:t>
      </w:r>
      <w:r w:rsidR="000123CB" w:rsidRPr="008F0407">
        <w:rPr>
          <w:rFonts w:ascii="Times New Roman" w:hAnsi="Times New Roman"/>
          <w:sz w:val="24"/>
        </w:rPr>
        <w:t>[1978] 2 All ER 576</w:t>
      </w:r>
      <w:r w:rsidRPr="008F0407">
        <w:rPr>
          <w:rFonts w:ascii="Times New Roman" w:hAnsi="Times New Roman"/>
          <w:sz w:val="24"/>
        </w:rPr>
        <w:t>.</w:t>
      </w:r>
    </w:p>
  </w:footnote>
  <w:footnote w:id="123">
    <w:p w14:paraId="1D9711B6" w14:textId="63FE36FD"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[2019] FCA 1806 at [150].</w:t>
      </w:r>
    </w:p>
  </w:footnote>
  <w:footnote w:id="124">
    <w:p w14:paraId="478F2F96" w14:textId="2A90736F"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(2020) 279 FCR 631 at 642 [29]. See also 681 [181].</w:t>
      </w:r>
    </w:p>
  </w:footnote>
  <w:footnote w:id="125">
    <w:p w14:paraId="29061827" w14:textId="02A935E8"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(1914) 218 F 547 (2nd Cir).</w:t>
      </w:r>
    </w:p>
  </w:footnote>
  <w:footnote w:id="126">
    <w:p w14:paraId="69D95DCB" w14:textId="12F71435"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(1914) 218 F 547 (2nd Cir) at 552</w:t>
      </w:r>
      <w:r w:rsidRPr="008F0407">
        <w:rPr>
          <w:rFonts w:ascii="Times New Roman" w:hAnsi="Times New Roman"/>
          <w:sz w:val="24"/>
        </w:rPr>
        <w:noBreakHyphen/>
        <w:t>553.</w:t>
      </w:r>
    </w:p>
  </w:footnote>
  <w:footnote w:id="127">
    <w:p w14:paraId="6E225D42" w14:textId="49C5BB43"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cl 4(a) of the ASA.</w:t>
      </w:r>
    </w:p>
  </w:footnote>
  <w:footnote w:id="128">
    <w:p w14:paraId="51C33573" w14:textId="3F0799F9"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(1955) 93 CLR 561 at 571.</w:t>
      </w:r>
    </w:p>
  </w:footnote>
  <w:footnote w:id="129">
    <w:p w14:paraId="64C2EB9D" w14:textId="019D4D39"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(1986) 160 CLR 16 at 24, 36.</w:t>
      </w:r>
    </w:p>
  </w:footnote>
  <w:footnote w:id="130">
    <w:p w14:paraId="7B6AD114" w14:textId="749B9DC0"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(1955) 93 CLR 561 at 571.</w:t>
      </w:r>
    </w:p>
  </w:footnote>
  <w:footnote w:id="131">
    <w:p w14:paraId="25EC43D8" w14:textId="5DE3F2CD"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sz w:val="24"/>
        </w:rPr>
        <w:t>cll 1(a)</w:t>
      </w:r>
      <w:r w:rsidRPr="008F0407">
        <w:rPr>
          <w:rFonts w:ascii="Times New Roman" w:hAnsi="Times New Roman"/>
          <w:sz w:val="24"/>
        </w:rPr>
        <w:noBreakHyphen/>
        <w:t>(c), 3(c) of the ASA.</w:t>
      </w:r>
    </w:p>
  </w:footnote>
  <w:footnote w:id="132">
    <w:p w14:paraId="63534719" w14:textId="29985CBF"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(2020) 279 FCR 631 at 658 [</w:t>
      </w:r>
      <w:r w:rsidRPr="008F0407">
        <w:rPr>
          <w:rFonts w:ascii="Times New Roman" w:hAnsi="Times New Roman"/>
          <w:sz w:val="24"/>
        </w:rPr>
        <w:t>87]</w:t>
      </w:r>
      <w:r w:rsidRPr="008F0407">
        <w:rPr>
          <w:rFonts w:ascii="Times New Roman" w:hAnsi="Times New Roman"/>
          <w:sz w:val="24"/>
        </w:rPr>
        <w:noBreakHyphen/>
        <w:t>[88], 679 [170].</w:t>
      </w:r>
    </w:p>
  </w:footnote>
  <w:footnote w:id="133">
    <w:p w14:paraId="77DF2DA4" w14:textId="4D87B22D"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iCs/>
          <w:sz w:val="24"/>
        </w:rPr>
        <w:t>Pioneer Mortgage Services Pty Ltd v Columbus Capital Pty Ltd</w:t>
      </w:r>
      <w:r w:rsidRPr="008F0407">
        <w:rPr>
          <w:rFonts w:ascii="Times New Roman" w:hAnsi="Times New Roman"/>
          <w:sz w:val="24"/>
        </w:rPr>
        <w:t xml:space="preserve"> (2016) 250 FCR 136 at 147</w:t>
      </w:r>
      <w:r w:rsidR="00182060" w:rsidRPr="008F0407">
        <w:rPr>
          <w:rFonts w:ascii="Times New Roman" w:hAnsi="Times New Roman"/>
          <w:sz w:val="24"/>
        </w:rPr>
        <w:noBreakHyphen/>
      </w:r>
      <w:r w:rsidRPr="008F0407">
        <w:rPr>
          <w:rFonts w:ascii="Times New Roman" w:hAnsi="Times New Roman"/>
          <w:sz w:val="24"/>
        </w:rPr>
        <w:t>149</w:t>
      </w:r>
      <w:r w:rsidR="000A249B" w:rsidRPr="008F0407">
        <w:rPr>
          <w:rFonts w:ascii="Times New Roman" w:hAnsi="Times New Roman"/>
          <w:sz w:val="24"/>
        </w:rPr>
        <w:t> </w:t>
      </w:r>
      <w:r w:rsidRPr="008F0407">
        <w:rPr>
          <w:rFonts w:ascii="Times New Roman" w:hAnsi="Times New Roman"/>
          <w:sz w:val="24"/>
        </w:rPr>
        <w:t>[</w:t>
      </w:r>
      <w:r w:rsidRPr="008F0407">
        <w:rPr>
          <w:rFonts w:ascii="Times New Roman" w:hAnsi="Times New Roman"/>
          <w:sz w:val="24"/>
        </w:rPr>
        <w:t>48]</w:t>
      </w:r>
      <w:r w:rsidR="00182060" w:rsidRPr="008F0407">
        <w:rPr>
          <w:rFonts w:ascii="Times New Roman" w:hAnsi="Times New Roman"/>
          <w:sz w:val="24"/>
        </w:rPr>
        <w:noBreakHyphen/>
      </w:r>
      <w:r w:rsidRPr="008F0407">
        <w:rPr>
          <w:rFonts w:ascii="Times New Roman" w:hAnsi="Times New Roman"/>
          <w:sz w:val="24"/>
        </w:rPr>
        <w:t>[58].</w:t>
      </w:r>
    </w:p>
  </w:footnote>
  <w:footnote w:id="134">
    <w:p w14:paraId="121A9271" w14:textId="1C466996"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iCs/>
          <w:sz w:val="24"/>
        </w:rPr>
        <w:t>Darling Island Stevedoring and Lighterage Co Ltd v Long</w:t>
      </w:r>
      <w:r w:rsidRPr="008F0407">
        <w:rPr>
          <w:rFonts w:ascii="Times New Roman" w:hAnsi="Times New Roman"/>
          <w:sz w:val="24"/>
        </w:rPr>
        <w:t xml:space="preserve"> (1957) 97 CLR 36 at 60.</w:t>
      </w:r>
    </w:p>
  </w:footnote>
  <w:footnote w:id="135">
    <w:p w14:paraId="40C28DE6" w14:textId="0E4C6870"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iCs/>
          <w:sz w:val="24"/>
        </w:rPr>
        <w:t>Darling Island Stevedoring and Lighterage Co Ltd v Long</w:t>
      </w:r>
      <w:r w:rsidRPr="008F0407">
        <w:rPr>
          <w:rFonts w:ascii="Times New Roman" w:hAnsi="Times New Roman"/>
          <w:sz w:val="24"/>
        </w:rPr>
        <w:t xml:space="preserve"> (1957) 97 CLR 36 at 57.</w:t>
      </w:r>
    </w:p>
  </w:footnote>
  <w:footnote w:id="136">
    <w:p w14:paraId="6B0274BE" w14:textId="5D107548"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 xml:space="preserve">See, </w:t>
      </w:r>
      <w:r w:rsidR="00011BA8" w:rsidRPr="008F0407">
        <w:rPr>
          <w:rFonts w:ascii="Times New Roman" w:hAnsi="Times New Roman"/>
          <w:sz w:val="24"/>
        </w:rPr>
        <w:t>eg</w:t>
      </w:r>
      <w:r w:rsidRPr="008F0407">
        <w:rPr>
          <w:rFonts w:ascii="Times New Roman" w:hAnsi="Times New Roman"/>
          <w:sz w:val="24"/>
        </w:rPr>
        <w:t xml:space="preserve">, </w:t>
      </w:r>
      <w:r w:rsidRPr="008F0407">
        <w:rPr>
          <w:rFonts w:ascii="Times New Roman" w:hAnsi="Times New Roman"/>
          <w:i/>
          <w:iCs/>
          <w:sz w:val="24"/>
        </w:rPr>
        <w:t>Colonial Mutual Life Assurance Society Ltd v Producers and Citizens Co-operative Assurance Co of Australia Ltd</w:t>
      </w:r>
      <w:r w:rsidRPr="008F0407">
        <w:rPr>
          <w:rFonts w:ascii="Times New Roman" w:hAnsi="Times New Roman"/>
          <w:sz w:val="24"/>
        </w:rPr>
        <w:t xml:space="preserve"> (1931) 46 CLR 41.</w:t>
      </w:r>
    </w:p>
  </w:footnote>
  <w:footnote w:id="137">
    <w:p w14:paraId="6519209A" w14:textId="552ACBE6"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[2019] FCA 1806 at [143].</w:t>
      </w:r>
    </w:p>
  </w:footnote>
  <w:footnote w:id="138">
    <w:p w14:paraId="078FA8A8" w14:textId="65DD1F74"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sz w:val="24"/>
        </w:rPr>
        <w:t xml:space="preserve">Construction, Forestry, Maritime, Mining and Energy Union v Personnel Contracting Pty Ltd </w:t>
      </w:r>
      <w:r w:rsidRPr="008F0407">
        <w:rPr>
          <w:rFonts w:ascii="Times New Roman" w:hAnsi="Times New Roman"/>
          <w:sz w:val="24"/>
        </w:rPr>
        <w:t>[2019] FCA 1806 at [146].</w:t>
      </w:r>
    </w:p>
  </w:footnote>
  <w:footnote w:id="139">
    <w:p w14:paraId="17B421AA" w14:textId="27774334"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(2004) 141 IR 31.</w:t>
      </w:r>
    </w:p>
  </w:footnote>
  <w:footnote w:id="140">
    <w:p w14:paraId="127A1E4C" w14:textId="77777777"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(1991) 29 FCR 104.</w:t>
      </w:r>
    </w:p>
  </w:footnote>
  <w:footnote w:id="141">
    <w:p w14:paraId="71E8F5BD" w14:textId="77777777"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[2012] TASFC 1.</w:t>
      </w:r>
    </w:p>
  </w:footnote>
  <w:footnote w:id="142">
    <w:p w14:paraId="79C2F622" w14:textId="0B42CFA3"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(2004) 141 IR 31 at 40</w:t>
      </w:r>
      <w:r w:rsidRPr="008F0407">
        <w:rPr>
          <w:rFonts w:ascii="Times New Roman" w:hAnsi="Times New Roman"/>
          <w:sz w:val="24"/>
        </w:rPr>
        <w:noBreakHyphen/>
        <w:t>41 [</w:t>
      </w:r>
      <w:r w:rsidRPr="008F0407">
        <w:rPr>
          <w:rFonts w:ascii="Times New Roman" w:hAnsi="Times New Roman"/>
          <w:sz w:val="24"/>
        </w:rPr>
        <w:t>38]</w:t>
      </w:r>
      <w:r w:rsidRPr="008F0407">
        <w:rPr>
          <w:rFonts w:ascii="Times New Roman" w:hAnsi="Times New Roman"/>
          <w:sz w:val="24"/>
        </w:rPr>
        <w:noBreakHyphen/>
        <w:t>[42], 61</w:t>
      </w:r>
      <w:r w:rsidRPr="008F0407">
        <w:rPr>
          <w:rFonts w:ascii="Times New Roman" w:hAnsi="Times New Roman"/>
          <w:sz w:val="24"/>
        </w:rPr>
        <w:noBreakHyphen/>
        <w:t>63 [139]</w:t>
      </w:r>
      <w:r w:rsidRPr="008F0407">
        <w:rPr>
          <w:rFonts w:ascii="Times New Roman" w:hAnsi="Times New Roman"/>
          <w:sz w:val="24"/>
        </w:rPr>
        <w:noBreakHyphen/>
        <w:t>[150].</w:t>
      </w:r>
    </w:p>
  </w:footnote>
  <w:footnote w:id="143">
    <w:p w14:paraId="54509434" w14:textId="58D9ECA8"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(2004) 141 IR 31 at 62 [145]. See also 40</w:t>
      </w:r>
      <w:r w:rsidRPr="008F0407">
        <w:rPr>
          <w:rFonts w:ascii="Times New Roman" w:hAnsi="Times New Roman"/>
          <w:sz w:val="24"/>
        </w:rPr>
        <w:noBreakHyphen/>
        <w:t>41 [40].</w:t>
      </w:r>
    </w:p>
  </w:footnote>
  <w:footnote w:id="144">
    <w:p w14:paraId="5311F7DD" w14:textId="317EEDB1"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iCs/>
          <w:sz w:val="24"/>
        </w:rPr>
        <w:t xml:space="preserve">Odco Pty Ltd v Building Workers' Industrial Union of Australia </w:t>
      </w:r>
      <w:r w:rsidR="00546EB2" w:rsidRPr="008F0407">
        <w:rPr>
          <w:rFonts w:ascii="Times New Roman" w:hAnsi="Times New Roman"/>
          <w:sz w:val="24"/>
        </w:rPr>
        <w:t>(unreported, Federal Court of Australia, 24</w:t>
      </w:r>
      <w:r w:rsidR="00C1231D" w:rsidRPr="008F0407">
        <w:rPr>
          <w:rFonts w:ascii="Times New Roman" w:hAnsi="Times New Roman"/>
          <w:sz w:val="24"/>
        </w:rPr>
        <w:t> </w:t>
      </w:r>
      <w:r w:rsidR="00546EB2" w:rsidRPr="008F0407">
        <w:rPr>
          <w:rFonts w:ascii="Times New Roman" w:hAnsi="Times New Roman"/>
          <w:sz w:val="24"/>
        </w:rPr>
        <w:t>August 1989)</w:t>
      </w:r>
      <w:r w:rsidRPr="008F0407">
        <w:rPr>
          <w:rFonts w:ascii="Times New Roman" w:hAnsi="Times New Roman"/>
          <w:sz w:val="24"/>
        </w:rPr>
        <w:t xml:space="preserve"> at </w:t>
      </w:r>
      <w:r w:rsidR="00C1231D" w:rsidRPr="008F0407">
        <w:rPr>
          <w:rFonts w:ascii="Times New Roman" w:hAnsi="Times New Roman"/>
          <w:sz w:val="24"/>
        </w:rPr>
        <w:t>126</w:t>
      </w:r>
      <w:r w:rsidRPr="008F0407">
        <w:rPr>
          <w:rFonts w:ascii="Times New Roman" w:hAnsi="Times New Roman"/>
          <w:sz w:val="24"/>
        </w:rPr>
        <w:t xml:space="preserve">; </w:t>
      </w:r>
      <w:r w:rsidRPr="008F0407">
        <w:rPr>
          <w:rFonts w:ascii="Times New Roman" w:hAnsi="Times New Roman"/>
          <w:i/>
          <w:iCs/>
          <w:sz w:val="24"/>
        </w:rPr>
        <w:t>Building Workers' Industrial Union of Australia v Odco Pty Ltd</w:t>
      </w:r>
      <w:r w:rsidRPr="008F0407">
        <w:rPr>
          <w:rFonts w:ascii="Times New Roman" w:hAnsi="Times New Roman"/>
          <w:sz w:val="24"/>
        </w:rPr>
        <w:t xml:space="preserve"> (1991) 29 FCR 104 at 126</w:t>
      </w:r>
      <w:r w:rsidRPr="008F0407">
        <w:rPr>
          <w:rFonts w:ascii="Times New Roman" w:hAnsi="Times New Roman"/>
          <w:sz w:val="24"/>
        </w:rPr>
        <w:noBreakHyphen/>
        <w:t>127.</w:t>
      </w:r>
    </w:p>
  </w:footnote>
  <w:footnote w:id="145">
    <w:p w14:paraId="5B6CF1A3" w14:textId="35F363BC"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 xml:space="preserve">[2005] </w:t>
      </w:r>
      <w:r w:rsidR="00234467" w:rsidRPr="008F0407">
        <w:rPr>
          <w:rFonts w:ascii="Times New Roman" w:hAnsi="Times New Roman"/>
          <w:sz w:val="24"/>
        </w:rPr>
        <w:t>IRLR 557</w:t>
      </w:r>
      <w:r w:rsidRPr="008F0407">
        <w:rPr>
          <w:rFonts w:ascii="Times New Roman" w:hAnsi="Times New Roman"/>
          <w:sz w:val="24"/>
        </w:rPr>
        <w:t>.</w:t>
      </w:r>
    </w:p>
  </w:footnote>
  <w:footnote w:id="146">
    <w:p w14:paraId="0B183849" w14:textId="5545E35C"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t xml:space="preserve">[2005] </w:t>
      </w:r>
      <w:r w:rsidR="00DE1233" w:rsidRPr="008F0407">
        <w:rPr>
          <w:rFonts w:ascii="Times New Roman" w:hAnsi="Times New Roman"/>
          <w:sz w:val="24"/>
        </w:rPr>
        <w:t>IRLR 557</w:t>
      </w:r>
      <w:r w:rsidRPr="008F0407">
        <w:rPr>
          <w:rFonts w:ascii="Times New Roman" w:hAnsi="Times New Roman"/>
          <w:sz w:val="24"/>
        </w:rPr>
        <w:t xml:space="preserve"> at </w:t>
      </w:r>
      <w:r w:rsidR="005910E3" w:rsidRPr="008F0407">
        <w:rPr>
          <w:rFonts w:ascii="Times New Roman" w:hAnsi="Times New Roman"/>
          <w:sz w:val="24"/>
        </w:rPr>
        <w:t>561 </w:t>
      </w:r>
      <w:r w:rsidRPr="008F0407">
        <w:rPr>
          <w:rFonts w:ascii="Times New Roman" w:hAnsi="Times New Roman"/>
          <w:sz w:val="24"/>
        </w:rPr>
        <w:t>[29].</w:t>
      </w:r>
    </w:p>
  </w:footnote>
  <w:footnote w:id="147">
    <w:p w14:paraId="06186912" w14:textId="493224F9" w:rsidR="006642B9" w:rsidRPr="008F0407" w:rsidRDefault="006642B9" w:rsidP="008F0407">
      <w:pPr>
        <w:pStyle w:val="FootnoteText"/>
        <w:spacing w:line="280" w:lineRule="exact"/>
        <w:ind w:right="0"/>
        <w:jc w:val="both"/>
        <w:rPr>
          <w:rFonts w:ascii="Times New Roman" w:hAnsi="Times New Roman"/>
          <w:sz w:val="24"/>
        </w:rPr>
      </w:pPr>
      <w:r w:rsidRPr="008F0407">
        <w:rPr>
          <w:rStyle w:val="FootnoteReference"/>
          <w:rFonts w:ascii="Times New Roman" w:hAnsi="Times New Roman"/>
          <w:sz w:val="22"/>
          <w:vertAlign w:val="baseline"/>
        </w:rPr>
        <w:footnoteRef/>
      </w:r>
      <w:r w:rsidRPr="008F0407">
        <w:rPr>
          <w:rFonts w:ascii="Times New Roman" w:hAnsi="Times New Roman"/>
          <w:sz w:val="24"/>
        </w:rPr>
        <w:t xml:space="preserve"> </w:t>
      </w:r>
      <w:r w:rsidRPr="008F0407">
        <w:rPr>
          <w:rFonts w:ascii="Times New Roman" w:hAnsi="Times New Roman"/>
          <w:sz w:val="24"/>
        </w:rPr>
        <w:tab/>
      </w:r>
      <w:r w:rsidRPr="008F0407">
        <w:rPr>
          <w:rFonts w:ascii="Times New Roman" w:hAnsi="Times New Roman"/>
          <w:i/>
          <w:iCs/>
          <w:sz w:val="24"/>
        </w:rPr>
        <w:t xml:space="preserve">Zuijs v Wirth Brothers Pty Ltd </w:t>
      </w:r>
      <w:r w:rsidRPr="008F0407">
        <w:rPr>
          <w:rFonts w:ascii="Times New Roman" w:hAnsi="Times New Roman"/>
          <w:sz w:val="24"/>
        </w:rPr>
        <w:t xml:space="preserve">(1955) 93 CLR 561 at 571; </w:t>
      </w:r>
      <w:r w:rsidRPr="008F0407">
        <w:rPr>
          <w:rFonts w:ascii="Times New Roman" w:hAnsi="Times New Roman"/>
          <w:i/>
          <w:iCs/>
          <w:sz w:val="24"/>
        </w:rPr>
        <w:t xml:space="preserve">Stevens v Brodribb Sawmilling Co Pty Ltd </w:t>
      </w:r>
      <w:r w:rsidRPr="008F0407">
        <w:rPr>
          <w:rFonts w:ascii="Times New Roman" w:hAnsi="Times New Roman"/>
          <w:sz w:val="24"/>
        </w:rPr>
        <w:t xml:space="preserve">(1986) 160 CLR 16 at 24, 29, 36; </w:t>
      </w:r>
      <w:r w:rsidRPr="008F0407">
        <w:rPr>
          <w:rFonts w:ascii="Times New Roman" w:hAnsi="Times New Roman"/>
          <w:i/>
          <w:iCs/>
          <w:sz w:val="24"/>
        </w:rPr>
        <w:t xml:space="preserve">Hollis v Vabu Pty Ltd </w:t>
      </w:r>
      <w:r w:rsidRPr="008F0407">
        <w:rPr>
          <w:rFonts w:ascii="Times New Roman" w:hAnsi="Times New Roman"/>
          <w:sz w:val="24"/>
        </w:rPr>
        <w:t>(2001) 207 CLR 21 at 41 [44].</w:t>
      </w:r>
    </w:p>
  </w:footnote>
  <w:footnote w:id="148">
    <w:p w14:paraId="58615248"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Section 12 (definitions of "employee" and "national system employee") and ss</w:t>
      </w:r>
      <w:r>
        <w:rPr>
          <w:rFonts w:ascii="Times New Roman" w:hAnsi="Times New Roman"/>
          <w:sz w:val="24"/>
        </w:rPr>
        <w:t> </w:t>
      </w:r>
      <w:r w:rsidRPr="009F3630">
        <w:rPr>
          <w:rFonts w:ascii="Times New Roman" w:hAnsi="Times New Roman"/>
          <w:sz w:val="24"/>
        </w:rPr>
        <w:t>13</w:t>
      </w:r>
      <w:r>
        <w:rPr>
          <w:rFonts w:ascii="Times New Roman" w:hAnsi="Times New Roman"/>
          <w:sz w:val="24"/>
        </w:rPr>
        <w:noBreakHyphen/>
      </w:r>
      <w:r w:rsidRPr="009F3630">
        <w:rPr>
          <w:rFonts w:ascii="Times New Roman" w:hAnsi="Times New Roman"/>
          <w:sz w:val="24"/>
        </w:rPr>
        <w:t xml:space="preserve">14, 15 of the </w:t>
      </w:r>
      <w:r w:rsidRPr="009F3630">
        <w:rPr>
          <w:rFonts w:ascii="Times New Roman" w:hAnsi="Times New Roman"/>
          <w:i/>
          <w:sz w:val="24"/>
        </w:rPr>
        <w:t>Fair Work Act</w:t>
      </w:r>
      <w:r w:rsidRPr="009F3630">
        <w:rPr>
          <w:rFonts w:ascii="Times New Roman" w:hAnsi="Times New Roman"/>
          <w:sz w:val="24"/>
        </w:rPr>
        <w:t xml:space="preserve">. </w:t>
      </w:r>
    </w:p>
  </w:footnote>
  <w:footnote w:id="149">
    <w:p w14:paraId="289E6F7F"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 xml:space="preserve">Section 11 of the </w:t>
      </w:r>
      <w:r w:rsidRPr="009F3630">
        <w:rPr>
          <w:rFonts w:ascii="Times New Roman" w:hAnsi="Times New Roman"/>
          <w:i/>
          <w:sz w:val="24"/>
        </w:rPr>
        <w:t>Fair Work Act</w:t>
      </w:r>
      <w:r w:rsidRPr="009F3630">
        <w:rPr>
          <w:rFonts w:ascii="Times New Roman" w:hAnsi="Times New Roman"/>
          <w:sz w:val="24"/>
        </w:rPr>
        <w:t>.</w:t>
      </w:r>
    </w:p>
  </w:footnote>
  <w:footnote w:id="150">
    <w:p w14:paraId="61281EB8"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 xml:space="preserve">Project Blue Sky Inc v Australian Broadcasting Authority </w:t>
      </w:r>
      <w:r w:rsidRPr="009F3630">
        <w:rPr>
          <w:rFonts w:ascii="Times New Roman" w:hAnsi="Times New Roman"/>
          <w:sz w:val="24"/>
        </w:rPr>
        <w:t>(1998) 194 CLR 355 at 384 [78].</w:t>
      </w:r>
    </w:p>
  </w:footnote>
  <w:footnote w:id="151">
    <w:p w14:paraId="5B2F72E7"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 xml:space="preserve">Australia, House of Representatives, </w:t>
      </w:r>
      <w:r w:rsidRPr="009F3630">
        <w:rPr>
          <w:rFonts w:ascii="Times New Roman" w:hAnsi="Times New Roman"/>
          <w:i/>
          <w:sz w:val="24"/>
        </w:rPr>
        <w:t>Fair Work Bill 2008</w:t>
      </w:r>
      <w:r w:rsidRPr="009F3630">
        <w:rPr>
          <w:rFonts w:ascii="Times New Roman" w:hAnsi="Times New Roman"/>
          <w:sz w:val="24"/>
        </w:rPr>
        <w:t>, Explanatory Memorandum</w:t>
      </w:r>
      <w:r w:rsidRPr="009F3630">
        <w:rPr>
          <w:rFonts w:ascii="Times New Roman" w:hAnsi="Times New Roman"/>
          <w:i/>
          <w:sz w:val="24"/>
        </w:rPr>
        <w:t xml:space="preserve"> </w:t>
      </w:r>
      <w:r w:rsidRPr="009F3630">
        <w:rPr>
          <w:rFonts w:ascii="Times New Roman" w:hAnsi="Times New Roman"/>
          <w:sz w:val="24"/>
        </w:rPr>
        <w:t xml:space="preserve">at 5. See </w:t>
      </w:r>
      <w:r w:rsidRPr="009F3630">
        <w:rPr>
          <w:rFonts w:ascii="Times New Roman" w:hAnsi="Times New Roman"/>
          <w:i/>
          <w:sz w:val="24"/>
        </w:rPr>
        <w:t>C v The Commonwealth</w:t>
      </w:r>
      <w:r w:rsidRPr="009F3630">
        <w:rPr>
          <w:rFonts w:ascii="Times New Roman" w:hAnsi="Times New Roman"/>
          <w:sz w:val="24"/>
        </w:rPr>
        <w:t xml:space="preserve"> (2015) 234 FCR 81 at 87 [34]-[36].</w:t>
      </w:r>
    </w:p>
  </w:footnote>
  <w:footnote w:id="152">
    <w:p w14:paraId="4657DDA3"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Sweeney v Boylan Nominees Pty Ltd</w:t>
      </w:r>
      <w:r w:rsidRPr="009F3630">
        <w:rPr>
          <w:rFonts w:ascii="Times New Roman" w:hAnsi="Times New Roman"/>
          <w:sz w:val="24"/>
        </w:rPr>
        <w:t xml:space="preserve"> (2006) 226 CLR 161 at 167 [12].</w:t>
      </w:r>
    </w:p>
  </w:footnote>
  <w:footnote w:id="153">
    <w:p w14:paraId="33DE8843"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Sweeney v Boylan Nominees Pty Ltd</w:t>
      </w:r>
      <w:r w:rsidRPr="009F3630">
        <w:rPr>
          <w:rFonts w:ascii="Times New Roman" w:hAnsi="Times New Roman"/>
          <w:sz w:val="24"/>
        </w:rPr>
        <w:t xml:space="preserve"> (2006) 226 CLR 161 at 173 [33].</w:t>
      </w:r>
    </w:p>
  </w:footnote>
  <w:footnote w:id="154">
    <w:p w14:paraId="7B1E4834"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Marshall v Whittaker's Building Supply Co</w:t>
      </w:r>
      <w:r w:rsidRPr="009F3630">
        <w:rPr>
          <w:rFonts w:ascii="Times New Roman" w:hAnsi="Times New Roman"/>
          <w:sz w:val="24"/>
        </w:rPr>
        <w:t xml:space="preserve"> (1963) 109 CLR 210 at 217.</w:t>
      </w:r>
    </w:p>
  </w:footnote>
  <w:footnote w:id="155">
    <w:p w14:paraId="53C4F93C"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sz w:val="24"/>
        </w:rPr>
        <w:t xml:space="preserve">Atiyah, </w:t>
      </w:r>
      <w:r w:rsidRPr="009F3630">
        <w:rPr>
          <w:rFonts w:ascii="Times New Roman" w:hAnsi="Times New Roman"/>
          <w:i/>
          <w:sz w:val="24"/>
        </w:rPr>
        <w:t>Vicarious Liability in the Law of Torts</w:t>
      </w:r>
      <w:r w:rsidRPr="009F3630">
        <w:rPr>
          <w:rFonts w:ascii="Times New Roman" w:hAnsi="Times New Roman"/>
          <w:sz w:val="24"/>
        </w:rPr>
        <w:t xml:space="preserve"> (1967) at 31.</w:t>
      </w:r>
    </w:p>
  </w:footnote>
  <w:footnote w:id="156">
    <w:p w14:paraId="469A66DC"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sz w:val="24"/>
        </w:rPr>
        <w:t xml:space="preserve">Gray, </w:t>
      </w:r>
      <w:r w:rsidRPr="009F3630">
        <w:rPr>
          <w:rFonts w:ascii="Times New Roman" w:hAnsi="Times New Roman"/>
          <w:i/>
          <w:sz w:val="24"/>
        </w:rPr>
        <w:t>Vicarious Liability</w:t>
      </w:r>
      <w:r w:rsidRPr="009F3630">
        <w:rPr>
          <w:rFonts w:ascii="Times New Roman" w:hAnsi="Times New Roman"/>
          <w:sz w:val="24"/>
        </w:rPr>
        <w:t xml:space="preserve"> (2018) at 197-199.</w:t>
      </w:r>
    </w:p>
  </w:footnote>
  <w:footnote w:id="157">
    <w:p w14:paraId="2C68EDA0"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 xml:space="preserve">See Carlson, "Why the Law Still Can't Tell an Employee When It Sees One </w:t>
      </w:r>
      <w:r w:rsidRPr="009F3630">
        <w:rPr>
          <w:rFonts w:ascii="Times New Roman" w:hAnsi="Times New Roman"/>
          <w:sz w:val="24"/>
        </w:rPr>
        <w:t xml:space="preserve">And How It Ought to Stop Trying" (2001) 22 </w:t>
      </w:r>
      <w:r w:rsidRPr="009F3630">
        <w:rPr>
          <w:rFonts w:ascii="Times New Roman" w:hAnsi="Times New Roman"/>
          <w:i/>
          <w:sz w:val="24"/>
        </w:rPr>
        <w:t xml:space="preserve">Berkeley Journal of Employment and </w:t>
      </w:r>
      <w:r w:rsidRPr="009F3630">
        <w:rPr>
          <w:rFonts w:ascii="Times New Roman" w:hAnsi="Times New Roman"/>
          <w:i/>
          <w:sz w:val="24"/>
        </w:rPr>
        <w:t xml:space="preserve">Labor Law </w:t>
      </w:r>
      <w:r w:rsidRPr="009F3630">
        <w:rPr>
          <w:rFonts w:ascii="Times New Roman" w:hAnsi="Times New Roman"/>
          <w:sz w:val="24"/>
        </w:rPr>
        <w:t>295 at Pts II</w:t>
      </w:r>
      <w:r w:rsidRPr="009F3630">
        <w:rPr>
          <w:rFonts w:ascii="Times New Roman" w:hAnsi="Times New Roman"/>
          <w:sz w:val="24"/>
        </w:rPr>
        <w:noBreakHyphen/>
        <w:t>IV.</w:t>
      </w:r>
    </w:p>
  </w:footnote>
  <w:footnote w:id="158">
    <w:p w14:paraId="5070D596"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 xml:space="preserve">Labor Management Relations Act 1947 </w:t>
      </w:r>
      <w:r w:rsidRPr="009F3630">
        <w:rPr>
          <w:rFonts w:ascii="Times New Roman" w:hAnsi="Times New Roman"/>
          <w:sz w:val="24"/>
        </w:rPr>
        <w:t xml:space="preserve">(US). See </w:t>
      </w:r>
      <w:r w:rsidRPr="009F3630">
        <w:rPr>
          <w:rFonts w:ascii="Times New Roman" w:hAnsi="Times New Roman"/>
          <w:i/>
          <w:sz w:val="24"/>
        </w:rPr>
        <w:t>National Labor Relations Board v United Insurance Co of America</w:t>
      </w:r>
      <w:r w:rsidRPr="009F3630">
        <w:rPr>
          <w:rFonts w:ascii="Times New Roman" w:hAnsi="Times New Roman"/>
          <w:sz w:val="24"/>
        </w:rPr>
        <w:t xml:space="preserve"> (1968) 390 US 254 at 256.</w:t>
      </w:r>
    </w:p>
  </w:footnote>
  <w:footnote w:id="159">
    <w:p w14:paraId="13BEB9C1"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Commonwealth Conciliation and Arbitration Act 1947</w:t>
      </w:r>
      <w:r w:rsidRPr="009F3630">
        <w:rPr>
          <w:rFonts w:ascii="Times New Roman" w:hAnsi="Times New Roman"/>
          <w:sz w:val="24"/>
        </w:rPr>
        <w:t xml:space="preserve"> (</w:t>
      </w:r>
      <w:r w:rsidRPr="009F3630">
        <w:rPr>
          <w:rFonts w:ascii="Times New Roman" w:hAnsi="Times New Roman"/>
          <w:sz w:val="24"/>
        </w:rPr>
        <w:t xml:space="preserve">Cth). See </w:t>
      </w:r>
      <w:r w:rsidRPr="009F3630">
        <w:rPr>
          <w:rFonts w:ascii="Times New Roman" w:hAnsi="Times New Roman"/>
          <w:i/>
          <w:sz w:val="24"/>
        </w:rPr>
        <w:t>R v Foster; Ex parte The Commonwealth Life (Amalgamated) Assurances Ltd</w:t>
      </w:r>
      <w:r w:rsidRPr="009F3630">
        <w:rPr>
          <w:rFonts w:ascii="Times New Roman" w:hAnsi="Times New Roman"/>
          <w:sz w:val="24"/>
        </w:rPr>
        <w:t xml:space="preserve"> (1952) 85 CLR 138 at 150. See now also </w:t>
      </w:r>
      <w:r w:rsidRPr="009F3630">
        <w:rPr>
          <w:rFonts w:ascii="Times New Roman" w:hAnsi="Times New Roman"/>
          <w:i/>
          <w:sz w:val="24"/>
        </w:rPr>
        <w:t xml:space="preserve">Superannuation Guarantee (Administration) Act 1992 </w:t>
      </w:r>
      <w:r w:rsidRPr="009F3630">
        <w:rPr>
          <w:rFonts w:ascii="Times New Roman" w:hAnsi="Times New Roman"/>
          <w:sz w:val="24"/>
        </w:rPr>
        <w:t xml:space="preserve">(Cth); </w:t>
      </w:r>
      <w:r w:rsidRPr="009F3630">
        <w:rPr>
          <w:rFonts w:ascii="Times New Roman" w:hAnsi="Times New Roman"/>
          <w:i/>
          <w:sz w:val="24"/>
        </w:rPr>
        <w:t xml:space="preserve">Independent Contractors Act 2006 </w:t>
      </w:r>
      <w:r w:rsidRPr="009F3630">
        <w:rPr>
          <w:rFonts w:ascii="Times New Roman" w:hAnsi="Times New Roman"/>
          <w:sz w:val="24"/>
        </w:rPr>
        <w:t>(Cth).</w:t>
      </w:r>
    </w:p>
  </w:footnote>
  <w:footnote w:id="160">
    <w:p w14:paraId="16E8E7EC"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 xml:space="preserve">Rutherford Food Corp v </w:t>
      </w:r>
      <w:r w:rsidRPr="009F3630">
        <w:rPr>
          <w:rFonts w:ascii="Times New Roman" w:hAnsi="Times New Roman"/>
          <w:i/>
          <w:sz w:val="24"/>
        </w:rPr>
        <w:t>McComb</w:t>
      </w:r>
      <w:r w:rsidRPr="009F3630">
        <w:rPr>
          <w:rFonts w:ascii="Times New Roman" w:hAnsi="Times New Roman"/>
          <w:sz w:val="24"/>
        </w:rPr>
        <w:t xml:space="preserve"> (1947) 331 US 722 at 727-728; </w:t>
      </w:r>
      <w:r w:rsidRPr="009F3630">
        <w:rPr>
          <w:rFonts w:ascii="Times New Roman" w:hAnsi="Times New Roman"/>
          <w:i/>
          <w:sz w:val="24"/>
        </w:rPr>
        <w:t xml:space="preserve">Nationwide Mutual Insurance Co v Darden </w:t>
      </w:r>
      <w:r w:rsidRPr="009F3630">
        <w:rPr>
          <w:rFonts w:ascii="Times New Roman" w:hAnsi="Times New Roman"/>
          <w:sz w:val="24"/>
        </w:rPr>
        <w:t>(1992) 503 US 318 at 326.</w:t>
      </w:r>
    </w:p>
  </w:footnote>
  <w:footnote w:id="161">
    <w:p w14:paraId="0016152A"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Uber BV v Aslam</w:t>
      </w:r>
      <w:r w:rsidRPr="009F3630">
        <w:rPr>
          <w:rFonts w:ascii="Times New Roman" w:hAnsi="Times New Roman"/>
          <w:sz w:val="24"/>
        </w:rPr>
        <w:t xml:space="preserve"> [2021] 4 All ER 209 at 226 [68], 227 [71], explaining </w:t>
      </w:r>
      <w:r w:rsidRPr="009F3630">
        <w:rPr>
          <w:rFonts w:ascii="Times New Roman" w:hAnsi="Times New Roman"/>
          <w:i/>
          <w:sz w:val="24"/>
        </w:rPr>
        <w:t>Autoclenz Ltd v Belcher</w:t>
      </w:r>
      <w:r w:rsidRPr="009F3630">
        <w:rPr>
          <w:rFonts w:ascii="Times New Roman" w:hAnsi="Times New Roman"/>
          <w:sz w:val="24"/>
        </w:rPr>
        <w:t xml:space="preserve"> [2011] 4 All ER 745.</w:t>
      </w:r>
    </w:p>
  </w:footnote>
  <w:footnote w:id="162">
    <w:p w14:paraId="6A36AA39"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Attorney-General for NSW v Perpetual Trustee Co Ltd</w:t>
      </w:r>
      <w:r w:rsidRPr="009F3630">
        <w:rPr>
          <w:rFonts w:ascii="Times New Roman" w:hAnsi="Times New Roman"/>
          <w:sz w:val="24"/>
        </w:rPr>
        <w:t xml:space="preserve"> (1952) 85 CLR 237 at 250.</w:t>
      </w:r>
    </w:p>
  </w:footnote>
  <w:footnote w:id="163">
    <w:p w14:paraId="4E2D2EDD"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Amalgamated Society of Carpenters and Joiners v Haberfield Pty Ltd</w:t>
      </w:r>
      <w:r w:rsidRPr="009F3630">
        <w:rPr>
          <w:rFonts w:ascii="Times New Roman" w:hAnsi="Times New Roman"/>
          <w:sz w:val="24"/>
        </w:rPr>
        <w:t xml:space="preserve"> (1907) 5 CLR 33 at 39.</w:t>
      </w:r>
    </w:p>
  </w:footnote>
  <w:footnote w:id="164">
    <w:p w14:paraId="366BB9D0"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sz w:val="24"/>
        </w:rPr>
        <w:t xml:space="preserve">cf Gardner, "The Contractualisation of Labour Law", in Collins, Lester and Mantouvalou (eds), </w:t>
      </w:r>
      <w:r w:rsidRPr="009F3630">
        <w:rPr>
          <w:rFonts w:ascii="Times New Roman" w:hAnsi="Times New Roman"/>
          <w:i/>
          <w:sz w:val="24"/>
        </w:rPr>
        <w:t xml:space="preserve">Philosophical Foundations of Labour Law </w:t>
      </w:r>
      <w:r w:rsidRPr="009F3630">
        <w:rPr>
          <w:rFonts w:ascii="Times New Roman" w:hAnsi="Times New Roman"/>
          <w:sz w:val="24"/>
        </w:rPr>
        <w:t xml:space="preserve">(2018) 33 at 42, referring to </w:t>
      </w:r>
      <w:r w:rsidRPr="009F3630">
        <w:rPr>
          <w:rFonts w:ascii="Times New Roman" w:hAnsi="Times New Roman"/>
          <w:i/>
          <w:sz w:val="24"/>
        </w:rPr>
        <w:t>Emmens v Elderton</w:t>
      </w:r>
      <w:r w:rsidRPr="009F3630">
        <w:rPr>
          <w:rFonts w:ascii="Times New Roman" w:hAnsi="Times New Roman"/>
          <w:sz w:val="24"/>
        </w:rPr>
        <w:t xml:space="preserve"> (1853) 13 CB 495 at 506.</w:t>
      </w:r>
    </w:p>
  </w:footnote>
  <w:footnote w:id="165">
    <w:p w14:paraId="5DC43F1F"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(1979) 26 ALR 18.</w:t>
      </w:r>
    </w:p>
  </w:footnote>
  <w:footnote w:id="166">
    <w:p w14:paraId="4CB66AF1"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(1979) 26 ALR 18 at 40.</w:t>
      </w:r>
    </w:p>
  </w:footnote>
  <w:footnote w:id="167">
    <w:p w14:paraId="0D3181DC"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(1979) 26 ALR 18 at 36.</w:t>
      </w:r>
    </w:p>
  </w:footnote>
  <w:footnote w:id="168">
    <w:p w14:paraId="3F4F9463"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 xml:space="preserve">Dietrich v Dare </w:t>
      </w:r>
      <w:r w:rsidRPr="009F3630">
        <w:rPr>
          <w:rFonts w:ascii="Times New Roman" w:hAnsi="Times New Roman"/>
          <w:sz w:val="24"/>
        </w:rPr>
        <w:t>(1980) 54 ALJR 388 at 391, 392; 30 ALR 407 at 412, 414.</w:t>
      </w:r>
    </w:p>
  </w:footnote>
  <w:footnote w:id="169">
    <w:p w14:paraId="6AFC6E08"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 xml:space="preserve">Dietrich v Dare </w:t>
      </w:r>
      <w:r w:rsidRPr="009F3630">
        <w:rPr>
          <w:rFonts w:ascii="Times New Roman" w:hAnsi="Times New Roman"/>
          <w:sz w:val="24"/>
        </w:rPr>
        <w:t>(1980) 54 ALJR 388 at 390; 30 ALR 407 at 411.</w:t>
      </w:r>
    </w:p>
  </w:footnote>
  <w:footnote w:id="170">
    <w:p w14:paraId="71162177"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 xml:space="preserve">Freedland, </w:t>
      </w:r>
      <w:r w:rsidRPr="009F3630">
        <w:rPr>
          <w:rFonts w:ascii="Times New Roman" w:hAnsi="Times New Roman"/>
          <w:i/>
          <w:sz w:val="24"/>
        </w:rPr>
        <w:t>The Contract of Employment</w:t>
      </w:r>
      <w:r w:rsidRPr="009F3630">
        <w:rPr>
          <w:rFonts w:ascii="Times New Roman" w:hAnsi="Times New Roman"/>
          <w:sz w:val="24"/>
        </w:rPr>
        <w:t xml:space="preserve"> (1976) at 20, quoted in </w:t>
      </w:r>
      <w:r w:rsidRPr="009F3630">
        <w:rPr>
          <w:rFonts w:ascii="Times New Roman" w:hAnsi="Times New Roman"/>
          <w:i/>
          <w:sz w:val="24"/>
        </w:rPr>
        <w:t>Commonwealth Bank of Australia v Barker</w:t>
      </w:r>
      <w:r w:rsidRPr="009F3630">
        <w:rPr>
          <w:rFonts w:ascii="Times New Roman" w:hAnsi="Times New Roman"/>
          <w:sz w:val="24"/>
        </w:rPr>
        <w:t xml:space="preserve"> (2013) 214 FCR 450 at 513 [291].</w:t>
      </w:r>
    </w:p>
  </w:footnote>
  <w:footnote w:id="171">
    <w:p w14:paraId="790EB61B"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(2021) 95 ALJR 681; 392 ALR 39.</w:t>
      </w:r>
    </w:p>
  </w:footnote>
  <w:footnote w:id="172">
    <w:p w14:paraId="446D2EF5"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(2021) 95 ALJR 681 at 687 [13], 696-697 [76]-[80]; 392 ALR 39 at 43, 55-56.</w:t>
      </w:r>
    </w:p>
  </w:footnote>
  <w:footnote w:id="173">
    <w:p w14:paraId="2BAF3E4D"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Byrne v Australian Airlines Ltd</w:t>
      </w:r>
      <w:r w:rsidRPr="009F3630">
        <w:rPr>
          <w:rFonts w:ascii="Times New Roman" w:hAnsi="Times New Roman"/>
          <w:sz w:val="24"/>
        </w:rPr>
        <w:t xml:space="preserve"> (1995) 185 CLR 410 at 427.</w:t>
      </w:r>
    </w:p>
  </w:footnote>
  <w:footnote w:id="174">
    <w:p w14:paraId="7CF5ECE1"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Mynott v Barnard</w:t>
      </w:r>
      <w:r w:rsidRPr="009F3630">
        <w:rPr>
          <w:rFonts w:ascii="Times New Roman" w:hAnsi="Times New Roman"/>
          <w:sz w:val="24"/>
        </w:rPr>
        <w:t xml:space="preserve"> (1939) 62 CLR 68 at 91 (cleaned up).</w:t>
      </w:r>
    </w:p>
  </w:footnote>
  <w:footnote w:id="175">
    <w:p w14:paraId="018D7CF0"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Mynott v Barnard</w:t>
      </w:r>
      <w:r w:rsidRPr="009F3630">
        <w:rPr>
          <w:rFonts w:ascii="Times New Roman" w:hAnsi="Times New Roman"/>
          <w:sz w:val="24"/>
        </w:rPr>
        <w:t xml:space="preserve"> (1939) 62 CLR 68 at 91 (cleaned up).</w:t>
      </w:r>
    </w:p>
  </w:footnote>
  <w:footnote w:id="176">
    <w:p w14:paraId="2BFEA6C8"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Byrne v Australian Airlines Ltd</w:t>
      </w:r>
      <w:r w:rsidRPr="009F3630">
        <w:rPr>
          <w:rFonts w:ascii="Times New Roman" w:hAnsi="Times New Roman"/>
          <w:sz w:val="24"/>
        </w:rPr>
        <w:t xml:space="preserve"> (1995) 185 CLR 410 at 428.</w:t>
      </w:r>
    </w:p>
  </w:footnote>
  <w:footnote w:id="177">
    <w:p w14:paraId="635104D9"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Byrne v Australian Airlines Ltd</w:t>
      </w:r>
      <w:r w:rsidRPr="009F3630">
        <w:rPr>
          <w:rFonts w:ascii="Times New Roman" w:hAnsi="Times New Roman"/>
          <w:sz w:val="24"/>
        </w:rPr>
        <w:t xml:space="preserve"> (1995) 185 CLR 410 at 427, applying </w:t>
      </w:r>
      <w:r w:rsidRPr="009F3630">
        <w:rPr>
          <w:rFonts w:ascii="Times New Roman" w:hAnsi="Times New Roman"/>
          <w:i/>
          <w:sz w:val="24"/>
        </w:rPr>
        <w:t>Automatic Fire Sprinklers Pty Ltd v Watson</w:t>
      </w:r>
      <w:r w:rsidRPr="009F3630">
        <w:rPr>
          <w:rFonts w:ascii="Times New Roman" w:hAnsi="Times New Roman"/>
          <w:sz w:val="24"/>
        </w:rPr>
        <w:t xml:space="preserve"> (1946) 72 CLR 435 at 469. See also </w:t>
      </w:r>
      <w:r w:rsidRPr="009F3630">
        <w:rPr>
          <w:rFonts w:ascii="Times New Roman" w:hAnsi="Times New Roman"/>
          <w:i/>
          <w:sz w:val="24"/>
        </w:rPr>
        <w:t>Visscher v Giudice</w:t>
      </w:r>
      <w:r w:rsidRPr="009F3630">
        <w:rPr>
          <w:rFonts w:ascii="Times New Roman" w:hAnsi="Times New Roman"/>
          <w:sz w:val="24"/>
        </w:rPr>
        <w:t xml:space="preserve"> (2009) 239 CLR 361 at 379-380 [53]-[55].</w:t>
      </w:r>
    </w:p>
  </w:footnote>
  <w:footnote w:id="178">
    <w:p w14:paraId="3633D508"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Automatic Fire Sprinklers Pty Ltd v Watson</w:t>
      </w:r>
      <w:r w:rsidRPr="009F3630">
        <w:rPr>
          <w:rFonts w:ascii="Times New Roman" w:hAnsi="Times New Roman"/>
          <w:sz w:val="24"/>
        </w:rPr>
        <w:t xml:space="preserve"> (1946) 72 CLR 435 at 454, 465-466, 469.</w:t>
      </w:r>
    </w:p>
  </w:footnote>
  <w:footnote w:id="179">
    <w:p w14:paraId="7D806E1E"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Visscher v Giudice</w:t>
      </w:r>
      <w:r w:rsidRPr="009F3630">
        <w:rPr>
          <w:rFonts w:ascii="Times New Roman" w:hAnsi="Times New Roman"/>
          <w:sz w:val="24"/>
        </w:rPr>
        <w:t xml:space="preserve"> (2009) 239 CLR 361 at 382 [59].</w:t>
      </w:r>
    </w:p>
  </w:footnote>
  <w:footnote w:id="180">
    <w:p w14:paraId="430D6969"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Laugher v Pointer</w:t>
      </w:r>
      <w:r w:rsidRPr="009F3630">
        <w:rPr>
          <w:rFonts w:ascii="Times New Roman" w:hAnsi="Times New Roman"/>
          <w:sz w:val="24"/>
        </w:rPr>
        <w:t xml:space="preserve"> (1826) 5 B &amp; C 547 [108 ER 204]; </w:t>
      </w:r>
      <w:r w:rsidRPr="009F3630">
        <w:rPr>
          <w:rFonts w:ascii="Times New Roman" w:hAnsi="Times New Roman"/>
          <w:i/>
          <w:sz w:val="24"/>
        </w:rPr>
        <w:t>Quarman v Burnett</w:t>
      </w:r>
      <w:r w:rsidRPr="009F3630">
        <w:rPr>
          <w:rFonts w:ascii="Times New Roman" w:hAnsi="Times New Roman"/>
          <w:sz w:val="24"/>
        </w:rPr>
        <w:t xml:space="preserve"> (1840) 6 M &amp; W 499 [151 ER 509]; </w:t>
      </w:r>
      <w:r w:rsidRPr="009F3630">
        <w:rPr>
          <w:rFonts w:ascii="Times New Roman" w:hAnsi="Times New Roman"/>
          <w:i/>
          <w:sz w:val="24"/>
        </w:rPr>
        <w:t>Federal Commissioner of Taxation v J Walter Thompson (Aust) Pty Ltd</w:t>
      </w:r>
      <w:r w:rsidRPr="009F3630">
        <w:rPr>
          <w:rFonts w:ascii="Times New Roman" w:hAnsi="Times New Roman"/>
          <w:sz w:val="24"/>
        </w:rPr>
        <w:t xml:space="preserve"> (1944) 69 CLR 227 at 232-233; </w:t>
      </w:r>
      <w:r w:rsidRPr="009F3630">
        <w:rPr>
          <w:rFonts w:ascii="Times New Roman" w:hAnsi="Times New Roman"/>
          <w:i/>
          <w:sz w:val="24"/>
        </w:rPr>
        <w:t>Queensland Stations Pty Ltd v Federal Commissioner of Taxation</w:t>
      </w:r>
      <w:r w:rsidRPr="009F3630">
        <w:rPr>
          <w:rFonts w:ascii="Times New Roman" w:hAnsi="Times New Roman"/>
          <w:sz w:val="24"/>
        </w:rPr>
        <w:t xml:space="preserve"> (1945) 70 CLR 539 at 545, 548-549, 550-552; </w:t>
      </w:r>
      <w:r w:rsidRPr="009F3630">
        <w:rPr>
          <w:rFonts w:ascii="Times New Roman" w:hAnsi="Times New Roman"/>
          <w:i/>
          <w:sz w:val="24"/>
        </w:rPr>
        <w:t>Humberstone v Northern Timber Mills</w:t>
      </w:r>
      <w:r w:rsidRPr="009F3630">
        <w:rPr>
          <w:rFonts w:ascii="Times New Roman" w:hAnsi="Times New Roman"/>
          <w:sz w:val="24"/>
        </w:rPr>
        <w:t xml:space="preserve"> (1949) 79 CLR 389 at 396; </w:t>
      </w:r>
      <w:r w:rsidRPr="009F3630">
        <w:rPr>
          <w:rFonts w:ascii="Times New Roman" w:hAnsi="Times New Roman"/>
          <w:i/>
          <w:sz w:val="24"/>
        </w:rPr>
        <w:t>Zuijs v Wirth Brothers Pty Ltd</w:t>
      </w:r>
      <w:r w:rsidRPr="009F3630">
        <w:rPr>
          <w:rFonts w:ascii="Times New Roman" w:hAnsi="Times New Roman"/>
          <w:sz w:val="24"/>
        </w:rPr>
        <w:t xml:space="preserve"> (1955) 93 CLR 561 at 571-573; </w:t>
      </w:r>
      <w:r w:rsidRPr="009F3630">
        <w:rPr>
          <w:rFonts w:ascii="Times New Roman" w:hAnsi="Times New Roman"/>
          <w:i/>
          <w:sz w:val="24"/>
        </w:rPr>
        <w:t>Neale v Atlas Products</w:t>
      </w:r>
      <w:r w:rsidRPr="009F3630">
        <w:rPr>
          <w:rFonts w:ascii="Times New Roman" w:hAnsi="Times New Roman"/>
          <w:sz w:val="24"/>
        </w:rPr>
        <w:t xml:space="preserve"> </w:t>
      </w:r>
      <w:r w:rsidRPr="009F3630">
        <w:rPr>
          <w:rFonts w:ascii="Times New Roman" w:hAnsi="Times New Roman"/>
          <w:i/>
          <w:sz w:val="24"/>
        </w:rPr>
        <w:t>(Vic)</w:t>
      </w:r>
      <w:r w:rsidRPr="009F3630">
        <w:rPr>
          <w:rFonts w:ascii="Times New Roman" w:hAnsi="Times New Roman"/>
          <w:sz w:val="24"/>
        </w:rPr>
        <w:t xml:space="preserve"> </w:t>
      </w:r>
      <w:r w:rsidRPr="009F3630">
        <w:rPr>
          <w:rFonts w:ascii="Times New Roman" w:hAnsi="Times New Roman"/>
          <w:i/>
          <w:sz w:val="24"/>
        </w:rPr>
        <w:t>Pty Ltd</w:t>
      </w:r>
      <w:r w:rsidRPr="009F3630">
        <w:rPr>
          <w:rFonts w:ascii="Times New Roman" w:hAnsi="Times New Roman"/>
          <w:sz w:val="24"/>
        </w:rPr>
        <w:t xml:space="preserve"> (1955) 94 CLR 419 at 426, 428; </w:t>
      </w:r>
      <w:r w:rsidRPr="009F3630">
        <w:rPr>
          <w:rFonts w:ascii="Times New Roman" w:hAnsi="Times New Roman"/>
          <w:i/>
          <w:sz w:val="24"/>
        </w:rPr>
        <w:t>Federal Commissioner of Taxation v Barrett</w:t>
      </w:r>
      <w:r w:rsidRPr="009F3630">
        <w:rPr>
          <w:rFonts w:ascii="Times New Roman" w:hAnsi="Times New Roman"/>
          <w:sz w:val="24"/>
        </w:rPr>
        <w:t xml:space="preserve"> (1973) 129 CLR 395 at 400-401; </w:t>
      </w:r>
      <w:r w:rsidRPr="009F3630">
        <w:rPr>
          <w:rFonts w:ascii="Times New Roman" w:hAnsi="Times New Roman"/>
          <w:i/>
          <w:sz w:val="24"/>
        </w:rPr>
        <w:t>Stevens v Brodribb Sawmilling Co Pty Ltd</w:t>
      </w:r>
      <w:r w:rsidRPr="009F3630">
        <w:rPr>
          <w:rFonts w:ascii="Times New Roman" w:hAnsi="Times New Roman"/>
          <w:sz w:val="24"/>
        </w:rPr>
        <w:t xml:space="preserve"> (1986) 160 CLR 16 at 24, 27-29.</w:t>
      </w:r>
    </w:p>
  </w:footnote>
  <w:footnote w:id="181">
    <w:p w14:paraId="7491CC5D"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Milligan v Wedge</w:t>
      </w:r>
      <w:r w:rsidRPr="009F3630">
        <w:rPr>
          <w:rFonts w:ascii="Times New Roman" w:hAnsi="Times New Roman"/>
          <w:sz w:val="24"/>
        </w:rPr>
        <w:t xml:space="preserve"> (1840) 12 Ad &amp; E 737 [113 ER 993]; </w:t>
      </w:r>
      <w:r w:rsidRPr="009F3630">
        <w:rPr>
          <w:rFonts w:ascii="Times New Roman" w:hAnsi="Times New Roman"/>
          <w:i/>
          <w:sz w:val="24"/>
        </w:rPr>
        <w:t>Allen v Hayward</w:t>
      </w:r>
      <w:r w:rsidRPr="009F3630">
        <w:rPr>
          <w:rFonts w:ascii="Times New Roman" w:hAnsi="Times New Roman"/>
          <w:sz w:val="24"/>
        </w:rPr>
        <w:t xml:space="preserve"> (1845) 7 QB 960 at 975 [115 ER 749 at 755]; </w:t>
      </w:r>
      <w:r w:rsidRPr="009F3630">
        <w:rPr>
          <w:rFonts w:ascii="Times New Roman" w:hAnsi="Times New Roman"/>
          <w:i/>
          <w:sz w:val="24"/>
        </w:rPr>
        <w:t>Montreal v Montreal Locomotive Works Ltd</w:t>
      </w:r>
      <w:r w:rsidRPr="009F3630">
        <w:rPr>
          <w:rFonts w:ascii="Times New Roman" w:hAnsi="Times New Roman"/>
          <w:sz w:val="24"/>
        </w:rPr>
        <w:t xml:space="preserve"> [1947] 1 DLR 161 at 169; </w:t>
      </w:r>
      <w:r w:rsidRPr="009F3630">
        <w:rPr>
          <w:rFonts w:ascii="Times New Roman" w:hAnsi="Times New Roman"/>
          <w:i/>
          <w:sz w:val="24"/>
        </w:rPr>
        <w:t>Marshall v Whittaker's Building Supply Co</w:t>
      </w:r>
      <w:r w:rsidRPr="009F3630">
        <w:rPr>
          <w:rFonts w:ascii="Times New Roman" w:hAnsi="Times New Roman"/>
          <w:sz w:val="24"/>
        </w:rPr>
        <w:t xml:space="preserve"> (1963) 109 CLR 210 at 217; </w:t>
      </w:r>
      <w:r w:rsidRPr="009F3630">
        <w:rPr>
          <w:rFonts w:ascii="Times New Roman" w:hAnsi="Times New Roman"/>
          <w:i/>
          <w:sz w:val="24"/>
        </w:rPr>
        <w:t xml:space="preserve">Hollis v </w:t>
      </w:r>
      <w:r w:rsidRPr="009F3630">
        <w:rPr>
          <w:rFonts w:ascii="Times New Roman" w:hAnsi="Times New Roman"/>
          <w:i/>
          <w:sz w:val="24"/>
        </w:rPr>
        <w:t>Vabu Pty Ltd</w:t>
      </w:r>
      <w:r w:rsidRPr="009F3630">
        <w:rPr>
          <w:rFonts w:ascii="Times New Roman" w:hAnsi="Times New Roman"/>
          <w:sz w:val="24"/>
        </w:rPr>
        <w:t xml:space="preserve"> (2001) 207 CLR 21 at 39 [40]; </w:t>
      </w:r>
      <w:r w:rsidRPr="009F3630">
        <w:rPr>
          <w:rFonts w:ascii="Times New Roman" w:hAnsi="Times New Roman"/>
          <w:i/>
          <w:sz w:val="24"/>
        </w:rPr>
        <w:t>Tattsbet Ltd v Morrow</w:t>
      </w:r>
      <w:r w:rsidRPr="009F3630">
        <w:rPr>
          <w:rFonts w:ascii="Times New Roman" w:hAnsi="Times New Roman"/>
          <w:sz w:val="24"/>
        </w:rPr>
        <w:t xml:space="preserve"> (2015) 233 FCR 46 at 61-62 [61]-[62].</w:t>
      </w:r>
    </w:p>
  </w:footnote>
  <w:footnote w:id="182">
    <w:p w14:paraId="185A0938"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 xml:space="preserve">Stevens v </w:t>
      </w:r>
      <w:r w:rsidRPr="009F3630">
        <w:rPr>
          <w:rFonts w:ascii="Times New Roman" w:hAnsi="Times New Roman"/>
          <w:i/>
          <w:sz w:val="24"/>
        </w:rPr>
        <w:t>Brodribb Sawmilling Co Pty Ltd</w:t>
      </w:r>
      <w:r w:rsidRPr="009F3630">
        <w:rPr>
          <w:rFonts w:ascii="Times New Roman" w:hAnsi="Times New Roman"/>
          <w:sz w:val="24"/>
        </w:rPr>
        <w:t xml:space="preserve"> (1986) 160 CLR 16 at 24.</w:t>
      </w:r>
    </w:p>
  </w:footnote>
  <w:footnote w:id="183">
    <w:p w14:paraId="51205F84"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Stevenson Jordan and Harrison Ltd v Macdonald and Evans</w:t>
      </w:r>
      <w:r w:rsidRPr="009F3630">
        <w:rPr>
          <w:rFonts w:ascii="Times New Roman" w:hAnsi="Times New Roman"/>
          <w:sz w:val="24"/>
        </w:rPr>
        <w:t xml:space="preserve"> [1952] 1 TLR 101 at 111; </w:t>
      </w:r>
      <w:r w:rsidRPr="009F3630">
        <w:rPr>
          <w:rFonts w:ascii="Times New Roman" w:hAnsi="Times New Roman"/>
          <w:i/>
          <w:sz w:val="24"/>
        </w:rPr>
        <w:t xml:space="preserve">Bank </w:t>
      </w:r>
      <w:r w:rsidRPr="009F3630">
        <w:rPr>
          <w:rFonts w:ascii="Times New Roman" w:hAnsi="Times New Roman"/>
          <w:i/>
          <w:sz w:val="24"/>
        </w:rPr>
        <w:t>voor Handel en Scheepvaart NV v Slatford</w:t>
      </w:r>
      <w:r w:rsidRPr="009F3630">
        <w:rPr>
          <w:rFonts w:ascii="Times New Roman" w:hAnsi="Times New Roman"/>
          <w:sz w:val="24"/>
        </w:rPr>
        <w:t xml:space="preserve"> [1953] 1 QB 248 at 295; </w:t>
      </w:r>
      <w:r w:rsidRPr="009F3630">
        <w:rPr>
          <w:rFonts w:ascii="Times New Roman" w:hAnsi="Times New Roman"/>
          <w:i/>
          <w:sz w:val="24"/>
        </w:rPr>
        <w:t>Federal Commissioner of Taxation v Barrett</w:t>
      </w:r>
      <w:r w:rsidRPr="009F3630">
        <w:rPr>
          <w:rFonts w:ascii="Times New Roman" w:hAnsi="Times New Roman"/>
          <w:sz w:val="24"/>
        </w:rPr>
        <w:t xml:space="preserve"> (1973) 129 CLR 395 at 402; </w:t>
      </w:r>
      <w:r w:rsidRPr="009F3630">
        <w:rPr>
          <w:rFonts w:ascii="Times New Roman" w:hAnsi="Times New Roman"/>
          <w:i/>
          <w:sz w:val="24"/>
        </w:rPr>
        <w:t>Stevens v Brodribb Sawmilling Co Pty Ltd</w:t>
      </w:r>
      <w:r w:rsidRPr="009F3630">
        <w:rPr>
          <w:rFonts w:ascii="Times New Roman" w:hAnsi="Times New Roman"/>
          <w:sz w:val="24"/>
        </w:rPr>
        <w:t xml:space="preserve"> (1986) 160 CLR 16 at 26-27, 35-36.</w:t>
      </w:r>
    </w:p>
  </w:footnote>
  <w:footnote w:id="184">
    <w:p w14:paraId="61FD314E"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 xml:space="preserve">Stevens v </w:t>
      </w:r>
      <w:r w:rsidRPr="009F3630">
        <w:rPr>
          <w:rFonts w:ascii="Times New Roman" w:hAnsi="Times New Roman"/>
          <w:i/>
          <w:sz w:val="24"/>
        </w:rPr>
        <w:t>Brodribb Sawmilling Co Pty Ltd</w:t>
      </w:r>
      <w:r w:rsidRPr="009F3630">
        <w:rPr>
          <w:rFonts w:ascii="Times New Roman" w:hAnsi="Times New Roman"/>
          <w:sz w:val="24"/>
        </w:rPr>
        <w:t xml:space="preserve"> (1986) 160 CLR 16 at 35.</w:t>
      </w:r>
    </w:p>
  </w:footnote>
  <w:footnote w:id="185">
    <w:p w14:paraId="49595BD2"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Restatement of the Law of Agency</w:t>
      </w:r>
      <w:r w:rsidRPr="009F3630">
        <w:rPr>
          <w:rFonts w:ascii="Times New Roman" w:hAnsi="Times New Roman"/>
          <w:sz w:val="24"/>
        </w:rPr>
        <w:t xml:space="preserve"> §220.</w:t>
      </w:r>
    </w:p>
  </w:footnote>
  <w:footnote w:id="186">
    <w:p w14:paraId="04246301"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Restatement (Second) of the Law of Agency</w:t>
      </w:r>
      <w:r w:rsidRPr="009F3630">
        <w:rPr>
          <w:rFonts w:ascii="Times New Roman" w:hAnsi="Times New Roman"/>
          <w:sz w:val="24"/>
        </w:rPr>
        <w:t xml:space="preserve"> §220; </w:t>
      </w:r>
      <w:r w:rsidRPr="009F3630">
        <w:rPr>
          <w:rFonts w:ascii="Times New Roman" w:hAnsi="Times New Roman"/>
          <w:i/>
          <w:sz w:val="24"/>
        </w:rPr>
        <w:t>Restatement (Third) of the Law of Agency</w:t>
      </w:r>
      <w:r w:rsidRPr="009F3630">
        <w:rPr>
          <w:rFonts w:ascii="Times New Roman" w:hAnsi="Times New Roman"/>
          <w:sz w:val="24"/>
        </w:rPr>
        <w:t xml:space="preserve"> §7.07, Comment f.</w:t>
      </w:r>
    </w:p>
  </w:footnote>
  <w:footnote w:id="187">
    <w:p w14:paraId="02F6DD6E"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(1944) 69 CLR 227.</w:t>
      </w:r>
    </w:p>
  </w:footnote>
  <w:footnote w:id="188">
    <w:p w14:paraId="5399840D"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 xml:space="preserve">(1944) 69 CLR 227 at 233. See also </w:t>
      </w:r>
      <w:r w:rsidRPr="009F3630">
        <w:rPr>
          <w:rFonts w:ascii="Times New Roman" w:hAnsi="Times New Roman"/>
          <w:i/>
          <w:sz w:val="24"/>
        </w:rPr>
        <w:t>Attorney-General for NSW v Perpetual Trustee Co Ltd</w:t>
      </w:r>
      <w:r w:rsidRPr="009F3630">
        <w:rPr>
          <w:rFonts w:ascii="Times New Roman" w:hAnsi="Times New Roman"/>
          <w:sz w:val="24"/>
        </w:rPr>
        <w:t xml:space="preserve"> (1952) 85 CLR 237 at 299; </w:t>
      </w:r>
      <w:r w:rsidRPr="009F3630">
        <w:rPr>
          <w:rFonts w:ascii="Times New Roman" w:hAnsi="Times New Roman"/>
          <w:i/>
          <w:sz w:val="24"/>
        </w:rPr>
        <w:t>Commissioner of Taxation v De Luxe Red and Yellow Cabs Co-operative</w:t>
      </w:r>
      <w:r w:rsidRPr="009F3630">
        <w:rPr>
          <w:rFonts w:ascii="Times New Roman" w:hAnsi="Times New Roman"/>
          <w:sz w:val="24"/>
        </w:rPr>
        <w:t xml:space="preserve"> </w:t>
      </w:r>
      <w:r w:rsidRPr="009F3630">
        <w:rPr>
          <w:rFonts w:ascii="Times New Roman" w:hAnsi="Times New Roman"/>
          <w:i/>
          <w:sz w:val="24"/>
        </w:rPr>
        <w:t>(Trading)</w:t>
      </w:r>
      <w:r w:rsidRPr="009F3630">
        <w:rPr>
          <w:rFonts w:ascii="Times New Roman" w:hAnsi="Times New Roman"/>
          <w:sz w:val="24"/>
        </w:rPr>
        <w:t xml:space="preserve"> </w:t>
      </w:r>
      <w:r w:rsidRPr="009F3630">
        <w:rPr>
          <w:rFonts w:ascii="Times New Roman" w:hAnsi="Times New Roman"/>
          <w:i/>
          <w:sz w:val="24"/>
        </w:rPr>
        <w:t>Society Ltd</w:t>
      </w:r>
      <w:r w:rsidRPr="009F3630">
        <w:rPr>
          <w:rFonts w:ascii="Times New Roman" w:hAnsi="Times New Roman"/>
          <w:sz w:val="24"/>
        </w:rPr>
        <w:t xml:space="preserve"> (1998) 82 FCR 507 at 520-521.</w:t>
      </w:r>
    </w:p>
  </w:footnote>
  <w:footnote w:id="189">
    <w:p w14:paraId="436BBE51" w14:textId="77777777" w:rsidR="00FF3369" w:rsidRPr="009F3630" w:rsidRDefault="00FF3369" w:rsidP="009F3630">
      <w:pPr>
        <w:pStyle w:val="FootnoteText"/>
        <w:spacing w:line="280" w:lineRule="exact"/>
        <w:ind w:right="0"/>
        <w:jc w:val="both"/>
        <w:rPr>
          <w:rFonts w:ascii="Times New Roman" w:hAnsi="Times New Roman"/>
          <w:i/>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International Harvester Co of Australia Pty Ltd v Carrigan's Hazeldene Pastoral Co</w:t>
      </w:r>
      <w:r w:rsidRPr="009F3630">
        <w:rPr>
          <w:rFonts w:ascii="Times New Roman" w:hAnsi="Times New Roman"/>
          <w:sz w:val="24"/>
        </w:rPr>
        <w:t xml:space="preserve"> (1958) 100 CLR 644 at 652; </w:t>
      </w:r>
      <w:r w:rsidRPr="009F3630">
        <w:rPr>
          <w:rFonts w:ascii="Times New Roman" w:hAnsi="Times New Roman"/>
          <w:i/>
          <w:sz w:val="24"/>
        </w:rPr>
        <w:t>Scott v Davis</w:t>
      </w:r>
      <w:r w:rsidRPr="009F3630">
        <w:rPr>
          <w:rFonts w:ascii="Times New Roman" w:hAnsi="Times New Roman"/>
          <w:sz w:val="24"/>
        </w:rPr>
        <w:t xml:space="preserve"> (2000) 204 CLR 333 at 408 [227]. See earlier </w:t>
      </w:r>
      <w:r w:rsidRPr="009F3630">
        <w:rPr>
          <w:rFonts w:ascii="Times New Roman" w:hAnsi="Times New Roman"/>
          <w:i/>
          <w:sz w:val="24"/>
        </w:rPr>
        <w:t>Wilson v Darling Island Stevedoring and Lighterage Co Ltd</w:t>
      </w:r>
      <w:r w:rsidRPr="009F3630">
        <w:rPr>
          <w:rFonts w:ascii="Times New Roman" w:hAnsi="Times New Roman"/>
          <w:sz w:val="24"/>
        </w:rPr>
        <w:t xml:space="preserve"> (1956) 95 CLR 43 at 70.</w:t>
      </w:r>
    </w:p>
  </w:footnote>
  <w:footnote w:id="190">
    <w:p w14:paraId="177100DF"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Colonial Mutual Life Assurance Society Ltd v Producers and Citizens Co-operative Assurance Co of Australia Ltd</w:t>
      </w:r>
      <w:r w:rsidRPr="009F3630">
        <w:rPr>
          <w:rFonts w:ascii="Times New Roman" w:hAnsi="Times New Roman"/>
          <w:sz w:val="24"/>
        </w:rPr>
        <w:t xml:space="preserve"> (1931) 46 CLR 41 at 49. See </w:t>
      </w:r>
      <w:r w:rsidRPr="009F3630">
        <w:rPr>
          <w:rFonts w:ascii="Times New Roman" w:hAnsi="Times New Roman"/>
          <w:i/>
          <w:sz w:val="24"/>
        </w:rPr>
        <w:t>Scott v Davis</w:t>
      </w:r>
      <w:r w:rsidRPr="009F3630">
        <w:rPr>
          <w:rFonts w:ascii="Times New Roman" w:hAnsi="Times New Roman"/>
          <w:sz w:val="24"/>
        </w:rPr>
        <w:t xml:space="preserve"> (2000) 204 CLR 333 at 408-413 [227]-[239], 435 [299] (</w:t>
      </w:r>
      <w:r w:rsidRPr="009F3630">
        <w:rPr>
          <w:rFonts w:ascii="Times New Roman" w:hAnsi="Times New Roman"/>
          <w:sz w:val="24"/>
        </w:rPr>
        <w:t xml:space="preserve">cf at 345-373 [31]-[121]); </w:t>
      </w:r>
      <w:r w:rsidRPr="009F3630">
        <w:rPr>
          <w:rFonts w:ascii="Times New Roman" w:hAnsi="Times New Roman"/>
          <w:i/>
          <w:sz w:val="24"/>
        </w:rPr>
        <w:t>Sweeney v Boylan Nominees Pty Ltd</w:t>
      </w:r>
      <w:r w:rsidRPr="009F3630">
        <w:rPr>
          <w:rFonts w:ascii="Times New Roman" w:hAnsi="Times New Roman"/>
          <w:sz w:val="24"/>
        </w:rPr>
        <w:t xml:space="preserve"> (2006) 226 CLR 161 at 168-172 [14]-[28].</w:t>
      </w:r>
    </w:p>
  </w:footnote>
  <w:footnote w:id="191">
    <w:p w14:paraId="653B1D83"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Restatement of Employment Law</w:t>
      </w:r>
      <w:r w:rsidRPr="009F3630">
        <w:rPr>
          <w:rFonts w:ascii="Times New Roman" w:hAnsi="Times New Roman"/>
          <w:sz w:val="24"/>
        </w:rPr>
        <w:t xml:space="preserve"> §1.01(a).</w:t>
      </w:r>
    </w:p>
  </w:footnote>
  <w:footnote w:id="192">
    <w:p w14:paraId="27E814C4"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Restatement of Employment Law</w:t>
      </w:r>
      <w:r w:rsidRPr="009F3630">
        <w:rPr>
          <w:rFonts w:ascii="Times New Roman" w:hAnsi="Times New Roman"/>
          <w:sz w:val="24"/>
        </w:rPr>
        <w:t xml:space="preserve"> §1.01(b).</w:t>
      </w:r>
    </w:p>
  </w:footnote>
  <w:footnote w:id="193">
    <w:p w14:paraId="0D716571"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 xml:space="preserve">Riley, "The Definition of the Contract of Employment and Its Differentiation from Other Contracts and Other Work Relations", in Freedland et al (eds), </w:t>
      </w:r>
      <w:r w:rsidRPr="009F3630">
        <w:rPr>
          <w:rFonts w:ascii="Times New Roman" w:hAnsi="Times New Roman"/>
          <w:i/>
          <w:sz w:val="24"/>
        </w:rPr>
        <w:t>The Contract of Employment</w:t>
      </w:r>
      <w:r w:rsidRPr="009F3630">
        <w:rPr>
          <w:rFonts w:ascii="Times New Roman" w:hAnsi="Times New Roman"/>
          <w:sz w:val="24"/>
        </w:rPr>
        <w:t xml:space="preserve"> (2016) 321 at 324.</w:t>
      </w:r>
    </w:p>
  </w:footnote>
  <w:footnote w:id="194">
    <w:p w14:paraId="524D6968"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 xml:space="preserve">Sunstein, </w:t>
      </w:r>
      <w:r w:rsidRPr="009F3630">
        <w:rPr>
          <w:rFonts w:ascii="Times New Roman" w:hAnsi="Times New Roman"/>
          <w:i/>
          <w:sz w:val="24"/>
        </w:rPr>
        <w:t>One Case at a Time</w:t>
      </w:r>
      <w:r w:rsidRPr="009F3630">
        <w:rPr>
          <w:rFonts w:ascii="Times New Roman" w:hAnsi="Times New Roman"/>
          <w:sz w:val="24"/>
        </w:rPr>
        <w:t xml:space="preserve"> (1999) at 24, citing Dewey, </w:t>
      </w:r>
      <w:r w:rsidRPr="009F3630">
        <w:rPr>
          <w:rFonts w:ascii="Times New Roman" w:hAnsi="Times New Roman"/>
          <w:i/>
          <w:sz w:val="24"/>
        </w:rPr>
        <w:t>How We Think and Selected Essays 1910-1911</w:t>
      </w:r>
      <w:r w:rsidRPr="009F3630">
        <w:rPr>
          <w:rFonts w:ascii="Times New Roman" w:hAnsi="Times New Roman"/>
          <w:sz w:val="24"/>
        </w:rPr>
        <w:t>,</w:t>
      </w:r>
      <w:r w:rsidRPr="009F3630">
        <w:rPr>
          <w:rFonts w:ascii="Times New Roman" w:hAnsi="Times New Roman"/>
          <w:i/>
          <w:sz w:val="24"/>
        </w:rPr>
        <w:t xml:space="preserve"> </w:t>
      </w:r>
      <w:r w:rsidRPr="009F3630">
        <w:rPr>
          <w:rFonts w:ascii="Times New Roman" w:hAnsi="Times New Roman"/>
          <w:sz w:val="24"/>
        </w:rPr>
        <w:t>in</w:t>
      </w:r>
      <w:r w:rsidRPr="009F3630">
        <w:rPr>
          <w:rFonts w:ascii="Times New Roman" w:hAnsi="Times New Roman"/>
          <w:i/>
          <w:sz w:val="24"/>
        </w:rPr>
        <w:t xml:space="preserve"> The Middle Works of John Dewey</w:t>
      </w:r>
      <w:r w:rsidRPr="009F3630">
        <w:rPr>
          <w:rFonts w:ascii="Times New Roman" w:hAnsi="Times New Roman"/>
          <w:sz w:val="24"/>
        </w:rPr>
        <w:t xml:space="preserve"> (1985), vol 6 at 93.</w:t>
      </w:r>
    </w:p>
  </w:footnote>
  <w:footnote w:id="195">
    <w:p w14:paraId="7ED18DF3"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 xml:space="preserve">National </w:t>
      </w:r>
      <w:r w:rsidRPr="009F3630">
        <w:rPr>
          <w:rFonts w:ascii="Times New Roman" w:hAnsi="Times New Roman"/>
          <w:i/>
          <w:sz w:val="24"/>
        </w:rPr>
        <w:t>Labor Relations Board v United Insurance Co of America</w:t>
      </w:r>
      <w:r w:rsidRPr="009F3630">
        <w:rPr>
          <w:rFonts w:ascii="Times New Roman" w:hAnsi="Times New Roman"/>
          <w:sz w:val="24"/>
        </w:rPr>
        <w:t xml:space="preserve"> (1968) 390 US 254 at 258. See also </w:t>
      </w:r>
      <w:r w:rsidRPr="009F3630">
        <w:rPr>
          <w:rFonts w:ascii="Times New Roman" w:hAnsi="Times New Roman"/>
          <w:i/>
          <w:sz w:val="24"/>
        </w:rPr>
        <w:t xml:space="preserve">Stevens v Brodribb Sawmilling Co Pty Ltd </w:t>
      </w:r>
      <w:r w:rsidRPr="009F3630">
        <w:rPr>
          <w:rFonts w:ascii="Times New Roman" w:hAnsi="Times New Roman"/>
          <w:sz w:val="24"/>
        </w:rPr>
        <w:t>(1986) 160 CLR 16 at 29.</w:t>
      </w:r>
    </w:p>
  </w:footnote>
  <w:footnote w:id="196">
    <w:p w14:paraId="483F94F2"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 xml:space="preserve">Stewart et al, </w:t>
      </w:r>
      <w:r w:rsidRPr="009F3630">
        <w:rPr>
          <w:rFonts w:ascii="Times New Roman" w:hAnsi="Times New Roman"/>
          <w:i/>
          <w:sz w:val="24"/>
        </w:rPr>
        <w:t>Creighton and Stewart's Labour Law</w:t>
      </w:r>
      <w:r w:rsidRPr="009F3630">
        <w:rPr>
          <w:rFonts w:ascii="Times New Roman" w:hAnsi="Times New Roman"/>
          <w:sz w:val="24"/>
        </w:rPr>
        <w:t xml:space="preserve">, 6th ed (2016) at 204 [8.21], 206 [8.23]; </w:t>
      </w:r>
      <w:r w:rsidRPr="009F3630">
        <w:rPr>
          <w:rFonts w:ascii="Times New Roman" w:hAnsi="Times New Roman"/>
          <w:sz w:val="24"/>
        </w:rPr>
        <w:t xml:space="preserve">Sappideen et al, </w:t>
      </w:r>
      <w:r w:rsidRPr="009F3630">
        <w:rPr>
          <w:rFonts w:ascii="Times New Roman" w:hAnsi="Times New Roman"/>
          <w:i/>
          <w:sz w:val="24"/>
        </w:rPr>
        <w:t>Macken's Law of Employment</w:t>
      </w:r>
      <w:r w:rsidRPr="009F3630">
        <w:rPr>
          <w:rFonts w:ascii="Times New Roman" w:hAnsi="Times New Roman"/>
          <w:sz w:val="24"/>
        </w:rPr>
        <w:t>, 8th ed (2016) at 36 [2.160].</w:t>
      </w:r>
    </w:p>
  </w:footnote>
  <w:footnote w:id="197">
    <w:p w14:paraId="4A41D085"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sz w:val="24"/>
        </w:rPr>
        <w:t xml:space="preserve">Sappideen and Vines (eds), </w:t>
      </w:r>
      <w:r w:rsidRPr="009F3630">
        <w:rPr>
          <w:rFonts w:ascii="Times New Roman" w:hAnsi="Times New Roman"/>
          <w:i/>
          <w:sz w:val="24"/>
        </w:rPr>
        <w:t>Fleming's The Law of Torts</w:t>
      </w:r>
      <w:r w:rsidRPr="009F3630">
        <w:rPr>
          <w:rFonts w:ascii="Times New Roman" w:hAnsi="Times New Roman"/>
          <w:sz w:val="24"/>
        </w:rPr>
        <w:t>, 10th ed (2011) at 446 [19.70].</w:t>
      </w:r>
    </w:p>
  </w:footnote>
  <w:footnote w:id="198">
    <w:p w14:paraId="59E95887"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 xml:space="preserve">Neil and Chin, </w:t>
      </w:r>
      <w:r w:rsidRPr="009F3630">
        <w:rPr>
          <w:rFonts w:ascii="Times New Roman" w:hAnsi="Times New Roman"/>
          <w:i/>
          <w:sz w:val="24"/>
        </w:rPr>
        <w:t>The Modern Contract of Employment</w:t>
      </w:r>
      <w:r w:rsidRPr="009F3630">
        <w:rPr>
          <w:rFonts w:ascii="Times New Roman" w:hAnsi="Times New Roman"/>
          <w:sz w:val="24"/>
        </w:rPr>
        <w:t xml:space="preserve">, 2nd ed (2017) at 23-24 [1.110]. </w:t>
      </w:r>
    </w:p>
  </w:footnote>
  <w:footnote w:id="199">
    <w:p w14:paraId="67F6278E"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 xml:space="preserve">Stevens v </w:t>
      </w:r>
      <w:r w:rsidRPr="009F3630">
        <w:rPr>
          <w:rFonts w:ascii="Times New Roman" w:hAnsi="Times New Roman"/>
          <w:i/>
          <w:sz w:val="24"/>
        </w:rPr>
        <w:t>Brodribb Sawmilling Co Pty Ltd</w:t>
      </w:r>
      <w:r w:rsidRPr="009F3630">
        <w:rPr>
          <w:rFonts w:ascii="Times New Roman" w:hAnsi="Times New Roman"/>
          <w:sz w:val="24"/>
        </w:rPr>
        <w:t xml:space="preserve"> (1986) 160 CLR 16 at 29.</w:t>
      </w:r>
    </w:p>
  </w:footnote>
  <w:footnote w:id="200">
    <w:p w14:paraId="69585DBB"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 xml:space="preserve">Freedland, </w:t>
      </w:r>
      <w:r w:rsidRPr="009F3630">
        <w:rPr>
          <w:rFonts w:ascii="Times New Roman" w:hAnsi="Times New Roman"/>
          <w:i/>
          <w:sz w:val="24"/>
        </w:rPr>
        <w:t>The Personal Employment Contract</w:t>
      </w:r>
      <w:r w:rsidRPr="009F3630">
        <w:rPr>
          <w:rFonts w:ascii="Times New Roman" w:hAnsi="Times New Roman"/>
          <w:sz w:val="24"/>
        </w:rPr>
        <w:t xml:space="preserve"> (2003) at 20.</w:t>
      </w:r>
    </w:p>
  </w:footnote>
  <w:footnote w:id="201">
    <w:p w14:paraId="7E10C564"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 xml:space="preserve">ACE Insurance Ltd v </w:t>
      </w:r>
      <w:r w:rsidRPr="009F3630">
        <w:rPr>
          <w:rFonts w:ascii="Times New Roman" w:hAnsi="Times New Roman"/>
          <w:i/>
          <w:sz w:val="24"/>
        </w:rPr>
        <w:t>Trifunovski</w:t>
      </w:r>
      <w:r w:rsidRPr="009F3630">
        <w:rPr>
          <w:rFonts w:ascii="Times New Roman" w:hAnsi="Times New Roman"/>
          <w:sz w:val="24"/>
        </w:rPr>
        <w:t xml:space="preserve"> (2013) 209 FCR 146 at 153 [38].</w:t>
      </w:r>
    </w:p>
  </w:footnote>
  <w:footnote w:id="202">
    <w:p w14:paraId="64719432"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 xml:space="preserve">Stevens v </w:t>
      </w:r>
      <w:r w:rsidRPr="009F3630">
        <w:rPr>
          <w:rFonts w:ascii="Times New Roman" w:hAnsi="Times New Roman"/>
          <w:i/>
          <w:sz w:val="24"/>
        </w:rPr>
        <w:t>Brodribb Sawmilling Co Pty Ltd</w:t>
      </w:r>
      <w:r w:rsidRPr="009F3630">
        <w:rPr>
          <w:rFonts w:ascii="Times New Roman" w:hAnsi="Times New Roman"/>
          <w:sz w:val="24"/>
        </w:rPr>
        <w:t xml:space="preserve"> (1986) 160 CLR 16 at 29.</w:t>
      </w:r>
    </w:p>
  </w:footnote>
  <w:footnote w:id="203">
    <w:p w14:paraId="744F4091"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 xml:space="preserve">Stevens v </w:t>
      </w:r>
      <w:r w:rsidRPr="009F3630">
        <w:rPr>
          <w:rFonts w:ascii="Times New Roman" w:hAnsi="Times New Roman"/>
          <w:i/>
          <w:sz w:val="24"/>
        </w:rPr>
        <w:t>Brodribb Sawmilling Co Pty Ltd</w:t>
      </w:r>
      <w:r w:rsidRPr="009F3630">
        <w:rPr>
          <w:rFonts w:ascii="Times New Roman" w:hAnsi="Times New Roman"/>
          <w:sz w:val="24"/>
        </w:rPr>
        <w:t xml:space="preserve"> (1986) 160 CLR 16 at 37.</w:t>
      </w:r>
    </w:p>
  </w:footnote>
  <w:footnote w:id="204">
    <w:p w14:paraId="1F6CE4ED"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 xml:space="preserve">(1994) 55 IR 73 at 74, citing </w:t>
      </w:r>
      <w:r w:rsidRPr="009F3630">
        <w:rPr>
          <w:rFonts w:ascii="Times New Roman" w:hAnsi="Times New Roman"/>
          <w:i/>
          <w:sz w:val="24"/>
        </w:rPr>
        <w:t xml:space="preserve">Narich Pty Ltd v Commissioner of Pay-roll Tax </w:t>
      </w:r>
      <w:r w:rsidRPr="009F3630">
        <w:rPr>
          <w:rFonts w:ascii="Times New Roman" w:hAnsi="Times New Roman"/>
          <w:sz w:val="24"/>
        </w:rPr>
        <w:t>[1983] 2 NSWLR 597 at 601.</w:t>
      </w:r>
    </w:p>
  </w:footnote>
  <w:footnote w:id="205">
    <w:p w14:paraId="2F972174"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[1983] 2 NSWLR 597.</w:t>
      </w:r>
    </w:p>
  </w:footnote>
  <w:footnote w:id="206">
    <w:p w14:paraId="53EB324F"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 xml:space="preserve">Section 11 of the </w:t>
      </w:r>
      <w:r w:rsidRPr="009F3630">
        <w:rPr>
          <w:rFonts w:ascii="Times New Roman" w:hAnsi="Times New Roman"/>
          <w:i/>
          <w:sz w:val="24"/>
        </w:rPr>
        <w:t>Australia Act 1986</w:t>
      </w:r>
      <w:r w:rsidRPr="009F3630">
        <w:rPr>
          <w:rFonts w:ascii="Times New Roman" w:hAnsi="Times New Roman"/>
          <w:sz w:val="24"/>
        </w:rPr>
        <w:t xml:space="preserve"> (</w:t>
      </w:r>
      <w:r w:rsidRPr="009F3630">
        <w:rPr>
          <w:rFonts w:ascii="Times New Roman" w:hAnsi="Times New Roman"/>
          <w:sz w:val="24"/>
        </w:rPr>
        <w:t>Cth).</w:t>
      </w:r>
    </w:p>
  </w:footnote>
  <w:footnote w:id="207">
    <w:p w14:paraId="00F5F25F"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(1978) 52 ALJR 407; 18 ALR 385.</w:t>
      </w:r>
    </w:p>
  </w:footnote>
  <w:footnote w:id="208">
    <w:p w14:paraId="765FC8AD"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Narich Pty Ltd v Commissioner of Pay-roll Tax</w:t>
      </w:r>
      <w:r w:rsidRPr="009F3630">
        <w:rPr>
          <w:rFonts w:ascii="Times New Roman" w:hAnsi="Times New Roman"/>
          <w:sz w:val="24"/>
        </w:rPr>
        <w:t xml:space="preserve"> [1983] 2 NSWLR 597 at 601 (emphasis added), quoting </w:t>
      </w:r>
      <w:r w:rsidRPr="009F3630">
        <w:rPr>
          <w:rFonts w:ascii="Times New Roman" w:hAnsi="Times New Roman"/>
          <w:i/>
          <w:sz w:val="24"/>
        </w:rPr>
        <w:t xml:space="preserve">Massey v Crown Life Insurance Co </w:t>
      </w:r>
      <w:r w:rsidRPr="009F3630">
        <w:rPr>
          <w:rFonts w:ascii="Times New Roman" w:hAnsi="Times New Roman"/>
          <w:sz w:val="24"/>
        </w:rPr>
        <w:t>[1978] 1 WLR 676; [1978] 2 All ER 576 (cleaned up).</w:t>
      </w:r>
    </w:p>
  </w:footnote>
  <w:footnote w:id="209">
    <w:p w14:paraId="53A28E75"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Cam &amp; Sons Pty Ltd v Sargent</w:t>
      </w:r>
      <w:r w:rsidRPr="009F3630">
        <w:rPr>
          <w:rFonts w:ascii="Times New Roman" w:hAnsi="Times New Roman"/>
          <w:sz w:val="24"/>
        </w:rPr>
        <w:t xml:space="preserve"> (1940) 14 ALJ 162 at 163.</w:t>
      </w:r>
    </w:p>
  </w:footnote>
  <w:footnote w:id="210">
    <w:p w14:paraId="1E3FFC64"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 xml:space="preserve">See </w:t>
      </w:r>
      <w:r w:rsidRPr="009F3630">
        <w:rPr>
          <w:rFonts w:ascii="Times New Roman" w:hAnsi="Times New Roman"/>
          <w:i/>
          <w:sz w:val="24"/>
        </w:rPr>
        <w:t xml:space="preserve">Re Porter; Re Transport Workers Union of Australia </w:t>
      </w:r>
      <w:r w:rsidRPr="009F3630">
        <w:rPr>
          <w:rFonts w:ascii="Times New Roman" w:hAnsi="Times New Roman"/>
          <w:sz w:val="24"/>
        </w:rPr>
        <w:t>(1989) 34 IR 179 at 184.</w:t>
      </w:r>
    </w:p>
  </w:footnote>
  <w:footnote w:id="211">
    <w:p w14:paraId="17C252A9"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(1940) 14 ALJ 162 at 163.</w:t>
      </w:r>
    </w:p>
  </w:footnote>
  <w:footnote w:id="212">
    <w:p w14:paraId="14E9D811"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 xml:space="preserve">[2022] HCA </w:t>
      </w:r>
      <w:r>
        <w:rPr>
          <w:rFonts w:ascii="Times New Roman" w:hAnsi="Times New Roman"/>
          <w:sz w:val="24"/>
        </w:rPr>
        <w:t>2</w:t>
      </w:r>
      <w:r w:rsidRPr="009F3630">
        <w:rPr>
          <w:rFonts w:ascii="Times New Roman" w:hAnsi="Times New Roman"/>
          <w:sz w:val="24"/>
        </w:rPr>
        <w:t>.</w:t>
      </w:r>
    </w:p>
  </w:footnote>
  <w:footnote w:id="213">
    <w:p w14:paraId="6A12C044"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(1952) 85 CLR 138.</w:t>
      </w:r>
    </w:p>
  </w:footnote>
  <w:footnote w:id="214">
    <w:p w14:paraId="6C66E477"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Construction, Forestry, Maritime, Mining and Energy Union v Personnel Contracting Pty Ltd</w:t>
      </w:r>
      <w:r w:rsidRPr="009F3630">
        <w:rPr>
          <w:rFonts w:ascii="Times New Roman" w:hAnsi="Times New Roman"/>
          <w:sz w:val="24"/>
        </w:rPr>
        <w:t xml:space="preserve"> (2020) 279 FCR 631 at 639-640 [21].</w:t>
      </w:r>
    </w:p>
  </w:footnote>
  <w:footnote w:id="215">
    <w:p w14:paraId="42579B6C"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(1952) 85 CLR 138 at 151.</w:t>
      </w:r>
    </w:p>
  </w:footnote>
  <w:footnote w:id="216">
    <w:p w14:paraId="35F2512E"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(1952) 85 CLR 138 at 155 (note the corrigendum).</w:t>
      </w:r>
    </w:p>
  </w:footnote>
  <w:footnote w:id="217">
    <w:p w14:paraId="2C212E79"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 xml:space="preserve">[1963] SR (NSW) 260. </w:t>
      </w:r>
    </w:p>
  </w:footnote>
  <w:footnote w:id="218">
    <w:p w14:paraId="1000ACDB"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 xml:space="preserve">See Handley, "Sham Self-Employment" (2011) 127 </w:t>
      </w:r>
      <w:r w:rsidRPr="009F3630">
        <w:rPr>
          <w:rFonts w:ascii="Times New Roman" w:hAnsi="Times New Roman"/>
          <w:i/>
          <w:sz w:val="24"/>
        </w:rPr>
        <w:t xml:space="preserve">Law Quarterly Review </w:t>
      </w:r>
      <w:r w:rsidRPr="009F3630">
        <w:rPr>
          <w:rFonts w:ascii="Times New Roman" w:hAnsi="Times New Roman"/>
          <w:sz w:val="24"/>
        </w:rPr>
        <w:t xml:space="preserve">171 at 173; </w:t>
      </w:r>
      <w:r w:rsidRPr="009F3630">
        <w:rPr>
          <w:rFonts w:ascii="Times New Roman" w:hAnsi="Times New Roman"/>
          <w:sz w:val="24"/>
        </w:rPr>
        <w:t xml:space="preserve">Bomball, "Subsequent Conduct, Construction and Characterisation in Employment Contract Law" (2015) 32 </w:t>
      </w:r>
      <w:r w:rsidRPr="009F3630">
        <w:rPr>
          <w:rFonts w:ascii="Times New Roman" w:hAnsi="Times New Roman"/>
          <w:i/>
          <w:sz w:val="24"/>
        </w:rPr>
        <w:t xml:space="preserve">Journal of Contract Law </w:t>
      </w:r>
      <w:r w:rsidRPr="009F3630">
        <w:rPr>
          <w:rFonts w:ascii="Times New Roman" w:hAnsi="Times New Roman"/>
          <w:sz w:val="24"/>
        </w:rPr>
        <w:t>149 at 167-168.</w:t>
      </w:r>
    </w:p>
  </w:footnote>
  <w:footnote w:id="219">
    <w:p w14:paraId="04F3F952"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 xml:space="preserve">[1963] SR (NSW) 260 at 269. See also </w:t>
      </w:r>
      <w:r w:rsidRPr="009F3630">
        <w:rPr>
          <w:rFonts w:ascii="Times New Roman" w:hAnsi="Times New Roman"/>
          <w:i/>
          <w:sz w:val="24"/>
        </w:rPr>
        <w:t xml:space="preserve">Pitcher v Langford </w:t>
      </w:r>
      <w:r w:rsidRPr="009F3630">
        <w:rPr>
          <w:rFonts w:ascii="Times New Roman" w:hAnsi="Times New Roman"/>
          <w:sz w:val="24"/>
        </w:rPr>
        <w:t>(1991) 23 NSWLR 142 at 161-162.</w:t>
      </w:r>
    </w:p>
  </w:footnote>
  <w:footnote w:id="220">
    <w:p w14:paraId="1EB07544"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 xml:space="preserve">[1963] SR (NSW) 260 at 272. </w:t>
      </w:r>
    </w:p>
  </w:footnote>
  <w:footnote w:id="221">
    <w:p w14:paraId="728F6733"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(1986) 160 CLR 16.</w:t>
      </w:r>
    </w:p>
  </w:footnote>
  <w:footnote w:id="222">
    <w:p w14:paraId="027703E5"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 xml:space="preserve">(2001) 207 CLR 21. </w:t>
      </w:r>
    </w:p>
  </w:footnote>
  <w:footnote w:id="223">
    <w:p w14:paraId="2ADD1F1E"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Logan v Gilchrist</w:t>
      </w:r>
      <w:r w:rsidRPr="009F3630">
        <w:rPr>
          <w:rFonts w:ascii="Times New Roman" w:hAnsi="Times New Roman"/>
          <w:sz w:val="24"/>
        </w:rPr>
        <w:t xml:space="preserve"> (1927) 33 ALR 321 at 322 (Higgins J</w:t>
      </w:r>
      <w:r w:rsidRPr="009F3630">
        <w:rPr>
          <w:rFonts w:ascii="Times New Roman" w:hAnsi="Times New Roman"/>
          <w:sz w:val="24"/>
        </w:rPr>
        <w:t>), but see at 322 (Isaacs J).</w:t>
      </w:r>
    </w:p>
  </w:footnote>
  <w:footnote w:id="224">
    <w:p w14:paraId="7FFF7AD8"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Colonial Mutual Life Assurance Society Ltd v Producers and Citizens Co-operative Assurance Co of Australia Ltd</w:t>
      </w:r>
      <w:r w:rsidRPr="009F3630">
        <w:rPr>
          <w:rFonts w:ascii="Times New Roman" w:hAnsi="Times New Roman"/>
          <w:sz w:val="24"/>
        </w:rPr>
        <w:t xml:space="preserve"> (1931) 46 CLR 41; </w:t>
      </w:r>
      <w:r w:rsidRPr="009F3630">
        <w:rPr>
          <w:rFonts w:ascii="Times New Roman" w:hAnsi="Times New Roman"/>
          <w:i/>
          <w:sz w:val="24"/>
        </w:rPr>
        <w:t>Cam &amp; Sons Pty Ltd v Sargent</w:t>
      </w:r>
      <w:r w:rsidRPr="009F3630">
        <w:rPr>
          <w:rFonts w:ascii="Times New Roman" w:hAnsi="Times New Roman"/>
          <w:sz w:val="24"/>
        </w:rPr>
        <w:t xml:space="preserve"> (1940) 14 ALJ 162; </w:t>
      </w:r>
      <w:r w:rsidRPr="009F3630">
        <w:rPr>
          <w:rFonts w:ascii="Times New Roman" w:hAnsi="Times New Roman"/>
          <w:i/>
          <w:sz w:val="24"/>
        </w:rPr>
        <w:t>Federal Commissioner of Taxation v J Walter Thompson (Aust) Pty Ltd</w:t>
      </w:r>
      <w:r w:rsidRPr="009F3630">
        <w:rPr>
          <w:rFonts w:ascii="Times New Roman" w:hAnsi="Times New Roman"/>
          <w:sz w:val="24"/>
        </w:rPr>
        <w:t xml:space="preserve"> (1944) 69 CLR 227; </w:t>
      </w:r>
      <w:r w:rsidRPr="009F3630">
        <w:rPr>
          <w:rFonts w:ascii="Times New Roman" w:hAnsi="Times New Roman"/>
          <w:i/>
          <w:sz w:val="24"/>
        </w:rPr>
        <w:t>Queensland Stations Pty Ltd v Federal Commissioner of Taxation</w:t>
      </w:r>
      <w:r w:rsidRPr="009F3630">
        <w:rPr>
          <w:rFonts w:ascii="Times New Roman" w:hAnsi="Times New Roman"/>
          <w:sz w:val="24"/>
        </w:rPr>
        <w:t xml:space="preserve"> (1945) 70 CLR 539; </w:t>
      </w:r>
      <w:r w:rsidRPr="009F3630">
        <w:rPr>
          <w:rFonts w:ascii="Times New Roman" w:hAnsi="Times New Roman"/>
          <w:i/>
          <w:sz w:val="24"/>
        </w:rPr>
        <w:t>Humberstone v Northern Timber Mills</w:t>
      </w:r>
      <w:r w:rsidRPr="009F3630">
        <w:rPr>
          <w:rFonts w:ascii="Times New Roman" w:hAnsi="Times New Roman"/>
          <w:sz w:val="24"/>
        </w:rPr>
        <w:t xml:space="preserve"> (1949) 79 CLR 389; </w:t>
      </w:r>
      <w:r w:rsidRPr="009F3630">
        <w:rPr>
          <w:rFonts w:ascii="Times New Roman" w:hAnsi="Times New Roman"/>
          <w:i/>
          <w:sz w:val="24"/>
        </w:rPr>
        <w:t>R v Foster; Ex parte The Commonwealth Life (Amalgamated) Assurances Ltd</w:t>
      </w:r>
      <w:r w:rsidRPr="009F3630">
        <w:rPr>
          <w:rFonts w:ascii="Times New Roman" w:hAnsi="Times New Roman"/>
          <w:sz w:val="24"/>
        </w:rPr>
        <w:t xml:space="preserve"> (1952) 85 CLR 138; </w:t>
      </w:r>
      <w:r w:rsidRPr="009F3630">
        <w:rPr>
          <w:rFonts w:ascii="Times New Roman" w:hAnsi="Times New Roman"/>
          <w:i/>
          <w:sz w:val="24"/>
        </w:rPr>
        <w:t xml:space="preserve">Wright v Attorney-General for the State of Tasmania </w:t>
      </w:r>
      <w:r w:rsidRPr="009F3630">
        <w:rPr>
          <w:rFonts w:ascii="Times New Roman" w:hAnsi="Times New Roman"/>
          <w:sz w:val="24"/>
        </w:rPr>
        <w:t xml:space="preserve">(1954) 94 CLR 409; </w:t>
      </w:r>
      <w:r w:rsidRPr="009F3630">
        <w:rPr>
          <w:rFonts w:ascii="Times New Roman" w:hAnsi="Times New Roman"/>
          <w:i/>
          <w:sz w:val="24"/>
        </w:rPr>
        <w:t>Neale v Atlas Products (Vic) Pty Ltd</w:t>
      </w:r>
      <w:r w:rsidRPr="009F3630">
        <w:rPr>
          <w:rFonts w:ascii="Times New Roman" w:hAnsi="Times New Roman"/>
          <w:sz w:val="24"/>
        </w:rPr>
        <w:t xml:space="preserve"> (1955) 94 CLR 419; </w:t>
      </w:r>
      <w:r w:rsidRPr="009F3630">
        <w:rPr>
          <w:rFonts w:ascii="Times New Roman" w:hAnsi="Times New Roman"/>
          <w:i/>
          <w:sz w:val="24"/>
        </w:rPr>
        <w:t>Zuijs v Wirth Brothers Pty Ltd</w:t>
      </w:r>
      <w:r w:rsidRPr="009F3630">
        <w:rPr>
          <w:rFonts w:ascii="Times New Roman" w:hAnsi="Times New Roman"/>
          <w:sz w:val="24"/>
        </w:rPr>
        <w:t xml:space="preserve"> (1955) 93 CLR 561; </w:t>
      </w:r>
      <w:r w:rsidRPr="009F3630">
        <w:rPr>
          <w:rFonts w:ascii="Times New Roman" w:hAnsi="Times New Roman"/>
          <w:i/>
          <w:sz w:val="24"/>
        </w:rPr>
        <w:t>Marshall v Whittaker's Building Supply Co</w:t>
      </w:r>
      <w:r w:rsidRPr="009F3630">
        <w:rPr>
          <w:rFonts w:ascii="Times New Roman" w:hAnsi="Times New Roman"/>
          <w:sz w:val="24"/>
        </w:rPr>
        <w:t xml:space="preserve"> (1963) 109 CLR 210; </w:t>
      </w:r>
      <w:r w:rsidRPr="009F3630">
        <w:rPr>
          <w:rFonts w:ascii="Times New Roman" w:hAnsi="Times New Roman"/>
          <w:i/>
          <w:sz w:val="24"/>
        </w:rPr>
        <w:t>Federal Commissioner of Taxation v Barrett</w:t>
      </w:r>
      <w:r w:rsidRPr="009F3630">
        <w:rPr>
          <w:rFonts w:ascii="Times New Roman" w:hAnsi="Times New Roman"/>
          <w:sz w:val="24"/>
        </w:rPr>
        <w:t xml:space="preserve"> (1973) 129 CLR 395; </w:t>
      </w:r>
      <w:r w:rsidRPr="009F3630">
        <w:rPr>
          <w:rFonts w:ascii="Times New Roman" w:hAnsi="Times New Roman"/>
          <w:i/>
          <w:sz w:val="24"/>
        </w:rPr>
        <w:t>Dietrich v Dare</w:t>
      </w:r>
      <w:r w:rsidRPr="009F3630">
        <w:rPr>
          <w:rFonts w:ascii="Times New Roman" w:hAnsi="Times New Roman"/>
          <w:sz w:val="24"/>
        </w:rPr>
        <w:t xml:space="preserve"> (1980) 54 ALJR 388; 30 ALR 407.</w:t>
      </w:r>
    </w:p>
  </w:footnote>
  <w:footnote w:id="225">
    <w:p w14:paraId="0718A31D"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 xml:space="preserve">(2001) 207 CLR 21 at 33 [24], quoting from </w:t>
      </w:r>
      <w:r w:rsidRPr="009F3630">
        <w:rPr>
          <w:rFonts w:ascii="Times New Roman" w:hAnsi="Times New Roman"/>
          <w:i/>
          <w:sz w:val="24"/>
        </w:rPr>
        <w:t xml:space="preserve">Stevens v </w:t>
      </w:r>
      <w:r w:rsidRPr="009F3630">
        <w:rPr>
          <w:rFonts w:ascii="Times New Roman" w:hAnsi="Times New Roman"/>
          <w:i/>
          <w:sz w:val="24"/>
        </w:rPr>
        <w:t>Brodribb Sawmilling Co Pty Ltd</w:t>
      </w:r>
      <w:r w:rsidRPr="009F3630">
        <w:rPr>
          <w:rFonts w:ascii="Times New Roman" w:hAnsi="Times New Roman"/>
          <w:sz w:val="24"/>
        </w:rPr>
        <w:t xml:space="preserve"> (1986) 160 CLR 16 at 29.</w:t>
      </w:r>
    </w:p>
  </w:footnote>
  <w:footnote w:id="226">
    <w:p w14:paraId="57363FB7"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(2001) 207 CLR 21 at 42 [47].</w:t>
      </w:r>
    </w:p>
  </w:footnote>
  <w:footnote w:id="227">
    <w:p w14:paraId="57372173"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(2001) 207 CLR 21 at 42 [48].</w:t>
      </w:r>
    </w:p>
  </w:footnote>
  <w:footnote w:id="228">
    <w:p w14:paraId="790B2E09"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(2001) 207 CLR 21 at 42 [49].</w:t>
      </w:r>
    </w:p>
  </w:footnote>
  <w:footnote w:id="229">
    <w:p w14:paraId="3CF219BD"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(2001) 207 CLR 21 at 42 [50].</w:t>
      </w:r>
    </w:p>
  </w:footnote>
  <w:footnote w:id="230">
    <w:p w14:paraId="2ED234EA"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(2001) 207 CLR 21 at 43 [54].</w:t>
      </w:r>
    </w:p>
  </w:footnote>
  <w:footnote w:id="231">
    <w:p w14:paraId="5144B2E6"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(2001) 207 CLR 21 at 44 [57].</w:t>
      </w:r>
    </w:p>
  </w:footnote>
  <w:footnote w:id="232">
    <w:p w14:paraId="538FFCBE"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sz w:val="24"/>
        </w:rPr>
        <w:t xml:space="preserve">eg </w:t>
      </w:r>
      <w:r w:rsidRPr="009F3630">
        <w:rPr>
          <w:rFonts w:ascii="Times New Roman" w:hAnsi="Times New Roman"/>
          <w:i/>
          <w:sz w:val="24"/>
        </w:rPr>
        <w:t>Lenzoot Haulage Pty Ltd v Sinclair</w:t>
      </w:r>
      <w:r w:rsidRPr="009F3630">
        <w:rPr>
          <w:rFonts w:ascii="Times New Roman" w:hAnsi="Times New Roman"/>
          <w:sz w:val="24"/>
        </w:rPr>
        <w:t xml:space="preserve"> (1986) 42 SASR 506 at 515.</w:t>
      </w:r>
    </w:p>
  </w:footnote>
  <w:footnote w:id="233">
    <w:p w14:paraId="55DFE109"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 xml:space="preserve">ACE Insurance Ltd v </w:t>
      </w:r>
      <w:r w:rsidRPr="009F3630">
        <w:rPr>
          <w:rFonts w:ascii="Times New Roman" w:hAnsi="Times New Roman"/>
          <w:i/>
          <w:sz w:val="24"/>
        </w:rPr>
        <w:t>Trifunovski</w:t>
      </w:r>
      <w:r w:rsidRPr="009F3630">
        <w:rPr>
          <w:rFonts w:ascii="Times New Roman" w:hAnsi="Times New Roman"/>
          <w:sz w:val="24"/>
        </w:rPr>
        <w:t xml:space="preserve"> (2013) 209 FCR 146 at 168-169 [91].</w:t>
      </w:r>
    </w:p>
  </w:footnote>
  <w:footnote w:id="234">
    <w:p w14:paraId="08C8F236"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Construction, Forestry, Maritime, Mining and Energy Union v Personnel Contracting Pty Ltd</w:t>
      </w:r>
      <w:r w:rsidRPr="009F3630">
        <w:rPr>
          <w:rFonts w:ascii="Times New Roman" w:hAnsi="Times New Roman"/>
          <w:sz w:val="24"/>
        </w:rPr>
        <w:t xml:space="preserve"> (2020) 279 FCR 631 at 637 [11], 661 [98].</w:t>
      </w:r>
    </w:p>
  </w:footnote>
  <w:footnote w:id="235">
    <w:p w14:paraId="2000B03A"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 xml:space="preserve">[2022] HCA </w:t>
      </w:r>
      <w:r>
        <w:rPr>
          <w:rFonts w:ascii="Times New Roman" w:hAnsi="Times New Roman"/>
          <w:sz w:val="24"/>
        </w:rPr>
        <w:t>2</w:t>
      </w:r>
      <w:r w:rsidRPr="009F3630">
        <w:rPr>
          <w:rFonts w:ascii="Times New Roman" w:hAnsi="Times New Roman"/>
          <w:sz w:val="24"/>
        </w:rPr>
        <w:t xml:space="preserve">, on appeal from </w:t>
      </w:r>
      <w:r w:rsidRPr="009F3630">
        <w:rPr>
          <w:rFonts w:ascii="Times New Roman" w:hAnsi="Times New Roman"/>
          <w:i/>
          <w:sz w:val="24"/>
        </w:rPr>
        <w:t>Jamsek v ZG Operations Australia Pty Ltd</w:t>
      </w:r>
      <w:r w:rsidRPr="009F3630">
        <w:rPr>
          <w:rFonts w:ascii="Times New Roman" w:hAnsi="Times New Roman"/>
          <w:sz w:val="24"/>
        </w:rPr>
        <w:t xml:space="preserve"> (2020) 279 FCR 114 at 118 [9], 119 [14], 147-148 [182]-[184].</w:t>
      </w:r>
    </w:p>
  </w:footnote>
  <w:footnote w:id="236">
    <w:p w14:paraId="557553CC"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See (2021) 95 ALJR 681 at 700 [101]; 392 ALR 39 at 61.</w:t>
      </w:r>
    </w:p>
  </w:footnote>
  <w:footnote w:id="237">
    <w:p w14:paraId="111C91D4"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Clause 1(a) of the ASA.</w:t>
      </w:r>
    </w:p>
  </w:footnote>
  <w:footnote w:id="238">
    <w:p w14:paraId="101327E4"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Clause 1(b) of the ASA.</w:t>
      </w:r>
    </w:p>
  </w:footnote>
  <w:footnote w:id="239">
    <w:p w14:paraId="49EE204E"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Clause 2(a) of the ASA.</w:t>
      </w:r>
    </w:p>
  </w:footnote>
  <w:footnote w:id="240">
    <w:p w14:paraId="4F5A3F4E"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Clause 5(b) of the ASA.</w:t>
      </w:r>
    </w:p>
  </w:footnote>
  <w:footnote w:id="241">
    <w:p w14:paraId="543B6D8C"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Clause 4(c) of the ASA.</w:t>
      </w:r>
    </w:p>
  </w:footnote>
  <w:footnote w:id="242">
    <w:p w14:paraId="06E68860"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Clause 5(c) of the ASA.</w:t>
      </w:r>
    </w:p>
  </w:footnote>
  <w:footnote w:id="243">
    <w:p w14:paraId="550A8FA9"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Clause 4(c) of the ASA.</w:t>
      </w:r>
    </w:p>
  </w:footnote>
  <w:footnote w:id="244">
    <w:p w14:paraId="1136167F"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Clause 4(b) of the ASA.</w:t>
      </w:r>
    </w:p>
  </w:footnote>
  <w:footnote w:id="245">
    <w:p w14:paraId="6309C047"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Clause 1(d) of the ASA.</w:t>
      </w:r>
    </w:p>
  </w:footnote>
  <w:footnote w:id="246">
    <w:p w14:paraId="08226233"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Clause 4 of the LHA.</w:t>
      </w:r>
    </w:p>
  </w:footnote>
  <w:footnote w:id="247">
    <w:p w14:paraId="2A1E026A"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Clause 9 of the LHA.</w:t>
      </w:r>
    </w:p>
  </w:footnote>
  <w:footnote w:id="248">
    <w:p w14:paraId="5C4F65B6"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(1990) 64 ALJR 606; 95 ALR 641.</w:t>
      </w:r>
    </w:p>
  </w:footnote>
  <w:footnote w:id="249">
    <w:p w14:paraId="6CFDE2B6"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(1990) 64 ALJR 606 at 610; 95 ALR 641 at 647.</w:t>
      </w:r>
    </w:p>
  </w:footnote>
  <w:footnote w:id="250">
    <w:p w14:paraId="62EF5A06"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(1990) 64 ALJR 606 at 613; 95 ALR 641 at 652.</w:t>
      </w:r>
    </w:p>
  </w:footnote>
  <w:footnote w:id="251">
    <w:p w14:paraId="135D8667"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(1990) 64 ALJR 606 at 609; 95 ALR 641 at 646.</w:t>
      </w:r>
    </w:p>
  </w:footnote>
  <w:footnote w:id="252">
    <w:p w14:paraId="05F9D851"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 xml:space="preserve">Odco Pty Ltd v Building Workers' Industrial Union of Australia </w:t>
      </w:r>
      <w:r w:rsidRPr="009F3630">
        <w:rPr>
          <w:rFonts w:ascii="Times New Roman" w:hAnsi="Times New Roman"/>
          <w:sz w:val="24"/>
        </w:rPr>
        <w:t>(unreported, Federal Court of Australia, 24 August 1989).</w:t>
      </w:r>
    </w:p>
  </w:footnote>
  <w:footnote w:id="253">
    <w:p w14:paraId="5CEC460F"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(1991) 29 FCR 104.</w:t>
      </w:r>
    </w:p>
  </w:footnote>
  <w:footnote w:id="254">
    <w:p w14:paraId="6F4894D9"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(1991) 29 FCR 104 at 127.</w:t>
      </w:r>
    </w:p>
  </w:footnote>
  <w:footnote w:id="255">
    <w:p w14:paraId="4E833C25"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 xml:space="preserve">(2000) 2 VR 635. </w:t>
      </w:r>
    </w:p>
  </w:footnote>
  <w:footnote w:id="256">
    <w:p w14:paraId="1BA74643"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(2000) 2 VR 635 at 638-639 [4], 657-658 [55]-[56], 665 [78].</w:t>
      </w:r>
    </w:p>
  </w:footnote>
  <w:footnote w:id="257">
    <w:p w14:paraId="7B3F449D"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[2005] IRLR 557.</w:t>
      </w:r>
    </w:p>
  </w:footnote>
  <w:footnote w:id="258">
    <w:p w14:paraId="453837CA"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[2005] IRLR 557 at 561 [29] (emphasis in original).</w:t>
      </w:r>
    </w:p>
  </w:footnote>
  <w:footnote w:id="259">
    <w:p w14:paraId="18C12ADC"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(2004) 141 IR 31 at 44 [52].</w:t>
      </w:r>
    </w:p>
  </w:footnote>
  <w:footnote w:id="260">
    <w:p w14:paraId="4595F1AB"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(1991) 29 FCR 104 at 110.</w:t>
      </w:r>
    </w:p>
  </w:footnote>
  <w:footnote w:id="261">
    <w:p w14:paraId="24650C5B"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(1991) 29 FCR 104 at 110.</w:t>
      </w:r>
    </w:p>
  </w:footnote>
  <w:footnote w:id="262">
    <w:p w14:paraId="5397D3BA"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t>(1991) 29 FCR 104 at 110-113.</w:t>
      </w:r>
    </w:p>
  </w:footnote>
  <w:footnote w:id="263">
    <w:p w14:paraId="02A26A27" w14:textId="77777777" w:rsidR="00FF3369" w:rsidRPr="009F3630" w:rsidRDefault="00FF3369" w:rsidP="009F3630">
      <w:pPr>
        <w:pStyle w:val="FootnoteText"/>
        <w:spacing w:line="280" w:lineRule="exact"/>
        <w:ind w:right="0"/>
        <w:jc w:val="both"/>
        <w:rPr>
          <w:rFonts w:ascii="Times New Roman" w:hAnsi="Times New Roman"/>
          <w:sz w:val="24"/>
        </w:rPr>
      </w:pPr>
      <w:r w:rsidRPr="009F3630">
        <w:rPr>
          <w:rStyle w:val="FootnoteReference"/>
          <w:rFonts w:ascii="Times New Roman" w:hAnsi="Times New Roman"/>
          <w:sz w:val="22"/>
          <w:vertAlign w:val="baseline"/>
        </w:rPr>
        <w:footnoteRef/>
      </w:r>
      <w:r w:rsidRPr="009F3630">
        <w:rPr>
          <w:rFonts w:ascii="Times New Roman" w:hAnsi="Times New Roman"/>
          <w:sz w:val="24"/>
        </w:rPr>
        <w:t xml:space="preserve"> </w:t>
      </w:r>
      <w:r w:rsidRPr="009F3630">
        <w:rPr>
          <w:rFonts w:ascii="Times New Roman" w:hAnsi="Times New Roman"/>
          <w:sz w:val="24"/>
        </w:rPr>
        <w:tab/>
      </w:r>
      <w:r w:rsidRPr="009F3630">
        <w:rPr>
          <w:rFonts w:ascii="Times New Roman" w:hAnsi="Times New Roman"/>
          <w:i/>
          <w:sz w:val="24"/>
        </w:rPr>
        <w:t>Construction, Forestry, Maritime, Mining and Energy Union v Personnel Contracting Pty Ltd</w:t>
      </w:r>
      <w:r w:rsidRPr="009F3630">
        <w:rPr>
          <w:rFonts w:ascii="Times New Roman" w:hAnsi="Times New Roman"/>
          <w:sz w:val="24"/>
        </w:rPr>
        <w:t xml:space="preserve"> (2020) 279 FCR 631 at 642 [31], 643-644 [33]-[40], 644 [41], 669-670 [128]-[134], 682 [185].</w:t>
      </w:r>
    </w:p>
  </w:footnote>
  <w:footnote w:id="264">
    <w:p w14:paraId="5C28B35E"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Act, s 11.</w:t>
      </w:r>
    </w:p>
  </w:footnote>
  <w:footnote w:id="265">
    <w:p w14:paraId="2075F9D7"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sz w:val="24"/>
          <w:szCs w:val="18"/>
        </w:rPr>
        <w:t xml:space="preserve">Australia, House of Representatives, </w:t>
      </w:r>
      <w:r w:rsidRPr="007A7FB2">
        <w:rPr>
          <w:rFonts w:ascii="Times New Roman" w:hAnsi="Times New Roman"/>
          <w:i/>
          <w:iCs/>
          <w:sz w:val="24"/>
          <w:szCs w:val="18"/>
        </w:rPr>
        <w:t>Fair Work Bill 2008</w:t>
      </w:r>
      <w:r w:rsidRPr="007A7FB2">
        <w:rPr>
          <w:rFonts w:ascii="Times New Roman" w:hAnsi="Times New Roman"/>
          <w:sz w:val="24"/>
          <w:szCs w:val="18"/>
        </w:rPr>
        <w:t xml:space="preserve">, Explanatory Memorandum at 5 [28]. </w:t>
      </w:r>
      <w:r w:rsidRPr="007A7FB2">
        <w:rPr>
          <w:rFonts w:ascii="Times New Roman" w:hAnsi="Times New Roman"/>
          <w:sz w:val="24"/>
        </w:rPr>
        <w:t xml:space="preserve">See </w:t>
      </w:r>
      <w:r w:rsidRPr="007A7FB2">
        <w:rPr>
          <w:rFonts w:ascii="Times New Roman" w:hAnsi="Times New Roman"/>
          <w:i/>
          <w:sz w:val="24"/>
        </w:rPr>
        <w:t>Aid/Watch Inc v Federal Commissioner of Taxation</w:t>
      </w:r>
      <w:r w:rsidRPr="007A7FB2">
        <w:rPr>
          <w:rFonts w:ascii="Times New Roman" w:hAnsi="Times New Roman"/>
          <w:sz w:val="24"/>
        </w:rPr>
        <w:t xml:space="preserve"> (2010) 241 CLR 539 at 549 [23]. </w:t>
      </w:r>
    </w:p>
  </w:footnote>
  <w:footnote w:id="266">
    <w:p w14:paraId="68FE630D"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Section 15(1)(a) provides that a reference in the Act to an employee with its ordinary meaning "includes a reference to a person who is usually such an employee". See</w:t>
      </w:r>
      <w:r>
        <w:rPr>
          <w:rFonts w:ascii="Times New Roman" w:hAnsi="Times New Roman"/>
          <w:sz w:val="24"/>
        </w:rPr>
        <w:t> </w:t>
      </w:r>
      <w:r w:rsidRPr="007A7FB2">
        <w:rPr>
          <w:rFonts w:ascii="Times New Roman" w:hAnsi="Times New Roman"/>
          <w:sz w:val="24"/>
          <w:szCs w:val="18"/>
        </w:rPr>
        <w:t xml:space="preserve">Australia, House of Representatives, </w:t>
      </w:r>
      <w:r w:rsidRPr="007A7FB2">
        <w:rPr>
          <w:rFonts w:ascii="Times New Roman" w:hAnsi="Times New Roman"/>
          <w:i/>
          <w:iCs/>
          <w:sz w:val="24"/>
          <w:szCs w:val="18"/>
        </w:rPr>
        <w:t>Fair Work Bill 2008</w:t>
      </w:r>
      <w:r w:rsidRPr="007A7FB2">
        <w:rPr>
          <w:rFonts w:ascii="Times New Roman" w:hAnsi="Times New Roman"/>
          <w:sz w:val="24"/>
          <w:szCs w:val="18"/>
        </w:rPr>
        <w:t xml:space="preserve">, Explanatory Memorandum at 11 [67]. </w:t>
      </w:r>
      <w:r w:rsidRPr="007A7FB2">
        <w:rPr>
          <w:rFonts w:ascii="Times New Roman" w:hAnsi="Times New Roman"/>
          <w:sz w:val="24"/>
        </w:rPr>
        <w:t>Section 14(1) limits the meaning of "national system employer" to, among other things, constitutional corporations, the Commonwealth and Commonwealth authorities, so far as they employ or usually employ an individual; and also persons, so far as they, in connection with constitutional trade or commerce, employ or usually employ an individual as a flight crew officer, maritime employee or waterside worker.</w:t>
      </w:r>
    </w:p>
  </w:footnote>
  <w:footnote w:id="267">
    <w:p w14:paraId="022AE189"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LHA, cl 1.</w:t>
      </w:r>
    </w:p>
  </w:footnote>
  <w:footnote w:id="268">
    <w:p w14:paraId="421B0941"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LHA, cl 3.</w:t>
      </w:r>
    </w:p>
  </w:footnote>
  <w:footnote w:id="269">
    <w:p w14:paraId="223EDD35"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LHA, cl 6.</w:t>
      </w:r>
    </w:p>
  </w:footnote>
  <w:footnote w:id="270">
    <w:p w14:paraId="60B8F585"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LHA, cl 4.</w:t>
      </w:r>
    </w:p>
  </w:footnote>
  <w:footnote w:id="271">
    <w:p w14:paraId="32AFE328"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LHA, cl 9.</w:t>
      </w:r>
    </w:p>
  </w:footnote>
  <w:footnote w:id="272">
    <w:p w14:paraId="20AA4854"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LHA, cl 1.</w:t>
      </w:r>
    </w:p>
  </w:footnote>
  <w:footnote w:id="273">
    <w:p w14:paraId="3FA58D57"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LHA, cl 2.</w:t>
      </w:r>
    </w:p>
  </w:footnote>
  <w:footnote w:id="274">
    <w:p w14:paraId="4D2C1FBE"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LHA, cl 7.</w:t>
      </w:r>
    </w:p>
  </w:footnote>
  <w:footnote w:id="275">
    <w:p w14:paraId="30CA8D66"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LHA, cl 8.</w:t>
      </w:r>
    </w:p>
  </w:footnote>
  <w:footnote w:id="276">
    <w:p w14:paraId="659F3F92"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LHA, cl 9.</w:t>
      </w:r>
    </w:p>
  </w:footnote>
  <w:footnote w:id="277">
    <w:p w14:paraId="2956A2C0"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 xml:space="preserve">Stevens v </w:t>
      </w:r>
      <w:r w:rsidRPr="007A7FB2">
        <w:rPr>
          <w:rFonts w:ascii="Times New Roman" w:hAnsi="Times New Roman"/>
          <w:i/>
          <w:sz w:val="24"/>
        </w:rPr>
        <w:t>Brodribb Sawmilling Co Pty Ltd</w:t>
      </w:r>
      <w:r w:rsidRPr="007A7FB2">
        <w:rPr>
          <w:rFonts w:ascii="Times New Roman" w:hAnsi="Times New Roman"/>
          <w:sz w:val="24"/>
        </w:rPr>
        <w:t xml:space="preserve"> (1986) 160 CLR 16 at 29; </w:t>
      </w:r>
      <w:r w:rsidRPr="007A7FB2">
        <w:rPr>
          <w:rFonts w:ascii="Times New Roman" w:hAnsi="Times New Roman"/>
          <w:i/>
          <w:sz w:val="24"/>
        </w:rPr>
        <w:t>Hollis v Vabu Pty Ltd</w:t>
      </w:r>
      <w:r w:rsidRPr="007A7FB2">
        <w:rPr>
          <w:rFonts w:ascii="Times New Roman" w:hAnsi="Times New Roman"/>
          <w:sz w:val="24"/>
        </w:rPr>
        <w:t xml:space="preserve"> (2001) 207 CLR 21 at 33 [24], 41 [44]; </w:t>
      </w:r>
      <w:r w:rsidRPr="007A7FB2">
        <w:rPr>
          <w:rFonts w:ascii="Times New Roman" w:hAnsi="Times New Roman"/>
          <w:i/>
          <w:sz w:val="24"/>
        </w:rPr>
        <w:t>Ermogenous v Greek Orthodox Community of SA Inc</w:t>
      </w:r>
      <w:r w:rsidRPr="007A7FB2">
        <w:rPr>
          <w:rFonts w:ascii="Times New Roman" w:hAnsi="Times New Roman"/>
          <w:sz w:val="24"/>
        </w:rPr>
        <w:t xml:space="preserve"> (2002) 209 CLR 95 at 123-124 [81]. See also </w:t>
      </w:r>
      <w:r w:rsidRPr="007A7FB2">
        <w:rPr>
          <w:rFonts w:ascii="Times New Roman" w:hAnsi="Times New Roman"/>
          <w:i/>
          <w:iCs/>
          <w:sz w:val="24"/>
        </w:rPr>
        <w:t xml:space="preserve">Logan v Gilchrist </w:t>
      </w:r>
      <w:r w:rsidRPr="007A7FB2">
        <w:rPr>
          <w:rFonts w:ascii="Times New Roman" w:hAnsi="Times New Roman"/>
          <w:sz w:val="24"/>
        </w:rPr>
        <w:t xml:space="preserve">(1927) 33 ALR 321 at 322; </w:t>
      </w:r>
      <w:r w:rsidRPr="007A7FB2">
        <w:rPr>
          <w:rFonts w:ascii="Times New Roman" w:hAnsi="Times New Roman"/>
          <w:i/>
          <w:sz w:val="24"/>
        </w:rPr>
        <w:t>Queensland Stations Pty Ltd v Federal Commissioner of Taxation</w:t>
      </w:r>
      <w:r w:rsidRPr="007A7FB2">
        <w:rPr>
          <w:rFonts w:ascii="Times New Roman" w:hAnsi="Times New Roman"/>
          <w:sz w:val="24"/>
        </w:rPr>
        <w:t xml:space="preserve"> (1945) 70 CLR 539 at 552; </w:t>
      </w:r>
      <w:r w:rsidRPr="007A7FB2">
        <w:rPr>
          <w:rFonts w:ascii="Times New Roman" w:hAnsi="Times New Roman"/>
          <w:i/>
          <w:sz w:val="24"/>
        </w:rPr>
        <w:t xml:space="preserve">Zuijs v Wirth Brothers Pty Ltd </w:t>
      </w:r>
      <w:r w:rsidRPr="007A7FB2">
        <w:rPr>
          <w:rFonts w:ascii="Times New Roman" w:hAnsi="Times New Roman"/>
          <w:sz w:val="24"/>
        </w:rPr>
        <w:t>(1955) 93</w:t>
      </w:r>
      <w:r>
        <w:rPr>
          <w:rFonts w:ascii="Times New Roman" w:hAnsi="Times New Roman"/>
          <w:sz w:val="24"/>
        </w:rPr>
        <w:t> </w:t>
      </w:r>
      <w:r w:rsidRPr="007A7FB2">
        <w:rPr>
          <w:rFonts w:ascii="Times New Roman" w:hAnsi="Times New Roman"/>
          <w:sz w:val="24"/>
        </w:rPr>
        <w:t xml:space="preserve">CLR 561; </w:t>
      </w:r>
      <w:r w:rsidRPr="007A7FB2">
        <w:rPr>
          <w:rFonts w:ascii="Times New Roman" w:hAnsi="Times New Roman"/>
          <w:i/>
          <w:sz w:val="24"/>
        </w:rPr>
        <w:t xml:space="preserve">Marshall v Whittaker's Building Supply Co </w:t>
      </w:r>
      <w:r w:rsidRPr="007A7FB2">
        <w:rPr>
          <w:rFonts w:ascii="Times New Roman" w:hAnsi="Times New Roman"/>
          <w:sz w:val="24"/>
        </w:rPr>
        <w:t xml:space="preserve">(1963) 109 CLR 210 at 218; </w:t>
      </w:r>
      <w:r w:rsidRPr="007A7FB2">
        <w:rPr>
          <w:rFonts w:ascii="Times New Roman" w:hAnsi="Times New Roman"/>
          <w:i/>
          <w:sz w:val="24"/>
        </w:rPr>
        <w:t xml:space="preserve">Federal Commissioner of Taxation v Barrett </w:t>
      </w:r>
      <w:r w:rsidRPr="007A7FB2">
        <w:rPr>
          <w:rFonts w:ascii="Times New Roman" w:hAnsi="Times New Roman"/>
          <w:sz w:val="24"/>
        </w:rPr>
        <w:t>(1973) 129 CLR 395 at 401.</w:t>
      </w:r>
    </w:p>
  </w:footnote>
  <w:footnote w:id="278">
    <w:p w14:paraId="7BAE6A00" w14:textId="77777777" w:rsidR="00782161" w:rsidRPr="007A7FB2" w:rsidRDefault="00782161" w:rsidP="007A7FB2">
      <w:pPr>
        <w:pStyle w:val="FootnoteText"/>
        <w:spacing w:line="280" w:lineRule="exact"/>
        <w:ind w:right="0"/>
        <w:jc w:val="both"/>
        <w:rPr>
          <w:rFonts w:ascii="Times New Roman" w:hAnsi="Times New Roman"/>
          <w:i/>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 xml:space="preserve">(2021) 95 ALJR 681 at 693 [57]; 392 ALR 39 at 52; see also 95 ALJR 681 at 699 [97]; 392 ALR 39 at 60, citing </w:t>
      </w:r>
      <w:r w:rsidRPr="007A7FB2">
        <w:rPr>
          <w:rFonts w:ascii="Times New Roman" w:hAnsi="Times New Roman"/>
          <w:i/>
          <w:sz w:val="24"/>
          <w:szCs w:val="18"/>
        </w:rPr>
        <w:t>R v Foster; Ex </w:t>
      </w:r>
      <w:r w:rsidRPr="007A7FB2">
        <w:rPr>
          <w:rFonts w:ascii="Times New Roman" w:hAnsi="Times New Roman"/>
          <w:i/>
          <w:sz w:val="24"/>
          <w:szCs w:val="18"/>
        </w:rPr>
        <w:t>parte</w:t>
      </w:r>
      <w:r w:rsidRPr="007A7FB2" w:rsidDel="00133BC9">
        <w:rPr>
          <w:rFonts w:ascii="Times New Roman" w:hAnsi="Times New Roman"/>
          <w:i/>
          <w:sz w:val="24"/>
          <w:szCs w:val="18"/>
        </w:rPr>
        <w:t xml:space="preserve"> </w:t>
      </w:r>
      <w:r w:rsidRPr="007A7FB2">
        <w:rPr>
          <w:rFonts w:ascii="Times New Roman" w:hAnsi="Times New Roman"/>
          <w:i/>
          <w:sz w:val="24"/>
          <w:szCs w:val="18"/>
        </w:rPr>
        <w:t xml:space="preserve">The Commonwealth Life (Amalgamated) Assurances Ltd </w:t>
      </w:r>
      <w:r w:rsidRPr="007A7FB2">
        <w:rPr>
          <w:rFonts w:ascii="Times New Roman" w:hAnsi="Times New Roman"/>
          <w:sz w:val="24"/>
          <w:szCs w:val="18"/>
        </w:rPr>
        <w:t>(1952) 85 CLR 138 at 151.</w:t>
      </w:r>
      <w:r w:rsidRPr="007A7FB2">
        <w:rPr>
          <w:rFonts w:ascii="Times New Roman" w:hAnsi="Times New Roman"/>
          <w:sz w:val="24"/>
        </w:rPr>
        <w:t xml:space="preserve"> </w:t>
      </w:r>
    </w:p>
  </w:footnote>
  <w:footnote w:id="279">
    <w:p w14:paraId="6D25826D"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WorkPac</w:t>
      </w:r>
      <w:r w:rsidRPr="007A7FB2" w:rsidDel="00AD3F46">
        <w:rPr>
          <w:rFonts w:ascii="Times New Roman" w:hAnsi="Times New Roman"/>
          <w:i/>
          <w:sz w:val="24"/>
        </w:rPr>
        <w:t xml:space="preserve"> </w:t>
      </w:r>
      <w:r w:rsidRPr="007A7FB2">
        <w:rPr>
          <w:rFonts w:ascii="Times New Roman" w:hAnsi="Times New Roman"/>
          <w:sz w:val="24"/>
        </w:rPr>
        <w:t>(2021) 95 ALJR 681 at 693 [56]; 392 ALR 39 at</w:t>
      </w:r>
      <w:r w:rsidRPr="007A7FB2">
        <w:rPr>
          <w:rFonts w:ascii="Times New Roman" w:hAnsi="Times New Roman"/>
          <w:sz w:val="24"/>
          <w:szCs w:val="24"/>
        </w:rPr>
        <w:t xml:space="preserve"> 52</w:t>
      </w:r>
      <w:r w:rsidRPr="007A7FB2">
        <w:rPr>
          <w:rFonts w:ascii="Times New Roman" w:hAnsi="Times New Roman"/>
          <w:sz w:val="24"/>
        </w:rPr>
        <w:t xml:space="preserve">, quoting </w:t>
      </w:r>
      <w:r w:rsidRPr="007A7FB2">
        <w:rPr>
          <w:rFonts w:ascii="Times New Roman" w:hAnsi="Times New Roman"/>
          <w:i/>
          <w:sz w:val="24"/>
        </w:rPr>
        <w:t>Commonwealth Bank of Australia v Barker</w:t>
      </w:r>
      <w:r w:rsidRPr="007A7FB2">
        <w:rPr>
          <w:rFonts w:ascii="Times New Roman" w:hAnsi="Times New Roman"/>
          <w:sz w:val="24"/>
        </w:rPr>
        <w:t xml:space="preserve"> (2014) 253 CLR 169 at 178 [1]. The</w:t>
      </w:r>
      <w:r>
        <w:rPr>
          <w:rFonts w:ascii="Times New Roman" w:hAnsi="Times New Roman"/>
          <w:sz w:val="24"/>
        </w:rPr>
        <w:t> </w:t>
      </w:r>
      <w:r w:rsidRPr="007A7FB2">
        <w:rPr>
          <w:rFonts w:ascii="Times New Roman" w:hAnsi="Times New Roman"/>
          <w:sz w:val="24"/>
        </w:rPr>
        <w:t xml:space="preserve">idea that the character of a legal relationship between parties depends entirely or substantially on the practical assumption of direction and control does not reflect the law in Australia: cf </w:t>
      </w:r>
      <w:r w:rsidRPr="007A7FB2">
        <w:rPr>
          <w:rFonts w:ascii="Times New Roman" w:hAnsi="Times New Roman"/>
          <w:i/>
          <w:sz w:val="24"/>
        </w:rPr>
        <w:t xml:space="preserve">Colonial Mutual Life Assurance Society Ltd v Producers and Citizens Co-operative Assurance Co of Australia Ltd </w:t>
      </w:r>
      <w:r w:rsidRPr="007A7FB2">
        <w:rPr>
          <w:rFonts w:ascii="Times New Roman" w:hAnsi="Times New Roman"/>
          <w:sz w:val="24"/>
        </w:rPr>
        <w:t xml:space="preserve">(1931) 46 CLR 41 at 48; </w:t>
      </w:r>
      <w:r w:rsidRPr="007A7FB2">
        <w:rPr>
          <w:rFonts w:ascii="Times New Roman" w:hAnsi="Times New Roman"/>
          <w:i/>
          <w:sz w:val="24"/>
          <w:szCs w:val="18"/>
        </w:rPr>
        <w:t>Attorney-General for NSW v Perpetual Trustee Co Ltd</w:t>
      </w:r>
      <w:r w:rsidRPr="007A7FB2">
        <w:rPr>
          <w:rFonts w:ascii="Times New Roman" w:hAnsi="Times New Roman"/>
          <w:sz w:val="24"/>
          <w:szCs w:val="18"/>
        </w:rPr>
        <w:t xml:space="preserve"> (1952) 85 CLR 237 at 249, 299; </w:t>
      </w:r>
      <w:r w:rsidRPr="007A7FB2">
        <w:rPr>
          <w:rFonts w:ascii="Times New Roman" w:hAnsi="Times New Roman"/>
          <w:i/>
          <w:sz w:val="24"/>
        </w:rPr>
        <w:t xml:space="preserve">Foster </w:t>
      </w:r>
      <w:r w:rsidRPr="007A7FB2">
        <w:rPr>
          <w:rFonts w:ascii="Times New Roman" w:hAnsi="Times New Roman"/>
          <w:sz w:val="24"/>
          <w:szCs w:val="18"/>
        </w:rPr>
        <w:t xml:space="preserve">(1952) 85 CLR 138 at 151, 155; </w:t>
      </w:r>
      <w:r w:rsidRPr="007A7FB2">
        <w:rPr>
          <w:rFonts w:ascii="Times New Roman" w:hAnsi="Times New Roman"/>
          <w:i/>
          <w:sz w:val="24"/>
          <w:szCs w:val="18"/>
        </w:rPr>
        <w:t>R v Alley; Ex parte NSW Plumbers &amp; Gasfitters Employees' Union</w:t>
      </w:r>
      <w:r w:rsidRPr="007A7FB2">
        <w:rPr>
          <w:rFonts w:ascii="Times New Roman" w:hAnsi="Times New Roman"/>
          <w:sz w:val="24"/>
          <w:szCs w:val="18"/>
        </w:rPr>
        <w:t xml:space="preserve"> (1981) 153 CLR 376 at 392-393, 397; see also </w:t>
      </w:r>
      <w:r w:rsidRPr="007A7FB2">
        <w:rPr>
          <w:rFonts w:ascii="Times New Roman" w:hAnsi="Times New Roman"/>
          <w:i/>
          <w:sz w:val="24"/>
        </w:rPr>
        <w:t xml:space="preserve">Bunce v Postworth Ltd </w:t>
      </w:r>
      <w:r w:rsidRPr="007A7FB2">
        <w:rPr>
          <w:rFonts w:ascii="Times New Roman" w:hAnsi="Times New Roman"/>
          <w:sz w:val="24"/>
        </w:rPr>
        <w:t xml:space="preserve">[2005] IRLR 557 at 561 [29]. </w:t>
      </w:r>
    </w:p>
  </w:footnote>
  <w:footnote w:id="280">
    <w:p w14:paraId="53097653"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Byrne v Australian Airlines Ltd</w:t>
      </w:r>
      <w:r w:rsidRPr="007A7FB2">
        <w:rPr>
          <w:rFonts w:ascii="Times New Roman" w:hAnsi="Times New Roman"/>
          <w:sz w:val="24"/>
        </w:rPr>
        <w:t xml:space="preserve"> (1995) 185 CLR 410 at 436; </w:t>
      </w:r>
      <w:r w:rsidRPr="007A7FB2">
        <w:rPr>
          <w:rFonts w:ascii="Times New Roman" w:hAnsi="Times New Roman"/>
          <w:i/>
          <w:sz w:val="24"/>
        </w:rPr>
        <w:t>Barker</w:t>
      </w:r>
      <w:r w:rsidRPr="007A7FB2">
        <w:rPr>
          <w:rFonts w:ascii="Times New Roman" w:hAnsi="Times New Roman"/>
          <w:sz w:val="24"/>
        </w:rPr>
        <w:t xml:space="preserve"> (2014) 253 CLR 169 at 182-183 [16]; </w:t>
      </w:r>
      <w:r w:rsidRPr="007A7FB2">
        <w:rPr>
          <w:rFonts w:ascii="Times New Roman" w:hAnsi="Times New Roman"/>
          <w:i/>
          <w:sz w:val="24"/>
        </w:rPr>
        <w:t xml:space="preserve">WorkPac </w:t>
      </w:r>
      <w:r w:rsidRPr="007A7FB2">
        <w:rPr>
          <w:rFonts w:ascii="Times New Roman" w:hAnsi="Times New Roman"/>
          <w:sz w:val="24"/>
        </w:rPr>
        <w:t>(2021) 95 ALJR 681 at 693 [58]; 392 ALR 39 at</w:t>
      </w:r>
      <w:r w:rsidRPr="007A7FB2">
        <w:rPr>
          <w:rFonts w:ascii="Times New Roman" w:hAnsi="Times New Roman"/>
          <w:sz w:val="24"/>
          <w:szCs w:val="24"/>
        </w:rPr>
        <w:t xml:space="preserve"> 52</w:t>
      </w:r>
      <w:r w:rsidRPr="007A7FB2">
        <w:rPr>
          <w:rFonts w:ascii="Times New Roman" w:hAnsi="Times New Roman"/>
          <w:sz w:val="24"/>
        </w:rPr>
        <w:t>.</w:t>
      </w:r>
    </w:p>
  </w:footnote>
  <w:footnote w:id="281">
    <w:p w14:paraId="2D0D2931" w14:textId="77777777" w:rsidR="00782161" w:rsidRPr="007A7FB2" w:rsidRDefault="00782161" w:rsidP="007A7FB2">
      <w:pPr>
        <w:pStyle w:val="FootnoteText"/>
        <w:spacing w:line="280" w:lineRule="exact"/>
        <w:ind w:right="0"/>
        <w:jc w:val="both"/>
        <w:rPr>
          <w:rFonts w:ascii="Times New Roman" w:hAnsi="Times New Roman"/>
          <w:i/>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 xml:space="preserve">See </w:t>
      </w:r>
      <w:r w:rsidRPr="007A7FB2">
        <w:rPr>
          <w:rFonts w:ascii="Times New Roman" w:hAnsi="Times New Roman"/>
          <w:sz w:val="24"/>
        </w:rPr>
        <w:t xml:space="preserve">fn </w:t>
      </w:r>
      <w:r>
        <w:rPr>
          <w:rFonts w:ascii="Times New Roman" w:hAnsi="Times New Roman"/>
          <w:sz w:val="24"/>
        </w:rPr>
        <w:t>276</w:t>
      </w:r>
      <w:r w:rsidRPr="007A7FB2">
        <w:rPr>
          <w:rFonts w:ascii="Times New Roman" w:hAnsi="Times New Roman"/>
          <w:sz w:val="24"/>
        </w:rPr>
        <w:t xml:space="preserve"> above</w:t>
      </w:r>
      <w:r w:rsidRPr="007A7FB2">
        <w:rPr>
          <w:rFonts w:ascii="Times New Roman" w:hAnsi="Times New Roman"/>
          <w:sz w:val="24"/>
          <w:szCs w:val="18"/>
        </w:rPr>
        <w:t xml:space="preserve">. </w:t>
      </w:r>
    </w:p>
  </w:footnote>
  <w:footnote w:id="282">
    <w:p w14:paraId="6CF20AE0"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szCs w:val="24"/>
        </w:rPr>
        <w:t>Codelfa Construction Pty Ltd v State Rail Authority of NSW</w:t>
      </w:r>
      <w:r w:rsidRPr="007A7FB2">
        <w:rPr>
          <w:rFonts w:ascii="Times New Roman" w:hAnsi="Times New Roman"/>
          <w:sz w:val="24"/>
          <w:szCs w:val="24"/>
        </w:rPr>
        <w:t xml:space="preserve"> (1982) 149 CLR 337 at 352; </w:t>
      </w:r>
      <w:r w:rsidRPr="007A7FB2">
        <w:rPr>
          <w:rFonts w:ascii="Times New Roman" w:hAnsi="Times New Roman"/>
          <w:i/>
          <w:sz w:val="24"/>
          <w:szCs w:val="24"/>
        </w:rPr>
        <w:t xml:space="preserve">Narich Pty Ltd v Commissioner of Pay-roll Tax </w:t>
      </w:r>
      <w:r w:rsidRPr="007A7FB2">
        <w:rPr>
          <w:rFonts w:ascii="Times New Roman" w:hAnsi="Times New Roman"/>
          <w:sz w:val="24"/>
          <w:szCs w:val="24"/>
        </w:rPr>
        <w:t xml:space="preserve">[1983] 2 NSWLR 597 at 601; </w:t>
      </w:r>
      <w:r w:rsidRPr="007A7FB2">
        <w:rPr>
          <w:rFonts w:ascii="Times New Roman" w:hAnsi="Times New Roman"/>
          <w:i/>
          <w:sz w:val="24"/>
          <w:szCs w:val="24"/>
        </w:rPr>
        <w:t>Connelly v Wells</w:t>
      </w:r>
      <w:r w:rsidRPr="007A7FB2">
        <w:rPr>
          <w:rFonts w:ascii="Times New Roman" w:hAnsi="Times New Roman"/>
          <w:sz w:val="24"/>
          <w:szCs w:val="24"/>
        </w:rPr>
        <w:t xml:space="preserve"> (1994) 55 IR 73 at 74; </w:t>
      </w:r>
      <w:r w:rsidRPr="007A7FB2">
        <w:rPr>
          <w:rFonts w:ascii="Times New Roman" w:hAnsi="Times New Roman"/>
          <w:i/>
          <w:sz w:val="24"/>
          <w:szCs w:val="24"/>
        </w:rPr>
        <w:t>Electricity Generation Corporation v Woodside Energy Ltd</w:t>
      </w:r>
      <w:r w:rsidRPr="007A7FB2">
        <w:rPr>
          <w:rFonts w:ascii="Times New Roman" w:hAnsi="Times New Roman"/>
          <w:sz w:val="24"/>
          <w:szCs w:val="24"/>
        </w:rPr>
        <w:t xml:space="preserve"> (2014) 251 CLR 640 at 656-657 [35]; </w:t>
      </w:r>
      <w:r w:rsidRPr="007A7FB2">
        <w:rPr>
          <w:rFonts w:ascii="Times New Roman" w:hAnsi="Times New Roman"/>
          <w:i/>
          <w:sz w:val="24"/>
          <w:szCs w:val="24"/>
        </w:rPr>
        <w:t>Mount Bruce Mining Pty Ltd v Wright Prospecting Pty Ltd</w:t>
      </w:r>
      <w:r w:rsidRPr="007A7FB2">
        <w:rPr>
          <w:rFonts w:ascii="Times New Roman" w:hAnsi="Times New Roman"/>
          <w:sz w:val="24"/>
          <w:szCs w:val="24"/>
        </w:rPr>
        <w:t xml:space="preserve"> (2015) 256 CLR 104 at 116-117 [46]-[52].</w:t>
      </w:r>
    </w:p>
  </w:footnote>
  <w:footnote w:id="283">
    <w:p w14:paraId="1C98178E"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Act, s 11 read with ss 13 and 14.</w:t>
      </w:r>
    </w:p>
  </w:footnote>
  <w:footnote w:id="284">
    <w:p w14:paraId="11CC76E2"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 xml:space="preserve">See, </w:t>
      </w:r>
      <w:r w:rsidRPr="007A7FB2">
        <w:rPr>
          <w:rFonts w:ascii="Times New Roman" w:hAnsi="Times New Roman"/>
          <w:sz w:val="24"/>
        </w:rPr>
        <w:t xml:space="preserve">eg, </w:t>
      </w:r>
      <w:r w:rsidRPr="007A7FB2">
        <w:rPr>
          <w:rFonts w:ascii="Times New Roman" w:hAnsi="Times New Roman"/>
          <w:i/>
          <w:sz w:val="24"/>
          <w:szCs w:val="24"/>
        </w:rPr>
        <w:t xml:space="preserve">Connelly </w:t>
      </w:r>
      <w:r w:rsidRPr="007A7FB2">
        <w:rPr>
          <w:rFonts w:ascii="Times New Roman" w:hAnsi="Times New Roman"/>
          <w:sz w:val="24"/>
          <w:szCs w:val="24"/>
        </w:rPr>
        <w:t>(1994) 55 IR 73 at 74.</w:t>
      </w:r>
    </w:p>
  </w:footnote>
  <w:footnote w:id="285">
    <w:p w14:paraId="6BF97CD6"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 xml:space="preserve">See, </w:t>
      </w:r>
      <w:r w:rsidRPr="007A7FB2">
        <w:rPr>
          <w:rFonts w:ascii="Times New Roman" w:hAnsi="Times New Roman"/>
          <w:sz w:val="24"/>
        </w:rPr>
        <w:t xml:space="preserve">eg, </w:t>
      </w:r>
      <w:r w:rsidRPr="007A7FB2">
        <w:rPr>
          <w:rFonts w:ascii="Times New Roman" w:hAnsi="Times New Roman"/>
          <w:i/>
          <w:sz w:val="24"/>
        </w:rPr>
        <w:t>Australian Mutual Provident Society v Chaplin</w:t>
      </w:r>
      <w:r w:rsidRPr="007A7FB2">
        <w:rPr>
          <w:rFonts w:ascii="Times New Roman" w:hAnsi="Times New Roman"/>
          <w:sz w:val="24"/>
        </w:rPr>
        <w:t xml:space="preserve"> (1978) 52 ALJR 407 at 410; 18 ALR 385 at 391; </w:t>
      </w:r>
      <w:r w:rsidRPr="007A7FB2">
        <w:rPr>
          <w:rFonts w:ascii="Times New Roman" w:hAnsi="Times New Roman"/>
          <w:i/>
          <w:sz w:val="24"/>
        </w:rPr>
        <w:t>Hollis</w:t>
      </w:r>
      <w:r w:rsidRPr="007A7FB2">
        <w:rPr>
          <w:rFonts w:ascii="Times New Roman" w:hAnsi="Times New Roman"/>
          <w:sz w:val="24"/>
        </w:rPr>
        <w:t xml:space="preserve"> (2001) 207 CLR 21 at 48-49 [68].</w:t>
      </w:r>
    </w:p>
  </w:footnote>
  <w:footnote w:id="286">
    <w:p w14:paraId="5D371B8C" w14:textId="77777777" w:rsidR="00782161" w:rsidRPr="007A7FB2" w:rsidRDefault="00782161" w:rsidP="007A7FB2">
      <w:pPr>
        <w:pStyle w:val="FootnoteText"/>
        <w:spacing w:line="280" w:lineRule="exact"/>
        <w:ind w:right="0"/>
        <w:jc w:val="both"/>
        <w:rPr>
          <w:rFonts w:ascii="Times New Roman" w:hAnsi="Times New Roman"/>
          <w:i/>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sz w:val="24"/>
        </w:rPr>
        <w:t xml:space="preserve">cf </w:t>
      </w:r>
      <w:r w:rsidRPr="007A7FB2">
        <w:rPr>
          <w:rFonts w:ascii="Times New Roman" w:hAnsi="Times New Roman"/>
          <w:i/>
          <w:sz w:val="24"/>
        </w:rPr>
        <w:t xml:space="preserve">Stevens </w:t>
      </w:r>
      <w:r w:rsidRPr="007A7FB2" w:rsidDel="00900ECD">
        <w:rPr>
          <w:rFonts w:ascii="Times New Roman" w:hAnsi="Times New Roman"/>
          <w:sz w:val="24"/>
        </w:rPr>
        <w:t xml:space="preserve">(1986) 160 CLR 16 at </w:t>
      </w:r>
      <w:r w:rsidRPr="007A7FB2">
        <w:rPr>
          <w:rFonts w:ascii="Times New Roman" w:hAnsi="Times New Roman"/>
          <w:sz w:val="24"/>
        </w:rPr>
        <w:t xml:space="preserve">24. See, eg, </w:t>
      </w:r>
      <w:r w:rsidRPr="007A7FB2">
        <w:rPr>
          <w:rFonts w:ascii="Times New Roman" w:hAnsi="Times New Roman"/>
          <w:i/>
          <w:sz w:val="24"/>
        </w:rPr>
        <w:t xml:space="preserve">Queensland Stations </w:t>
      </w:r>
      <w:r w:rsidRPr="007A7FB2">
        <w:rPr>
          <w:rFonts w:ascii="Times New Roman" w:hAnsi="Times New Roman"/>
          <w:sz w:val="24"/>
        </w:rPr>
        <w:t>(1945) 70 CLR 539 at 548, 550, 551-552.</w:t>
      </w:r>
      <w:r w:rsidRPr="007A7FB2">
        <w:rPr>
          <w:rFonts w:ascii="Times New Roman" w:hAnsi="Times New Roman"/>
          <w:i/>
          <w:sz w:val="24"/>
        </w:rPr>
        <w:t xml:space="preserve"> </w:t>
      </w:r>
    </w:p>
  </w:footnote>
  <w:footnote w:id="287">
    <w:p w14:paraId="2628A2CD"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Codelfa</w:t>
      </w:r>
      <w:r w:rsidRPr="007A7FB2">
        <w:rPr>
          <w:rFonts w:ascii="Times New Roman" w:hAnsi="Times New Roman"/>
          <w:sz w:val="24"/>
        </w:rPr>
        <w:t xml:space="preserve"> </w:t>
      </w:r>
      <w:r w:rsidRPr="007A7FB2">
        <w:rPr>
          <w:rFonts w:ascii="Times New Roman" w:hAnsi="Times New Roman"/>
          <w:sz w:val="24"/>
          <w:szCs w:val="24"/>
        </w:rPr>
        <w:t xml:space="preserve">(1982) 149 CLR 337 </w:t>
      </w:r>
      <w:r w:rsidRPr="007A7FB2">
        <w:rPr>
          <w:rFonts w:ascii="Times New Roman" w:hAnsi="Times New Roman"/>
          <w:sz w:val="24"/>
        </w:rPr>
        <w:t xml:space="preserve">at 350, 352; </w:t>
      </w:r>
      <w:r w:rsidRPr="007A7FB2">
        <w:rPr>
          <w:rFonts w:ascii="Times New Roman" w:hAnsi="Times New Roman"/>
          <w:i/>
          <w:sz w:val="24"/>
        </w:rPr>
        <w:t>Mount Bruce Mining</w:t>
      </w:r>
      <w:r w:rsidRPr="007A7FB2">
        <w:rPr>
          <w:rFonts w:ascii="Times New Roman" w:hAnsi="Times New Roman"/>
          <w:sz w:val="24"/>
        </w:rPr>
        <w:t xml:space="preserve"> (</w:t>
      </w:r>
      <w:r w:rsidRPr="007A7FB2">
        <w:rPr>
          <w:rFonts w:ascii="Times New Roman" w:hAnsi="Times New Roman"/>
          <w:sz w:val="24"/>
          <w:szCs w:val="24"/>
        </w:rPr>
        <w:t xml:space="preserve">2015) 256 CLR 104 </w:t>
      </w:r>
      <w:r w:rsidRPr="007A7FB2">
        <w:rPr>
          <w:rFonts w:ascii="Times New Roman" w:hAnsi="Times New Roman"/>
          <w:sz w:val="24"/>
        </w:rPr>
        <w:t xml:space="preserve">at 117 [50]. See also </w:t>
      </w:r>
      <w:r w:rsidRPr="007A7FB2">
        <w:rPr>
          <w:rFonts w:ascii="Times New Roman" w:hAnsi="Times New Roman"/>
          <w:i/>
          <w:sz w:val="24"/>
        </w:rPr>
        <w:t>Prenn v Simmonds</w:t>
      </w:r>
      <w:r w:rsidRPr="007A7FB2">
        <w:rPr>
          <w:rFonts w:ascii="Times New Roman" w:hAnsi="Times New Roman"/>
          <w:sz w:val="24"/>
        </w:rPr>
        <w:t xml:space="preserve"> [1971] 1 WLR 1381 at 1385; [1971] 3</w:t>
      </w:r>
      <w:r>
        <w:rPr>
          <w:rFonts w:ascii="Times New Roman" w:hAnsi="Times New Roman"/>
          <w:sz w:val="24"/>
        </w:rPr>
        <w:t> </w:t>
      </w:r>
      <w:r w:rsidRPr="007A7FB2">
        <w:rPr>
          <w:rFonts w:ascii="Times New Roman" w:hAnsi="Times New Roman"/>
          <w:sz w:val="24"/>
        </w:rPr>
        <w:t xml:space="preserve">All ER 237 at 241; </w:t>
      </w:r>
      <w:r w:rsidRPr="007A7FB2">
        <w:rPr>
          <w:rFonts w:ascii="Times New Roman" w:hAnsi="Times New Roman"/>
          <w:i/>
          <w:sz w:val="24"/>
        </w:rPr>
        <w:t xml:space="preserve">Reardon Smith Line Ltd v Yngvar Hansen-Tangen </w:t>
      </w:r>
      <w:r w:rsidRPr="007A7FB2">
        <w:rPr>
          <w:rFonts w:ascii="Times New Roman" w:hAnsi="Times New Roman"/>
          <w:sz w:val="24"/>
        </w:rPr>
        <w:t>[1976] 1</w:t>
      </w:r>
      <w:r>
        <w:rPr>
          <w:rFonts w:ascii="Times New Roman" w:hAnsi="Times New Roman"/>
          <w:sz w:val="24"/>
        </w:rPr>
        <w:t> </w:t>
      </w:r>
      <w:r w:rsidRPr="007A7FB2">
        <w:rPr>
          <w:rFonts w:ascii="Times New Roman" w:hAnsi="Times New Roman"/>
          <w:sz w:val="24"/>
        </w:rPr>
        <w:t xml:space="preserve">WLR 989 at 996; [1976] 3 All ER 570 at 574-575, citing </w:t>
      </w:r>
      <w:r w:rsidRPr="007A7FB2">
        <w:rPr>
          <w:rFonts w:ascii="Times New Roman" w:hAnsi="Times New Roman"/>
          <w:i/>
          <w:sz w:val="24"/>
        </w:rPr>
        <w:t>Lewis v Great Western Railway Co</w:t>
      </w:r>
      <w:r w:rsidRPr="007A7FB2">
        <w:rPr>
          <w:rFonts w:ascii="Times New Roman" w:hAnsi="Times New Roman"/>
          <w:sz w:val="24"/>
        </w:rPr>
        <w:t xml:space="preserve"> (1877) 3 QBD 195 at 208; </w:t>
      </w:r>
      <w:r w:rsidRPr="007A7FB2">
        <w:rPr>
          <w:rFonts w:ascii="Times New Roman" w:hAnsi="Times New Roman"/>
          <w:i/>
          <w:sz w:val="24"/>
        </w:rPr>
        <w:t>DTR Nominees Pty Ltd v Mona Homes Pty Ltd</w:t>
      </w:r>
      <w:r w:rsidRPr="007A7FB2">
        <w:rPr>
          <w:rFonts w:ascii="Times New Roman" w:hAnsi="Times New Roman"/>
          <w:sz w:val="24"/>
        </w:rPr>
        <w:t xml:space="preserve"> (1978) 138 CLR 423 at 429; </w:t>
      </w:r>
      <w:r w:rsidRPr="007A7FB2">
        <w:rPr>
          <w:rFonts w:ascii="Times New Roman" w:hAnsi="Times New Roman"/>
          <w:i/>
          <w:sz w:val="24"/>
        </w:rPr>
        <w:t>Secured Income Real Estate (Australia) Ltd v St</w:t>
      </w:r>
      <w:r>
        <w:rPr>
          <w:rFonts w:ascii="Times New Roman" w:hAnsi="Times New Roman"/>
          <w:i/>
          <w:sz w:val="24"/>
        </w:rPr>
        <w:t> </w:t>
      </w:r>
      <w:r w:rsidRPr="007A7FB2">
        <w:rPr>
          <w:rFonts w:ascii="Times New Roman" w:hAnsi="Times New Roman"/>
          <w:i/>
          <w:sz w:val="24"/>
        </w:rPr>
        <w:t>Martins Investments Pty Ltd</w:t>
      </w:r>
      <w:r w:rsidRPr="007A7FB2">
        <w:rPr>
          <w:rFonts w:ascii="Times New Roman" w:hAnsi="Times New Roman"/>
          <w:sz w:val="24"/>
        </w:rPr>
        <w:t xml:space="preserve"> (1979) 144 CLR 596 at 606.</w:t>
      </w:r>
    </w:p>
  </w:footnote>
  <w:footnote w:id="288">
    <w:p w14:paraId="7FFA5D3F"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 xml:space="preserve">See, </w:t>
      </w:r>
      <w:r w:rsidRPr="007A7FB2">
        <w:rPr>
          <w:rFonts w:ascii="Times New Roman" w:hAnsi="Times New Roman"/>
          <w:sz w:val="24"/>
        </w:rPr>
        <w:t xml:space="preserve">eg, </w:t>
      </w:r>
      <w:r w:rsidRPr="007A7FB2">
        <w:rPr>
          <w:rFonts w:ascii="Times New Roman" w:hAnsi="Times New Roman"/>
          <w:i/>
          <w:sz w:val="24"/>
        </w:rPr>
        <w:t xml:space="preserve">Federal Commissioner of Taxation v J Walter Thompson (Aust) Pty Ltd </w:t>
      </w:r>
      <w:r w:rsidRPr="007A7FB2">
        <w:rPr>
          <w:rFonts w:ascii="Times New Roman" w:hAnsi="Times New Roman"/>
          <w:sz w:val="24"/>
        </w:rPr>
        <w:t>(1944) 69 CLR 227 at 231-232.</w:t>
      </w:r>
    </w:p>
  </w:footnote>
  <w:footnote w:id="289">
    <w:p w14:paraId="42D844BB"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 xml:space="preserve">See, </w:t>
      </w:r>
      <w:r w:rsidRPr="007A7FB2">
        <w:rPr>
          <w:rFonts w:ascii="Times New Roman" w:hAnsi="Times New Roman"/>
          <w:sz w:val="24"/>
        </w:rPr>
        <w:t xml:space="preserve">eg, </w:t>
      </w:r>
      <w:r w:rsidRPr="007A7FB2">
        <w:rPr>
          <w:rFonts w:ascii="Times New Roman" w:hAnsi="Times New Roman"/>
          <w:i/>
          <w:sz w:val="24"/>
        </w:rPr>
        <w:t xml:space="preserve">Stevens </w:t>
      </w:r>
      <w:r w:rsidRPr="007A7FB2">
        <w:rPr>
          <w:rFonts w:ascii="Times New Roman" w:hAnsi="Times New Roman"/>
          <w:sz w:val="24"/>
        </w:rPr>
        <w:t xml:space="preserve">(1986) 160 CLR 16 at 24, 25, 37; </w:t>
      </w:r>
      <w:r w:rsidRPr="007A7FB2">
        <w:rPr>
          <w:rFonts w:ascii="Times New Roman" w:hAnsi="Times New Roman"/>
          <w:i/>
          <w:sz w:val="24"/>
        </w:rPr>
        <w:t>Hollis</w:t>
      </w:r>
      <w:r w:rsidRPr="007A7FB2">
        <w:rPr>
          <w:rFonts w:ascii="Times New Roman" w:hAnsi="Times New Roman"/>
          <w:sz w:val="24"/>
        </w:rPr>
        <w:t xml:space="preserve"> (2001) 207 CLR 21 at 41 [47], 42 [50], 44 [56].</w:t>
      </w:r>
    </w:p>
  </w:footnote>
  <w:footnote w:id="290">
    <w:p w14:paraId="7DD183BC"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 xml:space="preserve">Agricultural and Rural Finance Pty Ltd v Gardiner </w:t>
      </w:r>
      <w:r w:rsidRPr="007A7FB2">
        <w:rPr>
          <w:rFonts w:ascii="Times New Roman" w:hAnsi="Times New Roman"/>
          <w:sz w:val="24"/>
        </w:rPr>
        <w:t xml:space="preserve">(2008) 238 CLR 570 at 582 [35], quoting </w:t>
      </w:r>
      <w:r w:rsidRPr="007A7FB2">
        <w:rPr>
          <w:rFonts w:ascii="Times New Roman" w:hAnsi="Times New Roman"/>
          <w:i/>
          <w:sz w:val="24"/>
        </w:rPr>
        <w:t>James Miller &amp; Partners Ltd v Whitworth Street Estates (Manchester) Ltd</w:t>
      </w:r>
      <w:r w:rsidRPr="007A7FB2">
        <w:rPr>
          <w:rFonts w:ascii="Times New Roman" w:hAnsi="Times New Roman"/>
          <w:sz w:val="24"/>
        </w:rPr>
        <w:t xml:space="preserve"> [1970] AC 583 at 603, repeated in </w:t>
      </w:r>
      <w:r w:rsidRPr="007A7FB2">
        <w:rPr>
          <w:rFonts w:ascii="Times New Roman" w:hAnsi="Times New Roman"/>
          <w:i/>
          <w:sz w:val="24"/>
        </w:rPr>
        <w:t xml:space="preserve">Administration of Papua and New Guinea v </w:t>
      </w:r>
      <w:r w:rsidRPr="007A7FB2">
        <w:rPr>
          <w:rFonts w:ascii="Times New Roman" w:hAnsi="Times New Roman"/>
          <w:i/>
          <w:sz w:val="24"/>
        </w:rPr>
        <w:t>Daera Guba</w:t>
      </w:r>
      <w:r w:rsidRPr="007A7FB2">
        <w:rPr>
          <w:rFonts w:ascii="Times New Roman" w:hAnsi="Times New Roman"/>
          <w:sz w:val="24"/>
        </w:rPr>
        <w:t xml:space="preserve"> (1973) 130 CLR 353 at 446. See also </w:t>
      </w:r>
      <w:r w:rsidRPr="007A7FB2">
        <w:rPr>
          <w:rFonts w:ascii="Times New Roman" w:hAnsi="Times New Roman"/>
          <w:i/>
          <w:sz w:val="24"/>
        </w:rPr>
        <w:t xml:space="preserve">Chaplin </w:t>
      </w:r>
      <w:r w:rsidRPr="007A7FB2">
        <w:rPr>
          <w:rFonts w:ascii="Times New Roman" w:hAnsi="Times New Roman"/>
          <w:sz w:val="24"/>
        </w:rPr>
        <w:t xml:space="preserve">(1978) 52 ALJR 407 at 411; 18 ALR 385 at 392; </w:t>
      </w:r>
      <w:r w:rsidRPr="007A7FB2">
        <w:rPr>
          <w:rFonts w:ascii="Times New Roman" w:hAnsi="Times New Roman"/>
          <w:i/>
          <w:sz w:val="24"/>
        </w:rPr>
        <w:t>Codelfa</w:t>
      </w:r>
      <w:r w:rsidRPr="007A7FB2">
        <w:rPr>
          <w:rFonts w:ascii="Times New Roman" w:hAnsi="Times New Roman"/>
          <w:sz w:val="24"/>
        </w:rPr>
        <w:t xml:space="preserve"> </w:t>
      </w:r>
      <w:r w:rsidRPr="007A7FB2">
        <w:rPr>
          <w:rFonts w:ascii="Times New Roman" w:hAnsi="Times New Roman"/>
          <w:sz w:val="24"/>
          <w:szCs w:val="24"/>
        </w:rPr>
        <w:t xml:space="preserve">(1982) 149 CLR 337 </w:t>
      </w:r>
      <w:r w:rsidRPr="007A7FB2">
        <w:rPr>
          <w:rFonts w:ascii="Times New Roman" w:hAnsi="Times New Roman"/>
          <w:sz w:val="24"/>
        </w:rPr>
        <w:t xml:space="preserve">at 348, quoting </w:t>
      </w:r>
      <w:r w:rsidRPr="007A7FB2">
        <w:rPr>
          <w:rFonts w:ascii="Times New Roman" w:hAnsi="Times New Roman"/>
          <w:i/>
          <w:sz w:val="24"/>
        </w:rPr>
        <w:t>L Schuler AG v Wickman Machine Tool Sales Ltd</w:t>
      </w:r>
      <w:r w:rsidRPr="007A7FB2">
        <w:rPr>
          <w:rFonts w:ascii="Times New Roman" w:hAnsi="Times New Roman"/>
          <w:sz w:val="24"/>
        </w:rPr>
        <w:t xml:space="preserve"> [1974] AC 235 at 261.</w:t>
      </w:r>
    </w:p>
  </w:footnote>
  <w:footnote w:id="291">
    <w:p w14:paraId="69B7C046"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 xml:space="preserve">See Seddon and Bigwood, </w:t>
      </w:r>
      <w:r w:rsidRPr="007A7FB2">
        <w:rPr>
          <w:rFonts w:ascii="Times New Roman" w:hAnsi="Times New Roman"/>
          <w:i/>
          <w:sz w:val="24"/>
        </w:rPr>
        <w:t xml:space="preserve">Cheshire and </w:t>
      </w:r>
      <w:r w:rsidRPr="007A7FB2">
        <w:rPr>
          <w:rFonts w:ascii="Times New Roman" w:hAnsi="Times New Roman"/>
          <w:i/>
          <w:sz w:val="24"/>
        </w:rPr>
        <w:t>Fifoot Law of Contract</w:t>
      </w:r>
      <w:r w:rsidRPr="007A7FB2">
        <w:rPr>
          <w:rFonts w:ascii="Times New Roman" w:hAnsi="Times New Roman"/>
          <w:sz w:val="24"/>
        </w:rPr>
        <w:t>, 11th Aust ed (2017)</w:t>
      </w:r>
      <w:r w:rsidRPr="007A7FB2">
        <w:rPr>
          <w:rFonts w:ascii="Times New Roman" w:hAnsi="Times New Roman"/>
          <w:i/>
          <w:sz w:val="24"/>
        </w:rPr>
        <w:t xml:space="preserve"> </w:t>
      </w:r>
      <w:r w:rsidRPr="007A7FB2">
        <w:rPr>
          <w:rFonts w:ascii="Times New Roman" w:hAnsi="Times New Roman"/>
          <w:sz w:val="24"/>
        </w:rPr>
        <w:t xml:space="preserve">at 448 [10.16]; Herzfeld and Prince, </w:t>
      </w:r>
      <w:r w:rsidRPr="007A7FB2">
        <w:rPr>
          <w:rFonts w:ascii="Times New Roman" w:hAnsi="Times New Roman"/>
          <w:i/>
          <w:sz w:val="24"/>
        </w:rPr>
        <w:t>Interpretation</w:t>
      </w:r>
      <w:r w:rsidRPr="007A7FB2">
        <w:rPr>
          <w:rFonts w:ascii="Times New Roman" w:hAnsi="Times New Roman"/>
          <w:sz w:val="24"/>
        </w:rPr>
        <w:t>, 2nd ed</w:t>
      </w:r>
      <w:r w:rsidRPr="007A7FB2">
        <w:rPr>
          <w:rFonts w:ascii="Times New Roman" w:hAnsi="Times New Roman"/>
          <w:i/>
          <w:sz w:val="24"/>
        </w:rPr>
        <w:t xml:space="preserve"> </w:t>
      </w:r>
      <w:r w:rsidRPr="007A7FB2">
        <w:rPr>
          <w:rFonts w:ascii="Times New Roman" w:hAnsi="Times New Roman"/>
          <w:sz w:val="24"/>
        </w:rPr>
        <w:t>(2020)</w:t>
      </w:r>
      <w:r w:rsidRPr="007A7FB2">
        <w:rPr>
          <w:rFonts w:ascii="Times New Roman" w:hAnsi="Times New Roman"/>
          <w:i/>
          <w:sz w:val="24"/>
        </w:rPr>
        <w:t xml:space="preserve"> </w:t>
      </w:r>
      <w:r w:rsidRPr="007A7FB2">
        <w:rPr>
          <w:rFonts w:ascii="Times New Roman" w:hAnsi="Times New Roman"/>
          <w:sz w:val="24"/>
        </w:rPr>
        <w:t>at 601 [29.150]. This is also sometimes referred to as "post-contractual conduct" or</w:t>
      </w:r>
      <w:r>
        <w:rPr>
          <w:rFonts w:ascii="Times New Roman" w:hAnsi="Times New Roman"/>
          <w:sz w:val="24"/>
        </w:rPr>
        <w:t> </w:t>
      </w:r>
      <w:r w:rsidRPr="007A7FB2">
        <w:rPr>
          <w:rFonts w:ascii="Times New Roman" w:hAnsi="Times New Roman"/>
          <w:sz w:val="24"/>
        </w:rPr>
        <w:t>"extrinsic evidence".</w:t>
      </w:r>
    </w:p>
  </w:footnote>
  <w:footnote w:id="292">
    <w:p w14:paraId="49583CBC"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 xml:space="preserve">[1970] AC 583 at 603. See also </w:t>
      </w:r>
      <w:r w:rsidRPr="007A7FB2">
        <w:rPr>
          <w:rFonts w:ascii="Times New Roman" w:hAnsi="Times New Roman"/>
          <w:i/>
          <w:sz w:val="24"/>
        </w:rPr>
        <w:t xml:space="preserve">Bacchus Marsh Concentrated Milk Co Ltd (In </w:t>
      </w:r>
      <w:r w:rsidRPr="007A7FB2">
        <w:rPr>
          <w:rFonts w:ascii="Times New Roman" w:hAnsi="Times New Roman"/>
          <w:i/>
          <w:sz w:val="24"/>
        </w:rPr>
        <w:t xml:space="preserve">liq) v Joseph Nathan &amp; Co Ltd </w:t>
      </w:r>
      <w:r w:rsidRPr="007A7FB2">
        <w:rPr>
          <w:rFonts w:ascii="Times New Roman" w:hAnsi="Times New Roman"/>
          <w:sz w:val="24"/>
        </w:rPr>
        <w:t xml:space="preserve">(1919) 26 CLR 410 at 451-452, cited in Seddon and Bigwood, </w:t>
      </w:r>
      <w:r w:rsidRPr="007A7FB2">
        <w:rPr>
          <w:rFonts w:ascii="Times New Roman" w:hAnsi="Times New Roman"/>
          <w:i/>
          <w:sz w:val="24"/>
        </w:rPr>
        <w:t>Cheshire and Fifoot Law of Contract</w:t>
      </w:r>
      <w:r w:rsidRPr="007A7FB2">
        <w:rPr>
          <w:rFonts w:ascii="Times New Roman" w:hAnsi="Times New Roman"/>
          <w:sz w:val="24"/>
        </w:rPr>
        <w:t>, 11th Aust ed (2017)</w:t>
      </w:r>
      <w:r w:rsidRPr="007A7FB2">
        <w:rPr>
          <w:rFonts w:ascii="Times New Roman" w:hAnsi="Times New Roman"/>
          <w:i/>
          <w:sz w:val="24"/>
        </w:rPr>
        <w:t xml:space="preserve"> </w:t>
      </w:r>
      <w:r w:rsidRPr="007A7FB2">
        <w:rPr>
          <w:rFonts w:ascii="Times New Roman" w:hAnsi="Times New Roman"/>
          <w:sz w:val="24"/>
        </w:rPr>
        <w:t xml:space="preserve">at 424 [10.4]. See also </w:t>
      </w:r>
      <w:r w:rsidRPr="007A7FB2">
        <w:rPr>
          <w:rFonts w:ascii="Times New Roman" w:hAnsi="Times New Roman"/>
          <w:i/>
          <w:sz w:val="24"/>
        </w:rPr>
        <w:t>Codelfa</w:t>
      </w:r>
      <w:r w:rsidRPr="007A7FB2">
        <w:rPr>
          <w:rFonts w:ascii="Times New Roman" w:hAnsi="Times New Roman"/>
          <w:sz w:val="24"/>
        </w:rPr>
        <w:t xml:space="preserve"> </w:t>
      </w:r>
      <w:r w:rsidRPr="007A7FB2">
        <w:rPr>
          <w:rFonts w:ascii="Times New Roman" w:hAnsi="Times New Roman"/>
          <w:sz w:val="24"/>
          <w:szCs w:val="24"/>
        </w:rPr>
        <w:t xml:space="preserve">(1982) 149 CLR 337 </w:t>
      </w:r>
      <w:r w:rsidRPr="007A7FB2">
        <w:rPr>
          <w:rFonts w:ascii="Times New Roman" w:hAnsi="Times New Roman"/>
          <w:sz w:val="24"/>
        </w:rPr>
        <w:t xml:space="preserve">at 347-348; </w:t>
      </w:r>
      <w:r w:rsidRPr="007A7FB2">
        <w:rPr>
          <w:rFonts w:ascii="Times New Roman" w:hAnsi="Times New Roman"/>
          <w:i/>
          <w:sz w:val="24"/>
        </w:rPr>
        <w:t xml:space="preserve">Equuscorp Pty Ltd v Glengallan Investments Pty Ltd </w:t>
      </w:r>
      <w:r w:rsidRPr="007A7FB2">
        <w:rPr>
          <w:rFonts w:ascii="Times New Roman" w:hAnsi="Times New Roman"/>
          <w:sz w:val="24"/>
        </w:rPr>
        <w:t>(2004) 218 CLR 471 at 483-484 [35].</w:t>
      </w:r>
    </w:p>
  </w:footnote>
  <w:footnote w:id="293">
    <w:p w14:paraId="591EC313"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Daera Guba</w:t>
      </w:r>
      <w:r w:rsidRPr="007A7FB2">
        <w:rPr>
          <w:rFonts w:ascii="Times New Roman" w:hAnsi="Times New Roman"/>
          <w:sz w:val="24"/>
        </w:rPr>
        <w:t xml:space="preserve"> (1973) 130 CLR 353 at 446; </w:t>
      </w:r>
      <w:r w:rsidRPr="007A7FB2">
        <w:rPr>
          <w:rFonts w:ascii="Times New Roman" w:hAnsi="Times New Roman"/>
          <w:i/>
          <w:sz w:val="24"/>
        </w:rPr>
        <w:t>L Schuler</w:t>
      </w:r>
      <w:r w:rsidRPr="007A7FB2" w:rsidDel="00DB3E94">
        <w:rPr>
          <w:rFonts w:ascii="Times New Roman" w:hAnsi="Times New Roman"/>
          <w:i/>
          <w:sz w:val="24"/>
        </w:rPr>
        <w:t xml:space="preserve"> </w:t>
      </w:r>
      <w:r w:rsidRPr="007A7FB2">
        <w:rPr>
          <w:rFonts w:ascii="Times New Roman" w:hAnsi="Times New Roman"/>
          <w:sz w:val="24"/>
        </w:rPr>
        <w:t xml:space="preserve">[1974] AC 235 at 261; </w:t>
      </w:r>
      <w:r w:rsidRPr="007A7FB2">
        <w:rPr>
          <w:rFonts w:ascii="Times New Roman" w:hAnsi="Times New Roman"/>
          <w:i/>
          <w:sz w:val="24"/>
        </w:rPr>
        <w:t>Equuscorp</w:t>
      </w:r>
      <w:r w:rsidRPr="007A7FB2" w:rsidDel="00DB3E94">
        <w:rPr>
          <w:rFonts w:ascii="Times New Roman" w:hAnsi="Times New Roman"/>
          <w:i/>
          <w:sz w:val="24"/>
        </w:rPr>
        <w:t xml:space="preserve"> </w:t>
      </w:r>
      <w:r w:rsidRPr="007A7FB2">
        <w:rPr>
          <w:rFonts w:ascii="Times New Roman" w:hAnsi="Times New Roman"/>
          <w:sz w:val="24"/>
        </w:rPr>
        <w:t xml:space="preserve">(2004) 218 CLR 471 at 483-484 [35]. See also Herzfeld and Prince, </w:t>
      </w:r>
      <w:r w:rsidRPr="007A7FB2">
        <w:rPr>
          <w:rFonts w:ascii="Times New Roman" w:hAnsi="Times New Roman"/>
          <w:i/>
          <w:sz w:val="24"/>
        </w:rPr>
        <w:t>Interpretation</w:t>
      </w:r>
      <w:r w:rsidRPr="007A7FB2">
        <w:rPr>
          <w:rFonts w:ascii="Times New Roman" w:hAnsi="Times New Roman"/>
          <w:sz w:val="24"/>
        </w:rPr>
        <w:t>, 2nd ed</w:t>
      </w:r>
      <w:r w:rsidRPr="007A7FB2">
        <w:rPr>
          <w:rFonts w:ascii="Times New Roman" w:hAnsi="Times New Roman"/>
          <w:i/>
          <w:sz w:val="24"/>
        </w:rPr>
        <w:t xml:space="preserve"> </w:t>
      </w:r>
      <w:r w:rsidRPr="007A7FB2">
        <w:rPr>
          <w:rFonts w:ascii="Times New Roman" w:hAnsi="Times New Roman"/>
          <w:sz w:val="24"/>
        </w:rPr>
        <w:t>(2020)</w:t>
      </w:r>
      <w:r w:rsidRPr="007A7FB2">
        <w:rPr>
          <w:rFonts w:ascii="Times New Roman" w:hAnsi="Times New Roman"/>
          <w:i/>
          <w:sz w:val="24"/>
        </w:rPr>
        <w:t xml:space="preserve"> </w:t>
      </w:r>
      <w:r w:rsidRPr="007A7FB2">
        <w:rPr>
          <w:rFonts w:ascii="Times New Roman" w:hAnsi="Times New Roman"/>
          <w:sz w:val="24"/>
        </w:rPr>
        <w:t>at 601 [29.150].</w:t>
      </w:r>
    </w:p>
  </w:footnote>
  <w:footnote w:id="294">
    <w:p w14:paraId="0C2E9462"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 xml:space="preserve">Brambles Holdings Ltd v Bathurst City Council </w:t>
      </w:r>
      <w:r w:rsidRPr="007A7FB2">
        <w:rPr>
          <w:rFonts w:ascii="Times New Roman" w:hAnsi="Times New Roman"/>
          <w:sz w:val="24"/>
        </w:rPr>
        <w:t xml:space="preserve">(2001) 53 NSWLR 153 at 163-164 [25], citing, among other cases, </w:t>
      </w:r>
      <w:r w:rsidRPr="007A7FB2">
        <w:rPr>
          <w:rFonts w:ascii="Times New Roman" w:hAnsi="Times New Roman"/>
          <w:i/>
          <w:sz w:val="24"/>
        </w:rPr>
        <w:t xml:space="preserve">Howard Smith &amp; Co Ltd v </w:t>
      </w:r>
      <w:r w:rsidRPr="007A7FB2">
        <w:rPr>
          <w:rFonts w:ascii="Times New Roman" w:hAnsi="Times New Roman"/>
          <w:i/>
          <w:sz w:val="24"/>
        </w:rPr>
        <w:t xml:space="preserve">Varawa </w:t>
      </w:r>
      <w:r w:rsidRPr="007A7FB2">
        <w:rPr>
          <w:rFonts w:ascii="Times New Roman" w:hAnsi="Times New Roman"/>
          <w:sz w:val="24"/>
        </w:rPr>
        <w:t xml:space="preserve">(1907) 5 CLR 68 at 77 and </w:t>
      </w:r>
      <w:r w:rsidRPr="007A7FB2">
        <w:rPr>
          <w:rFonts w:ascii="Times New Roman" w:hAnsi="Times New Roman"/>
          <w:i/>
          <w:sz w:val="24"/>
        </w:rPr>
        <w:t xml:space="preserve">Barrier Wharfs Ltd v W Scott Fell &amp; Co Ltd </w:t>
      </w:r>
      <w:r w:rsidRPr="007A7FB2">
        <w:rPr>
          <w:rFonts w:ascii="Times New Roman" w:hAnsi="Times New Roman"/>
          <w:sz w:val="24"/>
        </w:rPr>
        <w:t xml:space="preserve">(1908) 5 CLR 647 at 668, 669, 672; </w:t>
      </w:r>
      <w:r w:rsidRPr="007A7FB2">
        <w:rPr>
          <w:rFonts w:ascii="Times New Roman" w:hAnsi="Times New Roman"/>
          <w:i/>
          <w:sz w:val="24"/>
        </w:rPr>
        <w:t xml:space="preserve">Franklins Pty Ltd v Metcash Trading Ltd </w:t>
      </w:r>
      <w:r w:rsidRPr="007A7FB2">
        <w:rPr>
          <w:rFonts w:ascii="Times New Roman" w:hAnsi="Times New Roman"/>
          <w:sz w:val="24"/>
        </w:rPr>
        <w:t xml:space="preserve">(2009) 76 NSWLR 603 at 616 [13]; </w:t>
      </w:r>
      <w:r w:rsidRPr="007A7FB2">
        <w:rPr>
          <w:rFonts w:ascii="Times New Roman" w:hAnsi="Times New Roman"/>
          <w:i/>
          <w:sz w:val="24"/>
        </w:rPr>
        <w:t>GC NSW Pty Ltd v Galati</w:t>
      </w:r>
      <w:r w:rsidRPr="007A7FB2">
        <w:rPr>
          <w:rFonts w:ascii="Times New Roman" w:hAnsi="Times New Roman"/>
          <w:sz w:val="24"/>
        </w:rPr>
        <w:t xml:space="preserve"> [2020] NSWCA 326 at [92]. See, eg, </w:t>
      </w:r>
      <w:r w:rsidRPr="007A7FB2">
        <w:rPr>
          <w:rFonts w:ascii="Times New Roman" w:hAnsi="Times New Roman"/>
          <w:i/>
          <w:sz w:val="24"/>
        </w:rPr>
        <w:t xml:space="preserve">Humberstone v Northern Timber Mills </w:t>
      </w:r>
      <w:r w:rsidRPr="007A7FB2">
        <w:rPr>
          <w:rFonts w:ascii="Times New Roman" w:hAnsi="Times New Roman"/>
          <w:sz w:val="24"/>
        </w:rPr>
        <w:t>(1949) 79 CLR 389 at</w:t>
      </w:r>
      <w:r w:rsidRPr="007A7FB2">
        <w:rPr>
          <w:rFonts w:ascii="Times New Roman" w:hAnsi="Times New Roman"/>
          <w:i/>
          <w:sz w:val="24"/>
        </w:rPr>
        <w:t xml:space="preserve"> </w:t>
      </w:r>
      <w:r w:rsidRPr="007A7FB2">
        <w:rPr>
          <w:rFonts w:ascii="Times New Roman" w:hAnsi="Times New Roman"/>
          <w:sz w:val="24"/>
        </w:rPr>
        <w:t>398,</w:t>
      </w:r>
      <w:r w:rsidRPr="007A7FB2">
        <w:rPr>
          <w:rFonts w:ascii="Times New Roman" w:hAnsi="Times New Roman"/>
          <w:i/>
          <w:sz w:val="24"/>
        </w:rPr>
        <w:t xml:space="preserve"> </w:t>
      </w:r>
      <w:r w:rsidRPr="007A7FB2">
        <w:rPr>
          <w:rFonts w:ascii="Times New Roman" w:hAnsi="Times New Roman"/>
          <w:sz w:val="24"/>
        </w:rPr>
        <w:t xml:space="preserve">403; </w:t>
      </w:r>
      <w:r w:rsidRPr="007A7FB2">
        <w:rPr>
          <w:rFonts w:ascii="Times New Roman" w:hAnsi="Times New Roman"/>
          <w:i/>
          <w:sz w:val="24"/>
        </w:rPr>
        <w:t xml:space="preserve">Neale v Atlas Products (Vic) Pty Ltd </w:t>
      </w:r>
      <w:r w:rsidRPr="007A7FB2">
        <w:rPr>
          <w:rFonts w:ascii="Times New Roman" w:hAnsi="Times New Roman"/>
          <w:sz w:val="24"/>
        </w:rPr>
        <w:t>(1955) 94 CLR 419 at 426</w:t>
      </w:r>
      <w:r w:rsidRPr="007A7FB2">
        <w:rPr>
          <w:rFonts w:ascii="Times New Roman" w:hAnsi="Times New Roman"/>
          <w:sz w:val="24"/>
        </w:rPr>
        <w:noBreakHyphen/>
        <w:t xml:space="preserve">428; </w:t>
      </w:r>
      <w:r w:rsidRPr="007A7FB2">
        <w:rPr>
          <w:rFonts w:ascii="Times New Roman" w:hAnsi="Times New Roman"/>
          <w:i/>
          <w:sz w:val="24"/>
        </w:rPr>
        <w:t xml:space="preserve">Zuijs </w:t>
      </w:r>
      <w:r w:rsidRPr="007A7FB2">
        <w:rPr>
          <w:rFonts w:ascii="Times New Roman" w:hAnsi="Times New Roman"/>
          <w:sz w:val="24"/>
        </w:rPr>
        <w:t>(1955) 93 CLR 561 at 567-568, 575.</w:t>
      </w:r>
    </w:p>
  </w:footnote>
  <w:footnote w:id="295">
    <w:p w14:paraId="71FF3D54"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 xml:space="preserve">Byrne </w:t>
      </w:r>
      <w:r w:rsidRPr="007A7FB2">
        <w:rPr>
          <w:rFonts w:ascii="Times New Roman" w:hAnsi="Times New Roman"/>
          <w:sz w:val="24"/>
        </w:rPr>
        <w:t xml:space="preserve">(1995) 185 CLR 410 at 442. See, </w:t>
      </w:r>
      <w:r w:rsidRPr="007A7FB2">
        <w:rPr>
          <w:rFonts w:ascii="Times New Roman" w:hAnsi="Times New Roman"/>
          <w:sz w:val="24"/>
        </w:rPr>
        <w:t xml:space="preserve">eg, </w:t>
      </w:r>
      <w:r w:rsidRPr="007A7FB2">
        <w:rPr>
          <w:rFonts w:ascii="Times New Roman" w:hAnsi="Times New Roman"/>
          <w:i/>
          <w:sz w:val="24"/>
        </w:rPr>
        <w:t xml:space="preserve">Humberstone </w:t>
      </w:r>
      <w:r w:rsidRPr="007A7FB2">
        <w:rPr>
          <w:rFonts w:ascii="Times New Roman" w:hAnsi="Times New Roman"/>
          <w:sz w:val="24"/>
        </w:rPr>
        <w:t xml:space="preserve">(1949) 79 CLR 389 at 398, 403; </w:t>
      </w:r>
      <w:r w:rsidRPr="007A7FB2">
        <w:rPr>
          <w:rFonts w:ascii="Times New Roman" w:hAnsi="Times New Roman"/>
          <w:i/>
          <w:sz w:val="24"/>
        </w:rPr>
        <w:t xml:space="preserve">Humberstone v Northern Timber Mills </w:t>
      </w:r>
      <w:r w:rsidRPr="007A7FB2">
        <w:rPr>
          <w:rFonts w:ascii="Times New Roman" w:hAnsi="Times New Roman"/>
          <w:sz w:val="24"/>
        </w:rPr>
        <w:t xml:space="preserve">[1949] VLR 351 at 357-358; </w:t>
      </w:r>
      <w:r w:rsidRPr="007A7FB2">
        <w:rPr>
          <w:rFonts w:ascii="Times New Roman" w:hAnsi="Times New Roman"/>
          <w:i/>
          <w:sz w:val="24"/>
        </w:rPr>
        <w:t>Neale</w:t>
      </w:r>
      <w:r>
        <w:rPr>
          <w:rFonts w:ascii="Times New Roman" w:hAnsi="Times New Roman"/>
          <w:i/>
          <w:sz w:val="24"/>
        </w:rPr>
        <w:t> </w:t>
      </w:r>
      <w:r w:rsidRPr="007A7FB2">
        <w:rPr>
          <w:rFonts w:ascii="Times New Roman" w:hAnsi="Times New Roman"/>
          <w:sz w:val="24"/>
        </w:rPr>
        <w:t>(1955) 94 CLR 419 at 426</w:t>
      </w:r>
      <w:r w:rsidRPr="007A7FB2">
        <w:rPr>
          <w:rFonts w:ascii="Times New Roman" w:hAnsi="Times New Roman"/>
          <w:sz w:val="24"/>
        </w:rPr>
        <w:noBreakHyphen/>
        <w:t xml:space="preserve">428; </w:t>
      </w:r>
      <w:r w:rsidRPr="007A7FB2">
        <w:rPr>
          <w:rFonts w:ascii="Times New Roman" w:hAnsi="Times New Roman"/>
          <w:i/>
          <w:sz w:val="24"/>
        </w:rPr>
        <w:t xml:space="preserve">Zuijs </w:t>
      </w:r>
      <w:r w:rsidRPr="007A7FB2">
        <w:rPr>
          <w:rFonts w:ascii="Times New Roman" w:hAnsi="Times New Roman"/>
          <w:sz w:val="24"/>
        </w:rPr>
        <w:t xml:space="preserve">(1955) 93 CLR 561 at 567-568, 575; </w:t>
      </w:r>
      <w:r w:rsidRPr="007A7FB2">
        <w:rPr>
          <w:rFonts w:ascii="Times New Roman" w:hAnsi="Times New Roman"/>
          <w:i/>
          <w:sz w:val="24"/>
        </w:rPr>
        <w:t xml:space="preserve">Marshall </w:t>
      </w:r>
      <w:r w:rsidRPr="007A7FB2">
        <w:rPr>
          <w:rFonts w:ascii="Times New Roman" w:hAnsi="Times New Roman"/>
          <w:sz w:val="24"/>
        </w:rPr>
        <w:t xml:space="preserve">(1963) 109 CLR 210 at 212, 218; </w:t>
      </w:r>
      <w:r w:rsidRPr="007A7FB2">
        <w:rPr>
          <w:rFonts w:ascii="Times New Roman" w:hAnsi="Times New Roman"/>
          <w:i/>
          <w:sz w:val="24"/>
        </w:rPr>
        <w:t xml:space="preserve">Barrett </w:t>
      </w:r>
      <w:r w:rsidRPr="007A7FB2">
        <w:rPr>
          <w:rFonts w:ascii="Times New Roman" w:hAnsi="Times New Roman"/>
          <w:sz w:val="24"/>
        </w:rPr>
        <w:t xml:space="preserve">(1973) 129 CLR 395 at 400 but see also </w:t>
      </w:r>
      <w:r w:rsidRPr="007A7FB2">
        <w:rPr>
          <w:rFonts w:ascii="Times New Roman" w:hAnsi="Times New Roman"/>
          <w:i/>
          <w:sz w:val="24"/>
        </w:rPr>
        <w:t>Barrett v Federal Commissioner of Taxation</w:t>
      </w:r>
      <w:r w:rsidRPr="007A7FB2">
        <w:rPr>
          <w:rFonts w:ascii="Times New Roman" w:hAnsi="Times New Roman"/>
          <w:sz w:val="24"/>
        </w:rPr>
        <w:t xml:space="preserve"> 72 ATC 457 at 460-461.</w:t>
      </w:r>
    </w:p>
  </w:footnote>
  <w:footnote w:id="296">
    <w:p w14:paraId="67E0B587"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 xml:space="preserve">Phillips v </w:t>
      </w:r>
      <w:r w:rsidRPr="007A7FB2">
        <w:rPr>
          <w:rFonts w:ascii="Times New Roman" w:hAnsi="Times New Roman"/>
          <w:i/>
          <w:sz w:val="24"/>
        </w:rPr>
        <w:t xml:space="preserve">Ellinson Brothers Pty Ltd </w:t>
      </w:r>
      <w:r w:rsidRPr="007A7FB2">
        <w:rPr>
          <w:rFonts w:ascii="Times New Roman" w:hAnsi="Times New Roman"/>
          <w:sz w:val="24"/>
        </w:rPr>
        <w:t>(1941) 65 CLR 221 at 243</w:t>
      </w:r>
      <w:r w:rsidRPr="007A7FB2">
        <w:rPr>
          <w:rFonts w:ascii="Times New Roman" w:hAnsi="Times New Roman"/>
          <w:sz w:val="24"/>
        </w:rPr>
        <w:noBreakHyphen/>
        <w:t xml:space="preserve">244; </w:t>
      </w:r>
      <w:r w:rsidRPr="007A7FB2">
        <w:rPr>
          <w:rFonts w:ascii="Times New Roman" w:hAnsi="Times New Roman"/>
          <w:i/>
          <w:sz w:val="24"/>
        </w:rPr>
        <w:t xml:space="preserve">Humberstone </w:t>
      </w:r>
      <w:r w:rsidRPr="007A7FB2">
        <w:rPr>
          <w:rFonts w:ascii="Times New Roman" w:hAnsi="Times New Roman"/>
          <w:sz w:val="24"/>
        </w:rPr>
        <w:t xml:space="preserve">(1949) 79 CLR 389 at 398; </w:t>
      </w:r>
      <w:r w:rsidRPr="007A7FB2">
        <w:rPr>
          <w:rFonts w:ascii="Times New Roman" w:hAnsi="Times New Roman"/>
          <w:i/>
          <w:sz w:val="24"/>
        </w:rPr>
        <w:t xml:space="preserve">Humberstone </w:t>
      </w:r>
      <w:r w:rsidRPr="007A7FB2">
        <w:rPr>
          <w:rFonts w:ascii="Times New Roman" w:hAnsi="Times New Roman"/>
          <w:sz w:val="24"/>
        </w:rPr>
        <w:t>[1949] VLR 351 at 357</w:t>
      </w:r>
      <w:r w:rsidRPr="007A7FB2">
        <w:rPr>
          <w:rFonts w:ascii="Times New Roman" w:hAnsi="Times New Roman"/>
          <w:sz w:val="24"/>
        </w:rPr>
        <w:noBreakHyphen/>
        <w:t xml:space="preserve">358; </w:t>
      </w:r>
      <w:r w:rsidRPr="007A7FB2">
        <w:rPr>
          <w:rFonts w:ascii="Times New Roman" w:hAnsi="Times New Roman"/>
          <w:i/>
          <w:sz w:val="24"/>
        </w:rPr>
        <w:t xml:space="preserve">Zuijs </w:t>
      </w:r>
      <w:r w:rsidRPr="007A7FB2">
        <w:rPr>
          <w:rFonts w:ascii="Times New Roman" w:hAnsi="Times New Roman"/>
          <w:sz w:val="24"/>
        </w:rPr>
        <w:t xml:space="preserve">(1955) 93 CLR 561 at 567-568; </w:t>
      </w:r>
      <w:r w:rsidRPr="007A7FB2">
        <w:rPr>
          <w:rFonts w:ascii="Times New Roman" w:hAnsi="Times New Roman"/>
          <w:i/>
          <w:sz w:val="24"/>
        </w:rPr>
        <w:t>Tallerman &amp; Co Pty Ltd v Nathan's Merchandise (Victoria) Pty Ltd</w:t>
      </w:r>
      <w:r w:rsidRPr="007A7FB2">
        <w:rPr>
          <w:rFonts w:ascii="Times New Roman" w:hAnsi="Times New Roman"/>
          <w:sz w:val="24"/>
        </w:rPr>
        <w:t xml:space="preserve"> (1957) 98 CLR 93 at 112-113; </w:t>
      </w:r>
      <w:r w:rsidRPr="007A7FB2">
        <w:rPr>
          <w:rFonts w:ascii="Times New Roman" w:hAnsi="Times New Roman"/>
          <w:i/>
          <w:sz w:val="24"/>
        </w:rPr>
        <w:t>Chaplin</w:t>
      </w:r>
      <w:r w:rsidRPr="007A7FB2">
        <w:rPr>
          <w:rFonts w:ascii="Times New Roman" w:hAnsi="Times New Roman"/>
          <w:sz w:val="24"/>
        </w:rPr>
        <w:t xml:space="preserve"> (1978) 52 ALJR 407 at 411; 18 ALR 385 at 392-393; </w:t>
      </w:r>
      <w:r w:rsidRPr="007A7FB2">
        <w:rPr>
          <w:rFonts w:ascii="Times New Roman" w:hAnsi="Times New Roman"/>
          <w:i/>
          <w:sz w:val="24"/>
        </w:rPr>
        <w:t>ALH Group Property Holdings Pty Ltd v Chief Commissioner of State Revenue (NSW)</w:t>
      </w:r>
      <w:r w:rsidRPr="007A7FB2">
        <w:rPr>
          <w:rFonts w:ascii="Times New Roman" w:hAnsi="Times New Roman"/>
          <w:sz w:val="24"/>
        </w:rPr>
        <w:t xml:space="preserve"> (2012) 245 CLR 338 at 350-351 [31]</w:t>
      </w:r>
      <w:r w:rsidRPr="007A7FB2">
        <w:rPr>
          <w:rFonts w:ascii="Times New Roman" w:hAnsi="Times New Roman"/>
          <w:sz w:val="24"/>
        </w:rPr>
        <w:noBreakHyphen/>
        <w:t xml:space="preserve">[32]. See also </w:t>
      </w:r>
      <w:r w:rsidRPr="007A7FB2">
        <w:rPr>
          <w:rFonts w:ascii="Times New Roman" w:hAnsi="Times New Roman"/>
          <w:i/>
          <w:sz w:val="24"/>
        </w:rPr>
        <w:t>Chitty on Contracts</w:t>
      </w:r>
      <w:r w:rsidRPr="007A7FB2">
        <w:rPr>
          <w:rFonts w:ascii="Times New Roman" w:hAnsi="Times New Roman"/>
          <w:sz w:val="24"/>
        </w:rPr>
        <w:t xml:space="preserve">, 33rd ed (2018), vol 1 at 1087 [13-124], citing </w:t>
      </w:r>
      <w:r w:rsidRPr="007A7FB2">
        <w:rPr>
          <w:rFonts w:ascii="Times New Roman" w:hAnsi="Times New Roman"/>
          <w:i/>
          <w:sz w:val="24"/>
        </w:rPr>
        <w:t xml:space="preserve">Goss v Lord Nugent </w:t>
      </w:r>
      <w:r w:rsidRPr="007A7FB2">
        <w:rPr>
          <w:rFonts w:ascii="Times New Roman" w:hAnsi="Times New Roman"/>
          <w:sz w:val="24"/>
        </w:rPr>
        <w:t xml:space="preserve">(1833) 5 B &amp; Ad 58 at 64 [110 ER 713 at 716] and </w:t>
      </w:r>
      <w:r w:rsidRPr="007A7FB2">
        <w:rPr>
          <w:rFonts w:ascii="Times New Roman" w:hAnsi="Times New Roman"/>
          <w:i/>
          <w:sz w:val="24"/>
        </w:rPr>
        <w:t xml:space="preserve">Morris v Baron and Company </w:t>
      </w:r>
      <w:r w:rsidRPr="007A7FB2">
        <w:rPr>
          <w:rFonts w:ascii="Times New Roman" w:hAnsi="Times New Roman"/>
          <w:sz w:val="24"/>
        </w:rPr>
        <w:t>[1918] AC 1.</w:t>
      </w:r>
    </w:p>
  </w:footnote>
  <w:footnote w:id="297">
    <w:p w14:paraId="32A0D92E"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 xml:space="preserve">Raftland Pty Ltd v Federal Commissioner of Taxation </w:t>
      </w:r>
      <w:r w:rsidRPr="007A7FB2">
        <w:rPr>
          <w:rFonts w:ascii="Times New Roman" w:hAnsi="Times New Roman"/>
          <w:sz w:val="24"/>
        </w:rPr>
        <w:t xml:space="preserve">(2008) 238 CLR 516 at 531 [34]-[35]. See also </w:t>
      </w:r>
      <w:r w:rsidRPr="007A7FB2">
        <w:rPr>
          <w:rFonts w:ascii="Times New Roman" w:hAnsi="Times New Roman"/>
          <w:i/>
          <w:sz w:val="24"/>
        </w:rPr>
        <w:t>Cam and Sons Pty Ltd v Sargent</w:t>
      </w:r>
      <w:r w:rsidRPr="007A7FB2">
        <w:rPr>
          <w:rFonts w:ascii="Times New Roman" w:hAnsi="Times New Roman"/>
          <w:sz w:val="24"/>
        </w:rPr>
        <w:t xml:space="preserve"> (1940) 14 ALJ 162 at 163; </w:t>
      </w:r>
      <w:r w:rsidRPr="007A7FB2">
        <w:rPr>
          <w:rFonts w:ascii="Times New Roman" w:hAnsi="Times New Roman"/>
          <w:i/>
          <w:sz w:val="24"/>
        </w:rPr>
        <w:t xml:space="preserve">Foster </w:t>
      </w:r>
      <w:r w:rsidRPr="007A7FB2">
        <w:rPr>
          <w:rFonts w:ascii="Times New Roman" w:hAnsi="Times New Roman"/>
          <w:sz w:val="24"/>
        </w:rPr>
        <w:t>(1952) 85 CLR 138 at 144, 153</w:t>
      </w:r>
      <w:r w:rsidRPr="007A7FB2">
        <w:rPr>
          <w:rFonts w:ascii="Times New Roman" w:hAnsi="Times New Roman"/>
          <w:sz w:val="24"/>
        </w:rPr>
        <w:noBreakHyphen/>
        <w:t>154.</w:t>
      </w:r>
    </w:p>
  </w:footnote>
  <w:footnote w:id="298">
    <w:p w14:paraId="5FB88B15"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 xml:space="preserve">Franklins </w:t>
      </w:r>
      <w:r w:rsidRPr="007A7FB2">
        <w:rPr>
          <w:rFonts w:ascii="Times New Roman" w:hAnsi="Times New Roman"/>
          <w:sz w:val="24"/>
        </w:rPr>
        <w:t xml:space="preserve">(2009) 76 NSWLR 603 at 616 [13]. See also Herzfeld and Prince, </w:t>
      </w:r>
      <w:r w:rsidRPr="007A7FB2">
        <w:rPr>
          <w:rFonts w:ascii="Times New Roman" w:hAnsi="Times New Roman"/>
          <w:i/>
          <w:sz w:val="24"/>
        </w:rPr>
        <w:t>Interpretation</w:t>
      </w:r>
      <w:r w:rsidRPr="007A7FB2">
        <w:rPr>
          <w:rFonts w:ascii="Times New Roman" w:hAnsi="Times New Roman"/>
          <w:sz w:val="24"/>
        </w:rPr>
        <w:t>, 2nd ed</w:t>
      </w:r>
      <w:r w:rsidRPr="007A7FB2">
        <w:rPr>
          <w:rFonts w:ascii="Times New Roman" w:hAnsi="Times New Roman"/>
          <w:i/>
          <w:sz w:val="24"/>
        </w:rPr>
        <w:t xml:space="preserve"> </w:t>
      </w:r>
      <w:r w:rsidRPr="007A7FB2">
        <w:rPr>
          <w:rFonts w:ascii="Times New Roman" w:hAnsi="Times New Roman"/>
          <w:sz w:val="24"/>
        </w:rPr>
        <w:t>(2020)</w:t>
      </w:r>
      <w:r w:rsidRPr="007A7FB2">
        <w:rPr>
          <w:rFonts w:ascii="Times New Roman" w:hAnsi="Times New Roman"/>
          <w:i/>
          <w:sz w:val="24"/>
        </w:rPr>
        <w:t xml:space="preserve"> </w:t>
      </w:r>
      <w:r w:rsidRPr="007A7FB2">
        <w:rPr>
          <w:rFonts w:ascii="Times New Roman" w:hAnsi="Times New Roman"/>
          <w:sz w:val="24"/>
        </w:rPr>
        <w:t>at 601 [29.160].</w:t>
      </w:r>
    </w:p>
  </w:footnote>
  <w:footnote w:id="299">
    <w:p w14:paraId="45BC8882"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Brambles Ltd v Wail</w:t>
      </w:r>
      <w:r w:rsidRPr="007A7FB2">
        <w:rPr>
          <w:rFonts w:ascii="Times New Roman" w:hAnsi="Times New Roman"/>
          <w:sz w:val="24"/>
        </w:rPr>
        <w:t xml:space="preserve"> (2002) 5 VR 169 at 184-189 [54]-[62]; </w:t>
      </w:r>
      <w:r w:rsidRPr="007A7FB2">
        <w:rPr>
          <w:rFonts w:ascii="Times New Roman" w:hAnsi="Times New Roman"/>
          <w:i/>
          <w:sz w:val="24"/>
        </w:rPr>
        <w:t>CSR Ltd v Adecco (Australia) Pty Ltd</w:t>
      </w:r>
      <w:r w:rsidRPr="007A7FB2">
        <w:rPr>
          <w:rFonts w:ascii="Times New Roman" w:hAnsi="Times New Roman"/>
          <w:sz w:val="24"/>
        </w:rPr>
        <w:t xml:space="preserve"> [2017] NSWCA 121 at [88]-[118]. </w:t>
      </w:r>
      <w:r w:rsidRPr="007A7FB2">
        <w:rPr>
          <w:rFonts w:ascii="Times New Roman" w:hAnsi="Times New Roman"/>
          <w:sz w:val="24"/>
        </w:rPr>
        <w:t xml:space="preserve">A majority of the High Court allowed an appeal from </w:t>
      </w:r>
      <w:r w:rsidRPr="007A7FB2">
        <w:rPr>
          <w:rFonts w:ascii="Times New Roman" w:hAnsi="Times New Roman"/>
          <w:i/>
          <w:sz w:val="24"/>
        </w:rPr>
        <w:t>Brambles</w:t>
      </w:r>
      <w:r w:rsidRPr="007A7FB2">
        <w:rPr>
          <w:rFonts w:ascii="Times New Roman" w:hAnsi="Times New Roman"/>
          <w:sz w:val="24"/>
        </w:rPr>
        <w:t xml:space="preserve"> on a different point and considered that it was not necessary to address the question whether the contractual terms relied on continued in force after their formal expiry: </w:t>
      </w:r>
      <w:r w:rsidRPr="007A7FB2">
        <w:rPr>
          <w:rFonts w:ascii="Times New Roman" w:hAnsi="Times New Roman"/>
          <w:i/>
          <w:sz w:val="24"/>
        </w:rPr>
        <w:t>Andar Transport Pty Ltd v Brambles Ltd</w:t>
      </w:r>
      <w:r w:rsidRPr="007A7FB2">
        <w:rPr>
          <w:rFonts w:ascii="Times New Roman" w:hAnsi="Times New Roman"/>
          <w:sz w:val="24"/>
        </w:rPr>
        <w:t xml:space="preserve"> (2004) 217 CLR 424 at 438 [29]. </w:t>
      </w:r>
    </w:p>
  </w:footnote>
  <w:footnote w:id="300">
    <w:p w14:paraId="6CCDC1EF"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Integrated Computer Services Pty Ltd v Digital Equipment Corp (Aust) Pty Ltd</w:t>
      </w:r>
      <w:r w:rsidRPr="007A7FB2">
        <w:rPr>
          <w:rFonts w:ascii="Times New Roman" w:hAnsi="Times New Roman"/>
          <w:sz w:val="24"/>
        </w:rPr>
        <w:t xml:space="preserve"> (1988) 5 BPR 11,110 at 11,117, quoted in </w:t>
      </w:r>
      <w:r w:rsidRPr="007A7FB2">
        <w:rPr>
          <w:rFonts w:ascii="Times New Roman" w:hAnsi="Times New Roman"/>
          <w:i/>
          <w:sz w:val="24"/>
        </w:rPr>
        <w:t>Brambles Holdings</w:t>
      </w:r>
      <w:r w:rsidRPr="007A7FB2" w:rsidDel="00F67750">
        <w:rPr>
          <w:rFonts w:ascii="Times New Roman" w:hAnsi="Times New Roman"/>
          <w:sz w:val="24"/>
        </w:rPr>
        <w:t xml:space="preserve"> </w:t>
      </w:r>
      <w:r w:rsidRPr="007A7FB2">
        <w:rPr>
          <w:rFonts w:ascii="Times New Roman" w:hAnsi="Times New Roman"/>
          <w:sz w:val="24"/>
        </w:rPr>
        <w:t>(2001) 53 NSWLR 153 at 178 [77].</w:t>
      </w:r>
    </w:p>
  </w:footnote>
  <w:footnote w:id="301">
    <w:p w14:paraId="2C95DE71"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Integrated Computer Services</w:t>
      </w:r>
      <w:r w:rsidRPr="007A7FB2">
        <w:rPr>
          <w:rFonts w:ascii="Times New Roman" w:hAnsi="Times New Roman"/>
          <w:sz w:val="24"/>
        </w:rPr>
        <w:t xml:space="preserve"> (1988) 5 BPR 11,110 at 11,118, quoted in </w:t>
      </w:r>
      <w:r w:rsidRPr="007A7FB2">
        <w:rPr>
          <w:rFonts w:ascii="Times New Roman" w:hAnsi="Times New Roman"/>
          <w:i/>
          <w:sz w:val="24"/>
        </w:rPr>
        <w:t>PRA Electrical Pty Ltd v Perseverance Exploration Pty Ltd</w:t>
      </w:r>
      <w:r w:rsidRPr="007A7FB2">
        <w:rPr>
          <w:rFonts w:ascii="Times New Roman" w:hAnsi="Times New Roman"/>
          <w:sz w:val="24"/>
        </w:rPr>
        <w:t xml:space="preserve"> (2007) 20 VR 487 at 489 [5].</w:t>
      </w:r>
    </w:p>
  </w:footnote>
  <w:footnote w:id="302">
    <w:p w14:paraId="0C836F31"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 xml:space="preserve">See, </w:t>
      </w:r>
      <w:r w:rsidRPr="007A7FB2">
        <w:rPr>
          <w:rFonts w:ascii="Times New Roman" w:hAnsi="Times New Roman"/>
          <w:sz w:val="24"/>
        </w:rPr>
        <w:t xml:space="preserve">eg, </w:t>
      </w:r>
      <w:r w:rsidRPr="007A7FB2">
        <w:rPr>
          <w:rFonts w:ascii="Times New Roman" w:hAnsi="Times New Roman"/>
          <w:i/>
          <w:sz w:val="24"/>
        </w:rPr>
        <w:t xml:space="preserve">Meates v Attorney-General </w:t>
      </w:r>
      <w:r w:rsidRPr="007A7FB2">
        <w:rPr>
          <w:rFonts w:ascii="Times New Roman" w:hAnsi="Times New Roman"/>
          <w:sz w:val="24"/>
        </w:rPr>
        <w:t xml:space="preserve">[1983] NZLR 308 at 377, quoted in </w:t>
      </w:r>
      <w:r w:rsidRPr="007A7FB2">
        <w:rPr>
          <w:rFonts w:ascii="Times New Roman" w:hAnsi="Times New Roman"/>
          <w:i/>
          <w:sz w:val="24"/>
        </w:rPr>
        <w:t xml:space="preserve">Vroon BV v Foster's Brewing Group Ltd </w:t>
      </w:r>
      <w:r w:rsidRPr="007A7FB2">
        <w:rPr>
          <w:rFonts w:ascii="Times New Roman" w:hAnsi="Times New Roman"/>
          <w:sz w:val="24"/>
        </w:rPr>
        <w:t xml:space="preserve">[1994] 2 VR 32 at 82. See also </w:t>
      </w:r>
      <w:r w:rsidRPr="007A7FB2">
        <w:rPr>
          <w:rFonts w:ascii="Times New Roman" w:hAnsi="Times New Roman"/>
          <w:i/>
          <w:sz w:val="24"/>
        </w:rPr>
        <w:t>Codelfa</w:t>
      </w:r>
      <w:r w:rsidRPr="007A7FB2">
        <w:rPr>
          <w:rFonts w:ascii="Times New Roman" w:hAnsi="Times New Roman"/>
          <w:sz w:val="24"/>
        </w:rPr>
        <w:t xml:space="preserve"> </w:t>
      </w:r>
      <w:r w:rsidRPr="007A7FB2">
        <w:rPr>
          <w:rFonts w:ascii="Times New Roman" w:hAnsi="Times New Roman"/>
          <w:sz w:val="24"/>
          <w:szCs w:val="24"/>
        </w:rPr>
        <w:t>(1982) 149</w:t>
      </w:r>
      <w:r>
        <w:rPr>
          <w:rFonts w:ascii="Times New Roman" w:hAnsi="Times New Roman"/>
          <w:sz w:val="24"/>
          <w:szCs w:val="24"/>
        </w:rPr>
        <w:t> </w:t>
      </w:r>
      <w:r w:rsidRPr="007A7FB2">
        <w:rPr>
          <w:rFonts w:ascii="Times New Roman" w:hAnsi="Times New Roman"/>
          <w:sz w:val="24"/>
          <w:szCs w:val="24"/>
        </w:rPr>
        <w:t xml:space="preserve">CLR 337 </w:t>
      </w:r>
      <w:r w:rsidRPr="007A7FB2">
        <w:rPr>
          <w:rFonts w:ascii="Times New Roman" w:hAnsi="Times New Roman"/>
          <w:sz w:val="24"/>
        </w:rPr>
        <w:t xml:space="preserve">at 353; </w:t>
      </w:r>
      <w:r w:rsidRPr="007A7FB2">
        <w:rPr>
          <w:rFonts w:ascii="Times New Roman" w:hAnsi="Times New Roman"/>
          <w:i/>
          <w:sz w:val="24"/>
        </w:rPr>
        <w:t xml:space="preserve">PRA </w:t>
      </w:r>
      <w:r w:rsidRPr="007A7FB2">
        <w:rPr>
          <w:rFonts w:ascii="Times New Roman" w:hAnsi="Times New Roman"/>
          <w:sz w:val="24"/>
        </w:rPr>
        <w:t>(2007) 20 VR 487 at 489 [6].</w:t>
      </w:r>
    </w:p>
  </w:footnote>
  <w:footnote w:id="303">
    <w:p w14:paraId="294D71FC"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Integrated Computer Services</w:t>
      </w:r>
      <w:r w:rsidRPr="007A7FB2" w:rsidDel="00192C09">
        <w:rPr>
          <w:rFonts w:ascii="Times New Roman" w:hAnsi="Times New Roman"/>
          <w:sz w:val="24"/>
        </w:rPr>
        <w:t xml:space="preserve"> </w:t>
      </w:r>
      <w:r w:rsidRPr="007A7FB2">
        <w:rPr>
          <w:rFonts w:ascii="Times New Roman" w:hAnsi="Times New Roman"/>
          <w:sz w:val="24"/>
        </w:rPr>
        <w:t>(1988) 5 BPR 11,110 at 11,117</w:t>
      </w:r>
      <w:r w:rsidRPr="007A7FB2">
        <w:rPr>
          <w:rFonts w:ascii="Times New Roman" w:hAnsi="Times New Roman"/>
          <w:sz w:val="24"/>
        </w:rPr>
        <w:noBreakHyphen/>
        <w:t xml:space="preserve">11,118, quoted in </w:t>
      </w:r>
      <w:r w:rsidRPr="007A7FB2">
        <w:rPr>
          <w:rFonts w:ascii="Times New Roman" w:hAnsi="Times New Roman"/>
          <w:i/>
          <w:sz w:val="24"/>
        </w:rPr>
        <w:t xml:space="preserve">Brambles Holdings </w:t>
      </w:r>
      <w:r w:rsidRPr="007A7FB2">
        <w:rPr>
          <w:rFonts w:ascii="Times New Roman" w:hAnsi="Times New Roman"/>
          <w:sz w:val="24"/>
        </w:rPr>
        <w:t xml:space="preserve">(2001) 53 NSWLR 153 at 177 [74], 178 [77]. </w:t>
      </w:r>
    </w:p>
  </w:footnote>
  <w:footnote w:id="304">
    <w:p w14:paraId="1B1A9974"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 xml:space="preserve">(1952) 85 CLR 138. </w:t>
      </w:r>
    </w:p>
  </w:footnote>
  <w:footnote w:id="305">
    <w:p w14:paraId="667DC6DD"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Foster</w:t>
      </w:r>
      <w:r w:rsidRPr="007A7FB2">
        <w:rPr>
          <w:rFonts w:ascii="Times New Roman" w:hAnsi="Times New Roman"/>
          <w:sz w:val="24"/>
        </w:rPr>
        <w:t xml:space="preserve"> (1952) 85 CLR 138 at 149.</w:t>
      </w:r>
    </w:p>
  </w:footnote>
  <w:footnote w:id="306">
    <w:p w14:paraId="0242F052"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Foster</w:t>
      </w:r>
      <w:r w:rsidRPr="007A7FB2">
        <w:rPr>
          <w:rFonts w:ascii="Times New Roman" w:hAnsi="Times New Roman"/>
          <w:sz w:val="24"/>
        </w:rPr>
        <w:t xml:space="preserve"> (1952) 85 CLR 138 at 144, 153-154, 155.</w:t>
      </w:r>
    </w:p>
  </w:footnote>
  <w:footnote w:id="307">
    <w:p w14:paraId="5D0A19B5"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 xml:space="preserve">Foster </w:t>
      </w:r>
      <w:r w:rsidRPr="007A7FB2">
        <w:rPr>
          <w:rFonts w:ascii="Times New Roman" w:hAnsi="Times New Roman"/>
          <w:sz w:val="24"/>
        </w:rPr>
        <w:t>(1952) 85 CLR 138 at 144, 155.</w:t>
      </w:r>
    </w:p>
  </w:footnote>
  <w:footnote w:id="308">
    <w:p w14:paraId="67891D21"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 xml:space="preserve">Foster </w:t>
      </w:r>
      <w:r w:rsidRPr="007A7FB2">
        <w:rPr>
          <w:rFonts w:ascii="Times New Roman" w:hAnsi="Times New Roman"/>
          <w:sz w:val="24"/>
        </w:rPr>
        <w:t>(1952) 85 CLR 138 at 151.</w:t>
      </w:r>
    </w:p>
  </w:footnote>
  <w:footnote w:id="309">
    <w:p w14:paraId="122F6CCF"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 xml:space="preserve">Stevens </w:t>
      </w:r>
      <w:r w:rsidRPr="007A7FB2">
        <w:rPr>
          <w:rFonts w:ascii="Times New Roman" w:hAnsi="Times New Roman"/>
          <w:sz w:val="24"/>
        </w:rPr>
        <w:t xml:space="preserve">(1986) 160 CLR 16 at 27-28; </w:t>
      </w:r>
      <w:r w:rsidRPr="007A7FB2">
        <w:rPr>
          <w:rFonts w:ascii="Times New Roman" w:hAnsi="Times New Roman"/>
          <w:i/>
          <w:sz w:val="24"/>
        </w:rPr>
        <w:t xml:space="preserve">Oceanic Crest Shipping Co v Pilbara Harbour Services Pty Ltd </w:t>
      </w:r>
      <w:r w:rsidRPr="007A7FB2">
        <w:rPr>
          <w:rFonts w:ascii="Times New Roman" w:hAnsi="Times New Roman"/>
          <w:sz w:val="24"/>
        </w:rPr>
        <w:t xml:space="preserve">(1986) 160 CLR 626 at 639. See also </w:t>
      </w:r>
      <w:r w:rsidRPr="007A7FB2">
        <w:rPr>
          <w:rFonts w:ascii="Times New Roman" w:hAnsi="Times New Roman"/>
          <w:i/>
          <w:sz w:val="24"/>
        </w:rPr>
        <w:t xml:space="preserve">Montreal v Montreal Locomotive Works Ltd </w:t>
      </w:r>
      <w:r w:rsidRPr="007A7FB2">
        <w:rPr>
          <w:rFonts w:ascii="Times New Roman" w:hAnsi="Times New Roman"/>
          <w:sz w:val="24"/>
        </w:rPr>
        <w:t>[1947] 1 DLR 161 at 169.</w:t>
      </w:r>
    </w:p>
  </w:footnote>
  <w:footnote w:id="310">
    <w:p w14:paraId="406DF14E"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 xml:space="preserve">See, </w:t>
      </w:r>
      <w:r w:rsidRPr="007A7FB2">
        <w:rPr>
          <w:rFonts w:ascii="Times New Roman" w:hAnsi="Times New Roman"/>
          <w:sz w:val="24"/>
        </w:rPr>
        <w:t xml:space="preserve">eg, </w:t>
      </w:r>
      <w:r w:rsidRPr="007A7FB2">
        <w:rPr>
          <w:rFonts w:ascii="Times New Roman" w:hAnsi="Times New Roman"/>
          <w:i/>
          <w:sz w:val="24"/>
        </w:rPr>
        <w:t xml:space="preserve">Federal Commissioner of Taxation v Stone </w:t>
      </w:r>
      <w:r w:rsidRPr="007A7FB2">
        <w:rPr>
          <w:rFonts w:ascii="Times New Roman" w:hAnsi="Times New Roman"/>
          <w:sz w:val="24"/>
        </w:rPr>
        <w:t xml:space="preserve">(2005) 222 CLR 289 at 305 [55]. See also </w:t>
      </w:r>
      <w:r w:rsidRPr="007A7FB2">
        <w:rPr>
          <w:rFonts w:ascii="Times New Roman" w:hAnsi="Times New Roman"/>
          <w:i/>
          <w:sz w:val="24"/>
        </w:rPr>
        <w:t xml:space="preserve">G v Commissioner of Inland Revenue </w:t>
      </w:r>
      <w:r w:rsidRPr="007A7FB2">
        <w:rPr>
          <w:rFonts w:ascii="Times New Roman" w:hAnsi="Times New Roman"/>
          <w:sz w:val="24"/>
        </w:rPr>
        <w:t xml:space="preserve">[1961] NZLR 994 at 999. </w:t>
      </w:r>
    </w:p>
  </w:footnote>
  <w:footnote w:id="311">
    <w:p w14:paraId="54CF0857"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 xml:space="preserve">See </w:t>
      </w:r>
      <w:r w:rsidRPr="007A7FB2">
        <w:rPr>
          <w:rFonts w:ascii="Times New Roman" w:hAnsi="Times New Roman"/>
          <w:i/>
          <w:sz w:val="24"/>
        </w:rPr>
        <w:t>Tattsbet Ltd v Morrow</w:t>
      </w:r>
      <w:r w:rsidRPr="007A7FB2">
        <w:rPr>
          <w:rFonts w:ascii="Times New Roman" w:hAnsi="Times New Roman"/>
          <w:sz w:val="24"/>
        </w:rPr>
        <w:t xml:space="preserve"> (2015) 233 FCR 46 at 61 [61].</w:t>
      </w:r>
    </w:p>
  </w:footnote>
  <w:footnote w:id="312">
    <w:p w14:paraId="257FC4A1"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 xml:space="preserve">Gardiner </w:t>
      </w:r>
      <w:r w:rsidRPr="007A7FB2">
        <w:rPr>
          <w:rFonts w:ascii="Times New Roman" w:hAnsi="Times New Roman"/>
          <w:sz w:val="24"/>
        </w:rPr>
        <w:t xml:space="preserve">(2008) 238 CLR 570 at 582 [35], quoting </w:t>
      </w:r>
      <w:r w:rsidRPr="007A7FB2">
        <w:rPr>
          <w:rFonts w:ascii="Times New Roman" w:hAnsi="Times New Roman"/>
          <w:i/>
          <w:sz w:val="24"/>
        </w:rPr>
        <w:t xml:space="preserve">James Miller &amp; Partners </w:t>
      </w:r>
      <w:r w:rsidRPr="007A7FB2">
        <w:rPr>
          <w:rFonts w:ascii="Times New Roman" w:hAnsi="Times New Roman"/>
          <w:sz w:val="24"/>
        </w:rPr>
        <w:t xml:space="preserve">[1970] AC 583 at 603, repeated in </w:t>
      </w:r>
      <w:r w:rsidRPr="007A7FB2">
        <w:rPr>
          <w:rFonts w:ascii="Times New Roman" w:hAnsi="Times New Roman"/>
          <w:i/>
          <w:sz w:val="24"/>
        </w:rPr>
        <w:t>Daera Guba</w:t>
      </w:r>
      <w:r w:rsidRPr="007A7FB2">
        <w:rPr>
          <w:rFonts w:ascii="Times New Roman" w:hAnsi="Times New Roman"/>
          <w:sz w:val="24"/>
        </w:rPr>
        <w:t xml:space="preserve"> (1973) 130 CLR 353 at 446. See, eg, </w:t>
      </w:r>
      <w:r w:rsidRPr="007A7FB2">
        <w:rPr>
          <w:rFonts w:ascii="Times New Roman" w:hAnsi="Times New Roman"/>
          <w:i/>
          <w:sz w:val="24"/>
        </w:rPr>
        <w:t xml:space="preserve">United States v Silk </w:t>
      </w:r>
      <w:r w:rsidRPr="007A7FB2">
        <w:rPr>
          <w:rFonts w:ascii="Times New Roman" w:hAnsi="Times New Roman"/>
          <w:sz w:val="24"/>
        </w:rPr>
        <w:t>(1947) 331 US 704</w:t>
      </w:r>
      <w:r w:rsidRPr="007A7FB2">
        <w:rPr>
          <w:rFonts w:ascii="Times New Roman" w:hAnsi="Times New Roman"/>
          <w:i/>
          <w:sz w:val="24"/>
        </w:rPr>
        <w:t xml:space="preserve"> </w:t>
      </w:r>
      <w:r w:rsidRPr="007A7FB2">
        <w:rPr>
          <w:rFonts w:ascii="Times New Roman" w:hAnsi="Times New Roman"/>
          <w:sz w:val="24"/>
        </w:rPr>
        <w:t xml:space="preserve">at 713; </w:t>
      </w:r>
      <w:r w:rsidRPr="007A7FB2">
        <w:rPr>
          <w:rFonts w:ascii="Times New Roman" w:hAnsi="Times New Roman"/>
          <w:i/>
          <w:sz w:val="24"/>
        </w:rPr>
        <w:t xml:space="preserve">Market Investigations Ltd v Minister of Social Security </w:t>
      </w:r>
      <w:r w:rsidRPr="007A7FB2">
        <w:rPr>
          <w:rFonts w:ascii="Times New Roman" w:hAnsi="Times New Roman"/>
          <w:sz w:val="24"/>
        </w:rPr>
        <w:t>[1969] 2 QB 173 at 185.</w:t>
      </w:r>
    </w:p>
  </w:footnote>
  <w:footnote w:id="313">
    <w:p w14:paraId="31A711DB"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 xml:space="preserve">(2015) 228 FCR 346 at 390 [179], quoting </w:t>
      </w:r>
      <w:r w:rsidRPr="007A7FB2">
        <w:rPr>
          <w:rFonts w:ascii="Times New Roman" w:hAnsi="Times New Roman"/>
          <w:i/>
          <w:sz w:val="24"/>
        </w:rPr>
        <w:t>On Call Interpreters and Translators Agency Pty Ltd v Federal Commissioner of Taxation [No 3]</w:t>
      </w:r>
      <w:r w:rsidRPr="007A7FB2">
        <w:rPr>
          <w:rFonts w:ascii="Times New Roman" w:hAnsi="Times New Roman"/>
          <w:sz w:val="24"/>
        </w:rPr>
        <w:t xml:space="preserve"> (2011) 214 FCR 82 at 123 [210]. See also </w:t>
      </w:r>
      <w:r w:rsidRPr="007A7FB2">
        <w:rPr>
          <w:rFonts w:ascii="Times New Roman" w:hAnsi="Times New Roman"/>
          <w:i/>
          <w:sz w:val="24"/>
        </w:rPr>
        <w:t xml:space="preserve">Stevens </w:t>
      </w:r>
      <w:r w:rsidRPr="007A7FB2" w:rsidDel="00900ECD">
        <w:rPr>
          <w:rFonts w:ascii="Times New Roman" w:hAnsi="Times New Roman"/>
          <w:sz w:val="24"/>
        </w:rPr>
        <w:t>(1986) 160 CLR 16 at 37</w:t>
      </w:r>
      <w:r w:rsidRPr="007A7FB2">
        <w:rPr>
          <w:rFonts w:ascii="Times New Roman" w:hAnsi="Times New Roman"/>
          <w:sz w:val="24"/>
        </w:rPr>
        <w:t xml:space="preserve">; </w:t>
      </w:r>
      <w:r w:rsidRPr="007A7FB2">
        <w:rPr>
          <w:rFonts w:ascii="Times New Roman" w:hAnsi="Times New Roman"/>
          <w:i/>
          <w:sz w:val="24"/>
        </w:rPr>
        <w:t>Hollis</w:t>
      </w:r>
      <w:r w:rsidRPr="007A7FB2">
        <w:rPr>
          <w:rFonts w:ascii="Times New Roman" w:hAnsi="Times New Roman"/>
          <w:sz w:val="24"/>
        </w:rPr>
        <w:t xml:space="preserve"> (2001) 207 CLR 21 at 42 [48];</w:t>
      </w:r>
      <w:r w:rsidRPr="007A7FB2" w:rsidDel="00D92606">
        <w:rPr>
          <w:rFonts w:ascii="Times New Roman" w:hAnsi="Times New Roman"/>
          <w:sz w:val="24"/>
        </w:rPr>
        <w:t xml:space="preserve"> </w:t>
      </w:r>
      <w:r w:rsidRPr="007A7FB2">
        <w:rPr>
          <w:rFonts w:ascii="Times New Roman" w:hAnsi="Times New Roman"/>
          <w:i/>
          <w:sz w:val="24"/>
        </w:rPr>
        <w:t xml:space="preserve">ACE Insurance Ltd v </w:t>
      </w:r>
      <w:r w:rsidRPr="007A7FB2">
        <w:rPr>
          <w:rFonts w:ascii="Times New Roman" w:hAnsi="Times New Roman"/>
          <w:i/>
          <w:sz w:val="24"/>
        </w:rPr>
        <w:t xml:space="preserve">Trifunovski </w:t>
      </w:r>
      <w:r w:rsidRPr="007A7FB2" w:rsidDel="00900ECD">
        <w:rPr>
          <w:rFonts w:ascii="Times New Roman" w:hAnsi="Times New Roman"/>
          <w:sz w:val="24"/>
        </w:rPr>
        <w:t>(2011) 200 FCR 532 at 543 [29]</w:t>
      </w:r>
      <w:r w:rsidRPr="007A7FB2">
        <w:rPr>
          <w:rFonts w:ascii="Times New Roman" w:hAnsi="Times New Roman"/>
          <w:sz w:val="24"/>
        </w:rPr>
        <w:t>.</w:t>
      </w:r>
    </w:p>
  </w:footnote>
  <w:footnote w:id="314">
    <w:p w14:paraId="7164CF54"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 xml:space="preserve">See </w:t>
      </w:r>
      <w:r w:rsidRPr="007A7FB2">
        <w:rPr>
          <w:rFonts w:ascii="Times New Roman" w:hAnsi="Times New Roman"/>
          <w:i/>
          <w:sz w:val="24"/>
        </w:rPr>
        <w:t>Hollis</w:t>
      </w:r>
      <w:r w:rsidRPr="007A7FB2">
        <w:rPr>
          <w:rFonts w:ascii="Times New Roman" w:hAnsi="Times New Roman"/>
          <w:sz w:val="24"/>
        </w:rPr>
        <w:t xml:space="preserve"> (2001) 207 CLR 21 at 39 [40]. See also </w:t>
      </w:r>
      <w:r w:rsidRPr="007A7FB2">
        <w:rPr>
          <w:rFonts w:ascii="Times New Roman" w:hAnsi="Times New Roman"/>
          <w:i/>
          <w:sz w:val="24"/>
        </w:rPr>
        <w:t xml:space="preserve">Barrett </w:t>
      </w:r>
      <w:r w:rsidRPr="007A7FB2">
        <w:rPr>
          <w:rFonts w:ascii="Times New Roman" w:hAnsi="Times New Roman"/>
          <w:sz w:val="24"/>
        </w:rPr>
        <w:t xml:space="preserve">(1973) 129 CLR 395 at 401, citing </w:t>
      </w:r>
      <w:r w:rsidRPr="007A7FB2">
        <w:rPr>
          <w:rFonts w:ascii="Times New Roman" w:hAnsi="Times New Roman"/>
          <w:i/>
          <w:sz w:val="24"/>
        </w:rPr>
        <w:t xml:space="preserve">Zuijs </w:t>
      </w:r>
      <w:r w:rsidRPr="007A7FB2">
        <w:rPr>
          <w:rFonts w:ascii="Times New Roman" w:hAnsi="Times New Roman"/>
          <w:sz w:val="24"/>
        </w:rPr>
        <w:t>(1955) 93 CLR 561.</w:t>
      </w:r>
    </w:p>
  </w:footnote>
  <w:footnote w:id="315">
    <w:p w14:paraId="4372C260"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sz w:val="24"/>
        </w:rPr>
        <w:t xml:space="preserve">cf </w:t>
      </w:r>
      <w:r w:rsidRPr="007A7FB2">
        <w:rPr>
          <w:rFonts w:ascii="Times New Roman" w:hAnsi="Times New Roman"/>
          <w:i/>
          <w:sz w:val="24"/>
        </w:rPr>
        <w:t xml:space="preserve">Silk </w:t>
      </w:r>
      <w:r w:rsidRPr="007A7FB2">
        <w:rPr>
          <w:rFonts w:ascii="Times New Roman" w:hAnsi="Times New Roman"/>
          <w:sz w:val="24"/>
        </w:rPr>
        <w:t>(1947) 331 US 704</w:t>
      </w:r>
      <w:r w:rsidRPr="007A7FB2">
        <w:rPr>
          <w:rFonts w:ascii="Times New Roman" w:hAnsi="Times New Roman"/>
          <w:i/>
          <w:sz w:val="24"/>
        </w:rPr>
        <w:t xml:space="preserve"> </w:t>
      </w:r>
      <w:r w:rsidRPr="007A7FB2">
        <w:rPr>
          <w:rFonts w:ascii="Times New Roman" w:hAnsi="Times New Roman"/>
          <w:sz w:val="24"/>
        </w:rPr>
        <w:t xml:space="preserve">at 713; </w:t>
      </w:r>
      <w:r w:rsidRPr="007A7FB2">
        <w:rPr>
          <w:rFonts w:ascii="Times New Roman" w:hAnsi="Times New Roman"/>
          <w:i/>
          <w:sz w:val="24"/>
        </w:rPr>
        <w:t>Bank voor Handel en Scheepvaart</w:t>
      </w:r>
      <w:r w:rsidRPr="007A7FB2">
        <w:rPr>
          <w:rFonts w:ascii="Times New Roman" w:hAnsi="Times New Roman"/>
          <w:sz w:val="24"/>
        </w:rPr>
        <w:t xml:space="preserve"> </w:t>
      </w:r>
      <w:r w:rsidRPr="007A7FB2">
        <w:rPr>
          <w:rFonts w:ascii="Times New Roman" w:hAnsi="Times New Roman"/>
          <w:i/>
          <w:sz w:val="24"/>
        </w:rPr>
        <w:t>NV v Slatford</w:t>
      </w:r>
      <w:r w:rsidRPr="007A7FB2">
        <w:rPr>
          <w:rFonts w:ascii="Times New Roman" w:hAnsi="Times New Roman"/>
          <w:sz w:val="24"/>
        </w:rPr>
        <w:t xml:space="preserve"> [1953] 1 QB 248 at 295; </w:t>
      </w:r>
      <w:r w:rsidRPr="007A7FB2">
        <w:rPr>
          <w:rFonts w:ascii="Times New Roman" w:hAnsi="Times New Roman"/>
          <w:i/>
          <w:sz w:val="24"/>
        </w:rPr>
        <w:t xml:space="preserve">Market Investigations </w:t>
      </w:r>
      <w:r w:rsidRPr="007A7FB2">
        <w:rPr>
          <w:rFonts w:ascii="Times New Roman" w:hAnsi="Times New Roman"/>
          <w:sz w:val="24"/>
        </w:rPr>
        <w:t>[1969] 2 QB 173 at 185.</w:t>
      </w:r>
    </w:p>
  </w:footnote>
  <w:footnote w:id="316">
    <w:p w14:paraId="2497B644"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 xml:space="preserve">(2001) 207 CLR 21 at 39 [40]. </w:t>
      </w:r>
    </w:p>
  </w:footnote>
  <w:footnote w:id="317">
    <w:p w14:paraId="6B381CED"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See [17</w:t>
      </w:r>
      <w:r>
        <w:rPr>
          <w:rFonts w:ascii="Times New Roman" w:hAnsi="Times New Roman"/>
          <w:sz w:val="24"/>
        </w:rPr>
        <w:t>7</w:t>
      </w:r>
      <w:r w:rsidRPr="007A7FB2">
        <w:rPr>
          <w:rFonts w:ascii="Times New Roman" w:hAnsi="Times New Roman"/>
          <w:sz w:val="24"/>
        </w:rPr>
        <w:t>] above and [</w:t>
      </w:r>
      <w:r>
        <w:rPr>
          <w:rFonts w:ascii="Times New Roman" w:hAnsi="Times New Roman"/>
          <w:sz w:val="24"/>
        </w:rPr>
        <w:t>18</w:t>
      </w:r>
      <w:r w:rsidRPr="007A7FB2">
        <w:rPr>
          <w:rFonts w:ascii="Times New Roman" w:hAnsi="Times New Roman"/>
          <w:sz w:val="24"/>
        </w:rPr>
        <w:t>8] below.</w:t>
      </w:r>
    </w:p>
  </w:footnote>
  <w:footnote w:id="318">
    <w:p w14:paraId="62BAA236"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Curtis v Perth and Fremantle Bottle Exchange Co Ltd</w:t>
      </w:r>
      <w:r w:rsidRPr="007A7FB2">
        <w:rPr>
          <w:rFonts w:ascii="Times New Roman" w:hAnsi="Times New Roman"/>
          <w:sz w:val="24"/>
        </w:rPr>
        <w:t xml:space="preserve"> (1914) 18 CLR 17 at 25-26, citing </w:t>
      </w:r>
      <w:r w:rsidRPr="007A7FB2">
        <w:rPr>
          <w:rFonts w:ascii="Times New Roman" w:hAnsi="Times New Roman"/>
          <w:i/>
          <w:sz w:val="24"/>
        </w:rPr>
        <w:t xml:space="preserve">Weiner v Harris </w:t>
      </w:r>
      <w:r w:rsidRPr="007A7FB2">
        <w:rPr>
          <w:rFonts w:ascii="Times New Roman" w:hAnsi="Times New Roman"/>
          <w:sz w:val="24"/>
        </w:rPr>
        <w:t xml:space="preserve">[1910] 1 KB 285 at 292; </w:t>
      </w:r>
      <w:r w:rsidRPr="007A7FB2">
        <w:rPr>
          <w:rFonts w:ascii="Times New Roman" w:hAnsi="Times New Roman"/>
          <w:i/>
          <w:sz w:val="24"/>
          <w:szCs w:val="18"/>
        </w:rPr>
        <w:t xml:space="preserve">Scott v Davis </w:t>
      </w:r>
      <w:r w:rsidRPr="007A7FB2">
        <w:rPr>
          <w:rFonts w:ascii="Times New Roman" w:hAnsi="Times New Roman"/>
          <w:sz w:val="24"/>
          <w:szCs w:val="18"/>
        </w:rPr>
        <w:t xml:space="preserve">(2000) 204 </w:t>
      </w:r>
      <w:r w:rsidRPr="007A7FB2">
        <w:rPr>
          <w:rFonts w:ascii="Times New Roman" w:hAnsi="Times New Roman"/>
          <w:sz w:val="24"/>
        </w:rPr>
        <w:t>CLR</w:t>
      </w:r>
      <w:r w:rsidRPr="007A7FB2">
        <w:rPr>
          <w:rFonts w:ascii="Times New Roman" w:hAnsi="Times New Roman"/>
          <w:sz w:val="24"/>
          <w:szCs w:val="18"/>
        </w:rPr>
        <w:t xml:space="preserve"> 333 at 341 [14], 411 [235], 422-423 [268], 435 [299]; </w:t>
      </w:r>
      <w:r w:rsidRPr="007A7FB2">
        <w:rPr>
          <w:rFonts w:ascii="Times New Roman" w:hAnsi="Times New Roman"/>
          <w:i/>
          <w:sz w:val="24"/>
          <w:szCs w:val="18"/>
        </w:rPr>
        <w:t xml:space="preserve">Hollis </w:t>
      </w:r>
      <w:r w:rsidRPr="007A7FB2">
        <w:rPr>
          <w:rFonts w:ascii="Times New Roman" w:hAnsi="Times New Roman"/>
          <w:sz w:val="24"/>
          <w:szCs w:val="18"/>
        </w:rPr>
        <w:t xml:space="preserve">(2001) 207 CLR 21 at 38 [36], 45 [58]; </w:t>
      </w:r>
      <w:r w:rsidRPr="007A7FB2">
        <w:rPr>
          <w:rFonts w:ascii="Times New Roman" w:hAnsi="Times New Roman"/>
          <w:i/>
          <w:sz w:val="24"/>
          <w:szCs w:val="18"/>
        </w:rPr>
        <w:t xml:space="preserve">Sweeney v Boylan Nominees Pty Ltd </w:t>
      </w:r>
      <w:r w:rsidRPr="007A7FB2">
        <w:rPr>
          <w:rFonts w:ascii="Times New Roman" w:hAnsi="Times New Roman"/>
          <w:sz w:val="24"/>
          <w:szCs w:val="18"/>
        </w:rPr>
        <w:t xml:space="preserve">(2006) 226 CLR 161 at 167 [13], 169 [19], 172 [29]. See, more generally, </w:t>
      </w:r>
      <w:r w:rsidRPr="007A7FB2">
        <w:rPr>
          <w:rFonts w:ascii="Times New Roman" w:hAnsi="Times New Roman"/>
          <w:i/>
          <w:sz w:val="24"/>
          <w:szCs w:val="18"/>
        </w:rPr>
        <w:t xml:space="preserve">Re Porter; Re Transport Workers Union of Australia </w:t>
      </w:r>
      <w:r w:rsidRPr="007A7FB2">
        <w:rPr>
          <w:rFonts w:ascii="Times New Roman" w:hAnsi="Times New Roman"/>
          <w:sz w:val="24"/>
          <w:szCs w:val="18"/>
        </w:rPr>
        <w:t xml:space="preserve">(1989) 34 IR 179 at 184, where Gray J rightly adopted the submission of Mr M E J Black QC, who said "the parties cannot create something which has every feature of a rooster, but call it a duck and insist that everybody else recognise it as a duck"; </w:t>
      </w:r>
      <w:r w:rsidRPr="007A7FB2">
        <w:rPr>
          <w:rFonts w:ascii="Times New Roman" w:hAnsi="Times New Roman"/>
          <w:i/>
          <w:sz w:val="24"/>
          <w:szCs w:val="18"/>
        </w:rPr>
        <w:t>Bluebottle UK Ltd v Deputy Commissioner of Taxation</w:t>
      </w:r>
      <w:r w:rsidRPr="007A7FB2">
        <w:rPr>
          <w:rFonts w:ascii="Times New Roman" w:hAnsi="Times New Roman"/>
          <w:sz w:val="24"/>
          <w:szCs w:val="18"/>
        </w:rPr>
        <w:t xml:space="preserve"> (2007) 232 CLR 598 at 618 [52]. </w:t>
      </w:r>
      <w:r w:rsidRPr="007A7FB2">
        <w:rPr>
          <w:rFonts w:ascii="Times New Roman" w:hAnsi="Times New Roman"/>
          <w:sz w:val="24"/>
        </w:rPr>
        <w:t xml:space="preserve">See also </w:t>
      </w:r>
      <w:r w:rsidRPr="007A7FB2">
        <w:rPr>
          <w:rFonts w:ascii="Times New Roman" w:hAnsi="Times New Roman"/>
          <w:i/>
          <w:sz w:val="24"/>
        </w:rPr>
        <w:t>Kennedy v De Trafford</w:t>
      </w:r>
      <w:r w:rsidRPr="007A7FB2">
        <w:rPr>
          <w:rFonts w:ascii="Times New Roman" w:hAnsi="Times New Roman"/>
          <w:sz w:val="24"/>
        </w:rPr>
        <w:t xml:space="preserve"> [1897] AC 180 at 188; </w:t>
      </w:r>
      <w:r w:rsidRPr="007A7FB2">
        <w:rPr>
          <w:rFonts w:ascii="Times New Roman" w:hAnsi="Times New Roman"/>
          <w:i/>
          <w:sz w:val="24"/>
        </w:rPr>
        <w:t xml:space="preserve">Colonial Mutual </w:t>
      </w:r>
      <w:r w:rsidRPr="007A7FB2">
        <w:rPr>
          <w:rFonts w:ascii="Times New Roman" w:hAnsi="Times New Roman"/>
          <w:sz w:val="24"/>
        </w:rPr>
        <w:t xml:space="preserve">(1931) 46 CLR 41 at 50; </w:t>
      </w:r>
      <w:r w:rsidRPr="007A7FB2">
        <w:rPr>
          <w:rFonts w:ascii="Times New Roman" w:hAnsi="Times New Roman"/>
          <w:i/>
          <w:sz w:val="24"/>
        </w:rPr>
        <w:t>Foster</w:t>
      </w:r>
      <w:r w:rsidRPr="007A7FB2">
        <w:rPr>
          <w:rFonts w:ascii="Times New Roman" w:hAnsi="Times New Roman"/>
          <w:sz w:val="24"/>
        </w:rPr>
        <w:t xml:space="preserve"> (1952) 85 CLR 138 at 151.</w:t>
      </w:r>
    </w:p>
  </w:footnote>
  <w:footnote w:id="319">
    <w:p w14:paraId="2CEDE409"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szCs w:val="18"/>
        </w:rPr>
        <w:t xml:space="preserve">Hollis </w:t>
      </w:r>
      <w:r w:rsidRPr="007A7FB2">
        <w:rPr>
          <w:rFonts w:ascii="Times New Roman" w:hAnsi="Times New Roman"/>
          <w:sz w:val="24"/>
          <w:szCs w:val="18"/>
        </w:rPr>
        <w:t>(2001) 207 CLR 21 at 45 [58], citing</w:t>
      </w:r>
      <w:r w:rsidRPr="007A7FB2">
        <w:rPr>
          <w:rFonts w:ascii="Times New Roman" w:hAnsi="Times New Roman"/>
          <w:i/>
          <w:sz w:val="24"/>
        </w:rPr>
        <w:t xml:space="preserve"> Ex </w:t>
      </w:r>
      <w:r w:rsidRPr="007A7FB2">
        <w:rPr>
          <w:rFonts w:ascii="Times New Roman" w:hAnsi="Times New Roman"/>
          <w:i/>
          <w:sz w:val="24"/>
        </w:rPr>
        <w:t>parte Delhasse; In re Megevand</w:t>
      </w:r>
      <w:r w:rsidRPr="007A7FB2">
        <w:rPr>
          <w:rFonts w:ascii="Times New Roman" w:hAnsi="Times New Roman"/>
          <w:sz w:val="24"/>
        </w:rPr>
        <w:t xml:space="preserve"> (1878) 7 Ch D 511 at 526, 528, 532, </w:t>
      </w:r>
      <w:r w:rsidRPr="007A7FB2">
        <w:rPr>
          <w:rFonts w:ascii="Times New Roman" w:hAnsi="Times New Roman"/>
          <w:i/>
          <w:sz w:val="24"/>
        </w:rPr>
        <w:t>Adam v Newbigging</w:t>
      </w:r>
      <w:r w:rsidRPr="007A7FB2">
        <w:rPr>
          <w:rFonts w:ascii="Times New Roman" w:hAnsi="Times New Roman"/>
          <w:sz w:val="24"/>
        </w:rPr>
        <w:t xml:space="preserve"> (1888) 13 App Cas 308 at 315, </w:t>
      </w:r>
      <w:r w:rsidRPr="007A7FB2">
        <w:rPr>
          <w:rFonts w:ascii="Times New Roman" w:hAnsi="Times New Roman"/>
          <w:i/>
          <w:sz w:val="24"/>
        </w:rPr>
        <w:t>Foster</w:t>
      </w:r>
      <w:r w:rsidRPr="007A7FB2">
        <w:rPr>
          <w:rFonts w:ascii="Times New Roman" w:hAnsi="Times New Roman"/>
          <w:sz w:val="24"/>
        </w:rPr>
        <w:t xml:space="preserve"> (1952) 85 CLR 138 at 150-151 and </w:t>
      </w:r>
      <w:r w:rsidRPr="007A7FB2">
        <w:rPr>
          <w:rFonts w:ascii="Times New Roman" w:hAnsi="Times New Roman"/>
          <w:i/>
          <w:sz w:val="24"/>
        </w:rPr>
        <w:t>TNT Worldwide Express (NZ) Ltd v Cunningham</w:t>
      </w:r>
      <w:r w:rsidRPr="007A7FB2">
        <w:rPr>
          <w:rFonts w:ascii="Times New Roman" w:hAnsi="Times New Roman"/>
          <w:sz w:val="24"/>
        </w:rPr>
        <w:t xml:space="preserve"> [1993] 3 NZLR 681 at 699</w:t>
      </w:r>
      <w:r w:rsidRPr="007A7FB2">
        <w:rPr>
          <w:rFonts w:ascii="Times New Roman" w:hAnsi="Times New Roman"/>
          <w:sz w:val="24"/>
          <w:szCs w:val="18"/>
        </w:rPr>
        <w:t>.</w:t>
      </w:r>
    </w:p>
  </w:footnote>
  <w:footnote w:id="320">
    <w:p w14:paraId="3D51EEC2"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w:t>
      </w:r>
      <w:r w:rsidRPr="007A7FB2">
        <w:rPr>
          <w:rFonts w:ascii="Times New Roman" w:hAnsi="Times New Roman"/>
          <w:sz w:val="24"/>
          <w:szCs w:val="18"/>
        </w:rPr>
        <w:t xml:space="preserve">2007) 232 CLR 598 at 618 [52]. </w:t>
      </w:r>
    </w:p>
  </w:footnote>
  <w:footnote w:id="321">
    <w:p w14:paraId="0B4158E1"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(2004) 141 IR 31.</w:t>
      </w:r>
    </w:p>
  </w:footnote>
  <w:footnote w:id="322">
    <w:p w14:paraId="64FB5F64"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 xml:space="preserve">(1986) 160 CLR 16 at 24, 29, citing </w:t>
      </w:r>
      <w:r w:rsidRPr="007A7FB2">
        <w:rPr>
          <w:rFonts w:ascii="Times New Roman" w:hAnsi="Times New Roman"/>
          <w:i/>
          <w:sz w:val="24"/>
        </w:rPr>
        <w:t>Queensland Stations</w:t>
      </w:r>
      <w:r w:rsidRPr="007A7FB2">
        <w:rPr>
          <w:rFonts w:ascii="Times New Roman" w:hAnsi="Times New Roman"/>
          <w:sz w:val="24"/>
        </w:rPr>
        <w:t xml:space="preserve"> (1945) 70 CLR 539 at 552, </w:t>
      </w:r>
      <w:r w:rsidRPr="007A7FB2">
        <w:rPr>
          <w:rFonts w:ascii="Times New Roman" w:hAnsi="Times New Roman"/>
          <w:i/>
          <w:sz w:val="24"/>
        </w:rPr>
        <w:t>Zuijs</w:t>
      </w:r>
      <w:r w:rsidRPr="007A7FB2">
        <w:rPr>
          <w:rFonts w:ascii="Times New Roman" w:hAnsi="Times New Roman"/>
          <w:sz w:val="24"/>
        </w:rPr>
        <w:t xml:space="preserve"> (1955) 93 CLR 561, </w:t>
      </w:r>
      <w:r w:rsidRPr="007A7FB2">
        <w:rPr>
          <w:rFonts w:ascii="Times New Roman" w:hAnsi="Times New Roman"/>
          <w:i/>
          <w:sz w:val="24"/>
        </w:rPr>
        <w:t>Marshall</w:t>
      </w:r>
      <w:r w:rsidRPr="007A7FB2">
        <w:rPr>
          <w:rFonts w:ascii="Times New Roman" w:hAnsi="Times New Roman"/>
          <w:sz w:val="24"/>
        </w:rPr>
        <w:t xml:space="preserve"> (1963) 109 CLR 210 at 218 and </w:t>
      </w:r>
      <w:r w:rsidRPr="007A7FB2">
        <w:rPr>
          <w:rFonts w:ascii="Times New Roman" w:hAnsi="Times New Roman"/>
          <w:i/>
          <w:sz w:val="24"/>
        </w:rPr>
        <w:t>Barrett</w:t>
      </w:r>
      <w:r w:rsidRPr="007A7FB2">
        <w:rPr>
          <w:rFonts w:ascii="Times New Roman" w:hAnsi="Times New Roman"/>
          <w:sz w:val="24"/>
        </w:rPr>
        <w:t xml:space="preserve"> (1973) 129 CLR 395 at 401.</w:t>
      </w:r>
    </w:p>
  </w:footnote>
  <w:footnote w:id="323">
    <w:p w14:paraId="1A876D40"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 xml:space="preserve">(2001) 207 CLR 21. See, </w:t>
      </w:r>
      <w:r w:rsidRPr="007A7FB2">
        <w:rPr>
          <w:rFonts w:ascii="Times New Roman" w:hAnsi="Times New Roman"/>
          <w:sz w:val="24"/>
        </w:rPr>
        <w:t xml:space="preserve">eg, </w:t>
      </w:r>
      <w:r w:rsidRPr="007A7FB2">
        <w:rPr>
          <w:rFonts w:ascii="Times New Roman" w:hAnsi="Times New Roman"/>
          <w:i/>
          <w:sz w:val="24"/>
        </w:rPr>
        <w:t xml:space="preserve">Personnel </w:t>
      </w:r>
      <w:r w:rsidRPr="007A7FB2">
        <w:rPr>
          <w:rFonts w:ascii="Times New Roman" w:hAnsi="Times New Roman"/>
          <w:sz w:val="24"/>
        </w:rPr>
        <w:t>(2004) 141 IR 31 at 38-39 [29]-[33], 44</w:t>
      </w:r>
      <w:r>
        <w:rPr>
          <w:rFonts w:ascii="Times New Roman" w:hAnsi="Times New Roman"/>
          <w:sz w:val="24"/>
        </w:rPr>
        <w:t> </w:t>
      </w:r>
      <w:r w:rsidRPr="007A7FB2">
        <w:rPr>
          <w:rFonts w:ascii="Times New Roman" w:hAnsi="Times New Roman"/>
          <w:sz w:val="24"/>
        </w:rPr>
        <w:t>[51]-[52], 54 [106];</w:t>
      </w:r>
      <w:r w:rsidRPr="007A7FB2">
        <w:rPr>
          <w:rFonts w:ascii="Times New Roman" w:hAnsi="Times New Roman"/>
          <w:i/>
          <w:sz w:val="24"/>
        </w:rPr>
        <w:t xml:space="preserve"> On Call Interpreters </w:t>
      </w:r>
      <w:r w:rsidRPr="007A7FB2">
        <w:rPr>
          <w:rFonts w:ascii="Times New Roman" w:hAnsi="Times New Roman"/>
          <w:sz w:val="24"/>
        </w:rPr>
        <w:t>(2011) 214 FCR 82 at 121-127 [204]</w:t>
      </w:r>
      <w:r>
        <w:rPr>
          <w:rFonts w:ascii="Times New Roman" w:hAnsi="Times New Roman"/>
          <w:sz w:val="24"/>
        </w:rPr>
        <w:noBreakHyphen/>
      </w:r>
      <w:r w:rsidRPr="007A7FB2">
        <w:rPr>
          <w:rFonts w:ascii="Times New Roman" w:hAnsi="Times New Roman"/>
          <w:sz w:val="24"/>
        </w:rPr>
        <w:t xml:space="preserve">[220]; </w:t>
      </w:r>
      <w:r w:rsidRPr="007A7FB2">
        <w:rPr>
          <w:rFonts w:ascii="Times New Roman" w:hAnsi="Times New Roman"/>
          <w:i/>
          <w:sz w:val="24"/>
        </w:rPr>
        <w:t>Young v Tasmanian Contracting Services Pty Ltd</w:t>
      </w:r>
      <w:r w:rsidRPr="007A7FB2">
        <w:rPr>
          <w:rFonts w:ascii="Times New Roman" w:hAnsi="Times New Roman"/>
          <w:sz w:val="24"/>
        </w:rPr>
        <w:t xml:space="preserve"> [2012] TASFC 1 at [3]</w:t>
      </w:r>
      <w:r w:rsidRPr="007A7FB2">
        <w:rPr>
          <w:rFonts w:ascii="Times New Roman" w:hAnsi="Times New Roman"/>
          <w:sz w:val="24"/>
        </w:rPr>
        <w:noBreakHyphen/>
        <w:t>[5], [17]</w:t>
      </w:r>
      <w:r w:rsidRPr="007A7FB2">
        <w:rPr>
          <w:rFonts w:ascii="Times New Roman" w:hAnsi="Times New Roman"/>
          <w:sz w:val="24"/>
        </w:rPr>
        <w:noBreakHyphen/>
        <w:t>[18], [43]</w:t>
      </w:r>
      <w:r w:rsidRPr="007A7FB2">
        <w:rPr>
          <w:rFonts w:ascii="Times New Roman" w:hAnsi="Times New Roman"/>
          <w:sz w:val="24"/>
        </w:rPr>
        <w:noBreakHyphen/>
        <w:t xml:space="preserve">[44]; </w:t>
      </w:r>
      <w:r w:rsidRPr="007A7FB2">
        <w:rPr>
          <w:rFonts w:ascii="Times New Roman" w:hAnsi="Times New Roman"/>
          <w:i/>
          <w:sz w:val="24"/>
        </w:rPr>
        <w:t>ACE Insurance v Trifunovski</w:t>
      </w:r>
      <w:r w:rsidRPr="007A7FB2">
        <w:rPr>
          <w:rFonts w:ascii="Times New Roman" w:hAnsi="Times New Roman"/>
          <w:sz w:val="24"/>
        </w:rPr>
        <w:t xml:space="preserve"> (2013) 209 FCR 146.</w:t>
      </w:r>
    </w:p>
  </w:footnote>
  <w:footnote w:id="324">
    <w:p w14:paraId="5876F5A2"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 xml:space="preserve">See, </w:t>
      </w:r>
      <w:r w:rsidRPr="007A7FB2">
        <w:rPr>
          <w:rFonts w:ascii="Times New Roman" w:hAnsi="Times New Roman"/>
          <w:sz w:val="24"/>
        </w:rPr>
        <w:t xml:space="preserve">eg, </w:t>
      </w:r>
      <w:r w:rsidRPr="007A7FB2">
        <w:rPr>
          <w:rFonts w:ascii="Times New Roman" w:hAnsi="Times New Roman"/>
          <w:i/>
          <w:sz w:val="24"/>
        </w:rPr>
        <w:t>Ellis v Wallsend District Hospital</w:t>
      </w:r>
      <w:r w:rsidRPr="007A7FB2">
        <w:rPr>
          <w:rFonts w:ascii="Times New Roman" w:hAnsi="Times New Roman"/>
          <w:sz w:val="24"/>
        </w:rPr>
        <w:t xml:space="preserve"> (1989) 17 NSWLR 553 at 597; </w:t>
      </w:r>
      <w:r w:rsidRPr="007A7FB2">
        <w:rPr>
          <w:rFonts w:ascii="Times New Roman" w:hAnsi="Times New Roman"/>
          <w:i/>
          <w:sz w:val="24"/>
        </w:rPr>
        <w:t xml:space="preserve">On Call Interpreters </w:t>
      </w:r>
      <w:r w:rsidRPr="007A7FB2">
        <w:rPr>
          <w:rFonts w:ascii="Times New Roman" w:hAnsi="Times New Roman"/>
          <w:sz w:val="24"/>
        </w:rPr>
        <w:t>(2011) 214 FCR 82 at 122 [206]; Roles and Stewart, "The Reach of Labour Regulation:</w:t>
      </w:r>
      <w:r w:rsidRPr="007A7FB2" w:rsidDel="00BD1333">
        <w:rPr>
          <w:rFonts w:ascii="Times New Roman" w:hAnsi="Times New Roman"/>
          <w:sz w:val="24"/>
        </w:rPr>
        <w:t xml:space="preserve"> </w:t>
      </w:r>
      <w:r w:rsidRPr="007A7FB2">
        <w:rPr>
          <w:rFonts w:ascii="Times New Roman" w:hAnsi="Times New Roman"/>
          <w:sz w:val="24"/>
        </w:rPr>
        <w:t xml:space="preserve">Tackling Sham Contracting" (2012) 25 </w:t>
      </w:r>
      <w:r w:rsidRPr="007A7FB2">
        <w:rPr>
          <w:rFonts w:ascii="Times New Roman" w:hAnsi="Times New Roman"/>
          <w:i/>
          <w:sz w:val="24"/>
        </w:rPr>
        <w:t>Australian Journal of Labour Law</w:t>
      </w:r>
      <w:r w:rsidRPr="007A7FB2">
        <w:rPr>
          <w:rFonts w:ascii="Times New Roman" w:hAnsi="Times New Roman"/>
          <w:sz w:val="24"/>
        </w:rPr>
        <w:t xml:space="preserve"> 258 at 267; Irving, </w:t>
      </w:r>
      <w:r w:rsidRPr="007A7FB2">
        <w:rPr>
          <w:rFonts w:ascii="Times New Roman" w:hAnsi="Times New Roman"/>
          <w:i/>
          <w:sz w:val="24"/>
        </w:rPr>
        <w:t>The Contract of Employment</w:t>
      </w:r>
      <w:r w:rsidRPr="007A7FB2">
        <w:rPr>
          <w:rFonts w:ascii="Times New Roman" w:hAnsi="Times New Roman"/>
          <w:sz w:val="24"/>
        </w:rPr>
        <w:t>, 2nd ed (2019) at 68</w:t>
      </w:r>
      <w:r>
        <w:rPr>
          <w:rFonts w:ascii="Times New Roman" w:hAnsi="Times New Roman"/>
          <w:sz w:val="24"/>
        </w:rPr>
        <w:noBreakHyphen/>
      </w:r>
      <w:r w:rsidRPr="007A7FB2">
        <w:rPr>
          <w:rFonts w:ascii="Times New Roman" w:hAnsi="Times New Roman"/>
          <w:sz w:val="24"/>
        </w:rPr>
        <w:t xml:space="preserve">72 [2.15]-[2.18]; Stewart and McCrystal, "Labour Regulation and the Great Divide: Does the Gig Economy Require a New Category of Worker?" (2019) 32 </w:t>
      </w:r>
      <w:r w:rsidRPr="007A7FB2">
        <w:rPr>
          <w:rFonts w:ascii="Times New Roman" w:hAnsi="Times New Roman"/>
          <w:i/>
          <w:sz w:val="24"/>
        </w:rPr>
        <w:t>Australian Journal of Labour Law</w:t>
      </w:r>
      <w:r w:rsidRPr="007A7FB2">
        <w:rPr>
          <w:rFonts w:ascii="Times New Roman" w:hAnsi="Times New Roman"/>
          <w:sz w:val="24"/>
        </w:rPr>
        <w:t xml:space="preserve"> 4 at 8.</w:t>
      </w:r>
    </w:p>
  </w:footnote>
  <w:footnote w:id="325">
    <w:p w14:paraId="66BA2955"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 xml:space="preserve">Irving, </w:t>
      </w:r>
      <w:r w:rsidRPr="007A7FB2">
        <w:rPr>
          <w:rFonts w:ascii="Times New Roman" w:hAnsi="Times New Roman"/>
          <w:i/>
          <w:sz w:val="24"/>
        </w:rPr>
        <w:t>The Contract of Employment</w:t>
      </w:r>
      <w:r w:rsidRPr="007A7FB2">
        <w:rPr>
          <w:rFonts w:ascii="Times New Roman" w:hAnsi="Times New Roman"/>
          <w:sz w:val="24"/>
        </w:rPr>
        <w:t>, 2nd ed (2019) at 69 [2.16].</w:t>
      </w:r>
    </w:p>
  </w:footnote>
  <w:footnote w:id="326">
    <w:p w14:paraId="0ED087C9"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Ellis</w:t>
      </w:r>
      <w:r w:rsidRPr="007A7FB2" w:rsidDel="00C85DA8">
        <w:rPr>
          <w:rFonts w:ascii="Times New Roman" w:hAnsi="Times New Roman"/>
          <w:sz w:val="24"/>
        </w:rPr>
        <w:t xml:space="preserve"> </w:t>
      </w:r>
      <w:r w:rsidRPr="007A7FB2">
        <w:rPr>
          <w:rFonts w:ascii="Times New Roman" w:hAnsi="Times New Roman"/>
          <w:sz w:val="24"/>
        </w:rPr>
        <w:t xml:space="preserve">(1989) 17 NSWLR 553 at 597. See also Neil and Chin, </w:t>
      </w:r>
      <w:r w:rsidRPr="007A7FB2">
        <w:rPr>
          <w:rFonts w:ascii="Times New Roman" w:hAnsi="Times New Roman"/>
          <w:i/>
          <w:sz w:val="24"/>
        </w:rPr>
        <w:t>The Modern Contract of Employment</w:t>
      </w:r>
      <w:r w:rsidRPr="007A7FB2">
        <w:rPr>
          <w:rFonts w:ascii="Times New Roman" w:hAnsi="Times New Roman"/>
          <w:sz w:val="24"/>
        </w:rPr>
        <w:t xml:space="preserve">, 2nd ed (2017) at 7 [1.30]; Irving, </w:t>
      </w:r>
      <w:r w:rsidRPr="007A7FB2">
        <w:rPr>
          <w:rFonts w:ascii="Times New Roman" w:hAnsi="Times New Roman"/>
          <w:i/>
          <w:sz w:val="24"/>
        </w:rPr>
        <w:t>The Contract of Employment</w:t>
      </w:r>
      <w:r w:rsidRPr="007A7FB2">
        <w:rPr>
          <w:rFonts w:ascii="Times New Roman" w:hAnsi="Times New Roman"/>
          <w:sz w:val="24"/>
        </w:rPr>
        <w:t>, 2nd</w:t>
      </w:r>
      <w:r>
        <w:rPr>
          <w:rFonts w:ascii="Times New Roman" w:hAnsi="Times New Roman"/>
          <w:sz w:val="24"/>
        </w:rPr>
        <w:t> </w:t>
      </w:r>
      <w:r w:rsidRPr="007A7FB2">
        <w:rPr>
          <w:rFonts w:ascii="Times New Roman" w:hAnsi="Times New Roman"/>
          <w:sz w:val="24"/>
        </w:rPr>
        <w:t>ed (2019) at 71 [2.18].</w:t>
      </w:r>
    </w:p>
  </w:footnote>
  <w:footnote w:id="327">
    <w:p w14:paraId="70F5DEB1"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 xml:space="preserve">Victoria, </w:t>
      </w:r>
      <w:r w:rsidRPr="007A7FB2">
        <w:rPr>
          <w:rFonts w:ascii="Times New Roman" w:hAnsi="Times New Roman"/>
          <w:i/>
          <w:sz w:val="24"/>
        </w:rPr>
        <w:t>Report of the Inquiry into the Victorian On-Demand Workforce</w:t>
      </w:r>
      <w:r w:rsidRPr="007A7FB2">
        <w:rPr>
          <w:rFonts w:ascii="Times New Roman" w:hAnsi="Times New Roman"/>
          <w:sz w:val="24"/>
        </w:rPr>
        <w:t xml:space="preserve"> (June</w:t>
      </w:r>
      <w:r>
        <w:rPr>
          <w:rFonts w:ascii="Times New Roman" w:hAnsi="Times New Roman"/>
          <w:sz w:val="24"/>
        </w:rPr>
        <w:t> </w:t>
      </w:r>
      <w:r w:rsidRPr="007A7FB2">
        <w:rPr>
          <w:rFonts w:ascii="Times New Roman" w:hAnsi="Times New Roman"/>
          <w:sz w:val="24"/>
        </w:rPr>
        <w:t xml:space="preserve">2020) at 105 [732]. See also </w:t>
      </w:r>
      <w:r w:rsidRPr="007A7FB2">
        <w:rPr>
          <w:rFonts w:ascii="Times New Roman" w:hAnsi="Times New Roman"/>
          <w:i/>
          <w:sz w:val="24"/>
        </w:rPr>
        <w:t xml:space="preserve">Ellis </w:t>
      </w:r>
      <w:r w:rsidRPr="007A7FB2">
        <w:rPr>
          <w:rFonts w:ascii="Times New Roman" w:hAnsi="Times New Roman"/>
          <w:sz w:val="24"/>
        </w:rPr>
        <w:t xml:space="preserve">(1989) 17 NSWLR 553 at 597; </w:t>
      </w:r>
      <w:r w:rsidRPr="007A7FB2">
        <w:rPr>
          <w:rFonts w:ascii="Times New Roman" w:hAnsi="Times New Roman"/>
          <w:i/>
          <w:sz w:val="24"/>
        </w:rPr>
        <w:t xml:space="preserve">On Call Interpreters </w:t>
      </w:r>
      <w:r w:rsidRPr="007A7FB2">
        <w:rPr>
          <w:rFonts w:ascii="Times New Roman" w:hAnsi="Times New Roman"/>
          <w:sz w:val="24"/>
        </w:rPr>
        <w:t xml:space="preserve">(2011) 214 FCR 82 at 121-122 [204]-[205]; Neil and Chin, </w:t>
      </w:r>
      <w:r w:rsidRPr="007A7FB2">
        <w:rPr>
          <w:rFonts w:ascii="Times New Roman" w:hAnsi="Times New Roman"/>
          <w:i/>
          <w:sz w:val="24"/>
        </w:rPr>
        <w:t>The Modern Contract of Employment</w:t>
      </w:r>
      <w:r w:rsidRPr="007A7FB2">
        <w:rPr>
          <w:rFonts w:ascii="Times New Roman" w:hAnsi="Times New Roman"/>
          <w:sz w:val="24"/>
        </w:rPr>
        <w:t xml:space="preserve">, 2nd ed (2017) at 16 [1.60]; Irving, </w:t>
      </w:r>
      <w:r w:rsidRPr="007A7FB2">
        <w:rPr>
          <w:rFonts w:ascii="Times New Roman" w:hAnsi="Times New Roman"/>
          <w:i/>
          <w:sz w:val="24"/>
        </w:rPr>
        <w:t>The Contract of Employment</w:t>
      </w:r>
      <w:r w:rsidRPr="007A7FB2">
        <w:rPr>
          <w:rFonts w:ascii="Times New Roman" w:hAnsi="Times New Roman"/>
          <w:sz w:val="24"/>
        </w:rPr>
        <w:t>, 2nd ed (2019) at 67 [2.14].</w:t>
      </w:r>
    </w:p>
  </w:footnote>
  <w:footnote w:id="328">
    <w:p w14:paraId="236D20BE"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Codelfa</w:t>
      </w:r>
      <w:r w:rsidRPr="007A7FB2">
        <w:rPr>
          <w:rFonts w:ascii="Times New Roman" w:hAnsi="Times New Roman"/>
          <w:sz w:val="24"/>
        </w:rPr>
        <w:t xml:space="preserve"> </w:t>
      </w:r>
      <w:r w:rsidRPr="007A7FB2">
        <w:rPr>
          <w:rFonts w:ascii="Times New Roman" w:hAnsi="Times New Roman"/>
          <w:sz w:val="24"/>
          <w:szCs w:val="24"/>
        </w:rPr>
        <w:t xml:space="preserve">(1982) 149 CLR 337 </w:t>
      </w:r>
      <w:r w:rsidRPr="007A7FB2">
        <w:rPr>
          <w:rFonts w:ascii="Times New Roman" w:hAnsi="Times New Roman"/>
          <w:sz w:val="24"/>
        </w:rPr>
        <w:t xml:space="preserve">at 352; </w:t>
      </w:r>
      <w:r w:rsidRPr="007A7FB2">
        <w:rPr>
          <w:rFonts w:ascii="Times New Roman" w:hAnsi="Times New Roman"/>
          <w:i/>
          <w:sz w:val="24"/>
        </w:rPr>
        <w:t>Mount Bruce Mining</w:t>
      </w:r>
      <w:r w:rsidRPr="007A7FB2">
        <w:rPr>
          <w:rFonts w:ascii="Times New Roman" w:hAnsi="Times New Roman"/>
          <w:sz w:val="24"/>
        </w:rPr>
        <w:t xml:space="preserve"> (</w:t>
      </w:r>
      <w:r w:rsidRPr="007A7FB2">
        <w:rPr>
          <w:rFonts w:ascii="Times New Roman" w:hAnsi="Times New Roman"/>
          <w:sz w:val="24"/>
          <w:szCs w:val="24"/>
        </w:rPr>
        <w:t xml:space="preserve">2015) 256 CLR 104 </w:t>
      </w:r>
      <w:r w:rsidRPr="007A7FB2">
        <w:rPr>
          <w:rFonts w:ascii="Times New Roman" w:hAnsi="Times New Roman"/>
          <w:sz w:val="24"/>
        </w:rPr>
        <w:t xml:space="preserve">at 117 [50]. See also </w:t>
      </w:r>
      <w:r w:rsidRPr="007A7FB2">
        <w:rPr>
          <w:rFonts w:ascii="Times New Roman" w:hAnsi="Times New Roman"/>
          <w:i/>
          <w:sz w:val="24"/>
        </w:rPr>
        <w:t>Prenn</w:t>
      </w:r>
      <w:r w:rsidRPr="007A7FB2">
        <w:rPr>
          <w:rFonts w:ascii="Times New Roman" w:hAnsi="Times New Roman"/>
          <w:sz w:val="24"/>
        </w:rPr>
        <w:t xml:space="preserve"> [1971] 1 WLR 1381 at 1385; [1971] 3 All ER 237 at 241; </w:t>
      </w:r>
      <w:r w:rsidRPr="007A7FB2">
        <w:rPr>
          <w:rFonts w:ascii="Times New Roman" w:hAnsi="Times New Roman"/>
          <w:i/>
          <w:sz w:val="24"/>
        </w:rPr>
        <w:t xml:space="preserve">Reardon Smith </w:t>
      </w:r>
      <w:r w:rsidRPr="007A7FB2">
        <w:rPr>
          <w:rFonts w:ascii="Times New Roman" w:hAnsi="Times New Roman"/>
          <w:sz w:val="24"/>
        </w:rPr>
        <w:t>[1976] 1 WLR 989 at 996; [1976] 3 All ER 570 at 574-575, citing</w:t>
      </w:r>
      <w:r>
        <w:rPr>
          <w:rFonts w:ascii="Times New Roman" w:hAnsi="Times New Roman"/>
          <w:sz w:val="24"/>
        </w:rPr>
        <w:t> </w:t>
      </w:r>
      <w:r w:rsidRPr="007A7FB2">
        <w:rPr>
          <w:rFonts w:ascii="Times New Roman" w:hAnsi="Times New Roman"/>
          <w:i/>
          <w:sz w:val="24"/>
        </w:rPr>
        <w:t xml:space="preserve">Lewis </w:t>
      </w:r>
      <w:r w:rsidRPr="007A7FB2">
        <w:rPr>
          <w:rFonts w:ascii="Times New Roman" w:hAnsi="Times New Roman"/>
          <w:sz w:val="24"/>
        </w:rPr>
        <w:t xml:space="preserve">(1877) 3 QBD 195 at 208; </w:t>
      </w:r>
      <w:r w:rsidRPr="007A7FB2">
        <w:rPr>
          <w:rFonts w:ascii="Times New Roman" w:hAnsi="Times New Roman"/>
          <w:i/>
          <w:sz w:val="24"/>
        </w:rPr>
        <w:t xml:space="preserve">DTR Nominees </w:t>
      </w:r>
      <w:r w:rsidRPr="007A7FB2">
        <w:rPr>
          <w:rFonts w:ascii="Times New Roman" w:hAnsi="Times New Roman"/>
          <w:sz w:val="24"/>
        </w:rPr>
        <w:t xml:space="preserve">(1978) 138 CLR 423 at 429; </w:t>
      </w:r>
      <w:r w:rsidRPr="007A7FB2">
        <w:rPr>
          <w:rFonts w:ascii="Times New Roman" w:hAnsi="Times New Roman"/>
          <w:i/>
          <w:sz w:val="24"/>
        </w:rPr>
        <w:t xml:space="preserve">Secured Income Real Estate </w:t>
      </w:r>
      <w:r w:rsidRPr="007A7FB2">
        <w:rPr>
          <w:rFonts w:ascii="Times New Roman" w:hAnsi="Times New Roman"/>
          <w:sz w:val="24"/>
        </w:rPr>
        <w:t>(1979) 144 CLR 596 at 606.</w:t>
      </w:r>
    </w:p>
  </w:footnote>
  <w:footnote w:id="329">
    <w:p w14:paraId="2C8DD6FE"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 xml:space="preserve">Gardiner </w:t>
      </w:r>
      <w:r w:rsidRPr="007A7FB2">
        <w:rPr>
          <w:rFonts w:ascii="Times New Roman" w:hAnsi="Times New Roman"/>
          <w:sz w:val="24"/>
        </w:rPr>
        <w:t xml:space="preserve">(2008) 238 CLR 570 at 582 [35], quoting </w:t>
      </w:r>
      <w:r w:rsidRPr="007A7FB2">
        <w:rPr>
          <w:rFonts w:ascii="Times New Roman" w:hAnsi="Times New Roman"/>
          <w:i/>
          <w:sz w:val="24"/>
        </w:rPr>
        <w:t>James Miller &amp; Partners</w:t>
      </w:r>
      <w:r w:rsidRPr="007A7FB2" w:rsidDel="008833DF">
        <w:rPr>
          <w:rFonts w:ascii="Times New Roman" w:hAnsi="Times New Roman"/>
          <w:sz w:val="24"/>
        </w:rPr>
        <w:t xml:space="preserve"> </w:t>
      </w:r>
      <w:r w:rsidRPr="007A7FB2">
        <w:rPr>
          <w:rFonts w:ascii="Times New Roman" w:hAnsi="Times New Roman"/>
          <w:sz w:val="24"/>
        </w:rPr>
        <w:t>[1970] AC 583 at 603, repeated in</w:t>
      </w:r>
      <w:r w:rsidRPr="007A7FB2" w:rsidDel="008833DF">
        <w:rPr>
          <w:rFonts w:ascii="Times New Roman" w:hAnsi="Times New Roman"/>
          <w:i/>
          <w:sz w:val="24"/>
        </w:rPr>
        <w:t xml:space="preserve"> </w:t>
      </w:r>
      <w:r w:rsidRPr="007A7FB2">
        <w:rPr>
          <w:rFonts w:ascii="Times New Roman" w:hAnsi="Times New Roman"/>
          <w:i/>
          <w:sz w:val="24"/>
        </w:rPr>
        <w:t>Daera Guba</w:t>
      </w:r>
      <w:r w:rsidRPr="007A7FB2">
        <w:rPr>
          <w:rFonts w:ascii="Times New Roman" w:hAnsi="Times New Roman"/>
          <w:sz w:val="24"/>
        </w:rPr>
        <w:t xml:space="preserve"> (1973) 130 CLR 353 at 446. </w:t>
      </w:r>
    </w:p>
  </w:footnote>
  <w:footnote w:id="330">
    <w:p w14:paraId="587D8A11"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 xml:space="preserve">James Miller &amp; Partners </w:t>
      </w:r>
      <w:r w:rsidRPr="007A7FB2">
        <w:rPr>
          <w:rFonts w:ascii="Times New Roman" w:hAnsi="Times New Roman"/>
          <w:sz w:val="24"/>
        </w:rPr>
        <w:t>[1970] AC 583 at 603.</w:t>
      </w:r>
    </w:p>
  </w:footnote>
  <w:footnote w:id="331">
    <w:p w14:paraId="63268611"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 xml:space="preserve">On Call Interpreters </w:t>
      </w:r>
      <w:r w:rsidRPr="007A7FB2">
        <w:rPr>
          <w:rFonts w:ascii="Times New Roman" w:hAnsi="Times New Roman"/>
          <w:sz w:val="24"/>
        </w:rPr>
        <w:t xml:space="preserve">(2011) 214 FCR 82 at 126 [218]; </w:t>
      </w:r>
      <w:r w:rsidRPr="007A7FB2">
        <w:rPr>
          <w:rFonts w:ascii="Times New Roman" w:hAnsi="Times New Roman"/>
          <w:i/>
          <w:sz w:val="24"/>
        </w:rPr>
        <w:t>ACE Insurance</w:t>
      </w:r>
      <w:r w:rsidRPr="007A7FB2" w:rsidDel="00123726">
        <w:rPr>
          <w:rFonts w:ascii="Times New Roman" w:hAnsi="Times New Roman"/>
          <w:i/>
          <w:sz w:val="24"/>
        </w:rPr>
        <w:t xml:space="preserve"> </w:t>
      </w:r>
      <w:r w:rsidRPr="007A7FB2">
        <w:rPr>
          <w:rFonts w:ascii="Times New Roman" w:hAnsi="Times New Roman"/>
          <w:sz w:val="24"/>
        </w:rPr>
        <w:t>(2011) 200</w:t>
      </w:r>
      <w:r>
        <w:rPr>
          <w:rFonts w:ascii="Times New Roman" w:hAnsi="Times New Roman"/>
          <w:sz w:val="24"/>
        </w:rPr>
        <w:t> </w:t>
      </w:r>
      <w:r w:rsidRPr="007A7FB2">
        <w:rPr>
          <w:rFonts w:ascii="Times New Roman" w:hAnsi="Times New Roman"/>
          <w:sz w:val="24"/>
        </w:rPr>
        <w:t xml:space="preserve">FCR 532 at 543 [29]; </w:t>
      </w:r>
      <w:r w:rsidRPr="007A7FB2">
        <w:rPr>
          <w:rFonts w:ascii="Times New Roman" w:hAnsi="Times New Roman"/>
          <w:i/>
          <w:sz w:val="24"/>
        </w:rPr>
        <w:t>Eastern Van Services Pty Ltd v Victorian WorkCover Authority</w:t>
      </w:r>
      <w:r w:rsidRPr="007A7FB2">
        <w:rPr>
          <w:rFonts w:ascii="Times New Roman" w:hAnsi="Times New Roman"/>
          <w:sz w:val="24"/>
        </w:rPr>
        <w:t xml:space="preserve"> (2020) 296 IR 391 at 400 [36]. </w:t>
      </w:r>
    </w:p>
  </w:footnote>
  <w:footnote w:id="332">
    <w:p w14:paraId="57F2167C"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 xml:space="preserve">ACE Insurance </w:t>
      </w:r>
      <w:r w:rsidRPr="007A7FB2">
        <w:rPr>
          <w:rFonts w:ascii="Times New Roman" w:hAnsi="Times New Roman"/>
          <w:sz w:val="24"/>
        </w:rPr>
        <w:t xml:space="preserve">(2011) 200 FCR 532 at 543 [29]. </w:t>
      </w:r>
    </w:p>
  </w:footnote>
  <w:footnote w:id="333">
    <w:p w14:paraId="7D558ADB"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sz w:val="24"/>
        </w:rPr>
        <w:t xml:space="preserve">cf </w:t>
      </w:r>
      <w:r w:rsidRPr="007A7FB2">
        <w:rPr>
          <w:rFonts w:ascii="Times New Roman" w:hAnsi="Times New Roman"/>
          <w:i/>
          <w:sz w:val="24"/>
        </w:rPr>
        <w:t>Hollis</w:t>
      </w:r>
      <w:r w:rsidRPr="007A7FB2">
        <w:rPr>
          <w:rFonts w:ascii="Times New Roman" w:hAnsi="Times New Roman"/>
          <w:sz w:val="24"/>
        </w:rPr>
        <w:t xml:space="preserve"> </w:t>
      </w:r>
      <w:r w:rsidRPr="007A7FB2">
        <w:rPr>
          <w:rFonts w:ascii="Times New Roman" w:hAnsi="Times New Roman"/>
          <w:sz w:val="24"/>
          <w:szCs w:val="18"/>
        </w:rPr>
        <w:t>(2001) 207 CLR 21 at 41 [47].</w:t>
      </w:r>
    </w:p>
  </w:footnote>
  <w:footnote w:id="334">
    <w:p w14:paraId="55BCDE68"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 xml:space="preserve">On Call Interpreters </w:t>
      </w:r>
      <w:r w:rsidRPr="007A7FB2">
        <w:rPr>
          <w:rFonts w:ascii="Times New Roman" w:hAnsi="Times New Roman"/>
          <w:sz w:val="24"/>
        </w:rPr>
        <w:t>(2011) 214 FCR 82 at 126 [218]</w:t>
      </w:r>
      <w:r w:rsidRPr="007A7FB2">
        <w:rPr>
          <w:rFonts w:ascii="Times New Roman" w:hAnsi="Times New Roman"/>
          <w:sz w:val="24"/>
          <w:szCs w:val="18"/>
        </w:rPr>
        <w:t>.</w:t>
      </w:r>
    </w:p>
  </w:footnote>
  <w:footnote w:id="335">
    <w:p w14:paraId="49AD1685"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Construction, Forestry, Maritime, Mining and Energy Union v Personnel Contracting Pty Ltd</w:t>
      </w:r>
      <w:r w:rsidRPr="007A7FB2">
        <w:rPr>
          <w:rFonts w:ascii="Times New Roman" w:hAnsi="Times New Roman"/>
          <w:sz w:val="24"/>
        </w:rPr>
        <w:t xml:space="preserve"> (2020) 279 FCR 631 at 636 [8] ("</w:t>
      </w:r>
      <w:r w:rsidRPr="007A7FB2">
        <w:rPr>
          <w:rFonts w:ascii="Times New Roman" w:hAnsi="Times New Roman"/>
          <w:i/>
          <w:sz w:val="24"/>
        </w:rPr>
        <w:t>Personnel (No 2)</w:t>
      </w:r>
      <w:r w:rsidRPr="007A7FB2">
        <w:rPr>
          <w:rFonts w:ascii="Times New Roman" w:hAnsi="Times New Roman"/>
          <w:sz w:val="24"/>
        </w:rPr>
        <w:t xml:space="preserve">"). See </w:t>
      </w:r>
      <w:r w:rsidRPr="007A7FB2">
        <w:rPr>
          <w:rFonts w:ascii="Times New Roman" w:hAnsi="Times New Roman"/>
          <w:i/>
          <w:sz w:val="24"/>
        </w:rPr>
        <w:t xml:space="preserve">On Call Interpreters </w:t>
      </w:r>
      <w:r w:rsidRPr="007A7FB2">
        <w:rPr>
          <w:rFonts w:ascii="Times New Roman" w:hAnsi="Times New Roman"/>
          <w:sz w:val="24"/>
        </w:rPr>
        <w:t xml:space="preserve">(2011) 214 FCR 82 at 121-122 [204]; </w:t>
      </w:r>
      <w:r w:rsidRPr="007A7FB2">
        <w:rPr>
          <w:rFonts w:ascii="Times New Roman" w:hAnsi="Times New Roman"/>
          <w:i/>
          <w:sz w:val="24"/>
        </w:rPr>
        <w:t>ACE Insurance</w:t>
      </w:r>
      <w:r w:rsidRPr="007A7FB2" w:rsidDel="008027A9">
        <w:rPr>
          <w:rFonts w:ascii="Times New Roman" w:hAnsi="Times New Roman"/>
          <w:i/>
          <w:sz w:val="24"/>
        </w:rPr>
        <w:t xml:space="preserve"> </w:t>
      </w:r>
      <w:r w:rsidRPr="007A7FB2">
        <w:rPr>
          <w:rFonts w:ascii="Times New Roman" w:hAnsi="Times New Roman"/>
          <w:sz w:val="24"/>
        </w:rPr>
        <w:t>(2011) 200</w:t>
      </w:r>
      <w:r>
        <w:rPr>
          <w:rFonts w:ascii="Times New Roman" w:hAnsi="Times New Roman"/>
          <w:sz w:val="24"/>
        </w:rPr>
        <w:t> </w:t>
      </w:r>
      <w:r w:rsidRPr="007A7FB2">
        <w:rPr>
          <w:rFonts w:ascii="Times New Roman" w:hAnsi="Times New Roman"/>
          <w:sz w:val="24"/>
        </w:rPr>
        <w:t xml:space="preserve">FCR 532 at 543 [29]; </w:t>
      </w:r>
      <w:r w:rsidRPr="007A7FB2">
        <w:rPr>
          <w:rFonts w:ascii="Times New Roman" w:hAnsi="Times New Roman"/>
          <w:i/>
          <w:sz w:val="24"/>
        </w:rPr>
        <w:t>Quest </w:t>
      </w:r>
      <w:r w:rsidRPr="007A7FB2">
        <w:rPr>
          <w:rFonts w:ascii="Times New Roman" w:hAnsi="Times New Roman"/>
          <w:sz w:val="24"/>
        </w:rPr>
        <w:t xml:space="preserve">(2015) 228 FCR 346 at 389-390 [176]-[181]. </w:t>
      </w:r>
    </w:p>
  </w:footnote>
  <w:footnote w:id="336">
    <w:p w14:paraId="1045C4E3"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 xml:space="preserve">WorkPac </w:t>
      </w:r>
      <w:r w:rsidRPr="007A7FB2">
        <w:rPr>
          <w:rFonts w:ascii="Times New Roman" w:hAnsi="Times New Roman"/>
          <w:sz w:val="24"/>
        </w:rPr>
        <w:t>(2021) 95 ALJR 681 at 693 [57]-[58]; 392 ALR 39 at 52; see also 95 ALJR 681 at 699 [97]; 392 ALR 39 at 60, citing</w:t>
      </w:r>
      <w:r w:rsidRPr="007A7FB2" w:rsidDel="00297015">
        <w:rPr>
          <w:rFonts w:ascii="Times New Roman" w:hAnsi="Times New Roman"/>
          <w:i/>
          <w:sz w:val="24"/>
          <w:szCs w:val="18"/>
        </w:rPr>
        <w:t xml:space="preserve"> </w:t>
      </w:r>
      <w:r w:rsidRPr="007A7FB2">
        <w:rPr>
          <w:rFonts w:ascii="Times New Roman" w:hAnsi="Times New Roman"/>
          <w:i/>
          <w:sz w:val="24"/>
          <w:szCs w:val="18"/>
        </w:rPr>
        <w:t xml:space="preserve">Foster </w:t>
      </w:r>
      <w:r w:rsidRPr="007A7FB2">
        <w:rPr>
          <w:rFonts w:ascii="Times New Roman" w:hAnsi="Times New Roman"/>
          <w:sz w:val="24"/>
          <w:szCs w:val="18"/>
        </w:rPr>
        <w:t>(1952) 85 CLR 138 at 151.</w:t>
      </w:r>
    </w:p>
  </w:footnote>
  <w:footnote w:id="337">
    <w:p w14:paraId="5F9EE066"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 xml:space="preserve">Brambles Holdings </w:t>
      </w:r>
      <w:r w:rsidRPr="007A7FB2">
        <w:rPr>
          <w:rFonts w:ascii="Times New Roman" w:hAnsi="Times New Roman"/>
          <w:sz w:val="24"/>
        </w:rPr>
        <w:t xml:space="preserve">(2001) 53 NSWLR 153 at 163-164 [25], citing, among other cases, </w:t>
      </w:r>
      <w:r w:rsidRPr="007A7FB2">
        <w:rPr>
          <w:rFonts w:ascii="Times New Roman" w:hAnsi="Times New Roman"/>
          <w:i/>
          <w:sz w:val="24"/>
        </w:rPr>
        <w:t xml:space="preserve">Howard Smith </w:t>
      </w:r>
      <w:r w:rsidRPr="007A7FB2">
        <w:rPr>
          <w:rFonts w:ascii="Times New Roman" w:hAnsi="Times New Roman"/>
          <w:sz w:val="24"/>
        </w:rPr>
        <w:t xml:space="preserve">(1907) 5 CLR 68 at 77 and </w:t>
      </w:r>
      <w:r w:rsidRPr="007A7FB2">
        <w:rPr>
          <w:rFonts w:ascii="Times New Roman" w:hAnsi="Times New Roman"/>
          <w:i/>
          <w:sz w:val="24"/>
        </w:rPr>
        <w:t xml:space="preserve">Barrier Wharfs </w:t>
      </w:r>
      <w:r w:rsidRPr="007A7FB2">
        <w:rPr>
          <w:rFonts w:ascii="Times New Roman" w:hAnsi="Times New Roman"/>
          <w:sz w:val="24"/>
        </w:rPr>
        <w:t xml:space="preserve">(1908) 5 CLR 647 at 668, 669, 672; </w:t>
      </w:r>
      <w:r w:rsidRPr="007A7FB2">
        <w:rPr>
          <w:rFonts w:ascii="Times New Roman" w:hAnsi="Times New Roman"/>
          <w:i/>
          <w:sz w:val="24"/>
        </w:rPr>
        <w:t xml:space="preserve">Franklins </w:t>
      </w:r>
      <w:r w:rsidRPr="007A7FB2">
        <w:rPr>
          <w:rFonts w:ascii="Times New Roman" w:hAnsi="Times New Roman"/>
          <w:sz w:val="24"/>
        </w:rPr>
        <w:t>(2009) 76 NSWLR 603 at 616 [13].</w:t>
      </w:r>
    </w:p>
  </w:footnote>
  <w:footnote w:id="338">
    <w:p w14:paraId="6D13A223"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 xml:space="preserve">Phillips </w:t>
      </w:r>
      <w:r w:rsidRPr="007A7FB2">
        <w:rPr>
          <w:rFonts w:ascii="Times New Roman" w:hAnsi="Times New Roman"/>
          <w:sz w:val="24"/>
        </w:rPr>
        <w:t>(1941) 65 CLR 221 at 243</w:t>
      </w:r>
      <w:r w:rsidRPr="007A7FB2">
        <w:rPr>
          <w:rFonts w:ascii="Times New Roman" w:hAnsi="Times New Roman"/>
          <w:sz w:val="24"/>
        </w:rPr>
        <w:noBreakHyphen/>
        <w:t xml:space="preserve">244; </w:t>
      </w:r>
      <w:r w:rsidRPr="007A7FB2">
        <w:rPr>
          <w:rFonts w:ascii="Times New Roman" w:hAnsi="Times New Roman"/>
          <w:i/>
          <w:sz w:val="24"/>
        </w:rPr>
        <w:t xml:space="preserve">Tallerman </w:t>
      </w:r>
      <w:r w:rsidRPr="007A7FB2">
        <w:rPr>
          <w:rFonts w:ascii="Times New Roman" w:hAnsi="Times New Roman"/>
          <w:sz w:val="24"/>
        </w:rPr>
        <w:t xml:space="preserve">(1957) 98 CLR 93 at 112-113; </w:t>
      </w:r>
      <w:r w:rsidRPr="007A7FB2">
        <w:rPr>
          <w:rFonts w:ascii="Times New Roman" w:hAnsi="Times New Roman"/>
          <w:i/>
          <w:sz w:val="24"/>
        </w:rPr>
        <w:t xml:space="preserve">Chaplin </w:t>
      </w:r>
      <w:r w:rsidRPr="007A7FB2">
        <w:rPr>
          <w:rFonts w:ascii="Times New Roman" w:hAnsi="Times New Roman"/>
          <w:sz w:val="24"/>
        </w:rPr>
        <w:t>(1978) 52 ALJR 407 at 411; 18 ALR 385 at 392-393.</w:t>
      </w:r>
    </w:p>
  </w:footnote>
  <w:footnote w:id="339">
    <w:p w14:paraId="254006F0"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 xml:space="preserve">Tallerman </w:t>
      </w:r>
      <w:r w:rsidRPr="007A7FB2">
        <w:rPr>
          <w:rFonts w:ascii="Times New Roman" w:hAnsi="Times New Roman"/>
          <w:sz w:val="24"/>
        </w:rPr>
        <w:t xml:space="preserve">(1957) 98 CLR 93 at 112-113; </w:t>
      </w:r>
      <w:r w:rsidRPr="007A7FB2">
        <w:rPr>
          <w:rFonts w:ascii="Times New Roman" w:hAnsi="Times New Roman"/>
          <w:i/>
          <w:sz w:val="24"/>
        </w:rPr>
        <w:t xml:space="preserve">ALH </w:t>
      </w:r>
      <w:r w:rsidRPr="007A7FB2">
        <w:rPr>
          <w:rFonts w:ascii="Times New Roman" w:hAnsi="Times New Roman"/>
          <w:sz w:val="24"/>
        </w:rPr>
        <w:t xml:space="preserve">(2012) 245 CLR 338 at 350-351 [31]-[32]. See, generally, </w:t>
      </w:r>
      <w:r w:rsidRPr="007A7FB2">
        <w:rPr>
          <w:rFonts w:ascii="Times New Roman" w:hAnsi="Times New Roman"/>
          <w:i/>
          <w:sz w:val="24"/>
        </w:rPr>
        <w:t>Olsson v Dyson</w:t>
      </w:r>
      <w:r w:rsidRPr="007A7FB2">
        <w:rPr>
          <w:rFonts w:ascii="Times New Roman" w:hAnsi="Times New Roman"/>
          <w:sz w:val="24"/>
        </w:rPr>
        <w:t xml:space="preserve"> (1969) 120 CLR 365 at 388-389, quoting</w:t>
      </w:r>
      <w:r>
        <w:rPr>
          <w:rFonts w:ascii="Times New Roman" w:hAnsi="Times New Roman"/>
          <w:sz w:val="24"/>
        </w:rPr>
        <w:t> </w:t>
      </w:r>
      <w:r w:rsidRPr="007A7FB2">
        <w:rPr>
          <w:rFonts w:ascii="Times New Roman" w:hAnsi="Times New Roman"/>
          <w:i/>
          <w:sz w:val="24"/>
        </w:rPr>
        <w:t xml:space="preserve">Scarf v Jardine </w:t>
      </w:r>
      <w:r w:rsidRPr="007A7FB2">
        <w:rPr>
          <w:rFonts w:ascii="Times New Roman" w:hAnsi="Times New Roman"/>
          <w:sz w:val="24"/>
        </w:rPr>
        <w:t xml:space="preserve">(1882) 7 App Cas 345 at 351. See also </w:t>
      </w:r>
      <w:r w:rsidRPr="007A7FB2">
        <w:rPr>
          <w:rFonts w:ascii="Times New Roman" w:hAnsi="Times New Roman"/>
          <w:i/>
          <w:sz w:val="24"/>
        </w:rPr>
        <w:t>Chitty on Contracts</w:t>
      </w:r>
      <w:r w:rsidRPr="007A7FB2">
        <w:rPr>
          <w:rFonts w:ascii="Times New Roman" w:hAnsi="Times New Roman"/>
          <w:sz w:val="24"/>
        </w:rPr>
        <w:t xml:space="preserve">, 33rd ed (2018), vol 1 at 1087 [13-124], citing </w:t>
      </w:r>
      <w:r w:rsidRPr="007A7FB2">
        <w:rPr>
          <w:rFonts w:ascii="Times New Roman" w:hAnsi="Times New Roman"/>
          <w:i/>
          <w:sz w:val="24"/>
        </w:rPr>
        <w:t xml:space="preserve">Goss </w:t>
      </w:r>
      <w:r w:rsidRPr="007A7FB2">
        <w:rPr>
          <w:rFonts w:ascii="Times New Roman" w:hAnsi="Times New Roman"/>
          <w:sz w:val="24"/>
        </w:rPr>
        <w:t>(1833) 5 B &amp; Ad 58 at 64 [110</w:t>
      </w:r>
      <w:r>
        <w:rPr>
          <w:rFonts w:ascii="Times New Roman" w:hAnsi="Times New Roman"/>
          <w:sz w:val="24"/>
        </w:rPr>
        <w:t> </w:t>
      </w:r>
      <w:r w:rsidRPr="007A7FB2">
        <w:rPr>
          <w:rFonts w:ascii="Times New Roman" w:hAnsi="Times New Roman"/>
          <w:sz w:val="24"/>
        </w:rPr>
        <w:t xml:space="preserve">ER 713 at 716] and </w:t>
      </w:r>
      <w:r w:rsidRPr="007A7FB2">
        <w:rPr>
          <w:rFonts w:ascii="Times New Roman" w:hAnsi="Times New Roman"/>
          <w:i/>
          <w:sz w:val="24"/>
        </w:rPr>
        <w:t xml:space="preserve">Morris </w:t>
      </w:r>
      <w:r w:rsidRPr="007A7FB2">
        <w:rPr>
          <w:rFonts w:ascii="Times New Roman" w:hAnsi="Times New Roman"/>
          <w:sz w:val="24"/>
        </w:rPr>
        <w:t>[1918] AC 1.</w:t>
      </w:r>
    </w:p>
  </w:footnote>
  <w:footnote w:id="340">
    <w:p w14:paraId="2456E028" w14:textId="77777777" w:rsidR="00782161" w:rsidRPr="007A7FB2" w:rsidRDefault="00782161" w:rsidP="007A7FB2">
      <w:pPr>
        <w:pStyle w:val="FootnoteText"/>
        <w:spacing w:line="280" w:lineRule="exact"/>
        <w:ind w:right="0"/>
        <w:jc w:val="both"/>
        <w:rPr>
          <w:rFonts w:ascii="Times New Roman" w:hAnsi="Times New Roman"/>
          <w:i/>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(2021) 95 ALJR 681; 392 ALR 39.</w:t>
      </w:r>
    </w:p>
  </w:footnote>
  <w:footnote w:id="341">
    <w:p w14:paraId="33E23680"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Personnel (No 2)</w:t>
      </w:r>
      <w:r w:rsidRPr="007A7FB2">
        <w:rPr>
          <w:rFonts w:ascii="Times New Roman" w:hAnsi="Times New Roman"/>
          <w:sz w:val="24"/>
        </w:rPr>
        <w:t xml:space="preserve"> (2020) 279 FCR 631 at 655 [76].</w:t>
      </w:r>
    </w:p>
  </w:footnote>
  <w:footnote w:id="342">
    <w:p w14:paraId="0851896C"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sz w:val="24"/>
          <w:szCs w:val="18"/>
        </w:rPr>
        <w:t>(2001) 207 CLR 21 at 33 [24].</w:t>
      </w:r>
    </w:p>
  </w:footnote>
  <w:footnote w:id="343">
    <w:p w14:paraId="3B119B33"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sidDel="00900ECD">
        <w:rPr>
          <w:rFonts w:ascii="Times New Roman" w:hAnsi="Times New Roman"/>
          <w:sz w:val="24"/>
        </w:rPr>
        <w:t>(1986) 160 CLR 16</w:t>
      </w:r>
      <w:r w:rsidRPr="007A7FB2">
        <w:rPr>
          <w:rFonts w:ascii="Times New Roman" w:hAnsi="Times New Roman"/>
          <w:sz w:val="24"/>
        </w:rPr>
        <w:t xml:space="preserve"> at 39. See also </w:t>
      </w:r>
      <w:r w:rsidRPr="007A7FB2">
        <w:rPr>
          <w:rFonts w:ascii="Times New Roman" w:hAnsi="Times New Roman"/>
          <w:i/>
          <w:sz w:val="24"/>
        </w:rPr>
        <w:t xml:space="preserve">Marshall </w:t>
      </w:r>
      <w:r w:rsidRPr="007A7FB2">
        <w:rPr>
          <w:rFonts w:ascii="Times New Roman" w:hAnsi="Times New Roman"/>
          <w:sz w:val="24"/>
        </w:rPr>
        <w:t xml:space="preserve">(1963) 109 CLR 210 at 212, 218; </w:t>
      </w:r>
      <w:r w:rsidRPr="007A7FB2">
        <w:rPr>
          <w:rFonts w:ascii="Times New Roman" w:hAnsi="Times New Roman"/>
          <w:i/>
          <w:sz w:val="24"/>
        </w:rPr>
        <w:t xml:space="preserve">Barrett </w:t>
      </w:r>
      <w:r w:rsidRPr="007A7FB2">
        <w:rPr>
          <w:rFonts w:ascii="Times New Roman" w:hAnsi="Times New Roman"/>
          <w:sz w:val="24"/>
        </w:rPr>
        <w:t xml:space="preserve">(1973) 129 CLR 395 at 400; </w:t>
      </w:r>
      <w:r w:rsidRPr="007A7FB2">
        <w:rPr>
          <w:rFonts w:ascii="Times New Roman" w:hAnsi="Times New Roman"/>
          <w:i/>
          <w:sz w:val="24"/>
        </w:rPr>
        <w:t xml:space="preserve">Barrett </w:t>
      </w:r>
      <w:r w:rsidRPr="007A7FB2">
        <w:rPr>
          <w:rFonts w:ascii="Times New Roman" w:hAnsi="Times New Roman"/>
          <w:sz w:val="24"/>
        </w:rPr>
        <w:t>72 ATC 457 at 460-461.</w:t>
      </w:r>
    </w:p>
  </w:footnote>
  <w:footnote w:id="344">
    <w:p w14:paraId="2D7BB863" w14:textId="77777777" w:rsidR="00782161" w:rsidRPr="007A7FB2" w:rsidRDefault="00782161" w:rsidP="007A7FB2">
      <w:pPr>
        <w:pStyle w:val="FootnoteText"/>
        <w:spacing w:line="280" w:lineRule="exact"/>
        <w:ind w:right="0"/>
        <w:jc w:val="both"/>
        <w:rPr>
          <w:rFonts w:ascii="Times New Roman" w:hAnsi="Times New Roman"/>
          <w:sz w:val="24"/>
          <w:u w:val="single"/>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 xml:space="preserve">Byrne </w:t>
      </w:r>
      <w:r w:rsidRPr="007A7FB2">
        <w:rPr>
          <w:rFonts w:ascii="Times New Roman" w:hAnsi="Times New Roman"/>
          <w:sz w:val="24"/>
        </w:rPr>
        <w:t xml:space="preserve">(1995) 185 CLR 410 at 442. See </w:t>
      </w:r>
      <w:r w:rsidRPr="007A7FB2">
        <w:rPr>
          <w:rFonts w:ascii="Times New Roman" w:hAnsi="Times New Roman"/>
          <w:i/>
          <w:sz w:val="24"/>
        </w:rPr>
        <w:t>BP Refinery (Westernport) Pty Ltd v Shire of Hastings</w:t>
      </w:r>
      <w:r w:rsidRPr="007A7FB2">
        <w:rPr>
          <w:rFonts w:ascii="Times New Roman" w:hAnsi="Times New Roman"/>
          <w:sz w:val="24"/>
        </w:rPr>
        <w:t xml:space="preserve"> (1977) 180 CLR 266 at 283; </w:t>
      </w:r>
      <w:r w:rsidRPr="007A7FB2">
        <w:rPr>
          <w:rFonts w:ascii="Times New Roman" w:hAnsi="Times New Roman"/>
          <w:i/>
          <w:sz w:val="24"/>
        </w:rPr>
        <w:t xml:space="preserve">Hawkins v Clayton </w:t>
      </w:r>
      <w:r w:rsidRPr="007A7FB2">
        <w:rPr>
          <w:rFonts w:ascii="Times New Roman" w:hAnsi="Times New Roman"/>
          <w:sz w:val="24"/>
        </w:rPr>
        <w:t xml:space="preserve">(1988) 164 CLR 539 at 573; </w:t>
      </w:r>
      <w:r w:rsidRPr="007A7FB2">
        <w:rPr>
          <w:rFonts w:ascii="Times New Roman" w:hAnsi="Times New Roman"/>
          <w:i/>
          <w:sz w:val="24"/>
        </w:rPr>
        <w:t>Chattis Nominees Pty Ltd v Norman Ross Homeworks Pty Ltd (In liq)</w:t>
      </w:r>
      <w:r w:rsidRPr="007A7FB2">
        <w:rPr>
          <w:rFonts w:ascii="Times New Roman" w:hAnsi="Times New Roman"/>
          <w:sz w:val="24"/>
        </w:rPr>
        <w:t xml:space="preserve"> (1992) 28 NSWLR 338 at 343.</w:t>
      </w:r>
    </w:p>
  </w:footnote>
  <w:footnote w:id="345">
    <w:p w14:paraId="7E5D8507"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 xml:space="preserve">Byrne </w:t>
      </w:r>
      <w:r w:rsidRPr="007A7FB2">
        <w:rPr>
          <w:rFonts w:ascii="Times New Roman" w:hAnsi="Times New Roman"/>
          <w:sz w:val="24"/>
        </w:rPr>
        <w:t xml:space="preserve">(1995) 185 CLR 410 at 442. See </w:t>
      </w:r>
      <w:r w:rsidRPr="007A7FB2">
        <w:rPr>
          <w:rFonts w:ascii="Times New Roman" w:hAnsi="Times New Roman"/>
          <w:i/>
          <w:sz w:val="24"/>
        </w:rPr>
        <w:t xml:space="preserve">BP Refinery </w:t>
      </w:r>
      <w:r w:rsidRPr="007A7FB2">
        <w:rPr>
          <w:rFonts w:ascii="Times New Roman" w:hAnsi="Times New Roman"/>
          <w:sz w:val="24"/>
        </w:rPr>
        <w:t xml:space="preserve">(1977) 180 CLR 266 at 283; </w:t>
      </w:r>
      <w:r w:rsidRPr="007A7FB2">
        <w:rPr>
          <w:rFonts w:ascii="Times New Roman" w:hAnsi="Times New Roman"/>
          <w:i/>
          <w:sz w:val="24"/>
        </w:rPr>
        <w:t>Hawkins</w:t>
      </w:r>
      <w:r w:rsidRPr="007A7FB2">
        <w:rPr>
          <w:rFonts w:ascii="Times New Roman" w:hAnsi="Times New Roman"/>
          <w:sz w:val="24"/>
        </w:rPr>
        <w:t xml:space="preserve"> (1988) 164 CLR 539 at 573.</w:t>
      </w:r>
    </w:p>
  </w:footnote>
  <w:footnote w:id="346">
    <w:p w14:paraId="64C5604A"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Henry Kendall &amp; Sons v William Lillico &amp; Sons Ltd</w:t>
      </w:r>
      <w:r w:rsidRPr="007A7FB2">
        <w:rPr>
          <w:rFonts w:ascii="Times New Roman" w:hAnsi="Times New Roman"/>
          <w:sz w:val="24"/>
        </w:rPr>
        <w:t xml:space="preserve"> [1969] 2 AC 31 at 104, quoting</w:t>
      </w:r>
      <w:r>
        <w:rPr>
          <w:rFonts w:ascii="Times New Roman" w:hAnsi="Times New Roman"/>
          <w:sz w:val="24"/>
        </w:rPr>
        <w:t> </w:t>
      </w:r>
      <w:r w:rsidRPr="007A7FB2">
        <w:rPr>
          <w:rFonts w:ascii="Times New Roman" w:hAnsi="Times New Roman"/>
          <w:i/>
          <w:sz w:val="24"/>
        </w:rPr>
        <w:t xml:space="preserve">McCutcheon v David </w:t>
      </w:r>
      <w:r w:rsidRPr="007A7FB2">
        <w:rPr>
          <w:rFonts w:ascii="Times New Roman" w:hAnsi="Times New Roman"/>
          <w:i/>
          <w:sz w:val="24"/>
        </w:rPr>
        <w:t>MacBrayne Ltd</w:t>
      </w:r>
      <w:r w:rsidRPr="007A7FB2">
        <w:rPr>
          <w:rFonts w:ascii="Times New Roman" w:hAnsi="Times New Roman"/>
          <w:sz w:val="24"/>
        </w:rPr>
        <w:t xml:space="preserve"> [1964] 1 WLR 125 at 134; [1964] 1</w:t>
      </w:r>
      <w:r>
        <w:rPr>
          <w:rFonts w:ascii="Times New Roman" w:hAnsi="Times New Roman"/>
          <w:sz w:val="24"/>
        </w:rPr>
        <w:t> </w:t>
      </w:r>
      <w:r w:rsidRPr="007A7FB2">
        <w:rPr>
          <w:rFonts w:ascii="Times New Roman" w:hAnsi="Times New Roman"/>
          <w:sz w:val="24"/>
        </w:rPr>
        <w:t xml:space="preserve">All ER 430 at 437; </w:t>
      </w:r>
      <w:r w:rsidRPr="007A7FB2">
        <w:rPr>
          <w:rFonts w:ascii="Times New Roman" w:hAnsi="Times New Roman"/>
          <w:i/>
          <w:sz w:val="24"/>
        </w:rPr>
        <w:t xml:space="preserve">Chattis Nominees </w:t>
      </w:r>
      <w:r w:rsidRPr="007A7FB2">
        <w:rPr>
          <w:rFonts w:ascii="Times New Roman" w:hAnsi="Times New Roman"/>
          <w:sz w:val="24"/>
        </w:rPr>
        <w:t>(1992) 28 NSWLR 338 at 343.</w:t>
      </w:r>
    </w:p>
  </w:footnote>
  <w:footnote w:id="347">
    <w:p w14:paraId="030BF5BE"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 xml:space="preserve">See </w:t>
      </w:r>
      <w:r w:rsidRPr="007A7FB2">
        <w:rPr>
          <w:rFonts w:ascii="Times New Roman" w:hAnsi="Times New Roman"/>
          <w:i/>
          <w:sz w:val="24"/>
        </w:rPr>
        <w:t>Pioneer Mortgage Services Pty Ltd v Columbus Capital Pty Ltd</w:t>
      </w:r>
      <w:r w:rsidRPr="007A7FB2">
        <w:rPr>
          <w:rFonts w:ascii="Times New Roman" w:hAnsi="Times New Roman"/>
          <w:sz w:val="24"/>
        </w:rPr>
        <w:t xml:space="preserve"> (2016) 250 FCR 136 at 147-149 [48]-[58] and the authorities cited there.</w:t>
      </w:r>
    </w:p>
  </w:footnote>
  <w:footnote w:id="348">
    <w:p w14:paraId="7CDF1AFD"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i/>
          <w:sz w:val="24"/>
        </w:rPr>
        <w:t>Sweeney</w:t>
      </w:r>
      <w:r w:rsidRPr="007A7FB2" w:rsidDel="00976AF8">
        <w:rPr>
          <w:rFonts w:ascii="Times New Roman" w:hAnsi="Times New Roman"/>
          <w:sz w:val="24"/>
        </w:rPr>
        <w:t xml:space="preserve"> </w:t>
      </w:r>
      <w:r w:rsidRPr="007A7FB2">
        <w:rPr>
          <w:rFonts w:ascii="Times New Roman" w:hAnsi="Times New Roman"/>
          <w:sz w:val="24"/>
        </w:rPr>
        <w:t>(2006) 226 CLR 161 at 167 [12]; see also 171 [23].</w:t>
      </w:r>
      <w:r w:rsidRPr="007A7FB2">
        <w:rPr>
          <w:rFonts w:ascii="Times New Roman" w:hAnsi="Times New Roman"/>
          <w:i/>
          <w:sz w:val="24"/>
        </w:rPr>
        <w:t xml:space="preserve"> </w:t>
      </w:r>
      <w:r w:rsidRPr="007A7FB2">
        <w:rPr>
          <w:rFonts w:ascii="Times New Roman" w:hAnsi="Times New Roman"/>
          <w:sz w:val="24"/>
        </w:rPr>
        <w:t xml:space="preserve">See </w:t>
      </w:r>
      <w:r w:rsidRPr="007A7FB2">
        <w:rPr>
          <w:rFonts w:ascii="Times New Roman" w:hAnsi="Times New Roman"/>
          <w:sz w:val="24"/>
        </w:rPr>
        <w:t xml:space="preserve">Atiyah, </w:t>
      </w:r>
      <w:r w:rsidRPr="007A7FB2">
        <w:rPr>
          <w:rFonts w:ascii="Times New Roman" w:hAnsi="Times New Roman"/>
          <w:i/>
          <w:sz w:val="24"/>
        </w:rPr>
        <w:t xml:space="preserve">Vicarious Liability in the Law of Torts </w:t>
      </w:r>
      <w:r w:rsidRPr="007A7FB2">
        <w:rPr>
          <w:rFonts w:ascii="Times New Roman" w:hAnsi="Times New Roman"/>
          <w:sz w:val="24"/>
        </w:rPr>
        <w:t>(1967) at 31.</w:t>
      </w:r>
    </w:p>
  </w:footnote>
  <w:footnote w:id="349">
    <w:p w14:paraId="161B591F"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 xml:space="preserve">See </w:t>
      </w:r>
      <w:r w:rsidRPr="007A7FB2">
        <w:rPr>
          <w:rFonts w:ascii="Times New Roman" w:hAnsi="Times New Roman"/>
          <w:i/>
          <w:sz w:val="24"/>
        </w:rPr>
        <w:t>Stevens</w:t>
      </w:r>
      <w:r w:rsidRPr="007A7FB2">
        <w:rPr>
          <w:rFonts w:ascii="Times New Roman" w:hAnsi="Times New Roman"/>
          <w:sz w:val="24"/>
        </w:rPr>
        <w:t xml:space="preserve"> (1986) 160 CLR 16 at 43; </w:t>
      </w:r>
      <w:r w:rsidRPr="007A7FB2">
        <w:rPr>
          <w:rFonts w:ascii="Times New Roman" w:hAnsi="Times New Roman"/>
          <w:i/>
          <w:sz w:val="24"/>
        </w:rPr>
        <w:t>New South Wales v Lepore</w:t>
      </w:r>
      <w:r w:rsidRPr="007A7FB2">
        <w:rPr>
          <w:rFonts w:ascii="Times New Roman" w:hAnsi="Times New Roman"/>
          <w:sz w:val="24"/>
        </w:rPr>
        <w:t xml:space="preserve"> (2003) 212 CLR 511 at 535 [40], 588 [221], 594 [242]; see also 582 [202]; </w:t>
      </w:r>
      <w:r w:rsidRPr="007A7FB2">
        <w:rPr>
          <w:rFonts w:ascii="Times New Roman" w:hAnsi="Times New Roman"/>
          <w:i/>
          <w:sz w:val="24"/>
        </w:rPr>
        <w:t xml:space="preserve">Sweeney </w:t>
      </w:r>
      <w:r w:rsidRPr="007A7FB2">
        <w:rPr>
          <w:rFonts w:ascii="Times New Roman" w:hAnsi="Times New Roman"/>
          <w:sz w:val="24"/>
        </w:rPr>
        <w:t xml:space="preserve">(2006) 226 CLR 161 at 167 [12]; </w:t>
      </w:r>
      <w:r w:rsidRPr="007A7FB2">
        <w:rPr>
          <w:rFonts w:ascii="Times New Roman" w:hAnsi="Times New Roman"/>
          <w:i/>
          <w:sz w:val="24"/>
        </w:rPr>
        <w:t>Prince Alfred College Inc v ADC</w:t>
      </w:r>
      <w:r w:rsidRPr="007A7FB2">
        <w:rPr>
          <w:rFonts w:ascii="Times New Roman" w:hAnsi="Times New Roman"/>
          <w:sz w:val="24"/>
        </w:rPr>
        <w:t xml:space="preserve"> (2016) 258 CLR 134 at 159</w:t>
      </w:r>
      <w:r w:rsidRPr="007A7FB2">
        <w:rPr>
          <w:rFonts w:ascii="Times New Roman" w:hAnsi="Times New Roman"/>
          <w:sz w:val="24"/>
        </w:rPr>
        <w:noBreakHyphen/>
        <w:t xml:space="preserve">160 [80]-[81]. See also </w:t>
      </w:r>
      <w:r w:rsidRPr="007A7FB2">
        <w:rPr>
          <w:rFonts w:ascii="Times New Roman" w:hAnsi="Times New Roman"/>
          <w:i/>
          <w:sz w:val="24"/>
        </w:rPr>
        <w:t xml:space="preserve">Colonial Mutual </w:t>
      </w:r>
      <w:r w:rsidRPr="007A7FB2">
        <w:rPr>
          <w:rFonts w:ascii="Times New Roman" w:hAnsi="Times New Roman"/>
          <w:sz w:val="24"/>
        </w:rPr>
        <w:t xml:space="preserve">(1931) 46 CLR 41 at 48-49; </w:t>
      </w:r>
      <w:r w:rsidRPr="007A7FB2">
        <w:rPr>
          <w:rFonts w:ascii="Times New Roman" w:hAnsi="Times New Roman"/>
          <w:i/>
          <w:sz w:val="24"/>
        </w:rPr>
        <w:t>Wright v Attorney</w:t>
      </w:r>
      <w:r>
        <w:rPr>
          <w:rFonts w:ascii="Times New Roman" w:hAnsi="Times New Roman"/>
          <w:i/>
          <w:sz w:val="24"/>
        </w:rPr>
        <w:noBreakHyphen/>
      </w:r>
      <w:r w:rsidRPr="007A7FB2">
        <w:rPr>
          <w:rFonts w:ascii="Times New Roman" w:hAnsi="Times New Roman"/>
          <w:i/>
          <w:sz w:val="24"/>
        </w:rPr>
        <w:t xml:space="preserve">General for the State of Tasmania </w:t>
      </w:r>
      <w:r w:rsidRPr="007A7FB2">
        <w:rPr>
          <w:rFonts w:ascii="Times New Roman" w:hAnsi="Times New Roman"/>
          <w:sz w:val="24"/>
        </w:rPr>
        <w:t>(1954) 94 CLR 409 at 414.</w:t>
      </w:r>
    </w:p>
  </w:footnote>
  <w:footnote w:id="350">
    <w:p w14:paraId="3236B262"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See</w:t>
      </w:r>
      <w:r w:rsidRPr="007A7FB2" w:rsidDel="006E7FA4">
        <w:rPr>
          <w:rFonts w:ascii="Times New Roman" w:hAnsi="Times New Roman"/>
          <w:sz w:val="24"/>
        </w:rPr>
        <w:t xml:space="preserve"> </w:t>
      </w:r>
      <w:r w:rsidRPr="007A7FB2">
        <w:rPr>
          <w:rFonts w:ascii="Times New Roman" w:hAnsi="Times New Roman"/>
          <w:sz w:val="24"/>
        </w:rPr>
        <w:t>ASA, cl 5(a).</w:t>
      </w:r>
    </w:p>
  </w:footnote>
  <w:footnote w:id="351">
    <w:p w14:paraId="77663550"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szCs w:val="20"/>
          <w:vertAlign w:val="baseline"/>
        </w:rPr>
        <w:footnoteRef/>
      </w:r>
      <w:r w:rsidRPr="007A7FB2">
        <w:rPr>
          <w:rFonts w:ascii="Times New Roman" w:hAnsi="Times New Roman"/>
          <w:sz w:val="24"/>
        </w:rPr>
        <w:t xml:space="preserve"> </w:t>
      </w:r>
      <w:r w:rsidRPr="007A7FB2">
        <w:rPr>
          <w:rFonts w:ascii="Times New Roman" w:hAnsi="Times New Roman"/>
          <w:sz w:val="24"/>
        </w:rPr>
        <w:tab/>
        <w:t xml:space="preserve">See </w:t>
      </w:r>
      <w:r w:rsidRPr="007A7FB2">
        <w:rPr>
          <w:rFonts w:ascii="Times New Roman" w:hAnsi="Times New Roman"/>
          <w:i/>
          <w:sz w:val="24"/>
        </w:rPr>
        <w:t xml:space="preserve">WorkPac </w:t>
      </w:r>
      <w:r w:rsidRPr="007A7FB2">
        <w:rPr>
          <w:rFonts w:ascii="Times New Roman" w:hAnsi="Times New Roman"/>
          <w:sz w:val="24"/>
        </w:rPr>
        <w:t>(2021)</w:t>
      </w:r>
      <w:r w:rsidRPr="007A7FB2" w:rsidDel="000F4DED">
        <w:rPr>
          <w:rFonts w:ascii="Times New Roman" w:hAnsi="Times New Roman"/>
          <w:sz w:val="24"/>
        </w:rPr>
        <w:t xml:space="preserve"> </w:t>
      </w:r>
      <w:r w:rsidRPr="007A7FB2">
        <w:rPr>
          <w:rFonts w:ascii="Times New Roman" w:hAnsi="Times New Roman"/>
          <w:sz w:val="24"/>
        </w:rPr>
        <w:t>95 ALJR 681 at 698 [88]-[90]; 392 ALR 39 at</w:t>
      </w:r>
      <w:r w:rsidRPr="007A7FB2">
        <w:rPr>
          <w:rFonts w:ascii="Times New Roman" w:hAnsi="Times New Roman"/>
          <w:sz w:val="24"/>
          <w:szCs w:val="24"/>
        </w:rPr>
        <w:t xml:space="preserve"> 58-59</w:t>
      </w:r>
      <w:r w:rsidRPr="007A7FB2">
        <w:rPr>
          <w:rFonts w:ascii="Times New Roman" w:hAnsi="Times New Roman"/>
          <w:sz w:val="24"/>
        </w:rPr>
        <w:t>.</w:t>
      </w:r>
    </w:p>
  </w:footnote>
  <w:footnote w:id="352">
    <w:p w14:paraId="2718247E"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 xml:space="preserve">ASA, </w:t>
      </w:r>
      <w:r w:rsidRPr="007A7FB2">
        <w:rPr>
          <w:rFonts w:ascii="Times New Roman" w:hAnsi="Times New Roman"/>
          <w:sz w:val="24"/>
        </w:rPr>
        <w:t>cll 1(d) and 5(a).</w:t>
      </w:r>
    </w:p>
  </w:footnote>
  <w:footnote w:id="353">
    <w:p w14:paraId="643CB4F0"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 xml:space="preserve">See </w:t>
      </w:r>
      <w:r w:rsidRPr="007A7FB2">
        <w:rPr>
          <w:rFonts w:ascii="Times New Roman" w:hAnsi="Times New Roman"/>
          <w:i/>
          <w:sz w:val="24"/>
        </w:rPr>
        <w:t>Stevens</w:t>
      </w:r>
      <w:r w:rsidRPr="007A7FB2">
        <w:rPr>
          <w:rFonts w:ascii="Times New Roman" w:hAnsi="Times New Roman"/>
          <w:sz w:val="24"/>
        </w:rPr>
        <w:t xml:space="preserve"> (1986) 160 CLR 16 at 24, 36-37.</w:t>
      </w:r>
    </w:p>
  </w:footnote>
  <w:footnote w:id="354">
    <w:p w14:paraId="07F639C0"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t>See [</w:t>
      </w:r>
      <w:r>
        <w:rPr>
          <w:rFonts w:ascii="Times New Roman" w:hAnsi="Times New Roman"/>
          <w:sz w:val="24"/>
        </w:rPr>
        <w:t>18</w:t>
      </w:r>
      <w:r w:rsidRPr="007A7FB2">
        <w:rPr>
          <w:rFonts w:ascii="Times New Roman" w:hAnsi="Times New Roman"/>
          <w:sz w:val="24"/>
        </w:rPr>
        <w:t>4] above.</w:t>
      </w:r>
    </w:p>
  </w:footnote>
  <w:footnote w:id="355">
    <w:p w14:paraId="0C123712" w14:textId="77777777" w:rsidR="00782161" w:rsidRPr="007A7FB2" w:rsidRDefault="00782161" w:rsidP="007A7FB2">
      <w:pPr>
        <w:pStyle w:val="FootnoteText"/>
        <w:spacing w:line="280" w:lineRule="exact"/>
        <w:ind w:right="0"/>
        <w:jc w:val="both"/>
        <w:rPr>
          <w:rFonts w:ascii="Times New Roman" w:hAnsi="Times New Roman"/>
          <w:sz w:val="24"/>
        </w:rPr>
      </w:pPr>
      <w:r w:rsidRPr="007A7FB2">
        <w:rPr>
          <w:rStyle w:val="FootnoteReference"/>
          <w:rFonts w:ascii="Times New Roman" w:hAnsi="Times New Roman"/>
          <w:sz w:val="22"/>
          <w:vertAlign w:val="baseline"/>
        </w:rPr>
        <w:footnoteRef/>
      </w:r>
      <w:r w:rsidRPr="007A7FB2">
        <w:rPr>
          <w:rFonts w:ascii="Times New Roman" w:hAnsi="Times New Roman"/>
          <w:sz w:val="24"/>
        </w:rPr>
        <w:t xml:space="preserve"> </w:t>
      </w:r>
      <w:r w:rsidRPr="007A7FB2">
        <w:rPr>
          <w:rFonts w:ascii="Times New Roman" w:hAnsi="Times New Roman"/>
          <w:sz w:val="24"/>
        </w:rPr>
        <w:tab/>
      </w:r>
      <w:r w:rsidRPr="007A7FB2">
        <w:rPr>
          <w:rFonts w:ascii="Times New Roman" w:hAnsi="Times New Roman"/>
          <w:sz w:val="24"/>
          <w:szCs w:val="18"/>
        </w:rPr>
        <w:t xml:space="preserve">(1931) 46 CLR 41 at 48, </w:t>
      </w:r>
      <w:r w:rsidRPr="007A7FB2">
        <w:rPr>
          <w:rFonts w:ascii="Times New Roman" w:hAnsi="Times New Roman"/>
          <w:sz w:val="24"/>
        </w:rPr>
        <w:t>quoted</w:t>
      </w:r>
      <w:r w:rsidRPr="007A7FB2">
        <w:rPr>
          <w:rFonts w:ascii="Times New Roman" w:hAnsi="Times New Roman"/>
          <w:sz w:val="24"/>
          <w:szCs w:val="18"/>
        </w:rPr>
        <w:t xml:space="preserve"> in </w:t>
      </w:r>
      <w:r w:rsidRPr="007A7FB2">
        <w:rPr>
          <w:rFonts w:ascii="Times New Roman" w:hAnsi="Times New Roman"/>
          <w:i/>
          <w:sz w:val="24"/>
          <w:szCs w:val="18"/>
        </w:rPr>
        <w:t xml:space="preserve">Hollis </w:t>
      </w:r>
      <w:r w:rsidRPr="007A7FB2">
        <w:rPr>
          <w:rFonts w:ascii="Times New Roman" w:hAnsi="Times New Roman"/>
          <w:sz w:val="24"/>
          <w:szCs w:val="18"/>
        </w:rPr>
        <w:t>(2001) 207 CLR 21 at 39 [39].</w:t>
      </w:r>
    </w:p>
  </w:footnote>
  <w:footnote w:id="356">
    <w:p w14:paraId="107FE121"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r>
      <w:r w:rsidRPr="00226D4E">
        <w:rPr>
          <w:rFonts w:ascii="Times New Roman" w:hAnsi="Times New Roman"/>
          <w:i/>
          <w:sz w:val="24"/>
        </w:rPr>
        <w:t>Ferguson v Federal Commissioner of Taxation</w:t>
      </w:r>
      <w:r w:rsidRPr="00226D4E">
        <w:rPr>
          <w:rFonts w:ascii="Times New Roman" w:hAnsi="Times New Roman"/>
          <w:sz w:val="24"/>
        </w:rPr>
        <w:t xml:space="preserve"> (1979) 37 FLR 310; </w:t>
      </w:r>
      <w:r w:rsidRPr="00226D4E">
        <w:rPr>
          <w:rFonts w:ascii="Times New Roman" w:hAnsi="Times New Roman"/>
          <w:i/>
          <w:sz w:val="24"/>
        </w:rPr>
        <w:t xml:space="preserve">Puzey v Commissioner of Taxation </w:t>
      </w:r>
      <w:r w:rsidRPr="00226D4E">
        <w:rPr>
          <w:rFonts w:ascii="Times New Roman" w:hAnsi="Times New Roman"/>
          <w:sz w:val="24"/>
        </w:rPr>
        <w:t>(2003) 131 FCR 244.</w:t>
      </w:r>
    </w:p>
  </w:footnote>
  <w:footnote w:id="357">
    <w:p w14:paraId="14EC74C0"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r>
      <w:r w:rsidRPr="00226D4E">
        <w:rPr>
          <w:rFonts w:ascii="Times New Roman" w:hAnsi="Times New Roman"/>
          <w:i/>
          <w:sz w:val="24"/>
        </w:rPr>
        <w:t>Federal Commissioner of Taxation v Stone</w:t>
      </w:r>
      <w:r w:rsidRPr="00226D4E">
        <w:rPr>
          <w:rFonts w:ascii="Times New Roman" w:hAnsi="Times New Roman"/>
          <w:sz w:val="24"/>
        </w:rPr>
        <w:t xml:space="preserve"> (2005) 222 CLR 289.</w:t>
      </w:r>
    </w:p>
  </w:footnote>
  <w:footnote w:id="358">
    <w:p w14:paraId="4E47A159"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r>
      <w:r w:rsidRPr="00226D4E">
        <w:rPr>
          <w:rFonts w:ascii="Times New Roman" w:hAnsi="Times New Roman"/>
          <w:i/>
          <w:sz w:val="24"/>
        </w:rPr>
        <w:t>Federal Commissioner of Taxation v Stone</w:t>
      </w:r>
      <w:r w:rsidRPr="00226D4E">
        <w:rPr>
          <w:rFonts w:ascii="Times New Roman" w:hAnsi="Times New Roman"/>
          <w:sz w:val="24"/>
        </w:rPr>
        <w:t xml:space="preserve"> (2005) 222 CLR 289 at 305 [55] per Gleeson CJ, Gummow, Hayne and Heydon JJ. See also </w:t>
      </w:r>
      <w:r w:rsidRPr="00226D4E">
        <w:rPr>
          <w:rFonts w:ascii="Times New Roman" w:hAnsi="Times New Roman"/>
          <w:i/>
          <w:sz w:val="24"/>
        </w:rPr>
        <w:t xml:space="preserve">G v Commissioner of Inland Revenue </w:t>
      </w:r>
      <w:r w:rsidRPr="00226D4E">
        <w:rPr>
          <w:rFonts w:ascii="Times New Roman" w:hAnsi="Times New Roman"/>
          <w:sz w:val="24"/>
        </w:rPr>
        <w:t>[1961] NZLR 994.</w:t>
      </w:r>
    </w:p>
  </w:footnote>
  <w:footnote w:id="359">
    <w:p w14:paraId="2D05A4A1"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t>See Recital A and cl 3(b) of the ASA.</w:t>
      </w:r>
    </w:p>
  </w:footnote>
  <w:footnote w:id="360">
    <w:p w14:paraId="4C899166"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r>
      <w:r w:rsidRPr="00226D4E">
        <w:rPr>
          <w:rFonts w:ascii="Times New Roman" w:hAnsi="Times New Roman"/>
          <w:i/>
          <w:sz w:val="24"/>
        </w:rPr>
        <w:t xml:space="preserve">Construction, Forestry, Maritime, Mining and Energy Union v Personnel Contracting Pty Ltd </w:t>
      </w:r>
      <w:r w:rsidRPr="00226D4E">
        <w:rPr>
          <w:rFonts w:ascii="Times New Roman" w:hAnsi="Times New Roman"/>
          <w:sz w:val="24"/>
        </w:rPr>
        <w:t>(2020) 279 FCR 631 at 667 [122] per Lee J.</w:t>
      </w:r>
    </w:p>
  </w:footnote>
  <w:footnote w:id="361">
    <w:p w14:paraId="549BD8E2"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t>Unreported, Federal Court of Australia, 24 August 1989.</w:t>
      </w:r>
    </w:p>
  </w:footnote>
  <w:footnote w:id="362">
    <w:p w14:paraId="79DC4657" w14:textId="77777777" w:rsidR="005E53F7" w:rsidRPr="00226D4E" w:rsidRDefault="005E53F7" w:rsidP="00226D4E">
      <w:pPr>
        <w:pStyle w:val="FootnoteText"/>
        <w:spacing w:line="280" w:lineRule="exact"/>
        <w:ind w:right="0"/>
        <w:jc w:val="both"/>
        <w:rPr>
          <w:rFonts w:ascii="Times New Roman" w:hAnsi="Times New Roman"/>
          <w:b/>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t>(1991) 29 FCR 104.</w:t>
      </w:r>
    </w:p>
  </w:footnote>
  <w:footnote w:id="363">
    <w:p w14:paraId="12837B8F"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t xml:space="preserve">Transcript of Proceedings, </w:t>
      </w:r>
      <w:r w:rsidRPr="00226D4E">
        <w:rPr>
          <w:rFonts w:ascii="Times New Roman" w:hAnsi="Times New Roman"/>
          <w:i/>
          <w:sz w:val="24"/>
        </w:rPr>
        <w:t>Building Workers' Industrial Union of Australia v Odco Pty Ltd</w:t>
      </w:r>
      <w:r w:rsidRPr="00226D4E">
        <w:rPr>
          <w:rFonts w:ascii="Times New Roman" w:hAnsi="Times New Roman"/>
          <w:sz w:val="24"/>
        </w:rPr>
        <w:t xml:space="preserve"> (High Court of Australia, No M13 of 1991, Mason CJ, Dawson and McHugh JJ, 7 June 1991). </w:t>
      </w:r>
    </w:p>
  </w:footnote>
  <w:footnote w:id="364">
    <w:p w14:paraId="5927CB7A"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t>(2004) 141 IR 31.</w:t>
      </w:r>
    </w:p>
  </w:footnote>
  <w:footnote w:id="365">
    <w:p w14:paraId="66B5FFCE"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r>
      <w:r w:rsidRPr="00226D4E">
        <w:rPr>
          <w:rFonts w:ascii="Times New Roman" w:hAnsi="Times New Roman"/>
          <w:i/>
          <w:sz w:val="24"/>
        </w:rPr>
        <w:t xml:space="preserve">Construction, Forestry, Maritime, Mining and Energy Union v Personnel Contracting Pty Ltd </w:t>
      </w:r>
      <w:r w:rsidRPr="00226D4E">
        <w:rPr>
          <w:rFonts w:ascii="Times New Roman" w:hAnsi="Times New Roman"/>
          <w:sz w:val="24"/>
        </w:rPr>
        <w:t>(2020) 279 FCR 631 at 642 [31] (Jagot J agreeing), see also at 666-667 [121] per Lee J.</w:t>
      </w:r>
    </w:p>
  </w:footnote>
  <w:footnote w:id="366">
    <w:p w14:paraId="6F235EAB"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t>[2012] TASFC 1.</w:t>
      </w:r>
    </w:p>
  </w:footnote>
  <w:footnote w:id="367">
    <w:p w14:paraId="3AF3C859"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t>(2000) 2 VR 635.</w:t>
      </w:r>
    </w:p>
  </w:footnote>
  <w:footnote w:id="368">
    <w:p w14:paraId="3559CC7C"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r>
      <w:r w:rsidRPr="00226D4E">
        <w:rPr>
          <w:rFonts w:ascii="Times New Roman" w:hAnsi="Times New Roman"/>
          <w:i/>
          <w:sz w:val="24"/>
        </w:rPr>
        <w:t>Drake Personnel Ltd v Commissioner of State Revenue</w:t>
      </w:r>
      <w:r w:rsidRPr="00226D4E">
        <w:rPr>
          <w:rFonts w:ascii="Times New Roman" w:hAnsi="Times New Roman"/>
          <w:sz w:val="24"/>
        </w:rPr>
        <w:t xml:space="preserve"> (2000) 2 VR 635 at 655 [52] (Buchanan JA agreeing), see also at 639 [5] per Ormiston JA.</w:t>
      </w:r>
    </w:p>
  </w:footnote>
  <w:footnote w:id="369">
    <w:p w14:paraId="510675D5"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t>(1990) 64 ALJR 606; 95 ALR 641.</w:t>
      </w:r>
    </w:p>
  </w:footnote>
  <w:footnote w:id="370">
    <w:p w14:paraId="7FE33C79"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r>
      <w:r w:rsidRPr="00226D4E">
        <w:rPr>
          <w:rFonts w:ascii="Times New Roman" w:hAnsi="Times New Roman"/>
          <w:i/>
          <w:sz w:val="24"/>
        </w:rPr>
        <w:t>Accident Compensation Commission v Odco Pty Ltd</w:t>
      </w:r>
      <w:r w:rsidRPr="00226D4E">
        <w:rPr>
          <w:rFonts w:ascii="Times New Roman" w:hAnsi="Times New Roman"/>
          <w:sz w:val="24"/>
        </w:rPr>
        <w:t xml:space="preserve"> (1990) 64 ALJR 606 at 607-608 per Mason CJ, Brennan, Dawson, Toohey and McHugh JJ; 95 ALR 641 at 644.</w:t>
      </w:r>
    </w:p>
  </w:footnote>
  <w:footnote w:id="371">
    <w:p w14:paraId="4B93F4D4"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t xml:space="preserve">Australia, House of Representatives Standing Committee on Employment, Workplace Relations and Workforce Participation, </w:t>
      </w:r>
      <w:r w:rsidRPr="00226D4E">
        <w:rPr>
          <w:rFonts w:ascii="Times New Roman" w:hAnsi="Times New Roman"/>
          <w:i/>
          <w:sz w:val="24"/>
        </w:rPr>
        <w:t>Making it Work: Inquiry into independent contracting and labour hire arrangements</w:t>
      </w:r>
      <w:r w:rsidRPr="00226D4E">
        <w:rPr>
          <w:rFonts w:ascii="Times New Roman" w:hAnsi="Times New Roman"/>
          <w:sz w:val="24"/>
        </w:rPr>
        <w:t>, 17 August 2005 at ix.</w:t>
      </w:r>
    </w:p>
  </w:footnote>
  <w:footnote w:id="372">
    <w:p w14:paraId="0624410F"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t xml:space="preserve">Australia, House of Representatives Standing Committee on Employment, Workplace Relations and Workforce Participation, </w:t>
      </w:r>
      <w:r w:rsidRPr="00226D4E">
        <w:rPr>
          <w:rFonts w:ascii="Times New Roman" w:hAnsi="Times New Roman"/>
          <w:i/>
          <w:sz w:val="24"/>
        </w:rPr>
        <w:t>Making it Work: Inquiry into independent contracting and labour hire arrangements</w:t>
      </w:r>
      <w:r w:rsidRPr="00226D4E">
        <w:rPr>
          <w:rFonts w:ascii="Times New Roman" w:hAnsi="Times New Roman"/>
          <w:sz w:val="24"/>
        </w:rPr>
        <w:t>, 17 August 2005 at ix.</w:t>
      </w:r>
    </w:p>
  </w:footnote>
  <w:footnote w:id="373">
    <w:p w14:paraId="37E0A056"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t xml:space="preserve">Australia, House of Representatives Standing Committee on Employment, Workplace Relations and Workforce Participation, </w:t>
      </w:r>
      <w:r w:rsidRPr="00226D4E">
        <w:rPr>
          <w:rFonts w:ascii="Times New Roman" w:hAnsi="Times New Roman"/>
          <w:i/>
          <w:sz w:val="24"/>
        </w:rPr>
        <w:t>Making it Work: Inquiry into independent contracting and labour hire arrangements</w:t>
      </w:r>
      <w:r w:rsidRPr="00226D4E">
        <w:rPr>
          <w:rFonts w:ascii="Times New Roman" w:hAnsi="Times New Roman"/>
          <w:sz w:val="24"/>
        </w:rPr>
        <w:t>, 17 August 2005 at 34.</w:t>
      </w:r>
    </w:p>
  </w:footnote>
  <w:footnote w:id="374">
    <w:p w14:paraId="3F73CC73"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t xml:space="preserve">Australia, House of Representatives, </w:t>
      </w:r>
      <w:r w:rsidRPr="00226D4E">
        <w:rPr>
          <w:rFonts w:ascii="Times New Roman" w:hAnsi="Times New Roman"/>
          <w:i/>
          <w:sz w:val="24"/>
        </w:rPr>
        <w:t>Independent Contractors Bill 2006</w:t>
      </w:r>
      <w:r w:rsidRPr="00226D4E">
        <w:rPr>
          <w:rFonts w:ascii="Times New Roman" w:hAnsi="Times New Roman"/>
          <w:sz w:val="24"/>
        </w:rPr>
        <w:t>, Explanatory Memorandum at 26.</w:t>
      </w:r>
    </w:p>
  </w:footnote>
  <w:footnote w:id="375">
    <w:p w14:paraId="58771D03"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t xml:space="preserve">Australia, Department of Employment and Workplace Relations, </w:t>
      </w:r>
      <w:r w:rsidRPr="00226D4E">
        <w:rPr>
          <w:rFonts w:ascii="Times New Roman" w:hAnsi="Times New Roman"/>
          <w:i/>
          <w:sz w:val="24"/>
        </w:rPr>
        <w:t>Discussion Paper: Proposals for Legislative Reforms in Independent Contracting and Labour Hire Arrangements</w:t>
      </w:r>
      <w:r w:rsidRPr="00226D4E">
        <w:rPr>
          <w:rFonts w:ascii="Times New Roman" w:hAnsi="Times New Roman"/>
          <w:sz w:val="24"/>
        </w:rPr>
        <w:t xml:space="preserve"> (2005) at 25.</w:t>
      </w:r>
    </w:p>
  </w:footnote>
  <w:footnote w:id="376">
    <w:p w14:paraId="6CA0CFA2"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t xml:space="preserve">Australia, House of Representatives, </w:t>
      </w:r>
      <w:r w:rsidRPr="00226D4E">
        <w:rPr>
          <w:rFonts w:ascii="Times New Roman" w:hAnsi="Times New Roman"/>
          <w:i/>
          <w:sz w:val="24"/>
        </w:rPr>
        <w:t>Independent Contractors Bill 2006</w:t>
      </w:r>
      <w:r w:rsidRPr="00226D4E">
        <w:rPr>
          <w:rFonts w:ascii="Times New Roman" w:hAnsi="Times New Roman"/>
          <w:sz w:val="24"/>
        </w:rPr>
        <w:t>, Explanatory Memorandum at 3.</w:t>
      </w:r>
    </w:p>
  </w:footnote>
  <w:footnote w:id="377">
    <w:p w14:paraId="704A67FE"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r>
      <w:r w:rsidRPr="00226D4E">
        <w:rPr>
          <w:rFonts w:ascii="Times New Roman" w:hAnsi="Times New Roman"/>
          <w:i/>
          <w:sz w:val="24"/>
        </w:rPr>
        <w:t>Independent Contractors Act</w:t>
      </w:r>
      <w:r w:rsidRPr="00226D4E">
        <w:rPr>
          <w:rFonts w:ascii="Times New Roman" w:hAnsi="Times New Roman"/>
          <w:sz w:val="24"/>
        </w:rPr>
        <w:t xml:space="preserve"> </w:t>
      </w:r>
      <w:r w:rsidRPr="00226D4E">
        <w:rPr>
          <w:rFonts w:ascii="Times New Roman" w:hAnsi="Times New Roman"/>
          <w:i/>
          <w:sz w:val="24"/>
        </w:rPr>
        <w:t xml:space="preserve">2006 </w:t>
      </w:r>
      <w:r w:rsidRPr="00226D4E">
        <w:rPr>
          <w:rFonts w:ascii="Times New Roman" w:hAnsi="Times New Roman"/>
          <w:sz w:val="24"/>
        </w:rPr>
        <w:t>(Cth),</w:t>
      </w:r>
      <w:r w:rsidRPr="00226D4E">
        <w:rPr>
          <w:rFonts w:ascii="Times New Roman" w:hAnsi="Times New Roman"/>
          <w:i/>
          <w:sz w:val="24"/>
        </w:rPr>
        <w:t xml:space="preserve"> </w:t>
      </w:r>
      <w:r w:rsidRPr="00226D4E">
        <w:rPr>
          <w:rFonts w:ascii="Times New Roman" w:hAnsi="Times New Roman"/>
          <w:sz w:val="24"/>
        </w:rPr>
        <w:t>s 5.</w:t>
      </w:r>
    </w:p>
  </w:footnote>
  <w:footnote w:id="378">
    <w:p w14:paraId="71847C13"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r>
      <w:r w:rsidRPr="00226D4E">
        <w:rPr>
          <w:rFonts w:ascii="Times New Roman" w:hAnsi="Times New Roman"/>
          <w:i/>
          <w:sz w:val="24"/>
        </w:rPr>
        <w:t>Independent Contractors Act</w:t>
      </w:r>
      <w:r w:rsidRPr="00226D4E">
        <w:rPr>
          <w:rFonts w:ascii="Times New Roman" w:hAnsi="Times New Roman"/>
          <w:sz w:val="24"/>
        </w:rPr>
        <w:t xml:space="preserve"> </w:t>
      </w:r>
      <w:r w:rsidRPr="00226D4E">
        <w:rPr>
          <w:rFonts w:ascii="Times New Roman" w:hAnsi="Times New Roman"/>
          <w:i/>
          <w:sz w:val="24"/>
        </w:rPr>
        <w:t xml:space="preserve">2006 </w:t>
      </w:r>
      <w:r w:rsidRPr="00226D4E">
        <w:rPr>
          <w:rFonts w:ascii="Times New Roman" w:hAnsi="Times New Roman"/>
          <w:sz w:val="24"/>
        </w:rPr>
        <w:t>(Cth),</w:t>
      </w:r>
      <w:r w:rsidRPr="00226D4E">
        <w:rPr>
          <w:rFonts w:ascii="Times New Roman" w:hAnsi="Times New Roman"/>
          <w:i/>
          <w:sz w:val="24"/>
        </w:rPr>
        <w:t xml:space="preserve"> </w:t>
      </w:r>
      <w:r w:rsidRPr="00226D4E">
        <w:rPr>
          <w:rFonts w:ascii="Times New Roman" w:hAnsi="Times New Roman"/>
          <w:sz w:val="24"/>
        </w:rPr>
        <w:t>s 12.</w:t>
      </w:r>
    </w:p>
  </w:footnote>
  <w:footnote w:id="379">
    <w:p w14:paraId="0298C809"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r>
      <w:r w:rsidRPr="00226D4E">
        <w:rPr>
          <w:rFonts w:ascii="Times New Roman" w:hAnsi="Times New Roman"/>
          <w:i/>
          <w:sz w:val="24"/>
        </w:rPr>
        <w:t>Independent Contractors Act</w:t>
      </w:r>
      <w:r w:rsidRPr="00226D4E">
        <w:rPr>
          <w:rFonts w:ascii="Times New Roman" w:hAnsi="Times New Roman"/>
          <w:sz w:val="24"/>
        </w:rPr>
        <w:t xml:space="preserve"> </w:t>
      </w:r>
      <w:r w:rsidRPr="00226D4E">
        <w:rPr>
          <w:rFonts w:ascii="Times New Roman" w:hAnsi="Times New Roman"/>
          <w:i/>
          <w:sz w:val="24"/>
        </w:rPr>
        <w:t xml:space="preserve">2006 </w:t>
      </w:r>
      <w:r w:rsidRPr="00226D4E">
        <w:rPr>
          <w:rFonts w:ascii="Times New Roman" w:hAnsi="Times New Roman"/>
          <w:sz w:val="24"/>
        </w:rPr>
        <w:t>(Cth), s 9(1)(f).</w:t>
      </w:r>
    </w:p>
  </w:footnote>
  <w:footnote w:id="380">
    <w:p w14:paraId="3A3EC0BC"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r>
      <w:r w:rsidRPr="00226D4E">
        <w:rPr>
          <w:rFonts w:ascii="Times New Roman" w:hAnsi="Times New Roman"/>
          <w:i/>
          <w:sz w:val="24"/>
        </w:rPr>
        <w:t xml:space="preserve">Construction, Forestry, Maritime, Mining and Energy Union v Personnel Contracting Pty Ltd </w:t>
      </w:r>
      <w:r w:rsidRPr="00226D4E">
        <w:rPr>
          <w:rFonts w:ascii="Times New Roman" w:hAnsi="Times New Roman"/>
          <w:sz w:val="24"/>
        </w:rPr>
        <w:t>(2020) 279 FCR 631 at 666 [118] (Allsop CJ and Jagot J agreeing).</w:t>
      </w:r>
    </w:p>
  </w:footnote>
  <w:footnote w:id="381">
    <w:p w14:paraId="1474C05F"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r>
      <w:r w:rsidRPr="00226D4E">
        <w:rPr>
          <w:rFonts w:ascii="Times New Roman" w:hAnsi="Times New Roman"/>
          <w:i/>
          <w:sz w:val="24"/>
        </w:rPr>
        <w:t xml:space="preserve">Construction, Forestry, Maritime, Mining and Energy Union v Personnel Contracting Pty Ltd </w:t>
      </w:r>
      <w:r w:rsidRPr="00226D4E">
        <w:rPr>
          <w:rFonts w:ascii="Times New Roman" w:hAnsi="Times New Roman"/>
          <w:sz w:val="24"/>
        </w:rPr>
        <w:t>(2020) 279 FCR 631 at 666 [120] (Allsop CJ and Jagot J agreeing).</w:t>
      </w:r>
    </w:p>
  </w:footnote>
  <w:footnote w:id="382">
    <w:p w14:paraId="5E04BF59"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r>
      <w:r w:rsidRPr="00226D4E">
        <w:rPr>
          <w:rFonts w:ascii="Times New Roman" w:hAnsi="Times New Roman"/>
          <w:i/>
          <w:sz w:val="24"/>
        </w:rPr>
        <w:t xml:space="preserve">Construction, Forestry, Maritime, Mining and Energy Union v Personnel Contracting Pty Ltd </w:t>
      </w:r>
      <w:r w:rsidRPr="00226D4E">
        <w:rPr>
          <w:rFonts w:ascii="Times New Roman" w:hAnsi="Times New Roman"/>
          <w:sz w:val="24"/>
        </w:rPr>
        <w:t>(2020) 279 FCR 631 at 667 [122] (Allsop CJ and Jagot J agreeing).</w:t>
      </w:r>
    </w:p>
  </w:footnote>
  <w:footnote w:id="383">
    <w:p w14:paraId="772D9411"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t xml:space="preserve">See, eg, </w:t>
      </w:r>
      <w:r w:rsidRPr="00226D4E">
        <w:rPr>
          <w:rFonts w:ascii="Times New Roman" w:hAnsi="Times New Roman"/>
          <w:i/>
          <w:sz w:val="24"/>
        </w:rPr>
        <w:t>Printing and Numerical Registering Company v Sampson</w:t>
      </w:r>
      <w:r w:rsidRPr="00226D4E">
        <w:rPr>
          <w:rFonts w:ascii="Times New Roman" w:hAnsi="Times New Roman"/>
          <w:sz w:val="24"/>
        </w:rPr>
        <w:t xml:space="preserve"> (1875) LR 19 Eq 462 at 465 per Jessel MR.</w:t>
      </w:r>
    </w:p>
  </w:footnote>
  <w:footnote w:id="384">
    <w:p w14:paraId="2A964F1B"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t>(1971) 127 CLR 62 at 77.</w:t>
      </w:r>
    </w:p>
  </w:footnote>
  <w:footnote w:id="385">
    <w:p w14:paraId="63658D42"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r>
      <w:r w:rsidRPr="00226D4E">
        <w:rPr>
          <w:rFonts w:ascii="Times New Roman" w:hAnsi="Times New Roman"/>
          <w:i/>
          <w:sz w:val="24"/>
        </w:rPr>
        <w:t xml:space="preserve">Construction, Forestry, Maritime, Mining and Energy Union v Personnel Contracting Pty Ltd </w:t>
      </w:r>
      <w:r w:rsidRPr="00226D4E">
        <w:rPr>
          <w:rFonts w:ascii="Times New Roman" w:hAnsi="Times New Roman"/>
          <w:sz w:val="24"/>
        </w:rPr>
        <w:t>(2020) 279 FCR 631 at 682 [185] (Allsop CJ and Jagot J agreeing).</w:t>
      </w:r>
    </w:p>
  </w:footnote>
  <w:footnote w:id="386">
    <w:p w14:paraId="49E8FDA2"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r>
      <w:r w:rsidRPr="00226D4E">
        <w:rPr>
          <w:rFonts w:ascii="Times New Roman" w:hAnsi="Times New Roman"/>
          <w:i/>
          <w:sz w:val="24"/>
        </w:rPr>
        <w:t xml:space="preserve">Construction, Forestry, Maritime, Mining and Energy Union v Personnel Contracting Pty Ltd </w:t>
      </w:r>
      <w:r w:rsidRPr="00226D4E">
        <w:rPr>
          <w:rFonts w:ascii="Times New Roman" w:hAnsi="Times New Roman"/>
          <w:sz w:val="24"/>
        </w:rPr>
        <w:t>(2020) 279 FCR 631 at 682 [185] (Allsop CJ and Jagot J agreeing).</w:t>
      </w:r>
    </w:p>
  </w:footnote>
  <w:footnote w:id="387">
    <w:p w14:paraId="0A5715D5"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r>
      <w:r w:rsidRPr="00226D4E">
        <w:rPr>
          <w:rFonts w:ascii="Times New Roman" w:hAnsi="Times New Roman"/>
          <w:i/>
          <w:sz w:val="24"/>
        </w:rPr>
        <w:t>Personnel Contracting Pty Ltd t/as Tricord Personnel v Construction, Forestry, Mining and Energy Union of Workers</w:t>
      </w:r>
      <w:r w:rsidRPr="00226D4E" w:rsidDel="0094507B">
        <w:rPr>
          <w:rFonts w:ascii="Times New Roman" w:hAnsi="Times New Roman"/>
          <w:sz w:val="24"/>
        </w:rPr>
        <w:t xml:space="preserve"> </w:t>
      </w:r>
      <w:r w:rsidRPr="00226D4E">
        <w:rPr>
          <w:rFonts w:ascii="Times New Roman" w:hAnsi="Times New Roman"/>
          <w:sz w:val="24"/>
        </w:rPr>
        <w:t>(2004) 141 IR 31.</w:t>
      </w:r>
    </w:p>
  </w:footnote>
  <w:footnote w:id="388">
    <w:p w14:paraId="49ED4806"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r>
      <w:r w:rsidRPr="00226D4E">
        <w:rPr>
          <w:rFonts w:ascii="Times New Roman" w:hAnsi="Times New Roman"/>
          <w:i/>
          <w:sz w:val="24"/>
        </w:rPr>
        <w:t xml:space="preserve">Construction, Forestry, Maritime, Mining and Energy Union v Personnel Contracting Pty Ltd </w:t>
      </w:r>
      <w:r w:rsidRPr="00226D4E">
        <w:rPr>
          <w:rFonts w:ascii="Times New Roman" w:hAnsi="Times New Roman"/>
          <w:sz w:val="24"/>
        </w:rPr>
        <w:t>(2020) 279 FCR 631 at 669 [129] (Allsop CJ and Jagot J agreeing).</w:t>
      </w:r>
    </w:p>
  </w:footnote>
  <w:footnote w:id="389">
    <w:p w14:paraId="2EF0D823"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r>
      <w:r w:rsidRPr="00226D4E">
        <w:rPr>
          <w:rFonts w:ascii="Times New Roman" w:hAnsi="Times New Roman"/>
          <w:i/>
          <w:sz w:val="24"/>
        </w:rPr>
        <w:t xml:space="preserve">Construction, Forestry, Maritime, Mining and Energy Union v Personnel Contracting Pty Ltd </w:t>
      </w:r>
      <w:r w:rsidRPr="00226D4E">
        <w:rPr>
          <w:rFonts w:ascii="Times New Roman" w:hAnsi="Times New Roman"/>
          <w:sz w:val="24"/>
        </w:rPr>
        <w:t>(2020) 279 FCR 631 at 669 [130] (Allsop CJ and Jagot J agreeing).</w:t>
      </w:r>
    </w:p>
  </w:footnote>
  <w:footnote w:id="390">
    <w:p w14:paraId="68A074E7"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r>
      <w:r w:rsidRPr="00226D4E">
        <w:rPr>
          <w:rFonts w:ascii="Times New Roman" w:hAnsi="Times New Roman"/>
          <w:i/>
          <w:sz w:val="24"/>
        </w:rPr>
        <w:t xml:space="preserve">Construction, Forestry, Maritime, Mining and Energy Union v Personnel Contracting Pty Ltd </w:t>
      </w:r>
      <w:r w:rsidRPr="00226D4E">
        <w:rPr>
          <w:rFonts w:ascii="Times New Roman" w:hAnsi="Times New Roman"/>
          <w:sz w:val="24"/>
        </w:rPr>
        <w:t>(2020) 279 FCR 631 at 644 [39] (Jagot J agreeing).</w:t>
      </w:r>
    </w:p>
  </w:footnote>
  <w:footnote w:id="391">
    <w:p w14:paraId="6EB1B8FA"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r>
      <w:r w:rsidRPr="00226D4E">
        <w:rPr>
          <w:rFonts w:ascii="Times New Roman" w:hAnsi="Times New Roman"/>
          <w:i/>
          <w:sz w:val="24"/>
        </w:rPr>
        <w:t>Babaniaris v Lutony Fashions Pty Ltd</w:t>
      </w:r>
      <w:r w:rsidRPr="00226D4E">
        <w:rPr>
          <w:rFonts w:ascii="Times New Roman" w:hAnsi="Times New Roman"/>
          <w:sz w:val="24"/>
        </w:rPr>
        <w:t xml:space="preserve"> (1987) 163 CLR 1 at 28</w:t>
      </w:r>
      <w:r w:rsidRPr="00226D4E">
        <w:rPr>
          <w:rFonts w:ascii="Times New Roman" w:hAnsi="Times New Roman"/>
          <w:sz w:val="24"/>
        </w:rPr>
        <w:noBreakHyphen/>
        <w:t>29 per Brennan and Deane JJ.</w:t>
      </w:r>
    </w:p>
  </w:footnote>
  <w:footnote w:id="392">
    <w:p w14:paraId="331240B6"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t>[1919] AC 815 at 874.</w:t>
      </w:r>
    </w:p>
  </w:footnote>
  <w:footnote w:id="393">
    <w:p w14:paraId="5E49638D"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r>
      <w:r w:rsidRPr="00226D4E">
        <w:rPr>
          <w:rFonts w:ascii="Times New Roman" w:hAnsi="Times New Roman"/>
          <w:i/>
          <w:sz w:val="24"/>
        </w:rPr>
        <w:t xml:space="preserve">Little v Levin Cuttings Pty Ltd </w:t>
      </w:r>
      <w:r w:rsidRPr="00226D4E">
        <w:rPr>
          <w:rFonts w:ascii="Times New Roman" w:hAnsi="Times New Roman"/>
          <w:sz w:val="24"/>
        </w:rPr>
        <w:t>(1953) 3 WCBD (Vic) 71.</w:t>
      </w:r>
    </w:p>
  </w:footnote>
  <w:footnote w:id="394">
    <w:p w14:paraId="407D0578"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t>(1987) 163 CLR 1 at</w:t>
      </w:r>
      <w:r w:rsidRPr="00226D4E" w:rsidDel="008A148A">
        <w:rPr>
          <w:rFonts w:ascii="Times New Roman" w:hAnsi="Times New Roman"/>
          <w:sz w:val="24"/>
        </w:rPr>
        <w:t xml:space="preserve"> </w:t>
      </w:r>
      <w:r w:rsidRPr="00226D4E">
        <w:rPr>
          <w:rFonts w:ascii="Times New Roman" w:hAnsi="Times New Roman"/>
          <w:sz w:val="24"/>
        </w:rPr>
        <w:t>30.</w:t>
      </w:r>
    </w:p>
  </w:footnote>
  <w:footnote w:id="395">
    <w:p w14:paraId="17479FFE"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t>(2002) 210 CLR 575 at 614</w:t>
      </w:r>
      <w:r w:rsidRPr="00226D4E">
        <w:rPr>
          <w:rFonts w:ascii="Times New Roman" w:hAnsi="Times New Roman"/>
          <w:sz w:val="24"/>
        </w:rPr>
        <w:noBreakHyphen/>
        <w:t>615 [76].</w:t>
      </w:r>
    </w:p>
  </w:footnote>
  <w:footnote w:id="396">
    <w:p w14:paraId="31D18D1F"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r>
      <w:r w:rsidRPr="00226D4E">
        <w:rPr>
          <w:rFonts w:ascii="Times New Roman" w:hAnsi="Times New Roman"/>
          <w:i/>
          <w:sz w:val="24"/>
        </w:rPr>
        <w:t xml:space="preserve">R v Campbell </w:t>
      </w:r>
      <w:r w:rsidRPr="00226D4E">
        <w:rPr>
          <w:rFonts w:ascii="Times New Roman" w:hAnsi="Times New Roman"/>
          <w:sz w:val="24"/>
        </w:rPr>
        <w:t>[1997] 2 VR 585.</w:t>
      </w:r>
    </w:p>
  </w:footnote>
  <w:footnote w:id="397">
    <w:p w14:paraId="4F1F9A6E"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r>
      <w:r w:rsidRPr="00226D4E">
        <w:rPr>
          <w:rFonts w:ascii="Times New Roman" w:hAnsi="Times New Roman"/>
          <w:i/>
          <w:sz w:val="24"/>
        </w:rPr>
        <w:t xml:space="preserve">Director of Public Prosecutions Reference No 1 of 2019 </w:t>
      </w:r>
      <w:r w:rsidRPr="00226D4E">
        <w:rPr>
          <w:rFonts w:ascii="Times New Roman" w:hAnsi="Times New Roman"/>
          <w:sz w:val="24"/>
        </w:rPr>
        <w:t>(2021) 95 ALJR 741; 392 ALR 413.</w:t>
      </w:r>
    </w:p>
  </w:footnote>
  <w:footnote w:id="398">
    <w:p w14:paraId="0A744255"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r>
      <w:r w:rsidRPr="00226D4E">
        <w:rPr>
          <w:rFonts w:ascii="Times New Roman" w:hAnsi="Times New Roman"/>
          <w:i/>
          <w:sz w:val="24"/>
        </w:rPr>
        <w:t xml:space="preserve">Director of Public Prosecutions Reference No 1 of 2019 </w:t>
      </w:r>
      <w:r w:rsidRPr="00226D4E">
        <w:rPr>
          <w:rFonts w:ascii="Times New Roman" w:hAnsi="Times New Roman"/>
          <w:sz w:val="24"/>
        </w:rPr>
        <w:t>(2021) 95 ALJR 741 at 765 [96]; 392 ALR 413 at 440.</w:t>
      </w:r>
    </w:p>
  </w:footnote>
  <w:footnote w:id="399">
    <w:p w14:paraId="29217E96"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r>
      <w:r w:rsidRPr="00226D4E">
        <w:rPr>
          <w:rFonts w:ascii="Times New Roman" w:hAnsi="Times New Roman"/>
          <w:i/>
          <w:sz w:val="24"/>
        </w:rPr>
        <w:t xml:space="preserve">Director of Public Prosecutions Reference No 1 of 2019 </w:t>
      </w:r>
      <w:r w:rsidRPr="00226D4E">
        <w:rPr>
          <w:rFonts w:ascii="Times New Roman" w:hAnsi="Times New Roman"/>
          <w:sz w:val="24"/>
        </w:rPr>
        <w:t>(2021) 95 ALJR 741 at 756 [59]; 392 ALR 413 at 429.</w:t>
      </w:r>
    </w:p>
  </w:footnote>
  <w:footnote w:id="400">
    <w:p w14:paraId="050213D1"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r>
      <w:r w:rsidRPr="00226D4E">
        <w:rPr>
          <w:rFonts w:ascii="Times New Roman" w:hAnsi="Times New Roman"/>
          <w:i/>
          <w:sz w:val="24"/>
        </w:rPr>
        <w:t xml:space="preserve">Building Workers' Industrial Union of Australia v Odco Pty Ltd </w:t>
      </w:r>
      <w:r w:rsidRPr="00226D4E">
        <w:rPr>
          <w:rFonts w:ascii="Times New Roman" w:hAnsi="Times New Roman"/>
          <w:sz w:val="24"/>
        </w:rPr>
        <w:t>(1991) 29 FCR 104.</w:t>
      </w:r>
    </w:p>
  </w:footnote>
  <w:footnote w:id="401">
    <w:p w14:paraId="3BBEEBCD"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r>
      <w:r w:rsidRPr="00226D4E">
        <w:rPr>
          <w:rFonts w:ascii="Times New Roman" w:hAnsi="Times New Roman"/>
          <w:i/>
          <w:sz w:val="24"/>
        </w:rPr>
        <w:t xml:space="preserve">Construction, Forestry, Maritime, Mining and Energy Union v Personnel Contracting Pty Ltd </w:t>
      </w:r>
      <w:r w:rsidRPr="00226D4E">
        <w:rPr>
          <w:rFonts w:ascii="Times New Roman" w:hAnsi="Times New Roman"/>
          <w:sz w:val="24"/>
        </w:rPr>
        <w:t>(2020) 279 FCR 631 at 669 [129] (Allsop CJ and Jagot J agreeing).</w:t>
      </w:r>
    </w:p>
  </w:footnote>
  <w:footnote w:id="402">
    <w:p w14:paraId="2668FE20"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r>
      <w:r w:rsidRPr="00226D4E">
        <w:rPr>
          <w:rFonts w:ascii="Times New Roman" w:hAnsi="Times New Roman"/>
          <w:i/>
          <w:sz w:val="24"/>
        </w:rPr>
        <w:t xml:space="preserve">Giannarelli v Wraith </w:t>
      </w:r>
      <w:r w:rsidRPr="00226D4E">
        <w:rPr>
          <w:rFonts w:ascii="Times New Roman" w:hAnsi="Times New Roman"/>
          <w:sz w:val="24"/>
        </w:rPr>
        <w:t xml:space="preserve">(1988) 165 CLR 543 at 584-586 per Brennan J; </w:t>
      </w:r>
      <w:r w:rsidRPr="00226D4E">
        <w:rPr>
          <w:rFonts w:ascii="Times New Roman" w:hAnsi="Times New Roman"/>
          <w:i/>
          <w:sz w:val="24"/>
        </w:rPr>
        <w:t>Kleinwort Benson Ltd v Lincoln City Council</w:t>
      </w:r>
      <w:r w:rsidRPr="00226D4E">
        <w:rPr>
          <w:rFonts w:ascii="Times New Roman" w:hAnsi="Times New Roman"/>
          <w:sz w:val="24"/>
        </w:rPr>
        <w:t xml:space="preserve"> [1999] 2 AC 349 at 358-359 per Lord Browne</w:t>
      </w:r>
      <w:r w:rsidRPr="00226D4E">
        <w:rPr>
          <w:rFonts w:ascii="Times New Roman" w:hAnsi="Times New Roman"/>
          <w:sz w:val="24"/>
        </w:rPr>
        <w:noBreakHyphen/>
        <w:t>Wilkinson.</w:t>
      </w:r>
    </w:p>
  </w:footnote>
  <w:footnote w:id="403">
    <w:p w14:paraId="24E9E59F"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r>
      <w:r w:rsidRPr="00226D4E">
        <w:rPr>
          <w:rFonts w:ascii="Times New Roman" w:hAnsi="Times New Roman"/>
          <w:i/>
          <w:sz w:val="24"/>
        </w:rPr>
        <w:t xml:space="preserve">Building Workers' Industrial Union of Australia v Odco Pty Ltd </w:t>
      </w:r>
      <w:r w:rsidRPr="00226D4E">
        <w:rPr>
          <w:rFonts w:ascii="Times New Roman" w:hAnsi="Times New Roman"/>
          <w:sz w:val="24"/>
        </w:rPr>
        <w:t>(1991) 29 FCR 104.</w:t>
      </w:r>
    </w:p>
  </w:footnote>
  <w:footnote w:id="404">
    <w:p w14:paraId="3C1ACFFE" w14:textId="77777777" w:rsidR="005E53F7" w:rsidRPr="00226D4E" w:rsidRDefault="005E53F7" w:rsidP="00226D4E">
      <w:pPr>
        <w:pStyle w:val="FootnoteText"/>
        <w:spacing w:line="280" w:lineRule="exact"/>
        <w:ind w:right="0"/>
        <w:jc w:val="both"/>
        <w:rPr>
          <w:rFonts w:ascii="Times New Roman" w:hAnsi="Times New Roman"/>
          <w:sz w:val="24"/>
        </w:rPr>
      </w:pPr>
      <w:r w:rsidRPr="00226D4E">
        <w:rPr>
          <w:rStyle w:val="FootnoteReference"/>
          <w:rFonts w:ascii="Times New Roman" w:hAnsi="Times New Roman"/>
          <w:sz w:val="22"/>
          <w:vertAlign w:val="baseline"/>
        </w:rPr>
        <w:footnoteRef/>
      </w:r>
      <w:r w:rsidRPr="00226D4E">
        <w:rPr>
          <w:rFonts w:ascii="Times New Roman" w:hAnsi="Times New Roman"/>
          <w:sz w:val="24"/>
        </w:rPr>
        <w:t xml:space="preserve"> </w:t>
      </w:r>
      <w:r w:rsidRPr="00226D4E">
        <w:rPr>
          <w:rFonts w:ascii="Times New Roman" w:hAnsi="Times New Roman"/>
          <w:sz w:val="24"/>
        </w:rPr>
        <w:tab/>
        <w:t xml:space="preserve">cf </w:t>
      </w:r>
      <w:r w:rsidRPr="00226D4E">
        <w:rPr>
          <w:rFonts w:ascii="Times New Roman" w:hAnsi="Times New Roman"/>
          <w:i/>
          <w:iCs/>
          <w:sz w:val="24"/>
        </w:rPr>
        <w:t xml:space="preserve">Nelson v Nelson </w:t>
      </w:r>
      <w:r w:rsidRPr="00226D4E">
        <w:rPr>
          <w:rFonts w:ascii="Times New Roman" w:hAnsi="Times New Roman"/>
          <w:sz w:val="24"/>
        </w:rPr>
        <w:t>(1995) 184 CLR 538 at 602 per McHugh 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7F320" w14:textId="77777777" w:rsidR="008F0407" w:rsidRPr="007467EA" w:rsidRDefault="008F0407" w:rsidP="007467E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7697C" w14:textId="77777777" w:rsidR="007A7FB2" w:rsidRDefault="00A6655B" w:rsidP="007A7FB2">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2FF67983" w14:textId="77777777" w:rsidR="007A7FB2" w:rsidRDefault="00A57361" w:rsidP="007A7FB2">
    <w:pPr>
      <w:pStyle w:val="Header"/>
      <w:tabs>
        <w:tab w:val="clear" w:pos="4153"/>
        <w:tab w:val="clear" w:pos="8306"/>
        <w:tab w:val="right" w:pos="1304"/>
      </w:tabs>
      <w:spacing w:line="280" w:lineRule="exact"/>
      <w:ind w:firstLine="0"/>
      <w:rPr>
        <w:rFonts w:ascii="Times New Roman" w:hAnsi="Times New Roman"/>
        <w:i/>
        <w:sz w:val="22"/>
      </w:rPr>
    </w:pPr>
  </w:p>
  <w:p w14:paraId="1DA06AA9" w14:textId="77777777" w:rsidR="007A7FB2" w:rsidRDefault="00A6655B" w:rsidP="007A7FB2">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E28A798" w14:textId="77777777" w:rsidR="007A7FB2" w:rsidRPr="007A7FB2" w:rsidRDefault="00A57361" w:rsidP="007A7FB2">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B3E23" w14:textId="77777777" w:rsidR="007A7FB2" w:rsidRDefault="00A6655B" w:rsidP="007A7FB2">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73EB9316" w14:textId="77777777" w:rsidR="007A7FB2" w:rsidRDefault="00A57361" w:rsidP="007A7FB2">
    <w:pPr>
      <w:pStyle w:val="Header"/>
      <w:tabs>
        <w:tab w:val="clear" w:pos="4153"/>
        <w:tab w:val="clear" w:pos="8306"/>
        <w:tab w:val="left" w:pos="7200"/>
        <w:tab w:val="right" w:pos="8504"/>
      </w:tabs>
      <w:spacing w:line="280" w:lineRule="exact"/>
      <w:jc w:val="right"/>
      <w:rPr>
        <w:rFonts w:ascii="Times New Roman" w:hAnsi="Times New Roman"/>
        <w:i/>
        <w:sz w:val="22"/>
      </w:rPr>
    </w:pPr>
  </w:p>
  <w:p w14:paraId="2F76B30C" w14:textId="77777777" w:rsidR="007A7FB2" w:rsidRDefault="00A6655B" w:rsidP="007A7FB2">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7BF972B" w14:textId="77777777" w:rsidR="007A7FB2" w:rsidRPr="007A7FB2" w:rsidRDefault="00A57361" w:rsidP="007A7FB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950F" w14:textId="77777777" w:rsidR="007A7FB2" w:rsidRDefault="00A57361" w:rsidP="007A7FB2">
    <w:pPr>
      <w:pStyle w:val="Header"/>
      <w:tabs>
        <w:tab w:val="clear" w:pos="4153"/>
        <w:tab w:val="clear" w:pos="8306"/>
        <w:tab w:val="center" w:pos="1134"/>
      </w:tabs>
      <w:spacing w:line="280" w:lineRule="exact"/>
      <w:ind w:firstLine="0"/>
      <w:rPr>
        <w:rFonts w:ascii="Times New Roman" w:hAnsi="Times New Roman"/>
        <w:i/>
        <w:sz w:val="22"/>
      </w:rPr>
    </w:pPr>
  </w:p>
  <w:p w14:paraId="47A059FC" w14:textId="77777777" w:rsidR="007A7FB2" w:rsidRDefault="00A57361" w:rsidP="007A7FB2">
    <w:pPr>
      <w:pStyle w:val="Header"/>
      <w:tabs>
        <w:tab w:val="clear" w:pos="4153"/>
        <w:tab w:val="clear" w:pos="8306"/>
        <w:tab w:val="center" w:pos="1134"/>
      </w:tabs>
      <w:spacing w:line="280" w:lineRule="exact"/>
      <w:ind w:firstLine="0"/>
      <w:rPr>
        <w:rFonts w:ascii="Times New Roman" w:hAnsi="Times New Roman"/>
        <w:i/>
        <w:sz w:val="22"/>
      </w:rPr>
    </w:pPr>
  </w:p>
  <w:p w14:paraId="6DA8E3FF" w14:textId="77777777" w:rsidR="007A7FB2" w:rsidRDefault="00A57361" w:rsidP="007A7FB2">
    <w:pPr>
      <w:pStyle w:val="Header"/>
      <w:tabs>
        <w:tab w:val="clear" w:pos="4153"/>
        <w:tab w:val="clear" w:pos="8306"/>
        <w:tab w:val="center" w:pos="1134"/>
      </w:tabs>
      <w:spacing w:line="280" w:lineRule="exact"/>
      <w:ind w:firstLine="0"/>
      <w:rPr>
        <w:rFonts w:ascii="Times New Roman" w:hAnsi="Times New Roman"/>
        <w:i/>
        <w:sz w:val="22"/>
      </w:rPr>
    </w:pPr>
  </w:p>
  <w:p w14:paraId="033FAA79" w14:textId="77777777" w:rsidR="00F77050" w:rsidRPr="007A7FB2" w:rsidRDefault="00A57361" w:rsidP="007A7FB2">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A04D5" w14:textId="77777777" w:rsidR="00226D4E" w:rsidRDefault="00A6655B" w:rsidP="00226D4E">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74885D1B" w14:textId="77777777" w:rsidR="00226D4E" w:rsidRDefault="00A57361" w:rsidP="00226D4E">
    <w:pPr>
      <w:pStyle w:val="Header"/>
      <w:tabs>
        <w:tab w:val="clear" w:pos="4153"/>
        <w:tab w:val="clear" w:pos="8306"/>
        <w:tab w:val="right" w:pos="1304"/>
      </w:tabs>
      <w:spacing w:line="280" w:lineRule="exact"/>
      <w:ind w:firstLine="0"/>
      <w:rPr>
        <w:rFonts w:ascii="Times New Roman" w:hAnsi="Times New Roman"/>
        <w:i/>
        <w:sz w:val="22"/>
      </w:rPr>
    </w:pPr>
  </w:p>
  <w:p w14:paraId="2E68CD38" w14:textId="77777777" w:rsidR="00226D4E" w:rsidRDefault="00A6655B" w:rsidP="00226D4E">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595B34A" w14:textId="77777777" w:rsidR="00226D4E" w:rsidRPr="00226D4E" w:rsidRDefault="00A57361" w:rsidP="00226D4E">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29176" w14:textId="77777777" w:rsidR="00226D4E" w:rsidRDefault="00A6655B" w:rsidP="00226D4E">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6D733CF9" w14:textId="77777777" w:rsidR="00226D4E" w:rsidRDefault="00A57361" w:rsidP="00226D4E">
    <w:pPr>
      <w:pStyle w:val="Header"/>
      <w:tabs>
        <w:tab w:val="clear" w:pos="4153"/>
        <w:tab w:val="clear" w:pos="8306"/>
        <w:tab w:val="left" w:pos="7200"/>
        <w:tab w:val="right" w:pos="8504"/>
      </w:tabs>
      <w:spacing w:line="280" w:lineRule="exact"/>
      <w:jc w:val="right"/>
      <w:rPr>
        <w:rFonts w:ascii="Times New Roman" w:hAnsi="Times New Roman"/>
        <w:i/>
        <w:sz w:val="22"/>
      </w:rPr>
    </w:pPr>
  </w:p>
  <w:p w14:paraId="78F705E1" w14:textId="77777777" w:rsidR="00226D4E" w:rsidRDefault="00A6655B" w:rsidP="00226D4E">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37A97875" w14:textId="77777777" w:rsidR="00226D4E" w:rsidRPr="00226D4E" w:rsidRDefault="00A57361" w:rsidP="00226D4E">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9DF05" w14:textId="77777777" w:rsidR="00226D4E" w:rsidRDefault="00A57361" w:rsidP="00226D4E">
    <w:pPr>
      <w:pStyle w:val="Header"/>
      <w:tabs>
        <w:tab w:val="clear" w:pos="4153"/>
        <w:tab w:val="clear" w:pos="8306"/>
        <w:tab w:val="center" w:pos="1134"/>
      </w:tabs>
      <w:spacing w:line="280" w:lineRule="exact"/>
      <w:ind w:firstLine="0"/>
      <w:rPr>
        <w:rFonts w:ascii="Times New Roman" w:hAnsi="Times New Roman"/>
        <w:i/>
        <w:sz w:val="22"/>
      </w:rPr>
    </w:pPr>
  </w:p>
  <w:p w14:paraId="22CDADBE" w14:textId="77777777" w:rsidR="00226D4E" w:rsidRDefault="00A57361" w:rsidP="00226D4E">
    <w:pPr>
      <w:pStyle w:val="Header"/>
      <w:tabs>
        <w:tab w:val="clear" w:pos="4153"/>
        <w:tab w:val="clear" w:pos="8306"/>
        <w:tab w:val="center" w:pos="1134"/>
      </w:tabs>
      <w:spacing w:line="280" w:lineRule="exact"/>
      <w:ind w:firstLine="0"/>
      <w:rPr>
        <w:rFonts w:ascii="Times New Roman" w:hAnsi="Times New Roman"/>
        <w:i/>
        <w:sz w:val="22"/>
      </w:rPr>
    </w:pPr>
  </w:p>
  <w:p w14:paraId="478F0D37" w14:textId="77777777" w:rsidR="00226D4E" w:rsidRDefault="00A57361" w:rsidP="00226D4E">
    <w:pPr>
      <w:pStyle w:val="Header"/>
      <w:tabs>
        <w:tab w:val="clear" w:pos="4153"/>
        <w:tab w:val="clear" w:pos="8306"/>
        <w:tab w:val="center" w:pos="1134"/>
      </w:tabs>
      <w:spacing w:line="280" w:lineRule="exact"/>
      <w:ind w:firstLine="0"/>
      <w:rPr>
        <w:rFonts w:ascii="Times New Roman" w:hAnsi="Times New Roman"/>
        <w:i/>
        <w:sz w:val="22"/>
      </w:rPr>
    </w:pPr>
  </w:p>
  <w:p w14:paraId="55FAE3DA" w14:textId="77777777" w:rsidR="0010133A" w:rsidRPr="00226D4E" w:rsidRDefault="00A57361" w:rsidP="00226D4E">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A8B93" w14:textId="083B282D" w:rsidR="008F0407" w:rsidRPr="007467EA" w:rsidRDefault="007467EA" w:rsidP="007467EA">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3B197E">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3B197E">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92775" w14:textId="78C72362" w:rsidR="006642B9" w:rsidRPr="007467EA" w:rsidRDefault="006642B9" w:rsidP="007467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02544" w14:textId="77777777" w:rsidR="007467EA" w:rsidRPr="008F0407" w:rsidRDefault="007467EA" w:rsidP="008F0407">
    <w:pPr>
      <w:pStyle w:val="Header"/>
      <w:tabs>
        <w:tab w:val="clear" w:pos="4153"/>
        <w:tab w:val="clear" w:pos="8306"/>
        <w:tab w:val="right" w:pos="1304"/>
      </w:tabs>
      <w:spacing w:line="280" w:lineRule="exact"/>
      <w:ind w:firstLine="0"/>
      <w:rPr>
        <w:rFonts w:ascii="Times New Roman" w:hAnsi="Times New Roman"/>
        <w:i/>
        <w:sz w:val="22"/>
      </w:rPr>
    </w:pPr>
    <w:r w:rsidRPr="008F0407">
      <w:rPr>
        <w:rFonts w:ascii="Times New Roman" w:hAnsi="Times New Roman"/>
        <w:i/>
        <w:sz w:val="22"/>
      </w:rPr>
      <w:t>Kiefel</w:t>
    </w:r>
    <w:r w:rsidRPr="008F0407">
      <w:rPr>
        <w:rFonts w:ascii="Times New Roman" w:hAnsi="Times New Roman"/>
        <w:i/>
        <w:sz w:val="22"/>
      </w:rPr>
      <w:tab/>
      <w:t>CJ</w:t>
    </w:r>
  </w:p>
  <w:p w14:paraId="22B2728E" w14:textId="77777777" w:rsidR="007467EA" w:rsidRPr="008F0407" w:rsidRDefault="007467EA" w:rsidP="008F0407">
    <w:pPr>
      <w:pStyle w:val="Header"/>
      <w:tabs>
        <w:tab w:val="clear" w:pos="4153"/>
        <w:tab w:val="clear" w:pos="8306"/>
        <w:tab w:val="right" w:pos="1304"/>
      </w:tabs>
      <w:spacing w:line="280" w:lineRule="exact"/>
      <w:ind w:firstLine="0"/>
      <w:rPr>
        <w:rFonts w:ascii="Times New Roman" w:hAnsi="Times New Roman"/>
        <w:i/>
        <w:sz w:val="22"/>
      </w:rPr>
    </w:pPr>
    <w:r w:rsidRPr="008F0407">
      <w:rPr>
        <w:rFonts w:ascii="Times New Roman" w:hAnsi="Times New Roman"/>
        <w:i/>
        <w:sz w:val="22"/>
      </w:rPr>
      <w:t>Keane</w:t>
    </w:r>
    <w:r w:rsidRPr="008F0407">
      <w:rPr>
        <w:rFonts w:ascii="Times New Roman" w:hAnsi="Times New Roman"/>
        <w:i/>
        <w:sz w:val="22"/>
      </w:rPr>
      <w:tab/>
      <w:t>J</w:t>
    </w:r>
  </w:p>
  <w:p w14:paraId="32E164B0" w14:textId="77777777" w:rsidR="007467EA" w:rsidRDefault="007467EA" w:rsidP="008F040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0BE08922" w14:textId="77777777" w:rsidR="007467EA" w:rsidRDefault="007467EA" w:rsidP="008F0407">
    <w:pPr>
      <w:pStyle w:val="Header"/>
      <w:tabs>
        <w:tab w:val="clear" w:pos="4153"/>
        <w:tab w:val="clear" w:pos="8306"/>
        <w:tab w:val="right" w:pos="1304"/>
      </w:tabs>
      <w:spacing w:line="280" w:lineRule="exact"/>
      <w:ind w:firstLine="0"/>
      <w:rPr>
        <w:rFonts w:ascii="Times New Roman" w:hAnsi="Times New Roman"/>
        <w:i/>
        <w:sz w:val="22"/>
      </w:rPr>
    </w:pPr>
  </w:p>
  <w:p w14:paraId="3FF9A4FC" w14:textId="77777777" w:rsidR="007467EA" w:rsidRDefault="007467EA" w:rsidP="008F040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73B23E6" w14:textId="77777777" w:rsidR="007467EA" w:rsidRPr="008F0407" w:rsidRDefault="007467EA" w:rsidP="008F040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9C813" w14:textId="77777777" w:rsidR="007467EA" w:rsidRPr="008F0407" w:rsidRDefault="007467EA" w:rsidP="008F0407">
    <w:pPr>
      <w:pStyle w:val="Header"/>
      <w:tabs>
        <w:tab w:val="clear" w:pos="4153"/>
        <w:tab w:val="clear" w:pos="8306"/>
        <w:tab w:val="left" w:pos="7200"/>
        <w:tab w:val="right" w:pos="8504"/>
      </w:tabs>
      <w:spacing w:line="280" w:lineRule="exact"/>
      <w:jc w:val="right"/>
      <w:rPr>
        <w:rFonts w:ascii="Times New Roman" w:hAnsi="Times New Roman"/>
        <w:i/>
        <w:sz w:val="22"/>
      </w:rPr>
    </w:pPr>
    <w:r w:rsidRPr="008F0407">
      <w:rPr>
        <w:rFonts w:ascii="Times New Roman" w:hAnsi="Times New Roman"/>
        <w:i/>
        <w:sz w:val="22"/>
      </w:rPr>
      <w:tab/>
      <w:t>Kiefel</w:t>
    </w:r>
    <w:r w:rsidRPr="008F0407">
      <w:rPr>
        <w:rFonts w:ascii="Times New Roman" w:hAnsi="Times New Roman"/>
        <w:i/>
        <w:sz w:val="22"/>
      </w:rPr>
      <w:tab/>
      <w:t>CJ</w:t>
    </w:r>
  </w:p>
  <w:p w14:paraId="394D7471" w14:textId="77777777" w:rsidR="007467EA" w:rsidRPr="008F0407" w:rsidRDefault="007467EA" w:rsidP="008F0407">
    <w:pPr>
      <w:pStyle w:val="Header"/>
      <w:tabs>
        <w:tab w:val="clear" w:pos="4153"/>
        <w:tab w:val="clear" w:pos="8306"/>
        <w:tab w:val="left" w:pos="7200"/>
        <w:tab w:val="right" w:pos="8504"/>
      </w:tabs>
      <w:spacing w:line="280" w:lineRule="exact"/>
      <w:jc w:val="right"/>
      <w:rPr>
        <w:rFonts w:ascii="Times New Roman" w:hAnsi="Times New Roman"/>
        <w:i/>
        <w:sz w:val="22"/>
      </w:rPr>
    </w:pPr>
    <w:r w:rsidRPr="008F0407">
      <w:rPr>
        <w:rFonts w:ascii="Times New Roman" w:hAnsi="Times New Roman"/>
        <w:i/>
        <w:sz w:val="22"/>
      </w:rPr>
      <w:tab/>
      <w:t>Keane</w:t>
    </w:r>
    <w:r w:rsidRPr="008F0407">
      <w:rPr>
        <w:rFonts w:ascii="Times New Roman" w:hAnsi="Times New Roman"/>
        <w:i/>
        <w:sz w:val="22"/>
      </w:rPr>
      <w:tab/>
      <w:t>J</w:t>
    </w:r>
  </w:p>
  <w:p w14:paraId="6B78F056" w14:textId="77777777" w:rsidR="007467EA" w:rsidRDefault="007467EA" w:rsidP="008F040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19A8F28E" w14:textId="77777777" w:rsidR="007467EA" w:rsidRDefault="007467EA" w:rsidP="008F0407">
    <w:pPr>
      <w:pStyle w:val="Header"/>
      <w:tabs>
        <w:tab w:val="clear" w:pos="4153"/>
        <w:tab w:val="clear" w:pos="8306"/>
        <w:tab w:val="left" w:pos="7200"/>
        <w:tab w:val="right" w:pos="8504"/>
      </w:tabs>
      <w:spacing w:line="280" w:lineRule="exact"/>
      <w:jc w:val="right"/>
      <w:rPr>
        <w:rFonts w:ascii="Times New Roman" w:hAnsi="Times New Roman"/>
        <w:i/>
        <w:sz w:val="22"/>
      </w:rPr>
    </w:pPr>
  </w:p>
  <w:p w14:paraId="016DE6DD" w14:textId="77777777" w:rsidR="007467EA" w:rsidRDefault="007467EA" w:rsidP="008F040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03E6561" w14:textId="77777777" w:rsidR="007467EA" w:rsidRPr="008F0407" w:rsidRDefault="007467EA" w:rsidP="008F040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430D7" w14:textId="77777777" w:rsidR="007467EA" w:rsidRDefault="007467EA" w:rsidP="008F0407">
    <w:pPr>
      <w:pStyle w:val="Header"/>
      <w:tabs>
        <w:tab w:val="clear" w:pos="4153"/>
        <w:tab w:val="clear" w:pos="8306"/>
        <w:tab w:val="center" w:pos="1134"/>
      </w:tabs>
      <w:spacing w:line="280" w:lineRule="exact"/>
      <w:ind w:firstLine="0"/>
      <w:rPr>
        <w:rFonts w:ascii="Times New Roman" w:hAnsi="Times New Roman"/>
        <w:i/>
        <w:sz w:val="22"/>
      </w:rPr>
    </w:pPr>
  </w:p>
  <w:p w14:paraId="53F279A0" w14:textId="77777777" w:rsidR="007467EA" w:rsidRDefault="007467EA" w:rsidP="008F0407">
    <w:pPr>
      <w:pStyle w:val="Header"/>
      <w:tabs>
        <w:tab w:val="clear" w:pos="4153"/>
        <w:tab w:val="clear" w:pos="8306"/>
        <w:tab w:val="center" w:pos="1134"/>
      </w:tabs>
      <w:spacing w:line="280" w:lineRule="exact"/>
      <w:ind w:firstLine="0"/>
      <w:rPr>
        <w:rFonts w:ascii="Times New Roman" w:hAnsi="Times New Roman"/>
        <w:i/>
        <w:sz w:val="22"/>
      </w:rPr>
    </w:pPr>
  </w:p>
  <w:p w14:paraId="1830E0F2" w14:textId="77777777" w:rsidR="007467EA" w:rsidRDefault="007467EA" w:rsidP="008F0407">
    <w:pPr>
      <w:pStyle w:val="Header"/>
      <w:tabs>
        <w:tab w:val="clear" w:pos="4153"/>
        <w:tab w:val="clear" w:pos="8306"/>
        <w:tab w:val="center" w:pos="1134"/>
      </w:tabs>
      <w:spacing w:line="280" w:lineRule="exact"/>
      <w:ind w:firstLine="0"/>
      <w:rPr>
        <w:rFonts w:ascii="Times New Roman" w:hAnsi="Times New Roman"/>
        <w:i/>
        <w:sz w:val="22"/>
      </w:rPr>
    </w:pPr>
  </w:p>
  <w:p w14:paraId="26325405" w14:textId="77777777" w:rsidR="007467EA" w:rsidRDefault="007467EA" w:rsidP="008F0407">
    <w:pPr>
      <w:pStyle w:val="Header"/>
      <w:tabs>
        <w:tab w:val="clear" w:pos="4153"/>
        <w:tab w:val="clear" w:pos="8306"/>
        <w:tab w:val="center" w:pos="1134"/>
      </w:tabs>
      <w:spacing w:line="280" w:lineRule="exact"/>
      <w:ind w:firstLine="0"/>
      <w:rPr>
        <w:rFonts w:ascii="Times New Roman" w:hAnsi="Times New Roman"/>
        <w:i/>
        <w:sz w:val="22"/>
      </w:rPr>
    </w:pPr>
  </w:p>
  <w:p w14:paraId="73CE0ED1" w14:textId="77777777" w:rsidR="007467EA" w:rsidRDefault="007467EA" w:rsidP="008F0407">
    <w:pPr>
      <w:pStyle w:val="Header"/>
      <w:tabs>
        <w:tab w:val="clear" w:pos="4153"/>
        <w:tab w:val="clear" w:pos="8306"/>
        <w:tab w:val="center" w:pos="1134"/>
      </w:tabs>
      <w:spacing w:line="280" w:lineRule="exact"/>
      <w:ind w:firstLine="0"/>
      <w:rPr>
        <w:rFonts w:ascii="Times New Roman" w:hAnsi="Times New Roman"/>
        <w:i/>
        <w:sz w:val="22"/>
      </w:rPr>
    </w:pPr>
  </w:p>
  <w:p w14:paraId="431B614F" w14:textId="77777777" w:rsidR="007467EA" w:rsidRPr="008F0407" w:rsidRDefault="007467EA" w:rsidP="008F0407">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F1D01" w14:textId="77777777" w:rsidR="009F3630" w:rsidRPr="009F3630" w:rsidRDefault="00A6655B" w:rsidP="009F3630">
    <w:pPr>
      <w:pStyle w:val="Header"/>
      <w:tabs>
        <w:tab w:val="clear" w:pos="4153"/>
        <w:tab w:val="clear" w:pos="8306"/>
        <w:tab w:val="right" w:pos="1304"/>
      </w:tabs>
      <w:spacing w:line="280" w:lineRule="exact"/>
      <w:ind w:firstLine="0"/>
      <w:rPr>
        <w:rFonts w:ascii="Times New Roman" w:hAnsi="Times New Roman"/>
        <w:i/>
        <w:sz w:val="22"/>
      </w:rPr>
    </w:pPr>
    <w:proofErr w:type="spellStart"/>
    <w:r w:rsidRPr="009F3630">
      <w:rPr>
        <w:rFonts w:ascii="Times New Roman" w:hAnsi="Times New Roman"/>
        <w:i/>
        <w:sz w:val="22"/>
      </w:rPr>
      <w:t>Gageler</w:t>
    </w:r>
    <w:proofErr w:type="spellEnd"/>
    <w:r w:rsidRPr="009F3630">
      <w:rPr>
        <w:rFonts w:ascii="Times New Roman" w:hAnsi="Times New Roman"/>
        <w:i/>
        <w:sz w:val="22"/>
      </w:rPr>
      <w:tab/>
      <w:t>J</w:t>
    </w:r>
  </w:p>
  <w:p w14:paraId="43988A1B" w14:textId="77777777" w:rsidR="009F3630" w:rsidRDefault="00A6655B" w:rsidP="009F3630">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4DF6F703" w14:textId="77777777" w:rsidR="009F3630" w:rsidRDefault="00A57361" w:rsidP="009F3630">
    <w:pPr>
      <w:pStyle w:val="Header"/>
      <w:tabs>
        <w:tab w:val="clear" w:pos="4153"/>
        <w:tab w:val="clear" w:pos="8306"/>
        <w:tab w:val="right" w:pos="1304"/>
      </w:tabs>
      <w:spacing w:line="280" w:lineRule="exact"/>
      <w:ind w:firstLine="0"/>
      <w:rPr>
        <w:rFonts w:ascii="Times New Roman" w:hAnsi="Times New Roman"/>
        <w:i/>
        <w:sz w:val="22"/>
      </w:rPr>
    </w:pPr>
  </w:p>
  <w:p w14:paraId="166F19B1" w14:textId="77777777" w:rsidR="009F3630" w:rsidRDefault="00A6655B" w:rsidP="009F3630">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3F39487C" w14:textId="77777777" w:rsidR="009F3630" w:rsidRPr="009F3630" w:rsidRDefault="00A57361" w:rsidP="009F3630">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A934E" w14:textId="77777777" w:rsidR="009F3630" w:rsidRPr="009F3630" w:rsidRDefault="00A6655B" w:rsidP="009F3630">
    <w:pPr>
      <w:pStyle w:val="Header"/>
      <w:tabs>
        <w:tab w:val="clear" w:pos="4153"/>
        <w:tab w:val="clear" w:pos="8306"/>
        <w:tab w:val="left" w:pos="7200"/>
        <w:tab w:val="right" w:pos="8504"/>
      </w:tabs>
      <w:spacing w:line="280" w:lineRule="exact"/>
      <w:jc w:val="right"/>
      <w:rPr>
        <w:rFonts w:ascii="Times New Roman" w:hAnsi="Times New Roman"/>
        <w:i/>
        <w:sz w:val="22"/>
      </w:rPr>
    </w:pPr>
    <w:r w:rsidRPr="009F3630">
      <w:rPr>
        <w:rFonts w:ascii="Times New Roman" w:hAnsi="Times New Roman"/>
        <w:i/>
        <w:sz w:val="22"/>
      </w:rPr>
      <w:tab/>
    </w:r>
    <w:proofErr w:type="spellStart"/>
    <w:r w:rsidRPr="009F3630">
      <w:rPr>
        <w:rFonts w:ascii="Times New Roman" w:hAnsi="Times New Roman"/>
        <w:i/>
        <w:sz w:val="22"/>
      </w:rPr>
      <w:t>Gageler</w:t>
    </w:r>
    <w:proofErr w:type="spellEnd"/>
    <w:r w:rsidRPr="009F3630">
      <w:rPr>
        <w:rFonts w:ascii="Times New Roman" w:hAnsi="Times New Roman"/>
        <w:i/>
        <w:sz w:val="22"/>
      </w:rPr>
      <w:tab/>
      <w:t>J</w:t>
    </w:r>
  </w:p>
  <w:p w14:paraId="04D1EC75" w14:textId="77777777" w:rsidR="009F3630" w:rsidRDefault="00A6655B" w:rsidP="009F3630">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0469052C" w14:textId="77777777" w:rsidR="009F3630" w:rsidRDefault="00A57361" w:rsidP="009F3630">
    <w:pPr>
      <w:pStyle w:val="Header"/>
      <w:tabs>
        <w:tab w:val="clear" w:pos="4153"/>
        <w:tab w:val="clear" w:pos="8306"/>
        <w:tab w:val="left" w:pos="7200"/>
        <w:tab w:val="right" w:pos="8504"/>
      </w:tabs>
      <w:spacing w:line="280" w:lineRule="exact"/>
      <w:jc w:val="right"/>
      <w:rPr>
        <w:rFonts w:ascii="Times New Roman" w:hAnsi="Times New Roman"/>
        <w:i/>
        <w:sz w:val="22"/>
      </w:rPr>
    </w:pPr>
  </w:p>
  <w:p w14:paraId="4BF81318" w14:textId="77777777" w:rsidR="009F3630" w:rsidRDefault="00A6655B" w:rsidP="009F3630">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7015CB5" w14:textId="77777777" w:rsidR="009F3630" w:rsidRPr="009F3630" w:rsidRDefault="00A57361" w:rsidP="009F363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0D090" w14:textId="77777777" w:rsidR="009F3630" w:rsidRDefault="00A57361" w:rsidP="009F3630">
    <w:pPr>
      <w:pStyle w:val="Header"/>
      <w:tabs>
        <w:tab w:val="clear" w:pos="4153"/>
        <w:tab w:val="clear" w:pos="8306"/>
        <w:tab w:val="center" w:pos="1134"/>
      </w:tabs>
      <w:spacing w:line="280" w:lineRule="exact"/>
      <w:ind w:firstLine="0"/>
      <w:rPr>
        <w:rFonts w:ascii="Times New Roman" w:hAnsi="Times New Roman"/>
        <w:i/>
        <w:sz w:val="22"/>
      </w:rPr>
    </w:pPr>
  </w:p>
  <w:p w14:paraId="168DDBEA" w14:textId="77777777" w:rsidR="009F3630" w:rsidRDefault="00A57361" w:rsidP="009F3630">
    <w:pPr>
      <w:pStyle w:val="Header"/>
      <w:tabs>
        <w:tab w:val="clear" w:pos="4153"/>
        <w:tab w:val="clear" w:pos="8306"/>
        <w:tab w:val="center" w:pos="1134"/>
      </w:tabs>
      <w:spacing w:line="280" w:lineRule="exact"/>
      <w:ind w:firstLine="0"/>
      <w:rPr>
        <w:rFonts w:ascii="Times New Roman" w:hAnsi="Times New Roman"/>
        <w:i/>
        <w:sz w:val="22"/>
      </w:rPr>
    </w:pPr>
  </w:p>
  <w:p w14:paraId="5B3A4AF1" w14:textId="77777777" w:rsidR="009F3630" w:rsidRDefault="00A57361" w:rsidP="009F3630">
    <w:pPr>
      <w:pStyle w:val="Header"/>
      <w:tabs>
        <w:tab w:val="clear" w:pos="4153"/>
        <w:tab w:val="clear" w:pos="8306"/>
        <w:tab w:val="center" w:pos="1134"/>
      </w:tabs>
      <w:spacing w:line="280" w:lineRule="exact"/>
      <w:ind w:firstLine="0"/>
      <w:rPr>
        <w:rFonts w:ascii="Times New Roman" w:hAnsi="Times New Roman"/>
        <w:i/>
        <w:sz w:val="22"/>
      </w:rPr>
    </w:pPr>
  </w:p>
  <w:p w14:paraId="6659DC76" w14:textId="77777777" w:rsidR="009F3630" w:rsidRDefault="00A57361" w:rsidP="009F3630">
    <w:pPr>
      <w:pStyle w:val="Header"/>
      <w:tabs>
        <w:tab w:val="clear" w:pos="4153"/>
        <w:tab w:val="clear" w:pos="8306"/>
        <w:tab w:val="center" w:pos="1134"/>
      </w:tabs>
      <w:spacing w:line="280" w:lineRule="exact"/>
      <w:ind w:firstLine="0"/>
      <w:rPr>
        <w:rFonts w:ascii="Times New Roman" w:hAnsi="Times New Roman"/>
        <w:i/>
        <w:sz w:val="22"/>
      </w:rPr>
    </w:pPr>
  </w:p>
  <w:p w14:paraId="206B7DB3" w14:textId="77777777" w:rsidR="00485AF1" w:rsidRPr="009F3630" w:rsidRDefault="00A57361" w:rsidP="009F3630">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A024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42E1C9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EA6B08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65C4D5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0A0175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32DA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B4FD1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640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D4643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0BF04AB6"/>
    <w:lvl w:ilvl="0" w:tplc="77E63FAE">
      <w:start w:val="1"/>
      <w:numFmt w:val="decimal"/>
      <w:pStyle w:val="NormalHC"/>
      <w:lvlText w:val="%1."/>
      <w:lvlJc w:val="left"/>
      <w:pPr>
        <w:ind w:left="720" w:hanging="1440"/>
      </w:pPr>
      <w:rPr>
        <w:rFonts w:ascii="Univers" w:hAnsi="Univers" w:hint="default"/>
        <w:b w:val="0"/>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D3051C"/>
    <w:multiLevelType w:val="hybridMultilevel"/>
    <w:tmpl w:val="5D76E5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7CB4F43"/>
    <w:multiLevelType w:val="hybridMultilevel"/>
    <w:tmpl w:val="E0AEF0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C3065A6"/>
    <w:multiLevelType w:val="hybridMultilevel"/>
    <w:tmpl w:val="C3F421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C457F09"/>
    <w:multiLevelType w:val="multilevel"/>
    <w:tmpl w:val="C2EEB0F6"/>
    <w:lvl w:ilvl="0">
      <w:start w:val="1"/>
      <w:numFmt w:val="upperLetter"/>
      <w:lvlText w:val="%1"/>
      <w:lvlJc w:val="left"/>
      <w:pPr>
        <w:ind w:left="720" w:hanging="720"/>
      </w:pPr>
      <w:rPr>
        <w:rFonts w:hint="default"/>
        <w:b/>
        <w:i w:val="0"/>
      </w:rPr>
    </w:lvl>
    <w:lvl w:ilvl="1">
      <w:start w:val="1"/>
      <w:numFmt w:val="decimal"/>
      <w:lvlRestart w:val="0"/>
      <w:lvlText w:val="%2"/>
      <w:lvlJc w:val="left"/>
      <w:pPr>
        <w:ind w:left="256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ind w:left="1418" w:hanging="709"/>
      </w:pPr>
      <w:rPr>
        <w:rFonts w:hint="default"/>
        <w:b w:val="0"/>
        <w:i w:val="0"/>
      </w:rPr>
    </w:lvl>
    <w:lvl w:ilvl="3">
      <w:start w:val="1"/>
      <w:numFmt w:val="lowerRoman"/>
      <w:lvlText w:val="%4."/>
      <w:lvlJc w:val="right"/>
      <w:pPr>
        <w:ind w:left="2268" w:hanging="567"/>
      </w:pPr>
      <w:rPr>
        <w:rFonts w:hint="default"/>
        <w:i w:val="0"/>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2862" w:hanging="720"/>
      </w:pPr>
      <w:rPr>
        <w:rFonts w:hint="default"/>
      </w:rPr>
    </w:lvl>
    <w:lvl w:ilvl="7">
      <w:start w:val="1"/>
      <w:numFmt w:val="decimal"/>
      <w:lvlText w:val="%1.%2.%3.%4.%5.%6.%7.%8."/>
      <w:lvlJc w:val="left"/>
      <w:pPr>
        <w:ind w:left="3219" w:hanging="720"/>
      </w:pPr>
      <w:rPr>
        <w:rFonts w:hint="default"/>
      </w:rPr>
    </w:lvl>
    <w:lvl w:ilvl="8">
      <w:start w:val="1"/>
      <w:numFmt w:val="decimal"/>
      <w:lvlText w:val="%1.%2.%3.%4.%5.%6.%7.%8.%9."/>
      <w:lvlJc w:val="left"/>
      <w:pPr>
        <w:ind w:left="3576" w:hanging="720"/>
      </w:pPr>
      <w:rPr>
        <w:rFonts w:hint="default"/>
      </w:rPr>
    </w:lvl>
  </w:abstractNum>
  <w:abstractNum w:abstractNumId="21"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21"/>
  </w:num>
  <w:num w:numId="4">
    <w:abstractNumId w:val="13"/>
  </w:num>
  <w:num w:numId="5">
    <w:abstractNumId w:val="17"/>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 w:numId="20">
    <w:abstractNumId w:val="20"/>
  </w:num>
  <w:num w:numId="21">
    <w:abstractNumId w:val="16"/>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7F"/>
    <w:rsid w:val="00000054"/>
    <w:rsid w:val="00000C25"/>
    <w:rsid w:val="00001AD6"/>
    <w:rsid w:val="00001FF0"/>
    <w:rsid w:val="00002069"/>
    <w:rsid w:val="00002940"/>
    <w:rsid w:val="00002CE6"/>
    <w:rsid w:val="0000316A"/>
    <w:rsid w:val="0000325E"/>
    <w:rsid w:val="000032B9"/>
    <w:rsid w:val="00003AF7"/>
    <w:rsid w:val="00003D54"/>
    <w:rsid w:val="000041CE"/>
    <w:rsid w:val="000049B7"/>
    <w:rsid w:val="00004DE6"/>
    <w:rsid w:val="00005AAE"/>
    <w:rsid w:val="00005B32"/>
    <w:rsid w:val="00006AE6"/>
    <w:rsid w:val="00006CF2"/>
    <w:rsid w:val="0000745E"/>
    <w:rsid w:val="00007D25"/>
    <w:rsid w:val="00010F65"/>
    <w:rsid w:val="00011BA8"/>
    <w:rsid w:val="0001204F"/>
    <w:rsid w:val="000123CB"/>
    <w:rsid w:val="00012B0E"/>
    <w:rsid w:val="00012CA5"/>
    <w:rsid w:val="00013063"/>
    <w:rsid w:val="00013BBC"/>
    <w:rsid w:val="00013D6A"/>
    <w:rsid w:val="00013D89"/>
    <w:rsid w:val="000148A9"/>
    <w:rsid w:val="00014B34"/>
    <w:rsid w:val="000150E4"/>
    <w:rsid w:val="000155C1"/>
    <w:rsid w:val="000162A0"/>
    <w:rsid w:val="000166EE"/>
    <w:rsid w:val="000168C9"/>
    <w:rsid w:val="00016C20"/>
    <w:rsid w:val="00016DBB"/>
    <w:rsid w:val="00017144"/>
    <w:rsid w:val="00017179"/>
    <w:rsid w:val="00017AB9"/>
    <w:rsid w:val="00020CE7"/>
    <w:rsid w:val="000221C4"/>
    <w:rsid w:val="00023390"/>
    <w:rsid w:val="00024002"/>
    <w:rsid w:val="0002418A"/>
    <w:rsid w:val="000243CB"/>
    <w:rsid w:val="000250AF"/>
    <w:rsid w:val="00025490"/>
    <w:rsid w:val="0002561E"/>
    <w:rsid w:val="00025CA2"/>
    <w:rsid w:val="00025E68"/>
    <w:rsid w:val="00025F03"/>
    <w:rsid w:val="000260A4"/>
    <w:rsid w:val="00026111"/>
    <w:rsid w:val="0002618F"/>
    <w:rsid w:val="0002631A"/>
    <w:rsid w:val="000265B2"/>
    <w:rsid w:val="000268E1"/>
    <w:rsid w:val="00026C5D"/>
    <w:rsid w:val="00026C6F"/>
    <w:rsid w:val="00026DCE"/>
    <w:rsid w:val="0002748E"/>
    <w:rsid w:val="00031ACB"/>
    <w:rsid w:val="00031EF1"/>
    <w:rsid w:val="0003268B"/>
    <w:rsid w:val="00032BC0"/>
    <w:rsid w:val="00032D9B"/>
    <w:rsid w:val="00032F04"/>
    <w:rsid w:val="0003388B"/>
    <w:rsid w:val="00033AAF"/>
    <w:rsid w:val="000342D6"/>
    <w:rsid w:val="00034D21"/>
    <w:rsid w:val="0003575A"/>
    <w:rsid w:val="00035C6E"/>
    <w:rsid w:val="000360EB"/>
    <w:rsid w:val="000367D9"/>
    <w:rsid w:val="00036933"/>
    <w:rsid w:val="000370DD"/>
    <w:rsid w:val="00037194"/>
    <w:rsid w:val="0003727B"/>
    <w:rsid w:val="00037A5F"/>
    <w:rsid w:val="00037D87"/>
    <w:rsid w:val="000407AF"/>
    <w:rsid w:val="00041263"/>
    <w:rsid w:val="000416F1"/>
    <w:rsid w:val="000419AF"/>
    <w:rsid w:val="00041EB6"/>
    <w:rsid w:val="00042013"/>
    <w:rsid w:val="0004252B"/>
    <w:rsid w:val="00042CBE"/>
    <w:rsid w:val="00043171"/>
    <w:rsid w:val="0004355A"/>
    <w:rsid w:val="000436FC"/>
    <w:rsid w:val="00043D2C"/>
    <w:rsid w:val="00044B80"/>
    <w:rsid w:val="00044CF2"/>
    <w:rsid w:val="00044E87"/>
    <w:rsid w:val="00045C8C"/>
    <w:rsid w:val="00046073"/>
    <w:rsid w:val="0004627C"/>
    <w:rsid w:val="00046812"/>
    <w:rsid w:val="000470BB"/>
    <w:rsid w:val="000471CE"/>
    <w:rsid w:val="0004759B"/>
    <w:rsid w:val="0005034B"/>
    <w:rsid w:val="0005076F"/>
    <w:rsid w:val="0005138C"/>
    <w:rsid w:val="00051A5A"/>
    <w:rsid w:val="00052893"/>
    <w:rsid w:val="000536BE"/>
    <w:rsid w:val="00053AEE"/>
    <w:rsid w:val="00053BF7"/>
    <w:rsid w:val="00053DEA"/>
    <w:rsid w:val="000546FA"/>
    <w:rsid w:val="00054AAF"/>
    <w:rsid w:val="00054F6A"/>
    <w:rsid w:val="00054F87"/>
    <w:rsid w:val="000559A0"/>
    <w:rsid w:val="00055ACD"/>
    <w:rsid w:val="0005658E"/>
    <w:rsid w:val="00056F27"/>
    <w:rsid w:val="00057372"/>
    <w:rsid w:val="000573AF"/>
    <w:rsid w:val="0005753D"/>
    <w:rsid w:val="00057557"/>
    <w:rsid w:val="00057D4D"/>
    <w:rsid w:val="00057F43"/>
    <w:rsid w:val="00060244"/>
    <w:rsid w:val="000604DD"/>
    <w:rsid w:val="0006169E"/>
    <w:rsid w:val="000618E5"/>
    <w:rsid w:val="00061D70"/>
    <w:rsid w:val="0006209F"/>
    <w:rsid w:val="000626FD"/>
    <w:rsid w:val="00062A13"/>
    <w:rsid w:val="00062A6C"/>
    <w:rsid w:val="00062E82"/>
    <w:rsid w:val="00063033"/>
    <w:rsid w:val="000633E0"/>
    <w:rsid w:val="00064149"/>
    <w:rsid w:val="0006432B"/>
    <w:rsid w:val="000653D4"/>
    <w:rsid w:val="000657E5"/>
    <w:rsid w:val="000658B2"/>
    <w:rsid w:val="00065BA0"/>
    <w:rsid w:val="00065C22"/>
    <w:rsid w:val="00066A23"/>
    <w:rsid w:val="00066FA1"/>
    <w:rsid w:val="000672DF"/>
    <w:rsid w:val="00067B09"/>
    <w:rsid w:val="0007040A"/>
    <w:rsid w:val="00070702"/>
    <w:rsid w:val="000707FA"/>
    <w:rsid w:val="00070B70"/>
    <w:rsid w:val="00070E61"/>
    <w:rsid w:val="00071146"/>
    <w:rsid w:val="00071C35"/>
    <w:rsid w:val="00072080"/>
    <w:rsid w:val="00072D4F"/>
    <w:rsid w:val="000731CC"/>
    <w:rsid w:val="00073951"/>
    <w:rsid w:val="00073BA7"/>
    <w:rsid w:val="000745FA"/>
    <w:rsid w:val="00074BAE"/>
    <w:rsid w:val="00074DEC"/>
    <w:rsid w:val="000759AD"/>
    <w:rsid w:val="00075D0F"/>
    <w:rsid w:val="00075E88"/>
    <w:rsid w:val="00075F50"/>
    <w:rsid w:val="00076A02"/>
    <w:rsid w:val="00076C6B"/>
    <w:rsid w:val="00077069"/>
    <w:rsid w:val="00077B40"/>
    <w:rsid w:val="00080053"/>
    <w:rsid w:val="0008030A"/>
    <w:rsid w:val="00080C8D"/>
    <w:rsid w:val="00080D77"/>
    <w:rsid w:val="00080F06"/>
    <w:rsid w:val="00081F51"/>
    <w:rsid w:val="0008220E"/>
    <w:rsid w:val="00082516"/>
    <w:rsid w:val="0008271A"/>
    <w:rsid w:val="00082DCF"/>
    <w:rsid w:val="00083E1B"/>
    <w:rsid w:val="00083FD6"/>
    <w:rsid w:val="0008435D"/>
    <w:rsid w:val="00084444"/>
    <w:rsid w:val="0008558C"/>
    <w:rsid w:val="000857C4"/>
    <w:rsid w:val="00085A43"/>
    <w:rsid w:val="00085CE3"/>
    <w:rsid w:val="00085F13"/>
    <w:rsid w:val="00085FF7"/>
    <w:rsid w:val="000861EB"/>
    <w:rsid w:val="00086320"/>
    <w:rsid w:val="0008727A"/>
    <w:rsid w:val="0008755C"/>
    <w:rsid w:val="000879B2"/>
    <w:rsid w:val="00087E67"/>
    <w:rsid w:val="000904DF"/>
    <w:rsid w:val="00090C12"/>
    <w:rsid w:val="00090CBB"/>
    <w:rsid w:val="00091308"/>
    <w:rsid w:val="0009162C"/>
    <w:rsid w:val="000922D0"/>
    <w:rsid w:val="00092B0E"/>
    <w:rsid w:val="00093DB2"/>
    <w:rsid w:val="000941BA"/>
    <w:rsid w:val="000949EE"/>
    <w:rsid w:val="00094AA3"/>
    <w:rsid w:val="000953E2"/>
    <w:rsid w:val="00095AB9"/>
    <w:rsid w:val="00097788"/>
    <w:rsid w:val="000977B5"/>
    <w:rsid w:val="000A053F"/>
    <w:rsid w:val="000A11AF"/>
    <w:rsid w:val="000A15BD"/>
    <w:rsid w:val="000A20DC"/>
    <w:rsid w:val="000A249B"/>
    <w:rsid w:val="000A24B0"/>
    <w:rsid w:val="000A2527"/>
    <w:rsid w:val="000A25E7"/>
    <w:rsid w:val="000A28D4"/>
    <w:rsid w:val="000A2EB4"/>
    <w:rsid w:val="000A2FF8"/>
    <w:rsid w:val="000A30D3"/>
    <w:rsid w:val="000A3733"/>
    <w:rsid w:val="000A3DA3"/>
    <w:rsid w:val="000A4A18"/>
    <w:rsid w:val="000A505B"/>
    <w:rsid w:val="000A50DE"/>
    <w:rsid w:val="000A5FC9"/>
    <w:rsid w:val="000A63C6"/>
    <w:rsid w:val="000A670B"/>
    <w:rsid w:val="000A7014"/>
    <w:rsid w:val="000A7122"/>
    <w:rsid w:val="000A71B9"/>
    <w:rsid w:val="000A72CD"/>
    <w:rsid w:val="000B0C54"/>
    <w:rsid w:val="000B1508"/>
    <w:rsid w:val="000B2079"/>
    <w:rsid w:val="000B2947"/>
    <w:rsid w:val="000B30CF"/>
    <w:rsid w:val="000B31A2"/>
    <w:rsid w:val="000B347C"/>
    <w:rsid w:val="000B38B9"/>
    <w:rsid w:val="000B3D64"/>
    <w:rsid w:val="000B3E02"/>
    <w:rsid w:val="000B4630"/>
    <w:rsid w:val="000B478A"/>
    <w:rsid w:val="000B4940"/>
    <w:rsid w:val="000B497F"/>
    <w:rsid w:val="000B5263"/>
    <w:rsid w:val="000B5605"/>
    <w:rsid w:val="000B59EB"/>
    <w:rsid w:val="000B5B11"/>
    <w:rsid w:val="000B6979"/>
    <w:rsid w:val="000B710D"/>
    <w:rsid w:val="000B7558"/>
    <w:rsid w:val="000B7BB0"/>
    <w:rsid w:val="000C006C"/>
    <w:rsid w:val="000C027F"/>
    <w:rsid w:val="000C04DC"/>
    <w:rsid w:val="000C07AA"/>
    <w:rsid w:val="000C0D98"/>
    <w:rsid w:val="000C1D99"/>
    <w:rsid w:val="000C1DD7"/>
    <w:rsid w:val="000C21C5"/>
    <w:rsid w:val="000C2459"/>
    <w:rsid w:val="000C2580"/>
    <w:rsid w:val="000C2855"/>
    <w:rsid w:val="000C28CC"/>
    <w:rsid w:val="000C28F8"/>
    <w:rsid w:val="000C2AFC"/>
    <w:rsid w:val="000C2BBF"/>
    <w:rsid w:val="000C31A1"/>
    <w:rsid w:val="000C40B4"/>
    <w:rsid w:val="000C4D94"/>
    <w:rsid w:val="000C5221"/>
    <w:rsid w:val="000C535A"/>
    <w:rsid w:val="000C53DD"/>
    <w:rsid w:val="000C620F"/>
    <w:rsid w:val="000C62E2"/>
    <w:rsid w:val="000C643D"/>
    <w:rsid w:val="000C6831"/>
    <w:rsid w:val="000C7634"/>
    <w:rsid w:val="000C7FA3"/>
    <w:rsid w:val="000D0B07"/>
    <w:rsid w:val="000D1417"/>
    <w:rsid w:val="000D24FC"/>
    <w:rsid w:val="000D25E6"/>
    <w:rsid w:val="000D3614"/>
    <w:rsid w:val="000D45A7"/>
    <w:rsid w:val="000D4E6A"/>
    <w:rsid w:val="000D5936"/>
    <w:rsid w:val="000D68F5"/>
    <w:rsid w:val="000D7221"/>
    <w:rsid w:val="000D7663"/>
    <w:rsid w:val="000E005D"/>
    <w:rsid w:val="000E0289"/>
    <w:rsid w:val="000E0D81"/>
    <w:rsid w:val="000E1DB9"/>
    <w:rsid w:val="000E2338"/>
    <w:rsid w:val="000E23EB"/>
    <w:rsid w:val="000E2A0D"/>
    <w:rsid w:val="000E30FC"/>
    <w:rsid w:val="000E37A6"/>
    <w:rsid w:val="000E4120"/>
    <w:rsid w:val="000E4363"/>
    <w:rsid w:val="000E4587"/>
    <w:rsid w:val="000E4ACB"/>
    <w:rsid w:val="000E501D"/>
    <w:rsid w:val="000E5476"/>
    <w:rsid w:val="000E57D0"/>
    <w:rsid w:val="000E5AAE"/>
    <w:rsid w:val="000E5F9B"/>
    <w:rsid w:val="000E65F7"/>
    <w:rsid w:val="000E67D1"/>
    <w:rsid w:val="000E6967"/>
    <w:rsid w:val="000E7C86"/>
    <w:rsid w:val="000F09C2"/>
    <w:rsid w:val="000F0FC5"/>
    <w:rsid w:val="000F1345"/>
    <w:rsid w:val="000F159E"/>
    <w:rsid w:val="000F172D"/>
    <w:rsid w:val="000F1937"/>
    <w:rsid w:val="000F1BB4"/>
    <w:rsid w:val="000F2776"/>
    <w:rsid w:val="000F41EF"/>
    <w:rsid w:val="000F4679"/>
    <w:rsid w:val="000F49DF"/>
    <w:rsid w:val="000F4B0E"/>
    <w:rsid w:val="000F4B52"/>
    <w:rsid w:val="000F5090"/>
    <w:rsid w:val="000F5784"/>
    <w:rsid w:val="000F5B71"/>
    <w:rsid w:val="000F5CA2"/>
    <w:rsid w:val="000F5DD0"/>
    <w:rsid w:val="000F5E41"/>
    <w:rsid w:val="000F6AC3"/>
    <w:rsid w:val="000F7D45"/>
    <w:rsid w:val="000F7FA1"/>
    <w:rsid w:val="001001B9"/>
    <w:rsid w:val="00100862"/>
    <w:rsid w:val="0010178F"/>
    <w:rsid w:val="001019D9"/>
    <w:rsid w:val="00102254"/>
    <w:rsid w:val="00103248"/>
    <w:rsid w:val="00103404"/>
    <w:rsid w:val="00103708"/>
    <w:rsid w:val="001047FD"/>
    <w:rsid w:val="00105D7D"/>
    <w:rsid w:val="0010702C"/>
    <w:rsid w:val="00107300"/>
    <w:rsid w:val="00107C16"/>
    <w:rsid w:val="00110748"/>
    <w:rsid w:val="00110970"/>
    <w:rsid w:val="00111568"/>
    <w:rsid w:val="001115C9"/>
    <w:rsid w:val="001116B8"/>
    <w:rsid w:val="00111928"/>
    <w:rsid w:val="00111D98"/>
    <w:rsid w:val="001120C0"/>
    <w:rsid w:val="001123A2"/>
    <w:rsid w:val="00112444"/>
    <w:rsid w:val="001128D0"/>
    <w:rsid w:val="00113EDF"/>
    <w:rsid w:val="00114B51"/>
    <w:rsid w:val="00114DCB"/>
    <w:rsid w:val="001150BF"/>
    <w:rsid w:val="00115652"/>
    <w:rsid w:val="00115E7E"/>
    <w:rsid w:val="00115EB0"/>
    <w:rsid w:val="001168F2"/>
    <w:rsid w:val="00116E5A"/>
    <w:rsid w:val="00117F6A"/>
    <w:rsid w:val="00120207"/>
    <w:rsid w:val="00120CB0"/>
    <w:rsid w:val="001213F6"/>
    <w:rsid w:val="001214F1"/>
    <w:rsid w:val="0012160C"/>
    <w:rsid w:val="00121F4B"/>
    <w:rsid w:val="001222EA"/>
    <w:rsid w:val="001234E8"/>
    <w:rsid w:val="00123C1B"/>
    <w:rsid w:val="00123C85"/>
    <w:rsid w:val="001248B4"/>
    <w:rsid w:val="001255C8"/>
    <w:rsid w:val="00125989"/>
    <w:rsid w:val="00125B44"/>
    <w:rsid w:val="00125C99"/>
    <w:rsid w:val="00125E3C"/>
    <w:rsid w:val="0012664D"/>
    <w:rsid w:val="00126DBB"/>
    <w:rsid w:val="00126DD2"/>
    <w:rsid w:val="00127F31"/>
    <w:rsid w:val="00130561"/>
    <w:rsid w:val="00130E31"/>
    <w:rsid w:val="0013133E"/>
    <w:rsid w:val="00131390"/>
    <w:rsid w:val="001314EB"/>
    <w:rsid w:val="00131FC0"/>
    <w:rsid w:val="00132183"/>
    <w:rsid w:val="00132D80"/>
    <w:rsid w:val="00133748"/>
    <w:rsid w:val="00133B8B"/>
    <w:rsid w:val="00133DCC"/>
    <w:rsid w:val="00133E7E"/>
    <w:rsid w:val="00134068"/>
    <w:rsid w:val="00134174"/>
    <w:rsid w:val="0013456F"/>
    <w:rsid w:val="00134C56"/>
    <w:rsid w:val="00134D48"/>
    <w:rsid w:val="00134DB0"/>
    <w:rsid w:val="00134E01"/>
    <w:rsid w:val="00135799"/>
    <w:rsid w:val="001362A7"/>
    <w:rsid w:val="00136B14"/>
    <w:rsid w:val="00136E3E"/>
    <w:rsid w:val="00136EBA"/>
    <w:rsid w:val="00137657"/>
    <w:rsid w:val="00137A08"/>
    <w:rsid w:val="00140391"/>
    <w:rsid w:val="00140DD9"/>
    <w:rsid w:val="00142072"/>
    <w:rsid w:val="00143874"/>
    <w:rsid w:val="001439D4"/>
    <w:rsid w:val="00143DC3"/>
    <w:rsid w:val="00143FCB"/>
    <w:rsid w:val="00145627"/>
    <w:rsid w:val="00145ABD"/>
    <w:rsid w:val="00145E3E"/>
    <w:rsid w:val="00146314"/>
    <w:rsid w:val="00146A41"/>
    <w:rsid w:val="00146C7F"/>
    <w:rsid w:val="0014700F"/>
    <w:rsid w:val="00150512"/>
    <w:rsid w:val="001505D1"/>
    <w:rsid w:val="0015065C"/>
    <w:rsid w:val="00150723"/>
    <w:rsid w:val="00150816"/>
    <w:rsid w:val="001509E0"/>
    <w:rsid w:val="00151679"/>
    <w:rsid w:val="001521BB"/>
    <w:rsid w:val="001525E7"/>
    <w:rsid w:val="0015318E"/>
    <w:rsid w:val="00153380"/>
    <w:rsid w:val="001541E9"/>
    <w:rsid w:val="0015427B"/>
    <w:rsid w:val="001548E0"/>
    <w:rsid w:val="00154A06"/>
    <w:rsid w:val="00154B20"/>
    <w:rsid w:val="00154CC8"/>
    <w:rsid w:val="00155A9E"/>
    <w:rsid w:val="00155D1C"/>
    <w:rsid w:val="00156669"/>
    <w:rsid w:val="00160148"/>
    <w:rsid w:val="00161821"/>
    <w:rsid w:val="00162651"/>
    <w:rsid w:val="00163290"/>
    <w:rsid w:val="00163BA4"/>
    <w:rsid w:val="00163D92"/>
    <w:rsid w:val="00164144"/>
    <w:rsid w:val="00165A68"/>
    <w:rsid w:val="00165ABC"/>
    <w:rsid w:val="00166671"/>
    <w:rsid w:val="001666BC"/>
    <w:rsid w:val="00166ED5"/>
    <w:rsid w:val="001670E7"/>
    <w:rsid w:val="001675F2"/>
    <w:rsid w:val="001679D8"/>
    <w:rsid w:val="00167E6F"/>
    <w:rsid w:val="00170DCB"/>
    <w:rsid w:val="00170FA6"/>
    <w:rsid w:val="001722BB"/>
    <w:rsid w:val="001727A3"/>
    <w:rsid w:val="00172ADE"/>
    <w:rsid w:val="001734A0"/>
    <w:rsid w:val="0017365F"/>
    <w:rsid w:val="001755F4"/>
    <w:rsid w:val="00175703"/>
    <w:rsid w:val="001758DE"/>
    <w:rsid w:val="00175924"/>
    <w:rsid w:val="001759EF"/>
    <w:rsid w:val="00175AE7"/>
    <w:rsid w:val="00176034"/>
    <w:rsid w:val="001761B1"/>
    <w:rsid w:val="00176D25"/>
    <w:rsid w:val="00180422"/>
    <w:rsid w:val="001805B1"/>
    <w:rsid w:val="001807DF"/>
    <w:rsid w:val="0018080D"/>
    <w:rsid w:val="00180EC8"/>
    <w:rsid w:val="001810E6"/>
    <w:rsid w:val="00181B3E"/>
    <w:rsid w:val="00181C95"/>
    <w:rsid w:val="00181F14"/>
    <w:rsid w:val="00182060"/>
    <w:rsid w:val="00182348"/>
    <w:rsid w:val="001825DD"/>
    <w:rsid w:val="00182D5E"/>
    <w:rsid w:val="0018340F"/>
    <w:rsid w:val="0018342E"/>
    <w:rsid w:val="001840C2"/>
    <w:rsid w:val="0018464B"/>
    <w:rsid w:val="00184961"/>
    <w:rsid w:val="00184B46"/>
    <w:rsid w:val="00184D48"/>
    <w:rsid w:val="00185734"/>
    <w:rsid w:val="00185939"/>
    <w:rsid w:val="00186474"/>
    <w:rsid w:val="0018674A"/>
    <w:rsid w:val="00186B9F"/>
    <w:rsid w:val="001876F6"/>
    <w:rsid w:val="001914B0"/>
    <w:rsid w:val="001916B4"/>
    <w:rsid w:val="00191730"/>
    <w:rsid w:val="00191E23"/>
    <w:rsid w:val="001929BD"/>
    <w:rsid w:val="001931B9"/>
    <w:rsid w:val="00193BDE"/>
    <w:rsid w:val="0019418B"/>
    <w:rsid w:val="001953B1"/>
    <w:rsid w:val="00195B76"/>
    <w:rsid w:val="00195E48"/>
    <w:rsid w:val="00195E9B"/>
    <w:rsid w:val="00196079"/>
    <w:rsid w:val="001963C0"/>
    <w:rsid w:val="00196AF7"/>
    <w:rsid w:val="00196D02"/>
    <w:rsid w:val="00197347"/>
    <w:rsid w:val="0019780C"/>
    <w:rsid w:val="00197956"/>
    <w:rsid w:val="001A0BDC"/>
    <w:rsid w:val="001A0EF7"/>
    <w:rsid w:val="001A1706"/>
    <w:rsid w:val="001A1D36"/>
    <w:rsid w:val="001A3778"/>
    <w:rsid w:val="001A410E"/>
    <w:rsid w:val="001A446E"/>
    <w:rsid w:val="001A49ED"/>
    <w:rsid w:val="001A69D5"/>
    <w:rsid w:val="001A6B83"/>
    <w:rsid w:val="001A79EA"/>
    <w:rsid w:val="001A7B9C"/>
    <w:rsid w:val="001B00E1"/>
    <w:rsid w:val="001B061B"/>
    <w:rsid w:val="001B0F2A"/>
    <w:rsid w:val="001B17A8"/>
    <w:rsid w:val="001B1913"/>
    <w:rsid w:val="001B246F"/>
    <w:rsid w:val="001B2BAC"/>
    <w:rsid w:val="001B2F33"/>
    <w:rsid w:val="001B361E"/>
    <w:rsid w:val="001B376E"/>
    <w:rsid w:val="001B3C57"/>
    <w:rsid w:val="001B3EF0"/>
    <w:rsid w:val="001B549B"/>
    <w:rsid w:val="001B5641"/>
    <w:rsid w:val="001B5792"/>
    <w:rsid w:val="001B63C6"/>
    <w:rsid w:val="001B65B8"/>
    <w:rsid w:val="001B714C"/>
    <w:rsid w:val="001B7273"/>
    <w:rsid w:val="001B749C"/>
    <w:rsid w:val="001B7817"/>
    <w:rsid w:val="001C0AD3"/>
    <w:rsid w:val="001C29A6"/>
    <w:rsid w:val="001C2A38"/>
    <w:rsid w:val="001C3956"/>
    <w:rsid w:val="001C48D4"/>
    <w:rsid w:val="001C56CD"/>
    <w:rsid w:val="001C5A2C"/>
    <w:rsid w:val="001C7305"/>
    <w:rsid w:val="001C7C93"/>
    <w:rsid w:val="001C7CD8"/>
    <w:rsid w:val="001D0815"/>
    <w:rsid w:val="001D17F2"/>
    <w:rsid w:val="001D29E7"/>
    <w:rsid w:val="001D36CD"/>
    <w:rsid w:val="001D432E"/>
    <w:rsid w:val="001D4461"/>
    <w:rsid w:val="001D4F49"/>
    <w:rsid w:val="001D776F"/>
    <w:rsid w:val="001D7982"/>
    <w:rsid w:val="001E0B6B"/>
    <w:rsid w:val="001E0BEE"/>
    <w:rsid w:val="001E0F31"/>
    <w:rsid w:val="001E1D3D"/>
    <w:rsid w:val="001E1D93"/>
    <w:rsid w:val="001E2068"/>
    <w:rsid w:val="001E22B3"/>
    <w:rsid w:val="001E26B1"/>
    <w:rsid w:val="001E2722"/>
    <w:rsid w:val="001E338C"/>
    <w:rsid w:val="001E4197"/>
    <w:rsid w:val="001E47D1"/>
    <w:rsid w:val="001E488A"/>
    <w:rsid w:val="001E4DDB"/>
    <w:rsid w:val="001E522C"/>
    <w:rsid w:val="001E63DB"/>
    <w:rsid w:val="001E64F0"/>
    <w:rsid w:val="001E6A64"/>
    <w:rsid w:val="001E75C5"/>
    <w:rsid w:val="001E75FE"/>
    <w:rsid w:val="001E7992"/>
    <w:rsid w:val="001E7A0C"/>
    <w:rsid w:val="001E7C5F"/>
    <w:rsid w:val="001F03A1"/>
    <w:rsid w:val="001F061A"/>
    <w:rsid w:val="001F0CF9"/>
    <w:rsid w:val="001F17CD"/>
    <w:rsid w:val="001F1AEB"/>
    <w:rsid w:val="001F2446"/>
    <w:rsid w:val="001F2D0D"/>
    <w:rsid w:val="001F3027"/>
    <w:rsid w:val="001F39FE"/>
    <w:rsid w:val="001F3CD8"/>
    <w:rsid w:val="001F3F2A"/>
    <w:rsid w:val="001F4CA9"/>
    <w:rsid w:val="001F4CDE"/>
    <w:rsid w:val="001F574F"/>
    <w:rsid w:val="001F6152"/>
    <w:rsid w:val="001F6266"/>
    <w:rsid w:val="001F66E5"/>
    <w:rsid w:val="001F69C2"/>
    <w:rsid w:val="001F7AC1"/>
    <w:rsid w:val="001F7D5C"/>
    <w:rsid w:val="00200496"/>
    <w:rsid w:val="00201AF4"/>
    <w:rsid w:val="00201E09"/>
    <w:rsid w:val="00201F34"/>
    <w:rsid w:val="00202A03"/>
    <w:rsid w:val="00202B0B"/>
    <w:rsid w:val="0020312A"/>
    <w:rsid w:val="00203CA2"/>
    <w:rsid w:val="002048D1"/>
    <w:rsid w:val="002049A1"/>
    <w:rsid w:val="00204D30"/>
    <w:rsid w:val="002053A7"/>
    <w:rsid w:val="00205D17"/>
    <w:rsid w:val="00206524"/>
    <w:rsid w:val="002069AF"/>
    <w:rsid w:val="00206DAA"/>
    <w:rsid w:val="00207726"/>
    <w:rsid w:val="002078FA"/>
    <w:rsid w:val="002079CB"/>
    <w:rsid w:val="00207C17"/>
    <w:rsid w:val="0021096E"/>
    <w:rsid w:val="00210DE8"/>
    <w:rsid w:val="002114C3"/>
    <w:rsid w:val="0021160F"/>
    <w:rsid w:val="002118CB"/>
    <w:rsid w:val="00211D73"/>
    <w:rsid w:val="002126EF"/>
    <w:rsid w:val="00212A3E"/>
    <w:rsid w:val="002135CC"/>
    <w:rsid w:val="00213777"/>
    <w:rsid w:val="00214359"/>
    <w:rsid w:val="0021480B"/>
    <w:rsid w:val="00214BF2"/>
    <w:rsid w:val="00215434"/>
    <w:rsid w:val="002158E8"/>
    <w:rsid w:val="00215A7F"/>
    <w:rsid w:val="00215DD3"/>
    <w:rsid w:val="00215FD7"/>
    <w:rsid w:val="00216105"/>
    <w:rsid w:val="002163A3"/>
    <w:rsid w:val="00216522"/>
    <w:rsid w:val="0021689F"/>
    <w:rsid w:val="002173A4"/>
    <w:rsid w:val="00221484"/>
    <w:rsid w:val="00221900"/>
    <w:rsid w:val="00221A1E"/>
    <w:rsid w:val="00221D19"/>
    <w:rsid w:val="00221E8A"/>
    <w:rsid w:val="00222B60"/>
    <w:rsid w:val="00223214"/>
    <w:rsid w:val="002239F1"/>
    <w:rsid w:val="00223DF4"/>
    <w:rsid w:val="00223E51"/>
    <w:rsid w:val="0022413C"/>
    <w:rsid w:val="0022523D"/>
    <w:rsid w:val="002256D9"/>
    <w:rsid w:val="0022639E"/>
    <w:rsid w:val="0022666B"/>
    <w:rsid w:val="0022667F"/>
    <w:rsid w:val="00226B32"/>
    <w:rsid w:val="00226C02"/>
    <w:rsid w:val="00226EA8"/>
    <w:rsid w:val="0022734D"/>
    <w:rsid w:val="002275E7"/>
    <w:rsid w:val="00230237"/>
    <w:rsid w:val="002308F3"/>
    <w:rsid w:val="00230CF7"/>
    <w:rsid w:val="00230ED4"/>
    <w:rsid w:val="0023109F"/>
    <w:rsid w:val="002312B2"/>
    <w:rsid w:val="002316E3"/>
    <w:rsid w:val="002324E2"/>
    <w:rsid w:val="002325B9"/>
    <w:rsid w:val="002325E5"/>
    <w:rsid w:val="00232C24"/>
    <w:rsid w:val="002339CA"/>
    <w:rsid w:val="00233D1D"/>
    <w:rsid w:val="00234467"/>
    <w:rsid w:val="0023447F"/>
    <w:rsid w:val="0023474C"/>
    <w:rsid w:val="0023496D"/>
    <w:rsid w:val="00234CBC"/>
    <w:rsid w:val="002350B3"/>
    <w:rsid w:val="00235482"/>
    <w:rsid w:val="00235702"/>
    <w:rsid w:val="00235BED"/>
    <w:rsid w:val="00236070"/>
    <w:rsid w:val="0023626F"/>
    <w:rsid w:val="00236476"/>
    <w:rsid w:val="00236576"/>
    <w:rsid w:val="002368B1"/>
    <w:rsid w:val="002372AD"/>
    <w:rsid w:val="00237866"/>
    <w:rsid w:val="00237965"/>
    <w:rsid w:val="0023798E"/>
    <w:rsid w:val="00237F66"/>
    <w:rsid w:val="0024004E"/>
    <w:rsid w:val="002402F3"/>
    <w:rsid w:val="0024067A"/>
    <w:rsid w:val="00241056"/>
    <w:rsid w:val="002411E7"/>
    <w:rsid w:val="0024140F"/>
    <w:rsid w:val="00242838"/>
    <w:rsid w:val="002429A1"/>
    <w:rsid w:val="00242B8F"/>
    <w:rsid w:val="00242CC2"/>
    <w:rsid w:val="00242CCE"/>
    <w:rsid w:val="00242EE4"/>
    <w:rsid w:val="00243335"/>
    <w:rsid w:val="00243C04"/>
    <w:rsid w:val="00244500"/>
    <w:rsid w:val="0024462E"/>
    <w:rsid w:val="00244AC9"/>
    <w:rsid w:val="00245070"/>
    <w:rsid w:val="002461C2"/>
    <w:rsid w:val="00247132"/>
    <w:rsid w:val="002474FA"/>
    <w:rsid w:val="00247A40"/>
    <w:rsid w:val="00250420"/>
    <w:rsid w:val="00250453"/>
    <w:rsid w:val="0025071D"/>
    <w:rsid w:val="00250CA8"/>
    <w:rsid w:val="00251EA4"/>
    <w:rsid w:val="002529FD"/>
    <w:rsid w:val="00252BB2"/>
    <w:rsid w:val="002533BB"/>
    <w:rsid w:val="00253493"/>
    <w:rsid w:val="00253E7A"/>
    <w:rsid w:val="00254D8A"/>
    <w:rsid w:val="002552F9"/>
    <w:rsid w:val="002553CE"/>
    <w:rsid w:val="00255970"/>
    <w:rsid w:val="00255AB0"/>
    <w:rsid w:val="00255C95"/>
    <w:rsid w:val="002566F2"/>
    <w:rsid w:val="00256ABE"/>
    <w:rsid w:val="00256AC6"/>
    <w:rsid w:val="00256BA9"/>
    <w:rsid w:val="00256D21"/>
    <w:rsid w:val="00256F03"/>
    <w:rsid w:val="0025764E"/>
    <w:rsid w:val="00257AFB"/>
    <w:rsid w:val="002608F2"/>
    <w:rsid w:val="00261499"/>
    <w:rsid w:val="002618DE"/>
    <w:rsid w:val="00261B32"/>
    <w:rsid w:val="00261D4E"/>
    <w:rsid w:val="00261FB7"/>
    <w:rsid w:val="0026293D"/>
    <w:rsid w:val="00262E05"/>
    <w:rsid w:val="00262F23"/>
    <w:rsid w:val="00263029"/>
    <w:rsid w:val="00263E82"/>
    <w:rsid w:val="00264951"/>
    <w:rsid w:val="002649EA"/>
    <w:rsid w:val="00264EEB"/>
    <w:rsid w:val="00265616"/>
    <w:rsid w:val="00265982"/>
    <w:rsid w:val="00265F16"/>
    <w:rsid w:val="00265FF4"/>
    <w:rsid w:val="00266AE9"/>
    <w:rsid w:val="00267CBD"/>
    <w:rsid w:val="00267FF8"/>
    <w:rsid w:val="00270154"/>
    <w:rsid w:val="00270EE8"/>
    <w:rsid w:val="002711CC"/>
    <w:rsid w:val="00271253"/>
    <w:rsid w:val="0027184F"/>
    <w:rsid w:val="00271AF0"/>
    <w:rsid w:val="00271F70"/>
    <w:rsid w:val="00272471"/>
    <w:rsid w:val="00272491"/>
    <w:rsid w:val="002728AC"/>
    <w:rsid w:val="0027314D"/>
    <w:rsid w:val="00273255"/>
    <w:rsid w:val="0027349D"/>
    <w:rsid w:val="0027366B"/>
    <w:rsid w:val="00273678"/>
    <w:rsid w:val="00273E23"/>
    <w:rsid w:val="00273F5A"/>
    <w:rsid w:val="0027408B"/>
    <w:rsid w:val="0027448A"/>
    <w:rsid w:val="00274497"/>
    <w:rsid w:val="00274848"/>
    <w:rsid w:val="00275217"/>
    <w:rsid w:val="00275CD4"/>
    <w:rsid w:val="002767DD"/>
    <w:rsid w:val="00276805"/>
    <w:rsid w:val="00276B56"/>
    <w:rsid w:val="00276BD9"/>
    <w:rsid w:val="00276D66"/>
    <w:rsid w:val="00276DFD"/>
    <w:rsid w:val="00277389"/>
    <w:rsid w:val="002804D3"/>
    <w:rsid w:val="00280F42"/>
    <w:rsid w:val="00280F46"/>
    <w:rsid w:val="002819FD"/>
    <w:rsid w:val="00282680"/>
    <w:rsid w:val="00283258"/>
    <w:rsid w:val="002832D8"/>
    <w:rsid w:val="002837CE"/>
    <w:rsid w:val="00283829"/>
    <w:rsid w:val="00283946"/>
    <w:rsid w:val="00283DA8"/>
    <w:rsid w:val="00284124"/>
    <w:rsid w:val="00284703"/>
    <w:rsid w:val="00284A09"/>
    <w:rsid w:val="00284CFF"/>
    <w:rsid w:val="0028583A"/>
    <w:rsid w:val="00285880"/>
    <w:rsid w:val="0028594F"/>
    <w:rsid w:val="002862F9"/>
    <w:rsid w:val="0028653B"/>
    <w:rsid w:val="00286C5B"/>
    <w:rsid w:val="00286C69"/>
    <w:rsid w:val="00287368"/>
    <w:rsid w:val="00287873"/>
    <w:rsid w:val="0029039B"/>
    <w:rsid w:val="00290486"/>
    <w:rsid w:val="0029081D"/>
    <w:rsid w:val="00291274"/>
    <w:rsid w:val="002916CC"/>
    <w:rsid w:val="002918F5"/>
    <w:rsid w:val="00291988"/>
    <w:rsid w:val="0029278C"/>
    <w:rsid w:val="00292E65"/>
    <w:rsid w:val="00293290"/>
    <w:rsid w:val="00293515"/>
    <w:rsid w:val="00294451"/>
    <w:rsid w:val="00294EC5"/>
    <w:rsid w:val="0029589F"/>
    <w:rsid w:val="00296089"/>
    <w:rsid w:val="0029641C"/>
    <w:rsid w:val="0029697C"/>
    <w:rsid w:val="002977F9"/>
    <w:rsid w:val="002979F1"/>
    <w:rsid w:val="002A04E8"/>
    <w:rsid w:val="002A05EB"/>
    <w:rsid w:val="002A0B0D"/>
    <w:rsid w:val="002A13E1"/>
    <w:rsid w:val="002A1ECC"/>
    <w:rsid w:val="002A23DE"/>
    <w:rsid w:val="002A26D9"/>
    <w:rsid w:val="002A2A31"/>
    <w:rsid w:val="002A2F05"/>
    <w:rsid w:val="002A3248"/>
    <w:rsid w:val="002A3320"/>
    <w:rsid w:val="002A3CD9"/>
    <w:rsid w:val="002A3FFF"/>
    <w:rsid w:val="002A526D"/>
    <w:rsid w:val="002A55D2"/>
    <w:rsid w:val="002A5E0D"/>
    <w:rsid w:val="002A67A3"/>
    <w:rsid w:val="002A688F"/>
    <w:rsid w:val="002A70A5"/>
    <w:rsid w:val="002A76CA"/>
    <w:rsid w:val="002A779B"/>
    <w:rsid w:val="002A79BF"/>
    <w:rsid w:val="002B06A7"/>
    <w:rsid w:val="002B0846"/>
    <w:rsid w:val="002B0FBA"/>
    <w:rsid w:val="002B1304"/>
    <w:rsid w:val="002B15B9"/>
    <w:rsid w:val="002B17CE"/>
    <w:rsid w:val="002B2F17"/>
    <w:rsid w:val="002B325B"/>
    <w:rsid w:val="002B3505"/>
    <w:rsid w:val="002B3B15"/>
    <w:rsid w:val="002B4394"/>
    <w:rsid w:val="002B4FF7"/>
    <w:rsid w:val="002B5756"/>
    <w:rsid w:val="002B5D29"/>
    <w:rsid w:val="002B5DB9"/>
    <w:rsid w:val="002B6127"/>
    <w:rsid w:val="002B61CF"/>
    <w:rsid w:val="002B6599"/>
    <w:rsid w:val="002B7A32"/>
    <w:rsid w:val="002C0242"/>
    <w:rsid w:val="002C07BC"/>
    <w:rsid w:val="002C0830"/>
    <w:rsid w:val="002C1D84"/>
    <w:rsid w:val="002C2213"/>
    <w:rsid w:val="002C22CF"/>
    <w:rsid w:val="002C2C4C"/>
    <w:rsid w:val="002C2FAC"/>
    <w:rsid w:val="002C3534"/>
    <w:rsid w:val="002C3BAC"/>
    <w:rsid w:val="002C4DC0"/>
    <w:rsid w:val="002C51EE"/>
    <w:rsid w:val="002C5981"/>
    <w:rsid w:val="002C5DD5"/>
    <w:rsid w:val="002C5FC5"/>
    <w:rsid w:val="002C6429"/>
    <w:rsid w:val="002C653A"/>
    <w:rsid w:val="002C6999"/>
    <w:rsid w:val="002C7E02"/>
    <w:rsid w:val="002C7F9D"/>
    <w:rsid w:val="002D0410"/>
    <w:rsid w:val="002D0439"/>
    <w:rsid w:val="002D0899"/>
    <w:rsid w:val="002D0B58"/>
    <w:rsid w:val="002D10D9"/>
    <w:rsid w:val="002D1707"/>
    <w:rsid w:val="002D17E2"/>
    <w:rsid w:val="002D2248"/>
    <w:rsid w:val="002D234B"/>
    <w:rsid w:val="002D2FF2"/>
    <w:rsid w:val="002D3449"/>
    <w:rsid w:val="002D3F5B"/>
    <w:rsid w:val="002D4400"/>
    <w:rsid w:val="002D4659"/>
    <w:rsid w:val="002D469C"/>
    <w:rsid w:val="002D4D50"/>
    <w:rsid w:val="002D4DF7"/>
    <w:rsid w:val="002D4EF5"/>
    <w:rsid w:val="002D600C"/>
    <w:rsid w:val="002D63C7"/>
    <w:rsid w:val="002D67C9"/>
    <w:rsid w:val="002E080E"/>
    <w:rsid w:val="002E0872"/>
    <w:rsid w:val="002E0EC8"/>
    <w:rsid w:val="002E1FEA"/>
    <w:rsid w:val="002E278F"/>
    <w:rsid w:val="002E2A8A"/>
    <w:rsid w:val="002E2CA6"/>
    <w:rsid w:val="002E2DFF"/>
    <w:rsid w:val="002E3139"/>
    <w:rsid w:val="002E3ADC"/>
    <w:rsid w:val="002E3B4D"/>
    <w:rsid w:val="002E4774"/>
    <w:rsid w:val="002E49E8"/>
    <w:rsid w:val="002E5C0A"/>
    <w:rsid w:val="002E60BA"/>
    <w:rsid w:val="002E6511"/>
    <w:rsid w:val="002E6B28"/>
    <w:rsid w:val="002E7F6B"/>
    <w:rsid w:val="002F0205"/>
    <w:rsid w:val="002F0522"/>
    <w:rsid w:val="002F0734"/>
    <w:rsid w:val="002F15CC"/>
    <w:rsid w:val="002F2F74"/>
    <w:rsid w:val="002F3941"/>
    <w:rsid w:val="002F3D4F"/>
    <w:rsid w:val="002F45D4"/>
    <w:rsid w:val="002F5360"/>
    <w:rsid w:val="002F5AEE"/>
    <w:rsid w:val="002F5CD5"/>
    <w:rsid w:val="002F6363"/>
    <w:rsid w:val="002F687A"/>
    <w:rsid w:val="002F6C9C"/>
    <w:rsid w:val="002F7536"/>
    <w:rsid w:val="002F7932"/>
    <w:rsid w:val="00300278"/>
    <w:rsid w:val="003004A9"/>
    <w:rsid w:val="00300A46"/>
    <w:rsid w:val="00300F85"/>
    <w:rsid w:val="003017D6"/>
    <w:rsid w:val="00301975"/>
    <w:rsid w:val="003020DC"/>
    <w:rsid w:val="00303570"/>
    <w:rsid w:val="003044D3"/>
    <w:rsid w:val="00304C8F"/>
    <w:rsid w:val="00304FD8"/>
    <w:rsid w:val="003051AB"/>
    <w:rsid w:val="0030542C"/>
    <w:rsid w:val="00305C98"/>
    <w:rsid w:val="0030620C"/>
    <w:rsid w:val="003062BC"/>
    <w:rsid w:val="0030751A"/>
    <w:rsid w:val="0030775A"/>
    <w:rsid w:val="003077A1"/>
    <w:rsid w:val="0030783E"/>
    <w:rsid w:val="003079D7"/>
    <w:rsid w:val="00310418"/>
    <w:rsid w:val="0031093E"/>
    <w:rsid w:val="00311ABD"/>
    <w:rsid w:val="003123CC"/>
    <w:rsid w:val="00312FFC"/>
    <w:rsid w:val="00313254"/>
    <w:rsid w:val="0031347F"/>
    <w:rsid w:val="00314154"/>
    <w:rsid w:val="00314562"/>
    <w:rsid w:val="003146F6"/>
    <w:rsid w:val="003150BF"/>
    <w:rsid w:val="003150CE"/>
    <w:rsid w:val="0031559F"/>
    <w:rsid w:val="00315E15"/>
    <w:rsid w:val="00315E92"/>
    <w:rsid w:val="003162FB"/>
    <w:rsid w:val="00317631"/>
    <w:rsid w:val="00317E90"/>
    <w:rsid w:val="00320534"/>
    <w:rsid w:val="00320667"/>
    <w:rsid w:val="003206BF"/>
    <w:rsid w:val="003207DD"/>
    <w:rsid w:val="00320E0E"/>
    <w:rsid w:val="00322296"/>
    <w:rsid w:val="00322649"/>
    <w:rsid w:val="00323800"/>
    <w:rsid w:val="00323B9E"/>
    <w:rsid w:val="00324288"/>
    <w:rsid w:val="00324390"/>
    <w:rsid w:val="003268BA"/>
    <w:rsid w:val="00326A55"/>
    <w:rsid w:val="00326BA2"/>
    <w:rsid w:val="00326EC3"/>
    <w:rsid w:val="003301A6"/>
    <w:rsid w:val="00330804"/>
    <w:rsid w:val="00330F82"/>
    <w:rsid w:val="0033131E"/>
    <w:rsid w:val="0033193F"/>
    <w:rsid w:val="003319AA"/>
    <w:rsid w:val="00331C90"/>
    <w:rsid w:val="00331FFE"/>
    <w:rsid w:val="00332348"/>
    <w:rsid w:val="003327A7"/>
    <w:rsid w:val="003328B4"/>
    <w:rsid w:val="00333380"/>
    <w:rsid w:val="003338B5"/>
    <w:rsid w:val="00333A47"/>
    <w:rsid w:val="00334A6B"/>
    <w:rsid w:val="00334CF2"/>
    <w:rsid w:val="00335488"/>
    <w:rsid w:val="0033602C"/>
    <w:rsid w:val="003360AA"/>
    <w:rsid w:val="0033612D"/>
    <w:rsid w:val="00336525"/>
    <w:rsid w:val="003365BD"/>
    <w:rsid w:val="003366B2"/>
    <w:rsid w:val="003369BF"/>
    <w:rsid w:val="0033717F"/>
    <w:rsid w:val="00337274"/>
    <w:rsid w:val="00337E86"/>
    <w:rsid w:val="00340066"/>
    <w:rsid w:val="00340395"/>
    <w:rsid w:val="00340B83"/>
    <w:rsid w:val="003410E0"/>
    <w:rsid w:val="003416EB"/>
    <w:rsid w:val="00341FBE"/>
    <w:rsid w:val="0034288B"/>
    <w:rsid w:val="0034332B"/>
    <w:rsid w:val="0034467E"/>
    <w:rsid w:val="00344A1C"/>
    <w:rsid w:val="003455CA"/>
    <w:rsid w:val="00345927"/>
    <w:rsid w:val="00345B81"/>
    <w:rsid w:val="00345D6A"/>
    <w:rsid w:val="00345FFD"/>
    <w:rsid w:val="00346243"/>
    <w:rsid w:val="003465F3"/>
    <w:rsid w:val="0034681C"/>
    <w:rsid w:val="0034729D"/>
    <w:rsid w:val="00347581"/>
    <w:rsid w:val="00350634"/>
    <w:rsid w:val="00350DA5"/>
    <w:rsid w:val="003518E1"/>
    <w:rsid w:val="00351ED4"/>
    <w:rsid w:val="00353190"/>
    <w:rsid w:val="003532ED"/>
    <w:rsid w:val="003539C1"/>
    <w:rsid w:val="00353BDF"/>
    <w:rsid w:val="00353D8B"/>
    <w:rsid w:val="00354057"/>
    <w:rsid w:val="00354181"/>
    <w:rsid w:val="003543FE"/>
    <w:rsid w:val="003553D4"/>
    <w:rsid w:val="00355611"/>
    <w:rsid w:val="003559B8"/>
    <w:rsid w:val="00355E74"/>
    <w:rsid w:val="00355F92"/>
    <w:rsid w:val="003600A8"/>
    <w:rsid w:val="00360243"/>
    <w:rsid w:val="0036119A"/>
    <w:rsid w:val="00361DAB"/>
    <w:rsid w:val="00361DC0"/>
    <w:rsid w:val="00362130"/>
    <w:rsid w:val="00362455"/>
    <w:rsid w:val="00363495"/>
    <w:rsid w:val="003645F0"/>
    <w:rsid w:val="0036468B"/>
    <w:rsid w:val="00364947"/>
    <w:rsid w:val="00364BC7"/>
    <w:rsid w:val="00365794"/>
    <w:rsid w:val="00365C16"/>
    <w:rsid w:val="00366204"/>
    <w:rsid w:val="00366524"/>
    <w:rsid w:val="00367050"/>
    <w:rsid w:val="003673EA"/>
    <w:rsid w:val="00367A27"/>
    <w:rsid w:val="00370055"/>
    <w:rsid w:val="00371182"/>
    <w:rsid w:val="0037221A"/>
    <w:rsid w:val="003732F8"/>
    <w:rsid w:val="003737B2"/>
    <w:rsid w:val="00373BD0"/>
    <w:rsid w:val="00373E58"/>
    <w:rsid w:val="00373EA0"/>
    <w:rsid w:val="003740B2"/>
    <w:rsid w:val="00374927"/>
    <w:rsid w:val="0037525A"/>
    <w:rsid w:val="00375B6D"/>
    <w:rsid w:val="00375E56"/>
    <w:rsid w:val="00376073"/>
    <w:rsid w:val="003762CC"/>
    <w:rsid w:val="003768E6"/>
    <w:rsid w:val="00377314"/>
    <w:rsid w:val="00377452"/>
    <w:rsid w:val="00377534"/>
    <w:rsid w:val="003775A1"/>
    <w:rsid w:val="003776BB"/>
    <w:rsid w:val="00377854"/>
    <w:rsid w:val="00377AC6"/>
    <w:rsid w:val="0038055C"/>
    <w:rsid w:val="00380637"/>
    <w:rsid w:val="00381223"/>
    <w:rsid w:val="00381849"/>
    <w:rsid w:val="003823A0"/>
    <w:rsid w:val="00382794"/>
    <w:rsid w:val="00382A1B"/>
    <w:rsid w:val="00382C74"/>
    <w:rsid w:val="003834A6"/>
    <w:rsid w:val="00383765"/>
    <w:rsid w:val="00383B01"/>
    <w:rsid w:val="00383BDA"/>
    <w:rsid w:val="00383CB9"/>
    <w:rsid w:val="00383E8E"/>
    <w:rsid w:val="00383EA3"/>
    <w:rsid w:val="00384957"/>
    <w:rsid w:val="00384B6C"/>
    <w:rsid w:val="00384B9C"/>
    <w:rsid w:val="00384E20"/>
    <w:rsid w:val="00384F36"/>
    <w:rsid w:val="00385071"/>
    <w:rsid w:val="00385271"/>
    <w:rsid w:val="003856C0"/>
    <w:rsid w:val="00386D96"/>
    <w:rsid w:val="0038765F"/>
    <w:rsid w:val="0038798A"/>
    <w:rsid w:val="003879A9"/>
    <w:rsid w:val="00387FAD"/>
    <w:rsid w:val="00390461"/>
    <w:rsid w:val="00390941"/>
    <w:rsid w:val="00390FD0"/>
    <w:rsid w:val="003917C8"/>
    <w:rsid w:val="0039226E"/>
    <w:rsid w:val="00392641"/>
    <w:rsid w:val="00392CC8"/>
    <w:rsid w:val="0039387F"/>
    <w:rsid w:val="00394ACE"/>
    <w:rsid w:val="00394EDF"/>
    <w:rsid w:val="00394F49"/>
    <w:rsid w:val="00395BE7"/>
    <w:rsid w:val="00395FC9"/>
    <w:rsid w:val="003967A8"/>
    <w:rsid w:val="00396BB0"/>
    <w:rsid w:val="003972FD"/>
    <w:rsid w:val="00397B20"/>
    <w:rsid w:val="003A07B2"/>
    <w:rsid w:val="003A0934"/>
    <w:rsid w:val="003A09BF"/>
    <w:rsid w:val="003A0A75"/>
    <w:rsid w:val="003A0D1D"/>
    <w:rsid w:val="003A16DF"/>
    <w:rsid w:val="003A1709"/>
    <w:rsid w:val="003A1B24"/>
    <w:rsid w:val="003A1CFF"/>
    <w:rsid w:val="003A1DAE"/>
    <w:rsid w:val="003A2017"/>
    <w:rsid w:val="003A2A4E"/>
    <w:rsid w:val="003A2AC9"/>
    <w:rsid w:val="003A2FE4"/>
    <w:rsid w:val="003A329C"/>
    <w:rsid w:val="003A3EEB"/>
    <w:rsid w:val="003A48CC"/>
    <w:rsid w:val="003A50A2"/>
    <w:rsid w:val="003A6A03"/>
    <w:rsid w:val="003A6E66"/>
    <w:rsid w:val="003A72EF"/>
    <w:rsid w:val="003A736C"/>
    <w:rsid w:val="003A7C6B"/>
    <w:rsid w:val="003B0D23"/>
    <w:rsid w:val="003B0D70"/>
    <w:rsid w:val="003B14DD"/>
    <w:rsid w:val="003B17DE"/>
    <w:rsid w:val="003B197E"/>
    <w:rsid w:val="003B1D92"/>
    <w:rsid w:val="003B1FFA"/>
    <w:rsid w:val="003B2446"/>
    <w:rsid w:val="003B29C8"/>
    <w:rsid w:val="003B380D"/>
    <w:rsid w:val="003B3AA8"/>
    <w:rsid w:val="003B453D"/>
    <w:rsid w:val="003B4A7E"/>
    <w:rsid w:val="003B4EED"/>
    <w:rsid w:val="003B5734"/>
    <w:rsid w:val="003B57F0"/>
    <w:rsid w:val="003B625E"/>
    <w:rsid w:val="003B6B2C"/>
    <w:rsid w:val="003B6DFE"/>
    <w:rsid w:val="003B7259"/>
    <w:rsid w:val="003B792F"/>
    <w:rsid w:val="003B7CD0"/>
    <w:rsid w:val="003B7E59"/>
    <w:rsid w:val="003C0223"/>
    <w:rsid w:val="003C11F3"/>
    <w:rsid w:val="003C1DE4"/>
    <w:rsid w:val="003C25DB"/>
    <w:rsid w:val="003C266A"/>
    <w:rsid w:val="003C312B"/>
    <w:rsid w:val="003C3742"/>
    <w:rsid w:val="003C37B6"/>
    <w:rsid w:val="003C4799"/>
    <w:rsid w:val="003C602A"/>
    <w:rsid w:val="003C6D00"/>
    <w:rsid w:val="003C70B3"/>
    <w:rsid w:val="003C7C51"/>
    <w:rsid w:val="003C7F0C"/>
    <w:rsid w:val="003D0531"/>
    <w:rsid w:val="003D0998"/>
    <w:rsid w:val="003D0A24"/>
    <w:rsid w:val="003D0B26"/>
    <w:rsid w:val="003D1759"/>
    <w:rsid w:val="003D1896"/>
    <w:rsid w:val="003D2527"/>
    <w:rsid w:val="003D34B6"/>
    <w:rsid w:val="003D39DE"/>
    <w:rsid w:val="003D3B14"/>
    <w:rsid w:val="003D3FEB"/>
    <w:rsid w:val="003D54CB"/>
    <w:rsid w:val="003D5C56"/>
    <w:rsid w:val="003D62F7"/>
    <w:rsid w:val="003D6B36"/>
    <w:rsid w:val="003D6EB3"/>
    <w:rsid w:val="003D6F3F"/>
    <w:rsid w:val="003D79E3"/>
    <w:rsid w:val="003D7AB9"/>
    <w:rsid w:val="003D7D4D"/>
    <w:rsid w:val="003E031D"/>
    <w:rsid w:val="003E0701"/>
    <w:rsid w:val="003E0A73"/>
    <w:rsid w:val="003E1035"/>
    <w:rsid w:val="003E10AA"/>
    <w:rsid w:val="003E12DB"/>
    <w:rsid w:val="003E12DC"/>
    <w:rsid w:val="003E16CC"/>
    <w:rsid w:val="003E17F2"/>
    <w:rsid w:val="003E19F7"/>
    <w:rsid w:val="003E1EB2"/>
    <w:rsid w:val="003E286E"/>
    <w:rsid w:val="003E2E7E"/>
    <w:rsid w:val="003E3511"/>
    <w:rsid w:val="003E3901"/>
    <w:rsid w:val="003E3F97"/>
    <w:rsid w:val="003E4409"/>
    <w:rsid w:val="003E492C"/>
    <w:rsid w:val="003E498C"/>
    <w:rsid w:val="003E4B2D"/>
    <w:rsid w:val="003E5C42"/>
    <w:rsid w:val="003E5E11"/>
    <w:rsid w:val="003E6009"/>
    <w:rsid w:val="003E60DC"/>
    <w:rsid w:val="003E63B2"/>
    <w:rsid w:val="003E710D"/>
    <w:rsid w:val="003E7853"/>
    <w:rsid w:val="003E7A9C"/>
    <w:rsid w:val="003F0675"/>
    <w:rsid w:val="003F0854"/>
    <w:rsid w:val="003F0D83"/>
    <w:rsid w:val="003F1398"/>
    <w:rsid w:val="003F1743"/>
    <w:rsid w:val="003F28DB"/>
    <w:rsid w:val="003F2DB7"/>
    <w:rsid w:val="003F328F"/>
    <w:rsid w:val="003F3346"/>
    <w:rsid w:val="003F34C7"/>
    <w:rsid w:val="003F4C38"/>
    <w:rsid w:val="003F4DE7"/>
    <w:rsid w:val="003F4EA5"/>
    <w:rsid w:val="003F5188"/>
    <w:rsid w:val="003F531A"/>
    <w:rsid w:val="003F53B3"/>
    <w:rsid w:val="003F582B"/>
    <w:rsid w:val="003F5C62"/>
    <w:rsid w:val="003F67CB"/>
    <w:rsid w:val="003F6B94"/>
    <w:rsid w:val="003F7C9E"/>
    <w:rsid w:val="00400767"/>
    <w:rsid w:val="00401174"/>
    <w:rsid w:val="004013B6"/>
    <w:rsid w:val="00401BFD"/>
    <w:rsid w:val="004025E8"/>
    <w:rsid w:val="00402768"/>
    <w:rsid w:val="004035C7"/>
    <w:rsid w:val="00403B05"/>
    <w:rsid w:val="00404196"/>
    <w:rsid w:val="00404298"/>
    <w:rsid w:val="004047B8"/>
    <w:rsid w:val="004049B6"/>
    <w:rsid w:val="00404C36"/>
    <w:rsid w:val="00405781"/>
    <w:rsid w:val="00405947"/>
    <w:rsid w:val="00406DE5"/>
    <w:rsid w:val="00406F38"/>
    <w:rsid w:val="00407AEE"/>
    <w:rsid w:val="004107CA"/>
    <w:rsid w:val="00410AFD"/>
    <w:rsid w:val="004111BC"/>
    <w:rsid w:val="004114CB"/>
    <w:rsid w:val="004117A8"/>
    <w:rsid w:val="00411D49"/>
    <w:rsid w:val="00411E06"/>
    <w:rsid w:val="004125F4"/>
    <w:rsid w:val="004126D4"/>
    <w:rsid w:val="00412B6D"/>
    <w:rsid w:val="00413199"/>
    <w:rsid w:val="004131F7"/>
    <w:rsid w:val="004132A5"/>
    <w:rsid w:val="0041338C"/>
    <w:rsid w:val="004137CF"/>
    <w:rsid w:val="004140F8"/>
    <w:rsid w:val="00414703"/>
    <w:rsid w:val="00414717"/>
    <w:rsid w:val="004149FA"/>
    <w:rsid w:val="00414E36"/>
    <w:rsid w:val="00414EAC"/>
    <w:rsid w:val="00414F5C"/>
    <w:rsid w:val="0041505A"/>
    <w:rsid w:val="004156BD"/>
    <w:rsid w:val="00415ABC"/>
    <w:rsid w:val="00415D2B"/>
    <w:rsid w:val="00416C0A"/>
    <w:rsid w:val="00416F0A"/>
    <w:rsid w:val="00417077"/>
    <w:rsid w:val="00417231"/>
    <w:rsid w:val="0041764B"/>
    <w:rsid w:val="00417699"/>
    <w:rsid w:val="00417AF0"/>
    <w:rsid w:val="004202C2"/>
    <w:rsid w:val="00420A4A"/>
    <w:rsid w:val="00420C6F"/>
    <w:rsid w:val="00421941"/>
    <w:rsid w:val="00421A3A"/>
    <w:rsid w:val="00421EF7"/>
    <w:rsid w:val="00421F38"/>
    <w:rsid w:val="00421F44"/>
    <w:rsid w:val="004222B0"/>
    <w:rsid w:val="004225B6"/>
    <w:rsid w:val="0042313E"/>
    <w:rsid w:val="004240EB"/>
    <w:rsid w:val="00424DE2"/>
    <w:rsid w:val="0042514B"/>
    <w:rsid w:val="0042551C"/>
    <w:rsid w:val="0042579A"/>
    <w:rsid w:val="004268EE"/>
    <w:rsid w:val="00427217"/>
    <w:rsid w:val="00430696"/>
    <w:rsid w:val="0043166B"/>
    <w:rsid w:val="00432061"/>
    <w:rsid w:val="004322BE"/>
    <w:rsid w:val="00432528"/>
    <w:rsid w:val="00432836"/>
    <w:rsid w:val="00432AAA"/>
    <w:rsid w:val="0043473C"/>
    <w:rsid w:val="00434740"/>
    <w:rsid w:val="0043498C"/>
    <w:rsid w:val="00434A44"/>
    <w:rsid w:val="00435A0F"/>
    <w:rsid w:val="00435CED"/>
    <w:rsid w:val="004361AE"/>
    <w:rsid w:val="004373D1"/>
    <w:rsid w:val="0043778D"/>
    <w:rsid w:val="00437DC8"/>
    <w:rsid w:val="00441313"/>
    <w:rsid w:val="0044138E"/>
    <w:rsid w:val="004414A5"/>
    <w:rsid w:val="00441B78"/>
    <w:rsid w:val="00442EE6"/>
    <w:rsid w:val="004432BC"/>
    <w:rsid w:val="0044399E"/>
    <w:rsid w:val="00444976"/>
    <w:rsid w:val="00444F22"/>
    <w:rsid w:val="004454C2"/>
    <w:rsid w:val="00445695"/>
    <w:rsid w:val="00445787"/>
    <w:rsid w:val="00445930"/>
    <w:rsid w:val="00445AFE"/>
    <w:rsid w:val="00445C68"/>
    <w:rsid w:val="00445F7D"/>
    <w:rsid w:val="00446250"/>
    <w:rsid w:val="00446368"/>
    <w:rsid w:val="00446415"/>
    <w:rsid w:val="00446B40"/>
    <w:rsid w:val="00447347"/>
    <w:rsid w:val="00447F33"/>
    <w:rsid w:val="00450A27"/>
    <w:rsid w:val="00450C0D"/>
    <w:rsid w:val="00451EC2"/>
    <w:rsid w:val="00455189"/>
    <w:rsid w:val="004551BA"/>
    <w:rsid w:val="004551EE"/>
    <w:rsid w:val="00455278"/>
    <w:rsid w:val="00455867"/>
    <w:rsid w:val="00455960"/>
    <w:rsid w:val="00455AA2"/>
    <w:rsid w:val="00456B11"/>
    <w:rsid w:val="00456F3A"/>
    <w:rsid w:val="00457CC9"/>
    <w:rsid w:val="0046015B"/>
    <w:rsid w:val="004601C3"/>
    <w:rsid w:val="004607C2"/>
    <w:rsid w:val="0046089F"/>
    <w:rsid w:val="00460FE3"/>
    <w:rsid w:val="0046129A"/>
    <w:rsid w:val="00461447"/>
    <w:rsid w:val="004615A9"/>
    <w:rsid w:val="004616C4"/>
    <w:rsid w:val="00462CF6"/>
    <w:rsid w:val="00462D76"/>
    <w:rsid w:val="00462FBB"/>
    <w:rsid w:val="00463357"/>
    <w:rsid w:val="00463A04"/>
    <w:rsid w:val="00463FF6"/>
    <w:rsid w:val="004643C3"/>
    <w:rsid w:val="00465255"/>
    <w:rsid w:val="00465BC5"/>
    <w:rsid w:val="0046607B"/>
    <w:rsid w:val="004660B6"/>
    <w:rsid w:val="0046654C"/>
    <w:rsid w:val="00466E8B"/>
    <w:rsid w:val="004670D9"/>
    <w:rsid w:val="0046730F"/>
    <w:rsid w:val="00467A1D"/>
    <w:rsid w:val="00470A05"/>
    <w:rsid w:val="00471679"/>
    <w:rsid w:val="00471D9A"/>
    <w:rsid w:val="004722F8"/>
    <w:rsid w:val="004727F9"/>
    <w:rsid w:val="00473718"/>
    <w:rsid w:val="0047385F"/>
    <w:rsid w:val="00473869"/>
    <w:rsid w:val="0047400B"/>
    <w:rsid w:val="0047410E"/>
    <w:rsid w:val="00474228"/>
    <w:rsid w:val="00474982"/>
    <w:rsid w:val="00475298"/>
    <w:rsid w:val="00475A11"/>
    <w:rsid w:val="00475A6B"/>
    <w:rsid w:val="00475A8D"/>
    <w:rsid w:val="00475FBE"/>
    <w:rsid w:val="00476115"/>
    <w:rsid w:val="0047735C"/>
    <w:rsid w:val="00477A9E"/>
    <w:rsid w:val="0048054A"/>
    <w:rsid w:val="004818E8"/>
    <w:rsid w:val="0048291F"/>
    <w:rsid w:val="00482EC5"/>
    <w:rsid w:val="00482F67"/>
    <w:rsid w:val="00483006"/>
    <w:rsid w:val="00483BBE"/>
    <w:rsid w:val="00483CC1"/>
    <w:rsid w:val="00484915"/>
    <w:rsid w:val="004852FE"/>
    <w:rsid w:val="004857BA"/>
    <w:rsid w:val="00485961"/>
    <w:rsid w:val="00486259"/>
    <w:rsid w:val="00486373"/>
    <w:rsid w:val="004868A7"/>
    <w:rsid w:val="00486931"/>
    <w:rsid w:val="00487036"/>
    <w:rsid w:val="00487387"/>
    <w:rsid w:val="00487FC4"/>
    <w:rsid w:val="00490040"/>
    <w:rsid w:val="00490451"/>
    <w:rsid w:val="0049167E"/>
    <w:rsid w:val="004919FD"/>
    <w:rsid w:val="00492284"/>
    <w:rsid w:val="004925F5"/>
    <w:rsid w:val="00492931"/>
    <w:rsid w:val="004933C1"/>
    <w:rsid w:val="00493540"/>
    <w:rsid w:val="004939E4"/>
    <w:rsid w:val="00494B8B"/>
    <w:rsid w:val="00495B20"/>
    <w:rsid w:val="00495CB1"/>
    <w:rsid w:val="00496724"/>
    <w:rsid w:val="004970AC"/>
    <w:rsid w:val="00497259"/>
    <w:rsid w:val="004972D1"/>
    <w:rsid w:val="004972D4"/>
    <w:rsid w:val="004A115E"/>
    <w:rsid w:val="004A132C"/>
    <w:rsid w:val="004A28D6"/>
    <w:rsid w:val="004A290E"/>
    <w:rsid w:val="004A2A34"/>
    <w:rsid w:val="004A3014"/>
    <w:rsid w:val="004A3256"/>
    <w:rsid w:val="004A328D"/>
    <w:rsid w:val="004A38A0"/>
    <w:rsid w:val="004A3F82"/>
    <w:rsid w:val="004A41FB"/>
    <w:rsid w:val="004A4671"/>
    <w:rsid w:val="004A51D3"/>
    <w:rsid w:val="004A5757"/>
    <w:rsid w:val="004A61A9"/>
    <w:rsid w:val="004A75B9"/>
    <w:rsid w:val="004A789C"/>
    <w:rsid w:val="004A791C"/>
    <w:rsid w:val="004B0320"/>
    <w:rsid w:val="004B0506"/>
    <w:rsid w:val="004B0A32"/>
    <w:rsid w:val="004B1A9C"/>
    <w:rsid w:val="004B1CE1"/>
    <w:rsid w:val="004B26D9"/>
    <w:rsid w:val="004B2C5E"/>
    <w:rsid w:val="004B4240"/>
    <w:rsid w:val="004B440E"/>
    <w:rsid w:val="004B47BE"/>
    <w:rsid w:val="004B47E6"/>
    <w:rsid w:val="004B4A1C"/>
    <w:rsid w:val="004B5A2B"/>
    <w:rsid w:val="004B68F4"/>
    <w:rsid w:val="004B6919"/>
    <w:rsid w:val="004B6F3D"/>
    <w:rsid w:val="004B7134"/>
    <w:rsid w:val="004B74A0"/>
    <w:rsid w:val="004B774B"/>
    <w:rsid w:val="004C020E"/>
    <w:rsid w:val="004C265D"/>
    <w:rsid w:val="004C2692"/>
    <w:rsid w:val="004C3380"/>
    <w:rsid w:val="004C3683"/>
    <w:rsid w:val="004C3A1F"/>
    <w:rsid w:val="004C450D"/>
    <w:rsid w:val="004C4629"/>
    <w:rsid w:val="004C4B71"/>
    <w:rsid w:val="004C57C5"/>
    <w:rsid w:val="004C58C8"/>
    <w:rsid w:val="004C5D7D"/>
    <w:rsid w:val="004C60F7"/>
    <w:rsid w:val="004C63F0"/>
    <w:rsid w:val="004C6D3F"/>
    <w:rsid w:val="004C7CDA"/>
    <w:rsid w:val="004C7DEA"/>
    <w:rsid w:val="004D087E"/>
    <w:rsid w:val="004D09A6"/>
    <w:rsid w:val="004D0EBB"/>
    <w:rsid w:val="004D1531"/>
    <w:rsid w:val="004D158B"/>
    <w:rsid w:val="004D18E2"/>
    <w:rsid w:val="004D19DB"/>
    <w:rsid w:val="004D1E88"/>
    <w:rsid w:val="004D2947"/>
    <w:rsid w:val="004D2E83"/>
    <w:rsid w:val="004D3CD7"/>
    <w:rsid w:val="004D3E32"/>
    <w:rsid w:val="004D4117"/>
    <w:rsid w:val="004D42E4"/>
    <w:rsid w:val="004D4599"/>
    <w:rsid w:val="004D460C"/>
    <w:rsid w:val="004D4B6A"/>
    <w:rsid w:val="004D58DE"/>
    <w:rsid w:val="004D5D11"/>
    <w:rsid w:val="004D5D58"/>
    <w:rsid w:val="004D63E2"/>
    <w:rsid w:val="004D6576"/>
    <w:rsid w:val="004D6F2C"/>
    <w:rsid w:val="004D7095"/>
    <w:rsid w:val="004E0A03"/>
    <w:rsid w:val="004E147F"/>
    <w:rsid w:val="004E18EA"/>
    <w:rsid w:val="004E1BFC"/>
    <w:rsid w:val="004E1E8F"/>
    <w:rsid w:val="004E20F6"/>
    <w:rsid w:val="004E2580"/>
    <w:rsid w:val="004E3573"/>
    <w:rsid w:val="004E3F30"/>
    <w:rsid w:val="004E418B"/>
    <w:rsid w:val="004E421E"/>
    <w:rsid w:val="004E4455"/>
    <w:rsid w:val="004E46F8"/>
    <w:rsid w:val="004E50C8"/>
    <w:rsid w:val="004E5515"/>
    <w:rsid w:val="004E57E8"/>
    <w:rsid w:val="004E653E"/>
    <w:rsid w:val="004E65F5"/>
    <w:rsid w:val="004E6754"/>
    <w:rsid w:val="004E6A31"/>
    <w:rsid w:val="004E75A7"/>
    <w:rsid w:val="004E773F"/>
    <w:rsid w:val="004E781F"/>
    <w:rsid w:val="004E7FE8"/>
    <w:rsid w:val="004F0020"/>
    <w:rsid w:val="004F0122"/>
    <w:rsid w:val="004F1DCD"/>
    <w:rsid w:val="004F2AE9"/>
    <w:rsid w:val="004F2D77"/>
    <w:rsid w:val="004F30FA"/>
    <w:rsid w:val="004F369A"/>
    <w:rsid w:val="004F36F8"/>
    <w:rsid w:val="004F3E28"/>
    <w:rsid w:val="004F4BEC"/>
    <w:rsid w:val="004F5929"/>
    <w:rsid w:val="004F621F"/>
    <w:rsid w:val="004F7483"/>
    <w:rsid w:val="004F7A31"/>
    <w:rsid w:val="005002BE"/>
    <w:rsid w:val="0050081E"/>
    <w:rsid w:val="005008BA"/>
    <w:rsid w:val="00500EB7"/>
    <w:rsid w:val="005016A3"/>
    <w:rsid w:val="0050188C"/>
    <w:rsid w:val="00502B4A"/>
    <w:rsid w:val="00502DF3"/>
    <w:rsid w:val="00502EAE"/>
    <w:rsid w:val="00503232"/>
    <w:rsid w:val="00503A1B"/>
    <w:rsid w:val="0050419A"/>
    <w:rsid w:val="00504489"/>
    <w:rsid w:val="005047B8"/>
    <w:rsid w:val="005048AC"/>
    <w:rsid w:val="0050500F"/>
    <w:rsid w:val="00505279"/>
    <w:rsid w:val="00505B74"/>
    <w:rsid w:val="005063E1"/>
    <w:rsid w:val="00506C7C"/>
    <w:rsid w:val="005071E8"/>
    <w:rsid w:val="0050795A"/>
    <w:rsid w:val="00507CC5"/>
    <w:rsid w:val="005109CF"/>
    <w:rsid w:val="005113CF"/>
    <w:rsid w:val="00511CFE"/>
    <w:rsid w:val="00512181"/>
    <w:rsid w:val="0051337F"/>
    <w:rsid w:val="00513442"/>
    <w:rsid w:val="005140F4"/>
    <w:rsid w:val="005145B2"/>
    <w:rsid w:val="00514EC2"/>
    <w:rsid w:val="00515117"/>
    <w:rsid w:val="00515673"/>
    <w:rsid w:val="00515823"/>
    <w:rsid w:val="005163B8"/>
    <w:rsid w:val="00516BBB"/>
    <w:rsid w:val="00516C1F"/>
    <w:rsid w:val="0051723B"/>
    <w:rsid w:val="005172C3"/>
    <w:rsid w:val="0051782B"/>
    <w:rsid w:val="005179E6"/>
    <w:rsid w:val="00517D26"/>
    <w:rsid w:val="005208D9"/>
    <w:rsid w:val="00520A04"/>
    <w:rsid w:val="00520B66"/>
    <w:rsid w:val="005210EF"/>
    <w:rsid w:val="005215E9"/>
    <w:rsid w:val="005223E4"/>
    <w:rsid w:val="00522C04"/>
    <w:rsid w:val="00522CD0"/>
    <w:rsid w:val="00522F2B"/>
    <w:rsid w:val="00522F7F"/>
    <w:rsid w:val="0052306C"/>
    <w:rsid w:val="00523659"/>
    <w:rsid w:val="00523D2E"/>
    <w:rsid w:val="00523D4D"/>
    <w:rsid w:val="00523E83"/>
    <w:rsid w:val="005244BB"/>
    <w:rsid w:val="005248BB"/>
    <w:rsid w:val="00525F44"/>
    <w:rsid w:val="00526269"/>
    <w:rsid w:val="005278D3"/>
    <w:rsid w:val="0052792E"/>
    <w:rsid w:val="00527AA1"/>
    <w:rsid w:val="00527B79"/>
    <w:rsid w:val="00527B8A"/>
    <w:rsid w:val="00530195"/>
    <w:rsid w:val="005304AC"/>
    <w:rsid w:val="005308A5"/>
    <w:rsid w:val="005312DA"/>
    <w:rsid w:val="005314E9"/>
    <w:rsid w:val="00531723"/>
    <w:rsid w:val="00531D45"/>
    <w:rsid w:val="00531DFD"/>
    <w:rsid w:val="00532356"/>
    <w:rsid w:val="0053275E"/>
    <w:rsid w:val="00532BD5"/>
    <w:rsid w:val="00532EA7"/>
    <w:rsid w:val="0053324F"/>
    <w:rsid w:val="005351D9"/>
    <w:rsid w:val="005352AA"/>
    <w:rsid w:val="00535563"/>
    <w:rsid w:val="0053565D"/>
    <w:rsid w:val="00535E3D"/>
    <w:rsid w:val="005362DF"/>
    <w:rsid w:val="0053755C"/>
    <w:rsid w:val="00537669"/>
    <w:rsid w:val="00537888"/>
    <w:rsid w:val="00537A39"/>
    <w:rsid w:val="00537B9A"/>
    <w:rsid w:val="00537BDF"/>
    <w:rsid w:val="0054086B"/>
    <w:rsid w:val="00540C89"/>
    <w:rsid w:val="00541C08"/>
    <w:rsid w:val="00541EF9"/>
    <w:rsid w:val="0054241F"/>
    <w:rsid w:val="005424FE"/>
    <w:rsid w:val="005431CF"/>
    <w:rsid w:val="0054390A"/>
    <w:rsid w:val="00543D0A"/>
    <w:rsid w:val="005440CA"/>
    <w:rsid w:val="00544E0C"/>
    <w:rsid w:val="005454F3"/>
    <w:rsid w:val="005455E5"/>
    <w:rsid w:val="005458E6"/>
    <w:rsid w:val="005459DF"/>
    <w:rsid w:val="005461BE"/>
    <w:rsid w:val="0054681B"/>
    <w:rsid w:val="0054691B"/>
    <w:rsid w:val="00546BCB"/>
    <w:rsid w:val="00546DD1"/>
    <w:rsid w:val="00546EB2"/>
    <w:rsid w:val="00547104"/>
    <w:rsid w:val="00547373"/>
    <w:rsid w:val="00547707"/>
    <w:rsid w:val="0054779A"/>
    <w:rsid w:val="00547BA1"/>
    <w:rsid w:val="00547F17"/>
    <w:rsid w:val="005501A9"/>
    <w:rsid w:val="005502A5"/>
    <w:rsid w:val="00550A1C"/>
    <w:rsid w:val="00550E50"/>
    <w:rsid w:val="00551072"/>
    <w:rsid w:val="00551933"/>
    <w:rsid w:val="00551C90"/>
    <w:rsid w:val="00552356"/>
    <w:rsid w:val="005523E4"/>
    <w:rsid w:val="005524E0"/>
    <w:rsid w:val="00552C9E"/>
    <w:rsid w:val="00553F17"/>
    <w:rsid w:val="005544D7"/>
    <w:rsid w:val="00555123"/>
    <w:rsid w:val="00555C8D"/>
    <w:rsid w:val="00556101"/>
    <w:rsid w:val="0055675A"/>
    <w:rsid w:val="00556B26"/>
    <w:rsid w:val="00556D30"/>
    <w:rsid w:val="00557296"/>
    <w:rsid w:val="00557753"/>
    <w:rsid w:val="00557A01"/>
    <w:rsid w:val="00557CB1"/>
    <w:rsid w:val="0056047F"/>
    <w:rsid w:val="00560732"/>
    <w:rsid w:val="0056091E"/>
    <w:rsid w:val="00561371"/>
    <w:rsid w:val="0056172D"/>
    <w:rsid w:val="00561A4B"/>
    <w:rsid w:val="0056227B"/>
    <w:rsid w:val="0056248E"/>
    <w:rsid w:val="00562D39"/>
    <w:rsid w:val="00563007"/>
    <w:rsid w:val="005635F3"/>
    <w:rsid w:val="005636C3"/>
    <w:rsid w:val="00563ECC"/>
    <w:rsid w:val="00563F7C"/>
    <w:rsid w:val="0056411C"/>
    <w:rsid w:val="00564DCC"/>
    <w:rsid w:val="00565AF1"/>
    <w:rsid w:val="00565B4C"/>
    <w:rsid w:val="005663FF"/>
    <w:rsid w:val="00566CFB"/>
    <w:rsid w:val="00566D2D"/>
    <w:rsid w:val="005672EA"/>
    <w:rsid w:val="005675C1"/>
    <w:rsid w:val="00567627"/>
    <w:rsid w:val="005677E5"/>
    <w:rsid w:val="00567C50"/>
    <w:rsid w:val="0057016B"/>
    <w:rsid w:val="005701F0"/>
    <w:rsid w:val="00570D24"/>
    <w:rsid w:val="005710C7"/>
    <w:rsid w:val="00571947"/>
    <w:rsid w:val="00571D8E"/>
    <w:rsid w:val="00571F29"/>
    <w:rsid w:val="00572D0F"/>
    <w:rsid w:val="00573EE9"/>
    <w:rsid w:val="0057424A"/>
    <w:rsid w:val="005744E0"/>
    <w:rsid w:val="00574C1A"/>
    <w:rsid w:val="00574DD5"/>
    <w:rsid w:val="00574E33"/>
    <w:rsid w:val="00575423"/>
    <w:rsid w:val="00575525"/>
    <w:rsid w:val="00575628"/>
    <w:rsid w:val="00575A2F"/>
    <w:rsid w:val="00575D71"/>
    <w:rsid w:val="00575EFE"/>
    <w:rsid w:val="0058047B"/>
    <w:rsid w:val="00580EEB"/>
    <w:rsid w:val="00580FCF"/>
    <w:rsid w:val="00581346"/>
    <w:rsid w:val="0058247D"/>
    <w:rsid w:val="00582AF0"/>
    <w:rsid w:val="00582F9D"/>
    <w:rsid w:val="0058308C"/>
    <w:rsid w:val="00583522"/>
    <w:rsid w:val="00583673"/>
    <w:rsid w:val="00583D08"/>
    <w:rsid w:val="00584490"/>
    <w:rsid w:val="00584540"/>
    <w:rsid w:val="0058553B"/>
    <w:rsid w:val="00585A7A"/>
    <w:rsid w:val="00586409"/>
    <w:rsid w:val="00586A13"/>
    <w:rsid w:val="00586C2A"/>
    <w:rsid w:val="00587852"/>
    <w:rsid w:val="00587B51"/>
    <w:rsid w:val="00587BE7"/>
    <w:rsid w:val="00587CBC"/>
    <w:rsid w:val="00590A2B"/>
    <w:rsid w:val="005910E3"/>
    <w:rsid w:val="00592C63"/>
    <w:rsid w:val="005934A6"/>
    <w:rsid w:val="00593551"/>
    <w:rsid w:val="00593791"/>
    <w:rsid w:val="00594A60"/>
    <w:rsid w:val="00594DD2"/>
    <w:rsid w:val="00595016"/>
    <w:rsid w:val="00595985"/>
    <w:rsid w:val="005959DF"/>
    <w:rsid w:val="00595B7A"/>
    <w:rsid w:val="00595DF1"/>
    <w:rsid w:val="00596288"/>
    <w:rsid w:val="00596524"/>
    <w:rsid w:val="00597AD1"/>
    <w:rsid w:val="00597D04"/>
    <w:rsid w:val="00597D35"/>
    <w:rsid w:val="005A0D1A"/>
    <w:rsid w:val="005A0F81"/>
    <w:rsid w:val="005A1024"/>
    <w:rsid w:val="005A102A"/>
    <w:rsid w:val="005A17A3"/>
    <w:rsid w:val="005A18AA"/>
    <w:rsid w:val="005A19C4"/>
    <w:rsid w:val="005A1DAE"/>
    <w:rsid w:val="005A2331"/>
    <w:rsid w:val="005A2E77"/>
    <w:rsid w:val="005A2EF8"/>
    <w:rsid w:val="005A4A36"/>
    <w:rsid w:val="005A5816"/>
    <w:rsid w:val="005A59E9"/>
    <w:rsid w:val="005A682B"/>
    <w:rsid w:val="005A6A08"/>
    <w:rsid w:val="005A6D6D"/>
    <w:rsid w:val="005A6DBE"/>
    <w:rsid w:val="005A7264"/>
    <w:rsid w:val="005A75FB"/>
    <w:rsid w:val="005A777C"/>
    <w:rsid w:val="005B01CF"/>
    <w:rsid w:val="005B061A"/>
    <w:rsid w:val="005B0774"/>
    <w:rsid w:val="005B0985"/>
    <w:rsid w:val="005B1601"/>
    <w:rsid w:val="005B18E2"/>
    <w:rsid w:val="005B1B85"/>
    <w:rsid w:val="005B29AB"/>
    <w:rsid w:val="005B2FC0"/>
    <w:rsid w:val="005B31EA"/>
    <w:rsid w:val="005B3AA2"/>
    <w:rsid w:val="005B4CFC"/>
    <w:rsid w:val="005B58B0"/>
    <w:rsid w:val="005B5ADB"/>
    <w:rsid w:val="005B62C4"/>
    <w:rsid w:val="005B62E5"/>
    <w:rsid w:val="005B644F"/>
    <w:rsid w:val="005B6470"/>
    <w:rsid w:val="005B7FB0"/>
    <w:rsid w:val="005C0298"/>
    <w:rsid w:val="005C0769"/>
    <w:rsid w:val="005C1986"/>
    <w:rsid w:val="005C2345"/>
    <w:rsid w:val="005C3144"/>
    <w:rsid w:val="005C327A"/>
    <w:rsid w:val="005C360A"/>
    <w:rsid w:val="005C4189"/>
    <w:rsid w:val="005C4894"/>
    <w:rsid w:val="005C4EB5"/>
    <w:rsid w:val="005C5B1D"/>
    <w:rsid w:val="005C5DD9"/>
    <w:rsid w:val="005C6939"/>
    <w:rsid w:val="005C6B71"/>
    <w:rsid w:val="005C6DAD"/>
    <w:rsid w:val="005C77BE"/>
    <w:rsid w:val="005C7A28"/>
    <w:rsid w:val="005C7BBC"/>
    <w:rsid w:val="005D0DF3"/>
    <w:rsid w:val="005D1059"/>
    <w:rsid w:val="005D1474"/>
    <w:rsid w:val="005D1728"/>
    <w:rsid w:val="005D1BBD"/>
    <w:rsid w:val="005D221C"/>
    <w:rsid w:val="005D2A43"/>
    <w:rsid w:val="005D326E"/>
    <w:rsid w:val="005D5EB0"/>
    <w:rsid w:val="005D6449"/>
    <w:rsid w:val="005D648B"/>
    <w:rsid w:val="005D6812"/>
    <w:rsid w:val="005D6EA0"/>
    <w:rsid w:val="005D7398"/>
    <w:rsid w:val="005D78E2"/>
    <w:rsid w:val="005E0041"/>
    <w:rsid w:val="005E00F8"/>
    <w:rsid w:val="005E0B13"/>
    <w:rsid w:val="005E0BF7"/>
    <w:rsid w:val="005E0C32"/>
    <w:rsid w:val="005E0D63"/>
    <w:rsid w:val="005E1BE5"/>
    <w:rsid w:val="005E1D98"/>
    <w:rsid w:val="005E1D9E"/>
    <w:rsid w:val="005E369C"/>
    <w:rsid w:val="005E3BF3"/>
    <w:rsid w:val="005E43E4"/>
    <w:rsid w:val="005E53F7"/>
    <w:rsid w:val="005E554A"/>
    <w:rsid w:val="005E5FDD"/>
    <w:rsid w:val="005E734A"/>
    <w:rsid w:val="005E77BA"/>
    <w:rsid w:val="005E7863"/>
    <w:rsid w:val="005E7B36"/>
    <w:rsid w:val="005E7C99"/>
    <w:rsid w:val="005E7CAD"/>
    <w:rsid w:val="005E7F10"/>
    <w:rsid w:val="005F02E6"/>
    <w:rsid w:val="005F0889"/>
    <w:rsid w:val="005F10F1"/>
    <w:rsid w:val="005F152F"/>
    <w:rsid w:val="005F1911"/>
    <w:rsid w:val="005F22AD"/>
    <w:rsid w:val="005F2CBA"/>
    <w:rsid w:val="005F3016"/>
    <w:rsid w:val="005F30E4"/>
    <w:rsid w:val="005F3216"/>
    <w:rsid w:val="005F32BE"/>
    <w:rsid w:val="005F35FB"/>
    <w:rsid w:val="005F36D3"/>
    <w:rsid w:val="005F3790"/>
    <w:rsid w:val="005F38ED"/>
    <w:rsid w:val="005F39BF"/>
    <w:rsid w:val="005F3B6B"/>
    <w:rsid w:val="005F404F"/>
    <w:rsid w:val="005F4729"/>
    <w:rsid w:val="005F4B23"/>
    <w:rsid w:val="005F4CB2"/>
    <w:rsid w:val="005F4DFE"/>
    <w:rsid w:val="005F4EF9"/>
    <w:rsid w:val="005F5379"/>
    <w:rsid w:val="005F543B"/>
    <w:rsid w:val="005F56D5"/>
    <w:rsid w:val="005F5A06"/>
    <w:rsid w:val="005F5B61"/>
    <w:rsid w:val="005F5F46"/>
    <w:rsid w:val="005F6775"/>
    <w:rsid w:val="005F7263"/>
    <w:rsid w:val="005F72A6"/>
    <w:rsid w:val="005F7321"/>
    <w:rsid w:val="005F761E"/>
    <w:rsid w:val="005F77E8"/>
    <w:rsid w:val="006005DF"/>
    <w:rsid w:val="0060077B"/>
    <w:rsid w:val="00600F3F"/>
    <w:rsid w:val="006015AE"/>
    <w:rsid w:val="006017B1"/>
    <w:rsid w:val="00601CA7"/>
    <w:rsid w:val="00602DAB"/>
    <w:rsid w:val="006041B7"/>
    <w:rsid w:val="006050BC"/>
    <w:rsid w:val="006059F4"/>
    <w:rsid w:val="00605D37"/>
    <w:rsid w:val="0060685F"/>
    <w:rsid w:val="00606A00"/>
    <w:rsid w:val="00606EC5"/>
    <w:rsid w:val="00607050"/>
    <w:rsid w:val="00607066"/>
    <w:rsid w:val="00607197"/>
    <w:rsid w:val="00607A16"/>
    <w:rsid w:val="006101D4"/>
    <w:rsid w:val="006101FA"/>
    <w:rsid w:val="0061022E"/>
    <w:rsid w:val="006109CB"/>
    <w:rsid w:val="006109F8"/>
    <w:rsid w:val="00610DB5"/>
    <w:rsid w:val="006132A0"/>
    <w:rsid w:val="00613411"/>
    <w:rsid w:val="0061355C"/>
    <w:rsid w:val="00613E27"/>
    <w:rsid w:val="00613F01"/>
    <w:rsid w:val="006147EA"/>
    <w:rsid w:val="00614F32"/>
    <w:rsid w:val="006152A3"/>
    <w:rsid w:val="006154DC"/>
    <w:rsid w:val="00615C55"/>
    <w:rsid w:val="0061773D"/>
    <w:rsid w:val="00620749"/>
    <w:rsid w:val="00621277"/>
    <w:rsid w:val="006213D5"/>
    <w:rsid w:val="00621A05"/>
    <w:rsid w:val="0062269C"/>
    <w:rsid w:val="00623075"/>
    <w:rsid w:val="006233D4"/>
    <w:rsid w:val="0062341B"/>
    <w:rsid w:val="00623910"/>
    <w:rsid w:val="00624108"/>
    <w:rsid w:val="006249C5"/>
    <w:rsid w:val="00624A27"/>
    <w:rsid w:val="00624A71"/>
    <w:rsid w:val="00624D74"/>
    <w:rsid w:val="00624E0D"/>
    <w:rsid w:val="00625EE2"/>
    <w:rsid w:val="00626070"/>
    <w:rsid w:val="0062716D"/>
    <w:rsid w:val="00627AF2"/>
    <w:rsid w:val="00627BB6"/>
    <w:rsid w:val="00630F8A"/>
    <w:rsid w:val="00631378"/>
    <w:rsid w:val="00631434"/>
    <w:rsid w:val="0063241F"/>
    <w:rsid w:val="006325F8"/>
    <w:rsid w:val="00632862"/>
    <w:rsid w:val="00632C94"/>
    <w:rsid w:val="00632F94"/>
    <w:rsid w:val="0063302A"/>
    <w:rsid w:val="006339BA"/>
    <w:rsid w:val="00634DC6"/>
    <w:rsid w:val="006353B9"/>
    <w:rsid w:val="0063632F"/>
    <w:rsid w:val="0064193C"/>
    <w:rsid w:val="00641F7F"/>
    <w:rsid w:val="006431E9"/>
    <w:rsid w:val="00643868"/>
    <w:rsid w:val="00643AB0"/>
    <w:rsid w:val="006440A9"/>
    <w:rsid w:val="0064566D"/>
    <w:rsid w:val="00645F8E"/>
    <w:rsid w:val="006463EF"/>
    <w:rsid w:val="006464E2"/>
    <w:rsid w:val="00646D60"/>
    <w:rsid w:val="00650040"/>
    <w:rsid w:val="006501E9"/>
    <w:rsid w:val="00650C56"/>
    <w:rsid w:val="00652068"/>
    <w:rsid w:val="006520E8"/>
    <w:rsid w:val="00652858"/>
    <w:rsid w:val="006528CA"/>
    <w:rsid w:val="00652E0E"/>
    <w:rsid w:val="006535F0"/>
    <w:rsid w:val="0065424B"/>
    <w:rsid w:val="006548A3"/>
    <w:rsid w:val="00654E50"/>
    <w:rsid w:val="00655754"/>
    <w:rsid w:val="006558DC"/>
    <w:rsid w:val="006564A2"/>
    <w:rsid w:val="00656B27"/>
    <w:rsid w:val="0065717F"/>
    <w:rsid w:val="00657689"/>
    <w:rsid w:val="00657822"/>
    <w:rsid w:val="00657F8B"/>
    <w:rsid w:val="00660401"/>
    <w:rsid w:val="006618FC"/>
    <w:rsid w:val="00661BCF"/>
    <w:rsid w:val="006621D4"/>
    <w:rsid w:val="00662333"/>
    <w:rsid w:val="00662628"/>
    <w:rsid w:val="00663527"/>
    <w:rsid w:val="00663760"/>
    <w:rsid w:val="00663C4C"/>
    <w:rsid w:val="00663D00"/>
    <w:rsid w:val="00663E86"/>
    <w:rsid w:val="006642B9"/>
    <w:rsid w:val="006649CD"/>
    <w:rsid w:val="00664A76"/>
    <w:rsid w:val="00665A8D"/>
    <w:rsid w:val="0066655D"/>
    <w:rsid w:val="00666A88"/>
    <w:rsid w:val="00666B43"/>
    <w:rsid w:val="00666E69"/>
    <w:rsid w:val="00667284"/>
    <w:rsid w:val="00667450"/>
    <w:rsid w:val="0067006E"/>
    <w:rsid w:val="0067073E"/>
    <w:rsid w:val="00671022"/>
    <w:rsid w:val="006712B9"/>
    <w:rsid w:val="00671712"/>
    <w:rsid w:val="00671B7E"/>
    <w:rsid w:val="006720D7"/>
    <w:rsid w:val="0067210B"/>
    <w:rsid w:val="00672D3B"/>
    <w:rsid w:val="00674635"/>
    <w:rsid w:val="0067557C"/>
    <w:rsid w:val="00675E9A"/>
    <w:rsid w:val="006767BC"/>
    <w:rsid w:val="00676B8B"/>
    <w:rsid w:val="00677025"/>
    <w:rsid w:val="0067719F"/>
    <w:rsid w:val="006774DB"/>
    <w:rsid w:val="00677C39"/>
    <w:rsid w:val="00677D41"/>
    <w:rsid w:val="00677E2C"/>
    <w:rsid w:val="00680D77"/>
    <w:rsid w:val="0068170F"/>
    <w:rsid w:val="00681881"/>
    <w:rsid w:val="006819D7"/>
    <w:rsid w:val="00681D75"/>
    <w:rsid w:val="00682187"/>
    <w:rsid w:val="0068242E"/>
    <w:rsid w:val="00683694"/>
    <w:rsid w:val="00683BAE"/>
    <w:rsid w:val="00683CAE"/>
    <w:rsid w:val="00684BAF"/>
    <w:rsid w:val="00685190"/>
    <w:rsid w:val="0068531D"/>
    <w:rsid w:val="006856C8"/>
    <w:rsid w:val="00685CBD"/>
    <w:rsid w:val="00686266"/>
    <w:rsid w:val="0068637B"/>
    <w:rsid w:val="006866D5"/>
    <w:rsid w:val="00686C48"/>
    <w:rsid w:val="00687E23"/>
    <w:rsid w:val="006906EC"/>
    <w:rsid w:val="00691468"/>
    <w:rsid w:val="00691752"/>
    <w:rsid w:val="006918E2"/>
    <w:rsid w:val="0069199A"/>
    <w:rsid w:val="00692A3A"/>
    <w:rsid w:val="0069359D"/>
    <w:rsid w:val="0069453D"/>
    <w:rsid w:val="00694617"/>
    <w:rsid w:val="00694D62"/>
    <w:rsid w:val="00695ED8"/>
    <w:rsid w:val="00696EBB"/>
    <w:rsid w:val="006A0282"/>
    <w:rsid w:val="006A05EF"/>
    <w:rsid w:val="006A1797"/>
    <w:rsid w:val="006A192B"/>
    <w:rsid w:val="006A1994"/>
    <w:rsid w:val="006A1BC9"/>
    <w:rsid w:val="006A1DD3"/>
    <w:rsid w:val="006A1F10"/>
    <w:rsid w:val="006A3597"/>
    <w:rsid w:val="006A4B06"/>
    <w:rsid w:val="006A4B0C"/>
    <w:rsid w:val="006A4D4E"/>
    <w:rsid w:val="006A50A3"/>
    <w:rsid w:val="006A531E"/>
    <w:rsid w:val="006A6300"/>
    <w:rsid w:val="006A6FAD"/>
    <w:rsid w:val="006A7FC6"/>
    <w:rsid w:val="006B075F"/>
    <w:rsid w:val="006B0B8F"/>
    <w:rsid w:val="006B0D9A"/>
    <w:rsid w:val="006B0E3F"/>
    <w:rsid w:val="006B2BE8"/>
    <w:rsid w:val="006B3167"/>
    <w:rsid w:val="006B31DF"/>
    <w:rsid w:val="006B342D"/>
    <w:rsid w:val="006B3EE1"/>
    <w:rsid w:val="006B46D2"/>
    <w:rsid w:val="006B4782"/>
    <w:rsid w:val="006B57DA"/>
    <w:rsid w:val="006B60F8"/>
    <w:rsid w:val="006B630A"/>
    <w:rsid w:val="006B6650"/>
    <w:rsid w:val="006B7785"/>
    <w:rsid w:val="006C001D"/>
    <w:rsid w:val="006C0BCE"/>
    <w:rsid w:val="006C1577"/>
    <w:rsid w:val="006C2ED2"/>
    <w:rsid w:val="006C3C85"/>
    <w:rsid w:val="006C5689"/>
    <w:rsid w:val="006C5703"/>
    <w:rsid w:val="006C5ACD"/>
    <w:rsid w:val="006C6192"/>
    <w:rsid w:val="006C6300"/>
    <w:rsid w:val="006C6AC3"/>
    <w:rsid w:val="006D099E"/>
    <w:rsid w:val="006D0DFB"/>
    <w:rsid w:val="006D1544"/>
    <w:rsid w:val="006D1D0B"/>
    <w:rsid w:val="006D3333"/>
    <w:rsid w:val="006D3358"/>
    <w:rsid w:val="006D36B7"/>
    <w:rsid w:val="006D3A49"/>
    <w:rsid w:val="006D3D4F"/>
    <w:rsid w:val="006D4CF9"/>
    <w:rsid w:val="006D4EAD"/>
    <w:rsid w:val="006D58FD"/>
    <w:rsid w:val="006D5C5B"/>
    <w:rsid w:val="006D5DCB"/>
    <w:rsid w:val="006D5EF7"/>
    <w:rsid w:val="006D615B"/>
    <w:rsid w:val="006E0470"/>
    <w:rsid w:val="006E113E"/>
    <w:rsid w:val="006E16F1"/>
    <w:rsid w:val="006E263D"/>
    <w:rsid w:val="006E3361"/>
    <w:rsid w:val="006E359B"/>
    <w:rsid w:val="006E3F8C"/>
    <w:rsid w:val="006E4702"/>
    <w:rsid w:val="006E4D7D"/>
    <w:rsid w:val="006E59BD"/>
    <w:rsid w:val="006E5ED6"/>
    <w:rsid w:val="006E5EFA"/>
    <w:rsid w:val="006E6321"/>
    <w:rsid w:val="006E6520"/>
    <w:rsid w:val="006E66FD"/>
    <w:rsid w:val="006E6FEF"/>
    <w:rsid w:val="006E75BF"/>
    <w:rsid w:val="006E77A2"/>
    <w:rsid w:val="006E7BE9"/>
    <w:rsid w:val="006F0487"/>
    <w:rsid w:val="006F09B5"/>
    <w:rsid w:val="006F1349"/>
    <w:rsid w:val="006F1AA7"/>
    <w:rsid w:val="006F1C14"/>
    <w:rsid w:val="006F201F"/>
    <w:rsid w:val="006F246B"/>
    <w:rsid w:val="006F297D"/>
    <w:rsid w:val="006F2B07"/>
    <w:rsid w:val="006F2C03"/>
    <w:rsid w:val="006F31B0"/>
    <w:rsid w:val="006F3739"/>
    <w:rsid w:val="006F403E"/>
    <w:rsid w:val="006F4649"/>
    <w:rsid w:val="006F48B3"/>
    <w:rsid w:val="006F48B8"/>
    <w:rsid w:val="006F4FD2"/>
    <w:rsid w:val="006F553C"/>
    <w:rsid w:val="006F5924"/>
    <w:rsid w:val="006F60F5"/>
    <w:rsid w:val="006F6107"/>
    <w:rsid w:val="006F6178"/>
    <w:rsid w:val="006F6258"/>
    <w:rsid w:val="006F65E1"/>
    <w:rsid w:val="006F6B22"/>
    <w:rsid w:val="006F716A"/>
    <w:rsid w:val="006F7F8E"/>
    <w:rsid w:val="007011F0"/>
    <w:rsid w:val="00701552"/>
    <w:rsid w:val="0070186F"/>
    <w:rsid w:val="00701A06"/>
    <w:rsid w:val="00701E51"/>
    <w:rsid w:val="00701F34"/>
    <w:rsid w:val="007033A7"/>
    <w:rsid w:val="007037D6"/>
    <w:rsid w:val="00703AC5"/>
    <w:rsid w:val="00703CE3"/>
    <w:rsid w:val="007041A2"/>
    <w:rsid w:val="00704FDE"/>
    <w:rsid w:val="00705448"/>
    <w:rsid w:val="00705645"/>
    <w:rsid w:val="00706368"/>
    <w:rsid w:val="00706497"/>
    <w:rsid w:val="0070678E"/>
    <w:rsid w:val="007074B3"/>
    <w:rsid w:val="00707F6F"/>
    <w:rsid w:val="00710A3E"/>
    <w:rsid w:val="007122D6"/>
    <w:rsid w:val="007122EC"/>
    <w:rsid w:val="007124BD"/>
    <w:rsid w:val="007124E8"/>
    <w:rsid w:val="00713327"/>
    <w:rsid w:val="007136FB"/>
    <w:rsid w:val="00713E22"/>
    <w:rsid w:val="00714134"/>
    <w:rsid w:val="00714504"/>
    <w:rsid w:val="00714EFC"/>
    <w:rsid w:val="007153BF"/>
    <w:rsid w:val="00715C61"/>
    <w:rsid w:val="00716292"/>
    <w:rsid w:val="00716806"/>
    <w:rsid w:val="00716914"/>
    <w:rsid w:val="00716CC4"/>
    <w:rsid w:val="00716EDA"/>
    <w:rsid w:val="00717141"/>
    <w:rsid w:val="00717318"/>
    <w:rsid w:val="0071742A"/>
    <w:rsid w:val="00717581"/>
    <w:rsid w:val="007202A7"/>
    <w:rsid w:val="0072135D"/>
    <w:rsid w:val="00721E75"/>
    <w:rsid w:val="00721FFE"/>
    <w:rsid w:val="00722554"/>
    <w:rsid w:val="00722BB0"/>
    <w:rsid w:val="00722BDA"/>
    <w:rsid w:val="007231CB"/>
    <w:rsid w:val="007233A9"/>
    <w:rsid w:val="00724927"/>
    <w:rsid w:val="00724A74"/>
    <w:rsid w:val="00724E12"/>
    <w:rsid w:val="00726932"/>
    <w:rsid w:val="0072761F"/>
    <w:rsid w:val="0072769B"/>
    <w:rsid w:val="00727B08"/>
    <w:rsid w:val="007302A3"/>
    <w:rsid w:val="00730E8F"/>
    <w:rsid w:val="00731B1D"/>
    <w:rsid w:val="00731BCD"/>
    <w:rsid w:val="00731D48"/>
    <w:rsid w:val="00731E01"/>
    <w:rsid w:val="0073331D"/>
    <w:rsid w:val="00733EC0"/>
    <w:rsid w:val="0073403B"/>
    <w:rsid w:val="00734051"/>
    <w:rsid w:val="00734282"/>
    <w:rsid w:val="00734484"/>
    <w:rsid w:val="00734E6A"/>
    <w:rsid w:val="00736548"/>
    <w:rsid w:val="00736EEE"/>
    <w:rsid w:val="007376FA"/>
    <w:rsid w:val="007400AC"/>
    <w:rsid w:val="0074022A"/>
    <w:rsid w:val="00740C24"/>
    <w:rsid w:val="00740F0D"/>
    <w:rsid w:val="007410C0"/>
    <w:rsid w:val="007413B5"/>
    <w:rsid w:val="007415FA"/>
    <w:rsid w:val="00742076"/>
    <w:rsid w:val="00745136"/>
    <w:rsid w:val="0074556F"/>
    <w:rsid w:val="00745A15"/>
    <w:rsid w:val="00745B25"/>
    <w:rsid w:val="00745DD2"/>
    <w:rsid w:val="007462D8"/>
    <w:rsid w:val="007467EA"/>
    <w:rsid w:val="007468FF"/>
    <w:rsid w:val="00746FE2"/>
    <w:rsid w:val="00747212"/>
    <w:rsid w:val="00747856"/>
    <w:rsid w:val="00747BA5"/>
    <w:rsid w:val="00750338"/>
    <w:rsid w:val="00750589"/>
    <w:rsid w:val="00750BAB"/>
    <w:rsid w:val="00751258"/>
    <w:rsid w:val="00751354"/>
    <w:rsid w:val="007513CB"/>
    <w:rsid w:val="00751A14"/>
    <w:rsid w:val="00751C39"/>
    <w:rsid w:val="00752566"/>
    <w:rsid w:val="00752824"/>
    <w:rsid w:val="00752A8F"/>
    <w:rsid w:val="00752D37"/>
    <w:rsid w:val="0075303D"/>
    <w:rsid w:val="007531E9"/>
    <w:rsid w:val="0075334D"/>
    <w:rsid w:val="00753C81"/>
    <w:rsid w:val="00754680"/>
    <w:rsid w:val="00754B4E"/>
    <w:rsid w:val="00754CB0"/>
    <w:rsid w:val="00754EAD"/>
    <w:rsid w:val="00756909"/>
    <w:rsid w:val="00760D10"/>
    <w:rsid w:val="00761394"/>
    <w:rsid w:val="00762108"/>
    <w:rsid w:val="00762361"/>
    <w:rsid w:val="007626F8"/>
    <w:rsid w:val="00763B47"/>
    <w:rsid w:val="00763DC0"/>
    <w:rsid w:val="00764501"/>
    <w:rsid w:val="007649B9"/>
    <w:rsid w:val="00764B4A"/>
    <w:rsid w:val="00765615"/>
    <w:rsid w:val="00766156"/>
    <w:rsid w:val="007668D7"/>
    <w:rsid w:val="00766FA9"/>
    <w:rsid w:val="007670F1"/>
    <w:rsid w:val="00767E9C"/>
    <w:rsid w:val="00767F03"/>
    <w:rsid w:val="00770E38"/>
    <w:rsid w:val="0077126D"/>
    <w:rsid w:val="007713A5"/>
    <w:rsid w:val="00771907"/>
    <w:rsid w:val="00771B04"/>
    <w:rsid w:val="00771BF3"/>
    <w:rsid w:val="00772695"/>
    <w:rsid w:val="00773878"/>
    <w:rsid w:val="00773A0B"/>
    <w:rsid w:val="0077418C"/>
    <w:rsid w:val="00774737"/>
    <w:rsid w:val="0077513A"/>
    <w:rsid w:val="007751DE"/>
    <w:rsid w:val="00775305"/>
    <w:rsid w:val="00775559"/>
    <w:rsid w:val="00775913"/>
    <w:rsid w:val="00775F34"/>
    <w:rsid w:val="00776489"/>
    <w:rsid w:val="0077651E"/>
    <w:rsid w:val="0077666B"/>
    <w:rsid w:val="007771D0"/>
    <w:rsid w:val="00777B91"/>
    <w:rsid w:val="007801A5"/>
    <w:rsid w:val="00780958"/>
    <w:rsid w:val="00780AF9"/>
    <w:rsid w:val="00780D9C"/>
    <w:rsid w:val="00781152"/>
    <w:rsid w:val="0078133D"/>
    <w:rsid w:val="007817AA"/>
    <w:rsid w:val="00781A9A"/>
    <w:rsid w:val="00781E34"/>
    <w:rsid w:val="00782161"/>
    <w:rsid w:val="0078270B"/>
    <w:rsid w:val="00783256"/>
    <w:rsid w:val="00783572"/>
    <w:rsid w:val="00783BF5"/>
    <w:rsid w:val="00783E5E"/>
    <w:rsid w:val="00784905"/>
    <w:rsid w:val="00784F95"/>
    <w:rsid w:val="00785145"/>
    <w:rsid w:val="0078544E"/>
    <w:rsid w:val="00785785"/>
    <w:rsid w:val="00785C90"/>
    <w:rsid w:val="00786798"/>
    <w:rsid w:val="00787493"/>
    <w:rsid w:val="00791318"/>
    <w:rsid w:val="0079179D"/>
    <w:rsid w:val="00791DED"/>
    <w:rsid w:val="00791F51"/>
    <w:rsid w:val="00792620"/>
    <w:rsid w:val="00792772"/>
    <w:rsid w:val="00792A17"/>
    <w:rsid w:val="00792AA8"/>
    <w:rsid w:val="00793515"/>
    <w:rsid w:val="0079356B"/>
    <w:rsid w:val="007938C9"/>
    <w:rsid w:val="00793AAE"/>
    <w:rsid w:val="0079445E"/>
    <w:rsid w:val="00794972"/>
    <w:rsid w:val="00794A85"/>
    <w:rsid w:val="007951B8"/>
    <w:rsid w:val="00796EE7"/>
    <w:rsid w:val="00797022"/>
    <w:rsid w:val="007979A3"/>
    <w:rsid w:val="00797AB8"/>
    <w:rsid w:val="007A0745"/>
    <w:rsid w:val="007A07AB"/>
    <w:rsid w:val="007A0946"/>
    <w:rsid w:val="007A0B0F"/>
    <w:rsid w:val="007A22BC"/>
    <w:rsid w:val="007A3ABE"/>
    <w:rsid w:val="007A40C6"/>
    <w:rsid w:val="007A44BD"/>
    <w:rsid w:val="007A454E"/>
    <w:rsid w:val="007A4CB0"/>
    <w:rsid w:val="007A5B52"/>
    <w:rsid w:val="007A62C3"/>
    <w:rsid w:val="007A6A84"/>
    <w:rsid w:val="007A6AAB"/>
    <w:rsid w:val="007A7BE0"/>
    <w:rsid w:val="007A7DB3"/>
    <w:rsid w:val="007A7DEB"/>
    <w:rsid w:val="007B0161"/>
    <w:rsid w:val="007B0ECA"/>
    <w:rsid w:val="007B141E"/>
    <w:rsid w:val="007B1D44"/>
    <w:rsid w:val="007B27D7"/>
    <w:rsid w:val="007B2A4C"/>
    <w:rsid w:val="007B2D7A"/>
    <w:rsid w:val="007B33E9"/>
    <w:rsid w:val="007B4102"/>
    <w:rsid w:val="007B4626"/>
    <w:rsid w:val="007B4863"/>
    <w:rsid w:val="007B4DA6"/>
    <w:rsid w:val="007B5066"/>
    <w:rsid w:val="007B56E9"/>
    <w:rsid w:val="007B58F7"/>
    <w:rsid w:val="007B5A10"/>
    <w:rsid w:val="007B612E"/>
    <w:rsid w:val="007B651A"/>
    <w:rsid w:val="007B6648"/>
    <w:rsid w:val="007B6669"/>
    <w:rsid w:val="007B6847"/>
    <w:rsid w:val="007B68E9"/>
    <w:rsid w:val="007B7183"/>
    <w:rsid w:val="007B7B59"/>
    <w:rsid w:val="007C057B"/>
    <w:rsid w:val="007C0727"/>
    <w:rsid w:val="007C0A09"/>
    <w:rsid w:val="007C0B71"/>
    <w:rsid w:val="007C1A27"/>
    <w:rsid w:val="007C202B"/>
    <w:rsid w:val="007C262E"/>
    <w:rsid w:val="007C2B32"/>
    <w:rsid w:val="007C2C66"/>
    <w:rsid w:val="007C2FD2"/>
    <w:rsid w:val="007C311B"/>
    <w:rsid w:val="007C32F6"/>
    <w:rsid w:val="007C35EA"/>
    <w:rsid w:val="007C3979"/>
    <w:rsid w:val="007C3E2E"/>
    <w:rsid w:val="007C506B"/>
    <w:rsid w:val="007C548E"/>
    <w:rsid w:val="007C5E26"/>
    <w:rsid w:val="007C6241"/>
    <w:rsid w:val="007C651B"/>
    <w:rsid w:val="007C7C3B"/>
    <w:rsid w:val="007C7DC2"/>
    <w:rsid w:val="007D01ED"/>
    <w:rsid w:val="007D0464"/>
    <w:rsid w:val="007D0986"/>
    <w:rsid w:val="007D0E0C"/>
    <w:rsid w:val="007D1A57"/>
    <w:rsid w:val="007D1B69"/>
    <w:rsid w:val="007D2730"/>
    <w:rsid w:val="007D2FA6"/>
    <w:rsid w:val="007D353D"/>
    <w:rsid w:val="007D436E"/>
    <w:rsid w:val="007D4C0B"/>
    <w:rsid w:val="007D4E43"/>
    <w:rsid w:val="007D4F7B"/>
    <w:rsid w:val="007D53D7"/>
    <w:rsid w:val="007D55F8"/>
    <w:rsid w:val="007D5941"/>
    <w:rsid w:val="007D59A7"/>
    <w:rsid w:val="007D623E"/>
    <w:rsid w:val="007D698B"/>
    <w:rsid w:val="007D6CCE"/>
    <w:rsid w:val="007D7BB6"/>
    <w:rsid w:val="007E0CC7"/>
    <w:rsid w:val="007E0CD0"/>
    <w:rsid w:val="007E2BF1"/>
    <w:rsid w:val="007E2F7A"/>
    <w:rsid w:val="007E2F7D"/>
    <w:rsid w:val="007E3B12"/>
    <w:rsid w:val="007E3C94"/>
    <w:rsid w:val="007E41B2"/>
    <w:rsid w:val="007E4376"/>
    <w:rsid w:val="007E450D"/>
    <w:rsid w:val="007E464C"/>
    <w:rsid w:val="007E4699"/>
    <w:rsid w:val="007E4952"/>
    <w:rsid w:val="007E49BF"/>
    <w:rsid w:val="007E4C0D"/>
    <w:rsid w:val="007E51E8"/>
    <w:rsid w:val="007E57A6"/>
    <w:rsid w:val="007E586E"/>
    <w:rsid w:val="007E5BB0"/>
    <w:rsid w:val="007E5D35"/>
    <w:rsid w:val="007E5D90"/>
    <w:rsid w:val="007E6094"/>
    <w:rsid w:val="007E78F8"/>
    <w:rsid w:val="007F0369"/>
    <w:rsid w:val="007F162F"/>
    <w:rsid w:val="007F2451"/>
    <w:rsid w:val="007F2571"/>
    <w:rsid w:val="007F28AD"/>
    <w:rsid w:val="007F3A90"/>
    <w:rsid w:val="007F4043"/>
    <w:rsid w:val="007F4523"/>
    <w:rsid w:val="007F528D"/>
    <w:rsid w:val="007F52A6"/>
    <w:rsid w:val="007F53E7"/>
    <w:rsid w:val="007F5789"/>
    <w:rsid w:val="007F67C2"/>
    <w:rsid w:val="007F68DA"/>
    <w:rsid w:val="007F6E71"/>
    <w:rsid w:val="007F7347"/>
    <w:rsid w:val="007F7F60"/>
    <w:rsid w:val="008000B0"/>
    <w:rsid w:val="008004E7"/>
    <w:rsid w:val="00800B45"/>
    <w:rsid w:val="00801268"/>
    <w:rsid w:val="0080136B"/>
    <w:rsid w:val="00802621"/>
    <w:rsid w:val="0080276C"/>
    <w:rsid w:val="00803252"/>
    <w:rsid w:val="0080363A"/>
    <w:rsid w:val="00803843"/>
    <w:rsid w:val="008045BB"/>
    <w:rsid w:val="008056D9"/>
    <w:rsid w:val="00805A9A"/>
    <w:rsid w:val="008060A2"/>
    <w:rsid w:val="008060C8"/>
    <w:rsid w:val="00806B89"/>
    <w:rsid w:val="00807590"/>
    <w:rsid w:val="00807FC6"/>
    <w:rsid w:val="00810AB2"/>
    <w:rsid w:val="00810F5C"/>
    <w:rsid w:val="00811329"/>
    <w:rsid w:val="00812723"/>
    <w:rsid w:val="008127F7"/>
    <w:rsid w:val="0081340B"/>
    <w:rsid w:val="00813501"/>
    <w:rsid w:val="00813E36"/>
    <w:rsid w:val="00814067"/>
    <w:rsid w:val="008142E1"/>
    <w:rsid w:val="00814A6A"/>
    <w:rsid w:val="00814ED4"/>
    <w:rsid w:val="008152E3"/>
    <w:rsid w:val="0081557C"/>
    <w:rsid w:val="0081578F"/>
    <w:rsid w:val="008159B1"/>
    <w:rsid w:val="00815A09"/>
    <w:rsid w:val="00815CD9"/>
    <w:rsid w:val="0081666A"/>
    <w:rsid w:val="00816918"/>
    <w:rsid w:val="008171F5"/>
    <w:rsid w:val="0081760B"/>
    <w:rsid w:val="00817D65"/>
    <w:rsid w:val="00820282"/>
    <w:rsid w:val="00821109"/>
    <w:rsid w:val="0082117F"/>
    <w:rsid w:val="00821EC0"/>
    <w:rsid w:val="00821F05"/>
    <w:rsid w:val="00822032"/>
    <w:rsid w:val="008233A4"/>
    <w:rsid w:val="0082340B"/>
    <w:rsid w:val="0082364D"/>
    <w:rsid w:val="008238F0"/>
    <w:rsid w:val="0082422C"/>
    <w:rsid w:val="00824496"/>
    <w:rsid w:val="008245A3"/>
    <w:rsid w:val="00824E67"/>
    <w:rsid w:val="00825372"/>
    <w:rsid w:val="0082619C"/>
    <w:rsid w:val="0082632A"/>
    <w:rsid w:val="00826414"/>
    <w:rsid w:val="00826910"/>
    <w:rsid w:val="008269E2"/>
    <w:rsid w:val="00826C7B"/>
    <w:rsid w:val="008278C2"/>
    <w:rsid w:val="00827BE4"/>
    <w:rsid w:val="00830CC1"/>
    <w:rsid w:val="00831984"/>
    <w:rsid w:val="00831A0D"/>
    <w:rsid w:val="00831D34"/>
    <w:rsid w:val="00831E17"/>
    <w:rsid w:val="00833242"/>
    <w:rsid w:val="00833EDC"/>
    <w:rsid w:val="008340CF"/>
    <w:rsid w:val="008343B6"/>
    <w:rsid w:val="00834859"/>
    <w:rsid w:val="00834AF9"/>
    <w:rsid w:val="008359FC"/>
    <w:rsid w:val="00836226"/>
    <w:rsid w:val="008365FD"/>
    <w:rsid w:val="00836940"/>
    <w:rsid w:val="00836AD2"/>
    <w:rsid w:val="00836B21"/>
    <w:rsid w:val="00837043"/>
    <w:rsid w:val="00837364"/>
    <w:rsid w:val="008375CC"/>
    <w:rsid w:val="008376C6"/>
    <w:rsid w:val="00837C09"/>
    <w:rsid w:val="00840A90"/>
    <w:rsid w:val="008415CC"/>
    <w:rsid w:val="008417A7"/>
    <w:rsid w:val="008424FA"/>
    <w:rsid w:val="008426F8"/>
    <w:rsid w:val="00842862"/>
    <w:rsid w:val="00842B81"/>
    <w:rsid w:val="00843BB4"/>
    <w:rsid w:val="00843D05"/>
    <w:rsid w:val="00843EEA"/>
    <w:rsid w:val="00845199"/>
    <w:rsid w:val="0084566D"/>
    <w:rsid w:val="00845CBA"/>
    <w:rsid w:val="00845DD3"/>
    <w:rsid w:val="0084624F"/>
    <w:rsid w:val="0084677C"/>
    <w:rsid w:val="00847DFE"/>
    <w:rsid w:val="00847EEF"/>
    <w:rsid w:val="00850F99"/>
    <w:rsid w:val="00851111"/>
    <w:rsid w:val="008511D8"/>
    <w:rsid w:val="00851B85"/>
    <w:rsid w:val="00851E46"/>
    <w:rsid w:val="0085244F"/>
    <w:rsid w:val="008525CF"/>
    <w:rsid w:val="00852DAC"/>
    <w:rsid w:val="0085318C"/>
    <w:rsid w:val="008538BB"/>
    <w:rsid w:val="00853AD6"/>
    <w:rsid w:val="008542CC"/>
    <w:rsid w:val="00854A1D"/>
    <w:rsid w:val="00855304"/>
    <w:rsid w:val="00855766"/>
    <w:rsid w:val="008558AC"/>
    <w:rsid w:val="00855B96"/>
    <w:rsid w:val="008562F1"/>
    <w:rsid w:val="00856AAE"/>
    <w:rsid w:val="00857886"/>
    <w:rsid w:val="0086091A"/>
    <w:rsid w:val="00860973"/>
    <w:rsid w:val="00860B77"/>
    <w:rsid w:val="0086183E"/>
    <w:rsid w:val="00861B25"/>
    <w:rsid w:val="00861D92"/>
    <w:rsid w:val="008625DB"/>
    <w:rsid w:val="008632B3"/>
    <w:rsid w:val="0086386F"/>
    <w:rsid w:val="00863BC2"/>
    <w:rsid w:val="008648B5"/>
    <w:rsid w:val="008652F7"/>
    <w:rsid w:val="0086641A"/>
    <w:rsid w:val="0086659B"/>
    <w:rsid w:val="00866A34"/>
    <w:rsid w:val="008676E4"/>
    <w:rsid w:val="00867932"/>
    <w:rsid w:val="00867F68"/>
    <w:rsid w:val="00870C65"/>
    <w:rsid w:val="008719AE"/>
    <w:rsid w:val="00871EF3"/>
    <w:rsid w:val="00872110"/>
    <w:rsid w:val="008728FF"/>
    <w:rsid w:val="008737D3"/>
    <w:rsid w:val="008768FF"/>
    <w:rsid w:val="0087695B"/>
    <w:rsid w:val="00876AFF"/>
    <w:rsid w:val="00876D59"/>
    <w:rsid w:val="008772C5"/>
    <w:rsid w:val="008772EE"/>
    <w:rsid w:val="00877692"/>
    <w:rsid w:val="00877796"/>
    <w:rsid w:val="00877CBF"/>
    <w:rsid w:val="00880071"/>
    <w:rsid w:val="00880F18"/>
    <w:rsid w:val="008814C5"/>
    <w:rsid w:val="0088161D"/>
    <w:rsid w:val="00882594"/>
    <w:rsid w:val="0088277A"/>
    <w:rsid w:val="00882799"/>
    <w:rsid w:val="00882B50"/>
    <w:rsid w:val="00882D53"/>
    <w:rsid w:val="00882F73"/>
    <w:rsid w:val="00883437"/>
    <w:rsid w:val="008834C5"/>
    <w:rsid w:val="00883808"/>
    <w:rsid w:val="008839F7"/>
    <w:rsid w:val="00883C24"/>
    <w:rsid w:val="008853F8"/>
    <w:rsid w:val="0088598D"/>
    <w:rsid w:val="00885CF7"/>
    <w:rsid w:val="00886104"/>
    <w:rsid w:val="0088635E"/>
    <w:rsid w:val="008865CF"/>
    <w:rsid w:val="00886C45"/>
    <w:rsid w:val="00890935"/>
    <w:rsid w:val="00892ED9"/>
    <w:rsid w:val="00893549"/>
    <w:rsid w:val="008936A7"/>
    <w:rsid w:val="00893805"/>
    <w:rsid w:val="00893E77"/>
    <w:rsid w:val="00894757"/>
    <w:rsid w:val="008949A5"/>
    <w:rsid w:val="008953BD"/>
    <w:rsid w:val="0089557F"/>
    <w:rsid w:val="00895CE8"/>
    <w:rsid w:val="008A0DCD"/>
    <w:rsid w:val="008A137D"/>
    <w:rsid w:val="008A1571"/>
    <w:rsid w:val="008A18BB"/>
    <w:rsid w:val="008A2205"/>
    <w:rsid w:val="008A26DB"/>
    <w:rsid w:val="008A28E3"/>
    <w:rsid w:val="008A2DE5"/>
    <w:rsid w:val="008A3079"/>
    <w:rsid w:val="008A37BB"/>
    <w:rsid w:val="008A3A3D"/>
    <w:rsid w:val="008A3AFC"/>
    <w:rsid w:val="008A3D52"/>
    <w:rsid w:val="008A4461"/>
    <w:rsid w:val="008A4628"/>
    <w:rsid w:val="008A4670"/>
    <w:rsid w:val="008A501F"/>
    <w:rsid w:val="008A5D2B"/>
    <w:rsid w:val="008A6F8B"/>
    <w:rsid w:val="008A72C7"/>
    <w:rsid w:val="008A7310"/>
    <w:rsid w:val="008B112B"/>
    <w:rsid w:val="008B1C81"/>
    <w:rsid w:val="008B1FA5"/>
    <w:rsid w:val="008B23E6"/>
    <w:rsid w:val="008B2FF0"/>
    <w:rsid w:val="008B340B"/>
    <w:rsid w:val="008B3CA8"/>
    <w:rsid w:val="008B47CB"/>
    <w:rsid w:val="008B4A07"/>
    <w:rsid w:val="008B5C43"/>
    <w:rsid w:val="008B68C6"/>
    <w:rsid w:val="008B6A6C"/>
    <w:rsid w:val="008B7111"/>
    <w:rsid w:val="008B750D"/>
    <w:rsid w:val="008B764D"/>
    <w:rsid w:val="008B7C54"/>
    <w:rsid w:val="008C08E5"/>
    <w:rsid w:val="008C0AC4"/>
    <w:rsid w:val="008C0B6E"/>
    <w:rsid w:val="008C131E"/>
    <w:rsid w:val="008C15BB"/>
    <w:rsid w:val="008C1CCD"/>
    <w:rsid w:val="008C1EC2"/>
    <w:rsid w:val="008C20E1"/>
    <w:rsid w:val="008C24F8"/>
    <w:rsid w:val="008C28E5"/>
    <w:rsid w:val="008C29C2"/>
    <w:rsid w:val="008C3BC3"/>
    <w:rsid w:val="008C3C80"/>
    <w:rsid w:val="008C4298"/>
    <w:rsid w:val="008C48F1"/>
    <w:rsid w:val="008C4E5F"/>
    <w:rsid w:val="008C4EEC"/>
    <w:rsid w:val="008C4F6E"/>
    <w:rsid w:val="008C51CA"/>
    <w:rsid w:val="008C5CB9"/>
    <w:rsid w:val="008C614F"/>
    <w:rsid w:val="008C6C82"/>
    <w:rsid w:val="008C7FD1"/>
    <w:rsid w:val="008D094D"/>
    <w:rsid w:val="008D15F7"/>
    <w:rsid w:val="008D1648"/>
    <w:rsid w:val="008D1FDE"/>
    <w:rsid w:val="008D215E"/>
    <w:rsid w:val="008D2605"/>
    <w:rsid w:val="008D2952"/>
    <w:rsid w:val="008D2BE2"/>
    <w:rsid w:val="008D2BED"/>
    <w:rsid w:val="008D2C8F"/>
    <w:rsid w:val="008D308E"/>
    <w:rsid w:val="008D33CD"/>
    <w:rsid w:val="008D3409"/>
    <w:rsid w:val="008D351D"/>
    <w:rsid w:val="008D43EE"/>
    <w:rsid w:val="008D6567"/>
    <w:rsid w:val="008D6856"/>
    <w:rsid w:val="008D75EB"/>
    <w:rsid w:val="008D7D42"/>
    <w:rsid w:val="008E000D"/>
    <w:rsid w:val="008E0D4E"/>
    <w:rsid w:val="008E138C"/>
    <w:rsid w:val="008E1C45"/>
    <w:rsid w:val="008E1F0D"/>
    <w:rsid w:val="008E242E"/>
    <w:rsid w:val="008E25E2"/>
    <w:rsid w:val="008E2FBE"/>
    <w:rsid w:val="008E331A"/>
    <w:rsid w:val="008E3922"/>
    <w:rsid w:val="008E3935"/>
    <w:rsid w:val="008E41E5"/>
    <w:rsid w:val="008E4679"/>
    <w:rsid w:val="008E4834"/>
    <w:rsid w:val="008E4885"/>
    <w:rsid w:val="008E599E"/>
    <w:rsid w:val="008E647B"/>
    <w:rsid w:val="008E6799"/>
    <w:rsid w:val="008E77BE"/>
    <w:rsid w:val="008E7B61"/>
    <w:rsid w:val="008F02CB"/>
    <w:rsid w:val="008F032A"/>
    <w:rsid w:val="008F0407"/>
    <w:rsid w:val="008F1323"/>
    <w:rsid w:val="008F1B16"/>
    <w:rsid w:val="008F1CD9"/>
    <w:rsid w:val="008F3AE2"/>
    <w:rsid w:val="008F3C7B"/>
    <w:rsid w:val="008F3D0F"/>
    <w:rsid w:val="008F41D5"/>
    <w:rsid w:val="008F4375"/>
    <w:rsid w:val="008F57E4"/>
    <w:rsid w:val="008F5BCD"/>
    <w:rsid w:val="008F619B"/>
    <w:rsid w:val="008F6221"/>
    <w:rsid w:val="008F63C8"/>
    <w:rsid w:val="008F722B"/>
    <w:rsid w:val="008F777B"/>
    <w:rsid w:val="008F77E0"/>
    <w:rsid w:val="008F7A51"/>
    <w:rsid w:val="008F7BB1"/>
    <w:rsid w:val="008F7CCE"/>
    <w:rsid w:val="008F7DF0"/>
    <w:rsid w:val="00900C01"/>
    <w:rsid w:val="00900E57"/>
    <w:rsid w:val="0090137F"/>
    <w:rsid w:val="009015C9"/>
    <w:rsid w:val="00901A6C"/>
    <w:rsid w:val="00902C03"/>
    <w:rsid w:val="009030E5"/>
    <w:rsid w:val="009032E4"/>
    <w:rsid w:val="00903E15"/>
    <w:rsid w:val="0090499E"/>
    <w:rsid w:val="00904F35"/>
    <w:rsid w:val="009050C0"/>
    <w:rsid w:val="00905F81"/>
    <w:rsid w:val="009060F5"/>
    <w:rsid w:val="009064E2"/>
    <w:rsid w:val="00906563"/>
    <w:rsid w:val="00906D84"/>
    <w:rsid w:val="00906D9F"/>
    <w:rsid w:val="0090733D"/>
    <w:rsid w:val="009073AA"/>
    <w:rsid w:val="009077C7"/>
    <w:rsid w:val="00907A33"/>
    <w:rsid w:val="009100A0"/>
    <w:rsid w:val="00910257"/>
    <w:rsid w:val="00910F4E"/>
    <w:rsid w:val="0091193A"/>
    <w:rsid w:val="009120E0"/>
    <w:rsid w:val="0091220E"/>
    <w:rsid w:val="00912A73"/>
    <w:rsid w:val="0091304C"/>
    <w:rsid w:val="009132A7"/>
    <w:rsid w:val="00913496"/>
    <w:rsid w:val="0091465A"/>
    <w:rsid w:val="00914E0D"/>
    <w:rsid w:val="00915649"/>
    <w:rsid w:val="0091712F"/>
    <w:rsid w:val="00920216"/>
    <w:rsid w:val="00920463"/>
    <w:rsid w:val="00920D9B"/>
    <w:rsid w:val="00921A4A"/>
    <w:rsid w:val="00921F5C"/>
    <w:rsid w:val="0092274F"/>
    <w:rsid w:val="00922BA1"/>
    <w:rsid w:val="00922D61"/>
    <w:rsid w:val="0092301A"/>
    <w:rsid w:val="009231E5"/>
    <w:rsid w:val="0092320F"/>
    <w:rsid w:val="009238C7"/>
    <w:rsid w:val="00923950"/>
    <w:rsid w:val="00923D68"/>
    <w:rsid w:val="009245CA"/>
    <w:rsid w:val="009248C5"/>
    <w:rsid w:val="009254C8"/>
    <w:rsid w:val="00925FB8"/>
    <w:rsid w:val="0092636E"/>
    <w:rsid w:val="00926638"/>
    <w:rsid w:val="00926879"/>
    <w:rsid w:val="00926E4D"/>
    <w:rsid w:val="00927B22"/>
    <w:rsid w:val="00930B86"/>
    <w:rsid w:val="00930D08"/>
    <w:rsid w:val="009319FD"/>
    <w:rsid w:val="00931D0F"/>
    <w:rsid w:val="00931DD9"/>
    <w:rsid w:val="00931E61"/>
    <w:rsid w:val="00931F09"/>
    <w:rsid w:val="00932072"/>
    <w:rsid w:val="009322B7"/>
    <w:rsid w:val="00933042"/>
    <w:rsid w:val="009332AE"/>
    <w:rsid w:val="0093352D"/>
    <w:rsid w:val="00933C6D"/>
    <w:rsid w:val="00933F16"/>
    <w:rsid w:val="009344B3"/>
    <w:rsid w:val="00934508"/>
    <w:rsid w:val="00934532"/>
    <w:rsid w:val="009352D1"/>
    <w:rsid w:val="00935498"/>
    <w:rsid w:val="0093579C"/>
    <w:rsid w:val="00935FD1"/>
    <w:rsid w:val="00936260"/>
    <w:rsid w:val="00936394"/>
    <w:rsid w:val="00936F11"/>
    <w:rsid w:val="009372E5"/>
    <w:rsid w:val="009376FF"/>
    <w:rsid w:val="009379CC"/>
    <w:rsid w:val="00940185"/>
    <w:rsid w:val="00940B6E"/>
    <w:rsid w:val="00940BCD"/>
    <w:rsid w:val="00941279"/>
    <w:rsid w:val="00941839"/>
    <w:rsid w:val="00941864"/>
    <w:rsid w:val="00941CE5"/>
    <w:rsid w:val="00941F43"/>
    <w:rsid w:val="00942788"/>
    <w:rsid w:val="009431E3"/>
    <w:rsid w:val="009439AA"/>
    <w:rsid w:val="00943C6C"/>
    <w:rsid w:val="0094475D"/>
    <w:rsid w:val="00944893"/>
    <w:rsid w:val="00944AA1"/>
    <w:rsid w:val="00945460"/>
    <w:rsid w:val="009462D5"/>
    <w:rsid w:val="00946A5E"/>
    <w:rsid w:val="00946DDF"/>
    <w:rsid w:val="00950161"/>
    <w:rsid w:val="0095067B"/>
    <w:rsid w:val="00951CB0"/>
    <w:rsid w:val="00951E05"/>
    <w:rsid w:val="009520FA"/>
    <w:rsid w:val="00954092"/>
    <w:rsid w:val="00954200"/>
    <w:rsid w:val="0095456C"/>
    <w:rsid w:val="009547B3"/>
    <w:rsid w:val="009549FB"/>
    <w:rsid w:val="00955151"/>
    <w:rsid w:val="009555F1"/>
    <w:rsid w:val="00955632"/>
    <w:rsid w:val="0095581B"/>
    <w:rsid w:val="00955B04"/>
    <w:rsid w:val="00956905"/>
    <w:rsid w:val="009570CB"/>
    <w:rsid w:val="009572FD"/>
    <w:rsid w:val="00957DBF"/>
    <w:rsid w:val="00957E65"/>
    <w:rsid w:val="0096037D"/>
    <w:rsid w:val="00960611"/>
    <w:rsid w:val="00960EA8"/>
    <w:rsid w:val="009614C6"/>
    <w:rsid w:val="009621CA"/>
    <w:rsid w:val="009627FE"/>
    <w:rsid w:val="00962BFB"/>
    <w:rsid w:val="00962C6B"/>
    <w:rsid w:val="00962D9E"/>
    <w:rsid w:val="00962E1C"/>
    <w:rsid w:val="0096321A"/>
    <w:rsid w:val="0096349D"/>
    <w:rsid w:val="009635BA"/>
    <w:rsid w:val="00964051"/>
    <w:rsid w:val="009645A7"/>
    <w:rsid w:val="009645CB"/>
    <w:rsid w:val="00964954"/>
    <w:rsid w:val="009657E9"/>
    <w:rsid w:val="00965ABD"/>
    <w:rsid w:val="00966484"/>
    <w:rsid w:val="00966DEC"/>
    <w:rsid w:val="00966E8F"/>
    <w:rsid w:val="00966F43"/>
    <w:rsid w:val="009672F6"/>
    <w:rsid w:val="0096797A"/>
    <w:rsid w:val="00967E17"/>
    <w:rsid w:val="009708CC"/>
    <w:rsid w:val="00970B8D"/>
    <w:rsid w:val="00971AC7"/>
    <w:rsid w:val="00971F60"/>
    <w:rsid w:val="00971FB3"/>
    <w:rsid w:val="00972392"/>
    <w:rsid w:val="00972B7F"/>
    <w:rsid w:val="00972C52"/>
    <w:rsid w:val="00972D8F"/>
    <w:rsid w:val="00973398"/>
    <w:rsid w:val="009740B3"/>
    <w:rsid w:val="00975AF8"/>
    <w:rsid w:val="00975D15"/>
    <w:rsid w:val="00975E0A"/>
    <w:rsid w:val="00976178"/>
    <w:rsid w:val="009762BB"/>
    <w:rsid w:val="0097631D"/>
    <w:rsid w:val="0097673B"/>
    <w:rsid w:val="00977515"/>
    <w:rsid w:val="00980725"/>
    <w:rsid w:val="00980A84"/>
    <w:rsid w:val="009819C2"/>
    <w:rsid w:val="009819E2"/>
    <w:rsid w:val="00981A73"/>
    <w:rsid w:val="00981B32"/>
    <w:rsid w:val="00982B74"/>
    <w:rsid w:val="00982CF0"/>
    <w:rsid w:val="0098347A"/>
    <w:rsid w:val="00984A62"/>
    <w:rsid w:val="009865C8"/>
    <w:rsid w:val="0098683F"/>
    <w:rsid w:val="00986F5D"/>
    <w:rsid w:val="009874D3"/>
    <w:rsid w:val="009874EA"/>
    <w:rsid w:val="009878D3"/>
    <w:rsid w:val="009879F5"/>
    <w:rsid w:val="00987C7D"/>
    <w:rsid w:val="00987EE2"/>
    <w:rsid w:val="0099006B"/>
    <w:rsid w:val="00990380"/>
    <w:rsid w:val="00990805"/>
    <w:rsid w:val="0099149C"/>
    <w:rsid w:val="009914CA"/>
    <w:rsid w:val="00991635"/>
    <w:rsid w:val="00991A45"/>
    <w:rsid w:val="00991B7E"/>
    <w:rsid w:val="00991D4B"/>
    <w:rsid w:val="009921DB"/>
    <w:rsid w:val="0099291B"/>
    <w:rsid w:val="00992B34"/>
    <w:rsid w:val="00993069"/>
    <w:rsid w:val="009940EF"/>
    <w:rsid w:val="009946CB"/>
    <w:rsid w:val="00994A8D"/>
    <w:rsid w:val="00994D06"/>
    <w:rsid w:val="009951D5"/>
    <w:rsid w:val="009958F3"/>
    <w:rsid w:val="00996EFC"/>
    <w:rsid w:val="00996FEF"/>
    <w:rsid w:val="00997CF0"/>
    <w:rsid w:val="009A0263"/>
    <w:rsid w:val="009A0593"/>
    <w:rsid w:val="009A0B3B"/>
    <w:rsid w:val="009A0BBC"/>
    <w:rsid w:val="009A10E6"/>
    <w:rsid w:val="009A16B7"/>
    <w:rsid w:val="009A2339"/>
    <w:rsid w:val="009A2ECC"/>
    <w:rsid w:val="009A30DF"/>
    <w:rsid w:val="009A3329"/>
    <w:rsid w:val="009A4C33"/>
    <w:rsid w:val="009A5075"/>
    <w:rsid w:val="009A57B5"/>
    <w:rsid w:val="009A5AFD"/>
    <w:rsid w:val="009A6B66"/>
    <w:rsid w:val="009A6CA3"/>
    <w:rsid w:val="009A6EFD"/>
    <w:rsid w:val="009A76D7"/>
    <w:rsid w:val="009A7D81"/>
    <w:rsid w:val="009A7EBA"/>
    <w:rsid w:val="009B0111"/>
    <w:rsid w:val="009B15F6"/>
    <w:rsid w:val="009B19F6"/>
    <w:rsid w:val="009B2C06"/>
    <w:rsid w:val="009B2D95"/>
    <w:rsid w:val="009B30EE"/>
    <w:rsid w:val="009B39DC"/>
    <w:rsid w:val="009B4988"/>
    <w:rsid w:val="009B4D86"/>
    <w:rsid w:val="009B4FCA"/>
    <w:rsid w:val="009B52B4"/>
    <w:rsid w:val="009B5DBD"/>
    <w:rsid w:val="009B61E7"/>
    <w:rsid w:val="009B6F49"/>
    <w:rsid w:val="009B7901"/>
    <w:rsid w:val="009C0D75"/>
    <w:rsid w:val="009C0E17"/>
    <w:rsid w:val="009C10CB"/>
    <w:rsid w:val="009C11FC"/>
    <w:rsid w:val="009C167C"/>
    <w:rsid w:val="009C1AFC"/>
    <w:rsid w:val="009C1C77"/>
    <w:rsid w:val="009C1F08"/>
    <w:rsid w:val="009C2BAA"/>
    <w:rsid w:val="009C322A"/>
    <w:rsid w:val="009C3BD7"/>
    <w:rsid w:val="009C50A4"/>
    <w:rsid w:val="009C5BA9"/>
    <w:rsid w:val="009C5F00"/>
    <w:rsid w:val="009C62DB"/>
    <w:rsid w:val="009C6A89"/>
    <w:rsid w:val="009C6E72"/>
    <w:rsid w:val="009C7134"/>
    <w:rsid w:val="009C7D4C"/>
    <w:rsid w:val="009C7FB5"/>
    <w:rsid w:val="009D05D2"/>
    <w:rsid w:val="009D11DC"/>
    <w:rsid w:val="009D223A"/>
    <w:rsid w:val="009D283B"/>
    <w:rsid w:val="009D2C89"/>
    <w:rsid w:val="009D39BC"/>
    <w:rsid w:val="009D3C3F"/>
    <w:rsid w:val="009D4AB4"/>
    <w:rsid w:val="009D4D67"/>
    <w:rsid w:val="009D5126"/>
    <w:rsid w:val="009D58AB"/>
    <w:rsid w:val="009D5969"/>
    <w:rsid w:val="009D61F9"/>
    <w:rsid w:val="009D635B"/>
    <w:rsid w:val="009D66DC"/>
    <w:rsid w:val="009D6C01"/>
    <w:rsid w:val="009D6EA7"/>
    <w:rsid w:val="009D7B94"/>
    <w:rsid w:val="009D7F6F"/>
    <w:rsid w:val="009E0393"/>
    <w:rsid w:val="009E07D3"/>
    <w:rsid w:val="009E123B"/>
    <w:rsid w:val="009E17B5"/>
    <w:rsid w:val="009E2333"/>
    <w:rsid w:val="009E25B2"/>
    <w:rsid w:val="009E2BDB"/>
    <w:rsid w:val="009E3624"/>
    <w:rsid w:val="009E3B29"/>
    <w:rsid w:val="009E3DBE"/>
    <w:rsid w:val="009E428D"/>
    <w:rsid w:val="009E47DF"/>
    <w:rsid w:val="009E55C1"/>
    <w:rsid w:val="009E56B9"/>
    <w:rsid w:val="009E5A6E"/>
    <w:rsid w:val="009E61ED"/>
    <w:rsid w:val="009E64A3"/>
    <w:rsid w:val="009E6FAB"/>
    <w:rsid w:val="009E7042"/>
    <w:rsid w:val="009E75B0"/>
    <w:rsid w:val="009E7886"/>
    <w:rsid w:val="009F01AA"/>
    <w:rsid w:val="009F06F2"/>
    <w:rsid w:val="009F1B13"/>
    <w:rsid w:val="009F2227"/>
    <w:rsid w:val="009F225D"/>
    <w:rsid w:val="009F287B"/>
    <w:rsid w:val="009F350E"/>
    <w:rsid w:val="009F3AFD"/>
    <w:rsid w:val="009F4526"/>
    <w:rsid w:val="009F635E"/>
    <w:rsid w:val="009F6DC0"/>
    <w:rsid w:val="009F784C"/>
    <w:rsid w:val="00A0075A"/>
    <w:rsid w:val="00A00A80"/>
    <w:rsid w:val="00A01260"/>
    <w:rsid w:val="00A01A67"/>
    <w:rsid w:val="00A023CF"/>
    <w:rsid w:val="00A02C5D"/>
    <w:rsid w:val="00A02FC3"/>
    <w:rsid w:val="00A03801"/>
    <w:rsid w:val="00A05CA9"/>
    <w:rsid w:val="00A06719"/>
    <w:rsid w:val="00A0683E"/>
    <w:rsid w:val="00A073EB"/>
    <w:rsid w:val="00A07474"/>
    <w:rsid w:val="00A075DD"/>
    <w:rsid w:val="00A106AD"/>
    <w:rsid w:val="00A10C34"/>
    <w:rsid w:val="00A11349"/>
    <w:rsid w:val="00A11E5B"/>
    <w:rsid w:val="00A1227B"/>
    <w:rsid w:val="00A12FA5"/>
    <w:rsid w:val="00A133AC"/>
    <w:rsid w:val="00A13E9F"/>
    <w:rsid w:val="00A13F7C"/>
    <w:rsid w:val="00A140D3"/>
    <w:rsid w:val="00A1446B"/>
    <w:rsid w:val="00A1549F"/>
    <w:rsid w:val="00A15758"/>
    <w:rsid w:val="00A15977"/>
    <w:rsid w:val="00A166D4"/>
    <w:rsid w:val="00A167F2"/>
    <w:rsid w:val="00A16EB3"/>
    <w:rsid w:val="00A16EBD"/>
    <w:rsid w:val="00A17059"/>
    <w:rsid w:val="00A17474"/>
    <w:rsid w:val="00A175A8"/>
    <w:rsid w:val="00A17D8B"/>
    <w:rsid w:val="00A17EFE"/>
    <w:rsid w:val="00A201BA"/>
    <w:rsid w:val="00A20C78"/>
    <w:rsid w:val="00A22BC3"/>
    <w:rsid w:val="00A22DD5"/>
    <w:rsid w:val="00A2312E"/>
    <w:rsid w:val="00A23B8C"/>
    <w:rsid w:val="00A24323"/>
    <w:rsid w:val="00A24D27"/>
    <w:rsid w:val="00A2512C"/>
    <w:rsid w:val="00A2515B"/>
    <w:rsid w:val="00A25320"/>
    <w:rsid w:val="00A2588E"/>
    <w:rsid w:val="00A26D12"/>
    <w:rsid w:val="00A26EDF"/>
    <w:rsid w:val="00A27151"/>
    <w:rsid w:val="00A2718F"/>
    <w:rsid w:val="00A27678"/>
    <w:rsid w:val="00A311DC"/>
    <w:rsid w:val="00A3176C"/>
    <w:rsid w:val="00A3212F"/>
    <w:rsid w:val="00A323E4"/>
    <w:rsid w:val="00A32F16"/>
    <w:rsid w:val="00A33201"/>
    <w:rsid w:val="00A3321C"/>
    <w:rsid w:val="00A33631"/>
    <w:rsid w:val="00A33C8B"/>
    <w:rsid w:val="00A33DB8"/>
    <w:rsid w:val="00A33F4D"/>
    <w:rsid w:val="00A342FC"/>
    <w:rsid w:val="00A343B5"/>
    <w:rsid w:val="00A34789"/>
    <w:rsid w:val="00A34C70"/>
    <w:rsid w:val="00A3630E"/>
    <w:rsid w:val="00A3641D"/>
    <w:rsid w:val="00A36885"/>
    <w:rsid w:val="00A37152"/>
    <w:rsid w:val="00A37BB8"/>
    <w:rsid w:val="00A401CC"/>
    <w:rsid w:val="00A41817"/>
    <w:rsid w:val="00A41C0A"/>
    <w:rsid w:val="00A41FF8"/>
    <w:rsid w:val="00A42648"/>
    <w:rsid w:val="00A42D87"/>
    <w:rsid w:val="00A4347C"/>
    <w:rsid w:val="00A434E5"/>
    <w:rsid w:val="00A43E3B"/>
    <w:rsid w:val="00A44974"/>
    <w:rsid w:val="00A44BD3"/>
    <w:rsid w:val="00A4521D"/>
    <w:rsid w:val="00A4530E"/>
    <w:rsid w:val="00A45911"/>
    <w:rsid w:val="00A45F56"/>
    <w:rsid w:val="00A4642C"/>
    <w:rsid w:val="00A46D6F"/>
    <w:rsid w:val="00A46E68"/>
    <w:rsid w:val="00A473BD"/>
    <w:rsid w:val="00A47EF9"/>
    <w:rsid w:val="00A5006A"/>
    <w:rsid w:val="00A5016B"/>
    <w:rsid w:val="00A51673"/>
    <w:rsid w:val="00A51F0A"/>
    <w:rsid w:val="00A53ADC"/>
    <w:rsid w:val="00A53E14"/>
    <w:rsid w:val="00A54032"/>
    <w:rsid w:val="00A543EA"/>
    <w:rsid w:val="00A54A88"/>
    <w:rsid w:val="00A54EF2"/>
    <w:rsid w:val="00A5533D"/>
    <w:rsid w:val="00A556A9"/>
    <w:rsid w:val="00A55BBD"/>
    <w:rsid w:val="00A55D48"/>
    <w:rsid w:val="00A55D92"/>
    <w:rsid w:val="00A57361"/>
    <w:rsid w:val="00A57557"/>
    <w:rsid w:val="00A57A5E"/>
    <w:rsid w:val="00A57BEB"/>
    <w:rsid w:val="00A6086E"/>
    <w:rsid w:val="00A6122B"/>
    <w:rsid w:val="00A61673"/>
    <w:rsid w:val="00A6206B"/>
    <w:rsid w:val="00A63389"/>
    <w:rsid w:val="00A63553"/>
    <w:rsid w:val="00A639BB"/>
    <w:rsid w:val="00A63BD8"/>
    <w:rsid w:val="00A64926"/>
    <w:rsid w:val="00A64F1A"/>
    <w:rsid w:val="00A65162"/>
    <w:rsid w:val="00A6575D"/>
    <w:rsid w:val="00A65B90"/>
    <w:rsid w:val="00A6655B"/>
    <w:rsid w:val="00A665CF"/>
    <w:rsid w:val="00A668D3"/>
    <w:rsid w:val="00A67CA7"/>
    <w:rsid w:val="00A67EF5"/>
    <w:rsid w:val="00A70B70"/>
    <w:rsid w:val="00A7114A"/>
    <w:rsid w:val="00A7213D"/>
    <w:rsid w:val="00A72D00"/>
    <w:rsid w:val="00A73044"/>
    <w:rsid w:val="00A730C1"/>
    <w:rsid w:val="00A73329"/>
    <w:rsid w:val="00A73989"/>
    <w:rsid w:val="00A73CCB"/>
    <w:rsid w:val="00A75327"/>
    <w:rsid w:val="00A763ED"/>
    <w:rsid w:val="00A76596"/>
    <w:rsid w:val="00A76E0A"/>
    <w:rsid w:val="00A774A1"/>
    <w:rsid w:val="00A7752F"/>
    <w:rsid w:val="00A77881"/>
    <w:rsid w:val="00A77A1C"/>
    <w:rsid w:val="00A77D5E"/>
    <w:rsid w:val="00A80922"/>
    <w:rsid w:val="00A80C74"/>
    <w:rsid w:val="00A811C0"/>
    <w:rsid w:val="00A812EF"/>
    <w:rsid w:val="00A81D5F"/>
    <w:rsid w:val="00A832D1"/>
    <w:rsid w:val="00A83BD5"/>
    <w:rsid w:val="00A83CFD"/>
    <w:rsid w:val="00A83F20"/>
    <w:rsid w:val="00A84F34"/>
    <w:rsid w:val="00A855C8"/>
    <w:rsid w:val="00A85C35"/>
    <w:rsid w:val="00A85EB9"/>
    <w:rsid w:val="00A86D10"/>
    <w:rsid w:val="00A8744E"/>
    <w:rsid w:val="00A87545"/>
    <w:rsid w:val="00A87AE7"/>
    <w:rsid w:val="00A9163E"/>
    <w:rsid w:val="00A91FD7"/>
    <w:rsid w:val="00A92061"/>
    <w:rsid w:val="00A92587"/>
    <w:rsid w:val="00A92D95"/>
    <w:rsid w:val="00A930A0"/>
    <w:rsid w:val="00A93330"/>
    <w:rsid w:val="00A9395F"/>
    <w:rsid w:val="00A940A0"/>
    <w:rsid w:val="00A94249"/>
    <w:rsid w:val="00A94546"/>
    <w:rsid w:val="00A94907"/>
    <w:rsid w:val="00A94BC9"/>
    <w:rsid w:val="00A957EF"/>
    <w:rsid w:val="00A959BC"/>
    <w:rsid w:val="00A9660E"/>
    <w:rsid w:val="00A96C7E"/>
    <w:rsid w:val="00A96CD6"/>
    <w:rsid w:val="00A973A2"/>
    <w:rsid w:val="00A97D67"/>
    <w:rsid w:val="00AA0EBF"/>
    <w:rsid w:val="00AA11E3"/>
    <w:rsid w:val="00AA162C"/>
    <w:rsid w:val="00AA2145"/>
    <w:rsid w:val="00AA2155"/>
    <w:rsid w:val="00AA2D09"/>
    <w:rsid w:val="00AA3C60"/>
    <w:rsid w:val="00AA3CD1"/>
    <w:rsid w:val="00AA3F54"/>
    <w:rsid w:val="00AA405F"/>
    <w:rsid w:val="00AA4073"/>
    <w:rsid w:val="00AA4B36"/>
    <w:rsid w:val="00AA4DBA"/>
    <w:rsid w:val="00AA5CFC"/>
    <w:rsid w:val="00AA663E"/>
    <w:rsid w:val="00AA6D93"/>
    <w:rsid w:val="00AA7041"/>
    <w:rsid w:val="00AA7DBE"/>
    <w:rsid w:val="00AB16B7"/>
    <w:rsid w:val="00AB1E13"/>
    <w:rsid w:val="00AB21BC"/>
    <w:rsid w:val="00AB2217"/>
    <w:rsid w:val="00AB2FF4"/>
    <w:rsid w:val="00AB3565"/>
    <w:rsid w:val="00AB385B"/>
    <w:rsid w:val="00AB421D"/>
    <w:rsid w:val="00AB4291"/>
    <w:rsid w:val="00AB4302"/>
    <w:rsid w:val="00AB4304"/>
    <w:rsid w:val="00AB4572"/>
    <w:rsid w:val="00AB495B"/>
    <w:rsid w:val="00AB4BCC"/>
    <w:rsid w:val="00AB5160"/>
    <w:rsid w:val="00AB574C"/>
    <w:rsid w:val="00AB5F9C"/>
    <w:rsid w:val="00AB6626"/>
    <w:rsid w:val="00AB7BD5"/>
    <w:rsid w:val="00AC0109"/>
    <w:rsid w:val="00AC01E5"/>
    <w:rsid w:val="00AC05CC"/>
    <w:rsid w:val="00AC086F"/>
    <w:rsid w:val="00AC0B33"/>
    <w:rsid w:val="00AC1AD6"/>
    <w:rsid w:val="00AC1C1C"/>
    <w:rsid w:val="00AC1F4A"/>
    <w:rsid w:val="00AC23F2"/>
    <w:rsid w:val="00AC28F7"/>
    <w:rsid w:val="00AC2AC7"/>
    <w:rsid w:val="00AC4225"/>
    <w:rsid w:val="00AC425B"/>
    <w:rsid w:val="00AC49F3"/>
    <w:rsid w:val="00AC4F97"/>
    <w:rsid w:val="00AC54C5"/>
    <w:rsid w:val="00AC63D0"/>
    <w:rsid w:val="00AC6BC9"/>
    <w:rsid w:val="00AC7CB2"/>
    <w:rsid w:val="00AD09C6"/>
    <w:rsid w:val="00AD0CEE"/>
    <w:rsid w:val="00AD1736"/>
    <w:rsid w:val="00AD2696"/>
    <w:rsid w:val="00AD2A76"/>
    <w:rsid w:val="00AD2B24"/>
    <w:rsid w:val="00AD3046"/>
    <w:rsid w:val="00AD3961"/>
    <w:rsid w:val="00AD40C8"/>
    <w:rsid w:val="00AD4448"/>
    <w:rsid w:val="00AD46EE"/>
    <w:rsid w:val="00AD474F"/>
    <w:rsid w:val="00AD4E1C"/>
    <w:rsid w:val="00AD5331"/>
    <w:rsid w:val="00AD62B2"/>
    <w:rsid w:val="00AD64DF"/>
    <w:rsid w:val="00AD69E5"/>
    <w:rsid w:val="00AD7947"/>
    <w:rsid w:val="00AD7A4C"/>
    <w:rsid w:val="00AE0C0F"/>
    <w:rsid w:val="00AE0F58"/>
    <w:rsid w:val="00AE1025"/>
    <w:rsid w:val="00AE187F"/>
    <w:rsid w:val="00AE18BC"/>
    <w:rsid w:val="00AE1B78"/>
    <w:rsid w:val="00AE1DE9"/>
    <w:rsid w:val="00AE21B2"/>
    <w:rsid w:val="00AE27B0"/>
    <w:rsid w:val="00AE38EC"/>
    <w:rsid w:val="00AE3F03"/>
    <w:rsid w:val="00AE4F45"/>
    <w:rsid w:val="00AE5797"/>
    <w:rsid w:val="00AE5B7F"/>
    <w:rsid w:val="00AE64F0"/>
    <w:rsid w:val="00AE6F64"/>
    <w:rsid w:val="00AE7EB2"/>
    <w:rsid w:val="00AF0592"/>
    <w:rsid w:val="00AF0E59"/>
    <w:rsid w:val="00AF1440"/>
    <w:rsid w:val="00AF1CE7"/>
    <w:rsid w:val="00AF23C8"/>
    <w:rsid w:val="00AF2AE2"/>
    <w:rsid w:val="00AF31B1"/>
    <w:rsid w:val="00AF34E0"/>
    <w:rsid w:val="00AF38A7"/>
    <w:rsid w:val="00AF43B8"/>
    <w:rsid w:val="00AF44D2"/>
    <w:rsid w:val="00AF4507"/>
    <w:rsid w:val="00AF47B1"/>
    <w:rsid w:val="00AF4B58"/>
    <w:rsid w:val="00AF5821"/>
    <w:rsid w:val="00AF63F4"/>
    <w:rsid w:val="00AF69EF"/>
    <w:rsid w:val="00AF742E"/>
    <w:rsid w:val="00AF7E91"/>
    <w:rsid w:val="00B0011C"/>
    <w:rsid w:val="00B0016C"/>
    <w:rsid w:val="00B008B3"/>
    <w:rsid w:val="00B00A49"/>
    <w:rsid w:val="00B00DB7"/>
    <w:rsid w:val="00B01167"/>
    <w:rsid w:val="00B02492"/>
    <w:rsid w:val="00B0327F"/>
    <w:rsid w:val="00B0377E"/>
    <w:rsid w:val="00B03E3F"/>
    <w:rsid w:val="00B03F90"/>
    <w:rsid w:val="00B04329"/>
    <w:rsid w:val="00B04651"/>
    <w:rsid w:val="00B048CB"/>
    <w:rsid w:val="00B053F2"/>
    <w:rsid w:val="00B06B14"/>
    <w:rsid w:val="00B0735C"/>
    <w:rsid w:val="00B07BA9"/>
    <w:rsid w:val="00B07E6F"/>
    <w:rsid w:val="00B10055"/>
    <w:rsid w:val="00B105F4"/>
    <w:rsid w:val="00B10655"/>
    <w:rsid w:val="00B10749"/>
    <w:rsid w:val="00B10A6E"/>
    <w:rsid w:val="00B10A70"/>
    <w:rsid w:val="00B110E9"/>
    <w:rsid w:val="00B1141E"/>
    <w:rsid w:val="00B11CD8"/>
    <w:rsid w:val="00B11D86"/>
    <w:rsid w:val="00B124CB"/>
    <w:rsid w:val="00B1278B"/>
    <w:rsid w:val="00B127C0"/>
    <w:rsid w:val="00B12831"/>
    <w:rsid w:val="00B13A41"/>
    <w:rsid w:val="00B142B4"/>
    <w:rsid w:val="00B146DE"/>
    <w:rsid w:val="00B14940"/>
    <w:rsid w:val="00B15010"/>
    <w:rsid w:val="00B1532C"/>
    <w:rsid w:val="00B1584C"/>
    <w:rsid w:val="00B1630C"/>
    <w:rsid w:val="00B17295"/>
    <w:rsid w:val="00B17BC1"/>
    <w:rsid w:val="00B17C08"/>
    <w:rsid w:val="00B20A19"/>
    <w:rsid w:val="00B20B44"/>
    <w:rsid w:val="00B2100D"/>
    <w:rsid w:val="00B215F5"/>
    <w:rsid w:val="00B21824"/>
    <w:rsid w:val="00B21BE4"/>
    <w:rsid w:val="00B22B81"/>
    <w:rsid w:val="00B23250"/>
    <w:rsid w:val="00B2376E"/>
    <w:rsid w:val="00B239B6"/>
    <w:rsid w:val="00B23A8B"/>
    <w:rsid w:val="00B23C79"/>
    <w:rsid w:val="00B23F67"/>
    <w:rsid w:val="00B25213"/>
    <w:rsid w:val="00B253B2"/>
    <w:rsid w:val="00B26790"/>
    <w:rsid w:val="00B26B3A"/>
    <w:rsid w:val="00B27509"/>
    <w:rsid w:val="00B278B1"/>
    <w:rsid w:val="00B27A54"/>
    <w:rsid w:val="00B27BF7"/>
    <w:rsid w:val="00B30783"/>
    <w:rsid w:val="00B30EE8"/>
    <w:rsid w:val="00B312D5"/>
    <w:rsid w:val="00B32B75"/>
    <w:rsid w:val="00B32D1E"/>
    <w:rsid w:val="00B331CA"/>
    <w:rsid w:val="00B332F3"/>
    <w:rsid w:val="00B344C8"/>
    <w:rsid w:val="00B3487D"/>
    <w:rsid w:val="00B34FBB"/>
    <w:rsid w:val="00B35CAB"/>
    <w:rsid w:val="00B363C0"/>
    <w:rsid w:val="00B37898"/>
    <w:rsid w:val="00B37BCD"/>
    <w:rsid w:val="00B40BFB"/>
    <w:rsid w:val="00B40E2E"/>
    <w:rsid w:val="00B4135A"/>
    <w:rsid w:val="00B415F3"/>
    <w:rsid w:val="00B41F0F"/>
    <w:rsid w:val="00B42229"/>
    <w:rsid w:val="00B42560"/>
    <w:rsid w:val="00B43F3B"/>
    <w:rsid w:val="00B44281"/>
    <w:rsid w:val="00B45280"/>
    <w:rsid w:val="00B455AA"/>
    <w:rsid w:val="00B45778"/>
    <w:rsid w:val="00B457A1"/>
    <w:rsid w:val="00B45DC4"/>
    <w:rsid w:val="00B4630F"/>
    <w:rsid w:val="00B4636A"/>
    <w:rsid w:val="00B464B1"/>
    <w:rsid w:val="00B46D0B"/>
    <w:rsid w:val="00B470AE"/>
    <w:rsid w:val="00B4728A"/>
    <w:rsid w:val="00B4740C"/>
    <w:rsid w:val="00B475F3"/>
    <w:rsid w:val="00B47A4A"/>
    <w:rsid w:val="00B47B99"/>
    <w:rsid w:val="00B47D0A"/>
    <w:rsid w:val="00B47E8B"/>
    <w:rsid w:val="00B50365"/>
    <w:rsid w:val="00B506F2"/>
    <w:rsid w:val="00B5074B"/>
    <w:rsid w:val="00B510E3"/>
    <w:rsid w:val="00B520D1"/>
    <w:rsid w:val="00B521AC"/>
    <w:rsid w:val="00B52702"/>
    <w:rsid w:val="00B53629"/>
    <w:rsid w:val="00B53A1C"/>
    <w:rsid w:val="00B540F7"/>
    <w:rsid w:val="00B5498D"/>
    <w:rsid w:val="00B5501D"/>
    <w:rsid w:val="00B557E0"/>
    <w:rsid w:val="00B56EAC"/>
    <w:rsid w:val="00B57477"/>
    <w:rsid w:val="00B57AF2"/>
    <w:rsid w:val="00B57E3F"/>
    <w:rsid w:val="00B60EF4"/>
    <w:rsid w:val="00B6143E"/>
    <w:rsid w:val="00B6151E"/>
    <w:rsid w:val="00B61C8C"/>
    <w:rsid w:val="00B624D1"/>
    <w:rsid w:val="00B6267F"/>
    <w:rsid w:val="00B637FB"/>
    <w:rsid w:val="00B64962"/>
    <w:rsid w:val="00B64DF0"/>
    <w:rsid w:val="00B6638B"/>
    <w:rsid w:val="00B66D2E"/>
    <w:rsid w:val="00B66D7B"/>
    <w:rsid w:val="00B676EC"/>
    <w:rsid w:val="00B6799A"/>
    <w:rsid w:val="00B67D57"/>
    <w:rsid w:val="00B7016C"/>
    <w:rsid w:val="00B7039B"/>
    <w:rsid w:val="00B70933"/>
    <w:rsid w:val="00B70C90"/>
    <w:rsid w:val="00B70EC5"/>
    <w:rsid w:val="00B71579"/>
    <w:rsid w:val="00B71FD0"/>
    <w:rsid w:val="00B7221B"/>
    <w:rsid w:val="00B724CF"/>
    <w:rsid w:val="00B72B29"/>
    <w:rsid w:val="00B72B3A"/>
    <w:rsid w:val="00B73434"/>
    <w:rsid w:val="00B7385F"/>
    <w:rsid w:val="00B738C4"/>
    <w:rsid w:val="00B739F9"/>
    <w:rsid w:val="00B73B91"/>
    <w:rsid w:val="00B745ED"/>
    <w:rsid w:val="00B7462C"/>
    <w:rsid w:val="00B74706"/>
    <w:rsid w:val="00B74A49"/>
    <w:rsid w:val="00B74D1E"/>
    <w:rsid w:val="00B74E56"/>
    <w:rsid w:val="00B75444"/>
    <w:rsid w:val="00B75813"/>
    <w:rsid w:val="00B7583A"/>
    <w:rsid w:val="00B75AF4"/>
    <w:rsid w:val="00B75FC1"/>
    <w:rsid w:val="00B76141"/>
    <w:rsid w:val="00B76634"/>
    <w:rsid w:val="00B7684B"/>
    <w:rsid w:val="00B76A18"/>
    <w:rsid w:val="00B76AA9"/>
    <w:rsid w:val="00B76E33"/>
    <w:rsid w:val="00B76F4B"/>
    <w:rsid w:val="00B80231"/>
    <w:rsid w:val="00B8023D"/>
    <w:rsid w:val="00B8026E"/>
    <w:rsid w:val="00B8043B"/>
    <w:rsid w:val="00B80551"/>
    <w:rsid w:val="00B80687"/>
    <w:rsid w:val="00B8216D"/>
    <w:rsid w:val="00B83CC0"/>
    <w:rsid w:val="00B8418E"/>
    <w:rsid w:val="00B846C6"/>
    <w:rsid w:val="00B849C5"/>
    <w:rsid w:val="00B84C6C"/>
    <w:rsid w:val="00B84E6A"/>
    <w:rsid w:val="00B8506A"/>
    <w:rsid w:val="00B85C86"/>
    <w:rsid w:val="00B85DFF"/>
    <w:rsid w:val="00B86633"/>
    <w:rsid w:val="00B900BC"/>
    <w:rsid w:val="00B90845"/>
    <w:rsid w:val="00B914BE"/>
    <w:rsid w:val="00B91BE7"/>
    <w:rsid w:val="00B91FF8"/>
    <w:rsid w:val="00B92420"/>
    <w:rsid w:val="00B92687"/>
    <w:rsid w:val="00B92C01"/>
    <w:rsid w:val="00B93A4F"/>
    <w:rsid w:val="00B94059"/>
    <w:rsid w:val="00B94248"/>
    <w:rsid w:val="00B942A1"/>
    <w:rsid w:val="00B94ACB"/>
    <w:rsid w:val="00B94B4F"/>
    <w:rsid w:val="00B94C23"/>
    <w:rsid w:val="00B94EE2"/>
    <w:rsid w:val="00B959BE"/>
    <w:rsid w:val="00B95D1B"/>
    <w:rsid w:val="00B95DE9"/>
    <w:rsid w:val="00B96BC5"/>
    <w:rsid w:val="00B976F6"/>
    <w:rsid w:val="00B9772F"/>
    <w:rsid w:val="00B9793A"/>
    <w:rsid w:val="00BA029F"/>
    <w:rsid w:val="00BA0D34"/>
    <w:rsid w:val="00BA0FE1"/>
    <w:rsid w:val="00BA1220"/>
    <w:rsid w:val="00BA13CE"/>
    <w:rsid w:val="00BA21A6"/>
    <w:rsid w:val="00BA2B9E"/>
    <w:rsid w:val="00BA32D0"/>
    <w:rsid w:val="00BA455D"/>
    <w:rsid w:val="00BA498D"/>
    <w:rsid w:val="00BA4BC1"/>
    <w:rsid w:val="00BA59F9"/>
    <w:rsid w:val="00BA5B21"/>
    <w:rsid w:val="00BA5F41"/>
    <w:rsid w:val="00BA685A"/>
    <w:rsid w:val="00BA734D"/>
    <w:rsid w:val="00BA7385"/>
    <w:rsid w:val="00BA75E6"/>
    <w:rsid w:val="00BA7F5A"/>
    <w:rsid w:val="00BB063A"/>
    <w:rsid w:val="00BB092C"/>
    <w:rsid w:val="00BB10F2"/>
    <w:rsid w:val="00BB187C"/>
    <w:rsid w:val="00BB1B68"/>
    <w:rsid w:val="00BB2143"/>
    <w:rsid w:val="00BB2538"/>
    <w:rsid w:val="00BB26B7"/>
    <w:rsid w:val="00BB27B0"/>
    <w:rsid w:val="00BB296B"/>
    <w:rsid w:val="00BB2CB4"/>
    <w:rsid w:val="00BB2F2A"/>
    <w:rsid w:val="00BB3622"/>
    <w:rsid w:val="00BB3E7C"/>
    <w:rsid w:val="00BB682C"/>
    <w:rsid w:val="00BB7CA9"/>
    <w:rsid w:val="00BC01A8"/>
    <w:rsid w:val="00BC0B9D"/>
    <w:rsid w:val="00BC0CD9"/>
    <w:rsid w:val="00BC236B"/>
    <w:rsid w:val="00BC25C0"/>
    <w:rsid w:val="00BC2B50"/>
    <w:rsid w:val="00BC2BB4"/>
    <w:rsid w:val="00BC3EB1"/>
    <w:rsid w:val="00BC45F8"/>
    <w:rsid w:val="00BC4D76"/>
    <w:rsid w:val="00BC4F0C"/>
    <w:rsid w:val="00BC5075"/>
    <w:rsid w:val="00BC53EC"/>
    <w:rsid w:val="00BC5451"/>
    <w:rsid w:val="00BC5563"/>
    <w:rsid w:val="00BC5629"/>
    <w:rsid w:val="00BC569D"/>
    <w:rsid w:val="00BC582F"/>
    <w:rsid w:val="00BC6087"/>
    <w:rsid w:val="00BC64C4"/>
    <w:rsid w:val="00BC65D9"/>
    <w:rsid w:val="00BC66A3"/>
    <w:rsid w:val="00BC72BC"/>
    <w:rsid w:val="00BC7485"/>
    <w:rsid w:val="00BC75A1"/>
    <w:rsid w:val="00BC761A"/>
    <w:rsid w:val="00BC7C52"/>
    <w:rsid w:val="00BD0673"/>
    <w:rsid w:val="00BD0A23"/>
    <w:rsid w:val="00BD0CF6"/>
    <w:rsid w:val="00BD1216"/>
    <w:rsid w:val="00BD1471"/>
    <w:rsid w:val="00BD14C5"/>
    <w:rsid w:val="00BD1691"/>
    <w:rsid w:val="00BD1832"/>
    <w:rsid w:val="00BD1909"/>
    <w:rsid w:val="00BD196A"/>
    <w:rsid w:val="00BD2081"/>
    <w:rsid w:val="00BD2311"/>
    <w:rsid w:val="00BD2407"/>
    <w:rsid w:val="00BD3024"/>
    <w:rsid w:val="00BD3A58"/>
    <w:rsid w:val="00BD3D10"/>
    <w:rsid w:val="00BD421D"/>
    <w:rsid w:val="00BD42ED"/>
    <w:rsid w:val="00BD4672"/>
    <w:rsid w:val="00BD4B26"/>
    <w:rsid w:val="00BD5472"/>
    <w:rsid w:val="00BD5598"/>
    <w:rsid w:val="00BD5AB2"/>
    <w:rsid w:val="00BD5DC7"/>
    <w:rsid w:val="00BD6161"/>
    <w:rsid w:val="00BD624E"/>
    <w:rsid w:val="00BD6262"/>
    <w:rsid w:val="00BD663F"/>
    <w:rsid w:val="00BD6CB1"/>
    <w:rsid w:val="00BD6D39"/>
    <w:rsid w:val="00BD73A7"/>
    <w:rsid w:val="00BE0022"/>
    <w:rsid w:val="00BE0378"/>
    <w:rsid w:val="00BE05B0"/>
    <w:rsid w:val="00BE0803"/>
    <w:rsid w:val="00BE1C93"/>
    <w:rsid w:val="00BE2633"/>
    <w:rsid w:val="00BE2643"/>
    <w:rsid w:val="00BE2C39"/>
    <w:rsid w:val="00BE2D94"/>
    <w:rsid w:val="00BE36AE"/>
    <w:rsid w:val="00BE4029"/>
    <w:rsid w:val="00BE40E5"/>
    <w:rsid w:val="00BE4C48"/>
    <w:rsid w:val="00BE5992"/>
    <w:rsid w:val="00BE61C1"/>
    <w:rsid w:val="00BE63E8"/>
    <w:rsid w:val="00BE64AF"/>
    <w:rsid w:val="00BE6717"/>
    <w:rsid w:val="00BE729D"/>
    <w:rsid w:val="00BE76A3"/>
    <w:rsid w:val="00BF0381"/>
    <w:rsid w:val="00BF08B4"/>
    <w:rsid w:val="00BF169F"/>
    <w:rsid w:val="00BF2A11"/>
    <w:rsid w:val="00BF3475"/>
    <w:rsid w:val="00BF3539"/>
    <w:rsid w:val="00BF3879"/>
    <w:rsid w:val="00BF48AD"/>
    <w:rsid w:val="00BF4997"/>
    <w:rsid w:val="00BF4CE7"/>
    <w:rsid w:val="00BF50B9"/>
    <w:rsid w:val="00BF6512"/>
    <w:rsid w:val="00BF6BAD"/>
    <w:rsid w:val="00BF6E7B"/>
    <w:rsid w:val="00BF79AD"/>
    <w:rsid w:val="00C00064"/>
    <w:rsid w:val="00C00B45"/>
    <w:rsid w:val="00C01021"/>
    <w:rsid w:val="00C0141F"/>
    <w:rsid w:val="00C016B8"/>
    <w:rsid w:val="00C01985"/>
    <w:rsid w:val="00C01D30"/>
    <w:rsid w:val="00C0203E"/>
    <w:rsid w:val="00C02D75"/>
    <w:rsid w:val="00C031D7"/>
    <w:rsid w:val="00C04263"/>
    <w:rsid w:val="00C04577"/>
    <w:rsid w:val="00C0459A"/>
    <w:rsid w:val="00C046B7"/>
    <w:rsid w:val="00C048AF"/>
    <w:rsid w:val="00C048FA"/>
    <w:rsid w:val="00C04C98"/>
    <w:rsid w:val="00C04F69"/>
    <w:rsid w:val="00C05972"/>
    <w:rsid w:val="00C077E0"/>
    <w:rsid w:val="00C077FD"/>
    <w:rsid w:val="00C07DE6"/>
    <w:rsid w:val="00C10248"/>
    <w:rsid w:val="00C104DB"/>
    <w:rsid w:val="00C107D2"/>
    <w:rsid w:val="00C10BEF"/>
    <w:rsid w:val="00C111C4"/>
    <w:rsid w:val="00C122AE"/>
    <w:rsid w:val="00C1231D"/>
    <w:rsid w:val="00C12C7F"/>
    <w:rsid w:val="00C12DFD"/>
    <w:rsid w:val="00C12FF3"/>
    <w:rsid w:val="00C13B71"/>
    <w:rsid w:val="00C13D4B"/>
    <w:rsid w:val="00C154B5"/>
    <w:rsid w:val="00C15548"/>
    <w:rsid w:val="00C157D3"/>
    <w:rsid w:val="00C15B32"/>
    <w:rsid w:val="00C160C1"/>
    <w:rsid w:val="00C160F8"/>
    <w:rsid w:val="00C163D2"/>
    <w:rsid w:val="00C16CD3"/>
    <w:rsid w:val="00C16F1F"/>
    <w:rsid w:val="00C174AD"/>
    <w:rsid w:val="00C174FB"/>
    <w:rsid w:val="00C17872"/>
    <w:rsid w:val="00C20588"/>
    <w:rsid w:val="00C205E4"/>
    <w:rsid w:val="00C205E9"/>
    <w:rsid w:val="00C20E4F"/>
    <w:rsid w:val="00C2122E"/>
    <w:rsid w:val="00C212FC"/>
    <w:rsid w:val="00C21803"/>
    <w:rsid w:val="00C21C83"/>
    <w:rsid w:val="00C22867"/>
    <w:rsid w:val="00C22FD2"/>
    <w:rsid w:val="00C235F0"/>
    <w:rsid w:val="00C23653"/>
    <w:rsid w:val="00C2382A"/>
    <w:rsid w:val="00C238DE"/>
    <w:rsid w:val="00C23F48"/>
    <w:rsid w:val="00C24FB2"/>
    <w:rsid w:val="00C2554C"/>
    <w:rsid w:val="00C25748"/>
    <w:rsid w:val="00C25996"/>
    <w:rsid w:val="00C25CAE"/>
    <w:rsid w:val="00C25CCD"/>
    <w:rsid w:val="00C25DD0"/>
    <w:rsid w:val="00C260E4"/>
    <w:rsid w:val="00C262BD"/>
    <w:rsid w:val="00C272A2"/>
    <w:rsid w:val="00C27B68"/>
    <w:rsid w:val="00C3035B"/>
    <w:rsid w:val="00C30714"/>
    <w:rsid w:val="00C310C2"/>
    <w:rsid w:val="00C31A1E"/>
    <w:rsid w:val="00C31B2F"/>
    <w:rsid w:val="00C31C8C"/>
    <w:rsid w:val="00C31FA5"/>
    <w:rsid w:val="00C32186"/>
    <w:rsid w:val="00C3244D"/>
    <w:rsid w:val="00C328F1"/>
    <w:rsid w:val="00C32A84"/>
    <w:rsid w:val="00C331EF"/>
    <w:rsid w:val="00C341B9"/>
    <w:rsid w:val="00C34E06"/>
    <w:rsid w:val="00C35CE3"/>
    <w:rsid w:val="00C36345"/>
    <w:rsid w:val="00C36525"/>
    <w:rsid w:val="00C36D9C"/>
    <w:rsid w:val="00C37F76"/>
    <w:rsid w:val="00C4087E"/>
    <w:rsid w:val="00C408EC"/>
    <w:rsid w:val="00C409F2"/>
    <w:rsid w:val="00C40EB3"/>
    <w:rsid w:val="00C40F53"/>
    <w:rsid w:val="00C4114A"/>
    <w:rsid w:val="00C412EC"/>
    <w:rsid w:val="00C41407"/>
    <w:rsid w:val="00C41BD9"/>
    <w:rsid w:val="00C4312B"/>
    <w:rsid w:val="00C434FD"/>
    <w:rsid w:val="00C43EE9"/>
    <w:rsid w:val="00C446A0"/>
    <w:rsid w:val="00C44710"/>
    <w:rsid w:val="00C4626C"/>
    <w:rsid w:val="00C4659A"/>
    <w:rsid w:val="00C4685E"/>
    <w:rsid w:val="00C46EE9"/>
    <w:rsid w:val="00C47AC7"/>
    <w:rsid w:val="00C47B00"/>
    <w:rsid w:val="00C47ECD"/>
    <w:rsid w:val="00C50757"/>
    <w:rsid w:val="00C50E82"/>
    <w:rsid w:val="00C50EFD"/>
    <w:rsid w:val="00C51452"/>
    <w:rsid w:val="00C516FE"/>
    <w:rsid w:val="00C5192E"/>
    <w:rsid w:val="00C5277B"/>
    <w:rsid w:val="00C52DE6"/>
    <w:rsid w:val="00C52ED6"/>
    <w:rsid w:val="00C53E5E"/>
    <w:rsid w:val="00C53E7A"/>
    <w:rsid w:val="00C545DE"/>
    <w:rsid w:val="00C54B65"/>
    <w:rsid w:val="00C54B9C"/>
    <w:rsid w:val="00C5591E"/>
    <w:rsid w:val="00C55C8E"/>
    <w:rsid w:val="00C55EB2"/>
    <w:rsid w:val="00C57317"/>
    <w:rsid w:val="00C574A6"/>
    <w:rsid w:val="00C6016B"/>
    <w:rsid w:val="00C603D2"/>
    <w:rsid w:val="00C6048E"/>
    <w:rsid w:val="00C60B6C"/>
    <w:rsid w:val="00C61188"/>
    <w:rsid w:val="00C6145D"/>
    <w:rsid w:val="00C61AA0"/>
    <w:rsid w:val="00C61F73"/>
    <w:rsid w:val="00C62289"/>
    <w:rsid w:val="00C62A9F"/>
    <w:rsid w:val="00C631B8"/>
    <w:rsid w:val="00C634A7"/>
    <w:rsid w:val="00C638D7"/>
    <w:rsid w:val="00C638DF"/>
    <w:rsid w:val="00C63DFF"/>
    <w:rsid w:val="00C63F68"/>
    <w:rsid w:val="00C64058"/>
    <w:rsid w:val="00C6471D"/>
    <w:rsid w:val="00C64720"/>
    <w:rsid w:val="00C64B82"/>
    <w:rsid w:val="00C64E5C"/>
    <w:rsid w:val="00C6517F"/>
    <w:rsid w:val="00C65186"/>
    <w:rsid w:val="00C653F8"/>
    <w:rsid w:val="00C656BF"/>
    <w:rsid w:val="00C665D2"/>
    <w:rsid w:val="00C66A58"/>
    <w:rsid w:val="00C67326"/>
    <w:rsid w:val="00C67718"/>
    <w:rsid w:val="00C67BA6"/>
    <w:rsid w:val="00C700A1"/>
    <w:rsid w:val="00C70303"/>
    <w:rsid w:val="00C70398"/>
    <w:rsid w:val="00C709AC"/>
    <w:rsid w:val="00C70DA3"/>
    <w:rsid w:val="00C70E32"/>
    <w:rsid w:val="00C71920"/>
    <w:rsid w:val="00C723A6"/>
    <w:rsid w:val="00C724E8"/>
    <w:rsid w:val="00C728F2"/>
    <w:rsid w:val="00C72A63"/>
    <w:rsid w:val="00C73060"/>
    <w:rsid w:val="00C73701"/>
    <w:rsid w:val="00C737E4"/>
    <w:rsid w:val="00C738DD"/>
    <w:rsid w:val="00C73BF6"/>
    <w:rsid w:val="00C74260"/>
    <w:rsid w:val="00C75A8D"/>
    <w:rsid w:val="00C76679"/>
    <w:rsid w:val="00C76D4B"/>
    <w:rsid w:val="00C773A8"/>
    <w:rsid w:val="00C77F6A"/>
    <w:rsid w:val="00C77F8B"/>
    <w:rsid w:val="00C80AE4"/>
    <w:rsid w:val="00C81554"/>
    <w:rsid w:val="00C81662"/>
    <w:rsid w:val="00C8239B"/>
    <w:rsid w:val="00C82C61"/>
    <w:rsid w:val="00C832F1"/>
    <w:rsid w:val="00C84542"/>
    <w:rsid w:val="00C84C85"/>
    <w:rsid w:val="00C857F1"/>
    <w:rsid w:val="00C85B37"/>
    <w:rsid w:val="00C871C4"/>
    <w:rsid w:val="00C90865"/>
    <w:rsid w:val="00C90C50"/>
    <w:rsid w:val="00C90D7F"/>
    <w:rsid w:val="00C90EDA"/>
    <w:rsid w:val="00C91276"/>
    <w:rsid w:val="00C918B8"/>
    <w:rsid w:val="00C928C6"/>
    <w:rsid w:val="00C93234"/>
    <w:rsid w:val="00C9334D"/>
    <w:rsid w:val="00C945D1"/>
    <w:rsid w:val="00C94682"/>
    <w:rsid w:val="00C94A05"/>
    <w:rsid w:val="00C9635A"/>
    <w:rsid w:val="00C96761"/>
    <w:rsid w:val="00C96847"/>
    <w:rsid w:val="00C96998"/>
    <w:rsid w:val="00C9705E"/>
    <w:rsid w:val="00C97254"/>
    <w:rsid w:val="00CA028D"/>
    <w:rsid w:val="00CA09E1"/>
    <w:rsid w:val="00CA0F4D"/>
    <w:rsid w:val="00CA1130"/>
    <w:rsid w:val="00CA1A9B"/>
    <w:rsid w:val="00CA22A2"/>
    <w:rsid w:val="00CA310D"/>
    <w:rsid w:val="00CA3BF1"/>
    <w:rsid w:val="00CA415F"/>
    <w:rsid w:val="00CA4780"/>
    <w:rsid w:val="00CA48EC"/>
    <w:rsid w:val="00CA4B91"/>
    <w:rsid w:val="00CA584C"/>
    <w:rsid w:val="00CA5A48"/>
    <w:rsid w:val="00CA5EA7"/>
    <w:rsid w:val="00CA64EA"/>
    <w:rsid w:val="00CA6C17"/>
    <w:rsid w:val="00CA70D2"/>
    <w:rsid w:val="00CA73B9"/>
    <w:rsid w:val="00CA7D51"/>
    <w:rsid w:val="00CA7FA8"/>
    <w:rsid w:val="00CB014E"/>
    <w:rsid w:val="00CB026C"/>
    <w:rsid w:val="00CB0452"/>
    <w:rsid w:val="00CB05CE"/>
    <w:rsid w:val="00CB0A08"/>
    <w:rsid w:val="00CB0D5E"/>
    <w:rsid w:val="00CB0E7A"/>
    <w:rsid w:val="00CB13C7"/>
    <w:rsid w:val="00CB1E5D"/>
    <w:rsid w:val="00CB1F82"/>
    <w:rsid w:val="00CB243E"/>
    <w:rsid w:val="00CB288C"/>
    <w:rsid w:val="00CB2C14"/>
    <w:rsid w:val="00CB2C2E"/>
    <w:rsid w:val="00CB3FDE"/>
    <w:rsid w:val="00CB49DA"/>
    <w:rsid w:val="00CB4CCA"/>
    <w:rsid w:val="00CB55CA"/>
    <w:rsid w:val="00CB59DB"/>
    <w:rsid w:val="00CB5A49"/>
    <w:rsid w:val="00CB5C15"/>
    <w:rsid w:val="00CB678B"/>
    <w:rsid w:val="00CB6F18"/>
    <w:rsid w:val="00CB70E2"/>
    <w:rsid w:val="00CB72AF"/>
    <w:rsid w:val="00CB7DEB"/>
    <w:rsid w:val="00CC08FE"/>
    <w:rsid w:val="00CC0DEA"/>
    <w:rsid w:val="00CC1228"/>
    <w:rsid w:val="00CC12AD"/>
    <w:rsid w:val="00CC1795"/>
    <w:rsid w:val="00CC1A21"/>
    <w:rsid w:val="00CC1E1C"/>
    <w:rsid w:val="00CC239A"/>
    <w:rsid w:val="00CC377A"/>
    <w:rsid w:val="00CC42C8"/>
    <w:rsid w:val="00CC4D40"/>
    <w:rsid w:val="00CC501B"/>
    <w:rsid w:val="00CC5586"/>
    <w:rsid w:val="00CC606B"/>
    <w:rsid w:val="00CC60EC"/>
    <w:rsid w:val="00CC64B8"/>
    <w:rsid w:val="00CC66DE"/>
    <w:rsid w:val="00CC71CA"/>
    <w:rsid w:val="00CC78A8"/>
    <w:rsid w:val="00CC7BEB"/>
    <w:rsid w:val="00CC7C0C"/>
    <w:rsid w:val="00CD01FB"/>
    <w:rsid w:val="00CD06CA"/>
    <w:rsid w:val="00CD0786"/>
    <w:rsid w:val="00CD0E17"/>
    <w:rsid w:val="00CD2E34"/>
    <w:rsid w:val="00CD2E67"/>
    <w:rsid w:val="00CD3263"/>
    <w:rsid w:val="00CD3306"/>
    <w:rsid w:val="00CD4DE4"/>
    <w:rsid w:val="00CD4EC9"/>
    <w:rsid w:val="00CD5644"/>
    <w:rsid w:val="00CD5EBB"/>
    <w:rsid w:val="00CD5FD8"/>
    <w:rsid w:val="00CD6202"/>
    <w:rsid w:val="00CD631E"/>
    <w:rsid w:val="00CD6DD9"/>
    <w:rsid w:val="00CD75E3"/>
    <w:rsid w:val="00CD7A27"/>
    <w:rsid w:val="00CD7D2B"/>
    <w:rsid w:val="00CE052B"/>
    <w:rsid w:val="00CE0AB2"/>
    <w:rsid w:val="00CE14D7"/>
    <w:rsid w:val="00CE14E3"/>
    <w:rsid w:val="00CE154F"/>
    <w:rsid w:val="00CE2627"/>
    <w:rsid w:val="00CE28CA"/>
    <w:rsid w:val="00CE28D5"/>
    <w:rsid w:val="00CE2EB2"/>
    <w:rsid w:val="00CE3634"/>
    <w:rsid w:val="00CE3878"/>
    <w:rsid w:val="00CE3FCC"/>
    <w:rsid w:val="00CE45D1"/>
    <w:rsid w:val="00CE4AED"/>
    <w:rsid w:val="00CE4DE9"/>
    <w:rsid w:val="00CE525D"/>
    <w:rsid w:val="00CE53D7"/>
    <w:rsid w:val="00CE5C99"/>
    <w:rsid w:val="00CE5E36"/>
    <w:rsid w:val="00CE5E41"/>
    <w:rsid w:val="00CE5FA2"/>
    <w:rsid w:val="00CE6DA5"/>
    <w:rsid w:val="00CE6DF6"/>
    <w:rsid w:val="00CE72C4"/>
    <w:rsid w:val="00CE73A1"/>
    <w:rsid w:val="00CE7CAC"/>
    <w:rsid w:val="00CE7F27"/>
    <w:rsid w:val="00CF0411"/>
    <w:rsid w:val="00CF0B39"/>
    <w:rsid w:val="00CF16F0"/>
    <w:rsid w:val="00CF23EE"/>
    <w:rsid w:val="00CF2A9A"/>
    <w:rsid w:val="00CF2AD2"/>
    <w:rsid w:val="00CF340B"/>
    <w:rsid w:val="00CF35F2"/>
    <w:rsid w:val="00CF3B94"/>
    <w:rsid w:val="00CF408B"/>
    <w:rsid w:val="00CF572C"/>
    <w:rsid w:val="00CF5B8C"/>
    <w:rsid w:val="00CF5F9F"/>
    <w:rsid w:val="00D00415"/>
    <w:rsid w:val="00D0134F"/>
    <w:rsid w:val="00D01402"/>
    <w:rsid w:val="00D02352"/>
    <w:rsid w:val="00D0236C"/>
    <w:rsid w:val="00D0275D"/>
    <w:rsid w:val="00D032BF"/>
    <w:rsid w:val="00D03740"/>
    <w:rsid w:val="00D03A82"/>
    <w:rsid w:val="00D04395"/>
    <w:rsid w:val="00D04547"/>
    <w:rsid w:val="00D05939"/>
    <w:rsid w:val="00D0597B"/>
    <w:rsid w:val="00D05C27"/>
    <w:rsid w:val="00D0656D"/>
    <w:rsid w:val="00D06779"/>
    <w:rsid w:val="00D07494"/>
    <w:rsid w:val="00D07986"/>
    <w:rsid w:val="00D07B0A"/>
    <w:rsid w:val="00D07CA7"/>
    <w:rsid w:val="00D10C96"/>
    <w:rsid w:val="00D11250"/>
    <w:rsid w:val="00D11357"/>
    <w:rsid w:val="00D118C3"/>
    <w:rsid w:val="00D11B8F"/>
    <w:rsid w:val="00D11D4A"/>
    <w:rsid w:val="00D11FF8"/>
    <w:rsid w:val="00D121A8"/>
    <w:rsid w:val="00D126F7"/>
    <w:rsid w:val="00D129F5"/>
    <w:rsid w:val="00D12ED9"/>
    <w:rsid w:val="00D13695"/>
    <w:rsid w:val="00D13F43"/>
    <w:rsid w:val="00D141DD"/>
    <w:rsid w:val="00D14472"/>
    <w:rsid w:val="00D1483B"/>
    <w:rsid w:val="00D1494A"/>
    <w:rsid w:val="00D150B1"/>
    <w:rsid w:val="00D15618"/>
    <w:rsid w:val="00D15803"/>
    <w:rsid w:val="00D15E41"/>
    <w:rsid w:val="00D16604"/>
    <w:rsid w:val="00D1672C"/>
    <w:rsid w:val="00D17640"/>
    <w:rsid w:val="00D1767E"/>
    <w:rsid w:val="00D202B6"/>
    <w:rsid w:val="00D202EE"/>
    <w:rsid w:val="00D20B33"/>
    <w:rsid w:val="00D20E5B"/>
    <w:rsid w:val="00D213DF"/>
    <w:rsid w:val="00D21438"/>
    <w:rsid w:val="00D21887"/>
    <w:rsid w:val="00D21D51"/>
    <w:rsid w:val="00D222FE"/>
    <w:rsid w:val="00D23699"/>
    <w:rsid w:val="00D240E2"/>
    <w:rsid w:val="00D24212"/>
    <w:rsid w:val="00D24C51"/>
    <w:rsid w:val="00D24CAA"/>
    <w:rsid w:val="00D24D0D"/>
    <w:rsid w:val="00D266DE"/>
    <w:rsid w:val="00D26D7E"/>
    <w:rsid w:val="00D27016"/>
    <w:rsid w:val="00D271CA"/>
    <w:rsid w:val="00D273E6"/>
    <w:rsid w:val="00D2740C"/>
    <w:rsid w:val="00D279CE"/>
    <w:rsid w:val="00D27D52"/>
    <w:rsid w:val="00D27FCA"/>
    <w:rsid w:val="00D30814"/>
    <w:rsid w:val="00D31188"/>
    <w:rsid w:val="00D31689"/>
    <w:rsid w:val="00D31888"/>
    <w:rsid w:val="00D3197B"/>
    <w:rsid w:val="00D33457"/>
    <w:rsid w:val="00D33583"/>
    <w:rsid w:val="00D339D1"/>
    <w:rsid w:val="00D33AFA"/>
    <w:rsid w:val="00D340B3"/>
    <w:rsid w:val="00D3538F"/>
    <w:rsid w:val="00D355E8"/>
    <w:rsid w:val="00D35828"/>
    <w:rsid w:val="00D362EB"/>
    <w:rsid w:val="00D36457"/>
    <w:rsid w:val="00D367D7"/>
    <w:rsid w:val="00D36ABB"/>
    <w:rsid w:val="00D36E9A"/>
    <w:rsid w:val="00D376CC"/>
    <w:rsid w:val="00D4099C"/>
    <w:rsid w:val="00D411C9"/>
    <w:rsid w:val="00D41283"/>
    <w:rsid w:val="00D42371"/>
    <w:rsid w:val="00D425CC"/>
    <w:rsid w:val="00D427AC"/>
    <w:rsid w:val="00D42960"/>
    <w:rsid w:val="00D4307F"/>
    <w:rsid w:val="00D43D9F"/>
    <w:rsid w:val="00D43DD6"/>
    <w:rsid w:val="00D45361"/>
    <w:rsid w:val="00D45500"/>
    <w:rsid w:val="00D4552E"/>
    <w:rsid w:val="00D45F5D"/>
    <w:rsid w:val="00D45F5E"/>
    <w:rsid w:val="00D4644E"/>
    <w:rsid w:val="00D474A4"/>
    <w:rsid w:val="00D47D98"/>
    <w:rsid w:val="00D50127"/>
    <w:rsid w:val="00D50331"/>
    <w:rsid w:val="00D5035B"/>
    <w:rsid w:val="00D5063E"/>
    <w:rsid w:val="00D513EB"/>
    <w:rsid w:val="00D51C2C"/>
    <w:rsid w:val="00D52312"/>
    <w:rsid w:val="00D52787"/>
    <w:rsid w:val="00D52BA4"/>
    <w:rsid w:val="00D53D2A"/>
    <w:rsid w:val="00D54581"/>
    <w:rsid w:val="00D54882"/>
    <w:rsid w:val="00D54CCD"/>
    <w:rsid w:val="00D55705"/>
    <w:rsid w:val="00D55A36"/>
    <w:rsid w:val="00D55DA9"/>
    <w:rsid w:val="00D5600E"/>
    <w:rsid w:val="00D5689A"/>
    <w:rsid w:val="00D56F6C"/>
    <w:rsid w:val="00D56F76"/>
    <w:rsid w:val="00D57072"/>
    <w:rsid w:val="00D578F8"/>
    <w:rsid w:val="00D60537"/>
    <w:rsid w:val="00D60BC9"/>
    <w:rsid w:val="00D60F6A"/>
    <w:rsid w:val="00D61249"/>
    <w:rsid w:val="00D61447"/>
    <w:rsid w:val="00D614AB"/>
    <w:rsid w:val="00D61929"/>
    <w:rsid w:val="00D61AE5"/>
    <w:rsid w:val="00D621B4"/>
    <w:rsid w:val="00D62594"/>
    <w:rsid w:val="00D6328D"/>
    <w:rsid w:val="00D6401F"/>
    <w:rsid w:val="00D64446"/>
    <w:rsid w:val="00D64636"/>
    <w:rsid w:val="00D658B5"/>
    <w:rsid w:val="00D65A4D"/>
    <w:rsid w:val="00D65DEE"/>
    <w:rsid w:val="00D65E26"/>
    <w:rsid w:val="00D66422"/>
    <w:rsid w:val="00D668E4"/>
    <w:rsid w:val="00D66977"/>
    <w:rsid w:val="00D66A2B"/>
    <w:rsid w:val="00D67466"/>
    <w:rsid w:val="00D67776"/>
    <w:rsid w:val="00D7047B"/>
    <w:rsid w:val="00D70869"/>
    <w:rsid w:val="00D714FC"/>
    <w:rsid w:val="00D718FA"/>
    <w:rsid w:val="00D7203A"/>
    <w:rsid w:val="00D72466"/>
    <w:rsid w:val="00D729A9"/>
    <w:rsid w:val="00D73386"/>
    <w:rsid w:val="00D73914"/>
    <w:rsid w:val="00D741F4"/>
    <w:rsid w:val="00D74401"/>
    <w:rsid w:val="00D747E0"/>
    <w:rsid w:val="00D74D8A"/>
    <w:rsid w:val="00D74FEC"/>
    <w:rsid w:val="00D753A6"/>
    <w:rsid w:val="00D75505"/>
    <w:rsid w:val="00D7561F"/>
    <w:rsid w:val="00D75A08"/>
    <w:rsid w:val="00D75E9D"/>
    <w:rsid w:val="00D765CC"/>
    <w:rsid w:val="00D76695"/>
    <w:rsid w:val="00D77146"/>
    <w:rsid w:val="00D775E8"/>
    <w:rsid w:val="00D77DAB"/>
    <w:rsid w:val="00D8009D"/>
    <w:rsid w:val="00D80137"/>
    <w:rsid w:val="00D80645"/>
    <w:rsid w:val="00D80820"/>
    <w:rsid w:val="00D8154D"/>
    <w:rsid w:val="00D8183B"/>
    <w:rsid w:val="00D81DAA"/>
    <w:rsid w:val="00D820B8"/>
    <w:rsid w:val="00D8228F"/>
    <w:rsid w:val="00D822E7"/>
    <w:rsid w:val="00D828A3"/>
    <w:rsid w:val="00D82B80"/>
    <w:rsid w:val="00D82F62"/>
    <w:rsid w:val="00D83CB1"/>
    <w:rsid w:val="00D85C4E"/>
    <w:rsid w:val="00D862DA"/>
    <w:rsid w:val="00D8640C"/>
    <w:rsid w:val="00D86456"/>
    <w:rsid w:val="00D86D27"/>
    <w:rsid w:val="00D870BD"/>
    <w:rsid w:val="00D87BB8"/>
    <w:rsid w:val="00D9013B"/>
    <w:rsid w:val="00D9055E"/>
    <w:rsid w:val="00D90A19"/>
    <w:rsid w:val="00D90ED8"/>
    <w:rsid w:val="00D90F37"/>
    <w:rsid w:val="00D911AB"/>
    <w:rsid w:val="00D91580"/>
    <w:rsid w:val="00D91699"/>
    <w:rsid w:val="00D91E25"/>
    <w:rsid w:val="00D91EE5"/>
    <w:rsid w:val="00D9216C"/>
    <w:rsid w:val="00D9289F"/>
    <w:rsid w:val="00D9306E"/>
    <w:rsid w:val="00D93374"/>
    <w:rsid w:val="00D937D5"/>
    <w:rsid w:val="00D93C41"/>
    <w:rsid w:val="00D93CB1"/>
    <w:rsid w:val="00D93EF7"/>
    <w:rsid w:val="00D952E3"/>
    <w:rsid w:val="00D953A0"/>
    <w:rsid w:val="00D9591E"/>
    <w:rsid w:val="00D95F26"/>
    <w:rsid w:val="00D961AB"/>
    <w:rsid w:val="00D96441"/>
    <w:rsid w:val="00D975DF"/>
    <w:rsid w:val="00D97776"/>
    <w:rsid w:val="00D97E99"/>
    <w:rsid w:val="00DA03EC"/>
    <w:rsid w:val="00DA0879"/>
    <w:rsid w:val="00DA141D"/>
    <w:rsid w:val="00DA175B"/>
    <w:rsid w:val="00DA1A81"/>
    <w:rsid w:val="00DA1EC8"/>
    <w:rsid w:val="00DA2406"/>
    <w:rsid w:val="00DA26B6"/>
    <w:rsid w:val="00DA28BA"/>
    <w:rsid w:val="00DA2B4B"/>
    <w:rsid w:val="00DA2F78"/>
    <w:rsid w:val="00DA3C5E"/>
    <w:rsid w:val="00DA3D7B"/>
    <w:rsid w:val="00DA3F28"/>
    <w:rsid w:val="00DA429A"/>
    <w:rsid w:val="00DA4419"/>
    <w:rsid w:val="00DA4575"/>
    <w:rsid w:val="00DA4F98"/>
    <w:rsid w:val="00DA5448"/>
    <w:rsid w:val="00DA5953"/>
    <w:rsid w:val="00DA6035"/>
    <w:rsid w:val="00DA605E"/>
    <w:rsid w:val="00DA620E"/>
    <w:rsid w:val="00DA6721"/>
    <w:rsid w:val="00DA6BAE"/>
    <w:rsid w:val="00DA6F67"/>
    <w:rsid w:val="00DA7189"/>
    <w:rsid w:val="00DA7370"/>
    <w:rsid w:val="00DA745C"/>
    <w:rsid w:val="00DA7A66"/>
    <w:rsid w:val="00DA7B49"/>
    <w:rsid w:val="00DB0D8A"/>
    <w:rsid w:val="00DB1190"/>
    <w:rsid w:val="00DB3F16"/>
    <w:rsid w:val="00DB4594"/>
    <w:rsid w:val="00DB4AA3"/>
    <w:rsid w:val="00DB5202"/>
    <w:rsid w:val="00DB68FF"/>
    <w:rsid w:val="00DB7230"/>
    <w:rsid w:val="00DB747C"/>
    <w:rsid w:val="00DC041F"/>
    <w:rsid w:val="00DC04EC"/>
    <w:rsid w:val="00DC04F2"/>
    <w:rsid w:val="00DC1D79"/>
    <w:rsid w:val="00DC2BE4"/>
    <w:rsid w:val="00DC32BA"/>
    <w:rsid w:val="00DC3EB6"/>
    <w:rsid w:val="00DC3FFB"/>
    <w:rsid w:val="00DC4461"/>
    <w:rsid w:val="00DC4C45"/>
    <w:rsid w:val="00DC598C"/>
    <w:rsid w:val="00DC5FD8"/>
    <w:rsid w:val="00DC73AF"/>
    <w:rsid w:val="00DC75EB"/>
    <w:rsid w:val="00DC7B06"/>
    <w:rsid w:val="00DC7CCF"/>
    <w:rsid w:val="00DD003B"/>
    <w:rsid w:val="00DD01FC"/>
    <w:rsid w:val="00DD100C"/>
    <w:rsid w:val="00DD1083"/>
    <w:rsid w:val="00DD1656"/>
    <w:rsid w:val="00DD1E3F"/>
    <w:rsid w:val="00DD1E6A"/>
    <w:rsid w:val="00DD1EF0"/>
    <w:rsid w:val="00DD27B5"/>
    <w:rsid w:val="00DD3526"/>
    <w:rsid w:val="00DD376E"/>
    <w:rsid w:val="00DD3DE6"/>
    <w:rsid w:val="00DD42CC"/>
    <w:rsid w:val="00DD4DA5"/>
    <w:rsid w:val="00DD5222"/>
    <w:rsid w:val="00DD532A"/>
    <w:rsid w:val="00DD62DD"/>
    <w:rsid w:val="00DD6537"/>
    <w:rsid w:val="00DD6634"/>
    <w:rsid w:val="00DD6667"/>
    <w:rsid w:val="00DD6A0D"/>
    <w:rsid w:val="00DD6C32"/>
    <w:rsid w:val="00DD73FB"/>
    <w:rsid w:val="00DD74A2"/>
    <w:rsid w:val="00DE008E"/>
    <w:rsid w:val="00DE03BF"/>
    <w:rsid w:val="00DE0678"/>
    <w:rsid w:val="00DE06DC"/>
    <w:rsid w:val="00DE07B4"/>
    <w:rsid w:val="00DE094C"/>
    <w:rsid w:val="00DE0982"/>
    <w:rsid w:val="00DE1233"/>
    <w:rsid w:val="00DE19D3"/>
    <w:rsid w:val="00DE239E"/>
    <w:rsid w:val="00DE383B"/>
    <w:rsid w:val="00DE496A"/>
    <w:rsid w:val="00DE49BE"/>
    <w:rsid w:val="00DE4F64"/>
    <w:rsid w:val="00DE52CB"/>
    <w:rsid w:val="00DE6576"/>
    <w:rsid w:val="00DE6CF0"/>
    <w:rsid w:val="00DE7512"/>
    <w:rsid w:val="00DE7B7B"/>
    <w:rsid w:val="00DF01D7"/>
    <w:rsid w:val="00DF05F4"/>
    <w:rsid w:val="00DF064F"/>
    <w:rsid w:val="00DF0753"/>
    <w:rsid w:val="00DF0EF7"/>
    <w:rsid w:val="00DF1755"/>
    <w:rsid w:val="00DF1B61"/>
    <w:rsid w:val="00DF21C7"/>
    <w:rsid w:val="00DF226D"/>
    <w:rsid w:val="00DF281A"/>
    <w:rsid w:val="00DF2AEF"/>
    <w:rsid w:val="00DF2DEC"/>
    <w:rsid w:val="00DF319D"/>
    <w:rsid w:val="00DF4614"/>
    <w:rsid w:val="00DF4B1A"/>
    <w:rsid w:val="00DF4D6B"/>
    <w:rsid w:val="00DF5388"/>
    <w:rsid w:val="00DF550F"/>
    <w:rsid w:val="00DF5E8C"/>
    <w:rsid w:val="00DF6D10"/>
    <w:rsid w:val="00DF6F9E"/>
    <w:rsid w:val="00DF7B25"/>
    <w:rsid w:val="00E00B44"/>
    <w:rsid w:val="00E00B67"/>
    <w:rsid w:val="00E00C10"/>
    <w:rsid w:val="00E01547"/>
    <w:rsid w:val="00E025A1"/>
    <w:rsid w:val="00E02DA1"/>
    <w:rsid w:val="00E0322C"/>
    <w:rsid w:val="00E03388"/>
    <w:rsid w:val="00E03641"/>
    <w:rsid w:val="00E03728"/>
    <w:rsid w:val="00E03E94"/>
    <w:rsid w:val="00E04428"/>
    <w:rsid w:val="00E04696"/>
    <w:rsid w:val="00E05370"/>
    <w:rsid w:val="00E05A7D"/>
    <w:rsid w:val="00E05B57"/>
    <w:rsid w:val="00E0615B"/>
    <w:rsid w:val="00E06372"/>
    <w:rsid w:val="00E06F57"/>
    <w:rsid w:val="00E07027"/>
    <w:rsid w:val="00E07AF4"/>
    <w:rsid w:val="00E07CC6"/>
    <w:rsid w:val="00E07FB4"/>
    <w:rsid w:val="00E1128D"/>
    <w:rsid w:val="00E118C0"/>
    <w:rsid w:val="00E121E2"/>
    <w:rsid w:val="00E126DE"/>
    <w:rsid w:val="00E12A1D"/>
    <w:rsid w:val="00E135A1"/>
    <w:rsid w:val="00E139E8"/>
    <w:rsid w:val="00E1496E"/>
    <w:rsid w:val="00E14C5F"/>
    <w:rsid w:val="00E14F86"/>
    <w:rsid w:val="00E15628"/>
    <w:rsid w:val="00E158A5"/>
    <w:rsid w:val="00E15DC7"/>
    <w:rsid w:val="00E1635E"/>
    <w:rsid w:val="00E16EF1"/>
    <w:rsid w:val="00E177A0"/>
    <w:rsid w:val="00E179DB"/>
    <w:rsid w:val="00E17F63"/>
    <w:rsid w:val="00E2040A"/>
    <w:rsid w:val="00E20BC9"/>
    <w:rsid w:val="00E20EC3"/>
    <w:rsid w:val="00E217CB"/>
    <w:rsid w:val="00E21DE6"/>
    <w:rsid w:val="00E22E25"/>
    <w:rsid w:val="00E23AE5"/>
    <w:rsid w:val="00E23CB3"/>
    <w:rsid w:val="00E243E9"/>
    <w:rsid w:val="00E249CD"/>
    <w:rsid w:val="00E24B3A"/>
    <w:rsid w:val="00E24CA4"/>
    <w:rsid w:val="00E24D9B"/>
    <w:rsid w:val="00E25657"/>
    <w:rsid w:val="00E259CE"/>
    <w:rsid w:val="00E25D9A"/>
    <w:rsid w:val="00E25F42"/>
    <w:rsid w:val="00E26858"/>
    <w:rsid w:val="00E271DE"/>
    <w:rsid w:val="00E3059D"/>
    <w:rsid w:val="00E306E9"/>
    <w:rsid w:val="00E308D0"/>
    <w:rsid w:val="00E3102A"/>
    <w:rsid w:val="00E3220E"/>
    <w:rsid w:val="00E323C0"/>
    <w:rsid w:val="00E329A2"/>
    <w:rsid w:val="00E33362"/>
    <w:rsid w:val="00E3388E"/>
    <w:rsid w:val="00E34781"/>
    <w:rsid w:val="00E34996"/>
    <w:rsid w:val="00E35438"/>
    <w:rsid w:val="00E3569D"/>
    <w:rsid w:val="00E363B0"/>
    <w:rsid w:val="00E36AF4"/>
    <w:rsid w:val="00E36CCC"/>
    <w:rsid w:val="00E36F82"/>
    <w:rsid w:val="00E378A2"/>
    <w:rsid w:val="00E37C33"/>
    <w:rsid w:val="00E40AC3"/>
    <w:rsid w:val="00E40D23"/>
    <w:rsid w:val="00E40F54"/>
    <w:rsid w:val="00E4178E"/>
    <w:rsid w:val="00E42489"/>
    <w:rsid w:val="00E42A77"/>
    <w:rsid w:val="00E42C16"/>
    <w:rsid w:val="00E4350E"/>
    <w:rsid w:val="00E43C06"/>
    <w:rsid w:val="00E43F83"/>
    <w:rsid w:val="00E449B1"/>
    <w:rsid w:val="00E45136"/>
    <w:rsid w:val="00E45326"/>
    <w:rsid w:val="00E4588B"/>
    <w:rsid w:val="00E45B07"/>
    <w:rsid w:val="00E460D1"/>
    <w:rsid w:val="00E468B0"/>
    <w:rsid w:val="00E46D20"/>
    <w:rsid w:val="00E47525"/>
    <w:rsid w:val="00E47794"/>
    <w:rsid w:val="00E47B31"/>
    <w:rsid w:val="00E47C71"/>
    <w:rsid w:val="00E501F7"/>
    <w:rsid w:val="00E5082D"/>
    <w:rsid w:val="00E5144B"/>
    <w:rsid w:val="00E5330E"/>
    <w:rsid w:val="00E53700"/>
    <w:rsid w:val="00E54282"/>
    <w:rsid w:val="00E546DC"/>
    <w:rsid w:val="00E54C08"/>
    <w:rsid w:val="00E55DC1"/>
    <w:rsid w:val="00E56D91"/>
    <w:rsid w:val="00E56F4B"/>
    <w:rsid w:val="00E5706F"/>
    <w:rsid w:val="00E574A9"/>
    <w:rsid w:val="00E5770F"/>
    <w:rsid w:val="00E5781E"/>
    <w:rsid w:val="00E601B4"/>
    <w:rsid w:val="00E60B1D"/>
    <w:rsid w:val="00E611A8"/>
    <w:rsid w:val="00E61355"/>
    <w:rsid w:val="00E613BC"/>
    <w:rsid w:val="00E61BF9"/>
    <w:rsid w:val="00E61C63"/>
    <w:rsid w:val="00E61F1E"/>
    <w:rsid w:val="00E624BB"/>
    <w:rsid w:val="00E63068"/>
    <w:rsid w:val="00E632A4"/>
    <w:rsid w:val="00E641B0"/>
    <w:rsid w:val="00E644CF"/>
    <w:rsid w:val="00E64825"/>
    <w:rsid w:val="00E65123"/>
    <w:rsid w:val="00E65358"/>
    <w:rsid w:val="00E65C75"/>
    <w:rsid w:val="00E6650B"/>
    <w:rsid w:val="00E66861"/>
    <w:rsid w:val="00E66E21"/>
    <w:rsid w:val="00E67063"/>
    <w:rsid w:val="00E67A78"/>
    <w:rsid w:val="00E67EA3"/>
    <w:rsid w:val="00E7016B"/>
    <w:rsid w:val="00E70C99"/>
    <w:rsid w:val="00E70E31"/>
    <w:rsid w:val="00E70F38"/>
    <w:rsid w:val="00E710FC"/>
    <w:rsid w:val="00E71548"/>
    <w:rsid w:val="00E71681"/>
    <w:rsid w:val="00E71915"/>
    <w:rsid w:val="00E725C4"/>
    <w:rsid w:val="00E7289C"/>
    <w:rsid w:val="00E7308E"/>
    <w:rsid w:val="00E7371F"/>
    <w:rsid w:val="00E74125"/>
    <w:rsid w:val="00E74369"/>
    <w:rsid w:val="00E750A2"/>
    <w:rsid w:val="00E75110"/>
    <w:rsid w:val="00E7529D"/>
    <w:rsid w:val="00E7570C"/>
    <w:rsid w:val="00E76A8C"/>
    <w:rsid w:val="00E76EBC"/>
    <w:rsid w:val="00E77720"/>
    <w:rsid w:val="00E77FF9"/>
    <w:rsid w:val="00E800B2"/>
    <w:rsid w:val="00E80916"/>
    <w:rsid w:val="00E80D45"/>
    <w:rsid w:val="00E81A00"/>
    <w:rsid w:val="00E825F9"/>
    <w:rsid w:val="00E82DF8"/>
    <w:rsid w:val="00E830FF"/>
    <w:rsid w:val="00E83381"/>
    <w:rsid w:val="00E840DF"/>
    <w:rsid w:val="00E84662"/>
    <w:rsid w:val="00E85574"/>
    <w:rsid w:val="00E8560F"/>
    <w:rsid w:val="00E859C3"/>
    <w:rsid w:val="00E8752D"/>
    <w:rsid w:val="00E8780A"/>
    <w:rsid w:val="00E87974"/>
    <w:rsid w:val="00E9018B"/>
    <w:rsid w:val="00E90524"/>
    <w:rsid w:val="00E90CD7"/>
    <w:rsid w:val="00E915D7"/>
    <w:rsid w:val="00E91AE8"/>
    <w:rsid w:val="00E91D34"/>
    <w:rsid w:val="00E92005"/>
    <w:rsid w:val="00E92E22"/>
    <w:rsid w:val="00E93D80"/>
    <w:rsid w:val="00E94623"/>
    <w:rsid w:val="00E94D74"/>
    <w:rsid w:val="00E957FC"/>
    <w:rsid w:val="00E95CA0"/>
    <w:rsid w:val="00E95D5C"/>
    <w:rsid w:val="00E96CB7"/>
    <w:rsid w:val="00E96FDD"/>
    <w:rsid w:val="00E978E5"/>
    <w:rsid w:val="00EA01A5"/>
    <w:rsid w:val="00EA0289"/>
    <w:rsid w:val="00EA038E"/>
    <w:rsid w:val="00EA04C5"/>
    <w:rsid w:val="00EA0B9F"/>
    <w:rsid w:val="00EA0BB3"/>
    <w:rsid w:val="00EA13FF"/>
    <w:rsid w:val="00EA19AC"/>
    <w:rsid w:val="00EA1D7F"/>
    <w:rsid w:val="00EA1EFB"/>
    <w:rsid w:val="00EA20EC"/>
    <w:rsid w:val="00EA2DF0"/>
    <w:rsid w:val="00EA3475"/>
    <w:rsid w:val="00EA37F1"/>
    <w:rsid w:val="00EA3A63"/>
    <w:rsid w:val="00EA3ACE"/>
    <w:rsid w:val="00EA4210"/>
    <w:rsid w:val="00EA5DF3"/>
    <w:rsid w:val="00EA686A"/>
    <w:rsid w:val="00EA6CCA"/>
    <w:rsid w:val="00EA788C"/>
    <w:rsid w:val="00EA7DBD"/>
    <w:rsid w:val="00EB11D1"/>
    <w:rsid w:val="00EB137A"/>
    <w:rsid w:val="00EB181B"/>
    <w:rsid w:val="00EB1953"/>
    <w:rsid w:val="00EB1CA4"/>
    <w:rsid w:val="00EB2462"/>
    <w:rsid w:val="00EB2708"/>
    <w:rsid w:val="00EB2A12"/>
    <w:rsid w:val="00EB2DEA"/>
    <w:rsid w:val="00EB2E46"/>
    <w:rsid w:val="00EB5195"/>
    <w:rsid w:val="00EB57FB"/>
    <w:rsid w:val="00EB5A70"/>
    <w:rsid w:val="00EB6079"/>
    <w:rsid w:val="00EB721A"/>
    <w:rsid w:val="00EB7ACA"/>
    <w:rsid w:val="00EB7B26"/>
    <w:rsid w:val="00EB7BBB"/>
    <w:rsid w:val="00EB7E89"/>
    <w:rsid w:val="00EC0CBC"/>
    <w:rsid w:val="00EC116D"/>
    <w:rsid w:val="00EC1CCC"/>
    <w:rsid w:val="00EC309A"/>
    <w:rsid w:val="00EC341C"/>
    <w:rsid w:val="00EC346D"/>
    <w:rsid w:val="00EC3E13"/>
    <w:rsid w:val="00EC467E"/>
    <w:rsid w:val="00EC48FD"/>
    <w:rsid w:val="00EC4EAD"/>
    <w:rsid w:val="00EC500D"/>
    <w:rsid w:val="00EC59DB"/>
    <w:rsid w:val="00EC5AD0"/>
    <w:rsid w:val="00EC74A3"/>
    <w:rsid w:val="00EC77F5"/>
    <w:rsid w:val="00ED1657"/>
    <w:rsid w:val="00ED17D1"/>
    <w:rsid w:val="00ED19DD"/>
    <w:rsid w:val="00ED1D5B"/>
    <w:rsid w:val="00ED2498"/>
    <w:rsid w:val="00ED27DB"/>
    <w:rsid w:val="00ED3B09"/>
    <w:rsid w:val="00ED3BC9"/>
    <w:rsid w:val="00ED4139"/>
    <w:rsid w:val="00ED479C"/>
    <w:rsid w:val="00ED5637"/>
    <w:rsid w:val="00ED5909"/>
    <w:rsid w:val="00ED6618"/>
    <w:rsid w:val="00ED6817"/>
    <w:rsid w:val="00ED7230"/>
    <w:rsid w:val="00ED7E84"/>
    <w:rsid w:val="00EE000B"/>
    <w:rsid w:val="00EE01E1"/>
    <w:rsid w:val="00EE0472"/>
    <w:rsid w:val="00EE0DD7"/>
    <w:rsid w:val="00EE2247"/>
    <w:rsid w:val="00EE319D"/>
    <w:rsid w:val="00EE35A2"/>
    <w:rsid w:val="00EE3901"/>
    <w:rsid w:val="00EE3F1A"/>
    <w:rsid w:val="00EE4D44"/>
    <w:rsid w:val="00EE4F50"/>
    <w:rsid w:val="00EE4FD6"/>
    <w:rsid w:val="00EE5149"/>
    <w:rsid w:val="00EE58FD"/>
    <w:rsid w:val="00EE677A"/>
    <w:rsid w:val="00EE682B"/>
    <w:rsid w:val="00EE683E"/>
    <w:rsid w:val="00EE71C9"/>
    <w:rsid w:val="00EE72B8"/>
    <w:rsid w:val="00EE7742"/>
    <w:rsid w:val="00EE7E1A"/>
    <w:rsid w:val="00EF0067"/>
    <w:rsid w:val="00EF0533"/>
    <w:rsid w:val="00EF2C0F"/>
    <w:rsid w:val="00EF2F5C"/>
    <w:rsid w:val="00EF352D"/>
    <w:rsid w:val="00EF3BB8"/>
    <w:rsid w:val="00EF4AEE"/>
    <w:rsid w:val="00EF4AF5"/>
    <w:rsid w:val="00EF5239"/>
    <w:rsid w:val="00EF58AA"/>
    <w:rsid w:val="00EF5DF2"/>
    <w:rsid w:val="00EF5E8A"/>
    <w:rsid w:val="00EF6E41"/>
    <w:rsid w:val="00EF7393"/>
    <w:rsid w:val="00EF787E"/>
    <w:rsid w:val="00EF7EBA"/>
    <w:rsid w:val="00F0037A"/>
    <w:rsid w:val="00F012EE"/>
    <w:rsid w:val="00F015BD"/>
    <w:rsid w:val="00F01A7B"/>
    <w:rsid w:val="00F01C0E"/>
    <w:rsid w:val="00F01FA2"/>
    <w:rsid w:val="00F022CE"/>
    <w:rsid w:val="00F029E0"/>
    <w:rsid w:val="00F02ADB"/>
    <w:rsid w:val="00F02DEB"/>
    <w:rsid w:val="00F03614"/>
    <w:rsid w:val="00F03F3B"/>
    <w:rsid w:val="00F052C2"/>
    <w:rsid w:val="00F05311"/>
    <w:rsid w:val="00F05935"/>
    <w:rsid w:val="00F05B97"/>
    <w:rsid w:val="00F05DAA"/>
    <w:rsid w:val="00F065F8"/>
    <w:rsid w:val="00F07104"/>
    <w:rsid w:val="00F07468"/>
    <w:rsid w:val="00F0775C"/>
    <w:rsid w:val="00F07A37"/>
    <w:rsid w:val="00F10BBE"/>
    <w:rsid w:val="00F11A3C"/>
    <w:rsid w:val="00F11DDC"/>
    <w:rsid w:val="00F1302B"/>
    <w:rsid w:val="00F136A2"/>
    <w:rsid w:val="00F13F76"/>
    <w:rsid w:val="00F14578"/>
    <w:rsid w:val="00F15933"/>
    <w:rsid w:val="00F15C7E"/>
    <w:rsid w:val="00F17642"/>
    <w:rsid w:val="00F17918"/>
    <w:rsid w:val="00F17920"/>
    <w:rsid w:val="00F17C0B"/>
    <w:rsid w:val="00F17DEA"/>
    <w:rsid w:val="00F210E5"/>
    <w:rsid w:val="00F21485"/>
    <w:rsid w:val="00F2173A"/>
    <w:rsid w:val="00F2176B"/>
    <w:rsid w:val="00F2180E"/>
    <w:rsid w:val="00F21B25"/>
    <w:rsid w:val="00F221E7"/>
    <w:rsid w:val="00F22D82"/>
    <w:rsid w:val="00F237FC"/>
    <w:rsid w:val="00F23A8E"/>
    <w:rsid w:val="00F23ED0"/>
    <w:rsid w:val="00F246CB"/>
    <w:rsid w:val="00F24A9D"/>
    <w:rsid w:val="00F24D80"/>
    <w:rsid w:val="00F24E5D"/>
    <w:rsid w:val="00F257CF"/>
    <w:rsid w:val="00F25AAD"/>
    <w:rsid w:val="00F260DE"/>
    <w:rsid w:val="00F26980"/>
    <w:rsid w:val="00F26D40"/>
    <w:rsid w:val="00F302A7"/>
    <w:rsid w:val="00F31434"/>
    <w:rsid w:val="00F32615"/>
    <w:rsid w:val="00F326DA"/>
    <w:rsid w:val="00F32D96"/>
    <w:rsid w:val="00F33140"/>
    <w:rsid w:val="00F340B6"/>
    <w:rsid w:val="00F34854"/>
    <w:rsid w:val="00F34941"/>
    <w:rsid w:val="00F3539B"/>
    <w:rsid w:val="00F35686"/>
    <w:rsid w:val="00F3569F"/>
    <w:rsid w:val="00F35A0D"/>
    <w:rsid w:val="00F361B7"/>
    <w:rsid w:val="00F367CD"/>
    <w:rsid w:val="00F37136"/>
    <w:rsid w:val="00F37936"/>
    <w:rsid w:val="00F37EEA"/>
    <w:rsid w:val="00F40630"/>
    <w:rsid w:val="00F40BAE"/>
    <w:rsid w:val="00F40CB4"/>
    <w:rsid w:val="00F40D5D"/>
    <w:rsid w:val="00F40D6D"/>
    <w:rsid w:val="00F4267A"/>
    <w:rsid w:val="00F427ED"/>
    <w:rsid w:val="00F42ADE"/>
    <w:rsid w:val="00F42DD5"/>
    <w:rsid w:val="00F438C3"/>
    <w:rsid w:val="00F43A4C"/>
    <w:rsid w:val="00F43C63"/>
    <w:rsid w:val="00F442EB"/>
    <w:rsid w:val="00F44EE1"/>
    <w:rsid w:val="00F45253"/>
    <w:rsid w:val="00F45581"/>
    <w:rsid w:val="00F45B1A"/>
    <w:rsid w:val="00F466CC"/>
    <w:rsid w:val="00F46C64"/>
    <w:rsid w:val="00F50BD3"/>
    <w:rsid w:val="00F52F93"/>
    <w:rsid w:val="00F52FA4"/>
    <w:rsid w:val="00F531ED"/>
    <w:rsid w:val="00F5324E"/>
    <w:rsid w:val="00F53BA4"/>
    <w:rsid w:val="00F5433B"/>
    <w:rsid w:val="00F544FF"/>
    <w:rsid w:val="00F54608"/>
    <w:rsid w:val="00F552F2"/>
    <w:rsid w:val="00F559AB"/>
    <w:rsid w:val="00F55E52"/>
    <w:rsid w:val="00F56501"/>
    <w:rsid w:val="00F56511"/>
    <w:rsid w:val="00F573F2"/>
    <w:rsid w:val="00F57EF0"/>
    <w:rsid w:val="00F60FDA"/>
    <w:rsid w:val="00F61A76"/>
    <w:rsid w:val="00F61DFA"/>
    <w:rsid w:val="00F624DA"/>
    <w:rsid w:val="00F627E2"/>
    <w:rsid w:val="00F638A7"/>
    <w:rsid w:val="00F6593F"/>
    <w:rsid w:val="00F659BD"/>
    <w:rsid w:val="00F665A5"/>
    <w:rsid w:val="00F665CE"/>
    <w:rsid w:val="00F66B6A"/>
    <w:rsid w:val="00F66DFC"/>
    <w:rsid w:val="00F70A15"/>
    <w:rsid w:val="00F70BA9"/>
    <w:rsid w:val="00F70EBD"/>
    <w:rsid w:val="00F71520"/>
    <w:rsid w:val="00F71A3D"/>
    <w:rsid w:val="00F721AF"/>
    <w:rsid w:val="00F723E8"/>
    <w:rsid w:val="00F72414"/>
    <w:rsid w:val="00F725F7"/>
    <w:rsid w:val="00F72DAC"/>
    <w:rsid w:val="00F731FE"/>
    <w:rsid w:val="00F73325"/>
    <w:rsid w:val="00F73423"/>
    <w:rsid w:val="00F74F12"/>
    <w:rsid w:val="00F75414"/>
    <w:rsid w:val="00F756B7"/>
    <w:rsid w:val="00F758CC"/>
    <w:rsid w:val="00F758D0"/>
    <w:rsid w:val="00F7590F"/>
    <w:rsid w:val="00F75FE2"/>
    <w:rsid w:val="00F76037"/>
    <w:rsid w:val="00F765FD"/>
    <w:rsid w:val="00F76E5E"/>
    <w:rsid w:val="00F76FB4"/>
    <w:rsid w:val="00F770CE"/>
    <w:rsid w:val="00F77172"/>
    <w:rsid w:val="00F772CC"/>
    <w:rsid w:val="00F77672"/>
    <w:rsid w:val="00F803B8"/>
    <w:rsid w:val="00F80DCB"/>
    <w:rsid w:val="00F80E3E"/>
    <w:rsid w:val="00F80FD0"/>
    <w:rsid w:val="00F812F3"/>
    <w:rsid w:val="00F818E2"/>
    <w:rsid w:val="00F81CE7"/>
    <w:rsid w:val="00F82DC0"/>
    <w:rsid w:val="00F82DDB"/>
    <w:rsid w:val="00F82E99"/>
    <w:rsid w:val="00F83817"/>
    <w:rsid w:val="00F839F7"/>
    <w:rsid w:val="00F83D70"/>
    <w:rsid w:val="00F84213"/>
    <w:rsid w:val="00F849D9"/>
    <w:rsid w:val="00F84E72"/>
    <w:rsid w:val="00F850B7"/>
    <w:rsid w:val="00F8569E"/>
    <w:rsid w:val="00F857A3"/>
    <w:rsid w:val="00F8587F"/>
    <w:rsid w:val="00F85A14"/>
    <w:rsid w:val="00F85BD6"/>
    <w:rsid w:val="00F87CEC"/>
    <w:rsid w:val="00F87D63"/>
    <w:rsid w:val="00F87F42"/>
    <w:rsid w:val="00F90283"/>
    <w:rsid w:val="00F909FF"/>
    <w:rsid w:val="00F90A6B"/>
    <w:rsid w:val="00F90DEA"/>
    <w:rsid w:val="00F90EB0"/>
    <w:rsid w:val="00F913C6"/>
    <w:rsid w:val="00F919DD"/>
    <w:rsid w:val="00F920C7"/>
    <w:rsid w:val="00F94835"/>
    <w:rsid w:val="00F94864"/>
    <w:rsid w:val="00F94FB8"/>
    <w:rsid w:val="00F9552C"/>
    <w:rsid w:val="00F95BA5"/>
    <w:rsid w:val="00F95BDD"/>
    <w:rsid w:val="00F96454"/>
    <w:rsid w:val="00F964A9"/>
    <w:rsid w:val="00F96887"/>
    <w:rsid w:val="00F96A26"/>
    <w:rsid w:val="00F96DE9"/>
    <w:rsid w:val="00F97C2C"/>
    <w:rsid w:val="00F97D0E"/>
    <w:rsid w:val="00F97F0C"/>
    <w:rsid w:val="00F97F95"/>
    <w:rsid w:val="00FA02EE"/>
    <w:rsid w:val="00FA031E"/>
    <w:rsid w:val="00FA13E3"/>
    <w:rsid w:val="00FA15CE"/>
    <w:rsid w:val="00FA18DF"/>
    <w:rsid w:val="00FA257B"/>
    <w:rsid w:val="00FA2FE5"/>
    <w:rsid w:val="00FA33A6"/>
    <w:rsid w:val="00FA4133"/>
    <w:rsid w:val="00FA6011"/>
    <w:rsid w:val="00FA7A99"/>
    <w:rsid w:val="00FA7B80"/>
    <w:rsid w:val="00FA7C4E"/>
    <w:rsid w:val="00FA7C4F"/>
    <w:rsid w:val="00FB0B18"/>
    <w:rsid w:val="00FB0C95"/>
    <w:rsid w:val="00FB1288"/>
    <w:rsid w:val="00FB1EC1"/>
    <w:rsid w:val="00FB2118"/>
    <w:rsid w:val="00FB2ACA"/>
    <w:rsid w:val="00FB371C"/>
    <w:rsid w:val="00FB4A34"/>
    <w:rsid w:val="00FB4AB1"/>
    <w:rsid w:val="00FB4B56"/>
    <w:rsid w:val="00FB673E"/>
    <w:rsid w:val="00FB691D"/>
    <w:rsid w:val="00FB7038"/>
    <w:rsid w:val="00FB753B"/>
    <w:rsid w:val="00FC014E"/>
    <w:rsid w:val="00FC0384"/>
    <w:rsid w:val="00FC0528"/>
    <w:rsid w:val="00FC0E73"/>
    <w:rsid w:val="00FC0FDF"/>
    <w:rsid w:val="00FC1401"/>
    <w:rsid w:val="00FC30DA"/>
    <w:rsid w:val="00FC3D57"/>
    <w:rsid w:val="00FC3DD5"/>
    <w:rsid w:val="00FC3EB4"/>
    <w:rsid w:val="00FC3F67"/>
    <w:rsid w:val="00FC4A0F"/>
    <w:rsid w:val="00FC51B8"/>
    <w:rsid w:val="00FC586B"/>
    <w:rsid w:val="00FC5FD1"/>
    <w:rsid w:val="00FC661B"/>
    <w:rsid w:val="00FC6C2D"/>
    <w:rsid w:val="00FC78FD"/>
    <w:rsid w:val="00FD0322"/>
    <w:rsid w:val="00FD16AB"/>
    <w:rsid w:val="00FD23C6"/>
    <w:rsid w:val="00FD2E3A"/>
    <w:rsid w:val="00FD38DC"/>
    <w:rsid w:val="00FD3F11"/>
    <w:rsid w:val="00FD4298"/>
    <w:rsid w:val="00FD44B5"/>
    <w:rsid w:val="00FD5040"/>
    <w:rsid w:val="00FD5CE1"/>
    <w:rsid w:val="00FD5E39"/>
    <w:rsid w:val="00FD6457"/>
    <w:rsid w:val="00FD6A01"/>
    <w:rsid w:val="00FD755E"/>
    <w:rsid w:val="00FD7C94"/>
    <w:rsid w:val="00FD7CD3"/>
    <w:rsid w:val="00FE1509"/>
    <w:rsid w:val="00FE17B2"/>
    <w:rsid w:val="00FE224F"/>
    <w:rsid w:val="00FE32F0"/>
    <w:rsid w:val="00FE3CB3"/>
    <w:rsid w:val="00FE44C5"/>
    <w:rsid w:val="00FE4807"/>
    <w:rsid w:val="00FE4B34"/>
    <w:rsid w:val="00FE51D2"/>
    <w:rsid w:val="00FE5295"/>
    <w:rsid w:val="00FE6402"/>
    <w:rsid w:val="00FE6872"/>
    <w:rsid w:val="00FE7A42"/>
    <w:rsid w:val="00FE7F03"/>
    <w:rsid w:val="00FF05A1"/>
    <w:rsid w:val="00FF09AC"/>
    <w:rsid w:val="00FF1021"/>
    <w:rsid w:val="00FF141F"/>
    <w:rsid w:val="00FF15A7"/>
    <w:rsid w:val="00FF27CC"/>
    <w:rsid w:val="00FF2826"/>
    <w:rsid w:val="00FF2DCE"/>
    <w:rsid w:val="00FF3369"/>
    <w:rsid w:val="00FF3794"/>
    <w:rsid w:val="00FF38DC"/>
    <w:rsid w:val="00FF406D"/>
    <w:rsid w:val="00FF448C"/>
    <w:rsid w:val="00FF50CC"/>
    <w:rsid w:val="00FF5B54"/>
    <w:rsid w:val="00FF5CE3"/>
    <w:rsid w:val="00FF6569"/>
    <w:rsid w:val="00FF6775"/>
    <w:rsid w:val="00FF6CDB"/>
    <w:rsid w:val="00FF6D41"/>
    <w:rsid w:val="00FF7CAA"/>
    <w:rsid w:val="00FF7CC3"/>
    <w:rsid w:val="00FF7FC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B4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qFormat/>
    <w:locked/>
    <w:rsid w:val="00F75FE2"/>
    <w:pPr>
      <w:keepNext/>
      <w:numPr>
        <w:ilvl w:val="2"/>
        <w:numId w:val="5"/>
      </w:numPr>
      <w:spacing w:before="240" w:after="60"/>
      <w:outlineLvl w:val="2"/>
    </w:pPr>
    <w:rPr>
      <w:rFonts w:ascii="Arial" w:hAnsi="Arial"/>
      <w:sz w:val="24"/>
    </w:rPr>
  </w:style>
  <w:style w:type="paragraph" w:styleId="Heading4">
    <w:name w:val="heading 4"/>
    <w:basedOn w:val="Normal"/>
    <w:next w:val="Normal"/>
    <w:link w:val="Heading4Char"/>
    <w:uiPriority w:val="99"/>
    <w:semiHidden/>
    <w:qFormat/>
    <w:locked/>
    <w:rsid w:val="0043473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semiHidden/>
    <w:qFormat/>
    <w:locked/>
    <w:rsid w:val="0043473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semiHidden/>
    <w:qFormat/>
    <w:locked/>
    <w:rsid w:val="0043473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qFormat/>
    <w:locked/>
    <w:rsid w:val="0043473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qFormat/>
    <w:locked/>
    <w:rsid w:val="0043473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locked/>
    <w:rsid w:val="0043473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351ED4"/>
  </w:style>
  <w:style w:type="paragraph" w:styleId="Bibliography">
    <w:name w:val="Bibliography"/>
    <w:basedOn w:val="Normal"/>
    <w:next w:val="Normal"/>
    <w:uiPriority w:val="99"/>
    <w:semiHidden/>
    <w:unhideWhenUsed/>
    <w:locked/>
    <w:rsid w:val="0043473C"/>
  </w:style>
  <w:style w:type="paragraph" w:styleId="BlockText">
    <w:name w:val="Block Text"/>
    <w:basedOn w:val="Normal"/>
    <w:uiPriority w:val="99"/>
    <w:semiHidden/>
    <w:unhideWhenUsed/>
    <w:locked/>
    <w:rsid w:val="0043473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locked/>
    <w:rsid w:val="0043473C"/>
    <w:pPr>
      <w:spacing w:after="120"/>
    </w:pPr>
  </w:style>
  <w:style w:type="character" w:customStyle="1" w:styleId="BodyTextChar">
    <w:name w:val="Body Text Char"/>
    <w:basedOn w:val="DefaultParagraphFont"/>
    <w:link w:val="BodyText"/>
    <w:uiPriority w:val="99"/>
    <w:semiHidden/>
    <w:rsid w:val="0043473C"/>
  </w:style>
  <w:style w:type="paragraph" w:styleId="BodyText2">
    <w:name w:val="Body Text 2"/>
    <w:basedOn w:val="Normal"/>
    <w:link w:val="BodyText2Char"/>
    <w:uiPriority w:val="99"/>
    <w:semiHidden/>
    <w:unhideWhenUsed/>
    <w:locked/>
    <w:rsid w:val="0043473C"/>
    <w:pPr>
      <w:spacing w:after="120" w:line="480" w:lineRule="auto"/>
    </w:pPr>
  </w:style>
  <w:style w:type="character" w:customStyle="1" w:styleId="BodyText2Char">
    <w:name w:val="Body Text 2 Char"/>
    <w:basedOn w:val="DefaultParagraphFont"/>
    <w:link w:val="BodyText2"/>
    <w:uiPriority w:val="99"/>
    <w:semiHidden/>
    <w:rsid w:val="0043473C"/>
  </w:style>
  <w:style w:type="paragraph" w:styleId="BodyText3">
    <w:name w:val="Body Text 3"/>
    <w:basedOn w:val="Normal"/>
    <w:link w:val="BodyText3Char"/>
    <w:uiPriority w:val="99"/>
    <w:semiHidden/>
    <w:unhideWhenUsed/>
    <w:locked/>
    <w:rsid w:val="0043473C"/>
    <w:pPr>
      <w:spacing w:after="120"/>
    </w:pPr>
    <w:rPr>
      <w:sz w:val="16"/>
      <w:szCs w:val="16"/>
    </w:rPr>
  </w:style>
  <w:style w:type="character" w:customStyle="1" w:styleId="BodyText3Char">
    <w:name w:val="Body Text 3 Char"/>
    <w:basedOn w:val="DefaultParagraphFont"/>
    <w:link w:val="BodyText3"/>
    <w:uiPriority w:val="99"/>
    <w:semiHidden/>
    <w:rsid w:val="0043473C"/>
    <w:rPr>
      <w:sz w:val="16"/>
      <w:szCs w:val="16"/>
    </w:rPr>
  </w:style>
  <w:style w:type="paragraph" w:styleId="BodyTextFirstIndent">
    <w:name w:val="Body Text First Indent"/>
    <w:basedOn w:val="BodyText"/>
    <w:link w:val="BodyTextFirstIndentChar"/>
    <w:uiPriority w:val="99"/>
    <w:semiHidden/>
    <w:locked/>
    <w:rsid w:val="0043473C"/>
    <w:pPr>
      <w:spacing w:after="0"/>
      <w:ind w:firstLine="360"/>
    </w:pPr>
  </w:style>
  <w:style w:type="character" w:customStyle="1" w:styleId="BodyTextFirstIndentChar">
    <w:name w:val="Body Text First Indent Char"/>
    <w:basedOn w:val="BodyTextChar"/>
    <w:link w:val="BodyTextFirstIndent"/>
    <w:uiPriority w:val="99"/>
    <w:semiHidden/>
    <w:rsid w:val="0043473C"/>
  </w:style>
  <w:style w:type="paragraph" w:styleId="BodyTextIndent">
    <w:name w:val="Body Text Indent"/>
    <w:basedOn w:val="Normal"/>
    <w:link w:val="BodyTextIndentChar"/>
    <w:uiPriority w:val="99"/>
    <w:semiHidden/>
    <w:unhideWhenUsed/>
    <w:locked/>
    <w:rsid w:val="0043473C"/>
    <w:pPr>
      <w:spacing w:after="120"/>
      <w:ind w:left="283"/>
    </w:pPr>
  </w:style>
  <w:style w:type="character" w:customStyle="1" w:styleId="BodyTextIndentChar">
    <w:name w:val="Body Text Indent Char"/>
    <w:basedOn w:val="DefaultParagraphFont"/>
    <w:link w:val="BodyTextIndent"/>
    <w:uiPriority w:val="99"/>
    <w:semiHidden/>
    <w:rsid w:val="0043473C"/>
  </w:style>
  <w:style w:type="paragraph" w:styleId="BodyTextFirstIndent2">
    <w:name w:val="Body Text First Indent 2"/>
    <w:basedOn w:val="BodyTextIndent"/>
    <w:link w:val="BodyTextFirstIndent2Char"/>
    <w:uiPriority w:val="99"/>
    <w:semiHidden/>
    <w:unhideWhenUsed/>
    <w:locked/>
    <w:rsid w:val="0043473C"/>
    <w:pPr>
      <w:spacing w:after="0"/>
      <w:ind w:left="360" w:firstLine="360"/>
    </w:pPr>
  </w:style>
  <w:style w:type="character" w:customStyle="1" w:styleId="BodyTextFirstIndent2Char">
    <w:name w:val="Body Text First Indent 2 Char"/>
    <w:basedOn w:val="BodyTextIndentChar"/>
    <w:link w:val="BodyTextFirstIndent2"/>
    <w:uiPriority w:val="99"/>
    <w:semiHidden/>
    <w:rsid w:val="0043473C"/>
  </w:style>
  <w:style w:type="paragraph" w:styleId="BodyTextIndent2">
    <w:name w:val="Body Text Indent 2"/>
    <w:basedOn w:val="Normal"/>
    <w:link w:val="BodyTextIndent2Char"/>
    <w:uiPriority w:val="99"/>
    <w:semiHidden/>
    <w:unhideWhenUsed/>
    <w:locked/>
    <w:rsid w:val="0043473C"/>
    <w:pPr>
      <w:spacing w:after="120" w:line="480" w:lineRule="auto"/>
      <w:ind w:left="283"/>
    </w:pPr>
  </w:style>
  <w:style w:type="character" w:customStyle="1" w:styleId="BodyTextIndent2Char">
    <w:name w:val="Body Text Indent 2 Char"/>
    <w:basedOn w:val="DefaultParagraphFont"/>
    <w:link w:val="BodyTextIndent2"/>
    <w:uiPriority w:val="99"/>
    <w:semiHidden/>
    <w:rsid w:val="0043473C"/>
  </w:style>
  <w:style w:type="paragraph" w:styleId="BodyTextIndent3">
    <w:name w:val="Body Text Indent 3"/>
    <w:basedOn w:val="Normal"/>
    <w:link w:val="BodyTextIndent3Char"/>
    <w:uiPriority w:val="99"/>
    <w:semiHidden/>
    <w:unhideWhenUsed/>
    <w:locked/>
    <w:rsid w:val="0043473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3473C"/>
    <w:rPr>
      <w:sz w:val="16"/>
      <w:szCs w:val="16"/>
    </w:rPr>
  </w:style>
  <w:style w:type="paragraph" w:styleId="Caption">
    <w:name w:val="caption"/>
    <w:basedOn w:val="Normal"/>
    <w:next w:val="Normal"/>
    <w:uiPriority w:val="99"/>
    <w:semiHidden/>
    <w:unhideWhenUsed/>
    <w:qFormat/>
    <w:locked/>
    <w:rsid w:val="0043473C"/>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locked/>
    <w:rsid w:val="0043473C"/>
    <w:pPr>
      <w:spacing w:line="240" w:lineRule="auto"/>
      <w:ind w:left="4252"/>
    </w:pPr>
  </w:style>
  <w:style w:type="character" w:customStyle="1" w:styleId="ClosingChar">
    <w:name w:val="Closing Char"/>
    <w:basedOn w:val="DefaultParagraphFont"/>
    <w:link w:val="Closing"/>
    <w:uiPriority w:val="99"/>
    <w:semiHidden/>
    <w:rsid w:val="0043473C"/>
  </w:style>
  <w:style w:type="paragraph" w:styleId="CommentText">
    <w:name w:val="annotation text"/>
    <w:basedOn w:val="Normal"/>
    <w:link w:val="CommentTextChar"/>
    <w:uiPriority w:val="99"/>
    <w:unhideWhenUsed/>
    <w:locked/>
    <w:rsid w:val="0043473C"/>
    <w:pPr>
      <w:spacing w:line="240" w:lineRule="auto"/>
    </w:pPr>
    <w:rPr>
      <w:sz w:val="20"/>
      <w:szCs w:val="20"/>
    </w:rPr>
  </w:style>
  <w:style w:type="character" w:customStyle="1" w:styleId="CommentTextChar">
    <w:name w:val="Comment Text Char"/>
    <w:basedOn w:val="DefaultParagraphFont"/>
    <w:link w:val="CommentText"/>
    <w:uiPriority w:val="99"/>
    <w:rsid w:val="0043473C"/>
    <w:rPr>
      <w:sz w:val="20"/>
      <w:szCs w:val="20"/>
    </w:rPr>
  </w:style>
  <w:style w:type="paragraph" w:styleId="CommentSubject">
    <w:name w:val="annotation subject"/>
    <w:basedOn w:val="CommentText"/>
    <w:next w:val="CommentText"/>
    <w:link w:val="CommentSubjectChar"/>
    <w:uiPriority w:val="99"/>
    <w:semiHidden/>
    <w:unhideWhenUsed/>
    <w:locked/>
    <w:rsid w:val="0043473C"/>
    <w:rPr>
      <w:b/>
      <w:bCs/>
    </w:rPr>
  </w:style>
  <w:style w:type="character" w:customStyle="1" w:styleId="CommentSubjectChar">
    <w:name w:val="Comment Subject Char"/>
    <w:basedOn w:val="CommentTextChar"/>
    <w:link w:val="CommentSubject"/>
    <w:uiPriority w:val="99"/>
    <w:semiHidden/>
    <w:rsid w:val="0043473C"/>
    <w:rPr>
      <w:b/>
      <w:bCs/>
      <w:sz w:val="20"/>
      <w:szCs w:val="20"/>
    </w:rPr>
  </w:style>
  <w:style w:type="paragraph" w:styleId="Date">
    <w:name w:val="Date"/>
    <w:basedOn w:val="Normal"/>
    <w:next w:val="Normal"/>
    <w:link w:val="DateChar"/>
    <w:uiPriority w:val="99"/>
    <w:semiHidden/>
    <w:locked/>
    <w:rsid w:val="0043473C"/>
  </w:style>
  <w:style w:type="character" w:customStyle="1" w:styleId="DateChar">
    <w:name w:val="Date Char"/>
    <w:basedOn w:val="DefaultParagraphFont"/>
    <w:link w:val="Date"/>
    <w:uiPriority w:val="99"/>
    <w:semiHidden/>
    <w:rsid w:val="0043473C"/>
  </w:style>
  <w:style w:type="paragraph" w:styleId="DocumentMap">
    <w:name w:val="Document Map"/>
    <w:basedOn w:val="Normal"/>
    <w:link w:val="DocumentMapChar"/>
    <w:uiPriority w:val="99"/>
    <w:semiHidden/>
    <w:unhideWhenUsed/>
    <w:locked/>
    <w:rsid w:val="0043473C"/>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3473C"/>
    <w:rPr>
      <w:rFonts w:ascii="Segoe UI" w:hAnsi="Segoe UI" w:cs="Segoe UI"/>
      <w:sz w:val="16"/>
      <w:szCs w:val="16"/>
    </w:rPr>
  </w:style>
  <w:style w:type="paragraph" w:styleId="E-mailSignature">
    <w:name w:val="E-mail Signature"/>
    <w:basedOn w:val="Normal"/>
    <w:link w:val="E-mailSignatureChar"/>
    <w:uiPriority w:val="99"/>
    <w:semiHidden/>
    <w:unhideWhenUsed/>
    <w:locked/>
    <w:rsid w:val="0043473C"/>
    <w:pPr>
      <w:spacing w:line="240" w:lineRule="auto"/>
    </w:pPr>
  </w:style>
  <w:style w:type="character" w:customStyle="1" w:styleId="E-mailSignatureChar">
    <w:name w:val="E-mail Signature Char"/>
    <w:basedOn w:val="DefaultParagraphFont"/>
    <w:link w:val="E-mailSignature"/>
    <w:uiPriority w:val="99"/>
    <w:semiHidden/>
    <w:rsid w:val="0043473C"/>
  </w:style>
  <w:style w:type="paragraph" w:styleId="EndnoteText">
    <w:name w:val="endnote text"/>
    <w:basedOn w:val="Normal"/>
    <w:link w:val="EndnoteTextChar"/>
    <w:uiPriority w:val="99"/>
    <w:semiHidden/>
    <w:unhideWhenUsed/>
    <w:locked/>
    <w:rsid w:val="0043473C"/>
    <w:pPr>
      <w:spacing w:line="240" w:lineRule="auto"/>
    </w:pPr>
    <w:rPr>
      <w:sz w:val="20"/>
      <w:szCs w:val="20"/>
    </w:rPr>
  </w:style>
  <w:style w:type="character" w:customStyle="1" w:styleId="EndnoteTextChar">
    <w:name w:val="Endnote Text Char"/>
    <w:basedOn w:val="DefaultParagraphFont"/>
    <w:link w:val="EndnoteText"/>
    <w:uiPriority w:val="99"/>
    <w:semiHidden/>
    <w:rsid w:val="0043473C"/>
    <w:rPr>
      <w:sz w:val="20"/>
      <w:szCs w:val="20"/>
    </w:rPr>
  </w:style>
  <w:style w:type="character" w:customStyle="1" w:styleId="Heading4Char">
    <w:name w:val="Heading 4 Char"/>
    <w:basedOn w:val="DefaultParagraphFont"/>
    <w:link w:val="Heading4"/>
    <w:uiPriority w:val="99"/>
    <w:semiHidden/>
    <w:rsid w:val="0043473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9"/>
    <w:semiHidden/>
    <w:rsid w:val="0043473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3473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9"/>
    <w:semiHidden/>
    <w:rsid w:val="0043473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9"/>
    <w:semiHidden/>
    <w:rsid w:val="0043473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43473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locked/>
    <w:rsid w:val="0043473C"/>
    <w:pPr>
      <w:spacing w:line="240" w:lineRule="auto"/>
    </w:pPr>
    <w:rPr>
      <w:i/>
      <w:iCs/>
    </w:rPr>
  </w:style>
  <w:style w:type="character" w:customStyle="1" w:styleId="HTMLAddressChar">
    <w:name w:val="HTML Address Char"/>
    <w:basedOn w:val="DefaultParagraphFont"/>
    <w:link w:val="HTMLAddress"/>
    <w:uiPriority w:val="99"/>
    <w:semiHidden/>
    <w:rsid w:val="0043473C"/>
    <w:rPr>
      <w:i/>
      <w:iCs/>
    </w:rPr>
  </w:style>
  <w:style w:type="paragraph" w:styleId="HTMLPreformatted">
    <w:name w:val="HTML Preformatted"/>
    <w:basedOn w:val="Normal"/>
    <w:link w:val="HTMLPreformattedChar"/>
    <w:uiPriority w:val="99"/>
    <w:semiHidden/>
    <w:unhideWhenUsed/>
    <w:locked/>
    <w:rsid w:val="0043473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3473C"/>
    <w:rPr>
      <w:rFonts w:ascii="Consolas" w:hAnsi="Consolas"/>
      <w:sz w:val="20"/>
      <w:szCs w:val="20"/>
    </w:rPr>
  </w:style>
  <w:style w:type="paragraph" w:styleId="Index1">
    <w:name w:val="index 1"/>
    <w:basedOn w:val="Normal"/>
    <w:next w:val="Normal"/>
    <w:autoRedefine/>
    <w:uiPriority w:val="99"/>
    <w:semiHidden/>
    <w:unhideWhenUsed/>
    <w:locked/>
    <w:rsid w:val="0043473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260" w:hanging="260"/>
    </w:pPr>
  </w:style>
  <w:style w:type="paragraph" w:styleId="Index2">
    <w:name w:val="index 2"/>
    <w:basedOn w:val="Normal"/>
    <w:next w:val="Normal"/>
    <w:autoRedefine/>
    <w:uiPriority w:val="99"/>
    <w:semiHidden/>
    <w:unhideWhenUsed/>
    <w:locked/>
    <w:rsid w:val="0043473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520" w:hanging="260"/>
    </w:pPr>
  </w:style>
  <w:style w:type="paragraph" w:styleId="Index3">
    <w:name w:val="index 3"/>
    <w:basedOn w:val="Normal"/>
    <w:next w:val="Normal"/>
    <w:autoRedefine/>
    <w:uiPriority w:val="99"/>
    <w:semiHidden/>
    <w:unhideWhenUsed/>
    <w:locked/>
    <w:rsid w:val="0043473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780" w:hanging="260"/>
    </w:pPr>
  </w:style>
  <w:style w:type="paragraph" w:styleId="Index4">
    <w:name w:val="index 4"/>
    <w:basedOn w:val="Normal"/>
    <w:next w:val="Normal"/>
    <w:autoRedefine/>
    <w:uiPriority w:val="99"/>
    <w:semiHidden/>
    <w:unhideWhenUsed/>
    <w:locked/>
    <w:rsid w:val="0043473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1040" w:hanging="260"/>
    </w:pPr>
  </w:style>
  <w:style w:type="paragraph" w:styleId="Index5">
    <w:name w:val="index 5"/>
    <w:basedOn w:val="Normal"/>
    <w:next w:val="Normal"/>
    <w:autoRedefine/>
    <w:uiPriority w:val="99"/>
    <w:semiHidden/>
    <w:unhideWhenUsed/>
    <w:locked/>
    <w:rsid w:val="0043473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1300" w:hanging="260"/>
    </w:pPr>
  </w:style>
  <w:style w:type="paragraph" w:styleId="Index6">
    <w:name w:val="index 6"/>
    <w:basedOn w:val="Normal"/>
    <w:next w:val="Normal"/>
    <w:autoRedefine/>
    <w:uiPriority w:val="99"/>
    <w:semiHidden/>
    <w:unhideWhenUsed/>
    <w:locked/>
    <w:rsid w:val="0043473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1560" w:hanging="260"/>
    </w:pPr>
  </w:style>
  <w:style w:type="paragraph" w:styleId="Index7">
    <w:name w:val="index 7"/>
    <w:basedOn w:val="Normal"/>
    <w:next w:val="Normal"/>
    <w:autoRedefine/>
    <w:uiPriority w:val="99"/>
    <w:semiHidden/>
    <w:unhideWhenUsed/>
    <w:locked/>
    <w:rsid w:val="0043473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1820" w:hanging="260"/>
    </w:pPr>
  </w:style>
  <w:style w:type="paragraph" w:styleId="Index8">
    <w:name w:val="index 8"/>
    <w:basedOn w:val="Normal"/>
    <w:next w:val="Normal"/>
    <w:autoRedefine/>
    <w:uiPriority w:val="99"/>
    <w:semiHidden/>
    <w:unhideWhenUsed/>
    <w:locked/>
    <w:rsid w:val="0043473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2080" w:hanging="260"/>
    </w:pPr>
  </w:style>
  <w:style w:type="paragraph" w:styleId="Index9">
    <w:name w:val="index 9"/>
    <w:basedOn w:val="Normal"/>
    <w:next w:val="Normal"/>
    <w:autoRedefine/>
    <w:uiPriority w:val="99"/>
    <w:semiHidden/>
    <w:unhideWhenUsed/>
    <w:locked/>
    <w:rsid w:val="0043473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2340" w:hanging="260"/>
    </w:pPr>
  </w:style>
  <w:style w:type="paragraph" w:styleId="IndexHeading">
    <w:name w:val="index heading"/>
    <w:basedOn w:val="Normal"/>
    <w:next w:val="Index1"/>
    <w:uiPriority w:val="99"/>
    <w:semiHidden/>
    <w:unhideWhenUsed/>
    <w:locked/>
    <w:rsid w:val="0043473C"/>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qFormat/>
    <w:locked/>
    <w:rsid w:val="0043473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semiHidden/>
    <w:rsid w:val="0043473C"/>
    <w:rPr>
      <w:i/>
      <w:iCs/>
      <w:color w:val="4F81BD" w:themeColor="accent1"/>
    </w:rPr>
  </w:style>
  <w:style w:type="paragraph" w:styleId="List">
    <w:name w:val="List"/>
    <w:basedOn w:val="Normal"/>
    <w:uiPriority w:val="99"/>
    <w:semiHidden/>
    <w:unhideWhenUsed/>
    <w:locked/>
    <w:rsid w:val="0043473C"/>
    <w:pPr>
      <w:ind w:left="283" w:hanging="283"/>
      <w:contextualSpacing/>
    </w:pPr>
  </w:style>
  <w:style w:type="paragraph" w:styleId="List2">
    <w:name w:val="List 2"/>
    <w:basedOn w:val="Normal"/>
    <w:uiPriority w:val="99"/>
    <w:semiHidden/>
    <w:unhideWhenUsed/>
    <w:locked/>
    <w:rsid w:val="0043473C"/>
    <w:pPr>
      <w:ind w:left="566" w:hanging="283"/>
      <w:contextualSpacing/>
    </w:pPr>
  </w:style>
  <w:style w:type="paragraph" w:styleId="List3">
    <w:name w:val="List 3"/>
    <w:basedOn w:val="Normal"/>
    <w:uiPriority w:val="99"/>
    <w:semiHidden/>
    <w:unhideWhenUsed/>
    <w:locked/>
    <w:rsid w:val="0043473C"/>
    <w:pPr>
      <w:ind w:left="849" w:hanging="283"/>
      <w:contextualSpacing/>
    </w:pPr>
  </w:style>
  <w:style w:type="paragraph" w:styleId="List4">
    <w:name w:val="List 4"/>
    <w:basedOn w:val="Normal"/>
    <w:uiPriority w:val="99"/>
    <w:semiHidden/>
    <w:locked/>
    <w:rsid w:val="0043473C"/>
    <w:pPr>
      <w:ind w:left="1132" w:hanging="283"/>
      <w:contextualSpacing/>
    </w:pPr>
  </w:style>
  <w:style w:type="paragraph" w:styleId="List5">
    <w:name w:val="List 5"/>
    <w:basedOn w:val="Normal"/>
    <w:uiPriority w:val="99"/>
    <w:semiHidden/>
    <w:locked/>
    <w:rsid w:val="0043473C"/>
    <w:pPr>
      <w:ind w:left="1415" w:hanging="283"/>
      <w:contextualSpacing/>
    </w:pPr>
  </w:style>
  <w:style w:type="paragraph" w:styleId="ListBullet">
    <w:name w:val="List Bullet"/>
    <w:basedOn w:val="Normal"/>
    <w:uiPriority w:val="99"/>
    <w:semiHidden/>
    <w:unhideWhenUsed/>
    <w:locked/>
    <w:rsid w:val="0043473C"/>
    <w:pPr>
      <w:numPr>
        <w:numId w:val="7"/>
      </w:numPr>
      <w:contextualSpacing/>
    </w:pPr>
  </w:style>
  <w:style w:type="paragraph" w:styleId="ListBullet2">
    <w:name w:val="List Bullet 2"/>
    <w:basedOn w:val="Normal"/>
    <w:uiPriority w:val="99"/>
    <w:semiHidden/>
    <w:unhideWhenUsed/>
    <w:locked/>
    <w:rsid w:val="0043473C"/>
    <w:pPr>
      <w:numPr>
        <w:numId w:val="8"/>
      </w:numPr>
      <w:contextualSpacing/>
    </w:pPr>
  </w:style>
  <w:style w:type="paragraph" w:styleId="ListBullet3">
    <w:name w:val="List Bullet 3"/>
    <w:basedOn w:val="Normal"/>
    <w:uiPriority w:val="99"/>
    <w:semiHidden/>
    <w:unhideWhenUsed/>
    <w:locked/>
    <w:rsid w:val="0043473C"/>
    <w:pPr>
      <w:numPr>
        <w:numId w:val="6"/>
      </w:numPr>
      <w:contextualSpacing/>
    </w:pPr>
  </w:style>
  <w:style w:type="paragraph" w:styleId="ListBullet4">
    <w:name w:val="List Bullet 4"/>
    <w:basedOn w:val="Normal"/>
    <w:uiPriority w:val="99"/>
    <w:semiHidden/>
    <w:unhideWhenUsed/>
    <w:locked/>
    <w:rsid w:val="0043473C"/>
    <w:pPr>
      <w:numPr>
        <w:numId w:val="9"/>
      </w:numPr>
      <w:contextualSpacing/>
    </w:pPr>
  </w:style>
  <w:style w:type="paragraph" w:styleId="ListBullet5">
    <w:name w:val="List Bullet 5"/>
    <w:basedOn w:val="Normal"/>
    <w:uiPriority w:val="99"/>
    <w:unhideWhenUsed/>
    <w:locked/>
    <w:rsid w:val="0043473C"/>
    <w:pPr>
      <w:numPr>
        <w:numId w:val="10"/>
      </w:numPr>
      <w:contextualSpacing/>
    </w:pPr>
  </w:style>
  <w:style w:type="paragraph" w:styleId="ListContinue">
    <w:name w:val="List Continue"/>
    <w:basedOn w:val="Normal"/>
    <w:uiPriority w:val="99"/>
    <w:semiHidden/>
    <w:unhideWhenUsed/>
    <w:locked/>
    <w:rsid w:val="0043473C"/>
    <w:pPr>
      <w:spacing w:after="120"/>
      <w:ind w:left="283"/>
      <w:contextualSpacing/>
    </w:pPr>
  </w:style>
  <w:style w:type="paragraph" w:styleId="ListContinue2">
    <w:name w:val="List Continue 2"/>
    <w:basedOn w:val="Normal"/>
    <w:uiPriority w:val="99"/>
    <w:semiHidden/>
    <w:unhideWhenUsed/>
    <w:locked/>
    <w:rsid w:val="0043473C"/>
    <w:pPr>
      <w:spacing w:after="120"/>
      <w:ind w:left="566"/>
      <w:contextualSpacing/>
    </w:pPr>
  </w:style>
  <w:style w:type="paragraph" w:styleId="ListContinue3">
    <w:name w:val="List Continue 3"/>
    <w:basedOn w:val="Normal"/>
    <w:uiPriority w:val="99"/>
    <w:semiHidden/>
    <w:unhideWhenUsed/>
    <w:locked/>
    <w:rsid w:val="0043473C"/>
    <w:pPr>
      <w:spacing w:after="120"/>
      <w:ind w:left="849"/>
      <w:contextualSpacing/>
    </w:pPr>
  </w:style>
  <w:style w:type="paragraph" w:styleId="ListContinue4">
    <w:name w:val="List Continue 4"/>
    <w:basedOn w:val="Normal"/>
    <w:uiPriority w:val="99"/>
    <w:semiHidden/>
    <w:unhideWhenUsed/>
    <w:locked/>
    <w:rsid w:val="0043473C"/>
    <w:pPr>
      <w:spacing w:after="120"/>
      <w:ind w:left="1132"/>
      <w:contextualSpacing/>
    </w:pPr>
  </w:style>
  <w:style w:type="paragraph" w:styleId="ListContinue5">
    <w:name w:val="List Continue 5"/>
    <w:basedOn w:val="Normal"/>
    <w:uiPriority w:val="99"/>
    <w:semiHidden/>
    <w:unhideWhenUsed/>
    <w:locked/>
    <w:rsid w:val="0043473C"/>
    <w:pPr>
      <w:spacing w:after="120"/>
      <w:ind w:left="1415"/>
      <w:contextualSpacing/>
    </w:pPr>
  </w:style>
  <w:style w:type="paragraph" w:styleId="ListNumber2">
    <w:name w:val="List Number 2"/>
    <w:basedOn w:val="Normal"/>
    <w:uiPriority w:val="99"/>
    <w:semiHidden/>
    <w:unhideWhenUsed/>
    <w:locked/>
    <w:rsid w:val="0043473C"/>
    <w:pPr>
      <w:numPr>
        <w:numId w:val="12"/>
      </w:numPr>
      <w:contextualSpacing/>
    </w:pPr>
  </w:style>
  <w:style w:type="paragraph" w:styleId="ListNumber3">
    <w:name w:val="List Number 3"/>
    <w:basedOn w:val="Normal"/>
    <w:uiPriority w:val="99"/>
    <w:semiHidden/>
    <w:unhideWhenUsed/>
    <w:locked/>
    <w:rsid w:val="0043473C"/>
    <w:pPr>
      <w:numPr>
        <w:numId w:val="13"/>
      </w:numPr>
      <w:contextualSpacing/>
    </w:pPr>
  </w:style>
  <w:style w:type="paragraph" w:styleId="ListNumber4">
    <w:name w:val="List Number 4"/>
    <w:basedOn w:val="Normal"/>
    <w:uiPriority w:val="99"/>
    <w:semiHidden/>
    <w:unhideWhenUsed/>
    <w:locked/>
    <w:rsid w:val="0043473C"/>
    <w:pPr>
      <w:numPr>
        <w:numId w:val="14"/>
      </w:numPr>
      <w:contextualSpacing/>
    </w:pPr>
  </w:style>
  <w:style w:type="paragraph" w:styleId="ListNumber5">
    <w:name w:val="List Number 5"/>
    <w:basedOn w:val="Normal"/>
    <w:uiPriority w:val="99"/>
    <w:semiHidden/>
    <w:unhideWhenUsed/>
    <w:locked/>
    <w:rsid w:val="0043473C"/>
    <w:pPr>
      <w:numPr>
        <w:numId w:val="15"/>
      </w:numPr>
      <w:contextualSpacing/>
    </w:pPr>
  </w:style>
  <w:style w:type="paragraph" w:styleId="ListParagraph">
    <w:name w:val="List Paragraph"/>
    <w:basedOn w:val="Normal"/>
    <w:uiPriority w:val="55"/>
    <w:qFormat/>
    <w:locked/>
    <w:rsid w:val="0043473C"/>
    <w:pPr>
      <w:ind w:left="720"/>
      <w:contextualSpacing/>
    </w:pPr>
  </w:style>
  <w:style w:type="paragraph" w:styleId="MacroText">
    <w:name w:val="macro"/>
    <w:link w:val="MacroTextChar"/>
    <w:uiPriority w:val="99"/>
    <w:semiHidden/>
    <w:unhideWhenUsed/>
    <w:locked/>
    <w:rsid w:val="0043473C"/>
    <w:pPr>
      <w:tabs>
        <w:tab w:val="left" w:pos="480"/>
        <w:tab w:val="left" w:pos="960"/>
        <w:tab w:val="left" w:pos="1440"/>
        <w:tab w:val="left" w:pos="1920"/>
        <w:tab w:val="left" w:pos="2400"/>
        <w:tab w:val="left" w:pos="2880"/>
        <w:tab w:val="left" w:pos="3360"/>
        <w:tab w:val="left" w:pos="3840"/>
        <w:tab w:val="left" w:pos="4320"/>
      </w:tabs>
      <w:spacing w:line="480" w:lineRule="exact"/>
      <w:ind w:right="130" w:firstLine="720"/>
    </w:pPr>
    <w:rPr>
      <w:rFonts w:ascii="Consolas" w:hAnsi="Consolas"/>
      <w:sz w:val="20"/>
      <w:szCs w:val="20"/>
    </w:rPr>
  </w:style>
  <w:style w:type="character" w:customStyle="1" w:styleId="MacroTextChar">
    <w:name w:val="Macro Text Char"/>
    <w:basedOn w:val="DefaultParagraphFont"/>
    <w:link w:val="MacroText"/>
    <w:uiPriority w:val="99"/>
    <w:semiHidden/>
    <w:rsid w:val="0043473C"/>
    <w:rPr>
      <w:rFonts w:ascii="Consolas" w:hAnsi="Consolas"/>
      <w:sz w:val="20"/>
      <w:szCs w:val="20"/>
    </w:rPr>
  </w:style>
  <w:style w:type="paragraph" w:styleId="MessageHeader">
    <w:name w:val="Message Header"/>
    <w:basedOn w:val="Normal"/>
    <w:link w:val="MessageHeaderChar"/>
    <w:uiPriority w:val="99"/>
    <w:semiHidden/>
    <w:unhideWhenUsed/>
    <w:locked/>
    <w:rsid w:val="0043473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3473C"/>
    <w:rPr>
      <w:rFonts w:asciiTheme="majorHAnsi" w:eastAsiaTheme="majorEastAsia" w:hAnsiTheme="majorHAnsi" w:cstheme="majorBidi"/>
      <w:sz w:val="24"/>
      <w:szCs w:val="24"/>
      <w:shd w:val="pct20" w:color="auto" w:fill="auto"/>
    </w:rPr>
  </w:style>
  <w:style w:type="paragraph" w:styleId="NoSpacing">
    <w:name w:val="No Spacing"/>
    <w:uiPriority w:val="99"/>
    <w:semiHidden/>
    <w:qFormat/>
    <w:locked/>
    <w:rsid w:val="0043473C"/>
    <w:pPr>
      <w:tabs>
        <w:tab w:val="left" w:pos="720"/>
        <w:tab w:val="left" w:pos="1440"/>
        <w:tab w:val="left" w:pos="2160"/>
        <w:tab w:val="left" w:pos="2880"/>
        <w:tab w:val="left" w:pos="3600"/>
        <w:tab w:val="left" w:pos="4320"/>
        <w:tab w:val="left" w:pos="5040"/>
        <w:tab w:val="left" w:pos="5760"/>
        <w:tab w:val="left" w:pos="6480"/>
        <w:tab w:val="left" w:pos="7200"/>
      </w:tabs>
      <w:ind w:right="130" w:firstLine="720"/>
    </w:pPr>
  </w:style>
  <w:style w:type="paragraph" w:styleId="NormalWeb">
    <w:name w:val="Normal (Web)"/>
    <w:basedOn w:val="Normal"/>
    <w:uiPriority w:val="99"/>
    <w:semiHidden/>
    <w:unhideWhenUsed/>
    <w:locked/>
    <w:rsid w:val="0043473C"/>
    <w:rPr>
      <w:rFonts w:ascii="Times New Roman" w:hAnsi="Times New Roman"/>
      <w:sz w:val="24"/>
      <w:szCs w:val="24"/>
    </w:rPr>
  </w:style>
  <w:style w:type="paragraph" w:styleId="NormalIndent">
    <w:name w:val="Normal Indent"/>
    <w:basedOn w:val="Normal"/>
    <w:uiPriority w:val="99"/>
    <w:semiHidden/>
    <w:unhideWhenUsed/>
    <w:locked/>
    <w:rsid w:val="0043473C"/>
    <w:pPr>
      <w:ind w:left="720"/>
    </w:pPr>
  </w:style>
  <w:style w:type="paragraph" w:styleId="NoteHeading">
    <w:name w:val="Note Heading"/>
    <w:basedOn w:val="Normal"/>
    <w:next w:val="Normal"/>
    <w:link w:val="NoteHeadingChar"/>
    <w:uiPriority w:val="99"/>
    <w:semiHidden/>
    <w:unhideWhenUsed/>
    <w:locked/>
    <w:rsid w:val="0043473C"/>
    <w:pPr>
      <w:spacing w:line="240" w:lineRule="auto"/>
    </w:pPr>
  </w:style>
  <w:style w:type="character" w:customStyle="1" w:styleId="NoteHeadingChar">
    <w:name w:val="Note Heading Char"/>
    <w:basedOn w:val="DefaultParagraphFont"/>
    <w:link w:val="NoteHeading"/>
    <w:uiPriority w:val="99"/>
    <w:semiHidden/>
    <w:rsid w:val="0043473C"/>
  </w:style>
  <w:style w:type="paragraph" w:styleId="PlainText">
    <w:name w:val="Plain Text"/>
    <w:basedOn w:val="Normal"/>
    <w:link w:val="PlainTextChar"/>
    <w:uiPriority w:val="99"/>
    <w:semiHidden/>
    <w:unhideWhenUsed/>
    <w:locked/>
    <w:rsid w:val="0043473C"/>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3473C"/>
    <w:rPr>
      <w:rFonts w:ascii="Consolas" w:hAnsi="Consolas"/>
      <w:sz w:val="21"/>
      <w:szCs w:val="21"/>
    </w:rPr>
  </w:style>
  <w:style w:type="paragraph" w:styleId="Quote">
    <w:name w:val="Quote"/>
    <w:basedOn w:val="Normal"/>
    <w:next w:val="Normal"/>
    <w:link w:val="QuoteChar"/>
    <w:uiPriority w:val="99"/>
    <w:semiHidden/>
    <w:qFormat/>
    <w:locked/>
    <w:rsid w:val="0043473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43473C"/>
    <w:rPr>
      <w:i/>
      <w:iCs/>
      <w:color w:val="404040" w:themeColor="text1" w:themeTint="BF"/>
    </w:rPr>
  </w:style>
  <w:style w:type="paragraph" w:styleId="Salutation">
    <w:name w:val="Salutation"/>
    <w:basedOn w:val="Normal"/>
    <w:next w:val="Normal"/>
    <w:link w:val="SalutationChar"/>
    <w:uiPriority w:val="99"/>
    <w:semiHidden/>
    <w:locked/>
    <w:rsid w:val="0043473C"/>
  </w:style>
  <w:style w:type="character" w:customStyle="1" w:styleId="SalutationChar">
    <w:name w:val="Salutation Char"/>
    <w:basedOn w:val="DefaultParagraphFont"/>
    <w:link w:val="Salutation"/>
    <w:uiPriority w:val="99"/>
    <w:semiHidden/>
    <w:rsid w:val="0043473C"/>
  </w:style>
  <w:style w:type="paragraph" w:styleId="Signature">
    <w:name w:val="Signature"/>
    <w:basedOn w:val="Normal"/>
    <w:link w:val="SignatureChar"/>
    <w:uiPriority w:val="99"/>
    <w:semiHidden/>
    <w:unhideWhenUsed/>
    <w:locked/>
    <w:rsid w:val="0043473C"/>
    <w:pPr>
      <w:spacing w:line="240" w:lineRule="auto"/>
      <w:ind w:left="4252"/>
    </w:pPr>
  </w:style>
  <w:style w:type="character" w:customStyle="1" w:styleId="SignatureChar">
    <w:name w:val="Signature Char"/>
    <w:basedOn w:val="DefaultParagraphFont"/>
    <w:link w:val="Signature"/>
    <w:uiPriority w:val="99"/>
    <w:semiHidden/>
    <w:rsid w:val="0043473C"/>
  </w:style>
  <w:style w:type="paragraph" w:styleId="Subtitle">
    <w:name w:val="Subtitle"/>
    <w:basedOn w:val="Normal"/>
    <w:next w:val="Normal"/>
    <w:link w:val="SubtitleChar"/>
    <w:uiPriority w:val="99"/>
    <w:semiHidden/>
    <w:qFormat/>
    <w:locked/>
    <w:rsid w:val="0043473C"/>
    <w:pPr>
      <w:numPr>
        <w:ilvl w:val="1"/>
      </w:numPr>
      <w:spacing w:after="160"/>
      <w:ind w:firstLine="72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semiHidden/>
    <w:rsid w:val="0043473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locked/>
    <w:rsid w:val="0043473C"/>
    <w:pPr>
      <w:tabs>
        <w:tab w:val="clear" w:pos="720"/>
        <w:tab w:val="clear" w:pos="1440"/>
        <w:tab w:val="clear" w:pos="2160"/>
        <w:tab w:val="clear" w:pos="2880"/>
        <w:tab w:val="clear" w:pos="3600"/>
        <w:tab w:val="clear" w:pos="4320"/>
        <w:tab w:val="clear" w:pos="5040"/>
        <w:tab w:val="clear" w:pos="5760"/>
        <w:tab w:val="clear" w:pos="6480"/>
        <w:tab w:val="clear" w:pos="7200"/>
      </w:tabs>
      <w:ind w:left="260" w:hanging="260"/>
    </w:pPr>
  </w:style>
  <w:style w:type="paragraph" w:styleId="TableofFigures">
    <w:name w:val="table of figures"/>
    <w:basedOn w:val="Normal"/>
    <w:next w:val="Normal"/>
    <w:uiPriority w:val="99"/>
    <w:semiHidden/>
    <w:unhideWhenUsed/>
    <w:locked/>
    <w:rsid w:val="0043473C"/>
    <w:pPr>
      <w:tabs>
        <w:tab w:val="clear" w:pos="720"/>
        <w:tab w:val="clear" w:pos="1440"/>
        <w:tab w:val="clear" w:pos="2160"/>
        <w:tab w:val="clear" w:pos="2880"/>
        <w:tab w:val="clear" w:pos="3600"/>
        <w:tab w:val="clear" w:pos="4320"/>
        <w:tab w:val="clear" w:pos="5040"/>
        <w:tab w:val="clear" w:pos="5760"/>
        <w:tab w:val="clear" w:pos="6480"/>
        <w:tab w:val="clear" w:pos="7200"/>
      </w:tabs>
    </w:pPr>
  </w:style>
  <w:style w:type="paragraph" w:styleId="Title">
    <w:name w:val="Title"/>
    <w:basedOn w:val="Normal"/>
    <w:next w:val="Normal"/>
    <w:link w:val="TitleChar"/>
    <w:uiPriority w:val="99"/>
    <w:qFormat/>
    <w:locked/>
    <w:rsid w:val="0043473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43473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locked/>
    <w:rsid w:val="0043473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locked/>
    <w:rsid w:val="0043473C"/>
    <w:pPr>
      <w:tabs>
        <w:tab w:val="clear" w:pos="720"/>
        <w:tab w:val="clear" w:pos="1440"/>
        <w:tab w:val="clear" w:pos="2160"/>
        <w:tab w:val="clear" w:pos="2880"/>
        <w:tab w:val="clear" w:pos="3600"/>
        <w:tab w:val="clear" w:pos="4320"/>
        <w:tab w:val="clear" w:pos="5040"/>
        <w:tab w:val="clear" w:pos="5760"/>
        <w:tab w:val="clear" w:pos="6480"/>
        <w:tab w:val="clear" w:pos="7200"/>
      </w:tabs>
      <w:spacing w:after="100"/>
    </w:pPr>
  </w:style>
  <w:style w:type="paragraph" w:styleId="TOC2">
    <w:name w:val="toc 2"/>
    <w:basedOn w:val="Normal"/>
    <w:next w:val="Normal"/>
    <w:autoRedefine/>
    <w:uiPriority w:val="99"/>
    <w:semiHidden/>
    <w:unhideWhenUsed/>
    <w:locked/>
    <w:rsid w:val="0043473C"/>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260"/>
    </w:pPr>
  </w:style>
  <w:style w:type="paragraph" w:styleId="TOC3">
    <w:name w:val="toc 3"/>
    <w:basedOn w:val="Normal"/>
    <w:next w:val="Normal"/>
    <w:autoRedefine/>
    <w:uiPriority w:val="99"/>
    <w:semiHidden/>
    <w:unhideWhenUsed/>
    <w:locked/>
    <w:rsid w:val="0043473C"/>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520"/>
    </w:pPr>
  </w:style>
  <w:style w:type="paragraph" w:styleId="TOC4">
    <w:name w:val="toc 4"/>
    <w:basedOn w:val="Normal"/>
    <w:next w:val="Normal"/>
    <w:autoRedefine/>
    <w:uiPriority w:val="99"/>
    <w:semiHidden/>
    <w:unhideWhenUsed/>
    <w:locked/>
    <w:rsid w:val="0043473C"/>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780"/>
    </w:pPr>
  </w:style>
  <w:style w:type="paragraph" w:styleId="TOC5">
    <w:name w:val="toc 5"/>
    <w:basedOn w:val="Normal"/>
    <w:next w:val="Normal"/>
    <w:autoRedefine/>
    <w:uiPriority w:val="99"/>
    <w:semiHidden/>
    <w:unhideWhenUsed/>
    <w:locked/>
    <w:rsid w:val="0043473C"/>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1040"/>
    </w:pPr>
  </w:style>
  <w:style w:type="paragraph" w:styleId="TOC6">
    <w:name w:val="toc 6"/>
    <w:basedOn w:val="Normal"/>
    <w:next w:val="Normal"/>
    <w:autoRedefine/>
    <w:uiPriority w:val="99"/>
    <w:semiHidden/>
    <w:unhideWhenUsed/>
    <w:locked/>
    <w:rsid w:val="0043473C"/>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1300"/>
    </w:pPr>
  </w:style>
  <w:style w:type="paragraph" w:styleId="TOC7">
    <w:name w:val="toc 7"/>
    <w:basedOn w:val="Normal"/>
    <w:next w:val="Normal"/>
    <w:autoRedefine/>
    <w:uiPriority w:val="99"/>
    <w:semiHidden/>
    <w:unhideWhenUsed/>
    <w:locked/>
    <w:rsid w:val="0043473C"/>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1560"/>
    </w:pPr>
  </w:style>
  <w:style w:type="paragraph" w:styleId="TOC8">
    <w:name w:val="toc 8"/>
    <w:basedOn w:val="Normal"/>
    <w:next w:val="Normal"/>
    <w:autoRedefine/>
    <w:uiPriority w:val="99"/>
    <w:semiHidden/>
    <w:unhideWhenUsed/>
    <w:locked/>
    <w:rsid w:val="0043473C"/>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1820"/>
    </w:pPr>
  </w:style>
  <w:style w:type="paragraph" w:styleId="TOC9">
    <w:name w:val="toc 9"/>
    <w:basedOn w:val="Normal"/>
    <w:next w:val="Normal"/>
    <w:autoRedefine/>
    <w:uiPriority w:val="99"/>
    <w:semiHidden/>
    <w:unhideWhenUsed/>
    <w:locked/>
    <w:rsid w:val="0043473C"/>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2080"/>
    </w:pPr>
  </w:style>
  <w:style w:type="paragraph" w:styleId="TOCHeading">
    <w:name w:val="TOC Heading"/>
    <w:basedOn w:val="Heading1"/>
    <w:next w:val="Normal"/>
    <w:uiPriority w:val="99"/>
    <w:semiHidden/>
    <w:unhideWhenUsed/>
    <w:qFormat/>
    <w:locked/>
    <w:rsid w:val="0043473C"/>
    <w:pPr>
      <w:keepLines/>
      <w:numPr>
        <w:numId w:val="0"/>
      </w:numPr>
      <w:spacing w:before="240"/>
      <w:ind w:right="130" w:firstLine="720"/>
      <w:outlineLvl w:val="9"/>
    </w:pPr>
    <w:rPr>
      <w:rFonts w:asciiTheme="majorHAnsi" w:eastAsiaTheme="majorEastAsia" w:hAnsiTheme="majorHAnsi" w:cstheme="majorBidi"/>
      <w:color w:val="365F91" w:themeColor="accent1" w:themeShade="BF"/>
      <w:sz w:val="32"/>
      <w:szCs w:val="32"/>
      <w:u w:val="none"/>
    </w:rPr>
  </w:style>
  <w:style w:type="paragraph" w:customStyle="1" w:styleId="Default">
    <w:name w:val="Default"/>
    <w:rsid w:val="00C25748"/>
    <w:pPr>
      <w:autoSpaceDE w:val="0"/>
      <w:autoSpaceDN w:val="0"/>
      <w:adjustRightInd w:val="0"/>
    </w:pPr>
    <w:rPr>
      <w:rFonts w:cs="Univers"/>
      <w:color w:val="000000"/>
      <w:sz w:val="24"/>
      <w:szCs w:val="24"/>
    </w:rPr>
  </w:style>
  <w:style w:type="character" w:customStyle="1" w:styleId="highlight">
    <w:name w:val="highlight"/>
    <w:basedOn w:val="DefaultParagraphFont"/>
    <w:rsid w:val="00041263"/>
  </w:style>
  <w:style w:type="character" w:styleId="CommentReference">
    <w:name w:val="annotation reference"/>
    <w:basedOn w:val="DefaultParagraphFont"/>
    <w:uiPriority w:val="99"/>
    <w:semiHidden/>
    <w:unhideWhenUsed/>
    <w:locked/>
    <w:rsid w:val="00657822"/>
    <w:rPr>
      <w:sz w:val="16"/>
      <w:szCs w:val="16"/>
    </w:rPr>
  </w:style>
  <w:style w:type="character" w:styleId="Hyperlink">
    <w:name w:val="Hyperlink"/>
    <w:basedOn w:val="DefaultParagraphFont"/>
    <w:uiPriority w:val="99"/>
    <w:unhideWhenUsed/>
    <w:locked/>
    <w:rsid w:val="00FF3369"/>
    <w:rPr>
      <w:color w:val="0000FF"/>
      <w:u w:val="single"/>
    </w:rPr>
  </w:style>
  <w:style w:type="paragraph" w:styleId="Revision">
    <w:name w:val="Revision"/>
    <w:hidden/>
    <w:uiPriority w:val="99"/>
    <w:semiHidden/>
    <w:rsid w:val="00FF3369"/>
  </w:style>
  <w:style w:type="character" w:styleId="UnresolvedMention">
    <w:name w:val="Unresolved Mention"/>
    <w:basedOn w:val="DefaultParagraphFont"/>
    <w:uiPriority w:val="99"/>
    <w:semiHidden/>
    <w:unhideWhenUsed/>
    <w:rsid w:val="00FF3369"/>
    <w:rPr>
      <w:color w:val="605E5C"/>
      <w:shd w:val="clear" w:color="auto" w:fill="E1DFDD"/>
    </w:rPr>
  </w:style>
  <w:style w:type="character" w:styleId="FollowedHyperlink">
    <w:name w:val="FollowedHyperlink"/>
    <w:basedOn w:val="DefaultParagraphFont"/>
    <w:uiPriority w:val="99"/>
    <w:semiHidden/>
    <w:unhideWhenUsed/>
    <w:locked/>
    <w:rsid w:val="00FF3369"/>
    <w:rPr>
      <w:color w:val="800080" w:themeColor="followedHyperlink"/>
      <w:u w:val="single"/>
    </w:rPr>
  </w:style>
  <w:style w:type="paragraph" w:customStyle="1" w:styleId="NoNorm">
    <w:name w:val="No Norm"/>
    <w:basedOn w:val="Normal"/>
    <w:qFormat/>
    <w:rsid w:val="00782161"/>
    <w:pPr>
      <w:tabs>
        <w:tab w:val="clear" w:pos="720"/>
        <w:tab w:val="clear" w:pos="1440"/>
        <w:tab w:val="left" w:pos="709"/>
      </w:tabs>
      <w:spacing w:before="120" w:line="240" w:lineRule="auto"/>
      <w:ind w:left="720" w:hanging="720"/>
      <w:jc w:val="both"/>
    </w:pPr>
    <w:rPr>
      <w:rFonts w:ascii="Arial" w:hAnsi="Arial" w:cs="Arial"/>
      <w:sz w:val="22"/>
      <w:szCs w:val="22"/>
    </w:rPr>
  </w:style>
  <w:style w:type="paragraph" w:customStyle="1" w:styleId="Noindentnormal">
    <w:name w:val="No indent normal"/>
    <w:basedOn w:val="NoNorm"/>
    <w:qFormat/>
    <w:rsid w:val="00782161"/>
    <w:pPr>
      <w:tabs>
        <w:tab w:val="clear" w:pos="2160"/>
        <w:tab w:val="left" w:pos="1418"/>
      </w:tabs>
      <w:ind w:left="1418" w:hanging="709"/>
    </w:pPr>
  </w:style>
  <w:style w:type="paragraph" w:customStyle="1" w:styleId="Indentlista">
    <w:name w:val="Indent list a)"/>
    <w:basedOn w:val="Noindentnormal"/>
    <w:qFormat/>
    <w:rsid w:val="00782161"/>
    <w:pPr>
      <w:tabs>
        <w:tab w:val="left" w:pos="2268"/>
      </w:tabs>
      <w:spacing w:before="60"/>
      <w:ind w:left="2268" w:hanging="567"/>
    </w:pPr>
  </w:style>
  <w:style w:type="character" w:customStyle="1" w:styleId="bnwrappedspan">
    <w:name w:val="bn_wrapped_span"/>
    <w:basedOn w:val="DefaultParagraphFont"/>
    <w:rsid w:val="00782161"/>
  </w:style>
  <w:style w:type="character" w:customStyle="1" w:styleId="Emphasis1">
    <w:name w:val="Emphasis1"/>
    <w:basedOn w:val="DefaultParagraphFont"/>
    <w:rsid w:val="00782161"/>
  </w:style>
  <w:style w:type="paragraph" w:customStyle="1" w:styleId="Body">
    <w:name w:val="Body"/>
    <w:basedOn w:val="Normal"/>
    <w:qFormat/>
    <w:rsid w:val="007467EA"/>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7467EA"/>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7467EA"/>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7467EA"/>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7467EA"/>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7467EA"/>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348395">
      <w:bodyDiv w:val="1"/>
      <w:marLeft w:val="0"/>
      <w:marRight w:val="0"/>
      <w:marTop w:val="0"/>
      <w:marBottom w:val="0"/>
      <w:divBdr>
        <w:top w:val="none" w:sz="0" w:space="0" w:color="auto"/>
        <w:left w:val="none" w:sz="0" w:space="0" w:color="auto"/>
        <w:bottom w:val="none" w:sz="0" w:space="0" w:color="auto"/>
        <w:right w:val="none" w:sz="0" w:space="0" w:color="auto"/>
      </w:divBdr>
      <w:divsChild>
        <w:div w:id="17782649">
          <w:marLeft w:val="0"/>
          <w:marRight w:val="0"/>
          <w:marTop w:val="0"/>
          <w:marBottom w:val="0"/>
          <w:divBdr>
            <w:top w:val="none" w:sz="0" w:space="0" w:color="auto"/>
            <w:left w:val="none" w:sz="0" w:space="0" w:color="auto"/>
            <w:bottom w:val="none" w:sz="0" w:space="0" w:color="auto"/>
            <w:right w:val="none" w:sz="0" w:space="0" w:color="auto"/>
          </w:divBdr>
        </w:div>
        <w:div w:id="1008826155">
          <w:marLeft w:val="0"/>
          <w:marRight w:val="0"/>
          <w:marTop w:val="0"/>
          <w:marBottom w:val="0"/>
          <w:divBdr>
            <w:top w:val="none" w:sz="0" w:space="0" w:color="auto"/>
            <w:left w:val="none" w:sz="0" w:space="0" w:color="auto"/>
            <w:bottom w:val="none" w:sz="0" w:space="0" w:color="auto"/>
            <w:right w:val="none" w:sz="0" w:space="0" w:color="auto"/>
          </w:divBdr>
        </w:div>
        <w:div w:id="1242645093">
          <w:marLeft w:val="0"/>
          <w:marRight w:val="0"/>
          <w:marTop w:val="0"/>
          <w:marBottom w:val="0"/>
          <w:divBdr>
            <w:top w:val="none" w:sz="0" w:space="0" w:color="auto"/>
            <w:left w:val="none" w:sz="0" w:space="0" w:color="auto"/>
            <w:bottom w:val="none" w:sz="0" w:space="0" w:color="auto"/>
            <w:right w:val="none" w:sz="0" w:space="0" w:color="auto"/>
          </w:divBdr>
        </w:div>
        <w:div w:id="1257592781">
          <w:marLeft w:val="0"/>
          <w:marRight w:val="0"/>
          <w:marTop w:val="0"/>
          <w:marBottom w:val="0"/>
          <w:divBdr>
            <w:top w:val="none" w:sz="0" w:space="0" w:color="auto"/>
            <w:left w:val="none" w:sz="0" w:space="0" w:color="auto"/>
            <w:bottom w:val="none" w:sz="0" w:space="0" w:color="auto"/>
            <w:right w:val="none" w:sz="0" w:space="0" w:color="auto"/>
          </w:divBdr>
        </w:div>
        <w:div w:id="1786195591">
          <w:marLeft w:val="0"/>
          <w:marRight w:val="0"/>
          <w:marTop w:val="0"/>
          <w:marBottom w:val="0"/>
          <w:divBdr>
            <w:top w:val="none" w:sz="0" w:space="0" w:color="auto"/>
            <w:left w:val="none" w:sz="0" w:space="0" w:color="auto"/>
            <w:bottom w:val="none" w:sz="0" w:space="0" w:color="auto"/>
            <w:right w:val="none" w:sz="0" w:space="0" w:color="auto"/>
          </w:divBdr>
        </w:div>
        <w:div w:id="1908034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F178291D-1E1D-4487-A5E2-F3D658EB8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671B2D-CB23-4C0D-9707-665A50BE1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99</Pages>
  <Words>25624</Words>
  <Characters>146061</Characters>
  <Application>Microsoft Office Word</Application>
  <DocSecurity>0</DocSecurity>
  <Lines>1217</Lines>
  <Paragraphs>342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2022-02-06T23:24:00Z</dcterms:created>
  <dcterms:modified xsi:type="dcterms:W3CDTF">2022-02-08T06:03:00Z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