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4749C" w14:textId="77777777" w:rsidR="000B5E2B" w:rsidRPr="00704FF8" w:rsidRDefault="000B5E2B" w:rsidP="00642F64">
      <w:pPr>
        <w:pStyle w:val="OrdersTopLine"/>
      </w:pPr>
      <w:r w:rsidRPr="00704FF8">
        <w:t>HIGH COURT OF AUSTRALIA</w:t>
      </w:r>
    </w:p>
    <w:p w14:paraId="40F80C54" w14:textId="77777777" w:rsidR="000B5E2B" w:rsidRPr="00704FF8" w:rsidRDefault="000B5E2B" w:rsidP="00642F64">
      <w:pPr>
        <w:pStyle w:val="OrderCentre"/>
      </w:pPr>
      <w:bookmarkStart w:id="0" w:name="_GoBack"/>
      <w:bookmarkEnd w:id="0"/>
    </w:p>
    <w:p w14:paraId="06FDD5CD" w14:textId="77777777" w:rsidR="000B5E2B" w:rsidRPr="00704FF8" w:rsidRDefault="000B5E2B" w:rsidP="00642F64">
      <w:pPr>
        <w:pStyle w:val="OrderCentre"/>
      </w:pPr>
      <w:r w:rsidRPr="00704FF8">
        <w:t>GAGELER, GORDON</w:t>
      </w:r>
      <w:r>
        <w:t xml:space="preserve">, </w:t>
      </w:r>
      <w:r w:rsidRPr="00704FF8">
        <w:t>EDELMAN</w:t>
      </w:r>
      <w:r>
        <w:t>,</w:t>
      </w:r>
      <w:r w:rsidRPr="00704FF8">
        <w:t xml:space="preserve"> </w:t>
      </w:r>
      <w:r w:rsidRPr="004C496B">
        <w:t xml:space="preserve">STEWARD </w:t>
      </w:r>
      <w:r w:rsidRPr="00704FF8">
        <w:t xml:space="preserve">AND </w:t>
      </w:r>
      <w:r>
        <w:t xml:space="preserve">GLEESON </w:t>
      </w:r>
      <w:r w:rsidRPr="00704FF8">
        <w:t>JJ</w:t>
      </w:r>
    </w:p>
    <w:p w14:paraId="52FFD770" w14:textId="77777777" w:rsidR="000B5E2B" w:rsidRPr="00427F3A" w:rsidRDefault="000B5E2B" w:rsidP="00642F64">
      <w:pPr>
        <w:pStyle w:val="Centre"/>
        <w:rPr>
          <w:lang w:val="en-AU"/>
        </w:rPr>
      </w:pPr>
    </w:p>
    <w:p w14:paraId="3BF8C5D8" w14:textId="77777777" w:rsidR="000B5E2B" w:rsidRPr="00704FF8" w:rsidRDefault="000B5E2B" w:rsidP="00642F64">
      <w:pPr>
        <w:pStyle w:val="OrdersCenteredBorder"/>
      </w:pPr>
    </w:p>
    <w:p w14:paraId="51CAC75C" w14:textId="77777777" w:rsidR="000B5E2B" w:rsidRPr="00704FF8" w:rsidRDefault="000B5E2B" w:rsidP="00642F64">
      <w:pPr>
        <w:pStyle w:val="OrdersBodyHeading"/>
      </w:pPr>
    </w:p>
    <w:p w14:paraId="6B4EF0BB" w14:textId="77777777" w:rsidR="000B5E2B" w:rsidRPr="0032341F" w:rsidRDefault="000B5E2B" w:rsidP="00642F64">
      <w:pPr>
        <w:pStyle w:val="OrdersPartyName"/>
        <w:ind w:right="-1"/>
      </w:pPr>
      <w:r w:rsidRPr="00FC4875">
        <w:t>COMMISSIONER OF TAXATION</w:t>
      </w:r>
      <w:r w:rsidRPr="0032341F">
        <w:tab/>
        <w:t>APPELLANT</w:t>
      </w:r>
    </w:p>
    <w:p w14:paraId="4E762DBE" w14:textId="77777777" w:rsidR="000B5E2B" w:rsidRPr="0032341F" w:rsidRDefault="000B5E2B" w:rsidP="00642F64">
      <w:pPr>
        <w:pStyle w:val="OrdersPartyName"/>
        <w:ind w:right="-1"/>
      </w:pPr>
    </w:p>
    <w:p w14:paraId="26C5BCF3" w14:textId="77777777" w:rsidR="000B5E2B" w:rsidRPr="0032341F" w:rsidRDefault="000B5E2B" w:rsidP="00642F64">
      <w:pPr>
        <w:pStyle w:val="OrdersPartyName"/>
        <w:ind w:right="-1"/>
      </w:pPr>
      <w:r w:rsidRPr="0032341F">
        <w:t>AND</w:t>
      </w:r>
    </w:p>
    <w:p w14:paraId="0AEE7179" w14:textId="77777777" w:rsidR="000B5E2B" w:rsidRPr="0032341F" w:rsidRDefault="000B5E2B" w:rsidP="00642F64">
      <w:pPr>
        <w:pStyle w:val="OrdersPartyName"/>
        <w:ind w:right="-1"/>
      </w:pPr>
    </w:p>
    <w:p w14:paraId="7883F576" w14:textId="77777777" w:rsidR="000B5E2B" w:rsidRPr="0032341F" w:rsidRDefault="000B5E2B" w:rsidP="00642F64">
      <w:pPr>
        <w:pStyle w:val="OrdersPartyName"/>
        <w:ind w:right="-1"/>
      </w:pPr>
      <w:r w:rsidRPr="00FC4875">
        <w:t>NATALIE CARTER &amp; ORS</w:t>
      </w:r>
      <w:r w:rsidRPr="0032341F">
        <w:tab/>
        <w:t>RESPONDENT</w:t>
      </w:r>
      <w:r>
        <w:t>S</w:t>
      </w:r>
    </w:p>
    <w:p w14:paraId="796CAD25" w14:textId="77777777" w:rsidR="000B5E2B" w:rsidRPr="00427F3A" w:rsidRDefault="000B5E2B" w:rsidP="00642F64">
      <w:pPr>
        <w:pStyle w:val="BodyHeading"/>
      </w:pPr>
    </w:p>
    <w:p w14:paraId="593B5941" w14:textId="77777777" w:rsidR="000B5E2B" w:rsidRPr="00427F3A" w:rsidRDefault="000B5E2B" w:rsidP="00642F64">
      <w:pPr>
        <w:pStyle w:val="BodyHeading"/>
      </w:pPr>
    </w:p>
    <w:p w14:paraId="54DBF358" w14:textId="77777777" w:rsidR="000B5E2B" w:rsidRPr="00427F3A" w:rsidRDefault="000B5E2B" w:rsidP="00642F64">
      <w:pPr>
        <w:pStyle w:val="CentreItalics"/>
      </w:pPr>
      <w:r w:rsidRPr="00FC4875">
        <w:t>Commissioner of Taxation v Carter</w:t>
      </w:r>
    </w:p>
    <w:p w14:paraId="151363EB" w14:textId="77777777" w:rsidR="000B5E2B" w:rsidRPr="00427F3A" w:rsidRDefault="000B5E2B" w:rsidP="00642F64">
      <w:pPr>
        <w:pStyle w:val="OrdersCentre"/>
      </w:pPr>
      <w:r>
        <w:t>[2022</w:t>
      </w:r>
      <w:r w:rsidRPr="00427F3A">
        <w:t xml:space="preserve">] HCA </w:t>
      </w:r>
      <w:r>
        <w:t>10</w:t>
      </w:r>
    </w:p>
    <w:p w14:paraId="23ECE5E5" w14:textId="77777777" w:rsidR="000B5E2B" w:rsidRDefault="000B5E2B" w:rsidP="00642F64">
      <w:pPr>
        <w:pStyle w:val="OrdersCentreItalics"/>
      </w:pPr>
      <w:r>
        <w:t xml:space="preserve">Date of Hearing: </w:t>
      </w:r>
      <w:r w:rsidRPr="00FC4875">
        <w:t>9 November 2021</w:t>
      </w:r>
    </w:p>
    <w:p w14:paraId="523C4C85" w14:textId="77777777" w:rsidR="000B5E2B" w:rsidRPr="00427F3A" w:rsidRDefault="000B5E2B" w:rsidP="00642F64">
      <w:pPr>
        <w:pStyle w:val="OrdersCentreItalics"/>
      </w:pPr>
      <w:r>
        <w:t>Date of Judgment: 6 April 2022</w:t>
      </w:r>
    </w:p>
    <w:p w14:paraId="6E506B59" w14:textId="77777777" w:rsidR="000B5E2B" w:rsidRDefault="000B5E2B" w:rsidP="00642F64">
      <w:pPr>
        <w:pStyle w:val="OrdersCentre"/>
      </w:pPr>
      <w:r w:rsidRPr="00FC4875">
        <w:t>S62/2021</w:t>
      </w:r>
    </w:p>
    <w:p w14:paraId="1E3317CA" w14:textId="77777777" w:rsidR="000B5E2B" w:rsidRPr="00427F3A" w:rsidRDefault="000B5E2B" w:rsidP="00642F64">
      <w:pPr>
        <w:pStyle w:val="OrdersCentre"/>
      </w:pPr>
    </w:p>
    <w:p w14:paraId="29246DEF" w14:textId="77777777" w:rsidR="000B5E2B" w:rsidRPr="00BE0A6C" w:rsidRDefault="000B5E2B" w:rsidP="00642F64">
      <w:pPr>
        <w:pStyle w:val="OrderCentreBold"/>
      </w:pPr>
      <w:r w:rsidRPr="00BE0A6C">
        <w:t>ORDER</w:t>
      </w:r>
    </w:p>
    <w:p w14:paraId="759A4396" w14:textId="77777777" w:rsidR="000B5E2B" w:rsidRPr="00427F3A" w:rsidRDefault="000B5E2B" w:rsidP="00642F64">
      <w:pPr>
        <w:pStyle w:val="Centre"/>
        <w:rPr>
          <w:lang w:val="en-AU"/>
        </w:rPr>
      </w:pPr>
    </w:p>
    <w:p w14:paraId="3A1FC28F" w14:textId="77777777" w:rsidR="000B5E2B" w:rsidRDefault="000B5E2B" w:rsidP="00642F64">
      <w:pPr>
        <w:pStyle w:val="OrdersText"/>
      </w:pPr>
      <w:r>
        <w:t>1.</w:t>
      </w:r>
      <w:r>
        <w:tab/>
        <w:t>Appeal allowed.</w:t>
      </w:r>
    </w:p>
    <w:p w14:paraId="6F77C588" w14:textId="77777777" w:rsidR="000B5E2B" w:rsidRDefault="000B5E2B" w:rsidP="00642F64">
      <w:pPr>
        <w:pStyle w:val="OrdersText"/>
      </w:pPr>
    </w:p>
    <w:p w14:paraId="60E1ED96" w14:textId="77777777" w:rsidR="000B5E2B" w:rsidRPr="00190784" w:rsidRDefault="000B5E2B" w:rsidP="00642F64">
      <w:pPr>
        <w:pStyle w:val="OrdersText"/>
      </w:pPr>
      <w:r>
        <w:t>2.</w:t>
      </w:r>
      <w:r>
        <w:tab/>
        <w:t>Set aside orders 1 and 2 made by the Full Court of the Federal Court of Australia on 10 September 2020 and, in their place, order that the appeal be dismisse</w:t>
      </w:r>
      <w:r w:rsidRPr="00A36C60">
        <w:t>d.</w:t>
      </w:r>
    </w:p>
    <w:p w14:paraId="56648502" w14:textId="77777777" w:rsidR="000B5E2B" w:rsidRDefault="000B5E2B" w:rsidP="00642F64">
      <w:pPr>
        <w:pStyle w:val="Body"/>
      </w:pPr>
    </w:p>
    <w:p w14:paraId="694F7EAE" w14:textId="77777777" w:rsidR="000B5E2B" w:rsidRPr="00427F3A" w:rsidRDefault="000B5E2B" w:rsidP="00642F64">
      <w:pPr>
        <w:pStyle w:val="OrdersBody"/>
      </w:pPr>
      <w:r w:rsidRPr="00427F3A">
        <w:t xml:space="preserve">On appeal from the </w:t>
      </w:r>
      <w:r w:rsidRPr="00FC4875">
        <w:t>Federal Court of Australia</w:t>
      </w:r>
    </w:p>
    <w:p w14:paraId="29BBDB10" w14:textId="77777777" w:rsidR="000B5E2B" w:rsidRDefault="000B5E2B" w:rsidP="00642F64">
      <w:pPr>
        <w:pStyle w:val="Body"/>
      </w:pPr>
    </w:p>
    <w:p w14:paraId="26CFC656" w14:textId="77777777" w:rsidR="000B5E2B" w:rsidRPr="00427F3A" w:rsidRDefault="000B5E2B" w:rsidP="00642F64">
      <w:pPr>
        <w:pStyle w:val="OrdersBodyHeading"/>
      </w:pPr>
      <w:r w:rsidRPr="00427F3A">
        <w:t>Representation</w:t>
      </w:r>
    </w:p>
    <w:p w14:paraId="0BF89CB3" w14:textId="77777777" w:rsidR="000B5E2B" w:rsidRDefault="000B5E2B" w:rsidP="00642F64">
      <w:pPr>
        <w:pStyle w:val="Body"/>
      </w:pPr>
    </w:p>
    <w:p w14:paraId="5BA02F21" w14:textId="77777777" w:rsidR="000B5E2B" w:rsidRPr="00FC4875" w:rsidRDefault="000B5E2B" w:rsidP="00642F64">
      <w:pPr>
        <w:pStyle w:val="OrdersBody"/>
      </w:pPr>
      <w:r w:rsidRPr="00FC4875">
        <w:t>M J O</w:t>
      </w:r>
      <w:r w:rsidRPr="00427F3A">
        <w:rPr>
          <w:lang w:val="en-AU"/>
        </w:rPr>
        <w:t>'</w:t>
      </w:r>
      <w:r w:rsidRPr="00FC4875">
        <w:t>Meara SC with D P Hume for the appellant (instructed by Australian Government Solicitor)</w:t>
      </w:r>
    </w:p>
    <w:p w14:paraId="2B3CF65B" w14:textId="77777777" w:rsidR="000B5E2B" w:rsidRPr="00FC4875" w:rsidRDefault="000B5E2B" w:rsidP="00642F64">
      <w:pPr>
        <w:pStyle w:val="Body"/>
      </w:pPr>
    </w:p>
    <w:p w14:paraId="5CC3D414" w14:textId="77777777" w:rsidR="000B5E2B" w:rsidRPr="00FC4875" w:rsidRDefault="000B5E2B" w:rsidP="00642F64">
      <w:pPr>
        <w:pStyle w:val="OrdersBody"/>
      </w:pPr>
      <w:r w:rsidRPr="00FC4875">
        <w:t>B W Walker SC with J L Evans QC and D R Lewis for the respondents (instructed by O</w:t>
      </w:r>
      <w:r w:rsidRPr="00427F3A">
        <w:rPr>
          <w:lang w:val="en-AU"/>
        </w:rPr>
        <w:t>'</w:t>
      </w:r>
      <w:r w:rsidRPr="00FC4875">
        <w:t xml:space="preserve">Loughlin </w:t>
      </w:r>
      <w:proofErr w:type="spellStart"/>
      <w:r w:rsidRPr="00FC4875">
        <w:t>Westhoff</w:t>
      </w:r>
      <w:proofErr w:type="spellEnd"/>
      <w:r w:rsidRPr="00FC4875">
        <w:t>)</w:t>
      </w:r>
    </w:p>
    <w:p w14:paraId="5FABE6FE" w14:textId="77777777" w:rsidR="000B5E2B" w:rsidRDefault="000B5E2B" w:rsidP="00642F64">
      <w:pPr>
        <w:pStyle w:val="Body"/>
      </w:pPr>
    </w:p>
    <w:p w14:paraId="60C99568" w14:textId="77777777" w:rsidR="000B5E2B" w:rsidRDefault="000B5E2B" w:rsidP="00642F64">
      <w:pPr>
        <w:pStyle w:val="Body"/>
      </w:pPr>
    </w:p>
    <w:p w14:paraId="3075AFA4" w14:textId="77777777" w:rsidR="000B5E2B" w:rsidRPr="00427F3A" w:rsidRDefault="000B5E2B" w:rsidP="00642F64">
      <w:pPr>
        <w:pStyle w:val="Notice"/>
        <w:rPr>
          <w:lang w:val="en-AU"/>
        </w:rPr>
      </w:pPr>
      <w:r w:rsidRPr="00427F3A">
        <w:rPr>
          <w:lang w:val="en-AU"/>
        </w:rPr>
        <w:t>Notice:  This copy of the Court's Reasons for Judgment is subject to formal revision prior to publication in the Commonwealth Law Reports.</w:t>
      </w:r>
    </w:p>
    <w:p w14:paraId="6B40DBD2" w14:textId="2DDFFFE5" w:rsidR="000B5E2B" w:rsidRDefault="000B5E2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EF917B8" w14:textId="77777777" w:rsidR="000B5E2B" w:rsidRDefault="000B5E2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B5E2B" w:rsidSect="000B5E2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A30689E" w14:textId="77777777" w:rsidR="000B5E2B" w:rsidRPr="00054C14" w:rsidRDefault="000B5E2B" w:rsidP="000B5E2B">
      <w:pPr>
        <w:spacing w:line="240" w:lineRule="auto"/>
        <w:ind w:right="0" w:firstLine="0"/>
        <w:jc w:val="both"/>
        <w:rPr>
          <w:rFonts w:ascii="Times New Roman" w:hAnsi="Times New Roman"/>
          <w:b/>
        </w:rPr>
      </w:pPr>
      <w:r w:rsidRPr="00054C14">
        <w:rPr>
          <w:rFonts w:ascii="Times New Roman" w:hAnsi="Times New Roman"/>
          <w:b/>
        </w:rPr>
        <w:lastRenderedPageBreak/>
        <w:t>CATCHWORDS</w:t>
      </w:r>
    </w:p>
    <w:p w14:paraId="6E2A5022" w14:textId="77777777" w:rsidR="000B5E2B" w:rsidRPr="00054C14" w:rsidRDefault="000B5E2B" w:rsidP="000B5E2B">
      <w:pPr>
        <w:spacing w:line="240" w:lineRule="auto"/>
        <w:ind w:right="0" w:firstLine="0"/>
        <w:jc w:val="both"/>
        <w:rPr>
          <w:rFonts w:ascii="Times New Roman" w:hAnsi="Times New Roman"/>
          <w:b/>
        </w:rPr>
      </w:pPr>
    </w:p>
    <w:p w14:paraId="68512747" w14:textId="77777777" w:rsidR="000B5E2B" w:rsidRDefault="000B5E2B" w:rsidP="000B5E2B">
      <w:pPr>
        <w:spacing w:line="240" w:lineRule="auto"/>
        <w:ind w:right="0" w:firstLine="0"/>
        <w:jc w:val="both"/>
        <w:rPr>
          <w:rFonts w:ascii="Times New Roman" w:hAnsi="Times New Roman"/>
          <w:b/>
        </w:rPr>
      </w:pPr>
      <w:r>
        <w:rPr>
          <w:rFonts w:ascii="Times New Roman" w:hAnsi="Times New Roman"/>
          <w:b/>
        </w:rPr>
        <w:t>Commissioner of Taxation v Carter</w:t>
      </w:r>
    </w:p>
    <w:p w14:paraId="0C5CC39C" w14:textId="77777777" w:rsidR="000B5E2B" w:rsidRDefault="000B5E2B" w:rsidP="000B5E2B">
      <w:pPr>
        <w:spacing w:line="240" w:lineRule="auto"/>
        <w:ind w:right="0" w:firstLine="0"/>
        <w:jc w:val="both"/>
        <w:rPr>
          <w:rFonts w:ascii="Times New Roman" w:hAnsi="Times New Roman"/>
        </w:rPr>
      </w:pPr>
    </w:p>
    <w:p w14:paraId="5DC8F1F7" w14:textId="77777777" w:rsidR="000B5E2B" w:rsidRPr="002A37C0" w:rsidRDefault="000B5E2B" w:rsidP="000B5E2B">
      <w:pPr>
        <w:spacing w:line="240" w:lineRule="auto"/>
        <w:ind w:right="0" w:firstLine="0"/>
        <w:jc w:val="both"/>
        <w:rPr>
          <w:rFonts w:ascii="Times New Roman" w:hAnsi="Times New Roman"/>
        </w:rPr>
      </w:pPr>
      <w:r>
        <w:rPr>
          <w:rFonts w:ascii="Times New Roman" w:hAnsi="Times New Roman"/>
        </w:rPr>
        <w:t xml:space="preserve">Income Tax (Cth) – Trusts – Where s 97(1) of </w:t>
      </w:r>
      <w:r>
        <w:rPr>
          <w:rFonts w:ascii="Times New Roman" w:hAnsi="Times New Roman"/>
          <w:i/>
        </w:rPr>
        <w:t xml:space="preserve">Income Tax Assessment Act 1936 </w:t>
      </w:r>
      <w:r>
        <w:rPr>
          <w:rFonts w:ascii="Times New Roman" w:hAnsi="Times New Roman"/>
        </w:rPr>
        <w:t xml:space="preserve">(Cth) provides that </w:t>
      </w:r>
      <w:r w:rsidRPr="009853F5">
        <w:rPr>
          <w:rFonts w:ascii="Times New Roman" w:hAnsi="Times New Roman"/>
        </w:rPr>
        <w:t>where beneficiary of trust estate not under any legal disability is presently entitled to share of income of trust estate</w:t>
      </w:r>
      <w:r>
        <w:rPr>
          <w:rFonts w:ascii="Times New Roman" w:hAnsi="Times New Roman"/>
        </w:rPr>
        <w:t>,</w:t>
      </w:r>
      <w:r w:rsidRPr="009853F5">
        <w:rPr>
          <w:rFonts w:ascii="Times New Roman" w:hAnsi="Times New Roman"/>
        </w:rPr>
        <w:t xml:space="preserve"> assessable income of beneficiary shall include so much of that share of net income of trust estate as is attributable to period when beneficiary was resident</w:t>
      </w:r>
      <w:r>
        <w:rPr>
          <w:rFonts w:ascii="Times New Roman" w:hAnsi="Times New Roman"/>
        </w:rPr>
        <w:t xml:space="preserve"> – Where trust deed provided that, if trustee made no effective determination to pay, apply, set aside or accumulate any part of trust income in given accounting period, income held on trust for specified beneficiaries – Where trustee failed to pay, apply, set aside or accumulate income in income year – Where share of trust income in income year held on trust for beneficiaries – Where Commissioner of Taxation assessed each beneficiary on basis that beneficiaries "presently entitled" to share of income within meaning of s 97(1) – Where beneficiaries subsequently disclaimed interest in share of income – Whether present entitlement under s 97(1) determined immediately prior to end of income year – Whether disclaimers operated retrospectively so as to disapply s 97(1) in respect of income year.</w:t>
      </w:r>
    </w:p>
    <w:p w14:paraId="00F776B6" w14:textId="77777777" w:rsidR="000B5E2B" w:rsidRDefault="000B5E2B" w:rsidP="000B5E2B">
      <w:pPr>
        <w:spacing w:line="240" w:lineRule="auto"/>
        <w:ind w:right="0" w:firstLine="0"/>
        <w:jc w:val="both"/>
        <w:rPr>
          <w:rFonts w:ascii="Times New Roman" w:hAnsi="Times New Roman"/>
        </w:rPr>
      </w:pPr>
    </w:p>
    <w:p w14:paraId="3091DFC3" w14:textId="77777777" w:rsidR="000B5E2B" w:rsidRDefault="000B5E2B" w:rsidP="000B5E2B">
      <w:pPr>
        <w:spacing w:line="240" w:lineRule="auto"/>
        <w:ind w:right="0" w:firstLine="0"/>
        <w:jc w:val="both"/>
        <w:rPr>
          <w:rFonts w:ascii="Times New Roman" w:hAnsi="Times New Roman"/>
        </w:rPr>
      </w:pPr>
      <w:r>
        <w:rPr>
          <w:rFonts w:ascii="Times New Roman" w:hAnsi="Times New Roman"/>
        </w:rPr>
        <w:t>Words and phrases – "default distribution", "disclaimer", "end of the year of income", "presently entitled", "presumption of assent", "retrospectively disapply", "right to demand and receive payment", "trust estate", "vested in interest and vested in possession".</w:t>
      </w:r>
    </w:p>
    <w:p w14:paraId="674205CB" w14:textId="77777777" w:rsidR="000B5E2B" w:rsidRDefault="000B5E2B" w:rsidP="000B5E2B">
      <w:pPr>
        <w:spacing w:line="240" w:lineRule="auto"/>
        <w:ind w:right="0" w:firstLine="0"/>
        <w:jc w:val="both"/>
        <w:rPr>
          <w:rFonts w:ascii="Times New Roman" w:hAnsi="Times New Roman"/>
        </w:rPr>
      </w:pPr>
    </w:p>
    <w:p w14:paraId="6AE52CCD" w14:textId="77777777" w:rsidR="000B5E2B" w:rsidRPr="000B070A" w:rsidRDefault="000B5E2B" w:rsidP="000B5E2B">
      <w:pPr>
        <w:spacing w:line="240" w:lineRule="auto"/>
        <w:ind w:right="0" w:firstLine="0"/>
        <w:jc w:val="both"/>
        <w:rPr>
          <w:rFonts w:ascii="Times New Roman" w:hAnsi="Times New Roman"/>
        </w:rPr>
      </w:pPr>
      <w:r>
        <w:rPr>
          <w:rFonts w:ascii="Times New Roman" w:hAnsi="Times New Roman"/>
          <w:i/>
        </w:rPr>
        <w:t xml:space="preserve">Income Tax Assessment Act 1936 </w:t>
      </w:r>
      <w:r>
        <w:rPr>
          <w:rFonts w:ascii="Times New Roman" w:hAnsi="Times New Roman"/>
        </w:rPr>
        <w:t>(Cth), ss 95A, 96, 97, 98, 99, 99A.</w:t>
      </w:r>
    </w:p>
    <w:p w14:paraId="0568BB74" w14:textId="50D9CF78" w:rsidR="000B5E2B" w:rsidRDefault="000B5E2B" w:rsidP="000B5E2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0FBA446" w14:textId="74F493C7" w:rsidR="000B5E2B" w:rsidRDefault="000B5E2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5D63B4B" w14:textId="66AD8BC7" w:rsidR="000B5E2B" w:rsidRDefault="000B5E2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AD841D6" w14:textId="77777777" w:rsidR="000B5E2B" w:rsidRDefault="000B5E2B" w:rsidP="00444714">
      <w:pPr>
        <w:pStyle w:val="FixListStyle"/>
        <w:tabs>
          <w:tab w:val="clear" w:pos="720"/>
          <w:tab w:val="left" w:pos="0"/>
        </w:tabs>
        <w:spacing w:after="260" w:line="280" w:lineRule="exact"/>
        <w:ind w:right="0"/>
        <w:jc w:val="both"/>
        <w:rPr>
          <w:rFonts w:ascii="Times New Roman" w:hAnsi="Times New Roman"/>
        </w:rPr>
        <w:sectPr w:rsidR="000B5E2B" w:rsidSect="000B5E2B">
          <w:pgSz w:w="11907" w:h="16839" w:code="9"/>
          <w:pgMar w:top="1440" w:right="1701" w:bottom="1984" w:left="1701" w:header="720" w:footer="720" w:gutter="0"/>
          <w:pgNumType w:start="1"/>
          <w:cols w:space="720"/>
          <w:titlePg/>
          <w:docGrid w:linePitch="354"/>
        </w:sectPr>
      </w:pPr>
    </w:p>
    <w:p w14:paraId="2579A57E" w14:textId="0A9AAF39" w:rsidR="00C52E53" w:rsidRPr="00444714" w:rsidRDefault="00444714" w:rsidP="00444714">
      <w:pPr>
        <w:pStyle w:val="FixListStyle"/>
        <w:tabs>
          <w:tab w:val="clear" w:pos="720"/>
          <w:tab w:val="left" w:pos="0"/>
        </w:tabs>
        <w:spacing w:after="260" w:line="280" w:lineRule="exact"/>
        <w:ind w:right="0"/>
        <w:jc w:val="both"/>
        <w:rPr>
          <w:rFonts w:ascii="Times New Roman" w:hAnsi="Times New Roman"/>
        </w:rPr>
      </w:pPr>
      <w:r w:rsidRPr="00444714">
        <w:rPr>
          <w:rFonts w:ascii="Times New Roman" w:hAnsi="Times New Roman"/>
        </w:rPr>
        <w:lastRenderedPageBreak/>
        <w:t xml:space="preserve">GAGELER, GORDON, STEWARD AND GLEESON JJ.   </w:t>
      </w:r>
      <w:r w:rsidR="00EE033D" w:rsidRPr="00444714">
        <w:rPr>
          <w:rFonts w:ascii="Times New Roman" w:hAnsi="Times New Roman"/>
        </w:rPr>
        <w:t xml:space="preserve">This appeal concerns </w:t>
      </w:r>
      <w:proofErr w:type="spellStart"/>
      <w:r w:rsidR="006F3D50" w:rsidRPr="00444714">
        <w:rPr>
          <w:rFonts w:ascii="Times New Roman" w:hAnsi="Times New Roman"/>
        </w:rPr>
        <w:t>Div</w:t>
      </w:r>
      <w:proofErr w:type="spellEnd"/>
      <w:r w:rsidR="006F3D50" w:rsidRPr="00444714">
        <w:rPr>
          <w:rFonts w:ascii="Times New Roman" w:hAnsi="Times New Roman"/>
        </w:rPr>
        <w:t> 6</w:t>
      </w:r>
      <w:r w:rsidR="00F378EA" w:rsidRPr="00444714">
        <w:rPr>
          <w:rFonts w:ascii="Times New Roman" w:hAnsi="Times New Roman"/>
        </w:rPr>
        <w:t xml:space="preserve"> </w:t>
      </w:r>
      <w:r w:rsidR="00930FA0" w:rsidRPr="00444714">
        <w:rPr>
          <w:rFonts w:ascii="Times New Roman" w:hAnsi="Times New Roman"/>
        </w:rPr>
        <w:t xml:space="preserve">of Pt III </w:t>
      </w:r>
      <w:r w:rsidR="00F378EA" w:rsidRPr="00444714">
        <w:rPr>
          <w:rFonts w:ascii="Times New Roman" w:hAnsi="Times New Roman"/>
        </w:rPr>
        <w:t xml:space="preserve">of the </w:t>
      </w:r>
      <w:r w:rsidR="00F378EA" w:rsidRPr="00444714">
        <w:rPr>
          <w:rFonts w:ascii="Times New Roman" w:hAnsi="Times New Roman"/>
          <w:i/>
        </w:rPr>
        <w:t xml:space="preserve">Income Tax Assessment Act 1936 </w:t>
      </w:r>
      <w:r w:rsidR="00F378EA" w:rsidRPr="00444714">
        <w:rPr>
          <w:rFonts w:ascii="Times New Roman" w:hAnsi="Times New Roman"/>
        </w:rPr>
        <w:t>(Cth)</w:t>
      </w:r>
      <w:r w:rsidR="00F44F66" w:rsidRPr="00444714">
        <w:rPr>
          <w:rFonts w:ascii="Times New Roman" w:hAnsi="Times New Roman"/>
        </w:rPr>
        <w:t xml:space="preserve"> ("the 1936</w:t>
      </w:r>
      <w:r w:rsidR="008C0001" w:rsidRPr="00444714">
        <w:rPr>
          <w:rFonts w:ascii="Times New Roman" w:hAnsi="Times New Roman"/>
        </w:rPr>
        <w:t xml:space="preserve"> Act</w:t>
      </w:r>
      <w:r w:rsidR="00F44F66" w:rsidRPr="00444714">
        <w:rPr>
          <w:rFonts w:ascii="Times New Roman" w:hAnsi="Times New Roman"/>
        </w:rPr>
        <w:t>")</w:t>
      </w:r>
      <w:r w:rsidR="0098224A" w:rsidRPr="00444714">
        <w:rPr>
          <w:rFonts w:ascii="Times New Roman" w:hAnsi="Times New Roman"/>
        </w:rPr>
        <w:t>, headed</w:t>
      </w:r>
      <w:r w:rsidR="00C52E53" w:rsidRPr="00444714">
        <w:rPr>
          <w:rFonts w:ascii="Times New Roman" w:hAnsi="Times New Roman"/>
        </w:rPr>
        <w:t xml:space="preserve"> </w:t>
      </w:r>
      <w:r w:rsidR="007D07F5" w:rsidRPr="00444714">
        <w:rPr>
          <w:rFonts w:ascii="Times New Roman" w:hAnsi="Times New Roman"/>
        </w:rPr>
        <w:t>"</w:t>
      </w:r>
      <w:r w:rsidR="003A1D52" w:rsidRPr="00444714">
        <w:rPr>
          <w:rFonts w:ascii="Times New Roman" w:hAnsi="Times New Roman"/>
        </w:rPr>
        <w:t>T</w:t>
      </w:r>
      <w:r w:rsidR="007D07F5" w:rsidRPr="00444714">
        <w:rPr>
          <w:rFonts w:ascii="Times New Roman" w:hAnsi="Times New Roman"/>
        </w:rPr>
        <w:t>rust income"</w:t>
      </w:r>
      <w:r w:rsidR="00C52E53" w:rsidRPr="00444714">
        <w:rPr>
          <w:rFonts w:ascii="Times New Roman" w:hAnsi="Times New Roman"/>
        </w:rPr>
        <w:t>.</w:t>
      </w:r>
      <w:r w:rsidR="00AA652F" w:rsidRPr="00444714">
        <w:rPr>
          <w:rFonts w:ascii="Times New Roman" w:hAnsi="Times New Roman"/>
        </w:rPr>
        <w:t xml:space="preserve"> </w:t>
      </w:r>
      <w:r w:rsidR="00C52E53" w:rsidRPr="00444714">
        <w:rPr>
          <w:rFonts w:ascii="Times New Roman" w:hAnsi="Times New Roman"/>
        </w:rPr>
        <w:t xml:space="preserve">The primary provision in </w:t>
      </w:r>
      <w:proofErr w:type="spellStart"/>
      <w:r w:rsidR="00C52E53" w:rsidRPr="00444714">
        <w:rPr>
          <w:rFonts w:ascii="Times New Roman" w:hAnsi="Times New Roman"/>
        </w:rPr>
        <w:t>Div</w:t>
      </w:r>
      <w:proofErr w:type="spellEnd"/>
      <w:r w:rsidR="00C52E53" w:rsidRPr="00444714">
        <w:rPr>
          <w:rFonts w:ascii="Times New Roman" w:hAnsi="Times New Roman"/>
        </w:rPr>
        <w:t> 6</w:t>
      </w:r>
      <w:r w:rsidR="00A6294F" w:rsidRPr="00444714">
        <w:rPr>
          <w:rFonts w:ascii="Times New Roman" w:hAnsi="Times New Roman"/>
        </w:rPr>
        <w:t>, s 96</w:t>
      </w:r>
      <w:r w:rsidR="00C52E53" w:rsidRPr="00444714">
        <w:rPr>
          <w:rStyle w:val="FootnoteReference"/>
          <w:rFonts w:ascii="Times New Roman" w:hAnsi="Times New Roman"/>
          <w:sz w:val="24"/>
        </w:rPr>
        <w:footnoteReference w:id="2"/>
      </w:r>
      <w:r w:rsidR="00A6294F" w:rsidRPr="00444714">
        <w:rPr>
          <w:rFonts w:ascii="Times New Roman" w:hAnsi="Times New Roman"/>
        </w:rPr>
        <w:t>,</w:t>
      </w:r>
      <w:r w:rsidR="00C52E53" w:rsidRPr="00444714">
        <w:rPr>
          <w:rFonts w:ascii="Times New Roman" w:hAnsi="Times New Roman"/>
        </w:rPr>
        <w:t xml:space="preserve"> states:</w:t>
      </w:r>
      <w:r w:rsidR="00AA652F" w:rsidRPr="00444714">
        <w:rPr>
          <w:rFonts w:ascii="Times New Roman" w:hAnsi="Times New Roman"/>
        </w:rPr>
        <w:t xml:space="preserve"> </w:t>
      </w:r>
      <w:r w:rsidR="00C52E53" w:rsidRPr="00444714">
        <w:rPr>
          <w:rFonts w:ascii="Times New Roman" w:hAnsi="Times New Roman"/>
        </w:rPr>
        <w:t>"Except as provided in this Act, a</w:t>
      </w:r>
      <w:r w:rsidR="00D23646">
        <w:rPr>
          <w:rFonts w:ascii="Times New Roman" w:hAnsi="Times New Roman"/>
        </w:rPr>
        <w:t xml:space="preserve"> </w:t>
      </w:r>
      <w:r w:rsidR="00C52E53" w:rsidRPr="00444714">
        <w:rPr>
          <w:rFonts w:ascii="Times New Roman" w:hAnsi="Times New Roman"/>
        </w:rPr>
        <w:t>trustee shall not be liable as trustee to pay income tax upon the income of the trust estate"</w:t>
      </w:r>
      <w:r w:rsidR="0098224A" w:rsidRPr="00444714">
        <w:rPr>
          <w:rFonts w:ascii="Times New Roman" w:hAnsi="Times New Roman"/>
        </w:rPr>
        <w:t>.</w:t>
      </w:r>
      <w:r w:rsidR="00AA652F" w:rsidRPr="00444714">
        <w:rPr>
          <w:rFonts w:ascii="Times New Roman" w:hAnsi="Times New Roman"/>
        </w:rPr>
        <w:t xml:space="preserve"> </w:t>
      </w:r>
      <w:r w:rsidR="00EE033D" w:rsidRPr="00444714">
        <w:rPr>
          <w:rFonts w:ascii="Times New Roman" w:hAnsi="Times New Roman"/>
        </w:rPr>
        <w:t xml:space="preserve">Section 96 </w:t>
      </w:r>
      <w:r w:rsidR="004E1E91" w:rsidRPr="00444714">
        <w:rPr>
          <w:rFonts w:ascii="Times New Roman" w:hAnsi="Times New Roman"/>
        </w:rPr>
        <w:t xml:space="preserve">reflects </w:t>
      </w:r>
      <w:r w:rsidR="003A1181" w:rsidRPr="00444714">
        <w:rPr>
          <w:rFonts w:ascii="Times New Roman" w:hAnsi="Times New Roman"/>
        </w:rPr>
        <w:t>that</w:t>
      </w:r>
      <w:r w:rsidR="002A4B43" w:rsidRPr="00444714">
        <w:rPr>
          <w:rFonts w:ascii="Times New Roman" w:hAnsi="Times New Roman"/>
        </w:rPr>
        <w:t>,</w:t>
      </w:r>
      <w:r w:rsidR="003A1181" w:rsidRPr="00444714">
        <w:rPr>
          <w:rFonts w:ascii="Times New Roman" w:hAnsi="Times New Roman"/>
        </w:rPr>
        <w:t xml:space="preserve"> in</w:t>
      </w:r>
      <w:r w:rsidR="00C52E53" w:rsidRPr="00444714">
        <w:rPr>
          <w:rFonts w:ascii="Times New Roman" w:hAnsi="Times New Roman"/>
        </w:rPr>
        <w:t xml:space="preserve"> </w:t>
      </w:r>
      <w:proofErr w:type="spellStart"/>
      <w:r w:rsidR="00C52E53" w:rsidRPr="00444714">
        <w:rPr>
          <w:rFonts w:ascii="Times New Roman" w:hAnsi="Times New Roman"/>
        </w:rPr>
        <w:t>Div</w:t>
      </w:r>
      <w:proofErr w:type="spellEnd"/>
      <w:r w:rsidR="00C52E53" w:rsidRPr="00444714">
        <w:rPr>
          <w:rFonts w:ascii="Times New Roman" w:hAnsi="Times New Roman"/>
        </w:rPr>
        <w:t> 6</w:t>
      </w:r>
      <w:r w:rsidR="000F1F95" w:rsidRPr="00444714">
        <w:rPr>
          <w:rFonts w:ascii="Times New Roman" w:hAnsi="Times New Roman"/>
        </w:rPr>
        <w:t>,</w:t>
      </w:r>
      <w:r w:rsidR="00C52E53" w:rsidRPr="00444714">
        <w:rPr>
          <w:rFonts w:ascii="Times New Roman" w:hAnsi="Times New Roman"/>
        </w:rPr>
        <w:t xml:space="preserve"> the basic income tax treatment of the net income of a trust estate is to assess the beneficiaries on a share of the net income of the trust estate based on their </w:t>
      </w:r>
      <w:r w:rsidR="00C52E53" w:rsidRPr="00444714">
        <w:rPr>
          <w:rFonts w:ascii="Times New Roman" w:hAnsi="Times New Roman"/>
          <w:i/>
        </w:rPr>
        <w:t>present entitlement</w:t>
      </w:r>
      <w:r w:rsidR="00C52E53" w:rsidRPr="00444714">
        <w:rPr>
          <w:rFonts w:ascii="Times New Roman" w:hAnsi="Times New Roman"/>
        </w:rPr>
        <w:t xml:space="preserve"> to a share of the income of the trust estate</w:t>
      </w:r>
      <w:r w:rsidR="003C4668" w:rsidRPr="00444714">
        <w:rPr>
          <w:rStyle w:val="FootnoteReference"/>
          <w:rFonts w:ascii="Times New Roman" w:hAnsi="Times New Roman"/>
          <w:sz w:val="24"/>
        </w:rPr>
        <w:footnoteReference w:id="3"/>
      </w:r>
      <w:r w:rsidR="00C52E53" w:rsidRPr="00444714">
        <w:rPr>
          <w:rFonts w:ascii="Times New Roman" w:hAnsi="Times New Roman"/>
        </w:rPr>
        <w:t>.</w:t>
      </w:r>
      <w:r w:rsidR="00AA652F" w:rsidRPr="00444714">
        <w:rPr>
          <w:rFonts w:ascii="Times New Roman" w:hAnsi="Times New Roman"/>
        </w:rPr>
        <w:t xml:space="preserve"> </w:t>
      </w:r>
      <w:r w:rsidR="00A752F2" w:rsidRPr="00444714">
        <w:rPr>
          <w:rFonts w:ascii="Times New Roman" w:hAnsi="Times New Roman"/>
        </w:rPr>
        <w:t>T</w:t>
      </w:r>
      <w:r w:rsidR="00C23C9D" w:rsidRPr="00444714" w:rsidDel="00421DB0">
        <w:rPr>
          <w:rFonts w:ascii="Times New Roman" w:hAnsi="Times New Roman"/>
        </w:rPr>
        <w:t>he trust is the mere conduit</w:t>
      </w:r>
      <w:r w:rsidR="008A5849" w:rsidRPr="00444714" w:rsidDel="00421DB0">
        <w:rPr>
          <w:rFonts w:ascii="Times New Roman" w:hAnsi="Times New Roman"/>
        </w:rPr>
        <w:t xml:space="preserve"> through which the beneficiaries under the trust receive income</w:t>
      </w:r>
      <w:r w:rsidR="00404F81" w:rsidRPr="00444714" w:rsidDel="00421DB0">
        <w:rPr>
          <w:rFonts w:ascii="Times New Roman" w:hAnsi="Times New Roman"/>
        </w:rPr>
        <w:t xml:space="preserve"> and are assessed</w:t>
      </w:r>
      <w:r w:rsidR="008A5849" w:rsidRPr="00444714" w:rsidDel="00421DB0">
        <w:rPr>
          <w:rStyle w:val="FootnoteReference"/>
          <w:rFonts w:ascii="Times New Roman" w:hAnsi="Times New Roman"/>
          <w:sz w:val="24"/>
        </w:rPr>
        <w:footnoteReference w:id="4"/>
      </w:r>
      <w:r w:rsidR="00C23C9D" w:rsidRPr="00444714" w:rsidDel="00421DB0">
        <w:rPr>
          <w:rFonts w:ascii="Times New Roman" w:hAnsi="Times New Roman"/>
        </w:rPr>
        <w:t>.</w:t>
      </w:r>
    </w:p>
    <w:p w14:paraId="53B2CFC0" w14:textId="2A9E1336" w:rsidR="00A048DF" w:rsidRPr="00444714" w:rsidRDefault="00BC29E6" w:rsidP="00444714">
      <w:pPr>
        <w:pStyle w:val="FixListStyle"/>
        <w:spacing w:after="260" w:line="280" w:lineRule="exact"/>
        <w:ind w:right="0"/>
        <w:jc w:val="both"/>
        <w:rPr>
          <w:rFonts w:ascii="Times New Roman" w:hAnsi="Times New Roman"/>
        </w:rPr>
      </w:pPr>
      <w:r w:rsidRPr="00444714">
        <w:rPr>
          <w:rFonts w:ascii="Times New Roman" w:hAnsi="Times New Roman"/>
        </w:rPr>
        <w:tab/>
        <w:t>That basic income tax treatment</w:t>
      </w:r>
      <w:r w:rsidR="00D901F2" w:rsidRPr="00444714">
        <w:rPr>
          <w:rFonts w:ascii="Times New Roman" w:hAnsi="Times New Roman"/>
        </w:rPr>
        <w:t xml:space="preserve">, from the perspective of the beneficiary, </w:t>
      </w:r>
      <w:r w:rsidRPr="00444714">
        <w:rPr>
          <w:rFonts w:ascii="Times New Roman" w:hAnsi="Times New Roman"/>
        </w:rPr>
        <w:t>is</w:t>
      </w:r>
      <w:r w:rsidR="000058A8">
        <w:rPr>
          <w:rFonts w:ascii="Times New Roman" w:hAnsi="Times New Roman"/>
        </w:rPr>
        <w:t> </w:t>
      </w:r>
      <w:r w:rsidR="00273402" w:rsidRPr="00444714">
        <w:rPr>
          <w:rFonts w:ascii="Times New Roman" w:hAnsi="Times New Roman"/>
        </w:rPr>
        <w:t xml:space="preserve">addressed </w:t>
      </w:r>
      <w:r w:rsidRPr="00444714">
        <w:rPr>
          <w:rFonts w:ascii="Times New Roman" w:hAnsi="Times New Roman"/>
        </w:rPr>
        <w:t>in s 97(1)</w:t>
      </w:r>
      <w:r w:rsidR="00A225A7" w:rsidRPr="00444714">
        <w:rPr>
          <w:rFonts w:ascii="Times New Roman" w:hAnsi="Times New Roman"/>
        </w:rPr>
        <w:t>,</w:t>
      </w:r>
      <w:r w:rsidR="00F378EA" w:rsidRPr="00444714">
        <w:rPr>
          <w:rFonts w:ascii="Times New Roman" w:hAnsi="Times New Roman"/>
        </w:rPr>
        <w:t xml:space="preserve"> </w:t>
      </w:r>
      <w:r w:rsidR="004D4C74" w:rsidRPr="00444714">
        <w:rPr>
          <w:rFonts w:ascii="Times New Roman" w:hAnsi="Times New Roman"/>
        </w:rPr>
        <w:t xml:space="preserve">which </w:t>
      </w:r>
      <w:r w:rsidR="00A048DF" w:rsidRPr="00444714">
        <w:rPr>
          <w:rFonts w:ascii="Times New Roman" w:hAnsi="Times New Roman"/>
        </w:rPr>
        <w:t>relevantly states:</w:t>
      </w:r>
    </w:p>
    <w:p w14:paraId="343465F3" w14:textId="77777777" w:rsidR="0047644B" w:rsidRPr="00444714" w:rsidRDefault="00A048DF" w:rsidP="00444714">
      <w:pPr>
        <w:pStyle w:val="leftright"/>
        <w:spacing w:before="0" w:after="260" w:line="280" w:lineRule="exact"/>
        <w:ind w:right="0"/>
        <w:jc w:val="both"/>
        <w:rPr>
          <w:rFonts w:ascii="Times New Roman" w:hAnsi="Times New Roman"/>
        </w:rPr>
      </w:pPr>
      <w:r w:rsidRPr="00444714">
        <w:rPr>
          <w:rFonts w:ascii="Times New Roman" w:hAnsi="Times New Roman"/>
        </w:rPr>
        <w:t xml:space="preserve">"Subject to Division 6D, </w:t>
      </w:r>
      <w:r w:rsidRPr="00444714">
        <w:rPr>
          <w:rFonts w:ascii="Times New Roman" w:hAnsi="Times New Roman"/>
          <w:i/>
        </w:rPr>
        <w:t xml:space="preserve">where a beneficiary </w:t>
      </w:r>
      <w:r w:rsidRPr="00444714">
        <w:rPr>
          <w:rFonts w:ascii="Times New Roman" w:hAnsi="Times New Roman"/>
        </w:rPr>
        <w:t xml:space="preserve">of a trust estate who is not under any legal disability </w:t>
      </w:r>
      <w:r w:rsidRPr="00444714">
        <w:rPr>
          <w:rFonts w:ascii="Times New Roman" w:hAnsi="Times New Roman"/>
          <w:i/>
        </w:rPr>
        <w:t>is presently entitled to a share of the income of the trust estate</w:t>
      </w:r>
      <w:r w:rsidR="0047644B" w:rsidRPr="00444714">
        <w:rPr>
          <w:rFonts w:ascii="Times New Roman" w:hAnsi="Times New Roman"/>
        </w:rPr>
        <w:t>:</w:t>
      </w:r>
    </w:p>
    <w:p w14:paraId="73742F85" w14:textId="77777777" w:rsidR="0047644B" w:rsidRPr="00444714" w:rsidRDefault="0047644B" w:rsidP="00444714">
      <w:pPr>
        <w:pStyle w:val="leftright"/>
        <w:spacing w:before="0" w:after="260" w:line="280" w:lineRule="exact"/>
        <w:ind w:left="1440" w:right="0" w:hanging="720"/>
        <w:jc w:val="both"/>
        <w:rPr>
          <w:rFonts w:ascii="Times New Roman" w:hAnsi="Times New Roman"/>
        </w:rPr>
      </w:pPr>
      <w:r w:rsidRPr="00444714">
        <w:rPr>
          <w:rFonts w:ascii="Times New Roman" w:hAnsi="Times New Roman"/>
        </w:rPr>
        <w:t>(a)</w:t>
      </w:r>
      <w:r w:rsidRPr="00444714">
        <w:rPr>
          <w:rFonts w:ascii="Times New Roman" w:hAnsi="Times New Roman"/>
        </w:rPr>
        <w:tab/>
        <w:t>the assessable income of the beneficiary shall include:</w:t>
      </w:r>
    </w:p>
    <w:p w14:paraId="7225B624" w14:textId="630B726A" w:rsidR="00A73989" w:rsidRPr="00444714" w:rsidRDefault="0047644B" w:rsidP="00444714">
      <w:pPr>
        <w:pStyle w:val="leftright"/>
        <w:spacing w:before="0" w:after="260" w:line="280" w:lineRule="exact"/>
        <w:ind w:left="2160" w:right="0" w:hanging="720"/>
        <w:jc w:val="both"/>
        <w:rPr>
          <w:rFonts w:ascii="Times New Roman" w:hAnsi="Times New Roman"/>
        </w:rPr>
      </w:pPr>
      <w:r w:rsidRPr="00444714">
        <w:rPr>
          <w:rFonts w:ascii="Times New Roman" w:hAnsi="Times New Roman"/>
        </w:rPr>
        <w:t>(</w:t>
      </w:r>
      <w:proofErr w:type="spellStart"/>
      <w:r w:rsidRPr="00444714">
        <w:rPr>
          <w:rFonts w:ascii="Times New Roman" w:hAnsi="Times New Roman"/>
        </w:rPr>
        <w:t>i</w:t>
      </w:r>
      <w:proofErr w:type="spellEnd"/>
      <w:r w:rsidRPr="00444714">
        <w:rPr>
          <w:rFonts w:ascii="Times New Roman" w:hAnsi="Times New Roman"/>
        </w:rPr>
        <w:t>)</w:t>
      </w:r>
      <w:r w:rsidRPr="00444714">
        <w:rPr>
          <w:rFonts w:ascii="Times New Roman" w:hAnsi="Times New Roman"/>
        </w:rPr>
        <w:tab/>
      </w:r>
      <w:r w:rsidR="007B3C01" w:rsidRPr="00444714">
        <w:rPr>
          <w:rFonts w:ascii="Times New Roman" w:hAnsi="Times New Roman"/>
        </w:rPr>
        <w:t xml:space="preserve">so much of that share of the net income of the trust estate as is attributable to a period when the beneficiary was a resident; and </w:t>
      </w:r>
    </w:p>
    <w:p w14:paraId="732FF38F" w14:textId="77777777" w:rsidR="00444714" w:rsidRDefault="007B3C01" w:rsidP="00444714">
      <w:pPr>
        <w:pStyle w:val="leftright"/>
        <w:spacing w:before="0" w:after="260" w:line="280" w:lineRule="exact"/>
        <w:ind w:left="2160" w:right="0" w:hanging="720"/>
        <w:jc w:val="both"/>
        <w:rPr>
          <w:rFonts w:ascii="Times New Roman" w:hAnsi="Times New Roman"/>
        </w:rPr>
      </w:pPr>
      <w:r w:rsidRPr="00444714">
        <w:rPr>
          <w:rFonts w:ascii="Times New Roman" w:hAnsi="Times New Roman"/>
        </w:rPr>
        <w:t>(ii)</w:t>
      </w:r>
      <w:r w:rsidRPr="00444714">
        <w:rPr>
          <w:rFonts w:ascii="Times New Roman" w:hAnsi="Times New Roman"/>
        </w:rPr>
        <w:tab/>
      </w:r>
      <w:r w:rsidR="007E279A" w:rsidRPr="00444714">
        <w:rPr>
          <w:rFonts w:ascii="Times New Roman" w:hAnsi="Times New Roman"/>
        </w:rPr>
        <w:t>so much of that share of the net income of the trust estate as is attributable to a period when the beneficiary was not a resident and is also attributable to sources in Australia ..."</w:t>
      </w:r>
      <w:r w:rsidR="00AA652F" w:rsidRPr="00444714">
        <w:rPr>
          <w:rFonts w:ascii="Times New Roman" w:hAnsi="Times New Roman"/>
        </w:rPr>
        <w:t xml:space="preserve"> </w:t>
      </w:r>
      <w:r w:rsidR="002E11CD" w:rsidRPr="00444714">
        <w:rPr>
          <w:rFonts w:ascii="Times New Roman" w:hAnsi="Times New Roman"/>
        </w:rPr>
        <w:t>(</w:t>
      </w:r>
      <w:r w:rsidR="00297C69" w:rsidRPr="00444714">
        <w:rPr>
          <w:rFonts w:ascii="Times New Roman" w:hAnsi="Times New Roman"/>
        </w:rPr>
        <w:t>e</w:t>
      </w:r>
      <w:r w:rsidR="002E11CD" w:rsidRPr="00444714">
        <w:rPr>
          <w:rFonts w:ascii="Times New Roman" w:hAnsi="Times New Roman"/>
        </w:rPr>
        <w:t>mphasis added)</w:t>
      </w:r>
    </w:p>
    <w:p w14:paraId="39CFA033" w14:textId="1A5FDDD5" w:rsidR="00AF6BD3" w:rsidRPr="00444714" w:rsidRDefault="00273402"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BD0681" w:rsidRPr="00444714">
        <w:rPr>
          <w:rFonts w:ascii="Times New Roman" w:hAnsi="Times New Roman"/>
        </w:rPr>
        <w:t xml:space="preserve">A </w:t>
      </w:r>
      <w:r w:rsidR="002E11CD" w:rsidRPr="00444714">
        <w:rPr>
          <w:rFonts w:ascii="Times New Roman" w:hAnsi="Times New Roman"/>
        </w:rPr>
        <w:t xml:space="preserve">criterion </w:t>
      </w:r>
      <w:r w:rsidR="00A431A0" w:rsidRPr="00444714">
        <w:rPr>
          <w:rFonts w:ascii="Times New Roman" w:hAnsi="Times New Roman"/>
        </w:rPr>
        <w:t>on which s 97(1) operates is that</w:t>
      </w:r>
      <w:r w:rsidR="00086D9C" w:rsidRPr="00444714">
        <w:rPr>
          <w:rFonts w:ascii="Times New Roman" w:hAnsi="Times New Roman"/>
        </w:rPr>
        <w:t xml:space="preserve"> a beneficiary "</w:t>
      </w:r>
      <w:r w:rsidR="00086D9C" w:rsidRPr="00444714">
        <w:rPr>
          <w:rFonts w:ascii="Times New Roman" w:hAnsi="Times New Roman"/>
          <w:i/>
        </w:rPr>
        <w:t>is</w:t>
      </w:r>
      <w:r w:rsidR="008932A8">
        <w:rPr>
          <w:rFonts w:ascii="Times New Roman" w:hAnsi="Times New Roman"/>
          <w:i/>
        </w:rPr>
        <w:t xml:space="preserve"> </w:t>
      </w:r>
      <w:r w:rsidR="00086D9C" w:rsidRPr="00444714">
        <w:rPr>
          <w:rFonts w:ascii="Times New Roman" w:hAnsi="Times New Roman"/>
          <w:i/>
        </w:rPr>
        <w:t>presently entitled</w:t>
      </w:r>
      <w:r w:rsidR="00086D9C" w:rsidRPr="00444714">
        <w:rPr>
          <w:rFonts w:ascii="Times New Roman" w:hAnsi="Times New Roman"/>
        </w:rPr>
        <w:t xml:space="preserve"> to a share of the income of the trust estate"</w:t>
      </w:r>
      <w:r w:rsidR="003E4E7B" w:rsidRPr="00444714">
        <w:rPr>
          <w:rFonts w:ascii="Times New Roman" w:hAnsi="Times New Roman"/>
        </w:rPr>
        <w:t xml:space="preserve"> (</w:t>
      </w:r>
      <w:r w:rsidR="00110691" w:rsidRPr="00444714">
        <w:rPr>
          <w:rFonts w:ascii="Times New Roman" w:hAnsi="Times New Roman"/>
        </w:rPr>
        <w:t>e</w:t>
      </w:r>
      <w:r w:rsidR="003E4E7B" w:rsidRPr="00444714">
        <w:rPr>
          <w:rFonts w:ascii="Times New Roman" w:hAnsi="Times New Roman"/>
        </w:rPr>
        <w:t>mphasis added)</w:t>
      </w:r>
      <w:r w:rsidR="00110691" w:rsidRPr="00444714">
        <w:rPr>
          <w:rFonts w:ascii="Times New Roman" w:hAnsi="Times New Roman"/>
        </w:rPr>
        <w:t>.</w:t>
      </w:r>
      <w:r w:rsidR="00AA652F" w:rsidRPr="00444714">
        <w:rPr>
          <w:rFonts w:ascii="Times New Roman" w:hAnsi="Times New Roman"/>
        </w:rPr>
        <w:t xml:space="preserve"> </w:t>
      </w:r>
      <w:r w:rsidR="0032521A" w:rsidRPr="00444714">
        <w:rPr>
          <w:rFonts w:ascii="Times New Roman" w:hAnsi="Times New Roman"/>
        </w:rPr>
        <w:t xml:space="preserve">For the purposes of </w:t>
      </w:r>
      <w:r w:rsidR="00433A72" w:rsidRPr="00444714">
        <w:rPr>
          <w:rFonts w:ascii="Times New Roman" w:hAnsi="Times New Roman"/>
        </w:rPr>
        <w:t xml:space="preserve">that </w:t>
      </w:r>
      <w:r w:rsidR="00081E4A" w:rsidRPr="00444714">
        <w:rPr>
          <w:rFonts w:ascii="Times New Roman" w:hAnsi="Times New Roman"/>
        </w:rPr>
        <w:t>sub-</w:t>
      </w:r>
      <w:r w:rsidR="00433A72" w:rsidRPr="00444714">
        <w:rPr>
          <w:rFonts w:ascii="Times New Roman" w:hAnsi="Times New Roman"/>
        </w:rPr>
        <w:t>section</w:t>
      </w:r>
      <w:r w:rsidR="0032521A" w:rsidRPr="00444714">
        <w:rPr>
          <w:rFonts w:ascii="Times New Roman" w:hAnsi="Times New Roman"/>
        </w:rPr>
        <w:t>, a</w:t>
      </w:r>
      <w:r w:rsidR="003E4E7B" w:rsidRPr="00444714">
        <w:rPr>
          <w:rFonts w:ascii="Times New Roman" w:hAnsi="Times New Roman"/>
        </w:rPr>
        <w:t xml:space="preserve"> beneficiary is</w:t>
      </w:r>
      <w:r w:rsidR="00350E27">
        <w:rPr>
          <w:rFonts w:ascii="Times New Roman" w:hAnsi="Times New Roman"/>
        </w:rPr>
        <w:t xml:space="preserve"> </w:t>
      </w:r>
      <w:r w:rsidR="003E4E7B" w:rsidRPr="00444714">
        <w:rPr>
          <w:rFonts w:ascii="Times New Roman" w:hAnsi="Times New Roman"/>
        </w:rPr>
        <w:t xml:space="preserve">presently entitled to </w:t>
      </w:r>
      <w:r w:rsidR="0032521A" w:rsidRPr="00444714">
        <w:rPr>
          <w:rFonts w:ascii="Times New Roman" w:hAnsi="Times New Roman"/>
        </w:rPr>
        <w:t>a share of the income of a trust estate "if</w:t>
      </w:r>
      <w:r w:rsidR="00AF6BD3" w:rsidRPr="00444714">
        <w:rPr>
          <w:rFonts w:ascii="Times New Roman" w:hAnsi="Times New Roman"/>
        </w:rPr>
        <w:t>,</w:t>
      </w:r>
      <w:r w:rsidR="00350E27">
        <w:rPr>
          <w:rFonts w:ascii="Times New Roman" w:hAnsi="Times New Roman"/>
        </w:rPr>
        <w:t xml:space="preserve"> </w:t>
      </w:r>
      <w:r w:rsidR="00AF6BD3" w:rsidRPr="00444714">
        <w:rPr>
          <w:rFonts w:ascii="Times New Roman" w:hAnsi="Times New Roman"/>
        </w:rPr>
        <w:t>but</w:t>
      </w:r>
      <w:r w:rsidR="00350E27">
        <w:rPr>
          <w:rFonts w:ascii="Times New Roman" w:hAnsi="Times New Roman"/>
        </w:rPr>
        <w:t xml:space="preserve"> </w:t>
      </w:r>
      <w:r w:rsidR="00AF6BD3" w:rsidRPr="00444714">
        <w:rPr>
          <w:rFonts w:ascii="Times New Roman" w:hAnsi="Times New Roman"/>
        </w:rPr>
        <w:t>only if: (a)</w:t>
      </w:r>
      <w:r w:rsidR="00350E27">
        <w:rPr>
          <w:rFonts w:ascii="Times New Roman" w:hAnsi="Times New Roman"/>
        </w:rPr>
        <w:t xml:space="preserve"> </w:t>
      </w:r>
      <w:r w:rsidR="00AF6BD3" w:rsidRPr="00444714">
        <w:rPr>
          <w:rFonts w:ascii="Times New Roman" w:hAnsi="Times New Roman"/>
        </w:rPr>
        <w:t>the beneficiary has an interest in the income which is both vested in interest and vested in possession; and</w:t>
      </w:r>
      <w:r w:rsidR="00350E27">
        <w:rPr>
          <w:rFonts w:ascii="Times New Roman" w:hAnsi="Times New Roman"/>
        </w:rPr>
        <w:t xml:space="preserve"> </w:t>
      </w:r>
      <w:r w:rsidR="00AF6BD3" w:rsidRPr="00444714">
        <w:rPr>
          <w:rFonts w:ascii="Times New Roman" w:hAnsi="Times New Roman"/>
        </w:rPr>
        <w:t>(b)</w:t>
      </w:r>
      <w:r w:rsidR="00350E27">
        <w:rPr>
          <w:rFonts w:ascii="Times New Roman" w:hAnsi="Times New Roman"/>
        </w:rPr>
        <w:t xml:space="preserve"> </w:t>
      </w:r>
      <w:r w:rsidR="00AF6BD3" w:rsidRPr="00444714">
        <w:rPr>
          <w:rFonts w:ascii="Times New Roman" w:hAnsi="Times New Roman"/>
        </w:rPr>
        <w:t xml:space="preserve">the beneficiary has a present legal right to demand and receive payment of the income, </w:t>
      </w:r>
      <w:r w:rsidR="00AF6BD3" w:rsidRPr="00444714">
        <w:rPr>
          <w:rFonts w:ascii="Times New Roman" w:hAnsi="Times New Roman"/>
        </w:rPr>
        <w:lastRenderedPageBreak/>
        <w:t>whether or not the precise entitlement can be ascertained before the end of the relevant year of income and whether or not the trustee has the funds available for immediate payment"</w:t>
      </w:r>
      <w:r w:rsidR="00AF6BD3" w:rsidRPr="00444714">
        <w:rPr>
          <w:rStyle w:val="FootnoteReference"/>
          <w:rFonts w:ascii="Times New Roman" w:hAnsi="Times New Roman"/>
          <w:sz w:val="24"/>
        </w:rPr>
        <w:footnoteReference w:id="5"/>
      </w:r>
      <w:r w:rsidR="00AF6BD3" w:rsidRPr="00444714">
        <w:rPr>
          <w:rFonts w:ascii="Times New Roman" w:hAnsi="Times New Roman"/>
        </w:rPr>
        <w:t>.</w:t>
      </w:r>
    </w:p>
    <w:p w14:paraId="5EEA55BF" w14:textId="55647075" w:rsidR="00BD0681" w:rsidRPr="00444714" w:rsidRDefault="00E2338C" w:rsidP="00444714">
      <w:pPr>
        <w:pStyle w:val="FixListStyle"/>
        <w:spacing w:after="260" w:line="280" w:lineRule="exact"/>
        <w:ind w:right="0"/>
        <w:jc w:val="both"/>
        <w:rPr>
          <w:rFonts w:ascii="Times New Roman" w:hAnsi="Times New Roman"/>
        </w:rPr>
      </w:pPr>
      <w:r w:rsidRPr="00444714">
        <w:rPr>
          <w:rFonts w:ascii="Times New Roman" w:hAnsi="Times New Roman"/>
        </w:rPr>
        <w:tab/>
        <w:t xml:space="preserve">The issue in this appeal is </w:t>
      </w:r>
      <w:r w:rsidR="00391279" w:rsidRPr="00444714">
        <w:rPr>
          <w:rFonts w:ascii="Times New Roman" w:hAnsi="Times New Roman"/>
        </w:rPr>
        <w:t xml:space="preserve">one </w:t>
      </w:r>
      <w:r w:rsidR="006A2735" w:rsidRPr="00444714">
        <w:rPr>
          <w:rFonts w:ascii="Times New Roman" w:hAnsi="Times New Roman"/>
        </w:rPr>
        <w:t>of timing</w:t>
      </w:r>
      <w:r w:rsidR="009665F8" w:rsidRPr="00444714">
        <w:rPr>
          <w:rFonts w:ascii="Times New Roman" w:hAnsi="Times New Roman"/>
        </w:rPr>
        <w:t>.</w:t>
      </w:r>
      <w:r w:rsidR="00AA652F" w:rsidRPr="00444714">
        <w:rPr>
          <w:rFonts w:ascii="Times New Roman" w:hAnsi="Times New Roman"/>
        </w:rPr>
        <w:t xml:space="preserve"> </w:t>
      </w:r>
      <w:r w:rsidR="009665F8" w:rsidRPr="00444714">
        <w:rPr>
          <w:rFonts w:ascii="Times New Roman" w:hAnsi="Times New Roman"/>
        </w:rPr>
        <w:t>Specifically,</w:t>
      </w:r>
      <w:r w:rsidR="008E5759">
        <w:rPr>
          <w:rFonts w:ascii="Times New Roman" w:hAnsi="Times New Roman"/>
        </w:rPr>
        <w:t xml:space="preserve"> </w:t>
      </w:r>
      <w:r w:rsidRPr="00444714">
        <w:rPr>
          <w:rFonts w:ascii="Times New Roman" w:hAnsi="Times New Roman"/>
        </w:rPr>
        <w:t>i</w:t>
      </w:r>
      <w:r w:rsidR="006A2735" w:rsidRPr="00444714">
        <w:rPr>
          <w:rFonts w:ascii="Times New Roman" w:hAnsi="Times New Roman"/>
        </w:rPr>
        <w:t>s</w:t>
      </w:r>
      <w:r w:rsidRPr="00444714">
        <w:rPr>
          <w:rFonts w:ascii="Times New Roman" w:hAnsi="Times New Roman"/>
        </w:rPr>
        <w:t xml:space="preserve"> a beneficiary's present entitlement </w:t>
      </w:r>
      <w:r w:rsidR="0070613F" w:rsidRPr="00444714">
        <w:rPr>
          <w:rFonts w:ascii="Times New Roman" w:hAnsi="Times New Roman"/>
        </w:rPr>
        <w:t>under s 97</w:t>
      </w:r>
      <w:r w:rsidR="00414A87" w:rsidRPr="00444714">
        <w:rPr>
          <w:rFonts w:ascii="Times New Roman" w:hAnsi="Times New Roman"/>
        </w:rPr>
        <w:t>(1)</w:t>
      </w:r>
      <w:r w:rsidR="0070613F" w:rsidRPr="00444714">
        <w:rPr>
          <w:rFonts w:ascii="Times New Roman" w:hAnsi="Times New Roman"/>
        </w:rPr>
        <w:t xml:space="preserve"> </w:t>
      </w:r>
      <w:r w:rsidR="00C040B4" w:rsidRPr="00444714">
        <w:rPr>
          <w:rFonts w:ascii="Times New Roman" w:hAnsi="Times New Roman"/>
        </w:rPr>
        <w:t>–</w:t>
      </w:r>
      <w:r w:rsidRPr="00444714">
        <w:rPr>
          <w:rFonts w:ascii="Times New Roman" w:hAnsi="Times New Roman"/>
        </w:rPr>
        <w:t xml:space="preserve"> the present legal </w:t>
      </w:r>
      <w:r w:rsidRPr="00444714">
        <w:rPr>
          <w:rFonts w:ascii="Times New Roman" w:hAnsi="Times New Roman"/>
          <w:i/>
        </w:rPr>
        <w:t>right</w:t>
      </w:r>
      <w:r w:rsidRPr="00444714">
        <w:rPr>
          <w:rFonts w:ascii="Times New Roman" w:hAnsi="Times New Roman"/>
        </w:rPr>
        <w:t xml:space="preserve"> to demand and receive payment of a </w:t>
      </w:r>
      <w:r w:rsidR="00327F3D" w:rsidRPr="00444714">
        <w:rPr>
          <w:rFonts w:ascii="Times New Roman" w:hAnsi="Times New Roman"/>
        </w:rPr>
        <w:t xml:space="preserve">share of the </w:t>
      </w:r>
      <w:r w:rsidR="0020636B" w:rsidRPr="00444714">
        <w:rPr>
          <w:rFonts w:ascii="Times New Roman" w:hAnsi="Times New Roman"/>
        </w:rPr>
        <w:t xml:space="preserve">income of a trust estate </w:t>
      </w:r>
      <w:r w:rsidR="00C040B4" w:rsidRPr="00444714">
        <w:rPr>
          <w:rFonts w:ascii="Times New Roman" w:hAnsi="Times New Roman"/>
        </w:rPr>
        <w:t>–</w:t>
      </w:r>
      <w:r w:rsidR="0020636B" w:rsidRPr="00444714">
        <w:rPr>
          <w:rFonts w:ascii="Times New Roman" w:hAnsi="Times New Roman"/>
        </w:rPr>
        <w:t xml:space="preserve"> </w:t>
      </w:r>
      <w:r w:rsidR="0070613F" w:rsidRPr="00444714">
        <w:rPr>
          <w:rFonts w:ascii="Times New Roman" w:hAnsi="Times New Roman"/>
        </w:rPr>
        <w:t>to</w:t>
      </w:r>
      <w:r w:rsidR="008E5759">
        <w:rPr>
          <w:rFonts w:ascii="Times New Roman" w:hAnsi="Times New Roman"/>
        </w:rPr>
        <w:t xml:space="preserve"> </w:t>
      </w:r>
      <w:r w:rsidR="0070613F" w:rsidRPr="00444714">
        <w:rPr>
          <w:rFonts w:ascii="Times New Roman" w:hAnsi="Times New Roman"/>
        </w:rPr>
        <w:t>be determined immediately prior to the</w:t>
      </w:r>
      <w:r w:rsidR="00EB613D" w:rsidRPr="00444714">
        <w:rPr>
          <w:rFonts w:ascii="Times New Roman" w:hAnsi="Times New Roman"/>
        </w:rPr>
        <w:t xml:space="preserve"> end of </w:t>
      </w:r>
      <w:r w:rsidR="00693597" w:rsidRPr="00444714">
        <w:rPr>
          <w:rFonts w:ascii="Times New Roman" w:hAnsi="Times New Roman"/>
        </w:rPr>
        <w:t>a year of income</w:t>
      </w:r>
      <w:r w:rsidR="00EB613D" w:rsidRPr="00444714">
        <w:rPr>
          <w:rFonts w:ascii="Times New Roman" w:hAnsi="Times New Roman"/>
        </w:rPr>
        <w:t xml:space="preserve"> by reference to the legal relationships then in existence</w:t>
      </w:r>
      <w:r w:rsidR="001D07FD" w:rsidRPr="00444714">
        <w:rPr>
          <w:rFonts w:ascii="Times New Roman" w:hAnsi="Times New Roman"/>
        </w:rPr>
        <w:t>,</w:t>
      </w:r>
      <w:r w:rsidR="00EB613D" w:rsidRPr="00444714">
        <w:rPr>
          <w:rFonts w:ascii="Times New Roman" w:hAnsi="Times New Roman"/>
        </w:rPr>
        <w:t xml:space="preserve"> </w:t>
      </w:r>
      <w:r w:rsidR="00F54713" w:rsidRPr="00444714">
        <w:rPr>
          <w:rFonts w:ascii="Times New Roman" w:hAnsi="Times New Roman"/>
        </w:rPr>
        <w:t>or</w:t>
      </w:r>
      <w:r w:rsidR="008E5759">
        <w:rPr>
          <w:rFonts w:ascii="Times New Roman" w:hAnsi="Times New Roman"/>
        </w:rPr>
        <w:t xml:space="preserve"> </w:t>
      </w:r>
      <w:r w:rsidR="006A2735" w:rsidRPr="00444714">
        <w:rPr>
          <w:rFonts w:ascii="Times New Roman" w:hAnsi="Times New Roman"/>
        </w:rPr>
        <w:t xml:space="preserve">can </w:t>
      </w:r>
      <w:r w:rsidR="00F54713" w:rsidRPr="00444714">
        <w:rPr>
          <w:rFonts w:ascii="Times New Roman" w:hAnsi="Times New Roman"/>
        </w:rPr>
        <w:t xml:space="preserve">events after the end of the </w:t>
      </w:r>
      <w:r w:rsidR="0068270A" w:rsidRPr="00444714">
        <w:rPr>
          <w:rFonts w:ascii="Times New Roman" w:hAnsi="Times New Roman"/>
        </w:rPr>
        <w:t>year of income</w:t>
      </w:r>
      <w:r w:rsidR="00577B9F" w:rsidRPr="00444714">
        <w:rPr>
          <w:rFonts w:ascii="Times New Roman" w:hAnsi="Times New Roman"/>
        </w:rPr>
        <w:t>,</w:t>
      </w:r>
      <w:r w:rsidR="00F54713" w:rsidRPr="00444714">
        <w:rPr>
          <w:rFonts w:ascii="Times New Roman" w:hAnsi="Times New Roman"/>
        </w:rPr>
        <w:t xml:space="preserve"> </w:t>
      </w:r>
      <w:r w:rsidR="000917A6" w:rsidRPr="00444714">
        <w:rPr>
          <w:rFonts w:ascii="Times New Roman" w:hAnsi="Times New Roman"/>
        </w:rPr>
        <w:t>which</w:t>
      </w:r>
      <w:r w:rsidR="008E5759">
        <w:rPr>
          <w:rFonts w:ascii="Times New Roman" w:hAnsi="Times New Roman"/>
        </w:rPr>
        <w:t xml:space="preserve"> </w:t>
      </w:r>
      <w:r w:rsidR="00577B9F" w:rsidRPr="00444714">
        <w:rPr>
          <w:rFonts w:ascii="Times New Roman" w:hAnsi="Times New Roman"/>
        </w:rPr>
        <w:t xml:space="preserve">may </w:t>
      </w:r>
      <w:r w:rsidR="000917A6" w:rsidRPr="00444714">
        <w:rPr>
          <w:rFonts w:ascii="Times New Roman" w:hAnsi="Times New Roman"/>
        </w:rPr>
        <w:t>affect or alter those legal relationships</w:t>
      </w:r>
      <w:r w:rsidR="00577B9F" w:rsidRPr="00444714">
        <w:rPr>
          <w:rFonts w:ascii="Times New Roman" w:hAnsi="Times New Roman"/>
        </w:rPr>
        <w:t>,</w:t>
      </w:r>
      <w:r w:rsidR="000917A6" w:rsidRPr="00444714">
        <w:rPr>
          <w:rFonts w:ascii="Times New Roman" w:hAnsi="Times New Roman"/>
        </w:rPr>
        <w:t xml:space="preserve"> be considered</w:t>
      </w:r>
      <w:r w:rsidR="00C040B4" w:rsidRPr="00444714">
        <w:rPr>
          <w:rFonts w:ascii="Times New Roman" w:hAnsi="Times New Roman"/>
        </w:rPr>
        <w:t>?</w:t>
      </w:r>
    </w:p>
    <w:p w14:paraId="39D42938" w14:textId="4331644E" w:rsidR="000B72BE" w:rsidRPr="00444714" w:rsidRDefault="00B42156"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A262DB" w:rsidRPr="00444714">
        <w:rPr>
          <w:rFonts w:ascii="Times New Roman" w:hAnsi="Times New Roman"/>
        </w:rPr>
        <w:t>T</w:t>
      </w:r>
      <w:r w:rsidR="00587D66" w:rsidRPr="00444714">
        <w:rPr>
          <w:rFonts w:ascii="Times New Roman" w:hAnsi="Times New Roman"/>
        </w:rPr>
        <w:t xml:space="preserve">hat issue </w:t>
      </w:r>
      <w:r w:rsidRPr="00444714">
        <w:rPr>
          <w:rFonts w:ascii="Times New Roman" w:hAnsi="Times New Roman"/>
        </w:rPr>
        <w:t>arises in the following circumstances</w:t>
      </w:r>
      <w:r w:rsidR="00A330F3" w:rsidRPr="00444714">
        <w:rPr>
          <w:rFonts w:ascii="Times New Roman" w:hAnsi="Times New Roman"/>
        </w:rPr>
        <w:t>.</w:t>
      </w:r>
    </w:p>
    <w:p w14:paraId="1FD40B9E" w14:textId="5A69355D" w:rsidR="00883542" w:rsidRPr="00444714" w:rsidRDefault="002F6BD1" w:rsidP="00444714">
      <w:pPr>
        <w:pStyle w:val="FixListStyle"/>
        <w:spacing w:after="260" w:line="280" w:lineRule="exact"/>
        <w:ind w:right="0"/>
        <w:jc w:val="both"/>
        <w:rPr>
          <w:rFonts w:ascii="Times New Roman" w:hAnsi="Times New Roman"/>
        </w:rPr>
      </w:pPr>
      <w:r w:rsidRPr="00444714">
        <w:rPr>
          <w:rFonts w:ascii="Times New Roman" w:hAnsi="Times New Roman"/>
        </w:rPr>
        <w:tab/>
        <w:t xml:space="preserve">The Whitby Trust was settled </w:t>
      </w:r>
      <w:r w:rsidR="00A2104C" w:rsidRPr="00444714">
        <w:rPr>
          <w:rFonts w:ascii="Times New Roman" w:hAnsi="Times New Roman"/>
        </w:rPr>
        <w:t>on 27 July 2005.</w:t>
      </w:r>
      <w:r w:rsidR="00AA652F" w:rsidRPr="00444714">
        <w:rPr>
          <w:rFonts w:ascii="Times New Roman" w:hAnsi="Times New Roman"/>
        </w:rPr>
        <w:t xml:space="preserve"> </w:t>
      </w:r>
      <w:r w:rsidR="00EF746F" w:rsidRPr="00444714">
        <w:rPr>
          <w:rFonts w:ascii="Times New Roman" w:hAnsi="Times New Roman"/>
        </w:rPr>
        <w:t>Mr</w:t>
      </w:r>
      <w:r w:rsidR="008E5759">
        <w:rPr>
          <w:rFonts w:ascii="Times New Roman" w:hAnsi="Times New Roman"/>
        </w:rPr>
        <w:t xml:space="preserve"> </w:t>
      </w:r>
      <w:r w:rsidR="00883542" w:rsidRPr="00444714">
        <w:rPr>
          <w:rFonts w:ascii="Times New Roman" w:hAnsi="Times New Roman"/>
        </w:rPr>
        <w:t xml:space="preserve">Allen </w:t>
      </w:r>
      <w:r w:rsidR="008F0E04" w:rsidRPr="00444714">
        <w:rPr>
          <w:rFonts w:ascii="Times New Roman" w:hAnsi="Times New Roman"/>
        </w:rPr>
        <w:t>Bruce Caratti</w:t>
      </w:r>
      <w:r w:rsidR="00A84221" w:rsidRPr="00444714">
        <w:rPr>
          <w:rFonts w:ascii="Times New Roman" w:hAnsi="Times New Roman"/>
        </w:rPr>
        <w:t xml:space="preserve"> and</w:t>
      </w:r>
      <w:r w:rsidR="008F0E04" w:rsidRPr="00444714">
        <w:rPr>
          <w:rFonts w:ascii="Times New Roman" w:hAnsi="Times New Roman"/>
        </w:rPr>
        <w:t xml:space="preserve"> his daughter Alisha </w:t>
      </w:r>
      <w:r w:rsidR="00EF746F" w:rsidRPr="00444714">
        <w:rPr>
          <w:rFonts w:ascii="Times New Roman" w:hAnsi="Times New Roman"/>
        </w:rPr>
        <w:t xml:space="preserve">were </w:t>
      </w:r>
      <w:r w:rsidR="00883542" w:rsidRPr="00444714">
        <w:rPr>
          <w:rFonts w:ascii="Times New Roman" w:hAnsi="Times New Roman"/>
        </w:rPr>
        <w:t xml:space="preserve">joint </w:t>
      </w:r>
      <w:r w:rsidR="008F0E04" w:rsidRPr="00444714">
        <w:rPr>
          <w:rFonts w:ascii="Times New Roman" w:hAnsi="Times New Roman"/>
        </w:rPr>
        <w:t>Guardian</w:t>
      </w:r>
      <w:r w:rsidR="00EF746F" w:rsidRPr="00444714">
        <w:rPr>
          <w:rFonts w:ascii="Times New Roman" w:hAnsi="Times New Roman"/>
        </w:rPr>
        <w:t>s</w:t>
      </w:r>
      <w:r w:rsidR="008F0E04" w:rsidRPr="00444714">
        <w:rPr>
          <w:rFonts w:ascii="Times New Roman" w:hAnsi="Times New Roman"/>
        </w:rPr>
        <w:t>.</w:t>
      </w:r>
      <w:r w:rsidR="00AA652F" w:rsidRPr="00444714">
        <w:rPr>
          <w:rFonts w:ascii="Times New Roman" w:hAnsi="Times New Roman"/>
        </w:rPr>
        <w:t xml:space="preserve"> </w:t>
      </w:r>
      <w:r w:rsidR="00883542" w:rsidRPr="00444714">
        <w:rPr>
          <w:rFonts w:ascii="Times New Roman" w:hAnsi="Times New Roman"/>
        </w:rPr>
        <w:t>The</w:t>
      </w:r>
      <w:r w:rsidR="008E5759">
        <w:rPr>
          <w:rFonts w:ascii="Times New Roman" w:hAnsi="Times New Roman"/>
        </w:rPr>
        <w:t xml:space="preserve"> </w:t>
      </w:r>
      <w:r w:rsidR="00883542" w:rsidRPr="00444714">
        <w:rPr>
          <w:rFonts w:ascii="Times New Roman" w:hAnsi="Times New Roman"/>
        </w:rPr>
        <w:t>power to appoint income</w:t>
      </w:r>
      <w:r w:rsidR="000B3E73" w:rsidRPr="00444714">
        <w:rPr>
          <w:rFonts w:ascii="Times New Roman" w:hAnsi="Times New Roman"/>
        </w:rPr>
        <w:t xml:space="preserve">, </w:t>
      </w:r>
      <w:r w:rsidR="00883542" w:rsidRPr="00444714">
        <w:rPr>
          <w:rFonts w:ascii="Times New Roman" w:hAnsi="Times New Roman"/>
        </w:rPr>
        <w:t>contained in cl</w:t>
      </w:r>
      <w:r w:rsidR="00D03C54" w:rsidRPr="00444714">
        <w:rPr>
          <w:rFonts w:ascii="Times New Roman" w:hAnsi="Times New Roman"/>
        </w:rPr>
        <w:t> </w:t>
      </w:r>
      <w:r w:rsidR="00883542" w:rsidRPr="00444714">
        <w:rPr>
          <w:rFonts w:ascii="Times New Roman" w:hAnsi="Times New Roman"/>
        </w:rPr>
        <w:t>3.1 of the Trust Deed</w:t>
      </w:r>
      <w:r w:rsidR="000B3E73" w:rsidRPr="00444714">
        <w:rPr>
          <w:rFonts w:ascii="Times New Roman" w:hAnsi="Times New Roman"/>
        </w:rPr>
        <w:t xml:space="preserve"> for the Whitby Trust</w:t>
      </w:r>
      <w:r w:rsidR="00883542" w:rsidRPr="00444714">
        <w:rPr>
          <w:rFonts w:ascii="Times New Roman" w:hAnsi="Times New Roman"/>
        </w:rPr>
        <w:t>, provide</w:t>
      </w:r>
      <w:r w:rsidR="00CE6314" w:rsidRPr="00444714">
        <w:rPr>
          <w:rFonts w:ascii="Times New Roman" w:hAnsi="Times New Roman"/>
        </w:rPr>
        <w:t>d</w:t>
      </w:r>
      <w:r w:rsidR="00883542" w:rsidRPr="00444714">
        <w:rPr>
          <w:rFonts w:ascii="Times New Roman" w:hAnsi="Times New Roman"/>
        </w:rPr>
        <w:t xml:space="preserve"> </w:t>
      </w:r>
      <w:r w:rsidR="00EF746F" w:rsidRPr="00444714">
        <w:rPr>
          <w:rFonts w:ascii="Times New Roman" w:hAnsi="Times New Roman"/>
        </w:rPr>
        <w:t>that</w:t>
      </w:r>
      <w:r w:rsidR="00883542" w:rsidRPr="00444714">
        <w:rPr>
          <w:rFonts w:ascii="Times New Roman" w:hAnsi="Times New Roman"/>
        </w:rPr>
        <w:t>:</w:t>
      </w:r>
    </w:p>
    <w:p w14:paraId="24CE6BCA" w14:textId="77777777" w:rsidR="00883542" w:rsidRPr="00444714" w:rsidRDefault="00883542" w:rsidP="00444714">
      <w:pPr>
        <w:pStyle w:val="leftright"/>
        <w:spacing w:before="0" w:after="260" w:line="280" w:lineRule="exact"/>
        <w:ind w:right="0"/>
        <w:jc w:val="both"/>
        <w:rPr>
          <w:rFonts w:ascii="Times New Roman" w:hAnsi="Times New Roman"/>
        </w:rPr>
      </w:pPr>
      <w:r w:rsidRPr="00444714">
        <w:rPr>
          <w:rFonts w:ascii="Times New Roman" w:hAnsi="Times New Roman"/>
        </w:rPr>
        <w:t>"At any time before the expiration of any Accounting Period, the Trustee may, with respect to all or any part of the net income of the Trust Fund for that Accounting Period, determine:</w:t>
      </w:r>
    </w:p>
    <w:p w14:paraId="1E09F17D" w14:textId="77777777" w:rsidR="00883542" w:rsidRPr="00444714" w:rsidRDefault="00883542" w:rsidP="00444714">
      <w:pPr>
        <w:pStyle w:val="leftright"/>
        <w:spacing w:before="0" w:after="260" w:line="280" w:lineRule="exact"/>
        <w:ind w:left="1440" w:right="0" w:hanging="720"/>
        <w:jc w:val="both"/>
        <w:rPr>
          <w:rFonts w:ascii="Times New Roman" w:hAnsi="Times New Roman"/>
        </w:rPr>
      </w:pPr>
      <w:r w:rsidRPr="00444714">
        <w:rPr>
          <w:rFonts w:ascii="Times New Roman" w:hAnsi="Times New Roman"/>
        </w:rPr>
        <w:t>(1)</w:t>
      </w:r>
      <w:r w:rsidRPr="00444714">
        <w:rPr>
          <w:rFonts w:ascii="Times New Roman" w:hAnsi="Times New Roman"/>
        </w:rPr>
        <w:tab/>
        <w:t>to pay, apply or set aside all or any part of the income to or for any one or more of the Beneficiaries living or existing at the time of the determination; or</w:t>
      </w:r>
    </w:p>
    <w:p w14:paraId="57BC9F6F" w14:textId="77777777" w:rsidR="00444714" w:rsidRDefault="00883542" w:rsidP="00444714">
      <w:pPr>
        <w:pStyle w:val="leftright"/>
        <w:spacing w:before="0" w:after="260" w:line="280" w:lineRule="exact"/>
        <w:ind w:right="0"/>
        <w:jc w:val="both"/>
        <w:rPr>
          <w:rFonts w:ascii="Times New Roman" w:hAnsi="Times New Roman"/>
        </w:rPr>
      </w:pPr>
      <w:r w:rsidRPr="00444714">
        <w:rPr>
          <w:rFonts w:ascii="Times New Roman" w:hAnsi="Times New Roman"/>
        </w:rPr>
        <w:t>(2)</w:t>
      </w:r>
      <w:r w:rsidRPr="00444714">
        <w:rPr>
          <w:rFonts w:ascii="Times New Roman" w:hAnsi="Times New Roman"/>
        </w:rPr>
        <w:tab/>
        <w:t>to accumulate all or any part of the income."</w:t>
      </w:r>
    </w:p>
    <w:p w14:paraId="706AAA4C" w14:textId="5044F939" w:rsidR="001946DE" w:rsidRPr="00444714" w:rsidRDefault="001946DE" w:rsidP="00444714">
      <w:pPr>
        <w:pStyle w:val="NormalBody"/>
        <w:spacing w:after="260" w:line="280" w:lineRule="exact"/>
        <w:ind w:right="0"/>
        <w:jc w:val="both"/>
        <w:rPr>
          <w:rFonts w:ascii="Times New Roman" w:hAnsi="Times New Roman"/>
        </w:rPr>
      </w:pPr>
      <w:r w:rsidRPr="00444714">
        <w:rPr>
          <w:rFonts w:ascii="Times New Roman" w:hAnsi="Times New Roman"/>
        </w:rPr>
        <w:t xml:space="preserve">"Accounting Period" </w:t>
      </w:r>
      <w:r w:rsidR="00433A72" w:rsidRPr="00444714">
        <w:rPr>
          <w:rFonts w:ascii="Times New Roman" w:hAnsi="Times New Roman"/>
        </w:rPr>
        <w:t>was</w:t>
      </w:r>
      <w:r w:rsidRPr="00444714">
        <w:rPr>
          <w:rFonts w:ascii="Times New Roman" w:hAnsi="Times New Roman"/>
        </w:rPr>
        <w:t xml:space="preserve"> </w:t>
      </w:r>
      <w:r w:rsidR="007C1556" w:rsidRPr="00444714">
        <w:rPr>
          <w:rFonts w:ascii="Times New Roman" w:hAnsi="Times New Roman"/>
        </w:rPr>
        <w:t>relevantly</w:t>
      </w:r>
      <w:r w:rsidRPr="00444714">
        <w:rPr>
          <w:rFonts w:ascii="Times New Roman" w:hAnsi="Times New Roman"/>
        </w:rPr>
        <w:t xml:space="preserve"> defined as each period of 12</w:t>
      </w:r>
      <w:r w:rsidR="0016209E">
        <w:rPr>
          <w:rFonts w:ascii="Times New Roman" w:hAnsi="Times New Roman"/>
        </w:rPr>
        <w:t xml:space="preserve"> </w:t>
      </w:r>
      <w:r w:rsidRPr="00444714">
        <w:rPr>
          <w:rFonts w:ascii="Times New Roman" w:hAnsi="Times New Roman"/>
        </w:rPr>
        <w:t xml:space="preserve">months </w:t>
      </w:r>
      <w:r w:rsidR="00CC071A" w:rsidRPr="00444714">
        <w:rPr>
          <w:rFonts w:ascii="Times New Roman" w:hAnsi="Times New Roman"/>
        </w:rPr>
        <w:t xml:space="preserve">ending </w:t>
      </w:r>
      <w:r w:rsidRPr="00444714">
        <w:rPr>
          <w:rFonts w:ascii="Times New Roman" w:hAnsi="Times New Roman"/>
        </w:rPr>
        <w:t>on 30 June.</w:t>
      </w:r>
      <w:r w:rsidR="00AA652F" w:rsidRPr="00444714">
        <w:rPr>
          <w:rFonts w:ascii="Times New Roman" w:hAnsi="Times New Roman"/>
        </w:rPr>
        <w:t xml:space="preserve"> </w:t>
      </w:r>
      <w:r w:rsidR="003B0581" w:rsidRPr="00444714">
        <w:rPr>
          <w:rFonts w:ascii="Times New Roman" w:hAnsi="Times New Roman"/>
        </w:rPr>
        <w:t>I</w:t>
      </w:r>
      <w:r w:rsidR="00E119C6" w:rsidRPr="00444714">
        <w:rPr>
          <w:rFonts w:ascii="Times New Roman" w:hAnsi="Times New Roman"/>
        </w:rPr>
        <w:t>n the Accounting Period ended 30</w:t>
      </w:r>
      <w:r w:rsidR="0016209E">
        <w:rPr>
          <w:rFonts w:ascii="Times New Roman" w:hAnsi="Times New Roman"/>
        </w:rPr>
        <w:t xml:space="preserve"> </w:t>
      </w:r>
      <w:r w:rsidR="00E119C6" w:rsidRPr="00444714">
        <w:rPr>
          <w:rFonts w:ascii="Times New Roman" w:hAnsi="Times New Roman"/>
        </w:rPr>
        <w:t>June 2014</w:t>
      </w:r>
      <w:r w:rsidR="003B0581" w:rsidRPr="00444714">
        <w:rPr>
          <w:rFonts w:ascii="Times New Roman" w:hAnsi="Times New Roman"/>
        </w:rPr>
        <w:t xml:space="preserve">, </w:t>
      </w:r>
      <w:r w:rsidR="00F263D0" w:rsidRPr="00444714">
        <w:rPr>
          <w:rFonts w:ascii="Times New Roman" w:hAnsi="Times New Roman"/>
        </w:rPr>
        <w:t xml:space="preserve">the income year in issue in this appeal, </w:t>
      </w:r>
      <w:r w:rsidR="003B0581" w:rsidRPr="00444714">
        <w:rPr>
          <w:rFonts w:ascii="Times New Roman" w:hAnsi="Times New Roman"/>
        </w:rPr>
        <w:t xml:space="preserve">the Trustee failed to appoint or accumulate </w:t>
      </w:r>
      <w:r w:rsidR="000B3E73" w:rsidRPr="00444714">
        <w:rPr>
          <w:rFonts w:ascii="Times New Roman" w:hAnsi="Times New Roman"/>
        </w:rPr>
        <w:t>any of</w:t>
      </w:r>
      <w:r w:rsidR="003B0581" w:rsidRPr="00444714">
        <w:rPr>
          <w:rFonts w:ascii="Times New Roman" w:hAnsi="Times New Roman"/>
        </w:rPr>
        <w:t xml:space="preserve"> the income of the Trust Fund</w:t>
      </w:r>
      <w:r w:rsidR="00F66AA9" w:rsidRPr="00444714">
        <w:rPr>
          <w:rFonts w:ascii="Times New Roman" w:hAnsi="Times New Roman"/>
        </w:rPr>
        <w:t>.</w:t>
      </w:r>
    </w:p>
    <w:p w14:paraId="442C0D65" w14:textId="7E58C348" w:rsidR="002F6BD1" w:rsidRPr="00444714" w:rsidRDefault="00683D55"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DB2AC3" w:rsidRPr="00444714">
        <w:rPr>
          <w:rFonts w:ascii="Times New Roman" w:hAnsi="Times New Roman"/>
        </w:rPr>
        <w:t>Clause 3.7</w:t>
      </w:r>
      <w:r w:rsidR="00E8691D" w:rsidRPr="00444714">
        <w:rPr>
          <w:rFonts w:ascii="Times New Roman" w:hAnsi="Times New Roman"/>
        </w:rPr>
        <w:t xml:space="preserve"> of the Trust Deed then </w:t>
      </w:r>
      <w:r w:rsidR="00E75CE6" w:rsidRPr="00444714">
        <w:rPr>
          <w:rFonts w:ascii="Times New Roman" w:hAnsi="Times New Roman"/>
        </w:rPr>
        <w:t>provide</w:t>
      </w:r>
      <w:r w:rsidR="0001740E" w:rsidRPr="00444714">
        <w:rPr>
          <w:rFonts w:ascii="Times New Roman" w:hAnsi="Times New Roman"/>
        </w:rPr>
        <w:t>d</w:t>
      </w:r>
      <w:r w:rsidR="00E75CE6" w:rsidRPr="00444714">
        <w:rPr>
          <w:rFonts w:ascii="Times New Roman" w:hAnsi="Times New Roman"/>
        </w:rPr>
        <w:t xml:space="preserve"> for </w:t>
      </w:r>
      <w:r w:rsidR="00D03C54" w:rsidRPr="00444714">
        <w:rPr>
          <w:rFonts w:ascii="Times New Roman" w:hAnsi="Times New Roman"/>
        </w:rPr>
        <w:t xml:space="preserve">the </w:t>
      </w:r>
      <w:r w:rsidR="00E75CE6" w:rsidRPr="00444714">
        <w:rPr>
          <w:rFonts w:ascii="Times New Roman" w:hAnsi="Times New Roman"/>
        </w:rPr>
        <w:t xml:space="preserve">default distribution of income if the </w:t>
      </w:r>
      <w:r w:rsidR="0001740E" w:rsidRPr="00444714">
        <w:rPr>
          <w:rFonts w:ascii="Times New Roman" w:hAnsi="Times New Roman"/>
        </w:rPr>
        <w:t>T</w:t>
      </w:r>
      <w:r w:rsidR="00E75CE6" w:rsidRPr="00444714">
        <w:rPr>
          <w:rFonts w:ascii="Times New Roman" w:hAnsi="Times New Roman"/>
        </w:rPr>
        <w:t>rustee fail</w:t>
      </w:r>
      <w:r w:rsidR="005B4F59" w:rsidRPr="00444714">
        <w:rPr>
          <w:rFonts w:ascii="Times New Roman" w:hAnsi="Times New Roman"/>
        </w:rPr>
        <w:t>ed</w:t>
      </w:r>
      <w:r w:rsidR="00E75CE6" w:rsidRPr="00444714">
        <w:rPr>
          <w:rFonts w:ascii="Times New Roman" w:hAnsi="Times New Roman"/>
        </w:rPr>
        <w:t xml:space="preserve"> to </w:t>
      </w:r>
      <w:proofErr w:type="gramStart"/>
      <w:r w:rsidR="0001740E" w:rsidRPr="00444714">
        <w:rPr>
          <w:rFonts w:ascii="Times New Roman" w:hAnsi="Times New Roman"/>
        </w:rPr>
        <w:t>make a determination</w:t>
      </w:r>
      <w:proofErr w:type="gramEnd"/>
      <w:r w:rsidR="0001740E" w:rsidRPr="00444714">
        <w:rPr>
          <w:rFonts w:ascii="Times New Roman" w:hAnsi="Times New Roman"/>
        </w:rPr>
        <w:t xml:space="preserve"> </w:t>
      </w:r>
      <w:r w:rsidR="00E75CE6" w:rsidRPr="00444714">
        <w:rPr>
          <w:rFonts w:ascii="Times New Roman" w:hAnsi="Times New Roman"/>
        </w:rPr>
        <w:t>under cl</w:t>
      </w:r>
      <w:r w:rsidR="0001740E" w:rsidRPr="00444714">
        <w:rPr>
          <w:rFonts w:ascii="Times New Roman" w:hAnsi="Times New Roman"/>
        </w:rPr>
        <w:t> </w:t>
      </w:r>
      <w:r w:rsidR="00E75CE6" w:rsidRPr="00444714">
        <w:rPr>
          <w:rFonts w:ascii="Times New Roman" w:hAnsi="Times New Roman"/>
        </w:rPr>
        <w:t>3.1</w:t>
      </w:r>
      <w:r w:rsidR="00E8691D" w:rsidRPr="00444714">
        <w:rPr>
          <w:rFonts w:ascii="Times New Roman" w:hAnsi="Times New Roman"/>
        </w:rPr>
        <w:t>.</w:t>
      </w:r>
      <w:r w:rsidR="00AA652F" w:rsidRPr="00444714">
        <w:rPr>
          <w:rFonts w:ascii="Times New Roman" w:hAnsi="Times New Roman"/>
        </w:rPr>
        <w:t xml:space="preserve"> </w:t>
      </w:r>
      <w:r w:rsidR="00E74F0E" w:rsidRPr="00444714">
        <w:rPr>
          <w:rFonts w:ascii="Times New Roman" w:hAnsi="Times New Roman"/>
        </w:rPr>
        <w:t xml:space="preserve">Clause 3.7 </w:t>
      </w:r>
      <w:r w:rsidR="00DB2AC3" w:rsidRPr="00444714">
        <w:rPr>
          <w:rFonts w:ascii="Times New Roman" w:hAnsi="Times New Roman"/>
        </w:rPr>
        <w:t>stated:</w:t>
      </w:r>
    </w:p>
    <w:p w14:paraId="46C1B139" w14:textId="4D21F2F8" w:rsidR="00444714" w:rsidRDefault="00DB2AC3" w:rsidP="00444714">
      <w:pPr>
        <w:pStyle w:val="leftright"/>
        <w:spacing w:before="0" w:after="260" w:line="280" w:lineRule="exact"/>
        <w:ind w:right="0"/>
        <w:jc w:val="both"/>
        <w:rPr>
          <w:rFonts w:ascii="Times New Roman" w:hAnsi="Times New Roman"/>
        </w:rPr>
      </w:pPr>
      <w:r w:rsidRPr="00444714">
        <w:rPr>
          <w:rFonts w:ascii="Times New Roman" w:hAnsi="Times New Roman"/>
        </w:rPr>
        <w:t xml:space="preserve">"If in </w:t>
      </w:r>
      <w:r w:rsidR="005B6D7E" w:rsidRPr="00444714">
        <w:rPr>
          <w:rFonts w:ascii="Times New Roman" w:hAnsi="Times New Roman"/>
        </w:rPr>
        <w:t xml:space="preserve">relation to any Accounting Period, the Trustee has made no </w:t>
      </w:r>
      <w:r w:rsidR="005B6D7E" w:rsidRPr="00444714">
        <w:rPr>
          <w:rFonts w:ascii="Times New Roman" w:hAnsi="Times New Roman"/>
          <w:i/>
        </w:rPr>
        <w:t>effective determination</w:t>
      </w:r>
      <w:r w:rsidR="005B6D7E" w:rsidRPr="00444714">
        <w:rPr>
          <w:rFonts w:ascii="Times New Roman" w:hAnsi="Times New Roman"/>
        </w:rPr>
        <w:t xml:space="preserve"> pursuant to the preceding provisions of this clause in respect </w:t>
      </w:r>
      <w:r w:rsidR="001B4557" w:rsidRPr="00444714">
        <w:rPr>
          <w:rFonts w:ascii="Times New Roman" w:hAnsi="Times New Roman"/>
        </w:rPr>
        <w:t xml:space="preserve">to </w:t>
      </w:r>
      <w:r w:rsidR="005B6D7E" w:rsidRPr="00444714">
        <w:rPr>
          <w:rFonts w:ascii="Times New Roman" w:hAnsi="Times New Roman"/>
        </w:rPr>
        <w:t xml:space="preserve">any part of the income of that Accounting Period </w:t>
      </w:r>
      <w:r w:rsidR="005B6D7E" w:rsidRPr="00444714">
        <w:rPr>
          <w:rFonts w:ascii="Times New Roman" w:hAnsi="Times New Roman"/>
          <w:i/>
        </w:rPr>
        <w:t>immediately prior to</w:t>
      </w:r>
      <w:r w:rsidR="000A735F" w:rsidRPr="00444714">
        <w:rPr>
          <w:rFonts w:ascii="Times New Roman" w:hAnsi="Times New Roman"/>
          <w:i/>
        </w:rPr>
        <w:t xml:space="preserve"> </w:t>
      </w:r>
      <w:r w:rsidR="000A735F" w:rsidRPr="00444714">
        <w:rPr>
          <w:rFonts w:ascii="Times New Roman" w:hAnsi="Times New Roman"/>
          <w:i/>
        </w:rPr>
        <w:lastRenderedPageBreak/>
        <w:t>the end of the last day of that Accounting Period</w:t>
      </w:r>
      <w:r w:rsidR="000A735F" w:rsidRPr="00444714">
        <w:rPr>
          <w:rFonts w:ascii="Times New Roman" w:hAnsi="Times New Roman"/>
        </w:rPr>
        <w:t xml:space="preserve">, then the </w:t>
      </w:r>
      <w:r w:rsidR="000A735F" w:rsidRPr="00444714">
        <w:rPr>
          <w:rFonts w:ascii="Times New Roman" w:hAnsi="Times New Roman"/>
          <w:i/>
        </w:rPr>
        <w:t xml:space="preserve">Trustee shall hold that income in trust successively </w:t>
      </w:r>
      <w:r w:rsidR="008E18E0" w:rsidRPr="00444714">
        <w:rPr>
          <w:rFonts w:ascii="Times New Roman" w:hAnsi="Times New Roman"/>
          <w:i/>
        </w:rPr>
        <w:t>for the persons who are living or existing on the last day of that Accounting Period and who are successively described in clauses 4.1 to 4.5</w:t>
      </w:r>
      <w:r w:rsidR="008E18E0" w:rsidRPr="00444714">
        <w:rPr>
          <w:rFonts w:ascii="Times New Roman" w:hAnsi="Times New Roman"/>
        </w:rPr>
        <w:t xml:space="preserve"> (inclusive) as</w:t>
      </w:r>
      <w:r w:rsidR="003750BF">
        <w:rPr>
          <w:rFonts w:ascii="Times New Roman" w:hAnsi="Times New Roman"/>
        </w:rPr>
        <w:t xml:space="preserve"> </w:t>
      </w:r>
      <w:r w:rsidR="008E18E0" w:rsidRPr="00444714">
        <w:rPr>
          <w:rFonts w:ascii="Times New Roman" w:hAnsi="Times New Roman"/>
        </w:rPr>
        <w:t xml:space="preserve">though that last day of the relevant Accounting Period were the </w:t>
      </w:r>
      <w:r w:rsidR="00A333A9" w:rsidRPr="00444714">
        <w:rPr>
          <w:rFonts w:ascii="Times New Roman" w:hAnsi="Times New Roman"/>
        </w:rPr>
        <w:t>Vesting Day."</w:t>
      </w:r>
      <w:r w:rsidR="009B0891" w:rsidRPr="00444714">
        <w:rPr>
          <w:rFonts w:ascii="Times New Roman" w:hAnsi="Times New Roman"/>
        </w:rPr>
        <w:t xml:space="preserve"> (emphasis added)</w:t>
      </w:r>
    </w:p>
    <w:p w14:paraId="0FAB9C0D" w14:textId="14F988B1" w:rsidR="00D71E74" w:rsidRPr="00444714" w:rsidRDefault="002C6EA6"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8411A0" w:rsidRPr="00444714">
        <w:rPr>
          <w:rFonts w:ascii="Times New Roman" w:hAnsi="Times New Roman"/>
        </w:rPr>
        <w:t>As is self</w:t>
      </w:r>
      <w:r w:rsidR="008411A0" w:rsidRPr="00444714">
        <w:rPr>
          <w:rFonts w:ascii="Times New Roman" w:hAnsi="Times New Roman"/>
        </w:rPr>
        <w:noBreakHyphen/>
        <w:t xml:space="preserve">evident, the purpose and effect of the </w:t>
      </w:r>
      <w:r w:rsidR="00F608D5" w:rsidRPr="00444714">
        <w:rPr>
          <w:rFonts w:ascii="Times New Roman" w:hAnsi="Times New Roman"/>
        </w:rPr>
        <w:t xml:space="preserve">default distribution clause </w:t>
      </w:r>
      <w:r w:rsidR="008411A0" w:rsidRPr="00444714">
        <w:rPr>
          <w:rFonts w:ascii="Times New Roman" w:hAnsi="Times New Roman"/>
        </w:rPr>
        <w:t>was to ensure that in each Accounting Period the whole of the income of the Whitby Trust was distributed</w:t>
      </w:r>
      <w:r w:rsidR="000C7821" w:rsidRPr="00444714">
        <w:rPr>
          <w:rFonts w:ascii="Times New Roman" w:hAnsi="Times New Roman"/>
        </w:rPr>
        <w:t>, if not otherwise dealt with</w:t>
      </w:r>
      <w:r w:rsidR="008411A0" w:rsidRPr="00444714">
        <w:rPr>
          <w:rFonts w:ascii="Times New Roman" w:hAnsi="Times New Roman"/>
        </w:rPr>
        <w:t>.</w:t>
      </w:r>
      <w:r w:rsidR="00AA652F" w:rsidRPr="00444714">
        <w:rPr>
          <w:rFonts w:ascii="Times New Roman" w:hAnsi="Times New Roman"/>
        </w:rPr>
        <w:t xml:space="preserve"> </w:t>
      </w:r>
      <w:r w:rsidR="008411A0" w:rsidRPr="00444714">
        <w:rPr>
          <w:rFonts w:ascii="Times New Roman" w:hAnsi="Times New Roman"/>
        </w:rPr>
        <w:t>No</w:t>
      </w:r>
      <w:r w:rsidR="003750BF">
        <w:rPr>
          <w:rFonts w:ascii="Times New Roman" w:hAnsi="Times New Roman"/>
        </w:rPr>
        <w:t xml:space="preserve"> </w:t>
      </w:r>
      <w:r w:rsidR="008411A0" w:rsidRPr="00444714">
        <w:rPr>
          <w:rFonts w:ascii="Times New Roman" w:hAnsi="Times New Roman"/>
        </w:rPr>
        <w:t xml:space="preserve">income remained </w:t>
      </w:r>
      <w:r w:rsidR="002C1191" w:rsidRPr="00444714">
        <w:rPr>
          <w:rFonts w:ascii="Times New Roman" w:hAnsi="Times New Roman"/>
        </w:rPr>
        <w:t>with the Trustee.</w:t>
      </w:r>
      <w:r w:rsidR="00AA652F" w:rsidRPr="00444714">
        <w:rPr>
          <w:rFonts w:ascii="Times New Roman" w:hAnsi="Times New Roman"/>
        </w:rPr>
        <w:t xml:space="preserve"> </w:t>
      </w:r>
      <w:r w:rsidR="002C1191" w:rsidRPr="00444714">
        <w:rPr>
          <w:rFonts w:ascii="Times New Roman" w:hAnsi="Times New Roman"/>
        </w:rPr>
        <w:t>Clause</w:t>
      </w:r>
      <w:r w:rsidR="00C76396" w:rsidRPr="00444714">
        <w:rPr>
          <w:rFonts w:ascii="Times New Roman" w:hAnsi="Times New Roman"/>
        </w:rPr>
        <w:t> </w:t>
      </w:r>
      <w:r w:rsidR="002C1191" w:rsidRPr="00444714">
        <w:rPr>
          <w:rFonts w:ascii="Times New Roman" w:hAnsi="Times New Roman"/>
        </w:rPr>
        <w:t xml:space="preserve">3.7 </w:t>
      </w:r>
      <w:r w:rsidR="00F608D5" w:rsidRPr="00444714">
        <w:rPr>
          <w:rFonts w:ascii="Times New Roman" w:hAnsi="Times New Roman"/>
        </w:rPr>
        <w:t>operate</w:t>
      </w:r>
      <w:r w:rsidR="002C1191" w:rsidRPr="00444714">
        <w:rPr>
          <w:rFonts w:ascii="Times New Roman" w:hAnsi="Times New Roman"/>
        </w:rPr>
        <w:t>d</w:t>
      </w:r>
      <w:r w:rsidR="00F608D5" w:rsidRPr="00444714">
        <w:rPr>
          <w:rFonts w:ascii="Times New Roman" w:hAnsi="Times New Roman"/>
        </w:rPr>
        <w:t xml:space="preserve"> "immediately prior to the end of the last day of [the] Accounting Period" and</w:t>
      </w:r>
      <w:r w:rsidR="008034D7" w:rsidRPr="00444714">
        <w:rPr>
          <w:rFonts w:ascii="Times New Roman" w:hAnsi="Times New Roman"/>
        </w:rPr>
        <w:t xml:space="preserve"> </w:t>
      </w:r>
      <w:r w:rsidR="00375B05" w:rsidRPr="00444714">
        <w:rPr>
          <w:rFonts w:ascii="Times New Roman" w:hAnsi="Times New Roman"/>
        </w:rPr>
        <w:t>distribute</w:t>
      </w:r>
      <w:r w:rsidR="008034D7" w:rsidRPr="00444714">
        <w:rPr>
          <w:rFonts w:ascii="Times New Roman" w:hAnsi="Times New Roman"/>
        </w:rPr>
        <w:t>d</w:t>
      </w:r>
      <w:r w:rsidR="00375B05" w:rsidRPr="00444714">
        <w:rPr>
          <w:rFonts w:ascii="Times New Roman" w:hAnsi="Times New Roman"/>
        </w:rPr>
        <w:t xml:space="preserve"> </w:t>
      </w:r>
      <w:proofErr w:type="gramStart"/>
      <w:r w:rsidR="008034D7" w:rsidRPr="00444714">
        <w:rPr>
          <w:rFonts w:ascii="Times New Roman" w:hAnsi="Times New Roman"/>
        </w:rPr>
        <w:t>all of</w:t>
      </w:r>
      <w:proofErr w:type="gramEnd"/>
      <w:r w:rsidR="008034D7" w:rsidRPr="00444714">
        <w:rPr>
          <w:rFonts w:ascii="Times New Roman" w:hAnsi="Times New Roman"/>
        </w:rPr>
        <w:t xml:space="preserve"> </w:t>
      </w:r>
      <w:r w:rsidR="00375B05" w:rsidRPr="00444714">
        <w:rPr>
          <w:rFonts w:ascii="Times New Roman" w:hAnsi="Times New Roman"/>
        </w:rPr>
        <w:t>the income</w:t>
      </w:r>
      <w:r w:rsidR="00BA3FE5" w:rsidRPr="00444714">
        <w:rPr>
          <w:rFonts w:ascii="Times New Roman" w:hAnsi="Times New Roman"/>
        </w:rPr>
        <w:t xml:space="preserve"> </w:t>
      </w:r>
      <w:r w:rsidR="008034D7" w:rsidRPr="00444714">
        <w:rPr>
          <w:rFonts w:ascii="Times New Roman" w:hAnsi="Times New Roman"/>
        </w:rPr>
        <w:t xml:space="preserve">of the Whitby Trust </w:t>
      </w:r>
      <w:r w:rsidR="00BA3FE5" w:rsidRPr="00444714">
        <w:rPr>
          <w:rFonts w:ascii="Times New Roman" w:hAnsi="Times New Roman"/>
        </w:rPr>
        <w:t xml:space="preserve">successively to the persons identified in </w:t>
      </w:r>
      <w:proofErr w:type="spellStart"/>
      <w:r w:rsidR="00BA3FE5" w:rsidRPr="00444714">
        <w:rPr>
          <w:rFonts w:ascii="Times New Roman" w:hAnsi="Times New Roman"/>
        </w:rPr>
        <w:t>cl</w:t>
      </w:r>
      <w:r w:rsidR="00133EDE" w:rsidRPr="00444714">
        <w:rPr>
          <w:rFonts w:ascii="Times New Roman" w:hAnsi="Times New Roman"/>
        </w:rPr>
        <w:t>l</w:t>
      </w:r>
      <w:proofErr w:type="spellEnd"/>
      <w:r w:rsidR="00BA3FE5" w:rsidRPr="00444714">
        <w:rPr>
          <w:rFonts w:ascii="Times New Roman" w:hAnsi="Times New Roman"/>
        </w:rPr>
        <w:t> 4.1 to 4.5.</w:t>
      </w:r>
    </w:p>
    <w:p w14:paraId="48714E75" w14:textId="2E48A69B" w:rsidR="0020465E" w:rsidRPr="00444714" w:rsidRDefault="00D71E74"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BA3FE5" w:rsidRPr="00444714">
        <w:rPr>
          <w:rFonts w:ascii="Times New Roman" w:hAnsi="Times New Roman"/>
        </w:rPr>
        <w:t xml:space="preserve">Clause </w:t>
      </w:r>
      <w:r w:rsidR="0020465E" w:rsidRPr="00444714">
        <w:rPr>
          <w:rFonts w:ascii="Times New Roman" w:hAnsi="Times New Roman"/>
        </w:rPr>
        <w:t xml:space="preserve">4 </w:t>
      </w:r>
      <w:r w:rsidR="00263B2F" w:rsidRPr="00444714">
        <w:rPr>
          <w:rFonts w:ascii="Times New Roman" w:hAnsi="Times New Roman"/>
        </w:rPr>
        <w:t xml:space="preserve">relevantly </w:t>
      </w:r>
      <w:r w:rsidR="0020465E" w:rsidRPr="00444714">
        <w:rPr>
          <w:rFonts w:ascii="Times New Roman" w:hAnsi="Times New Roman"/>
        </w:rPr>
        <w:t>provide</w:t>
      </w:r>
      <w:r w:rsidR="009A1590" w:rsidRPr="00444714">
        <w:rPr>
          <w:rFonts w:ascii="Times New Roman" w:hAnsi="Times New Roman"/>
        </w:rPr>
        <w:t>d</w:t>
      </w:r>
      <w:r w:rsidR="0020465E" w:rsidRPr="00444714">
        <w:rPr>
          <w:rFonts w:ascii="Times New Roman" w:hAnsi="Times New Roman"/>
        </w:rPr>
        <w:t>:</w:t>
      </w:r>
    </w:p>
    <w:p w14:paraId="3DDBB5DF" w14:textId="77777777" w:rsidR="0020465E" w:rsidRPr="00444714" w:rsidRDefault="0020465E" w:rsidP="00444714">
      <w:pPr>
        <w:pStyle w:val="leftright"/>
        <w:keepNext/>
        <w:spacing w:before="0" w:after="260" w:line="280" w:lineRule="exact"/>
        <w:ind w:right="0"/>
        <w:jc w:val="both"/>
        <w:rPr>
          <w:rFonts w:ascii="Times New Roman" w:hAnsi="Times New Roman"/>
        </w:rPr>
      </w:pPr>
      <w:r w:rsidRPr="00444714">
        <w:rPr>
          <w:rFonts w:ascii="Times New Roman" w:hAnsi="Times New Roman"/>
        </w:rPr>
        <w:t>"As from the Vesting Day, the Trustee shall hold the Trust Fund:</w:t>
      </w:r>
    </w:p>
    <w:p w14:paraId="30DCFDE9" w14:textId="77777777" w:rsidR="0020465E" w:rsidRPr="00444714" w:rsidRDefault="0020465E" w:rsidP="00444714">
      <w:pPr>
        <w:pStyle w:val="leftright"/>
        <w:spacing w:before="0" w:after="260" w:line="280" w:lineRule="exact"/>
        <w:ind w:left="1440" w:right="0" w:hanging="720"/>
        <w:jc w:val="both"/>
        <w:rPr>
          <w:rFonts w:ascii="Times New Roman" w:hAnsi="Times New Roman"/>
        </w:rPr>
      </w:pPr>
      <w:r w:rsidRPr="00444714">
        <w:rPr>
          <w:rFonts w:ascii="Times New Roman" w:hAnsi="Times New Roman"/>
        </w:rPr>
        <w:t>4.1</w:t>
      </w:r>
      <w:r w:rsidRPr="00444714">
        <w:rPr>
          <w:rFonts w:ascii="Times New Roman" w:hAnsi="Times New Roman"/>
        </w:rPr>
        <w:tab/>
        <w:t xml:space="preserve">in trust for such one or more of the </w:t>
      </w:r>
      <w:r w:rsidRPr="00444714">
        <w:rPr>
          <w:rFonts w:ascii="Times New Roman" w:hAnsi="Times New Roman"/>
          <w:i/>
        </w:rPr>
        <w:t>General Beneficiaries</w:t>
      </w:r>
      <w:r w:rsidRPr="00444714">
        <w:rPr>
          <w:rFonts w:ascii="Times New Roman" w:hAnsi="Times New Roman"/>
        </w:rPr>
        <w:t xml:space="preserve"> for such interests and in such proportions and for one to the exclusion of the others as the Trustee may subject to clause 16 appoint by deed before the Vesting Day and the appointment may be either revocable or irrevocable (but if revocable shall be revocable only until the end of the day preceding the Vesting Day when it shall become irrevocable);</w:t>
      </w:r>
    </w:p>
    <w:p w14:paraId="1AE1C0C2" w14:textId="3E610E5D" w:rsidR="00444714" w:rsidRDefault="0020465E" w:rsidP="00444714">
      <w:pPr>
        <w:pStyle w:val="leftright"/>
        <w:spacing w:before="0" w:after="260" w:line="280" w:lineRule="exact"/>
        <w:ind w:left="1440" w:right="0" w:hanging="720"/>
        <w:jc w:val="both"/>
        <w:rPr>
          <w:rFonts w:ascii="Times New Roman" w:hAnsi="Times New Roman"/>
        </w:rPr>
      </w:pPr>
      <w:r w:rsidRPr="00444714">
        <w:rPr>
          <w:rFonts w:ascii="Times New Roman" w:hAnsi="Times New Roman"/>
        </w:rPr>
        <w:t>4.2</w:t>
      </w:r>
      <w:r w:rsidRPr="00444714">
        <w:rPr>
          <w:rFonts w:ascii="Times New Roman" w:hAnsi="Times New Roman"/>
        </w:rPr>
        <w:tab/>
      </w:r>
      <w:r w:rsidRPr="00444714">
        <w:rPr>
          <w:rFonts w:ascii="Times New Roman" w:hAnsi="Times New Roman"/>
          <w:i/>
        </w:rPr>
        <w:t>in default of appointment and subject to any partial appointment under the preceding paragraph</w:t>
      </w:r>
      <w:r w:rsidRPr="00444714">
        <w:rPr>
          <w:rFonts w:ascii="Times New Roman" w:hAnsi="Times New Roman"/>
        </w:rPr>
        <w:t>, in</w:t>
      </w:r>
      <w:r w:rsidR="00C820A4">
        <w:rPr>
          <w:rFonts w:ascii="Times New Roman" w:hAnsi="Times New Roman"/>
        </w:rPr>
        <w:t xml:space="preserve"> </w:t>
      </w:r>
      <w:r w:rsidRPr="00444714">
        <w:rPr>
          <w:rFonts w:ascii="Times New Roman" w:hAnsi="Times New Roman"/>
        </w:rPr>
        <w:t xml:space="preserve">trust for such of the </w:t>
      </w:r>
      <w:r w:rsidRPr="00444714">
        <w:rPr>
          <w:rFonts w:ascii="Times New Roman" w:hAnsi="Times New Roman"/>
          <w:i/>
        </w:rPr>
        <w:t>Primary Beneficiaries</w:t>
      </w:r>
      <w:r w:rsidRPr="00444714">
        <w:rPr>
          <w:rFonts w:ascii="Times New Roman" w:hAnsi="Times New Roman"/>
        </w:rPr>
        <w:t xml:space="preserve"> as shall be living at the Vesting Day as tenants in common in equal shares BUT if any Primary Beneficiary dies before the Vesting Day leaving issue living at the Vesting Day, that issue shall take as tenants in common in equal shares per stirpes the share which the deceased Primary Beneficiary would have received had he or she survived to the Vesting Day</w:t>
      </w:r>
      <w:r w:rsidR="00C251AD" w:rsidRPr="00444714">
        <w:rPr>
          <w:rFonts w:ascii="Times New Roman" w:hAnsi="Times New Roman"/>
        </w:rPr>
        <w:t xml:space="preserve"> </w:t>
      </w:r>
      <w:r w:rsidR="00263B2F" w:rsidRPr="00444714">
        <w:rPr>
          <w:rFonts w:ascii="Times New Roman" w:hAnsi="Times New Roman"/>
        </w:rPr>
        <w:t>...</w:t>
      </w:r>
      <w:r w:rsidR="00F25EEC" w:rsidRPr="00444714">
        <w:rPr>
          <w:rFonts w:ascii="Times New Roman" w:hAnsi="Times New Roman"/>
        </w:rPr>
        <w:t>"</w:t>
      </w:r>
      <w:r w:rsidR="00263B2F" w:rsidRPr="00444714">
        <w:rPr>
          <w:rFonts w:ascii="Times New Roman" w:hAnsi="Times New Roman"/>
        </w:rPr>
        <w:t xml:space="preserve"> (</w:t>
      </w:r>
      <w:r w:rsidR="008C5D73" w:rsidRPr="00444714">
        <w:rPr>
          <w:rFonts w:ascii="Times New Roman" w:hAnsi="Times New Roman"/>
        </w:rPr>
        <w:t>e</w:t>
      </w:r>
      <w:r w:rsidR="00263B2F" w:rsidRPr="00444714">
        <w:rPr>
          <w:rFonts w:ascii="Times New Roman" w:hAnsi="Times New Roman"/>
        </w:rPr>
        <w:t>mphasis added)</w:t>
      </w:r>
    </w:p>
    <w:p w14:paraId="431BEF6B" w14:textId="37E29ADC" w:rsidR="00114F32" w:rsidRPr="00444714" w:rsidRDefault="008700DC"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F51444" w:rsidRPr="00444714">
        <w:rPr>
          <w:rFonts w:ascii="Times New Roman" w:hAnsi="Times New Roman"/>
        </w:rPr>
        <w:t>T</w:t>
      </w:r>
      <w:r w:rsidR="00B56B7F" w:rsidRPr="00444714">
        <w:rPr>
          <w:rFonts w:ascii="Times New Roman" w:hAnsi="Times New Roman"/>
        </w:rPr>
        <w:t xml:space="preserve">he Trustee </w:t>
      </w:r>
      <w:r w:rsidR="00F51444" w:rsidRPr="00444714">
        <w:rPr>
          <w:rFonts w:ascii="Times New Roman" w:hAnsi="Times New Roman"/>
        </w:rPr>
        <w:t xml:space="preserve">having failed </w:t>
      </w:r>
      <w:r w:rsidR="00B56B7F" w:rsidRPr="00444714">
        <w:rPr>
          <w:rFonts w:ascii="Times New Roman" w:hAnsi="Times New Roman"/>
        </w:rPr>
        <w:t xml:space="preserve">to appoint or accumulate the income of the Whitby Trust in the 2014 income year, the income of the Trust was distributed </w:t>
      </w:r>
      <w:r w:rsidR="006936A2" w:rsidRPr="00444714">
        <w:rPr>
          <w:rFonts w:ascii="Times New Roman" w:hAnsi="Times New Roman"/>
        </w:rPr>
        <w:t>to</w:t>
      </w:r>
      <w:r w:rsidR="003235DD" w:rsidRPr="00444714">
        <w:rPr>
          <w:rFonts w:ascii="Times New Roman" w:hAnsi="Times New Roman"/>
        </w:rPr>
        <w:t xml:space="preserve"> the </w:t>
      </w:r>
      <w:r w:rsidR="00A023F9" w:rsidRPr="00444714">
        <w:rPr>
          <w:rFonts w:ascii="Times New Roman" w:hAnsi="Times New Roman"/>
        </w:rPr>
        <w:t xml:space="preserve">Primary </w:t>
      </w:r>
      <w:r w:rsidR="003235DD" w:rsidRPr="00444714">
        <w:rPr>
          <w:rFonts w:ascii="Times New Roman" w:hAnsi="Times New Roman"/>
        </w:rPr>
        <w:t>Beneficiaries of the Trust</w:t>
      </w:r>
      <w:r w:rsidR="00F37D95" w:rsidRPr="00444714">
        <w:rPr>
          <w:rFonts w:ascii="Times New Roman" w:hAnsi="Times New Roman"/>
        </w:rPr>
        <w:t>, who</w:t>
      </w:r>
      <w:r w:rsidR="0056572C">
        <w:rPr>
          <w:rFonts w:ascii="Times New Roman" w:hAnsi="Times New Roman"/>
        </w:rPr>
        <w:t xml:space="preserve"> </w:t>
      </w:r>
      <w:r w:rsidR="006936A2" w:rsidRPr="00444714">
        <w:rPr>
          <w:rFonts w:ascii="Times New Roman" w:hAnsi="Times New Roman"/>
        </w:rPr>
        <w:t>were Mr Caratti's children</w:t>
      </w:r>
      <w:r w:rsidR="0013541A" w:rsidRPr="00444714">
        <w:rPr>
          <w:rFonts w:ascii="Times New Roman" w:hAnsi="Times New Roman"/>
        </w:rPr>
        <w:t xml:space="preserve"> </w:t>
      </w:r>
      <w:r w:rsidR="0007046A" w:rsidRPr="00444714">
        <w:rPr>
          <w:rFonts w:ascii="Times New Roman" w:hAnsi="Times New Roman"/>
        </w:rPr>
        <w:t>–</w:t>
      </w:r>
      <w:r w:rsidR="0013541A" w:rsidRPr="00444714">
        <w:rPr>
          <w:rFonts w:ascii="Times New Roman" w:hAnsi="Times New Roman"/>
        </w:rPr>
        <w:t xml:space="preserve"> </w:t>
      </w:r>
      <w:r w:rsidR="006936A2" w:rsidRPr="00444714">
        <w:rPr>
          <w:rFonts w:ascii="Times New Roman" w:hAnsi="Times New Roman"/>
        </w:rPr>
        <w:t>Natalie, Alisha, Nicole, Christina and Benjamin</w:t>
      </w:r>
      <w:r w:rsidR="00145B61" w:rsidRPr="00444714">
        <w:rPr>
          <w:rStyle w:val="FootnoteReference"/>
          <w:rFonts w:ascii="Times New Roman" w:hAnsi="Times New Roman"/>
          <w:sz w:val="24"/>
        </w:rPr>
        <w:footnoteReference w:id="6"/>
      </w:r>
      <w:r w:rsidR="006936A2" w:rsidRPr="00444714">
        <w:rPr>
          <w:rFonts w:ascii="Times New Roman" w:hAnsi="Times New Roman"/>
        </w:rPr>
        <w:t>.</w:t>
      </w:r>
      <w:r w:rsidR="00AA652F" w:rsidRPr="00444714">
        <w:rPr>
          <w:rFonts w:ascii="Times New Roman" w:hAnsi="Times New Roman"/>
        </w:rPr>
        <w:t xml:space="preserve"> </w:t>
      </w:r>
      <w:r w:rsidR="002A2805" w:rsidRPr="00444714">
        <w:rPr>
          <w:rFonts w:ascii="Times New Roman" w:hAnsi="Times New Roman"/>
        </w:rPr>
        <w:t>A</w:t>
      </w:r>
      <w:r w:rsidR="0054356C" w:rsidRPr="00444714">
        <w:rPr>
          <w:rFonts w:ascii="Times New Roman" w:hAnsi="Times New Roman"/>
        </w:rPr>
        <w:t xml:space="preserve">s a result, </w:t>
      </w:r>
      <w:r w:rsidR="002A2805" w:rsidRPr="00444714">
        <w:rPr>
          <w:rFonts w:ascii="Times New Roman" w:hAnsi="Times New Roman"/>
        </w:rPr>
        <w:t>consistent</w:t>
      </w:r>
      <w:r w:rsidR="00B21FFB" w:rsidRPr="00444714">
        <w:rPr>
          <w:rFonts w:ascii="Times New Roman" w:hAnsi="Times New Roman"/>
        </w:rPr>
        <w:t>ly</w:t>
      </w:r>
      <w:r w:rsidR="002A2805" w:rsidRPr="00444714">
        <w:rPr>
          <w:rFonts w:ascii="Times New Roman" w:hAnsi="Times New Roman"/>
        </w:rPr>
        <w:t xml:space="preserve"> with cl </w:t>
      </w:r>
      <w:r w:rsidR="009D0EF6" w:rsidRPr="00444714">
        <w:rPr>
          <w:rFonts w:ascii="Times New Roman" w:hAnsi="Times New Roman"/>
        </w:rPr>
        <w:t>4.2</w:t>
      </w:r>
      <w:r w:rsidR="002A2805" w:rsidRPr="00444714">
        <w:rPr>
          <w:rFonts w:ascii="Times New Roman" w:hAnsi="Times New Roman"/>
        </w:rPr>
        <w:t xml:space="preserve">, </w:t>
      </w:r>
      <w:r w:rsidR="001D7565" w:rsidRPr="00444714">
        <w:rPr>
          <w:rFonts w:ascii="Times New Roman" w:hAnsi="Times New Roman"/>
        </w:rPr>
        <w:t>one</w:t>
      </w:r>
      <w:r w:rsidR="001D7565" w:rsidRPr="00444714">
        <w:rPr>
          <w:rFonts w:ascii="Times New Roman" w:hAnsi="Times New Roman"/>
        </w:rPr>
        <w:noBreakHyphen/>
        <w:t xml:space="preserve">fifth of </w:t>
      </w:r>
      <w:r w:rsidR="002A2805" w:rsidRPr="00444714">
        <w:rPr>
          <w:rFonts w:ascii="Times New Roman" w:hAnsi="Times New Roman"/>
        </w:rPr>
        <w:t>the</w:t>
      </w:r>
      <w:r w:rsidR="009D0EF6" w:rsidRPr="00444714">
        <w:rPr>
          <w:rFonts w:ascii="Times New Roman" w:hAnsi="Times New Roman"/>
        </w:rPr>
        <w:t xml:space="preserve"> </w:t>
      </w:r>
      <w:r w:rsidR="00891534" w:rsidRPr="00444714">
        <w:rPr>
          <w:rFonts w:ascii="Times New Roman" w:hAnsi="Times New Roman"/>
        </w:rPr>
        <w:t xml:space="preserve">income of the Trust was distributed </w:t>
      </w:r>
      <w:r w:rsidR="001D7565" w:rsidRPr="00444714">
        <w:rPr>
          <w:rFonts w:ascii="Times New Roman" w:hAnsi="Times New Roman"/>
        </w:rPr>
        <w:t xml:space="preserve">to each </w:t>
      </w:r>
      <w:r w:rsidR="0054356C" w:rsidRPr="00444714">
        <w:rPr>
          <w:rFonts w:ascii="Times New Roman" w:hAnsi="Times New Roman"/>
        </w:rPr>
        <w:t>of Mr Caratti's children.</w:t>
      </w:r>
      <w:r w:rsidR="00AA652F" w:rsidRPr="00444714">
        <w:rPr>
          <w:rFonts w:ascii="Times New Roman" w:hAnsi="Times New Roman"/>
        </w:rPr>
        <w:t xml:space="preserve"> </w:t>
      </w:r>
      <w:r w:rsidR="00F62AD3" w:rsidRPr="00444714">
        <w:rPr>
          <w:rFonts w:ascii="Times New Roman" w:hAnsi="Times New Roman"/>
        </w:rPr>
        <w:t>Thus,</w:t>
      </w:r>
      <w:r w:rsidR="0056572C">
        <w:rPr>
          <w:rFonts w:ascii="Times New Roman" w:hAnsi="Times New Roman"/>
        </w:rPr>
        <w:t xml:space="preserve"> </w:t>
      </w:r>
      <w:r w:rsidR="00F62AD3" w:rsidRPr="00444714">
        <w:rPr>
          <w:rFonts w:ascii="Times New Roman" w:hAnsi="Times New Roman"/>
        </w:rPr>
        <w:t xml:space="preserve">the combined operation of </w:t>
      </w:r>
      <w:proofErr w:type="spellStart"/>
      <w:r w:rsidR="00F62AD3" w:rsidRPr="00444714">
        <w:rPr>
          <w:rFonts w:ascii="Times New Roman" w:hAnsi="Times New Roman"/>
        </w:rPr>
        <w:t>cll</w:t>
      </w:r>
      <w:proofErr w:type="spellEnd"/>
      <w:r w:rsidR="00F62AD3" w:rsidRPr="00444714">
        <w:rPr>
          <w:rFonts w:ascii="Times New Roman" w:hAnsi="Times New Roman"/>
        </w:rPr>
        <w:t> 3.1, 3.7 and 4.2</w:t>
      </w:r>
      <w:r w:rsidR="00F61A29" w:rsidRPr="00444714">
        <w:rPr>
          <w:rFonts w:ascii="Times New Roman" w:hAnsi="Times New Roman"/>
        </w:rPr>
        <w:t xml:space="preserve"> was such that</w:t>
      </w:r>
      <w:r w:rsidR="00F62AD3" w:rsidRPr="00444714">
        <w:rPr>
          <w:rFonts w:ascii="Times New Roman" w:hAnsi="Times New Roman"/>
        </w:rPr>
        <w:t xml:space="preserve"> </w:t>
      </w:r>
      <w:r w:rsidR="003802E6" w:rsidRPr="00444714">
        <w:rPr>
          <w:rFonts w:ascii="Times New Roman" w:hAnsi="Times New Roman"/>
        </w:rPr>
        <w:t>"</w:t>
      </w:r>
      <w:r w:rsidR="009F3F0A" w:rsidRPr="00444714">
        <w:rPr>
          <w:rFonts w:ascii="Times New Roman" w:hAnsi="Times New Roman"/>
        </w:rPr>
        <w:t xml:space="preserve">immediately </w:t>
      </w:r>
      <w:r w:rsidR="009F3F0A" w:rsidRPr="00444714">
        <w:rPr>
          <w:rFonts w:ascii="Times New Roman" w:hAnsi="Times New Roman"/>
        </w:rPr>
        <w:lastRenderedPageBreak/>
        <w:t>prior to the end of the last day</w:t>
      </w:r>
      <w:r w:rsidR="003802E6" w:rsidRPr="00444714">
        <w:rPr>
          <w:rFonts w:ascii="Times New Roman" w:hAnsi="Times New Roman"/>
        </w:rPr>
        <w:t>"</w:t>
      </w:r>
      <w:r w:rsidR="009F3F0A" w:rsidRPr="00444714">
        <w:rPr>
          <w:rFonts w:ascii="Times New Roman" w:hAnsi="Times New Roman"/>
        </w:rPr>
        <w:t xml:space="preserve"> </w:t>
      </w:r>
      <w:r w:rsidR="003802E6" w:rsidRPr="00444714">
        <w:rPr>
          <w:rFonts w:ascii="Times New Roman" w:hAnsi="Times New Roman"/>
        </w:rPr>
        <w:t xml:space="preserve">of </w:t>
      </w:r>
      <w:r w:rsidR="009F3F0A" w:rsidRPr="00444714">
        <w:rPr>
          <w:rFonts w:ascii="Times New Roman" w:hAnsi="Times New Roman"/>
        </w:rPr>
        <w:t xml:space="preserve">the 2014 income year, </w:t>
      </w:r>
      <w:r w:rsidR="0099611C" w:rsidRPr="00444714">
        <w:rPr>
          <w:rFonts w:ascii="Times New Roman" w:hAnsi="Times New Roman"/>
        </w:rPr>
        <w:t>one</w:t>
      </w:r>
      <w:r w:rsidR="0099611C" w:rsidRPr="00444714">
        <w:rPr>
          <w:rFonts w:ascii="Times New Roman" w:hAnsi="Times New Roman"/>
        </w:rPr>
        <w:noBreakHyphen/>
        <w:t xml:space="preserve">fifth of the income of the Whitby Trust was held on trust for each </w:t>
      </w:r>
      <w:r w:rsidR="00D31810" w:rsidRPr="00444714">
        <w:rPr>
          <w:rFonts w:ascii="Times New Roman" w:hAnsi="Times New Roman"/>
        </w:rPr>
        <w:t>of Mr</w:t>
      </w:r>
      <w:r w:rsidR="00FB013B" w:rsidRPr="00444714">
        <w:rPr>
          <w:rFonts w:ascii="Times New Roman" w:hAnsi="Times New Roman"/>
        </w:rPr>
        <w:t> </w:t>
      </w:r>
      <w:r w:rsidR="00D31810" w:rsidRPr="00444714">
        <w:rPr>
          <w:rFonts w:ascii="Times New Roman" w:hAnsi="Times New Roman"/>
        </w:rPr>
        <w:t>Caratti's children.</w:t>
      </w:r>
      <w:r w:rsidR="00AA652F" w:rsidRPr="00444714">
        <w:rPr>
          <w:rFonts w:ascii="Times New Roman" w:hAnsi="Times New Roman"/>
        </w:rPr>
        <w:t xml:space="preserve"> </w:t>
      </w:r>
    </w:p>
    <w:p w14:paraId="60A9445B" w14:textId="795C2B8B" w:rsidR="00205622" w:rsidRPr="00444714" w:rsidRDefault="00114F32"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B647DE" w:rsidRPr="00444714">
        <w:rPr>
          <w:rFonts w:ascii="Times New Roman" w:hAnsi="Times New Roman"/>
        </w:rPr>
        <w:t>On</w:t>
      </w:r>
      <w:r w:rsidR="0056572C">
        <w:rPr>
          <w:rFonts w:ascii="Times New Roman" w:hAnsi="Times New Roman"/>
        </w:rPr>
        <w:t xml:space="preserve"> </w:t>
      </w:r>
      <w:r w:rsidR="00B647DE" w:rsidRPr="00444714">
        <w:rPr>
          <w:rFonts w:ascii="Times New Roman" w:hAnsi="Times New Roman"/>
        </w:rPr>
        <w:t>27</w:t>
      </w:r>
      <w:r w:rsidR="0056572C">
        <w:rPr>
          <w:rFonts w:ascii="Times New Roman" w:hAnsi="Times New Roman"/>
        </w:rPr>
        <w:t xml:space="preserve"> </w:t>
      </w:r>
      <w:r w:rsidR="00B647DE" w:rsidRPr="00444714">
        <w:rPr>
          <w:rFonts w:ascii="Times New Roman" w:hAnsi="Times New Roman"/>
        </w:rPr>
        <w:t xml:space="preserve">October 2015, the Commissioner </w:t>
      </w:r>
      <w:r w:rsidR="007A5EAF" w:rsidRPr="00444714">
        <w:rPr>
          <w:rFonts w:ascii="Times New Roman" w:hAnsi="Times New Roman"/>
        </w:rPr>
        <w:t>of Taxation ("the</w:t>
      </w:r>
      <w:r w:rsidR="0056572C">
        <w:rPr>
          <w:rFonts w:ascii="Times New Roman" w:hAnsi="Times New Roman"/>
        </w:rPr>
        <w:t xml:space="preserve"> </w:t>
      </w:r>
      <w:r w:rsidR="007A5EAF" w:rsidRPr="00444714">
        <w:rPr>
          <w:rFonts w:ascii="Times New Roman" w:hAnsi="Times New Roman"/>
        </w:rPr>
        <w:t>Commissioner")</w:t>
      </w:r>
      <w:r w:rsidR="00B647DE" w:rsidRPr="00444714">
        <w:rPr>
          <w:rFonts w:ascii="Times New Roman" w:hAnsi="Times New Roman"/>
        </w:rPr>
        <w:t xml:space="preserve"> issued </w:t>
      </w:r>
      <w:r w:rsidR="00BA7BF0" w:rsidRPr="00444714">
        <w:rPr>
          <w:rFonts w:ascii="Times New Roman" w:hAnsi="Times New Roman"/>
        </w:rPr>
        <w:t xml:space="preserve">an </w:t>
      </w:r>
      <w:r w:rsidR="002A3738" w:rsidRPr="00444714">
        <w:rPr>
          <w:rFonts w:ascii="Times New Roman" w:hAnsi="Times New Roman"/>
        </w:rPr>
        <w:t xml:space="preserve">amended </w:t>
      </w:r>
      <w:r w:rsidR="00B647DE" w:rsidRPr="00444714">
        <w:rPr>
          <w:rFonts w:ascii="Times New Roman" w:hAnsi="Times New Roman"/>
        </w:rPr>
        <w:t>assessment</w:t>
      </w:r>
      <w:r w:rsidR="00BA7BF0" w:rsidRPr="00444714">
        <w:rPr>
          <w:rFonts w:ascii="Times New Roman" w:hAnsi="Times New Roman"/>
        </w:rPr>
        <w:t xml:space="preserve"> </w:t>
      </w:r>
      <w:r w:rsidR="00B647DE" w:rsidRPr="00444714">
        <w:rPr>
          <w:rFonts w:ascii="Times New Roman" w:hAnsi="Times New Roman"/>
        </w:rPr>
        <w:t xml:space="preserve">to </w:t>
      </w:r>
      <w:r w:rsidR="00BA7BF0" w:rsidRPr="00444714">
        <w:rPr>
          <w:rFonts w:ascii="Times New Roman" w:hAnsi="Times New Roman"/>
        </w:rPr>
        <w:t xml:space="preserve">each </w:t>
      </w:r>
      <w:r w:rsidR="00B647DE" w:rsidRPr="00444714">
        <w:rPr>
          <w:rFonts w:ascii="Times New Roman" w:hAnsi="Times New Roman"/>
        </w:rPr>
        <w:t xml:space="preserve">respondent for </w:t>
      </w:r>
      <w:r w:rsidR="00805F62" w:rsidRPr="00444714">
        <w:rPr>
          <w:rFonts w:ascii="Times New Roman" w:hAnsi="Times New Roman"/>
        </w:rPr>
        <w:t xml:space="preserve">the 2014 </w:t>
      </w:r>
      <w:r w:rsidR="0059490A" w:rsidRPr="00444714">
        <w:rPr>
          <w:rFonts w:ascii="Times New Roman" w:hAnsi="Times New Roman"/>
        </w:rPr>
        <w:t xml:space="preserve">income year </w:t>
      </w:r>
      <w:r w:rsidR="009E51D2" w:rsidRPr="00444714">
        <w:rPr>
          <w:rFonts w:ascii="Times New Roman" w:hAnsi="Times New Roman"/>
        </w:rPr>
        <w:t xml:space="preserve">which included </w:t>
      </w:r>
      <w:r w:rsidR="0067633D" w:rsidRPr="00444714">
        <w:rPr>
          <w:rFonts w:ascii="Times New Roman" w:hAnsi="Times New Roman"/>
        </w:rPr>
        <w:t>a</w:t>
      </w:r>
      <w:r w:rsidR="00741E47" w:rsidRPr="00444714">
        <w:rPr>
          <w:rFonts w:ascii="Times New Roman" w:hAnsi="Times New Roman"/>
        </w:rPr>
        <w:t>s assessable income</w:t>
      </w:r>
      <w:r w:rsidR="0067633D" w:rsidRPr="00444714">
        <w:rPr>
          <w:rFonts w:ascii="Times New Roman" w:hAnsi="Times New Roman"/>
        </w:rPr>
        <w:t xml:space="preserve"> </w:t>
      </w:r>
      <w:r w:rsidR="00FC6AB3" w:rsidRPr="00444714">
        <w:rPr>
          <w:rFonts w:ascii="Times New Roman" w:hAnsi="Times New Roman"/>
        </w:rPr>
        <w:t>one</w:t>
      </w:r>
      <w:r w:rsidR="00FC6AB3" w:rsidRPr="00444714">
        <w:rPr>
          <w:rFonts w:ascii="Times New Roman" w:hAnsi="Times New Roman"/>
        </w:rPr>
        <w:noBreakHyphen/>
        <w:t xml:space="preserve">fifth </w:t>
      </w:r>
      <w:r w:rsidR="0067633D" w:rsidRPr="00444714">
        <w:rPr>
          <w:rFonts w:ascii="Times New Roman" w:hAnsi="Times New Roman"/>
        </w:rPr>
        <w:t xml:space="preserve">of </w:t>
      </w:r>
      <w:r w:rsidR="003C2D71" w:rsidRPr="00444714">
        <w:rPr>
          <w:rFonts w:ascii="Times New Roman" w:hAnsi="Times New Roman"/>
        </w:rPr>
        <w:t xml:space="preserve">the income of the </w:t>
      </w:r>
      <w:r w:rsidR="00D52FB9" w:rsidRPr="00444714">
        <w:rPr>
          <w:rFonts w:ascii="Times New Roman" w:hAnsi="Times New Roman"/>
        </w:rPr>
        <w:t xml:space="preserve">Whitby </w:t>
      </w:r>
      <w:r w:rsidR="003C2D71" w:rsidRPr="00444714">
        <w:rPr>
          <w:rFonts w:ascii="Times New Roman" w:hAnsi="Times New Roman"/>
        </w:rPr>
        <w:t xml:space="preserve">Trust </w:t>
      </w:r>
      <w:r w:rsidR="009E51D2" w:rsidRPr="00444714">
        <w:rPr>
          <w:rFonts w:ascii="Times New Roman" w:hAnsi="Times New Roman"/>
        </w:rPr>
        <w:t xml:space="preserve">on the basis that the respondents were "presently entitled" to that income </w:t>
      </w:r>
      <w:r w:rsidR="00B512EA" w:rsidRPr="00444714">
        <w:rPr>
          <w:rFonts w:ascii="Times New Roman" w:hAnsi="Times New Roman"/>
        </w:rPr>
        <w:t>within the meaning of s 97</w:t>
      </w:r>
      <w:r w:rsidR="00414A87" w:rsidRPr="00444714">
        <w:rPr>
          <w:rFonts w:ascii="Times New Roman" w:hAnsi="Times New Roman"/>
        </w:rPr>
        <w:t>(1)</w:t>
      </w:r>
      <w:r w:rsidR="00B512EA" w:rsidRPr="00444714">
        <w:rPr>
          <w:rFonts w:ascii="Times New Roman" w:hAnsi="Times New Roman"/>
        </w:rPr>
        <w:t xml:space="preserve"> </w:t>
      </w:r>
      <w:r w:rsidR="00040D59" w:rsidRPr="00444714">
        <w:rPr>
          <w:rFonts w:ascii="Times New Roman" w:hAnsi="Times New Roman"/>
        </w:rPr>
        <w:t>("the</w:t>
      </w:r>
      <w:r w:rsidR="00F126AF" w:rsidRPr="00444714">
        <w:rPr>
          <w:rFonts w:ascii="Times New Roman" w:hAnsi="Times New Roman"/>
        </w:rPr>
        <w:t> </w:t>
      </w:r>
      <w:r w:rsidR="00040D59" w:rsidRPr="00444714">
        <w:rPr>
          <w:rFonts w:ascii="Times New Roman" w:hAnsi="Times New Roman"/>
        </w:rPr>
        <w:t>2014 Assessments")</w:t>
      </w:r>
      <w:r w:rsidR="00805F62" w:rsidRPr="00444714">
        <w:rPr>
          <w:rFonts w:ascii="Times New Roman" w:hAnsi="Times New Roman"/>
        </w:rPr>
        <w:t>.</w:t>
      </w:r>
    </w:p>
    <w:p w14:paraId="45737B05" w14:textId="01AB47B2" w:rsidR="000754B5" w:rsidRPr="00444714" w:rsidRDefault="00205622"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A92612" w:rsidRPr="00444714">
        <w:rPr>
          <w:rFonts w:ascii="Times New Roman" w:hAnsi="Times New Roman"/>
        </w:rPr>
        <w:t>On 3 and 4 November 2</w:t>
      </w:r>
      <w:r w:rsidR="003C2D71" w:rsidRPr="00444714">
        <w:rPr>
          <w:rFonts w:ascii="Times New Roman" w:hAnsi="Times New Roman"/>
        </w:rPr>
        <w:t>0</w:t>
      </w:r>
      <w:r w:rsidR="00A92612" w:rsidRPr="00444714">
        <w:rPr>
          <w:rFonts w:ascii="Times New Roman" w:hAnsi="Times New Roman"/>
        </w:rPr>
        <w:t xml:space="preserve">15, the respondents executed </w:t>
      </w:r>
      <w:r w:rsidR="00A13E91" w:rsidRPr="00444714">
        <w:rPr>
          <w:rFonts w:ascii="Times New Roman" w:hAnsi="Times New Roman"/>
        </w:rPr>
        <w:t>d</w:t>
      </w:r>
      <w:r w:rsidR="00A92612" w:rsidRPr="00444714">
        <w:rPr>
          <w:rFonts w:ascii="Times New Roman" w:hAnsi="Times New Roman"/>
        </w:rPr>
        <w:t xml:space="preserve">eeds of </w:t>
      </w:r>
      <w:r w:rsidR="00A13E91" w:rsidRPr="00444714">
        <w:rPr>
          <w:rFonts w:ascii="Times New Roman" w:hAnsi="Times New Roman"/>
        </w:rPr>
        <w:t>d</w:t>
      </w:r>
      <w:r w:rsidR="00A92612" w:rsidRPr="00444714">
        <w:rPr>
          <w:rFonts w:ascii="Times New Roman" w:hAnsi="Times New Roman"/>
        </w:rPr>
        <w:t>isclaimer in respect of their default distributions under cl 3.7 for the</w:t>
      </w:r>
      <w:r w:rsidR="00B512EA" w:rsidRPr="00444714">
        <w:rPr>
          <w:rFonts w:ascii="Times New Roman" w:hAnsi="Times New Roman"/>
        </w:rPr>
        <w:t xml:space="preserve"> 2014</w:t>
      </w:r>
      <w:r w:rsidR="00A92612" w:rsidRPr="00444714">
        <w:rPr>
          <w:rFonts w:ascii="Times New Roman" w:hAnsi="Times New Roman"/>
        </w:rPr>
        <w:t xml:space="preserve"> income year</w:t>
      </w:r>
      <w:r w:rsidR="00582A25" w:rsidRPr="00444714">
        <w:rPr>
          <w:rFonts w:ascii="Times New Roman" w:hAnsi="Times New Roman"/>
        </w:rPr>
        <w:t>.</w:t>
      </w:r>
      <w:r w:rsidR="00AA652F" w:rsidRPr="00444714">
        <w:rPr>
          <w:rFonts w:ascii="Times New Roman" w:hAnsi="Times New Roman"/>
        </w:rPr>
        <w:t xml:space="preserve"> </w:t>
      </w:r>
      <w:r w:rsidR="00582A25" w:rsidRPr="00444714">
        <w:rPr>
          <w:rFonts w:ascii="Times New Roman" w:hAnsi="Times New Roman"/>
        </w:rPr>
        <w:t>Those disclaimers were ineffective</w:t>
      </w:r>
      <w:r w:rsidR="00930030" w:rsidRPr="00444714">
        <w:rPr>
          <w:rFonts w:ascii="Times New Roman" w:hAnsi="Times New Roman"/>
        </w:rPr>
        <w:t>.</w:t>
      </w:r>
      <w:r w:rsidR="00AA652F" w:rsidRPr="00444714">
        <w:rPr>
          <w:rFonts w:ascii="Times New Roman" w:hAnsi="Times New Roman"/>
        </w:rPr>
        <w:t xml:space="preserve"> </w:t>
      </w:r>
      <w:r w:rsidR="00930030" w:rsidRPr="00444714">
        <w:rPr>
          <w:rFonts w:ascii="Times New Roman" w:hAnsi="Times New Roman"/>
        </w:rPr>
        <w:t>On</w:t>
      </w:r>
      <w:r w:rsidR="00C36156">
        <w:rPr>
          <w:rFonts w:ascii="Times New Roman" w:hAnsi="Times New Roman"/>
        </w:rPr>
        <w:t xml:space="preserve"> </w:t>
      </w:r>
      <w:r w:rsidR="00930030" w:rsidRPr="00444714">
        <w:rPr>
          <w:rFonts w:ascii="Times New Roman" w:hAnsi="Times New Roman"/>
        </w:rPr>
        <w:t>30</w:t>
      </w:r>
      <w:r w:rsidR="00C36156">
        <w:rPr>
          <w:rFonts w:ascii="Times New Roman" w:hAnsi="Times New Roman"/>
        </w:rPr>
        <w:t xml:space="preserve"> </w:t>
      </w:r>
      <w:r w:rsidR="00930030" w:rsidRPr="00444714">
        <w:rPr>
          <w:rFonts w:ascii="Times New Roman" w:hAnsi="Times New Roman"/>
        </w:rPr>
        <w:t xml:space="preserve">September 2016, the respondents executed </w:t>
      </w:r>
      <w:r w:rsidR="00680650" w:rsidRPr="00444714">
        <w:rPr>
          <w:rFonts w:ascii="Times New Roman" w:hAnsi="Times New Roman"/>
        </w:rPr>
        <w:t xml:space="preserve">further disclaimers </w:t>
      </w:r>
      <w:r w:rsidR="00933CED" w:rsidRPr="00444714">
        <w:rPr>
          <w:rFonts w:ascii="Times New Roman" w:hAnsi="Times New Roman"/>
        </w:rPr>
        <w:t>("the</w:t>
      </w:r>
      <w:r w:rsidR="00C36156">
        <w:rPr>
          <w:rFonts w:ascii="Times New Roman" w:hAnsi="Times New Roman"/>
        </w:rPr>
        <w:t xml:space="preserve"> </w:t>
      </w:r>
      <w:r w:rsidR="00933CED" w:rsidRPr="00444714">
        <w:rPr>
          <w:rFonts w:ascii="Times New Roman" w:hAnsi="Times New Roman"/>
        </w:rPr>
        <w:t xml:space="preserve">Third Disclaimers") </w:t>
      </w:r>
      <w:r w:rsidR="006F78D1" w:rsidRPr="00444714">
        <w:rPr>
          <w:rFonts w:ascii="Times New Roman" w:hAnsi="Times New Roman"/>
        </w:rPr>
        <w:t xml:space="preserve">disclaiming </w:t>
      </w:r>
      <w:r w:rsidR="00673206" w:rsidRPr="00444714">
        <w:rPr>
          <w:rFonts w:ascii="Times New Roman" w:hAnsi="Times New Roman"/>
        </w:rPr>
        <w:t xml:space="preserve">any and </w:t>
      </w:r>
      <w:r w:rsidR="006F78D1" w:rsidRPr="00444714">
        <w:rPr>
          <w:rFonts w:ascii="Times New Roman" w:hAnsi="Times New Roman"/>
        </w:rPr>
        <w:t>all right title and interest</w:t>
      </w:r>
      <w:r w:rsidR="006F78D1" w:rsidRPr="00444714" w:rsidDel="00673206">
        <w:rPr>
          <w:rFonts w:ascii="Times New Roman" w:hAnsi="Times New Roman"/>
        </w:rPr>
        <w:t xml:space="preserve"> </w:t>
      </w:r>
      <w:r w:rsidR="00673206" w:rsidRPr="00444714">
        <w:rPr>
          <w:rFonts w:ascii="Times New Roman" w:hAnsi="Times New Roman"/>
        </w:rPr>
        <w:t>conferred by the Trust Deed</w:t>
      </w:r>
      <w:r w:rsidR="00593F54" w:rsidRPr="00444714">
        <w:rPr>
          <w:rFonts w:ascii="Times New Roman" w:hAnsi="Times New Roman"/>
        </w:rPr>
        <w:t xml:space="preserve"> </w:t>
      </w:r>
      <w:r w:rsidR="00AC51D9" w:rsidRPr="00444714">
        <w:rPr>
          <w:rFonts w:ascii="Times New Roman" w:hAnsi="Times New Roman"/>
        </w:rPr>
        <w:t xml:space="preserve">to </w:t>
      </w:r>
      <w:r w:rsidR="006F78D1" w:rsidRPr="00444714">
        <w:rPr>
          <w:rFonts w:ascii="Times New Roman" w:hAnsi="Times New Roman"/>
        </w:rPr>
        <w:t>any income and</w:t>
      </w:r>
      <w:r w:rsidR="00AC51D9" w:rsidRPr="00444714">
        <w:rPr>
          <w:rFonts w:ascii="Times New Roman" w:hAnsi="Times New Roman"/>
        </w:rPr>
        <w:t>, without limiting the generality of that disclaimer, disclaiming</w:t>
      </w:r>
      <w:r w:rsidR="006F78D1" w:rsidRPr="00444714">
        <w:rPr>
          <w:rFonts w:ascii="Times New Roman" w:hAnsi="Times New Roman"/>
        </w:rPr>
        <w:t xml:space="preserve"> any and all right title and interest conferred by cl 3.7 of the Trust Deed</w:t>
      </w:r>
      <w:r w:rsidR="00680650" w:rsidRPr="00444714">
        <w:rPr>
          <w:rFonts w:ascii="Times New Roman" w:hAnsi="Times New Roman"/>
        </w:rPr>
        <w:t>.</w:t>
      </w:r>
    </w:p>
    <w:p w14:paraId="7FBBA1A8" w14:textId="48E45806" w:rsidR="00741E47" w:rsidRPr="00444714" w:rsidRDefault="007F1240" w:rsidP="00444714">
      <w:pPr>
        <w:pStyle w:val="FixListStyle"/>
        <w:spacing w:after="260" w:line="280" w:lineRule="exact"/>
        <w:ind w:right="0"/>
        <w:jc w:val="both"/>
        <w:rPr>
          <w:rFonts w:ascii="Times New Roman" w:hAnsi="Times New Roman"/>
        </w:rPr>
      </w:pPr>
      <w:r w:rsidRPr="00444714">
        <w:rPr>
          <w:rFonts w:ascii="Times New Roman" w:hAnsi="Times New Roman"/>
        </w:rPr>
        <w:tab/>
        <w:t xml:space="preserve">The respondents objected to the </w:t>
      </w:r>
      <w:r w:rsidR="00040D59" w:rsidRPr="00444714">
        <w:rPr>
          <w:rFonts w:ascii="Times New Roman" w:hAnsi="Times New Roman"/>
        </w:rPr>
        <w:t xml:space="preserve">2014 </w:t>
      </w:r>
      <w:r w:rsidR="00EE6227" w:rsidRPr="00444714">
        <w:rPr>
          <w:rFonts w:ascii="Times New Roman" w:hAnsi="Times New Roman"/>
        </w:rPr>
        <w:t>A</w:t>
      </w:r>
      <w:r w:rsidRPr="00444714">
        <w:rPr>
          <w:rFonts w:ascii="Times New Roman" w:hAnsi="Times New Roman"/>
        </w:rPr>
        <w:t>ssessments</w:t>
      </w:r>
      <w:r w:rsidR="00103E61" w:rsidRPr="00444714">
        <w:rPr>
          <w:rFonts w:ascii="Times New Roman" w:hAnsi="Times New Roman"/>
        </w:rPr>
        <w:t>,</w:t>
      </w:r>
      <w:r w:rsidRPr="00444714">
        <w:rPr>
          <w:rFonts w:ascii="Times New Roman" w:hAnsi="Times New Roman"/>
        </w:rPr>
        <w:t xml:space="preserve"> </w:t>
      </w:r>
      <w:r w:rsidR="00040D59" w:rsidRPr="00444714">
        <w:rPr>
          <w:rFonts w:ascii="Times New Roman" w:hAnsi="Times New Roman"/>
        </w:rPr>
        <w:t>contending</w:t>
      </w:r>
      <w:r w:rsidR="00F126AF" w:rsidRPr="00444714">
        <w:rPr>
          <w:rFonts w:ascii="Times New Roman" w:hAnsi="Times New Roman"/>
        </w:rPr>
        <w:t>,</w:t>
      </w:r>
      <w:r w:rsidR="00741E47" w:rsidRPr="00444714">
        <w:rPr>
          <w:rFonts w:ascii="Times New Roman" w:hAnsi="Times New Roman"/>
        </w:rPr>
        <w:t xml:space="preserve"> among other grounds,</w:t>
      </w:r>
      <w:r w:rsidR="00040D59" w:rsidRPr="00444714">
        <w:rPr>
          <w:rFonts w:ascii="Times New Roman" w:hAnsi="Times New Roman"/>
        </w:rPr>
        <w:t xml:space="preserve"> that each had validly disclaimed the relevant</w:t>
      </w:r>
      <w:r w:rsidR="00AD6528" w:rsidRPr="00444714">
        <w:rPr>
          <w:rFonts w:ascii="Times New Roman" w:hAnsi="Times New Roman"/>
        </w:rPr>
        <w:t xml:space="preserve"> cl 3.7 distribution by the Third Disclaimers.</w:t>
      </w:r>
    </w:p>
    <w:p w14:paraId="6BEEAF02" w14:textId="7B11B697" w:rsidR="00933CED" w:rsidRPr="00444714" w:rsidRDefault="00741E47"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933CED" w:rsidRPr="00444714">
        <w:rPr>
          <w:rFonts w:ascii="Times New Roman" w:hAnsi="Times New Roman"/>
        </w:rPr>
        <w:t xml:space="preserve">The Administrative Appeals Tribunal held that the Third Disclaimers were ineffective because they were made after the </w:t>
      </w:r>
      <w:r w:rsidR="007851EA" w:rsidRPr="00444714">
        <w:rPr>
          <w:rFonts w:ascii="Times New Roman" w:hAnsi="Times New Roman"/>
        </w:rPr>
        <w:t>respondents, with knowledge, had failed to disclaim and had accepted the gifts.</w:t>
      </w:r>
    </w:p>
    <w:p w14:paraId="379DB0BC" w14:textId="411ADDF4" w:rsidR="007C583F" w:rsidRPr="00444714" w:rsidRDefault="00103974" w:rsidP="00444714">
      <w:pPr>
        <w:pStyle w:val="FixListStyle"/>
        <w:spacing w:after="260" w:line="280" w:lineRule="exact"/>
        <w:ind w:right="0"/>
        <w:jc w:val="both"/>
        <w:rPr>
          <w:rFonts w:ascii="Times New Roman" w:hAnsi="Times New Roman"/>
        </w:rPr>
      </w:pPr>
      <w:r w:rsidRPr="00444714">
        <w:rPr>
          <w:rFonts w:ascii="Times New Roman" w:hAnsi="Times New Roman"/>
        </w:rPr>
        <w:tab/>
        <w:t>The respondents appealed to the Federal Court</w:t>
      </w:r>
      <w:r w:rsidR="00BC143F" w:rsidRPr="00444714">
        <w:rPr>
          <w:rFonts w:ascii="Times New Roman" w:hAnsi="Times New Roman"/>
        </w:rPr>
        <w:t xml:space="preserve"> </w:t>
      </w:r>
      <w:r w:rsidR="00DE2393" w:rsidRPr="00444714">
        <w:rPr>
          <w:rFonts w:ascii="Times New Roman" w:hAnsi="Times New Roman"/>
        </w:rPr>
        <w:t xml:space="preserve">of Australia </w:t>
      </w:r>
      <w:r w:rsidR="00BC143F" w:rsidRPr="00444714">
        <w:rPr>
          <w:rFonts w:ascii="Times New Roman" w:hAnsi="Times New Roman"/>
        </w:rPr>
        <w:t>on a question of law</w:t>
      </w:r>
      <w:r w:rsidR="00E6714A" w:rsidRPr="00444714">
        <w:rPr>
          <w:rFonts w:ascii="Times New Roman" w:hAnsi="Times New Roman"/>
        </w:rPr>
        <w:t xml:space="preserve"> </w:t>
      </w:r>
      <w:r w:rsidR="00E07261" w:rsidRPr="00444714">
        <w:rPr>
          <w:rFonts w:ascii="Times New Roman" w:hAnsi="Times New Roman"/>
        </w:rPr>
        <w:t>against</w:t>
      </w:r>
      <w:r w:rsidR="00E6714A" w:rsidRPr="00444714">
        <w:rPr>
          <w:rFonts w:ascii="Times New Roman" w:hAnsi="Times New Roman"/>
        </w:rPr>
        <w:t>, among other things,</w:t>
      </w:r>
      <w:r w:rsidR="00E07261" w:rsidRPr="00444714">
        <w:rPr>
          <w:rFonts w:ascii="Times New Roman" w:hAnsi="Times New Roman"/>
        </w:rPr>
        <w:t xml:space="preserve"> the Tribunal's finding that the Third Disclaimers were ineffective.</w:t>
      </w:r>
      <w:r w:rsidR="00AA652F" w:rsidRPr="00444714">
        <w:rPr>
          <w:rFonts w:ascii="Times New Roman" w:hAnsi="Times New Roman"/>
        </w:rPr>
        <w:t xml:space="preserve"> </w:t>
      </w:r>
      <w:r w:rsidR="00692B35" w:rsidRPr="00444714">
        <w:rPr>
          <w:rFonts w:ascii="Times New Roman" w:hAnsi="Times New Roman"/>
        </w:rPr>
        <w:t xml:space="preserve">By </w:t>
      </w:r>
      <w:r w:rsidR="00302C54" w:rsidRPr="00444714">
        <w:rPr>
          <w:rFonts w:ascii="Times New Roman" w:hAnsi="Times New Roman"/>
        </w:rPr>
        <w:t>n</w:t>
      </w:r>
      <w:r w:rsidR="00692B35" w:rsidRPr="00444714">
        <w:rPr>
          <w:rFonts w:ascii="Times New Roman" w:hAnsi="Times New Roman"/>
        </w:rPr>
        <w:t xml:space="preserve">otice of </w:t>
      </w:r>
      <w:r w:rsidR="00302C54" w:rsidRPr="00444714">
        <w:rPr>
          <w:rFonts w:ascii="Times New Roman" w:hAnsi="Times New Roman"/>
        </w:rPr>
        <w:t>c</w:t>
      </w:r>
      <w:r w:rsidR="00692B35" w:rsidRPr="00444714">
        <w:rPr>
          <w:rFonts w:ascii="Times New Roman" w:hAnsi="Times New Roman"/>
        </w:rPr>
        <w:t xml:space="preserve">ontention, the Commissioner </w:t>
      </w:r>
      <w:r w:rsidR="00AA6D1A" w:rsidRPr="00444714">
        <w:rPr>
          <w:rFonts w:ascii="Times New Roman" w:hAnsi="Times New Roman"/>
        </w:rPr>
        <w:t xml:space="preserve">relevantly </w:t>
      </w:r>
      <w:r w:rsidR="00692B35" w:rsidRPr="00444714">
        <w:rPr>
          <w:rFonts w:ascii="Times New Roman" w:hAnsi="Times New Roman"/>
        </w:rPr>
        <w:t xml:space="preserve">contended that the Third Disclaimers, even if effective at general law, </w:t>
      </w:r>
      <w:r w:rsidR="00CC6279" w:rsidRPr="00444714">
        <w:rPr>
          <w:rFonts w:ascii="Times New Roman" w:hAnsi="Times New Roman"/>
        </w:rPr>
        <w:t>did not retrospectively disapply s 97</w:t>
      </w:r>
      <w:r w:rsidR="00137D93" w:rsidRPr="00444714">
        <w:rPr>
          <w:rFonts w:ascii="Times New Roman" w:hAnsi="Times New Roman"/>
        </w:rPr>
        <w:t>(1)</w:t>
      </w:r>
      <w:r w:rsidR="00CC6279" w:rsidRPr="00444714">
        <w:rPr>
          <w:rFonts w:ascii="Times New Roman" w:hAnsi="Times New Roman"/>
        </w:rPr>
        <w:t xml:space="preserve"> of the 1936</w:t>
      </w:r>
      <w:r w:rsidR="009B00B1" w:rsidRPr="00444714">
        <w:rPr>
          <w:rFonts w:ascii="Times New Roman" w:hAnsi="Times New Roman"/>
        </w:rPr>
        <w:t xml:space="preserve"> </w:t>
      </w:r>
      <w:r w:rsidR="00A515BE" w:rsidRPr="00444714">
        <w:rPr>
          <w:rFonts w:ascii="Times New Roman" w:hAnsi="Times New Roman"/>
        </w:rPr>
        <w:t>Act</w:t>
      </w:r>
      <w:r w:rsidR="00CC6279" w:rsidRPr="00444714">
        <w:rPr>
          <w:rFonts w:ascii="Times New Roman" w:hAnsi="Times New Roman"/>
        </w:rPr>
        <w:t>.</w:t>
      </w:r>
    </w:p>
    <w:p w14:paraId="7354FBB7" w14:textId="4E45CF4A" w:rsidR="002B1E9B" w:rsidRPr="00444714" w:rsidRDefault="007C583F"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CC6279" w:rsidRPr="00444714">
        <w:rPr>
          <w:rFonts w:ascii="Times New Roman" w:hAnsi="Times New Roman"/>
        </w:rPr>
        <w:t>The</w:t>
      </w:r>
      <w:r w:rsidR="00094EBA">
        <w:rPr>
          <w:rFonts w:ascii="Times New Roman" w:hAnsi="Times New Roman"/>
        </w:rPr>
        <w:t xml:space="preserve"> </w:t>
      </w:r>
      <w:r w:rsidR="00CC6279" w:rsidRPr="00444714">
        <w:rPr>
          <w:rFonts w:ascii="Times New Roman" w:hAnsi="Times New Roman"/>
        </w:rPr>
        <w:t xml:space="preserve">Full Court of the Federal Court </w:t>
      </w:r>
      <w:r w:rsidR="00231D49" w:rsidRPr="00444714">
        <w:rPr>
          <w:rFonts w:ascii="Times New Roman" w:hAnsi="Times New Roman"/>
        </w:rPr>
        <w:t>held that the Third Disclaimers were effective and dismissed the Commissioner's notice of contention</w:t>
      </w:r>
      <w:r w:rsidR="00DC164A" w:rsidRPr="00444714">
        <w:rPr>
          <w:rFonts w:ascii="Times New Roman" w:hAnsi="Times New Roman"/>
        </w:rPr>
        <w:t>.</w:t>
      </w:r>
      <w:r w:rsidR="00AA652F" w:rsidRPr="00444714">
        <w:rPr>
          <w:rFonts w:ascii="Times New Roman" w:hAnsi="Times New Roman"/>
        </w:rPr>
        <w:t xml:space="preserve"> </w:t>
      </w:r>
      <w:r w:rsidR="00745FA5" w:rsidRPr="00444714">
        <w:rPr>
          <w:rFonts w:ascii="Times New Roman" w:hAnsi="Times New Roman"/>
        </w:rPr>
        <w:t>Relevantly</w:t>
      </w:r>
      <w:r w:rsidR="00E6714A" w:rsidRPr="00444714">
        <w:rPr>
          <w:rFonts w:ascii="Times New Roman" w:hAnsi="Times New Roman"/>
        </w:rPr>
        <w:t>, t</w:t>
      </w:r>
      <w:r w:rsidR="00BC143F" w:rsidRPr="00444714">
        <w:rPr>
          <w:rFonts w:ascii="Times New Roman" w:hAnsi="Times New Roman"/>
        </w:rPr>
        <w:t xml:space="preserve">he Full Court held that there </w:t>
      </w:r>
      <w:r w:rsidR="005E0BE0" w:rsidRPr="00444714">
        <w:rPr>
          <w:rFonts w:ascii="Times New Roman" w:hAnsi="Times New Roman"/>
        </w:rPr>
        <w:t>w</w:t>
      </w:r>
      <w:r w:rsidR="00BC143F" w:rsidRPr="00444714">
        <w:rPr>
          <w:rFonts w:ascii="Times New Roman" w:hAnsi="Times New Roman"/>
        </w:rPr>
        <w:t>as noth</w:t>
      </w:r>
      <w:r w:rsidR="00E6714A" w:rsidRPr="00444714">
        <w:rPr>
          <w:rFonts w:ascii="Times New Roman" w:hAnsi="Times New Roman"/>
        </w:rPr>
        <w:t>ing</w:t>
      </w:r>
      <w:r w:rsidR="005E0BE0" w:rsidRPr="00444714">
        <w:rPr>
          <w:rFonts w:ascii="Times New Roman" w:hAnsi="Times New Roman"/>
        </w:rPr>
        <w:t xml:space="preserve"> in s 97</w:t>
      </w:r>
      <w:r w:rsidR="00137D93" w:rsidRPr="00444714">
        <w:rPr>
          <w:rFonts w:ascii="Times New Roman" w:hAnsi="Times New Roman"/>
        </w:rPr>
        <w:t>(1)</w:t>
      </w:r>
      <w:r w:rsidR="005E0BE0" w:rsidRPr="00444714">
        <w:rPr>
          <w:rFonts w:ascii="Times New Roman" w:hAnsi="Times New Roman"/>
        </w:rPr>
        <w:t xml:space="preserve"> of the 1936 </w:t>
      </w:r>
      <w:r w:rsidR="00A515BE" w:rsidRPr="00444714">
        <w:rPr>
          <w:rFonts w:ascii="Times New Roman" w:hAnsi="Times New Roman"/>
        </w:rPr>
        <w:t xml:space="preserve">Act </w:t>
      </w:r>
      <w:r w:rsidR="005E0BE0" w:rsidRPr="00444714">
        <w:rPr>
          <w:rFonts w:ascii="Times New Roman" w:hAnsi="Times New Roman"/>
        </w:rPr>
        <w:t xml:space="preserve">to indicate that a beneficiary's liability was to be determined once and for all at the end of the </w:t>
      </w:r>
      <w:r w:rsidR="00A34600" w:rsidRPr="00444714">
        <w:rPr>
          <w:rFonts w:ascii="Times New Roman" w:hAnsi="Times New Roman"/>
        </w:rPr>
        <w:t>income year by reference to the legal relationships then in existence.</w:t>
      </w:r>
      <w:r w:rsidR="00AA652F" w:rsidRPr="00444714">
        <w:rPr>
          <w:rFonts w:ascii="Times New Roman" w:hAnsi="Times New Roman"/>
        </w:rPr>
        <w:t xml:space="preserve"> </w:t>
      </w:r>
      <w:r w:rsidR="00FA4B7F" w:rsidRPr="00444714">
        <w:rPr>
          <w:rFonts w:ascii="Times New Roman" w:hAnsi="Times New Roman"/>
        </w:rPr>
        <w:t>The</w:t>
      </w:r>
      <w:r w:rsidR="00094EBA">
        <w:rPr>
          <w:rFonts w:ascii="Times New Roman" w:hAnsi="Times New Roman"/>
        </w:rPr>
        <w:t xml:space="preserve"> </w:t>
      </w:r>
      <w:r w:rsidR="00FA4B7F" w:rsidRPr="00444714">
        <w:rPr>
          <w:rFonts w:ascii="Times New Roman" w:hAnsi="Times New Roman"/>
        </w:rPr>
        <w:t xml:space="preserve">Commissioner appealed </w:t>
      </w:r>
      <w:r w:rsidR="00C820F3" w:rsidRPr="00444714">
        <w:rPr>
          <w:rFonts w:ascii="Times New Roman" w:hAnsi="Times New Roman"/>
        </w:rPr>
        <w:t xml:space="preserve">to this Court on the </w:t>
      </w:r>
      <w:r w:rsidR="00C02D8E" w:rsidRPr="00444714">
        <w:rPr>
          <w:rFonts w:ascii="Times New Roman" w:hAnsi="Times New Roman"/>
        </w:rPr>
        <w:t>sole ground</w:t>
      </w:r>
      <w:r w:rsidR="00C820F3" w:rsidRPr="00444714">
        <w:rPr>
          <w:rFonts w:ascii="Times New Roman" w:hAnsi="Times New Roman"/>
        </w:rPr>
        <w:t xml:space="preserve"> that </w:t>
      </w:r>
      <w:r w:rsidR="00C02D8E" w:rsidRPr="00444714">
        <w:rPr>
          <w:rFonts w:ascii="Times New Roman" w:hAnsi="Times New Roman"/>
        </w:rPr>
        <w:t xml:space="preserve">the Full Court erred </w:t>
      </w:r>
      <w:r w:rsidR="0008685D" w:rsidRPr="00444714">
        <w:rPr>
          <w:rFonts w:ascii="Times New Roman" w:hAnsi="Times New Roman"/>
        </w:rPr>
        <w:t xml:space="preserve">in finding that the Third Disclaimers </w:t>
      </w:r>
      <w:r w:rsidR="00814F11" w:rsidRPr="00444714">
        <w:rPr>
          <w:rFonts w:ascii="Times New Roman" w:hAnsi="Times New Roman"/>
        </w:rPr>
        <w:t xml:space="preserve">operated </w:t>
      </w:r>
      <w:r w:rsidR="0042537E" w:rsidRPr="00444714">
        <w:rPr>
          <w:rFonts w:ascii="Times New Roman" w:hAnsi="Times New Roman"/>
        </w:rPr>
        <w:t xml:space="preserve">retrospectively </w:t>
      </w:r>
      <w:proofErr w:type="gramStart"/>
      <w:r w:rsidR="00DB2978" w:rsidRPr="00444714">
        <w:rPr>
          <w:rFonts w:ascii="Times New Roman" w:hAnsi="Times New Roman"/>
        </w:rPr>
        <w:t>so as to</w:t>
      </w:r>
      <w:proofErr w:type="gramEnd"/>
      <w:r w:rsidR="00DB2978" w:rsidRPr="00444714">
        <w:rPr>
          <w:rFonts w:ascii="Times New Roman" w:hAnsi="Times New Roman"/>
        </w:rPr>
        <w:t xml:space="preserve"> disapply s 97</w:t>
      </w:r>
      <w:r w:rsidR="00137D93" w:rsidRPr="00444714">
        <w:rPr>
          <w:rFonts w:ascii="Times New Roman" w:hAnsi="Times New Roman"/>
        </w:rPr>
        <w:t>(1)</w:t>
      </w:r>
      <w:r w:rsidR="00DB2978" w:rsidRPr="00444714">
        <w:rPr>
          <w:rFonts w:ascii="Times New Roman" w:hAnsi="Times New Roman"/>
        </w:rPr>
        <w:t xml:space="preserve"> </w:t>
      </w:r>
      <w:r w:rsidR="00D50825" w:rsidRPr="00444714">
        <w:rPr>
          <w:rFonts w:ascii="Times New Roman" w:hAnsi="Times New Roman"/>
        </w:rPr>
        <w:t xml:space="preserve">in respect of the </w:t>
      </w:r>
      <w:r w:rsidR="003E2F84" w:rsidRPr="00444714">
        <w:rPr>
          <w:rFonts w:ascii="Times New Roman" w:hAnsi="Times New Roman"/>
        </w:rPr>
        <w:t>2014 income year.</w:t>
      </w:r>
    </w:p>
    <w:p w14:paraId="5494A269" w14:textId="58F550B5" w:rsidR="00A22096" w:rsidRPr="00444714" w:rsidRDefault="008D68E7" w:rsidP="00444714">
      <w:pPr>
        <w:pStyle w:val="FixListStyle"/>
        <w:spacing w:after="260" w:line="280" w:lineRule="exact"/>
        <w:ind w:right="0"/>
        <w:jc w:val="both"/>
        <w:rPr>
          <w:rFonts w:ascii="Times New Roman" w:hAnsi="Times New Roman"/>
        </w:rPr>
      </w:pPr>
      <w:r w:rsidRPr="00444714">
        <w:rPr>
          <w:rFonts w:ascii="Times New Roman" w:hAnsi="Times New Roman"/>
        </w:rPr>
        <w:lastRenderedPageBreak/>
        <w:tab/>
      </w:r>
      <w:r w:rsidR="00822C00" w:rsidRPr="00444714">
        <w:rPr>
          <w:rFonts w:ascii="Times New Roman" w:hAnsi="Times New Roman"/>
        </w:rPr>
        <w:t>The appeal turns on</w:t>
      </w:r>
      <w:r w:rsidR="005E338B" w:rsidRPr="00444714">
        <w:rPr>
          <w:rFonts w:ascii="Times New Roman" w:hAnsi="Times New Roman"/>
        </w:rPr>
        <w:t xml:space="preserve"> the proper construction of </w:t>
      </w:r>
      <w:proofErr w:type="spellStart"/>
      <w:r w:rsidR="005E338B" w:rsidRPr="00444714">
        <w:rPr>
          <w:rFonts w:ascii="Times New Roman" w:hAnsi="Times New Roman"/>
        </w:rPr>
        <w:t>Div</w:t>
      </w:r>
      <w:proofErr w:type="spellEnd"/>
      <w:r w:rsidR="005E338B" w:rsidRPr="00444714">
        <w:rPr>
          <w:rFonts w:ascii="Times New Roman" w:hAnsi="Times New Roman"/>
        </w:rPr>
        <w:t xml:space="preserve"> 6 </w:t>
      </w:r>
      <w:r w:rsidR="00073248" w:rsidRPr="00444714">
        <w:rPr>
          <w:rFonts w:ascii="Times New Roman" w:hAnsi="Times New Roman"/>
        </w:rPr>
        <w:t xml:space="preserve">of </w:t>
      </w:r>
      <w:r w:rsidR="005E338B" w:rsidRPr="00444714">
        <w:rPr>
          <w:rFonts w:ascii="Times New Roman" w:hAnsi="Times New Roman"/>
        </w:rPr>
        <w:t>Pt III of the 1936 Act and</w:t>
      </w:r>
      <w:proofErr w:type="gramStart"/>
      <w:r w:rsidR="005E338B" w:rsidRPr="00444714">
        <w:rPr>
          <w:rFonts w:ascii="Times New Roman" w:hAnsi="Times New Roman"/>
        </w:rPr>
        <w:t>,</w:t>
      </w:r>
      <w:r w:rsidR="00DF7D1E" w:rsidRPr="00444714">
        <w:rPr>
          <w:rFonts w:ascii="Times New Roman" w:hAnsi="Times New Roman"/>
        </w:rPr>
        <w:t xml:space="preserve"> in particular, </w:t>
      </w:r>
      <w:r w:rsidR="00FC58B9" w:rsidRPr="00444714">
        <w:rPr>
          <w:rFonts w:ascii="Times New Roman" w:hAnsi="Times New Roman"/>
        </w:rPr>
        <w:t>s</w:t>
      </w:r>
      <w:proofErr w:type="gramEnd"/>
      <w:r w:rsidR="00FC58B9" w:rsidRPr="00444714">
        <w:rPr>
          <w:rFonts w:ascii="Times New Roman" w:hAnsi="Times New Roman"/>
        </w:rPr>
        <w:t> 97</w:t>
      </w:r>
      <w:r w:rsidR="001B158F" w:rsidRPr="00444714">
        <w:rPr>
          <w:rFonts w:ascii="Times New Roman" w:hAnsi="Times New Roman"/>
        </w:rPr>
        <w:t>(1)</w:t>
      </w:r>
      <w:r w:rsidR="00FC58B9" w:rsidRPr="00444714">
        <w:rPr>
          <w:rStyle w:val="FootnoteReference"/>
          <w:rFonts w:ascii="Times New Roman" w:hAnsi="Times New Roman"/>
          <w:sz w:val="24"/>
        </w:rPr>
        <w:footnoteReference w:id="7"/>
      </w:r>
      <w:r w:rsidR="00976B19" w:rsidRPr="00444714">
        <w:rPr>
          <w:rFonts w:ascii="Times New Roman" w:hAnsi="Times New Roman"/>
        </w:rPr>
        <w:t>.</w:t>
      </w:r>
      <w:r w:rsidR="00AA652F" w:rsidRPr="00444714">
        <w:rPr>
          <w:rFonts w:ascii="Times New Roman" w:hAnsi="Times New Roman"/>
        </w:rPr>
        <w:t xml:space="preserve"> </w:t>
      </w:r>
      <w:r w:rsidR="00501C43" w:rsidRPr="00444714">
        <w:rPr>
          <w:rFonts w:ascii="Times New Roman" w:hAnsi="Times New Roman"/>
        </w:rPr>
        <w:t>The</w:t>
      </w:r>
      <w:r w:rsidR="00A87A5E">
        <w:rPr>
          <w:rFonts w:ascii="Times New Roman" w:hAnsi="Times New Roman"/>
        </w:rPr>
        <w:t xml:space="preserve"> </w:t>
      </w:r>
      <w:r w:rsidR="001A6EB9" w:rsidRPr="00444714">
        <w:rPr>
          <w:rFonts w:ascii="Times New Roman" w:hAnsi="Times New Roman"/>
        </w:rPr>
        <w:t xml:space="preserve">basic income tax treatment of the net income of a trust estate </w:t>
      </w:r>
      <w:r w:rsidR="00856E99" w:rsidRPr="00444714">
        <w:rPr>
          <w:rFonts w:ascii="Times New Roman" w:hAnsi="Times New Roman"/>
        </w:rPr>
        <w:t xml:space="preserve">under </w:t>
      </w:r>
      <w:proofErr w:type="spellStart"/>
      <w:r w:rsidR="00856E99" w:rsidRPr="00444714">
        <w:rPr>
          <w:rFonts w:ascii="Times New Roman" w:hAnsi="Times New Roman"/>
        </w:rPr>
        <w:t>Div</w:t>
      </w:r>
      <w:proofErr w:type="spellEnd"/>
      <w:r w:rsidR="00856E99" w:rsidRPr="00444714">
        <w:rPr>
          <w:rFonts w:ascii="Times New Roman" w:hAnsi="Times New Roman"/>
        </w:rPr>
        <w:t xml:space="preserve"> 6 has been stated above </w:t>
      </w:r>
      <w:r w:rsidR="00D4502A" w:rsidRPr="00444714">
        <w:rPr>
          <w:rFonts w:ascii="Times New Roman" w:hAnsi="Times New Roman"/>
        </w:rPr>
        <w:t>–</w:t>
      </w:r>
      <w:r w:rsidR="00856E99" w:rsidRPr="00444714">
        <w:rPr>
          <w:rFonts w:ascii="Times New Roman" w:hAnsi="Times New Roman"/>
        </w:rPr>
        <w:t xml:space="preserve"> </w:t>
      </w:r>
      <w:r w:rsidR="001A6EB9" w:rsidRPr="00444714">
        <w:rPr>
          <w:rFonts w:ascii="Times New Roman" w:hAnsi="Times New Roman"/>
        </w:rPr>
        <w:t xml:space="preserve">to assess the beneficiaries on a share of the net income of the trust estate based on their </w:t>
      </w:r>
      <w:r w:rsidR="001A6EB9" w:rsidRPr="00444714">
        <w:rPr>
          <w:rFonts w:ascii="Times New Roman" w:hAnsi="Times New Roman"/>
          <w:i/>
        </w:rPr>
        <w:t>present entitlement</w:t>
      </w:r>
      <w:r w:rsidR="001A6EB9" w:rsidRPr="00444714">
        <w:rPr>
          <w:rFonts w:ascii="Times New Roman" w:hAnsi="Times New Roman"/>
        </w:rPr>
        <w:t xml:space="preserve"> to a share of the income of the trust estate.</w:t>
      </w:r>
    </w:p>
    <w:p w14:paraId="39846482" w14:textId="03508969" w:rsidR="009E2D57" w:rsidRPr="00444714" w:rsidRDefault="00A442B1"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CD5381" w:rsidRPr="00444714">
        <w:rPr>
          <w:rFonts w:ascii="Times New Roman" w:hAnsi="Times New Roman"/>
        </w:rPr>
        <w:t>Consistent</w:t>
      </w:r>
      <w:r w:rsidR="00F64F32" w:rsidRPr="00444714">
        <w:rPr>
          <w:rFonts w:ascii="Times New Roman" w:hAnsi="Times New Roman"/>
        </w:rPr>
        <w:t>ly</w:t>
      </w:r>
      <w:r w:rsidR="00CD5381" w:rsidRPr="00444714">
        <w:rPr>
          <w:rFonts w:ascii="Times New Roman" w:hAnsi="Times New Roman"/>
        </w:rPr>
        <w:t xml:space="preserve"> with that stated object</w:t>
      </w:r>
      <w:r w:rsidR="00820BB4" w:rsidRPr="00444714">
        <w:rPr>
          <w:rFonts w:ascii="Times New Roman" w:hAnsi="Times New Roman"/>
        </w:rPr>
        <w:t xml:space="preserve">, </w:t>
      </w:r>
      <w:r w:rsidR="00856E99" w:rsidRPr="00444714">
        <w:rPr>
          <w:rFonts w:ascii="Times New Roman" w:hAnsi="Times New Roman"/>
        </w:rPr>
        <w:t>s 97</w:t>
      </w:r>
      <w:r w:rsidR="001B158F" w:rsidRPr="00444714">
        <w:rPr>
          <w:rFonts w:ascii="Times New Roman" w:hAnsi="Times New Roman"/>
        </w:rPr>
        <w:t>(1)</w:t>
      </w:r>
      <w:r w:rsidR="00856E99" w:rsidRPr="00444714">
        <w:rPr>
          <w:rFonts w:ascii="Times New Roman" w:hAnsi="Times New Roman"/>
        </w:rPr>
        <w:t xml:space="preserve"> </w:t>
      </w:r>
      <w:r w:rsidR="00647171" w:rsidRPr="00444714">
        <w:rPr>
          <w:rFonts w:ascii="Times New Roman" w:hAnsi="Times New Roman"/>
        </w:rPr>
        <w:t>provides that</w:t>
      </w:r>
      <w:r w:rsidR="00BE4AFC" w:rsidRPr="00444714">
        <w:rPr>
          <w:rFonts w:ascii="Times New Roman" w:hAnsi="Times New Roman"/>
        </w:rPr>
        <w:t>,</w:t>
      </w:r>
      <w:r w:rsidR="00647171" w:rsidRPr="00444714">
        <w:rPr>
          <w:rFonts w:ascii="Times New Roman" w:hAnsi="Times New Roman"/>
        </w:rPr>
        <w:t xml:space="preserve"> where</w:t>
      </w:r>
      <w:r w:rsidR="00A87A5E">
        <w:rPr>
          <w:rFonts w:ascii="Times New Roman" w:hAnsi="Times New Roman"/>
        </w:rPr>
        <w:t xml:space="preserve"> </w:t>
      </w:r>
      <w:r w:rsidR="0093657F" w:rsidRPr="00444714">
        <w:rPr>
          <w:rFonts w:ascii="Times New Roman" w:hAnsi="Times New Roman"/>
        </w:rPr>
        <w:t>a beneficiary "</w:t>
      </w:r>
      <w:r w:rsidR="0093657F" w:rsidRPr="00444714">
        <w:rPr>
          <w:rFonts w:ascii="Times New Roman" w:hAnsi="Times New Roman"/>
          <w:i/>
        </w:rPr>
        <w:t>is presently entitled</w:t>
      </w:r>
      <w:r w:rsidR="0093657F" w:rsidRPr="00444714">
        <w:rPr>
          <w:rFonts w:ascii="Times New Roman" w:hAnsi="Times New Roman"/>
        </w:rPr>
        <w:t xml:space="preserve"> to a share of the income of the trust estate"</w:t>
      </w:r>
      <w:r w:rsidR="00705A48" w:rsidRPr="00444714">
        <w:rPr>
          <w:rFonts w:ascii="Times New Roman" w:hAnsi="Times New Roman"/>
        </w:rPr>
        <w:t>, the</w:t>
      </w:r>
      <w:r w:rsidR="00AB11AC" w:rsidRPr="00444714">
        <w:rPr>
          <w:rFonts w:ascii="Times New Roman" w:hAnsi="Times New Roman"/>
        </w:rPr>
        <w:t> </w:t>
      </w:r>
      <w:r w:rsidR="007D5DC2" w:rsidRPr="00444714">
        <w:rPr>
          <w:rFonts w:ascii="Times New Roman" w:hAnsi="Times New Roman"/>
        </w:rPr>
        <w:t>"</w:t>
      </w:r>
      <w:r w:rsidR="00705A48" w:rsidRPr="00444714">
        <w:rPr>
          <w:rFonts w:ascii="Times New Roman" w:hAnsi="Times New Roman"/>
        </w:rPr>
        <w:t>assessable income</w:t>
      </w:r>
      <w:r w:rsidR="007D5DC2" w:rsidRPr="00444714">
        <w:rPr>
          <w:rFonts w:ascii="Times New Roman" w:hAnsi="Times New Roman"/>
        </w:rPr>
        <w:t>"</w:t>
      </w:r>
      <w:r w:rsidR="00AB11AC" w:rsidRPr="00444714">
        <w:rPr>
          <w:rStyle w:val="FootnoteReference"/>
          <w:rFonts w:ascii="Times New Roman" w:hAnsi="Times New Roman"/>
          <w:sz w:val="24"/>
        </w:rPr>
        <w:footnoteReference w:id="8"/>
      </w:r>
      <w:r w:rsidR="00705A48" w:rsidRPr="00444714">
        <w:rPr>
          <w:rFonts w:ascii="Times New Roman" w:hAnsi="Times New Roman"/>
        </w:rPr>
        <w:t xml:space="preserve"> of the beneficiary shall include</w:t>
      </w:r>
      <w:r w:rsidR="00AB11AC" w:rsidRPr="00444714">
        <w:rPr>
          <w:rFonts w:ascii="Times New Roman" w:hAnsi="Times New Roman"/>
        </w:rPr>
        <w:t>,</w:t>
      </w:r>
      <w:r w:rsidR="006B1E82" w:rsidRPr="00444714">
        <w:rPr>
          <w:rFonts w:ascii="Times New Roman" w:hAnsi="Times New Roman"/>
        </w:rPr>
        <w:t xml:space="preserve"> relevantly, </w:t>
      </w:r>
      <w:r w:rsidR="00705A48" w:rsidRPr="00444714">
        <w:rPr>
          <w:rFonts w:ascii="Times New Roman" w:hAnsi="Times New Roman"/>
        </w:rPr>
        <w:t xml:space="preserve">so much of that share of the </w:t>
      </w:r>
      <w:r w:rsidR="007D5DC2" w:rsidRPr="00444714">
        <w:rPr>
          <w:rFonts w:ascii="Times New Roman" w:hAnsi="Times New Roman"/>
        </w:rPr>
        <w:t>"</w:t>
      </w:r>
      <w:r w:rsidR="00705A48" w:rsidRPr="00444714">
        <w:rPr>
          <w:rFonts w:ascii="Times New Roman" w:hAnsi="Times New Roman"/>
        </w:rPr>
        <w:t>net income</w:t>
      </w:r>
      <w:r w:rsidR="007D5DC2" w:rsidRPr="00444714">
        <w:rPr>
          <w:rFonts w:ascii="Times New Roman" w:hAnsi="Times New Roman"/>
        </w:rPr>
        <w:t>"</w:t>
      </w:r>
      <w:r w:rsidR="003E4475" w:rsidRPr="00444714">
        <w:rPr>
          <w:rStyle w:val="FootnoteReference"/>
          <w:rFonts w:ascii="Times New Roman" w:hAnsi="Times New Roman"/>
          <w:sz w:val="24"/>
        </w:rPr>
        <w:footnoteReference w:id="9"/>
      </w:r>
      <w:r w:rsidR="00705A48" w:rsidRPr="00444714">
        <w:rPr>
          <w:rFonts w:ascii="Times New Roman" w:hAnsi="Times New Roman"/>
        </w:rPr>
        <w:t xml:space="preserve"> of</w:t>
      </w:r>
      <w:r w:rsidR="00A87A5E">
        <w:rPr>
          <w:rFonts w:ascii="Times New Roman" w:hAnsi="Times New Roman"/>
        </w:rPr>
        <w:t xml:space="preserve"> </w:t>
      </w:r>
      <w:r w:rsidR="00705A48" w:rsidRPr="00444714">
        <w:rPr>
          <w:rFonts w:ascii="Times New Roman" w:hAnsi="Times New Roman"/>
        </w:rPr>
        <w:t>the trust estate as is attributable to a period when the beneficiary was a resident</w:t>
      </w:r>
      <w:r w:rsidR="00E36788" w:rsidRPr="00444714">
        <w:rPr>
          <w:rFonts w:ascii="Times New Roman" w:hAnsi="Times New Roman"/>
        </w:rPr>
        <w:t>.</w:t>
      </w:r>
    </w:p>
    <w:p w14:paraId="6EB2F8EE" w14:textId="2CE7D73F" w:rsidR="001A318B" w:rsidRPr="00444714" w:rsidRDefault="009E2D57"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FF09CB" w:rsidRPr="00444714">
        <w:rPr>
          <w:rFonts w:ascii="Times New Roman" w:hAnsi="Times New Roman"/>
        </w:rPr>
        <w:t xml:space="preserve">The </w:t>
      </w:r>
      <w:r w:rsidR="006903ED" w:rsidRPr="00444714">
        <w:rPr>
          <w:rFonts w:ascii="Times New Roman" w:hAnsi="Times New Roman"/>
        </w:rPr>
        <w:t>phrase</w:t>
      </w:r>
      <w:r w:rsidR="001E0582" w:rsidRPr="00444714">
        <w:rPr>
          <w:rFonts w:ascii="Times New Roman" w:hAnsi="Times New Roman"/>
        </w:rPr>
        <w:t xml:space="preserve"> "</w:t>
      </w:r>
      <w:r w:rsidR="001E0582" w:rsidRPr="00444714">
        <w:rPr>
          <w:rFonts w:ascii="Times New Roman" w:hAnsi="Times New Roman"/>
          <w:i/>
        </w:rPr>
        <w:t>is</w:t>
      </w:r>
      <w:r w:rsidR="0026765E">
        <w:rPr>
          <w:rFonts w:ascii="Times New Roman" w:hAnsi="Times New Roman"/>
          <w:i/>
        </w:rPr>
        <w:t xml:space="preserve"> </w:t>
      </w:r>
      <w:r w:rsidR="001E0582" w:rsidRPr="00444714">
        <w:rPr>
          <w:rFonts w:ascii="Times New Roman" w:hAnsi="Times New Roman"/>
          <w:i/>
        </w:rPr>
        <w:t>presently entitled</w:t>
      </w:r>
      <w:r w:rsidR="001E0582" w:rsidRPr="00444714">
        <w:rPr>
          <w:rFonts w:ascii="Times New Roman" w:hAnsi="Times New Roman"/>
        </w:rPr>
        <w:t xml:space="preserve"> </w:t>
      </w:r>
      <w:r w:rsidR="00BB5864" w:rsidRPr="00444714">
        <w:rPr>
          <w:rFonts w:ascii="Times New Roman" w:hAnsi="Times New Roman"/>
        </w:rPr>
        <w:t>to a share of the income of the trust estate</w:t>
      </w:r>
      <w:r w:rsidR="00D706C0" w:rsidRPr="00444714">
        <w:rPr>
          <w:rFonts w:ascii="Times New Roman" w:hAnsi="Times New Roman"/>
        </w:rPr>
        <w:t xml:space="preserve">" </w:t>
      </w:r>
      <w:r w:rsidR="009E72CA" w:rsidRPr="00444714">
        <w:rPr>
          <w:rFonts w:ascii="Times New Roman" w:hAnsi="Times New Roman"/>
        </w:rPr>
        <w:t>in s 9</w:t>
      </w:r>
      <w:r w:rsidR="001B158F" w:rsidRPr="00444714">
        <w:rPr>
          <w:rFonts w:ascii="Times New Roman" w:hAnsi="Times New Roman"/>
        </w:rPr>
        <w:t>7(1)</w:t>
      </w:r>
      <w:r w:rsidR="00232588" w:rsidRPr="00444714">
        <w:rPr>
          <w:rFonts w:ascii="Times New Roman" w:hAnsi="Times New Roman"/>
        </w:rPr>
        <w:t xml:space="preserve"> </w:t>
      </w:r>
      <w:r w:rsidR="004A7F53" w:rsidRPr="00444714">
        <w:rPr>
          <w:rFonts w:ascii="Times New Roman" w:hAnsi="Times New Roman"/>
        </w:rPr>
        <w:t>is expressed in the present tense</w:t>
      </w:r>
      <w:r w:rsidR="003A5A99" w:rsidRPr="00444714">
        <w:rPr>
          <w:rStyle w:val="FootnoteReference"/>
          <w:rFonts w:ascii="Times New Roman" w:hAnsi="Times New Roman"/>
          <w:sz w:val="24"/>
        </w:rPr>
        <w:footnoteReference w:id="10"/>
      </w:r>
      <w:r w:rsidR="00010321" w:rsidRPr="00444714">
        <w:rPr>
          <w:rFonts w:ascii="Times New Roman" w:hAnsi="Times New Roman"/>
        </w:rPr>
        <w:t>.</w:t>
      </w:r>
      <w:r w:rsidR="00AA652F" w:rsidRPr="00444714">
        <w:rPr>
          <w:rFonts w:ascii="Times New Roman" w:hAnsi="Times New Roman"/>
        </w:rPr>
        <w:t xml:space="preserve"> </w:t>
      </w:r>
      <w:r w:rsidR="00ED5114" w:rsidRPr="00444714">
        <w:rPr>
          <w:rFonts w:ascii="Times New Roman" w:hAnsi="Times New Roman"/>
        </w:rPr>
        <w:t>I</w:t>
      </w:r>
      <w:r w:rsidR="004A7F53" w:rsidRPr="00444714">
        <w:rPr>
          <w:rFonts w:ascii="Times New Roman" w:hAnsi="Times New Roman"/>
        </w:rPr>
        <w:t xml:space="preserve">t </w:t>
      </w:r>
      <w:r w:rsidR="00ED5114" w:rsidRPr="00444714">
        <w:rPr>
          <w:rFonts w:ascii="Times New Roman" w:hAnsi="Times New Roman"/>
        </w:rPr>
        <w:t xml:space="preserve">is directed to the </w:t>
      </w:r>
      <w:r w:rsidR="00F72874" w:rsidRPr="00444714">
        <w:rPr>
          <w:rFonts w:ascii="Times New Roman" w:hAnsi="Times New Roman"/>
        </w:rPr>
        <w:t xml:space="preserve">position </w:t>
      </w:r>
      <w:r w:rsidR="00017126" w:rsidRPr="00444714">
        <w:rPr>
          <w:rFonts w:ascii="Times New Roman" w:hAnsi="Times New Roman"/>
        </w:rPr>
        <w:t xml:space="preserve">existing </w:t>
      </w:r>
      <w:r w:rsidR="00D72B00" w:rsidRPr="00444714">
        <w:rPr>
          <w:rFonts w:ascii="Times New Roman" w:hAnsi="Times New Roman"/>
        </w:rPr>
        <w:t xml:space="preserve">immediately before the </w:t>
      </w:r>
      <w:r w:rsidR="00017126" w:rsidRPr="00444714">
        <w:rPr>
          <w:rFonts w:ascii="Times New Roman" w:hAnsi="Times New Roman"/>
        </w:rPr>
        <w:t>end of</w:t>
      </w:r>
      <w:r w:rsidR="00142A7A" w:rsidRPr="00444714">
        <w:rPr>
          <w:rFonts w:ascii="Times New Roman" w:hAnsi="Times New Roman"/>
        </w:rPr>
        <w:t xml:space="preserve"> the income year for the </w:t>
      </w:r>
      <w:r w:rsidR="000D40E8" w:rsidRPr="00444714">
        <w:rPr>
          <w:rFonts w:ascii="Times New Roman" w:hAnsi="Times New Roman"/>
        </w:rPr>
        <w:t xml:space="preserve">stated </w:t>
      </w:r>
      <w:r w:rsidR="00142A7A" w:rsidRPr="00444714">
        <w:rPr>
          <w:rFonts w:ascii="Times New Roman" w:hAnsi="Times New Roman"/>
        </w:rPr>
        <w:t xml:space="preserve">purpose of </w:t>
      </w:r>
      <w:r w:rsidR="00F41547" w:rsidRPr="00444714">
        <w:rPr>
          <w:rFonts w:ascii="Times New Roman" w:hAnsi="Times New Roman"/>
        </w:rPr>
        <w:t xml:space="preserve">identifying </w:t>
      </w:r>
      <w:r w:rsidR="00D72B00" w:rsidRPr="00444714">
        <w:rPr>
          <w:rFonts w:ascii="Times New Roman" w:hAnsi="Times New Roman"/>
        </w:rPr>
        <w:t xml:space="preserve">the beneficiaries </w:t>
      </w:r>
      <w:r w:rsidR="000C23BD" w:rsidRPr="00444714">
        <w:rPr>
          <w:rFonts w:ascii="Times New Roman" w:hAnsi="Times New Roman"/>
        </w:rPr>
        <w:t xml:space="preserve">who </w:t>
      </w:r>
      <w:r w:rsidR="00DF41C3" w:rsidRPr="00444714">
        <w:rPr>
          <w:rFonts w:ascii="Times New Roman" w:hAnsi="Times New Roman"/>
        </w:rPr>
        <w:t xml:space="preserve">are </w:t>
      </w:r>
      <w:r w:rsidR="000C23BD" w:rsidRPr="00444714">
        <w:rPr>
          <w:rFonts w:ascii="Times New Roman" w:hAnsi="Times New Roman"/>
        </w:rPr>
        <w:t>to be assessed with the income of the trust</w:t>
      </w:r>
      <w:r w:rsidR="00DF41C3" w:rsidRPr="00444714">
        <w:rPr>
          <w:rFonts w:ascii="Times New Roman" w:hAnsi="Times New Roman"/>
        </w:rPr>
        <w:t xml:space="preserve"> –</w:t>
      </w:r>
      <w:r w:rsidR="00722054" w:rsidRPr="00444714">
        <w:rPr>
          <w:rFonts w:ascii="Times New Roman" w:hAnsi="Times New Roman"/>
        </w:rPr>
        <w:t xml:space="preserve"> </w:t>
      </w:r>
      <w:r w:rsidR="00DF41C3" w:rsidRPr="00444714">
        <w:rPr>
          <w:rFonts w:ascii="Times New Roman" w:hAnsi="Times New Roman"/>
        </w:rPr>
        <w:t>n</w:t>
      </w:r>
      <w:r w:rsidR="00722054" w:rsidRPr="00444714">
        <w:rPr>
          <w:rFonts w:ascii="Times New Roman" w:hAnsi="Times New Roman"/>
        </w:rPr>
        <w:t>amely,</w:t>
      </w:r>
      <w:r w:rsidR="0026765E">
        <w:rPr>
          <w:rFonts w:ascii="Times New Roman" w:hAnsi="Times New Roman"/>
        </w:rPr>
        <w:t> </w:t>
      </w:r>
      <w:r w:rsidR="00722054" w:rsidRPr="00444714">
        <w:rPr>
          <w:rFonts w:ascii="Times New Roman" w:hAnsi="Times New Roman"/>
        </w:rPr>
        <w:t>those beneficiaries of the trust</w:t>
      </w:r>
      <w:r w:rsidR="00AA7D88" w:rsidRPr="00444714">
        <w:rPr>
          <w:rFonts w:ascii="Times New Roman" w:hAnsi="Times New Roman"/>
        </w:rPr>
        <w:t xml:space="preserve"> who</w:t>
      </w:r>
      <w:r w:rsidR="00056255" w:rsidRPr="00444714">
        <w:rPr>
          <w:rFonts w:ascii="Times New Roman" w:hAnsi="Times New Roman"/>
        </w:rPr>
        <w:t>,</w:t>
      </w:r>
      <w:r w:rsidR="00AA7D88" w:rsidRPr="00444714">
        <w:rPr>
          <w:rFonts w:ascii="Times New Roman" w:hAnsi="Times New Roman"/>
        </w:rPr>
        <w:t xml:space="preserve"> as well as having an interest in the income </w:t>
      </w:r>
      <w:r w:rsidR="00CB1517" w:rsidRPr="00444714">
        <w:rPr>
          <w:rFonts w:ascii="Times New Roman" w:hAnsi="Times New Roman"/>
        </w:rPr>
        <w:t xml:space="preserve">of the trust which is vested </w:t>
      </w:r>
      <w:r w:rsidR="00AD0FEC" w:rsidRPr="00444714">
        <w:rPr>
          <w:rFonts w:ascii="Times New Roman" w:hAnsi="Times New Roman"/>
        </w:rPr>
        <w:t xml:space="preserve">both </w:t>
      </w:r>
      <w:r w:rsidR="00CB1517" w:rsidRPr="00444714">
        <w:rPr>
          <w:rFonts w:ascii="Times New Roman" w:hAnsi="Times New Roman"/>
        </w:rPr>
        <w:t>in interest and in possession</w:t>
      </w:r>
      <w:r w:rsidR="00DA1275" w:rsidRPr="00444714">
        <w:rPr>
          <w:rStyle w:val="FootnoteReference"/>
          <w:rFonts w:ascii="Times New Roman" w:hAnsi="Times New Roman"/>
          <w:sz w:val="24"/>
        </w:rPr>
        <w:footnoteReference w:id="11"/>
      </w:r>
      <w:r w:rsidR="00CB1517" w:rsidRPr="00444714">
        <w:rPr>
          <w:rFonts w:ascii="Times New Roman" w:hAnsi="Times New Roman"/>
        </w:rPr>
        <w:t xml:space="preserve">, have </w:t>
      </w:r>
      <w:r w:rsidR="00AA3AFC" w:rsidRPr="00444714">
        <w:rPr>
          <w:rFonts w:ascii="Times New Roman" w:hAnsi="Times New Roman"/>
        </w:rPr>
        <w:t>a present legal right to demand and receive payment of the income</w:t>
      </w:r>
      <w:r w:rsidR="00623103" w:rsidRPr="00444714">
        <w:rPr>
          <w:rFonts w:ascii="Times New Roman" w:hAnsi="Times New Roman"/>
        </w:rPr>
        <w:t>.</w:t>
      </w:r>
    </w:p>
    <w:p w14:paraId="1B39DEA8" w14:textId="73DF56DF" w:rsidR="006004B6" w:rsidRPr="00444714" w:rsidRDefault="001A318B" w:rsidP="00444714">
      <w:pPr>
        <w:pStyle w:val="FixListStyle"/>
        <w:spacing w:after="260" w:line="280" w:lineRule="exact"/>
        <w:ind w:right="0"/>
        <w:jc w:val="both"/>
        <w:rPr>
          <w:rFonts w:ascii="Times New Roman" w:hAnsi="Times New Roman"/>
        </w:rPr>
      </w:pPr>
      <w:r w:rsidRPr="00444714">
        <w:rPr>
          <w:rFonts w:ascii="Times New Roman" w:hAnsi="Times New Roman"/>
        </w:rPr>
        <w:lastRenderedPageBreak/>
        <w:tab/>
      </w:r>
      <w:r w:rsidR="00583365" w:rsidRPr="00444714">
        <w:rPr>
          <w:rFonts w:ascii="Times New Roman" w:hAnsi="Times New Roman"/>
        </w:rPr>
        <w:t xml:space="preserve">In some cases, the two limbs of "presently entitled" </w:t>
      </w:r>
      <w:r w:rsidR="001A25C0" w:rsidRPr="00444714">
        <w:rPr>
          <w:rFonts w:ascii="Times New Roman" w:hAnsi="Times New Roman"/>
        </w:rPr>
        <w:t xml:space="preserve">recognised in </w:t>
      </w:r>
      <w:r w:rsidR="004A0855" w:rsidRPr="00444714">
        <w:rPr>
          <w:rFonts w:ascii="Times New Roman" w:hAnsi="Times New Roman"/>
          <w:i/>
        </w:rPr>
        <w:t xml:space="preserve">Federal Commissioner of Taxation v </w:t>
      </w:r>
      <w:r w:rsidR="001A25C0" w:rsidRPr="00444714">
        <w:rPr>
          <w:rFonts w:ascii="Times New Roman" w:hAnsi="Times New Roman"/>
          <w:i/>
        </w:rPr>
        <w:t>Bamford</w:t>
      </w:r>
      <w:r w:rsidR="001A25C0" w:rsidRPr="00444714">
        <w:rPr>
          <w:rStyle w:val="FootnoteReference"/>
          <w:rFonts w:ascii="Times New Roman" w:hAnsi="Times New Roman"/>
          <w:sz w:val="24"/>
        </w:rPr>
        <w:footnoteReference w:id="12"/>
      </w:r>
      <w:r w:rsidR="001A25C0" w:rsidRPr="00444714">
        <w:rPr>
          <w:rFonts w:ascii="Times New Roman" w:hAnsi="Times New Roman"/>
          <w:i/>
        </w:rPr>
        <w:t xml:space="preserve"> </w:t>
      </w:r>
      <w:r w:rsidR="00583365" w:rsidRPr="00444714">
        <w:rPr>
          <w:rFonts w:ascii="Times New Roman" w:hAnsi="Times New Roman"/>
        </w:rPr>
        <w:t>will overlap</w:t>
      </w:r>
      <w:r w:rsidR="003F68FC" w:rsidRPr="00444714">
        <w:rPr>
          <w:rStyle w:val="FootnoteReference"/>
          <w:rFonts w:ascii="Times New Roman" w:hAnsi="Times New Roman"/>
          <w:sz w:val="24"/>
        </w:rPr>
        <w:footnoteReference w:id="13"/>
      </w:r>
      <w:r w:rsidR="003D6C65" w:rsidRPr="00444714">
        <w:rPr>
          <w:rFonts w:ascii="Times New Roman" w:hAnsi="Times New Roman"/>
        </w:rPr>
        <w:t>.</w:t>
      </w:r>
      <w:r w:rsidR="00AA652F" w:rsidRPr="00444714">
        <w:rPr>
          <w:rFonts w:ascii="Times New Roman" w:hAnsi="Times New Roman"/>
        </w:rPr>
        <w:t xml:space="preserve"> </w:t>
      </w:r>
      <w:r w:rsidR="00C15CF8" w:rsidRPr="00444714">
        <w:rPr>
          <w:rFonts w:ascii="Times New Roman" w:hAnsi="Times New Roman"/>
        </w:rPr>
        <w:t>For present purposes, t</w:t>
      </w:r>
      <w:r w:rsidR="0024637C" w:rsidRPr="00444714">
        <w:rPr>
          <w:rFonts w:ascii="Times New Roman" w:hAnsi="Times New Roman"/>
        </w:rPr>
        <w:t>he</w:t>
      </w:r>
      <w:r w:rsidR="00E93BFB">
        <w:rPr>
          <w:rFonts w:ascii="Times New Roman" w:hAnsi="Times New Roman"/>
        </w:rPr>
        <w:t> </w:t>
      </w:r>
      <w:r w:rsidR="000F524F" w:rsidRPr="00444714">
        <w:rPr>
          <w:rFonts w:ascii="Times New Roman" w:hAnsi="Times New Roman"/>
        </w:rPr>
        <w:t xml:space="preserve">relevant </w:t>
      </w:r>
      <w:r w:rsidR="0024637C" w:rsidRPr="00444714">
        <w:rPr>
          <w:rFonts w:ascii="Times New Roman" w:hAnsi="Times New Roman"/>
        </w:rPr>
        <w:t xml:space="preserve">criterion </w:t>
      </w:r>
      <w:r w:rsidR="000D0B24" w:rsidRPr="00444714">
        <w:rPr>
          <w:rFonts w:ascii="Times New Roman" w:hAnsi="Times New Roman"/>
        </w:rPr>
        <w:t>in s 97</w:t>
      </w:r>
      <w:r w:rsidR="00825448" w:rsidRPr="00444714">
        <w:rPr>
          <w:rFonts w:ascii="Times New Roman" w:hAnsi="Times New Roman"/>
        </w:rPr>
        <w:t>(1)</w:t>
      </w:r>
      <w:r w:rsidR="000D0B24" w:rsidRPr="00444714">
        <w:rPr>
          <w:rFonts w:ascii="Times New Roman" w:hAnsi="Times New Roman"/>
        </w:rPr>
        <w:t xml:space="preserve"> </w:t>
      </w:r>
      <w:r w:rsidR="0024637C" w:rsidRPr="00444714">
        <w:rPr>
          <w:rFonts w:ascii="Times New Roman" w:hAnsi="Times New Roman"/>
        </w:rPr>
        <w:t xml:space="preserve">is the present legal </w:t>
      </w:r>
      <w:r w:rsidR="0024637C" w:rsidRPr="00444714">
        <w:rPr>
          <w:rFonts w:ascii="Times New Roman" w:hAnsi="Times New Roman"/>
          <w:i/>
        </w:rPr>
        <w:t>right</w:t>
      </w:r>
      <w:r w:rsidR="0024637C" w:rsidRPr="00444714">
        <w:rPr>
          <w:rFonts w:ascii="Times New Roman" w:hAnsi="Times New Roman"/>
        </w:rPr>
        <w:t xml:space="preserve"> </w:t>
      </w:r>
      <w:r w:rsidR="00166365" w:rsidRPr="00444714">
        <w:rPr>
          <w:rFonts w:ascii="Times New Roman" w:hAnsi="Times New Roman"/>
        </w:rPr>
        <w:t xml:space="preserve">of the beneficiary </w:t>
      </w:r>
      <w:r w:rsidR="0024637C" w:rsidRPr="00444714">
        <w:rPr>
          <w:rFonts w:ascii="Times New Roman" w:hAnsi="Times New Roman"/>
        </w:rPr>
        <w:t xml:space="preserve">to demand and receive payment </w:t>
      </w:r>
      <w:r w:rsidR="00732F8D" w:rsidRPr="00444714">
        <w:rPr>
          <w:rFonts w:ascii="Times New Roman" w:hAnsi="Times New Roman"/>
        </w:rPr>
        <w:t xml:space="preserve">of a share of the distributable income of a </w:t>
      </w:r>
      <w:r w:rsidR="007C3174" w:rsidRPr="00444714">
        <w:rPr>
          <w:rFonts w:ascii="Times New Roman" w:hAnsi="Times New Roman"/>
        </w:rPr>
        <w:t>trust estate.</w:t>
      </w:r>
      <w:r w:rsidR="00AA652F" w:rsidRPr="00444714">
        <w:rPr>
          <w:rFonts w:ascii="Times New Roman" w:hAnsi="Times New Roman"/>
        </w:rPr>
        <w:t xml:space="preserve"> </w:t>
      </w:r>
      <w:r w:rsidR="003E2200" w:rsidRPr="00444714">
        <w:rPr>
          <w:rFonts w:ascii="Times New Roman" w:hAnsi="Times New Roman"/>
        </w:rPr>
        <w:t xml:space="preserve">The criterion for liability looks to </w:t>
      </w:r>
      <w:r w:rsidR="007C3174" w:rsidRPr="00444714">
        <w:rPr>
          <w:rFonts w:ascii="Times New Roman" w:hAnsi="Times New Roman"/>
        </w:rPr>
        <w:t>the</w:t>
      </w:r>
      <w:r w:rsidR="00A67374" w:rsidRPr="00444714">
        <w:rPr>
          <w:rFonts w:ascii="Times New Roman" w:hAnsi="Times New Roman"/>
        </w:rPr>
        <w:t xml:space="preserve"> </w:t>
      </w:r>
      <w:r w:rsidR="00A67374" w:rsidRPr="00444714">
        <w:rPr>
          <w:rFonts w:ascii="Times New Roman" w:hAnsi="Times New Roman"/>
          <w:i/>
        </w:rPr>
        <w:t>right</w:t>
      </w:r>
      <w:r w:rsidR="00A67374" w:rsidRPr="00444714">
        <w:rPr>
          <w:rFonts w:ascii="Times New Roman" w:hAnsi="Times New Roman"/>
        </w:rPr>
        <w:t xml:space="preserve"> to receive an amount of dis</w:t>
      </w:r>
      <w:r w:rsidR="009F5F52" w:rsidRPr="00444714">
        <w:rPr>
          <w:rFonts w:ascii="Times New Roman" w:hAnsi="Times New Roman"/>
        </w:rPr>
        <w:t>tributable income, not the receipt</w:t>
      </w:r>
      <w:r w:rsidR="001A3784" w:rsidRPr="00444714">
        <w:rPr>
          <w:rStyle w:val="FootnoteReference"/>
          <w:rFonts w:ascii="Times New Roman" w:hAnsi="Times New Roman"/>
          <w:sz w:val="24"/>
        </w:rPr>
        <w:footnoteReference w:id="14"/>
      </w:r>
      <w:r w:rsidRPr="00444714">
        <w:rPr>
          <w:rFonts w:ascii="Times New Roman" w:hAnsi="Times New Roman"/>
        </w:rPr>
        <w:t>.</w:t>
      </w:r>
      <w:r w:rsidR="00AA652F" w:rsidRPr="00444714">
        <w:rPr>
          <w:rFonts w:ascii="Times New Roman" w:hAnsi="Times New Roman"/>
        </w:rPr>
        <w:t xml:space="preserve"> </w:t>
      </w:r>
      <w:r w:rsidR="006031C3" w:rsidRPr="00444714">
        <w:rPr>
          <w:rFonts w:ascii="Times New Roman" w:hAnsi="Times New Roman"/>
        </w:rPr>
        <w:t>That</w:t>
      </w:r>
      <w:r w:rsidR="00E93BFB">
        <w:rPr>
          <w:rFonts w:ascii="Times New Roman" w:hAnsi="Times New Roman"/>
        </w:rPr>
        <w:t xml:space="preserve"> </w:t>
      </w:r>
      <w:r w:rsidR="006031C3" w:rsidRPr="00444714">
        <w:rPr>
          <w:rFonts w:ascii="Times New Roman" w:hAnsi="Times New Roman"/>
        </w:rPr>
        <w:t xml:space="preserve">position </w:t>
      </w:r>
      <w:r w:rsidR="006700AE" w:rsidRPr="00444714">
        <w:rPr>
          <w:rFonts w:ascii="Times New Roman" w:hAnsi="Times New Roman"/>
        </w:rPr>
        <w:t xml:space="preserve">is expressly </w:t>
      </w:r>
      <w:r w:rsidR="006004B6" w:rsidRPr="00444714">
        <w:rPr>
          <w:rFonts w:ascii="Times New Roman" w:hAnsi="Times New Roman"/>
        </w:rPr>
        <w:t xml:space="preserve">reinforced </w:t>
      </w:r>
      <w:r w:rsidRPr="00444714">
        <w:rPr>
          <w:rFonts w:ascii="Times New Roman" w:hAnsi="Times New Roman"/>
        </w:rPr>
        <w:t xml:space="preserve">in </w:t>
      </w:r>
      <w:r w:rsidR="006700AE" w:rsidRPr="00444714">
        <w:rPr>
          <w:rFonts w:ascii="Times New Roman" w:hAnsi="Times New Roman"/>
        </w:rPr>
        <w:t>s 95</w:t>
      </w:r>
      <w:proofErr w:type="gramStart"/>
      <w:r w:rsidR="006700AE" w:rsidRPr="00444714">
        <w:rPr>
          <w:rFonts w:ascii="Times New Roman" w:hAnsi="Times New Roman"/>
        </w:rPr>
        <w:t>A</w:t>
      </w:r>
      <w:r w:rsidR="00651B75" w:rsidRPr="00444714">
        <w:rPr>
          <w:rFonts w:ascii="Times New Roman" w:hAnsi="Times New Roman"/>
        </w:rPr>
        <w:t>(</w:t>
      </w:r>
      <w:proofErr w:type="gramEnd"/>
      <w:r w:rsidR="00651B75" w:rsidRPr="00444714">
        <w:rPr>
          <w:rFonts w:ascii="Times New Roman" w:hAnsi="Times New Roman"/>
        </w:rPr>
        <w:t>1)</w:t>
      </w:r>
      <w:r w:rsidR="00EA77AD" w:rsidRPr="00444714">
        <w:rPr>
          <w:rFonts w:ascii="Times New Roman" w:hAnsi="Times New Roman"/>
        </w:rPr>
        <w:t xml:space="preserve"> </w:t>
      </w:r>
      <w:r w:rsidR="00AF658D" w:rsidRPr="00444714">
        <w:rPr>
          <w:rFonts w:ascii="Times New Roman" w:hAnsi="Times New Roman"/>
        </w:rPr>
        <w:t xml:space="preserve">– </w:t>
      </w:r>
      <w:r w:rsidR="004F1BC4" w:rsidRPr="00444714">
        <w:rPr>
          <w:rFonts w:ascii="Times New Roman" w:hAnsi="Times New Roman"/>
        </w:rPr>
        <w:t xml:space="preserve">enacted in response to the decision of this Court in </w:t>
      </w:r>
      <w:r w:rsidR="004F1BC4" w:rsidRPr="00444714">
        <w:rPr>
          <w:rFonts w:ascii="Times New Roman" w:hAnsi="Times New Roman"/>
          <w:i/>
        </w:rPr>
        <w:t>Union</w:t>
      </w:r>
      <w:r w:rsidR="000129A3" w:rsidRPr="00444714">
        <w:rPr>
          <w:rFonts w:ascii="Times New Roman" w:hAnsi="Times New Roman"/>
          <w:i/>
        </w:rPr>
        <w:noBreakHyphen/>
      </w:r>
      <w:r w:rsidR="004F1BC4" w:rsidRPr="00444714">
        <w:rPr>
          <w:rFonts w:ascii="Times New Roman" w:hAnsi="Times New Roman"/>
          <w:i/>
        </w:rPr>
        <w:t>Fidelity Trustee Co of Australia</w:t>
      </w:r>
      <w:r w:rsidR="0062712B" w:rsidRPr="00444714">
        <w:rPr>
          <w:rFonts w:ascii="Times New Roman" w:hAnsi="Times New Roman"/>
          <w:i/>
        </w:rPr>
        <w:t xml:space="preserve"> Ltd</w:t>
      </w:r>
      <w:r w:rsidR="004F1BC4" w:rsidRPr="00444714">
        <w:rPr>
          <w:rFonts w:ascii="Times New Roman" w:hAnsi="Times New Roman"/>
          <w:i/>
        </w:rPr>
        <w:t xml:space="preserve"> v Federal Commissioner of Taxation</w:t>
      </w:r>
      <w:r w:rsidR="006700AE" w:rsidRPr="00444714">
        <w:rPr>
          <w:rStyle w:val="FootnoteReference"/>
          <w:rFonts w:ascii="Times New Roman" w:hAnsi="Times New Roman"/>
          <w:sz w:val="24"/>
        </w:rPr>
        <w:footnoteReference w:id="15"/>
      </w:r>
      <w:r w:rsidR="009E2089" w:rsidRPr="00444714">
        <w:rPr>
          <w:rFonts w:ascii="Times New Roman" w:hAnsi="Times New Roman"/>
        </w:rPr>
        <w:t xml:space="preserve"> </w:t>
      </w:r>
      <w:r w:rsidR="00AF658D" w:rsidRPr="00444714">
        <w:rPr>
          <w:rFonts w:ascii="Times New Roman" w:hAnsi="Times New Roman"/>
        </w:rPr>
        <w:t xml:space="preserve">– </w:t>
      </w:r>
      <w:r w:rsidR="008C71D2" w:rsidRPr="00444714">
        <w:rPr>
          <w:rFonts w:ascii="Times New Roman" w:hAnsi="Times New Roman"/>
        </w:rPr>
        <w:t xml:space="preserve">which </w:t>
      </w:r>
      <w:r w:rsidR="000371BC" w:rsidRPr="00444714">
        <w:rPr>
          <w:rFonts w:ascii="Times New Roman" w:hAnsi="Times New Roman"/>
        </w:rPr>
        <w:t>makes clear</w:t>
      </w:r>
      <w:r w:rsidR="008C71D2" w:rsidRPr="00444714">
        <w:rPr>
          <w:rFonts w:ascii="Times New Roman" w:hAnsi="Times New Roman"/>
        </w:rPr>
        <w:t xml:space="preserve"> </w:t>
      </w:r>
      <w:r w:rsidR="009E2089" w:rsidRPr="00444714">
        <w:rPr>
          <w:rFonts w:ascii="Times New Roman" w:hAnsi="Times New Roman"/>
        </w:rPr>
        <w:t>that a present entitlement</w:t>
      </w:r>
      <w:r w:rsidR="002C1451" w:rsidRPr="00444714">
        <w:rPr>
          <w:rFonts w:ascii="Times New Roman" w:hAnsi="Times New Roman"/>
        </w:rPr>
        <w:t xml:space="preserve"> of a beneficiary under s 97</w:t>
      </w:r>
      <w:r w:rsidR="00825448" w:rsidRPr="00444714">
        <w:rPr>
          <w:rFonts w:ascii="Times New Roman" w:hAnsi="Times New Roman"/>
        </w:rPr>
        <w:t>(1)</w:t>
      </w:r>
      <w:r w:rsidRPr="00444714">
        <w:rPr>
          <w:rFonts w:ascii="Times New Roman" w:hAnsi="Times New Roman"/>
        </w:rPr>
        <w:t xml:space="preserve"> </w:t>
      </w:r>
      <w:r w:rsidR="0022149D" w:rsidRPr="00444714">
        <w:rPr>
          <w:rFonts w:ascii="Times New Roman" w:hAnsi="Times New Roman"/>
        </w:rPr>
        <w:t>does not depend upon</w:t>
      </w:r>
      <w:r w:rsidR="002C1451" w:rsidRPr="00444714">
        <w:rPr>
          <w:rFonts w:ascii="Times New Roman" w:hAnsi="Times New Roman"/>
        </w:rPr>
        <w:t xml:space="preserve"> receipt </w:t>
      </w:r>
      <w:r w:rsidR="00B74EA1" w:rsidRPr="00444714">
        <w:rPr>
          <w:rFonts w:ascii="Times New Roman" w:hAnsi="Times New Roman"/>
        </w:rPr>
        <w:t>of</w:t>
      </w:r>
      <w:r w:rsidR="00E851B5" w:rsidRPr="00444714">
        <w:rPr>
          <w:rFonts w:ascii="Times New Roman" w:hAnsi="Times New Roman"/>
        </w:rPr>
        <w:t xml:space="preserve"> </w:t>
      </w:r>
      <w:r w:rsidR="00AB22BC" w:rsidRPr="00444714">
        <w:rPr>
          <w:rFonts w:ascii="Times New Roman" w:hAnsi="Times New Roman"/>
        </w:rPr>
        <w:t>the income</w:t>
      </w:r>
      <w:r w:rsidR="002B1AE4" w:rsidRPr="00444714">
        <w:rPr>
          <w:rFonts w:ascii="Times New Roman" w:hAnsi="Times New Roman"/>
        </w:rPr>
        <w:t>.</w:t>
      </w:r>
      <w:r w:rsidR="00AA652F" w:rsidRPr="00444714">
        <w:rPr>
          <w:rFonts w:ascii="Times New Roman" w:hAnsi="Times New Roman"/>
        </w:rPr>
        <w:t xml:space="preserve"> </w:t>
      </w:r>
      <w:r w:rsidR="002B1AE4" w:rsidRPr="00444714">
        <w:rPr>
          <w:rFonts w:ascii="Times New Roman" w:hAnsi="Times New Roman"/>
        </w:rPr>
        <w:t>Section</w:t>
      </w:r>
      <w:r w:rsidR="008445CF" w:rsidRPr="00444714">
        <w:rPr>
          <w:rFonts w:ascii="Times New Roman" w:hAnsi="Times New Roman"/>
        </w:rPr>
        <w:t> </w:t>
      </w:r>
      <w:r w:rsidR="000E2A63" w:rsidRPr="00444714">
        <w:rPr>
          <w:rFonts w:ascii="Times New Roman" w:hAnsi="Times New Roman"/>
        </w:rPr>
        <w:t>95</w:t>
      </w:r>
      <w:proofErr w:type="gramStart"/>
      <w:r w:rsidR="000E2A63" w:rsidRPr="00444714">
        <w:rPr>
          <w:rFonts w:ascii="Times New Roman" w:hAnsi="Times New Roman"/>
        </w:rPr>
        <w:t>A</w:t>
      </w:r>
      <w:r w:rsidR="00651B75" w:rsidRPr="00444714">
        <w:rPr>
          <w:rFonts w:ascii="Times New Roman" w:hAnsi="Times New Roman"/>
        </w:rPr>
        <w:t>(</w:t>
      </w:r>
      <w:proofErr w:type="gramEnd"/>
      <w:r w:rsidR="00651B75" w:rsidRPr="00444714">
        <w:rPr>
          <w:rFonts w:ascii="Times New Roman" w:hAnsi="Times New Roman"/>
        </w:rPr>
        <w:t>1)</w:t>
      </w:r>
      <w:r w:rsidR="000E2A63" w:rsidRPr="00444714">
        <w:rPr>
          <w:rFonts w:ascii="Times New Roman" w:hAnsi="Times New Roman"/>
        </w:rPr>
        <w:t xml:space="preserve"> was enacted to ensure </w:t>
      </w:r>
      <w:r w:rsidR="00A579AC" w:rsidRPr="00444714">
        <w:rPr>
          <w:rFonts w:ascii="Times New Roman" w:hAnsi="Times New Roman"/>
        </w:rPr>
        <w:t>that</w:t>
      </w:r>
      <w:r w:rsidR="000E2A63" w:rsidRPr="00444714">
        <w:rPr>
          <w:rFonts w:ascii="Times New Roman" w:hAnsi="Times New Roman"/>
        </w:rPr>
        <w:t xml:space="preserve"> a present entitlement </w:t>
      </w:r>
      <w:r w:rsidR="00E15F5E" w:rsidRPr="00444714">
        <w:rPr>
          <w:rFonts w:ascii="Times New Roman" w:hAnsi="Times New Roman"/>
        </w:rPr>
        <w:t xml:space="preserve">retains its character as such even if the income has been </w:t>
      </w:r>
      <w:r w:rsidR="00D01CA3" w:rsidRPr="00444714">
        <w:rPr>
          <w:rFonts w:ascii="Times New Roman" w:hAnsi="Times New Roman"/>
        </w:rPr>
        <w:t>"</w:t>
      </w:r>
      <w:r w:rsidR="00E15F5E" w:rsidRPr="00444714">
        <w:rPr>
          <w:rFonts w:ascii="Times New Roman" w:hAnsi="Times New Roman"/>
        </w:rPr>
        <w:t>paid to, or</w:t>
      </w:r>
      <w:r w:rsidR="005A1EE9" w:rsidRPr="00444714">
        <w:rPr>
          <w:rFonts w:ascii="Times New Roman" w:hAnsi="Times New Roman"/>
        </w:rPr>
        <w:t xml:space="preserve"> </w:t>
      </w:r>
      <w:r w:rsidR="005418AC" w:rsidRPr="00444714">
        <w:rPr>
          <w:rFonts w:ascii="Times New Roman" w:hAnsi="Times New Roman"/>
        </w:rPr>
        <w:t>applied for the benefit of, the beneficiary"</w:t>
      </w:r>
      <w:r w:rsidR="006700AE" w:rsidRPr="00444714">
        <w:rPr>
          <w:rFonts w:ascii="Times New Roman" w:hAnsi="Times New Roman"/>
        </w:rPr>
        <w:t>.</w:t>
      </w:r>
      <w:r w:rsidR="00AA652F" w:rsidRPr="00444714">
        <w:rPr>
          <w:rFonts w:ascii="Times New Roman" w:hAnsi="Times New Roman"/>
        </w:rPr>
        <w:t xml:space="preserve"> </w:t>
      </w:r>
      <w:r w:rsidR="0018557B" w:rsidRPr="00444714">
        <w:rPr>
          <w:rFonts w:ascii="Times New Roman" w:hAnsi="Times New Roman"/>
        </w:rPr>
        <w:t>Indeed, there may be a</w:t>
      </w:r>
      <w:r w:rsidR="00FE7557" w:rsidRPr="00444714">
        <w:rPr>
          <w:rFonts w:ascii="Times New Roman" w:hAnsi="Times New Roman"/>
        </w:rPr>
        <w:t xml:space="preserve"> right to demand payment even though the trustee does not have </w:t>
      </w:r>
      <w:r w:rsidR="0012151A" w:rsidRPr="00444714">
        <w:rPr>
          <w:rFonts w:ascii="Times New Roman" w:hAnsi="Times New Roman"/>
        </w:rPr>
        <w:t>funds available to pay it</w:t>
      </w:r>
      <w:r w:rsidR="0012151A" w:rsidRPr="00444714">
        <w:rPr>
          <w:rStyle w:val="FootnoteReference"/>
          <w:rFonts w:ascii="Times New Roman" w:hAnsi="Times New Roman"/>
          <w:sz w:val="24"/>
        </w:rPr>
        <w:footnoteReference w:id="16"/>
      </w:r>
      <w:r w:rsidR="0012151A" w:rsidRPr="00444714">
        <w:rPr>
          <w:rFonts w:ascii="Times New Roman" w:hAnsi="Times New Roman"/>
        </w:rPr>
        <w:t>.</w:t>
      </w:r>
    </w:p>
    <w:p w14:paraId="7F1FA474" w14:textId="29B4F2DA" w:rsidR="00623103" w:rsidRPr="00444714" w:rsidRDefault="008D4ABC" w:rsidP="00444714">
      <w:pPr>
        <w:pStyle w:val="FixListStyle"/>
        <w:spacing w:after="260" w:line="280" w:lineRule="exact"/>
        <w:ind w:right="0"/>
        <w:jc w:val="both"/>
        <w:rPr>
          <w:rFonts w:ascii="Times New Roman" w:hAnsi="Times New Roman"/>
        </w:rPr>
      </w:pPr>
      <w:r w:rsidRPr="00444714">
        <w:rPr>
          <w:rFonts w:ascii="Times New Roman" w:hAnsi="Times New Roman"/>
        </w:rPr>
        <w:tab/>
        <w:t>T</w:t>
      </w:r>
      <w:r w:rsidR="008C456D" w:rsidRPr="00444714">
        <w:rPr>
          <w:rFonts w:ascii="Times New Roman" w:hAnsi="Times New Roman"/>
        </w:rPr>
        <w:t>he fact that</w:t>
      </w:r>
      <w:r w:rsidR="00532942" w:rsidRPr="00444714">
        <w:rPr>
          <w:rFonts w:ascii="Times New Roman" w:hAnsi="Times New Roman"/>
        </w:rPr>
        <w:t xml:space="preserve"> s</w:t>
      </w:r>
      <w:r w:rsidR="00F237C2" w:rsidRPr="00444714">
        <w:rPr>
          <w:rFonts w:ascii="Times New Roman" w:hAnsi="Times New Roman"/>
        </w:rPr>
        <w:t> </w:t>
      </w:r>
      <w:r w:rsidR="00532942" w:rsidRPr="00444714">
        <w:rPr>
          <w:rFonts w:ascii="Times New Roman" w:hAnsi="Times New Roman"/>
        </w:rPr>
        <w:t>97</w:t>
      </w:r>
      <w:r w:rsidR="00D33E64" w:rsidRPr="00444714">
        <w:rPr>
          <w:rFonts w:ascii="Times New Roman" w:hAnsi="Times New Roman"/>
        </w:rPr>
        <w:t>(1)</w:t>
      </w:r>
      <w:r w:rsidR="008C456D" w:rsidRPr="00444714">
        <w:rPr>
          <w:rFonts w:ascii="Times New Roman" w:hAnsi="Times New Roman"/>
        </w:rPr>
        <w:t xml:space="preserve"> </w:t>
      </w:r>
      <w:r w:rsidRPr="00444714">
        <w:rPr>
          <w:rFonts w:ascii="Times New Roman" w:hAnsi="Times New Roman"/>
        </w:rPr>
        <w:t>is</w:t>
      </w:r>
      <w:r w:rsidR="00532942" w:rsidRPr="00444714">
        <w:rPr>
          <w:rFonts w:ascii="Times New Roman" w:hAnsi="Times New Roman"/>
        </w:rPr>
        <w:t xml:space="preserve"> directed </w:t>
      </w:r>
      <w:r w:rsidR="00B851DE" w:rsidRPr="00444714">
        <w:rPr>
          <w:rFonts w:ascii="Times New Roman" w:hAnsi="Times New Roman"/>
        </w:rPr>
        <w:t xml:space="preserve">to </w:t>
      </w:r>
      <w:r w:rsidR="008323FF" w:rsidRPr="00444714">
        <w:rPr>
          <w:rFonts w:ascii="Times New Roman" w:hAnsi="Times New Roman"/>
        </w:rPr>
        <w:t>identifying</w:t>
      </w:r>
      <w:r w:rsidRPr="00444714">
        <w:rPr>
          <w:rFonts w:ascii="Times New Roman" w:hAnsi="Times New Roman"/>
        </w:rPr>
        <w:t xml:space="preserve"> the legal </w:t>
      </w:r>
      <w:r w:rsidR="008A19F8" w:rsidRPr="00444714">
        <w:rPr>
          <w:rFonts w:ascii="Times New Roman" w:hAnsi="Times New Roman"/>
        </w:rPr>
        <w:t xml:space="preserve">right </w:t>
      </w:r>
      <w:r w:rsidRPr="00444714">
        <w:rPr>
          <w:rFonts w:ascii="Times New Roman" w:hAnsi="Times New Roman"/>
        </w:rPr>
        <w:t xml:space="preserve">of the beneficiary </w:t>
      </w:r>
      <w:r w:rsidR="005D716E" w:rsidRPr="00444714">
        <w:rPr>
          <w:rFonts w:ascii="Times New Roman" w:hAnsi="Times New Roman"/>
        </w:rPr>
        <w:t>immediately prior to the end of the year</w:t>
      </w:r>
      <w:r w:rsidR="008C456D" w:rsidRPr="00444714">
        <w:rPr>
          <w:rFonts w:ascii="Times New Roman" w:hAnsi="Times New Roman"/>
        </w:rPr>
        <w:t xml:space="preserve"> of income </w:t>
      </w:r>
      <w:r w:rsidR="0051180A" w:rsidRPr="00444714">
        <w:rPr>
          <w:rFonts w:ascii="Times New Roman" w:hAnsi="Times New Roman"/>
        </w:rPr>
        <w:t>is important</w:t>
      </w:r>
      <w:r w:rsidR="003F3F03" w:rsidRPr="00444714">
        <w:rPr>
          <w:rFonts w:ascii="Times New Roman" w:hAnsi="Times New Roman"/>
        </w:rPr>
        <w:t>.</w:t>
      </w:r>
      <w:r w:rsidR="00AA652F" w:rsidRPr="00444714">
        <w:rPr>
          <w:rFonts w:ascii="Times New Roman" w:hAnsi="Times New Roman"/>
        </w:rPr>
        <w:t xml:space="preserve"> </w:t>
      </w:r>
      <w:r w:rsidR="00731E14" w:rsidRPr="00444714">
        <w:rPr>
          <w:rFonts w:ascii="Times New Roman" w:hAnsi="Times New Roman"/>
        </w:rPr>
        <w:t>In</w:t>
      </w:r>
      <w:r w:rsidR="00440050">
        <w:rPr>
          <w:rFonts w:ascii="Times New Roman" w:hAnsi="Times New Roman"/>
        </w:rPr>
        <w:t> </w:t>
      </w:r>
      <w:r w:rsidR="00731E14" w:rsidRPr="00444714">
        <w:rPr>
          <w:rFonts w:ascii="Times New Roman" w:hAnsi="Times New Roman"/>
        </w:rPr>
        <w:t>relation to each trust estate, o</w:t>
      </w:r>
      <w:r w:rsidR="003F3F03" w:rsidRPr="00444714">
        <w:rPr>
          <w:rFonts w:ascii="Times New Roman" w:hAnsi="Times New Roman"/>
        </w:rPr>
        <w:t xml:space="preserve">nce the beneficiaries with </w:t>
      </w:r>
      <w:r w:rsidR="00106747" w:rsidRPr="00444714">
        <w:rPr>
          <w:rFonts w:ascii="Times New Roman" w:hAnsi="Times New Roman"/>
        </w:rPr>
        <w:t>those</w:t>
      </w:r>
      <w:r w:rsidR="003F3F03" w:rsidRPr="00444714">
        <w:rPr>
          <w:rFonts w:ascii="Times New Roman" w:hAnsi="Times New Roman"/>
        </w:rPr>
        <w:t xml:space="preserve"> right</w:t>
      </w:r>
      <w:r w:rsidR="00731E14" w:rsidRPr="00444714">
        <w:rPr>
          <w:rFonts w:ascii="Times New Roman" w:hAnsi="Times New Roman"/>
        </w:rPr>
        <w:t>s</w:t>
      </w:r>
      <w:r w:rsidR="003F3F03" w:rsidRPr="00444714">
        <w:rPr>
          <w:rFonts w:ascii="Times New Roman" w:hAnsi="Times New Roman"/>
        </w:rPr>
        <w:t xml:space="preserve"> are identified, </w:t>
      </w:r>
      <w:r w:rsidR="00106747" w:rsidRPr="00444714">
        <w:rPr>
          <w:rFonts w:ascii="Times New Roman" w:hAnsi="Times New Roman"/>
        </w:rPr>
        <w:t xml:space="preserve">it permits </w:t>
      </w:r>
      <w:r w:rsidR="00DC4DEC" w:rsidRPr="00444714">
        <w:rPr>
          <w:rFonts w:ascii="Times New Roman" w:hAnsi="Times New Roman"/>
        </w:rPr>
        <w:t>the balance of s 97</w:t>
      </w:r>
      <w:r w:rsidR="00D33E64" w:rsidRPr="00444714">
        <w:rPr>
          <w:rFonts w:ascii="Times New Roman" w:hAnsi="Times New Roman"/>
        </w:rPr>
        <w:t>(1)</w:t>
      </w:r>
      <w:r w:rsidR="00DC4DEC" w:rsidRPr="00444714">
        <w:rPr>
          <w:rFonts w:ascii="Times New Roman" w:hAnsi="Times New Roman"/>
        </w:rPr>
        <w:t xml:space="preserve"> </w:t>
      </w:r>
      <w:r w:rsidR="00106747" w:rsidRPr="00444714">
        <w:rPr>
          <w:rFonts w:ascii="Times New Roman" w:hAnsi="Times New Roman"/>
        </w:rPr>
        <w:t>to</w:t>
      </w:r>
      <w:r w:rsidR="00440050">
        <w:rPr>
          <w:rFonts w:ascii="Times New Roman" w:hAnsi="Times New Roman"/>
        </w:rPr>
        <w:t xml:space="preserve"> </w:t>
      </w:r>
      <w:r w:rsidR="00DC4DEC" w:rsidRPr="00444714">
        <w:rPr>
          <w:rFonts w:ascii="Times New Roman" w:hAnsi="Times New Roman"/>
        </w:rPr>
        <w:t>operate</w:t>
      </w:r>
      <w:r w:rsidR="00106747" w:rsidRPr="00444714">
        <w:rPr>
          <w:rFonts w:ascii="Times New Roman" w:hAnsi="Times New Roman"/>
        </w:rPr>
        <w:t xml:space="preserve"> and, consistent</w:t>
      </w:r>
      <w:r w:rsidR="00AF4124" w:rsidRPr="00444714">
        <w:rPr>
          <w:rFonts w:ascii="Times New Roman" w:hAnsi="Times New Roman"/>
        </w:rPr>
        <w:t>ly</w:t>
      </w:r>
      <w:r w:rsidR="00106747" w:rsidRPr="00444714">
        <w:rPr>
          <w:rFonts w:ascii="Times New Roman" w:hAnsi="Times New Roman"/>
        </w:rPr>
        <w:t xml:space="preserve"> with the stated purpose of </w:t>
      </w:r>
      <w:proofErr w:type="spellStart"/>
      <w:r w:rsidR="00106747" w:rsidRPr="00444714">
        <w:rPr>
          <w:rFonts w:ascii="Times New Roman" w:hAnsi="Times New Roman"/>
        </w:rPr>
        <w:t>Div</w:t>
      </w:r>
      <w:proofErr w:type="spellEnd"/>
      <w:r w:rsidR="00106747" w:rsidRPr="00444714">
        <w:rPr>
          <w:rFonts w:ascii="Times New Roman" w:hAnsi="Times New Roman"/>
        </w:rPr>
        <w:t> 6,</w:t>
      </w:r>
      <w:r w:rsidR="000B17C6" w:rsidRPr="00444714">
        <w:rPr>
          <w:rFonts w:ascii="Times New Roman" w:hAnsi="Times New Roman"/>
        </w:rPr>
        <w:t xml:space="preserve"> </w:t>
      </w:r>
      <w:r w:rsidR="003F2C9C" w:rsidRPr="00444714">
        <w:rPr>
          <w:rFonts w:ascii="Times New Roman" w:hAnsi="Times New Roman"/>
        </w:rPr>
        <w:t xml:space="preserve">provides </w:t>
      </w:r>
      <w:r w:rsidR="005B1C95" w:rsidRPr="00444714" w:rsidDel="00F05F99">
        <w:rPr>
          <w:rFonts w:ascii="Times New Roman" w:hAnsi="Times New Roman"/>
        </w:rPr>
        <w:t xml:space="preserve">for </w:t>
      </w:r>
      <w:r w:rsidR="000B17C6" w:rsidRPr="00444714">
        <w:rPr>
          <w:rFonts w:ascii="Times New Roman" w:hAnsi="Times New Roman"/>
        </w:rPr>
        <w:t xml:space="preserve">those beneficiaries </w:t>
      </w:r>
      <w:r w:rsidR="00731E14" w:rsidRPr="00444714">
        <w:rPr>
          <w:rFonts w:ascii="Times New Roman" w:hAnsi="Times New Roman"/>
        </w:rPr>
        <w:t xml:space="preserve">to be assessed </w:t>
      </w:r>
      <w:r w:rsidR="000B17C6" w:rsidRPr="00444714">
        <w:rPr>
          <w:rFonts w:ascii="Times New Roman" w:hAnsi="Times New Roman"/>
        </w:rPr>
        <w:t xml:space="preserve">on a share of the net income of the trust estate based on their </w:t>
      </w:r>
      <w:r w:rsidR="000B17C6" w:rsidRPr="00444714">
        <w:rPr>
          <w:rFonts w:ascii="Times New Roman" w:hAnsi="Times New Roman"/>
          <w:i/>
        </w:rPr>
        <w:t>present entitlement</w:t>
      </w:r>
      <w:r w:rsidR="000B17C6" w:rsidRPr="00444714">
        <w:rPr>
          <w:rFonts w:ascii="Times New Roman" w:hAnsi="Times New Roman"/>
        </w:rPr>
        <w:t xml:space="preserve"> </w:t>
      </w:r>
      <w:bookmarkStart w:id="1" w:name="_Hlk87877907"/>
      <w:r w:rsidR="000B17C6" w:rsidRPr="00444714">
        <w:rPr>
          <w:rFonts w:ascii="Times New Roman" w:hAnsi="Times New Roman"/>
        </w:rPr>
        <w:t>to a share of the income of the trust estate</w:t>
      </w:r>
      <w:bookmarkEnd w:id="1"/>
      <w:r w:rsidR="000B17C6" w:rsidRPr="00444714">
        <w:rPr>
          <w:rFonts w:ascii="Times New Roman" w:hAnsi="Times New Roman"/>
        </w:rPr>
        <w:t>.</w:t>
      </w:r>
      <w:r w:rsidR="00AA652F" w:rsidRPr="00444714">
        <w:rPr>
          <w:rFonts w:ascii="Times New Roman" w:hAnsi="Times New Roman"/>
        </w:rPr>
        <w:t xml:space="preserve"> </w:t>
      </w:r>
      <w:r w:rsidR="00623103" w:rsidRPr="00444714">
        <w:rPr>
          <w:rFonts w:ascii="Times New Roman" w:hAnsi="Times New Roman"/>
        </w:rPr>
        <w:t>As this Court recognised in</w:t>
      </w:r>
      <w:r w:rsidR="008C67B0" w:rsidRPr="00444714">
        <w:rPr>
          <w:rFonts w:ascii="Times New Roman" w:hAnsi="Times New Roman"/>
        </w:rPr>
        <w:t xml:space="preserve"> </w:t>
      </w:r>
      <w:r w:rsidR="00623103" w:rsidRPr="00444714">
        <w:rPr>
          <w:rFonts w:ascii="Times New Roman" w:hAnsi="Times New Roman"/>
          <w:i/>
        </w:rPr>
        <w:t>Bamford</w:t>
      </w:r>
      <w:r w:rsidR="00623103" w:rsidRPr="00444714">
        <w:rPr>
          <w:rFonts w:ascii="Times New Roman" w:hAnsi="Times New Roman"/>
        </w:rPr>
        <w:t xml:space="preserve">, </w:t>
      </w:r>
      <w:r w:rsidR="00395E31" w:rsidRPr="00444714">
        <w:rPr>
          <w:rFonts w:ascii="Times New Roman" w:hAnsi="Times New Roman"/>
        </w:rPr>
        <w:t>the</w:t>
      </w:r>
      <w:r w:rsidR="00492771">
        <w:rPr>
          <w:rFonts w:ascii="Times New Roman" w:hAnsi="Times New Roman"/>
        </w:rPr>
        <w:t> </w:t>
      </w:r>
      <w:r w:rsidR="00395E31" w:rsidRPr="00444714">
        <w:rPr>
          <w:rFonts w:ascii="Times New Roman" w:hAnsi="Times New Roman"/>
        </w:rPr>
        <w:t xml:space="preserve">beneficiaries </w:t>
      </w:r>
      <w:r w:rsidR="007357D5" w:rsidRPr="00444714">
        <w:rPr>
          <w:rFonts w:ascii="Times New Roman" w:hAnsi="Times New Roman"/>
        </w:rPr>
        <w:t>may be</w:t>
      </w:r>
      <w:r w:rsidR="00395E31" w:rsidRPr="00444714">
        <w:rPr>
          <w:rFonts w:ascii="Times New Roman" w:hAnsi="Times New Roman"/>
        </w:rPr>
        <w:t xml:space="preserve"> presently entitled immediately before the end of the income year </w:t>
      </w:r>
      <w:r w:rsidR="00623103" w:rsidRPr="00444714">
        <w:rPr>
          <w:rFonts w:ascii="Times New Roman" w:hAnsi="Times New Roman"/>
        </w:rPr>
        <w:t xml:space="preserve">"whether or not the precise entitlement can be ascertained before the </w:t>
      </w:r>
      <w:r w:rsidR="00623103" w:rsidRPr="00444714">
        <w:rPr>
          <w:rFonts w:ascii="Times New Roman" w:hAnsi="Times New Roman"/>
        </w:rPr>
        <w:lastRenderedPageBreak/>
        <w:t>end of the relevant year of income and whether or not the trustee has the funds available for immediate payment"</w:t>
      </w:r>
      <w:r w:rsidR="00623103" w:rsidRPr="00444714">
        <w:rPr>
          <w:rStyle w:val="FootnoteReference"/>
          <w:rFonts w:ascii="Times New Roman" w:hAnsi="Times New Roman"/>
          <w:sz w:val="24"/>
        </w:rPr>
        <w:footnoteReference w:id="17"/>
      </w:r>
      <w:r w:rsidR="00623103" w:rsidRPr="00444714">
        <w:rPr>
          <w:rFonts w:ascii="Times New Roman" w:hAnsi="Times New Roman"/>
        </w:rPr>
        <w:t>.</w:t>
      </w:r>
    </w:p>
    <w:p w14:paraId="6A24A8CA" w14:textId="5672BEE7" w:rsidR="000B4323" w:rsidRPr="00444714" w:rsidRDefault="00623103"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0164EA" w:rsidRPr="00444714">
        <w:rPr>
          <w:rFonts w:ascii="Times New Roman" w:hAnsi="Times New Roman"/>
        </w:rPr>
        <w:t>Put in different terms, t</w:t>
      </w:r>
      <w:r w:rsidR="006334E9" w:rsidRPr="00444714">
        <w:rPr>
          <w:rFonts w:ascii="Times New Roman" w:hAnsi="Times New Roman"/>
        </w:rPr>
        <w:t>he</w:t>
      </w:r>
      <w:r w:rsidR="00492771">
        <w:rPr>
          <w:rFonts w:ascii="Times New Roman" w:hAnsi="Times New Roman"/>
        </w:rPr>
        <w:t xml:space="preserve"> </w:t>
      </w:r>
      <w:r w:rsidR="00375049" w:rsidRPr="00444714">
        <w:rPr>
          <w:rFonts w:ascii="Times New Roman" w:hAnsi="Times New Roman"/>
        </w:rPr>
        <w:t xml:space="preserve">taxation liability </w:t>
      </w:r>
      <w:r w:rsidR="006334E9" w:rsidRPr="00444714">
        <w:rPr>
          <w:rFonts w:ascii="Times New Roman" w:hAnsi="Times New Roman"/>
        </w:rPr>
        <w:t>of the beneficiar</w:t>
      </w:r>
      <w:r w:rsidR="00F62CA6" w:rsidRPr="00444714">
        <w:rPr>
          <w:rFonts w:ascii="Times New Roman" w:hAnsi="Times New Roman"/>
        </w:rPr>
        <w:t>ies</w:t>
      </w:r>
      <w:r w:rsidR="006334E9" w:rsidRPr="00444714">
        <w:rPr>
          <w:rFonts w:ascii="Times New Roman" w:hAnsi="Times New Roman"/>
        </w:rPr>
        <w:t xml:space="preserve"> </w:t>
      </w:r>
      <w:r w:rsidR="00091F45" w:rsidRPr="00444714">
        <w:rPr>
          <w:rFonts w:ascii="Times New Roman" w:hAnsi="Times New Roman"/>
        </w:rPr>
        <w:t xml:space="preserve">is determined by ascertaining the proportion of the distributable income of the trust estate to which </w:t>
      </w:r>
      <w:r w:rsidR="00536903" w:rsidRPr="00444714">
        <w:rPr>
          <w:rFonts w:ascii="Times New Roman" w:hAnsi="Times New Roman"/>
        </w:rPr>
        <w:t xml:space="preserve">each beneficiary is presently entitled </w:t>
      </w:r>
      <w:r w:rsidR="006334E9" w:rsidRPr="00444714">
        <w:rPr>
          <w:rFonts w:ascii="Times New Roman" w:hAnsi="Times New Roman"/>
        </w:rPr>
        <w:t xml:space="preserve">at that point in time </w:t>
      </w:r>
      <w:r w:rsidR="00BA7C4E" w:rsidRPr="00444714">
        <w:rPr>
          <w:rFonts w:ascii="Times New Roman" w:hAnsi="Times New Roman"/>
        </w:rPr>
        <w:t>–</w:t>
      </w:r>
      <w:r w:rsidR="00183DE4" w:rsidRPr="00444714">
        <w:rPr>
          <w:rFonts w:ascii="Times New Roman" w:hAnsi="Times New Roman"/>
        </w:rPr>
        <w:t xml:space="preserve"> just</w:t>
      </w:r>
      <w:r w:rsidR="00492771">
        <w:rPr>
          <w:rFonts w:ascii="Times New Roman" w:hAnsi="Times New Roman"/>
        </w:rPr>
        <w:t> </w:t>
      </w:r>
      <w:r w:rsidR="00183DE4" w:rsidRPr="00444714">
        <w:rPr>
          <w:rFonts w:ascii="Times New Roman" w:hAnsi="Times New Roman"/>
        </w:rPr>
        <w:t xml:space="preserve">prior to </w:t>
      </w:r>
      <w:r w:rsidR="00983F1C" w:rsidRPr="00444714">
        <w:rPr>
          <w:rFonts w:ascii="Times New Roman" w:hAnsi="Times New Roman"/>
        </w:rPr>
        <w:t xml:space="preserve">midnight at the end of the year of income </w:t>
      </w:r>
      <w:r w:rsidR="00BA7C4E" w:rsidRPr="00444714">
        <w:rPr>
          <w:rFonts w:ascii="Times New Roman" w:hAnsi="Times New Roman"/>
        </w:rPr>
        <w:t>–</w:t>
      </w:r>
      <w:r w:rsidR="00983F1C" w:rsidRPr="00444714">
        <w:rPr>
          <w:rFonts w:ascii="Times New Roman" w:hAnsi="Times New Roman"/>
        </w:rPr>
        <w:t xml:space="preserve"> </w:t>
      </w:r>
      <w:r w:rsidR="00536903" w:rsidRPr="00444714">
        <w:rPr>
          <w:rFonts w:ascii="Times New Roman" w:hAnsi="Times New Roman"/>
        </w:rPr>
        <w:t xml:space="preserve">and then applying that proportion to the </w:t>
      </w:r>
      <w:r w:rsidR="000B4323" w:rsidRPr="00444714">
        <w:rPr>
          <w:rFonts w:ascii="Times New Roman" w:hAnsi="Times New Roman"/>
        </w:rPr>
        <w:t>"net</w:t>
      </w:r>
      <w:r w:rsidR="00492771">
        <w:rPr>
          <w:rFonts w:ascii="Times New Roman" w:hAnsi="Times New Roman"/>
        </w:rPr>
        <w:t xml:space="preserve"> </w:t>
      </w:r>
      <w:r w:rsidR="000B4323" w:rsidRPr="00444714">
        <w:rPr>
          <w:rFonts w:ascii="Times New Roman" w:hAnsi="Times New Roman"/>
        </w:rPr>
        <w:t>income of the trust estate".</w:t>
      </w:r>
      <w:r w:rsidR="00AA652F" w:rsidRPr="00444714">
        <w:rPr>
          <w:rFonts w:ascii="Times New Roman" w:hAnsi="Times New Roman"/>
        </w:rPr>
        <w:t xml:space="preserve"> </w:t>
      </w:r>
      <w:r w:rsidR="000B4323" w:rsidRPr="00444714">
        <w:rPr>
          <w:rFonts w:ascii="Times New Roman" w:hAnsi="Times New Roman"/>
        </w:rPr>
        <w:t>That has practical significance.</w:t>
      </w:r>
      <w:r w:rsidR="00AA652F" w:rsidRPr="00444714">
        <w:rPr>
          <w:rFonts w:ascii="Times New Roman" w:hAnsi="Times New Roman"/>
        </w:rPr>
        <w:t xml:space="preserve"> </w:t>
      </w:r>
      <w:r w:rsidR="00734757" w:rsidRPr="00444714">
        <w:rPr>
          <w:rFonts w:ascii="Times New Roman" w:hAnsi="Times New Roman"/>
        </w:rPr>
        <w:t>The</w:t>
      </w:r>
      <w:r w:rsidR="00492771">
        <w:rPr>
          <w:rFonts w:ascii="Times New Roman" w:hAnsi="Times New Roman"/>
        </w:rPr>
        <w:t xml:space="preserve"> </w:t>
      </w:r>
      <w:r w:rsidR="00734757" w:rsidRPr="00444714">
        <w:rPr>
          <w:rFonts w:ascii="Times New Roman" w:hAnsi="Times New Roman"/>
        </w:rPr>
        <w:t>step</w:t>
      </w:r>
      <w:r w:rsidR="00BD6B6A" w:rsidRPr="00444714">
        <w:rPr>
          <w:rFonts w:ascii="Times New Roman" w:hAnsi="Times New Roman"/>
        </w:rPr>
        <w:t>ped</w:t>
      </w:r>
      <w:r w:rsidR="00734757" w:rsidRPr="00444714">
        <w:rPr>
          <w:rFonts w:ascii="Times New Roman" w:hAnsi="Times New Roman"/>
        </w:rPr>
        <w:t xml:space="preserve"> process in s 97</w:t>
      </w:r>
      <w:r w:rsidR="00D33E64" w:rsidRPr="00444714">
        <w:rPr>
          <w:rFonts w:ascii="Times New Roman" w:hAnsi="Times New Roman"/>
        </w:rPr>
        <w:t>(1)</w:t>
      </w:r>
      <w:r w:rsidR="000B4323" w:rsidRPr="00444714">
        <w:rPr>
          <w:rFonts w:ascii="Times New Roman" w:hAnsi="Times New Roman"/>
        </w:rPr>
        <w:t xml:space="preserve"> </w:t>
      </w:r>
      <w:r w:rsidR="00B712F0" w:rsidRPr="00444714">
        <w:rPr>
          <w:rFonts w:ascii="Times New Roman" w:hAnsi="Times New Roman"/>
        </w:rPr>
        <w:t xml:space="preserve">identifies </w:t>
      </w:r>
      <w:r w:rsidR="00B03A71" w:rsidRPr="00444714">
        <w:rPr>
          <w:rFonts w:ascii="Times New Roman" w:hAnsi="Times New Roman"/>
        </w:rPr>
        <w:t xml:space="preserve">the beneficiaries </w:t>
      </w:r>
      <w:r w:rsidR="00B712F0" w:rsidRPr="00444714">
        <w:rPr>
          <w:rFonts w:ascii="Times New Roman" w:hAnsi="Times New Roman"/>
        </w:rPr>
        <w:t xml:space="preserve">who are </w:t>
      </w:r>
      <w:r w:rsidR="00B03A71" w:rsidRPr="00444714">
        <w:rPr>
          <w:rFonts w:ascii="Times New Roman" w:hAnsi="Times New Roman"/>
        </w:rPr>
        <w:t xml:space="preserve">to be assessed </w:t>
      </w:r>
      <w:r w:rsidR="00375049" w:rsidRPr="00444714">
        <w:rPr>
          <w:rFonts w:ascii="Times New Roman" w:hAnsi="Times New Roman"/>
        </w:rPr>
        <w:t>at the end of the income yea</w:t>
      </w:r>
      <w:r w:rsidR="00510B18" w:rsidRPr="00444714">
        <w:rPr>
          <w:rFonts w:ascii="Times New Roman" w:hAnsi="Times New Roman"/>
        </w:rPr>
        <w:t>r</w:t>
      </w:r>
      <w:r w:rsidR="00A25A7C" w:rsidRPr="00444714">
        <w:rPr>
          <w:rFonts w:ascii="Times New Roman" w:hAnsi="Times New Roman"/>
        </w:rPr>
        <w:t>,</w:t>
      </w:r>
      <w:r w:rsidRPr="00444714">
        <w:rPr>
          <w:rFonts w:ascii="Times New Roman" w:hAnsi="Times New Roman"/>
        </w:rPr>
        <w:t xml:space="preserve"> </w:t>
      </w:r>
      <w:r w:rsidR="00510B18" w:rsidRPr="00444714">
        <w:rPr>
          <w:rFonts w:ascii="Times New Roman" w:hAnsi="Times New Roman"/>
        </w:rPr>
        <w:t>permits</w:t>
      </w:r>
      <w:r w:rsidR="00D53815" w:rsidRPr="00444714">
        <w:rPr>
          <w:rFonts w:ascii="Times New Roman" w:hAnsi="Times New Roman"/>
        </w:rPr>
        <w:t xml:space="preserve"> the "net</w:t>
      </w:r>
      <w:r w:rsidR="00492771">
        <w:rPr>
          <w:rFonts w:ascii="Times New Roman" w:hAnsi="Times New Roman"/>
        </w:rPr>
        <w:t xml:space="preserve"> </w:t>
      </w:r>
      <w:r w:rsidR="00D53815" w:rsidRPr="00444714">
        <w:rPr>
          <w:rFonts w:ascii="Times New Roman" w:hAnsi="Times New Roman"/>
        </w:rPr>
        <w:t xml:space="preserve">income of the trust estate" </w:t>
      </w:r>
      <w:r w:rsidR="00510B18" w:rsidRPr="00444714">
        <w:rPr>
          <w:rFonts w:ascii="Times New Roman" w:hAnsi="Times New Roman"/>
        </w:rPr>
        <w:t xml:space="preserve">to </w:t>
      </w:r>
      <w:r w:rsidR="00D53815" w:rsidRPr="00444714">
        <w:rPr>
          <w:rFonts w:ascii="Times New Roman" w:hAnsi="Times New Roman"/>
        </w:rPr>
        <w:t>be determined for that income year</w:t>
      </w:r>
      <w:r w:rsidR="0066082F" w:rsidRPr="00444714">
        <w:rPr>
          <w:rFonts w:ascii="Times New Roman" w:hAnsi="Times New Roman"/>
        </w:rPr>
        <w:t xml:space="preserve"> </w:t>
      </w:r>
      <w:r w:rsidR="00D431AD" w:rsidRPr="00444714">
        <w:rPr>
          <w:rFonts w:ascii="Times New Roman" w:hAnsi="Times New Roman"/>
        </w:rPr>
        <w:t xml:space="preserve">in the usual way </w:t>
      </w:r>
      <w:r w:rsidR="0066082F" w:rsidRPr="00444714">
        <w:rPr>
          <w:rFonts w:ascii="Times New Roman" w:hAnsi="Times New Roman"/>
        </w:rPr>
        <w:t>and then</w:t>
      </w:r>
      <w:r w:rsidR="00D53815" w:rsidRPr="00444714">
        <w:rPr>
          <w:rFonts w:ascii="Times New Roman" w:hAnsi="Times New Roman"/>
        </w:rPr>
        <w:t xml:space="preserve"> </w:t>
      </w:r>
      <w:r w:rsidR="008C456D" w:rsidRPr="00444714">
        <w:rPr>
          <w:rFonts w:ascii="Times New Roman" w:hAnsi="Times New Roman"/>
        </w:rPr>
        <w:t xml:space="preserve">enables </w:t>
      </w:r>
      <w:r w:rsidR="00D53815" w:rsidRPr="00444714">
        <w:rPr>
          <w:rFonts w:ascii="Times New Roman" w:hAnsi="Times New Roman"/>
        </w:rPr>
        <w:t xml:space="preserve">the </w:t>
      </w:r>
      <w:r w:rsidR="003E6CB0" w:rsidRPr="00444714">
        <w:rPr>
          <w:rFonts w:ascii="Times New Roman" w:hAnsi="Times New Roman"/>
        </w:rPr>
        <w:t>quantum of tax payable by the beneficiary</w:t>
      </w:r>
      <w:r w:rsidR="00D431AD" w:rsidRPr="00444714">
        <w:rPr>
          <w:rFonts w:ascii="Times New Roman" w:hAnsi="Times New Roman"/>
        </w:rPr>
        <w:t xml:space="preserve"> </w:t>
      </w:r>
      <w:r w:rsidR="00510B18" w:rsidRPr="00444714">
        <w:rPr>
          <w:rFonts w:ascii="Times New Roman" w:hAnsi="Times New Roman"/>
        </w:rPr>
        <w:t xml:space="preserve">to be </w:t>
      </w:r>
      <w:r w:rsidR="00D431AD" w:rsidRPr="00444714">
        <w:rPr>
          <w:rFonts w:ascii="Times New Roman" w:hAnsi="Times New Roman"/>
        </w:rPr>
        <w:t xml:space="preserve">calculated and </w:t>
      </w:r>
      <w:r w:rsidR="00BC5F06" w:rsidRPr="00444714">
        <w:rPr>
          <w:rFonts w:ascii="Times New Roman" w:hAnsi="Times New Roman"/>
        </w:rPr>
        <w:t xml:space="preserve">subsequently </w:t>
      </w:r>
      <w:r w:rsidR="00D431AD" w:rsidRPr="00444714">
        <w:rPr>
          <w:rFonts w:ascii="Times New Roman" w:hAnsi="Times New Roman"/>
        </w:rPr>
        <w:t>assessed</w:t>
      </w:r>
      <w:r w:rsidR="00D431AD" w:rsidRPr="00444714">
        <w:rPr>
          <w:rStyle w:val="FootnoteReference"/>
          <w:rFonts w:ascii="Times New Roman" w:hAnsi="Times New Roman"/>
          <w:sz w:val="24"/>
        </w:rPr>
        <w:footnoteReference w:id="18"/>
      </w:r>
      <w:r w:rsidR="00A52540" w:rsidRPr="00444714">
        <w:rPr>
          <w:rFonts w:ascii="Times New Roman" w:hAnsi="Times New Roman"/>
        </w:rPr>
        <w:t>.</w:t>
      </w:r>
    </w:p>
    <w:p w14:paraId="117F5887" w14:textId="6FEB9602" w:rsidR="00D92C27" w:rsidRPr="00444714" w:rsidRDefault="000B4323"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8771A4" w:rsidRPr="00444714">
        <w:rPr>
          <w:rFonts w:ascii="Times New Roman" w:hAnsi="Times New Roman"/>
        </w:rPr>
        <w:t xml:space="preserve">The other </w:t>
      </w:r>
      <w:r w:rsidR="003506C0" w:rsidRPr="00444714">
        <w:rPr>
          <w:rFonts w:ascii="Times New Roman" w:hAnsi="Times New Roman"/>
        </w:rPr>
        <w:t xml:space="preserve">relevant </w:t>
      </w:r>
      <w:r w:rsidR="008771A4" w:rsidRPr="00444714">
        <w:rPr>
          <w:rFonts w:ascii="Times New Roman" w:hAnsi="Times New Roman"/>
        </w:rPr>
        <w:t>criteria in s 97(1)</w:t>
      </w:r>
      <w:r w:rsidR="00437FCE" w:rsidRPr="00444714">
        <w:rPr>
          <w:rFonts w:ascii="Times New Roman" w:hAnsi="Times New Roman"/>
        </w:rPr>
        <w:t xml:space="preserve"> </w:t>
      </w:r>
      <w:r w:rsidR="00670B19" w:rsidRPr="00444714">
        <w:rPr>
          <w:rFonts w:ascii="Times New Roman" w:hAnsi="Times New Roman"/>
        </w:rPr>
        <w:t>–</w:t>
      </w:r>
      <w:r w:rsidR="00437FCE" w:rsidRPr="00444714">
        <w:rPr>
          <w:rFonts w:ascii="Times New Roman" w:hAnsi="Times New Roman"/>
        </w:rPr>
        <w:t xml:space="preserve"> </w:t>
      </w:r>
      <w:r w:rsidR="00D62176" w:rsidRPr="00444714">
        <w:rPr>
          <w:rFonts w:ascii="Times New Roman" w:hAnsi="Times New Roman"/>
        </w:rPr>
        <w:t xml:space="preserve">that a beneficiary is not under any legal disability and is a resident </w:t>
      </w:r>
      <w:r w:rsidR="00670B19" w:rsidRPr="00444714">
        <w:rPr>
          <w:rFonts w:ascii="Times New Roman" w:hAnsi="Times New Roman"/>
        </w:rPr>
        <w:t>–</w:t>
      </w:r>
      <w:r w:rsidR="008771A4" w:rsidRPr="00444714">
        <w:rPr>
          <w:rFonts w:ascii="Times New Roman" w:hAnsi="Times New Roman"/>
        </w:rPr>
        <w:t xml:space="preserve"> reinforce the conclusion that a beneficiary's present entitlement is</w:t>
      </w:r>
      <w:r w:rsidR="003E1B01" w:rsidRPr="00444714">
        <w:rPr>
          <w:rFonts w:ascii="Times New Roman" w:hAnsi="Times New Roman"/>
        </w:rPr>
        <w:t xml:space="preserve"> </w:t>
      </w:r>
      <w:r w:rsidR="00437FCE" w:rsidRPr="00444714">
        <w:rPr>
          <w:rFonts w:ascii="Times New Roman" w:hAnsi="Times New Roman"/>
        </w:rPr>
        <w:t xml:space="preserve">determined </w:t>
      </w:r>
      <w:r w:rsidR="003E1B01" w:rsidRPr="00444714">
        <w:rPr>
          <w:rFonts w:ascii="Times New Roman" w:hAnsi="Times New Roman"/>
        </w:rPr>
        <w:t>immediately before the end of the income year</w:t>
      </w:r>
      <w:r w:rsidR="00437FCE" w:rsidRPr="00444714">
        <w:rPr>
          <w:rFonts w:ascii="Times New Roman" w:hAnsi="Times New Roman"/>
        </w:rPr>
        <w:t>.</w:t>
      </w:r>
      <w:r w:rsidR="00AA652F" w:rsidRPr="00444714">
        <w:rPr>
          <w:rFonts w:ascii="Times New Roman" w:hAnsi="Times New Roman"/>
        </w:rPr>
        <w:t xml:space="preserve"> </w:t>
      </w:r>
      <w:r w:rsidR="00F14EED" w:rsidRPr="00444714">
        <w:rPr>
          <w:rFonts w:ascii="Times New Roman" w:hAnsi="Times New Roman"/>
        </w:rPr>
        <w:t>Those criteria</w:t>
      </w:r>
      <w:r w:rsidR="004A0B9C" w:rsidRPr="00444714">
        <w:rPr>
          <w:rFonts w:ascii="Times New Roman" w:hAnsi="Times New Roman"/>
        </w:rPr>
        <w:t>,</w:t>
      </w:r>
      <w:r w:rsidR="00F14EED" w:rsidRPr="00444714">
        <w:rPr>
          <w:rFonts w:ascii="Times New Roman" w:hAnsi="Times New Roman"/>
        </w:rPr>
        <w:t xml:space="preserve"> ascertained during and at the end of the income year</w:t>
      </w:r>
      <w:r w:rsidR="004A0B9C" w:rsidRPr="00444714">
        <w:rPr>
          <w:rFonts w:ascii="Times New Roman" w:hAnsi="Times New Roman"/>
        </w:rPr>
        <w:t>,</w:t>
      </w:r>
      <w:r w:rsidR="00F14EED" w:rsidRPr="00444714">
        <w:rPr>
          <w:rFonts w:ascii="Times New Roman" w:hAnsi="Times New Roman"/>
        </w:rPr>
        <w:t xml:space="preserve"> are </w:t>
      </w:r>
      <w:r w:rsidR="006E48C5" w:rsidRPr="00444714">
        <w:rPr>
          <w:rFonts w:ascii="Times New Roman" w:hAnsi="Times New Roman"/>
        </w:rPr>
        <w:t xml:space="preserve">conditions or </w:t>
      </w:r>
      <w:r w:rsidR="00234DC0" w:rsidRPr="00444714">
        <w:rPr>
          <w:rFonts w:ascii="Times New Roman" w:hAnsi="Times New Roman"/>
        </w:rPr>
        <w:t xml:space="preserve">circumstances </w:t>
      </w:r>
      <w:r w:rsidR="006E48C5" w:rsidRPr="00444714">
        <w:rPr>
          <w:rFonts w:ascii="Times New Roman" w:hAnsi="Times New Roman"/>
        </w:rPr>
        <w:t>which cannot be altered by facts and matters subsequent to th</w:t>
      </w:r>
      <w:r w:rsidR="004A0B9C" w:rsidRPr="00444714">
        <w:rPr>
          <w:rFonts w:ascii="Times New Roman" w:hAnsi="Times New Roman"/>
        </w:rPr>
        <w:t xml:space="preserve">e relevant </w:t>
      </w:r>
      <w:r w:rsidR="006E48C5" w:rsidRPr="00444714">
        <w:rPr>
          <w:rFonts w:ascii="Times New Roman" w:hAnsi="Times New Roman"/>
        </w:rPr>
        <w:t>income y</w:t>
      </w:r>
      <w:r w:rsidR="00A24FF4" w:rsidRPr="00444714">
        <w:rPr>
          <w:rFonts w:ascii="Times New Roman" w:hAnsi="Times New Roman"/>
        </w:rPr>
        <w:t>ear.</w:t>
      </w:r>
      <w:r w:rsidR="00AA652F" w:rsidRPr="00444714">
        <w:rPr>
          <w:rFonts w:ascii="Times New Roman" w:hAnsi="Times New Roman"/>
        </w:rPr>
        <w:t xml:space="preserve"> </w:t>
      </w:r>
      <w:r w:rsidR="00C818EF" w:rsidRPr="00444714">
        <w:rPr>
          <w:rFonts w:ascii="Times New Roman" w:hAnsi="Times New Roman"/>
        </w:rPr>
        <w:t>Moreover, ss </w:t>
      </w:r>
      <w:r w:rsidR="000A7F82" w:rsidRPr="00444714">
        <w:rPr>
          <w:rFonts w:ascii="Times New Roman" w:hAnsi="Times New Roman"/>
        </w:rPr>
        <w:t xml:space="preserve">98, 99 and 99A </w:t>
      </w:r>
      <w:r w:rsidR="001C672B" w:rsidRPr="00444714">
        <w:rPr>
          <w:rFonts w:ascii="Times New Roman" w:hAnsi="Times New Roman"/>
        </w:rPr>
        <w:t>also</w:t>
      </w:r>
      <w:r w:rsidR="000A7F82" w:rsidRPr="00444714">
        <w:rPr>
          <w:rFonts w:ascii="Times New Roman" w:hAnsi="Times New Roman"/>
        </w:rPr>
        <w:t xml:space="preserve"> operate </w:t>
      </w:r>
      <w:r w:rsidR="00936B0B" w:rsidRPr="00444714">
        <w:rPr>
          <w:rFonts w:ascii="Times New Roman" w:hAnsi="Times New Roman"/>
        </w:rPr>
        <w:t xml:space="preserve">by reference to </w:t>
      </w:r>
      <w:r w:rsidR="00C66D08" w:rsidRPr="00444714">
        <w:rPr>
          <w:rFonts w:ascii="Times New Roman" w:hAnsi="Times New Roman"/>
        </w:rPr>
        <w:t>facts, events and legal relations</w:t>
      </w:r>
      <w:r w:rsidR="0048397F" w:rsidRPr="00444714">
        <w:rPr>
          <w:rFonts w:ascii="Times New Roman" w:hAnsi="Times New Roman"/>
        </w:rPr>
        <w:t>hips</w:t>
      </w:r>
      <w:r w:rsidR="00C66D08" w:rsidRPr="00444714">
        <w:rPr>
          <w:rFonts w:ascii="Times New Roman" w:hAnsi="Times New Roman"/>
        </w:rPr>
        <w:t xml:space="preserve"> in existence at the end of the </w:t>
      </w:r>
      <w:r w:rsidR="008B1AFF" w:rsidRPr="00444714">
        <w:rPr>
          <w:rFonts w:ascii="Times New Roman" w:hAnsi="Times New Roman"/>
        </w:rPr>
        <w:t>income</w:t>
      </w:r>
      <w:r w:rsidR="00C66D08" w:rsidRPr="00444714">
        <w:rPr>
          <w:rFonts w:ascii="Times New Roman" w:hAnsi="Times New Roman"/>
        </w:rPr>
        <w:t xml:space="preserve"> year</w:t>
      </w:r>
      <w:r w:rsidR="0084738D" w:rsidRPr="00444714">
        <w:rPr>
          <w:rStyle w:val="FootnoteReference"/>
          <w:rFonts w:ascii="Times New Roman" w:hAnsi="Times New Roman"/>
          <w:sz w:val="24"/>
        </w:rPr>
        <w:footnoteReference w:id="19"/>
      </w:r>
      <w:r w:rsidR="00485FF9" w:rsidRPr="00444714">
        <w:rPr>
          <w:rFonts w:ascii="Times New Roman" w:hAnsi="Times New Roman"/>
        </w:rPr>
        <w:t>,</w:t>
      </w:r>
      <w:r w:rsidR="00936B0B" w:rsidRPr="00444714">
        <w:rPr>
          <w:rFonts w:ascii="Times New Roman" w:hAnsi="Times New Roman"/>
        </w:rPr>
        <w:t xml:space="preserve"> </w:t>
      </w:r>
      <w:r w:rsidR="001C672B" w:rsidRPr="00444714">
        <w:rPr>
          <w:rFonts w:ascii="Times New Roman" w:hAnsi="Times New Roman"/>
        </w:rPr>
        <w:t xml:space="preserve">which cannot be altered </w:t>
      </w:r>
      <w:r w:rsidR="00972E82" w:rsidRPr="00444714">
        <w:rPr>
          <w:rFonts w:ascii="Times New Roman" w:hAnsi="Times New Roman"/>
        </w:rPr>
        <w:t>after the end of the income year</w:t>
      </w:r>
      <w:r w:rsidR="000A7F82" w:rsidRPr="00444714">
        <w:rPr>
          <w:rFonts w:ascii="Times New Roman" w:hAnsi="Times New Roman"/>
        </w:rPr>
        <w:t>.</w:t>
      </w:r>
    </w:p>
    <w:p w14:paraId="13807709" w14:textId="61E34A2D" w:rsidR="00D90497" w:rsidRPr="00444714" w:rsidRDefault="00A24FF4" w:rsidP="00444714">
      <w:pPr>
        <w:pStyle w:val="FixListStyle"/>
        <w:spacing w:after="260" w:line="280" w:lineRule="exact"/>
        <w:ind w:right="0"/>
        <w:jc w:val="both"/>
        <w:rPr>
          <w:rFonts w:ascii="Times New Roman" w:hAnsi="Times New Roman"/>
        </w:rPr>
      </w:pPr>
      <w:r w:rsidRPr="00444714">
        <w:rPr>
          <w:rFonts w:ascii="Times New Roman" w:hAnsi="Times New Roman"/>
        </w:rPr>
        <w:tab/>
        <w:t>The respondents' contention that the phrase "is presently entitled" should be construed to mean "</w:t>
      </w:r>
      <w:r w:rsidR="00CF2184" w:rsidRPr="00444714">
        <w:rPr>
          <w:rFonts w:ascii="Times New Roman" w:hAnsi="Times New Roman"/>
          <w:i/>
        </w:rPr>
        <w:t>really</w:t>
      </w:r>
      <w:r w:rsidRPr="00444714">
        <w:rPr>
          <w:rFonts w:ascii="Times New Roman" w:hAnsi="Times New Roman"/>
          <w:i/>
        </w:rPr>
        <w:t xml:space="preserve"> </w:t>
      </w:r>
      <w:r w:rsidR="006E2194" w:rsidRPr="00444714">
        <w:rPr>
          <w:rFonts w:ascii="Times New Roman" w:hAnsi="Times New Roman"/>
          <w:iCs/>
        </w:rPr>
        <w:t>is</w:t>
      </w:r>
      <w:r w:rsidR="006D22C2" w:rsidRPr="00444714">
        <w:rPr>
          <w:rFonts w:ascii="Times New Roman" w:hAnsi="Times New Roman"/>
          <w:iCs/>
        </w:rPr>
        <w:t>"</w:t>
      </w:r>
      <w:r w:rsidR="006E2194" w:rsidRPr="00444714">
        <w:rPr>
          <w:rFonts w:ascii="Times New Roman" w:hAnsi="Times New Roman"/>
          <w:iCs/>
        </w:rPr>
        <w:t xml:space="preserve"> </w:t>
      </w:r>
      <w:r w:rsidRPr="00444714">
        <w:rPr>
          <w:rFonts w:ascii="Times New Roman" w:hAnsi="Times New Roman"/>
        </w:rPr>
        <w:t>presently entitled</w:t>
      </w:r>
      <w:r w:rsidR="00D84FE1" w:rsidRPr="00444714">
        <w:rPr>
          <w:rFonts w:ascii="Times New Roman" w:hAnsi="Times New Roman"/>
        </w:rPr>
        <w:t xml:space="preserve"> (emphasis added)</w:t>
      </w:r>
      <w:r w:rsidR="006162CE" w:rsidRPr="00444714">
        <w:rPr>
          <w:rFonts w:ascii="Times New Roman" w:hAnsi="Times New Roman"/>
        </w:rPr>
        <w:t xml:space="preserve"> for that income year</w:t>
      </w:r>
      <w:r w:rsidR="00BC0515" w:rsidRPr="00444714">
        <w:rPr>
          <w:rFonts w:ascii="Times New Roman" w:hAnsi="Times New Roman"/>
        </w:rPr>
        <w:t>,</w:t>
      </w:r>
      <w:r w:rsidR="00766F5E" w:rsidRPr="00444714">
        <w:rPr>
          <w:rFonts w:ascii="Times New Roman" w:hAnsi="Times New Roman"/>
        </w:rPr>
        <w:t xml:space="preserve"> </w:t>
      </w:r>
      <w:r w:rsidR="006162CE" w:rsidRPr="00444714">
        <w:rPr>
          <w:rFonts w:ascii="Times New Roman" w:hAnsi="Times New Roman"/>
        </w:rPr>
        <w:t>such</w:t>
      </w:r>
      <w:r w:rsidR="00E77E6D">
        <w:rPr>
          <w:rFonts w:ascii="Times New Roman" w:hAnsi="Times New Roman"/>
        </w:rPr>
        <w:t xml:space="preserve"> </w:t>
      </w:r>
      <w:r w:rsidR="006162CE" w:rsidRPr="00444714">
        <w:rPr>
          <w:rFonts w:ascii="Times New Roman" w:hAnsi="Times New Roman"/>
        </w:rPr>
        <w:t>that</w:t>
      </w:r>
      <w:r w:rsidR="00304C17" w:rsidRPr="00444714">
        <w:rPr>
          <w:rFonts w:ascii="Times New Roman" w:hAnsi="Times New Roman"/>
        </w:rPr>
        <w:t>,</w:t>
      </w:r>
      <w:r w:rsidR="006162CE" w:rsidRPr="00444714">
        <w:rPr>
          <w:rFonts w:ascii="Times New Roman" w:hAnsi="Times New Roman"/>
        </w:rPr>
        <w:t xml:space="preserve"> </w:t>
      </w:r>
      <w:r w:rsidR="006F713B" w:rsidRPr="00444714">
        <w:rPr>
          <w:rFonts w:ascii="Times New Roman" w:hAnsi="Times New Roman"/>
        </w:rPr>
        <w:t>for "a reasonable period"</w:t>
      </w:r>
      <w:r w:rsidR="00A957AD" w:rsidRPr="00444714">
        <w:rPr>
          <w:rFonts w:ascii="Times New Roman" w:hAnsi="Times New Roman"/>
        </w:rPr>
        <w:t xml:space="preserve"> </w:t>
      </w:r>
      <w:r w:rsidR="001B52AE" w:rsidRPr="00444714">
        <w:rPr>
          <w:rFonts w:ascii="Times New Roman" w:hAnsi="Times New Roman"/>
        </w:rPr>
        <w:t>after the end of the income year</w:t>
      </w:r>
      <w:r w:rsidR="002927D5" w:rsidRPr="00444714">
        <w:rPr>
          <w:rFonts w:ascii="Times New Roman" w:hAnsi="Times New Roman"/>
        </w:rPr>
        <w:t>,</w:t>
      </w:r>
      <w:r w:rsidR="006F713B" w:rsidRPr="00444714">
        <w:rPr>
          <w:rFonts w:ascii="Times New Roman" w:hAnsi="Times New Roman"/>
        </w:rPr>
        <w:t xml:space="preserve"> </w:t>
      </w:r>
      <w:r w:rsidR="003D4BAC" w:rsidRPr="00444714">
        <w:rPr>
          <w:rFonts w:ascii="Times New Roman" w:hAnsi="Times New Roman"/>
        </w:rPr>
        <w:t>later</w:t>
      </w:r>
      <w:r w:rsidR="00291CBE">
        <w:rPr>
          <w:rFonts w:ascii="Times New Roman" w:hAnsi="Times New Roman"/>
        </w:rPr>
        <w:t> </w:t>
      </w:r>
      <w:r w:rsidR="006162CE" w:rsidRPr="00444714">
        <w:rPr>
          <w:rFonts w:ascii="Times New Roman" w:hAnsi="Times New Roman"/>
        </w:rPr>
        <w:t xml:space="preserve">events </w:t>
      </w:r>
      <w:r w:rsidR="006F713B" w:rsidRPr="00444714">
        <w:rPr>
          <w:rFonts w:ascii="Times New Roman" w:hAnsi="Times New Roman"/>
        </w:rPr>
        <w:t xml:space="preserve">could </w:t>
      </w:r>
      <w:r w:rsidR="006162CE" w:rsidRPr="00444714">
        <w:rPr>
          <w:rFonts w:ascii="Times New Roman" w:hAnsi="Times New Roman"/>
        </w:rPr>
        <w:t xml:space="preserve">subsequently disentitle a beneficiary </w:t>
      </w:r>
      <w:r w:rsidR="00510AC1" w:rsidRPr="00444714">
        <w:rPr>
          <w:rFonts w:ascii="Times New Roman" w:hAnsi="Times New Roman"/>
        </w:rPr>
        <w:t xml:space="preserve">who was </w:t>
      </w:r>
      <w:r w:rsidR="001D1969" w:rsidRPr="00444714">
        <w:rPr>
          <w:rFonts w:ascii="Times New Roman" w:hAnsi="Times New Roman"/>
        </w:rPr>
        <w:t xml:space="preserve">presently entitled </w:t>
      </w:r>
      <w:r w:rsidR="0001292B" w:rsidRPr="00444714">
        <w:rPr>
          <w:rFonts w:ascii="Times New Roman" w:hAnsi="Times New Roman"/>
        </w:rPr>
        <w:t>immediately before the end of the income year</w:t>
      </w:r>
      <w:r w:rsidR="00A2069B" w:rsidRPr="00444714">
        <w:rPr>
          <w:rFonts w:ascii="Times New Roman" w:hAnsi="Times New Roman"/>
        </w:rPr>
        <w:t>,</w:t>
      </w:r>
      <w:r w:rsidR="0001292B" w:rsidRPr="00444714">
        <w:rPr>
          <w:rFonts w:ascii="Times New Roman" w:hAnsi="Times New Roman"/>
        </w:rPr>
        <w:t xml:space="preserve"> is rejected.</w:t>
      </w:r>
      <w:r w:rsidR="00AA652F" w:rsidRPr="00444714">
        <w:rPr>
          <w:rFonts w:ascii="Times New Roman" w:hAnsi="Times New Roman"/>
        </w:rPr>
        <w:t xml:space="preserve"> </w:t>
      </w:r>
      <w:r w:rsidR="0001292B" w:rsidRPr="00444714">
        <w:rPr>
          <w:rFonts w:ascii="Times New Roman" w:hAnsi="Times New Roman"/>
        </w:rPr>
        <w:t>The</w:t>
      </w:r>
      <w:r w:rsidR="00291CBE">
        <w:rPr>
          <w:rFonts w:ascii="Times New Roman" w:hAnsi="Times New Roman"/>
        </w:rPr>
        <w:t xml:space="preserve"> </w:t>
      </w:r>
      <w:r w:rsidR="0001292B" w:rsidRPr="00444714">
        <w:rPr>
          <w:rFonts w:ascii="Times New Roman" w:hAnsi="Times New Roman"/>
        </w:rPr>
        <w:t>respondents' construction is contrary to the text of s 97</w:t>
      </w:r>
      <w:r w:rsidR="00D33E64" w:rsidRPr="00444714">
        <w:rPr>
          <w:rFonts w:ascii="Times New Roman" w:hAnsi="Times New Roman"/>
        </w:rPr>
        <w:t>(1)</w:t>
      </w:r>
      <w:r w:rsidR="0001292B" w:rsidRPr="00444714">
        <w:rPr>
          <w:rFonts w:ascii="Times New Roman" w:hAnsi="Times New Roman"/>
        </w:rPr>
        <w:t xml:space="preserve"> and the object and purpose of </w:t>
      </w:r>
      <w:proofErr w:type="spellStart"/>
      <w:r w:rsidR="0001292B" w:rsidRPr="00444714">
        <w:rPr>
          <w:rFonts w:ascii="Times New Roman" w:hAnsi="Times New Roman"/>
        </w:rPr>
        <w:t>Div</w:t>
      </w:r>
      <w:proofErr w:type="spellEnd"/>
      <w:r w:rsidR="0001292B" w:rsidRPr="00444714">
        <w:rPr>
          <w:rFonts w:ascii="Times New Roman" w:hAnsi="Times New Roman"/>
        </w:rPr>
        <w:t> 6</w:t>
      </w:r>
      <w:r w:rsidR="00011CD6" w:rsidRPr="00444714">
        <w:rPr>
          <w:rFonts w:ascii="Times New Roman" w:hAnsi="Times New Roman"/>
        </w:rPr>
        <w:t xml:space="preserve"> identified above</w:t>
      </w:r>
      <w:r w:rsidR="005F3585" w:rsidRPr="00444714">
        <w:rPr>
          <w:rFonts w:ascii="Times New Roman" w:hAnsi="Times New Roman"/>
        </w:rPr>
        <w:t>.</w:t>
      </w:r>
      <w:r w:rsidR="00AA652F" w:rsidRPr="00444714">
        <w:rPr>
          <w:rFonts w:ascii="Times New Roman" w:hAnsi="Times New Roman"/>
        </w:rPr>
        <w:t xml:space="preserve"> </w:t>
      </w:r>
      <w:r w:rsidR="005F3585" w:rsidRPr="00444714">
        <w:rPr>
          <w:rFonts w:ascii="Times New Roman" w:hAnsi="Times New Roman"/>
        </w:rPr>
        <w:t>It</w:t>
      </w:r>
      <w:r w:rsidR="006D6B86" w:rsidRPr="00444714">
        <w:rPr>
          <w:rFonts w:ascii="Times New Roman" w:hAnsi="Times New Roman"/>
        </w:rPr>
        <w:t xml:space="preserve"> would</w:t>
      </w:r>
      <w:r w:rsidR="00245136" w:rsidRPr="00444714">
        <w:rPr>
          <w:rFonts w:ascii="Times New Roman" w:hAnsi="Times New Roman"/>
        </w:rPr>
        <w:t xml:space="preserve"> give rise to uncertainty</w:t>
      </w:r>
      <w:r w:rsidR="006D6B86" w:rsidRPr="00444714">
        <w:rPr>
          <w:rFonts w:ascii="Times New Roman" w:hAnsi="Times New Roman"/>
        </w:rPr>
        <w:t xml:space="preserve"> in the identification of the beneficiaries </w:t>
      </w:r>
      <w:r w:rsidR="0063614B" w:rsidRPr="00444714">
        <w:rPr>
          <w:rFonts w:ascii="Times New Roman" w:hAnsi="Times New Roman"/>
        </w:rPr>
        <w:t xml:space="preserve">presently entitled to a </w:t>
      </w:r>
      <w:r w:rsidR="003654D6" w:rsidRPr="00444714">
        <w:rPr>
          <w:rFonts w:ascii="Times New Roman" w:hAnsi="Times New Roman"/>
        </w:rPr>
        <w:t xml:space="preserve">share of the income of </w:t>
      </w:r>
      <w:r w:rsidR="00133736" w:rsidRPr="00444714">
        <w:rPr>
          <w:rFonts w:ascii="Times New Roman" w:hAnsi="Times New Roman"/>
        </w:rPr>
        <w:t>a</w:t>
      </w:r>
      <w:r w:rsidR="003654D6" w:rsidRPr="00444714">
        <w:rPr>
          <w:rFonts w:ascii="Times New Roman" w:hAnsi="Times New Roman"/>
        </w:rPr>
        <w:t xml:space="preserve"> trust estate </w:t>
      </w:r>
      <w:r w:rsidR="006D6B86" w:rsidRPr="00444714">
        <w:rPr>
          <w:rFonts w:ascii="Times New Roman" w:hAnsi="Times New Roman"/>
        </w:rPr>
        <w:t>and the subsequent assessment of those beneficiaries</w:t>
      </w:r>
      <w:r w:rsidR="008D44FF" w:rsidRPr="00444714">
        <w:rPr>
          <w:rFonts w:ascii="Times New Roman" w:hAnsi="Times New Roman"/>
        </w:rPr>
        <w:t>.</w:t>
      </w:r>
      <w:r w:rsidR="00AA652F" w:rsidRPr="00444714">
        <w:rPr>
          <w:rFonts w:ascii="Times New Roman" w:hAnsi="Times New Roman"/>
        </w:rPr>
        <w:t xml:space="preserve"> </w:t>
      </w:r>
      <w:r w:rsidR="00566BFF" w:rsidRPr="00444714">
        <w:rPr>
          <w:rFonts w:ascii="Times New Roman" w:hAnsi="Times New Roman"/>
        </w:rPr>
        <w:t>On</w:t>
      </w:r>
      <w:r w:rsidR="00291CBE">
        <w:rPr>
          <w:rFonts w:ascii="Times New Roman" w:hAnsi="Times New Roman"/>
        </w:rPr>
        <w:t xml:space="preserve"> </w:t>
      </w:r>
      <w:r w:rsidR="00566BFF" w:rsidRPr="00444714">
        <w:rPr>
          <w:rFonts w:ascii="Times New Roman" w:hAnsi="Times New Roman"/>
        </w:rPr>
        <w:t xml:space="preserve">the respondents' construction, </w:t>
      </w:r>
      <w:r w:rsidR="00566BFF" w:rsidRPr="00444714">
        <w:rPr>
          <w:rFonts w:ascii="Times New Roman" w:hAnsi="Times New Roman"/>
        </w:rPr>
        <w:lastRenderedPageBreak/>
        <w:t xml:space="preserve">whether a beneficiary was presently entitled to </w:t>
      </w:r>
      <w:r w:rsidR="00785C04" w:rsidRPr="00444714">
        <w:rPr>
          <w:rFonts w:ascii="Times New Roman" w:hAnsi="Times New Roman"/>
        </w:rPr>
        <w:t xml:space="preserve">a share of the income of </w:t>
      </w:r>
      <w:r w:rsidR="00814087" w:rsidRPr="00444714">
        <w:rPr>
          <w:rFonts w:ascii="Times New Roman" w:hAnsi="Times New Roman"/>
        </w:rPr>
        <w:t>a</w:t>
      </w:r>
      <w:r w:rsidR="00785C04" w:rsidRPr="00444714">
        <w:rPr>
          <w:rFonts w:ascii="Times New Roman" w:hAnsi="Times New Roman"/>
        </w:rPr>
        <w:t xml:space="preserve"> trust estate </w:t>
      </w:r>
      <w:r w:rsidR="00566BFF" w:rsidRPr="00444714">
        <w:rPr>
          <w:rFonts w:ascii="Times New Roman" w:hAnsi="Times New Roman"/>
        </w:rPr>
        <w:t xml:space="preserve">may not be resolved for </w:t>
      </w:r>
      <w:r w:rsidR="00364760" w:rsidRPr="00444714">
        <w:rPr>
          <w:rFonts w:ascii="Times New Roman" w:hAnsi="Times New Roman"/>
        </w:rPr>
        <w:t xml:space="preserve">a substantial </w:t>
      </w:r>
      <w:proofErr w:type="gramStart"/>
      <w:r w:rsidR="00364760" w:rsidRPr="00444714">
        <w:rPr>
          <w:rFonts w:ascii="Times New Roman" w:hAnsi="Times New Roman"/>
        </w:rPr>
        <w:t>period of time</w:t>
      </w:r>
      <w:proofErr w:type="gramEnd"/>
      <w:r w:rsidR="00364760" w:rsidRPr="00444714">
        <w:rPr>
          <w:rFonts w:ascii="Times New Roman" w:hAnsi="Times New Roman"/>
        </w:rPr>
        <w:t xml:space="preserve"> and, in</w:t>
      </w:r>
      <w:r w:rsidR="00291CBE">
        <w:rPr>
          <w:rFonts w:ascii="Times New Roman" w:hAnsi="Times New Roman"/>
        </w:rPr>
        <w:t xml:space="preserve"> </w:t>
      </w:r>
      <w:r w:rsidR="00364760" w:rsidRPr="00444714">
        <w:rPr>
          <w:rFonts w:ascii="Times New Roman" w:hAnsi="Times New Roman"/>
        </w:rPr>
        <w:t>some cases, such</w:t>
      </w:r>
      <w:r w:rsidR="00291CBE">
        <w:rPr>
          <w:rFonts w:ascii="Times New Roman" w:hAnsi="Times New Roman"/>
        </w:rPr>
        <w:t> </w:t>
      </w:r>
      <w:r w:rsidR="00364760" w:rsidRPr="00444714">
        <w:rPr>
          <w:rFonts w:ascii="Times New Roman" w:hAnsi="Times New Roman"/>
        </w:rPr>
        <w:t>as the present, for years</w:t>
      </w:r>
      <w:r w:rsidR="001B3B4B" w:rsidRPr="00444714">
        <w:rPr>
          <w:rStyle w:val="FootnoteReference"/>
          <w:rFonts w:ascii="Times New Roman" w:hAnsi="Times New Roman"/>
          <w:sz w:val="24"/>
        </w:rPr>
        <w:footnoteReference w:id="20"/>
      </w:r>
      <w:r w:rsidR="00364760" w:rsidRPr="00444714">
        <w:rPr>
          <w:rFonts w:ascii="Times New Roman" w:hAnsi="Times New Roman"/>
        </w:rPr>
        <w:t>.</w:t>
      </w:r>
      <w:r w:rsidR="00AA652F" w:rsidRPr="00444714">
        <w:rPr>
          <w:rFonts w:ascii="Times New Roman" w:hAnsi="Times New Roman"/>
        </w:rPr>
        <w:t xml:space="preserve"> </w:t>
      </w:r>
      <w:r w:rsidR="001D1A08" w:rsidRPr="00444714">
        <w:rPr>
          <w:rFonts w:ascii="Times New Roman" w:hAnsi="Times New Roman"/>
        </w:rPr>
        <w:t>The</w:t>
      </w:r>
      <w:r w:rsidR="00570842">
        <w:rPr>
          <w:rFonts w:ascii="Times New Roman" w:hAnsi="Times New Roman"/>
        </w:rPr>
        <w:t xml:space="preserve"> </w:t>
      </w:r>
      <w:r w:rsidR="001D1A08" w:rsidRPr="00444714">
        <w:rPr>
          <w:rFonts w:ascii="Times New Roman" w:hAnsi="Times New Roman"/>
        </w:rPr>
        <w:t>uncertainties that would arise, and</w:t>
      </w:r>
      <w:r w:rsidR="00570842">
        <w:rPr>
          <w:rFonts w:ascii="Times New Roman" w:hAnsi="Times New Roman"/>
        </w:rPr>
        <w:t xml:space="preserve"> </w:t>
      </w:r>
      <w:r w:rsidR="001D1A08" w:rsidRPr="00444714">
        <w:rPr>
          <w:rFonts w:ascii="Times New Roman" w:hAnsi="Times New Roman"/>
        </w:rPr>
        <w:t>which would apply with equal force to the Commissioner</w:t>
      </w:r>
      <w:r w:rsidR="00DA7BF2" w:rsidRPr="00444714">
        <w:rPr>
          <w:rFonts w:ascii="Times New Roman" w:hAnsi="Times New Roman"/>
        </w:rPr>
        <w:t>, trustees</w:t>
      </w:r>
      <w:r w:rsidR="00FF0127" w:rsidRPr="00444714">
        <w:rPr>
          <w:rFonts w:ascii="Times New Roman" w:hAnsi="Times New Roman"/>
        </w:rPr>
        <w:t>,</w:t>
      </w:r>
      <w:r w:rsidR="001D1A08" w:rsidRPr="00444714" w:rsidDel="00FF0127">
        <w:rPr>
          <w:rFonts w:ascii="Times New Roman" w:hAnsi="Times New Roman"/>
        </w:rPr>
        <w:t xml:space="preserve"> </w:t>
      </w:r>
      <w:r w:rsidR="001D1A08" w:rsidRPr="00444714">
        <w:rPr>
          <w:rFonts w:ascii="Times New Roman" w:hAnsi="Times New Roman"/>
        </w:rPr>
        <w:t>beneficiaries</w:t>
      </w:r>
      <w:r w:rsidR="008A1976" w:rsidRPr="00444714">
        <w:rPr>
          <w:rFonts w:ascii="Times New Roman" w:hAnsi="Times New Roman"/>
        </w:rPr>
        <w:t xml:space="preserve"> and perhaps even settlors</w:t>
      </w:r>
      <w:r w:rsidR="001D1A08" w:rsidRPr="00444714">
        <w:rPr>
          <w:rFonts w:ascii="Times New Roman" w:hAnsi="Times New Roman"/>
        </w:rPr>
        <w:t xml:space="preserve">, </w:t>
      </w:r>
      <w:r w:rsidR="007234F6" w:rsidRPr="00444714">
        <w:rPr>
          <w:rFonts w:ascii="Times New Roman" w:hAnsi="Times New Roman"/>
        </w:rPr>
        <w:t xml:space="preserve">would </w:t>
      </w:r>
      <w:r w:rsidR="006B42BB" w:rsidRPr="00444714">
        <w:rPr>
          <w:rFonts w:ascii="Times New Roman" w:hAnsi="Times New Roman"/>
        </w:rPr>
        <w:t xml:space="preserve">also not be </w:t>
      </w:r>
      <w:r w:rsidR="00861332" w:rsidRPr="00444714">
        <w:rPr>
          <w:rFonts w:ascii="Times New Roman" w:hAnsi="Times New Roman"/>
        </w:rPr>
        <w:t>fair, convenient or efficient</w:t>
      </w:r>
      <w:r w:rsidR="005C4394" w:rsidRPr="00444714">
        <w:rPr>
          <w:rStyle w:val="FootnoteReference"/>
          <w:rFonts w:ascii="Times New Roman" w:hAnsi="Times New Roman"/>
          <w:sz w:val="24"/>
        </w:rPr>
        <w:footnoteReference w:id="21"/>
      </w:r>
      <w:r w:rsidR="00861332" w:rsidRPr="00444714">
        <w:rPr>
          <w:rFonts w:ascii="Times New Roman" w:hAnsi="Times New Roman"/>
        </w:rPr>
        <w:t>.</w:t>
      </w:r>
    </w:p>
    <w:p w14:paraId="2AEA0446" w14:textId="2DF3E91F" w:rsidR="00931C84" w:rsidRPr="00444714" w:rsidRDefault="00D90497"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6649FB" w:rsidRPr="00444714">
        <w:rPr>
          <w:rFonts w:ascii="Times New Roman" w:hAnsi="Times New Roman"/>
        </w:rPr>
        <w:t xml:space="preserve">For those reasons, the question of </w:t>
      </w:r>
      <w:r w:rsidR="00296602" w:rsidRPr="00444714">
        <w:rPr>
          <w:rFonts w:ascii="Times New Roman" w:hAnsi="Times New Roman"/>
        </w:rPr>
        <w:t xml:space="preserve">the </w:t>
      </w:r>
      <w:r w:rsidR="006649FB" w:rsidRPr="00444714">
        <w:rPr>
          <w:rFonts w:ascii="Times New Roman" w:hAnsi="Times New Roman"/>
        </w:rPr>
        <w:t xml:space="preserve">"present entitlement" </w:t>
      </w:r>
      <w:r w:rsidR="00296602" w:rsidRPr="00444714">
        <w:rPr>
          <w:rFonts w:ascii="Times New Roman" w:hAnsi="Times New Roman"/>
        </w:rPr>
        <w:t>of</w:t>
      </w:r>
      <w:r w:rsidR="00570842">
        <w:rPr>
          <w:rFonts w:ascii="Times New Roman" w:hAnsi="Times New Roman"/>
        </w:rPr>
        <w:t xml:space="preserve"> </w:t>
      </w:r>
      <w:r w:rsidR="00296602" w:rsidRPr="00444714">
        <w:rPr>
          <w:rFonts w:ascii="Times New Roman" w:hAnsi="Times New Roman"/>
        </w:rPr>
        <w:t xml:space="preserve">a beneficiary to income of a trust </w:t>
      </w:r>
      <w:r w:rsidR="003B2315" w:rsidRPr="00444714">
        <w:rPr>
          <w:rFonts w:ascii="Times New Roman" w:hAnsi="Times New Roman"/>
        </w:rPr>
        <w:t xml:space="preserve">must be </w:t>
      </w:r>
      <w:r w:rsidR="006649FB" w:rsidRPr="00444714">
        <w:rPr>
          <w:rFonts w:ascii="Times New Roman" w:hAnsi="Times New Roman"/>
        </w:rPr>
        <w:t>tested and examined "at</w:t>
      </w:r>
      <w:r w:rsidR="00570842">
        <w:rPr>
          <w:rFonts w:ascii="Times New Roman" w:hAnsi="Times New Roman"/>
        </w:rPr>
        <w:t xml:space="preserve"> </w:t>
      </w:r>
      <w:r w:rsidR="006649FB" w:rsidRPr="00444714">
        <w:rPr>
          <w:rFonts w:ascii="Times New Roman" w:hAnsi="Times New Roman"/>
        </w:rPr>
        <w:t>the close of the taxation year"</w:t>
      </w:r>
      <w:r w:rsidR="006649FB" w:rsidRPr="00444714">
        <w:rPr>
          <w:rStyle w:val="FootnoteReference"/>
          <w:rFonts w:ascii="Times New Roman" w:hAnsi="Times New Roman"/>
          <w:sz w:val="24"/>
        </w:rPr>
        <w:footnoteReference w:id="22"/>
      </w:r>
      <w:r w:rsidR="001228B0" w:rsidRPr="00444714" w:rsidDel="00892EF2">
        <w:rPr>
          <w:rFonts w:ascii="Times New Roman" w:hAnsi="Times New Roman"/>
        </w:rPr>
        <w:t xml:space="preserve">, </w:t>
      </w:r>
      <w:r w:rsidR="001228B0" w:rsidRPr="00444714">
        <w:rPr>
          <w:rFonts w:ascii="Times New Roman" w:hAnsi="Times New Roman"/>
        </w:rPr>
        <w:t xml:space="preserve">not some reasonable </w:t>
      </w:r>
      <w:proofErr w:type="gramStart"/>
      <w:r w:rsidR="001228B0" w:rsidRPr="00444714">
        <w:rPr>
          <w:rFonts w:ascii="Times New Roman" w:hAnsi="Times New Roman"/>
        </w:rPr>
        <w:t>period of time</w:t>
      </w:r>
      <w:proofErr w:type="gramEnd"/>
      <w:r w:rsidR="001228B0" w:rsidRPr="00444714">
        <w:rPr>
          <w:rFonts w:ascii="Times New Roman" w:hAnsi="Times New Roman"/>
        </w:rPr>
        <w:t xml:space="preserve"> after the end of the tax</w:t>
      </w:r>
      <w:r w:rsidR="00915918" w:rsidRPr="00444714">
        <w:rPr>
          <w:rFonts w:ascii="Times New Roman" w:hAnsi="Times New Roman"/>
        </w:rPr>
        <w:t>ation</w:t>
      </w:r>
      <w:r w:rsidR="001228B0" w:rsidRPr="00444714">
        <w:rPr>
          <w:rFonts w:ascii="Times New Roman" w:hAnsi="Times New Roman"/>
        </w:rPr>
        <w:t xml:space="preserve"> year.</w:t>
      </w:r>
    </w:p>
    <w:p w14:paraId="0EFF1132" w14:textId="369CACE2" w:rsidR="006649FB" w:rsidRPr="00444714" w:rsidRDefault="00931C84" w:rsidP="00444714">
      <w:pPr>
        <w:pStyle w:val="FixListStyle"/>
        <w:spacing w:after="260" w:line="280" w:lineRule="exact"/>
        <w:ind w:right="0"/>
        <w:jc w:val="both"/>
        <w:rPr>
          <w:rFonts w:ascii="Times New Roman" w:hAnsi="Times New Roman"/>
        </w:rPr>
      </w:pPr>
      <w:r w:rsidRPr="00444714">
        <w:rPr>
          <w:rFonts w:ascii="Times New Roman" w:hAnsi="Times New Roman"/>
        </w:rPr>
        <w:tab/>
        <w:t>T</w:t>
      </w:r>
      <w:r w:rsidR="00296602" w:rsidRPr="00444714">
        <w:rPr>
          <w:rFonts w:ascii="Times New Roman" w:hAnsi="Times New Roman"/>
        </w:rPr>
        <w:t xml:space="preserve">his Court recognised in </w:t>
      </w:r>
      <w:r w:rsidR="00296602" w:rsidRPr="00444714">
        <w:rPr>
          <w:rFonts w:ascii="Times New Roman" w:hAnsi="Times New Roman"/>
          <w:i/>
        </w:rPr>
        <w:t>Bamford</w:t>
      </w:r>
      <w:r w:rsidR="00296602" w:rsidRPr="00444714">
        <w:rPr>
          <w:rStyle w:val="FootnoteReference"/>
          <w:rFonts w:ascii="Times New Roman" w:hAnsi="Times New Roman"/>
          <w:sz w:val="24"/>
        </w:rPr>
        <w:footnoteReference w:id="23"/>
      </w:r>
      <w:r w:rsidR="004C1FF3" w:rsidRPr="00444714">
        <w:rPr>
          <w:rFonts w:ascii="Times New Roman" w:hAnsi="Times New Roman"/>
        </w:rPr>
        <w:t xml:space="preserve"> that </w:t>
      </w:r>
      <w:r w:rsidR="006B5CDE" w:rsidRPr="00444714">
        <w:rPr>
          <w:rFonts w:ascii="Times New Roman" w:hAnsi="Times New Roman"/>
        </w:rPr>
        <w:t xml:space="preserve">in </w:t>
      </w:r>
      <w:r w:rsidR="00296602" w:rsidRPr="00444714">
        <w:rPr>
          <w:rFonts w:ascii="Times New Roman" w:hAnsi="Times New Roman"/>
        </w:rPr>
        <w:t xml:space="preserve">competing constructions of </w:t>
      </w:r>
      <w:proofErr w:type="spellStart"/>
      <w:r w:rsidR="00296602" w:rsidRPr="00444714">
        <w:rPr>
          <w:rFonts w:ascii="Times New Roman" w:hAnsi="Times New Roman"/>
        </w:rPr>
        <w:t>Div</w:t>
      </w:r>
      <w:proofErr w:type="spellEnd"/>
      <w:r w:rsidR="00296602" w:rsidRPr="00444714">
        <w:rPr>
          <w:rFonts w:ascii="Times New Roman" w:hAnsi="Times New Roman"/>
        </w:rPr>
        <w:t xml:space="preserve"> 6 </w:t>
      </w:r>
      <w:r w:rsidR="00C96DE2" w:rsidRPr="00444714">
        <w:rPr>
          <w:rFonts w:ascii="Times New Roman" w:hAnsi="Times New Roman"/>
        </w:rPr>
        <w:t xml:space="preserve">examples </w:t>
      </w:r>
      <w:r w:rsidR="00296602" w:rsidRPr="00444714">
        <w:rPr>
          <w:rFonts w:ascii="Times New Roman" w:hAnsi="Times New Roman"/>
        </w:rPr>
        <w:t>can readily be given of apparent unfairness in the resulting administration of the legislation.</w:t>
      </w:r>
      <w:r w:rsidR="00AA652F" w:rsidRPr="00444714">
        <w:rPr>
          <w:rFonts w:ascii="Times New Roman" w:hAnsi="Times New Roman"/>
        </w:rPr>
        <w:t xml:space="preserve"> </w:t>
      </w:r>
      <w:r w:rsidR="00006699" w:rsidRPr="00444714">
        <w:rPr>
          <w:rFonts w:ascii="Times New Roman" w:hAnsi="Times New Roman"/>
        </w:rPr>
        <w:t>Thus, in</w:t>
      </w:r>
      <w:r w:rsidR="00570842">
        <w:rPr>
          <w:rFonts w:ascii="Times New Roman" w:hAnsi="Times New Roman"/>
        </w:rPr>
        <w:t xml:space="preserve"> </w:t>
      </w:r>
      <w:r w:rsidR="00006699" w:rsidRPr="00444714">
        <w:rPr>
          <w:rFonts w:ascii="Times New Roman" w:hAnsi="Times New Roman"/>
        </w:rPr>
        <w:t xml:space="preserve">addressing the fact that a beneficiary might ultimately not receive the trust income to which </w:t>
      </w:r>
      <w:r w:rsidR="00EB16F9" w:rsidRPr="00444714">
        <w:rPr>
          <w:rFonts w:ascii="Times New Roman" w:hAnsi="Times New Roman"/>
        </w:rPr>
        <w:t>they were</w:t>
      </w:r>
      <w:r w:rsidR="00006699" w:rsidRPr="00444714">
        <w:rPr>
          <w:rFonts w:ascii="Times New Roman" w:hAnsi="Times New Roman"/>
        </w:rPr>
        <w:t xml:space="preserve"> entitled, </w:t>
      </w:r>
      <w:r w:rsidR="004751BD" w:rsidRPr="00444714">
        <w:rPr>
          <w:rFonts w:ascii="Times New Roman" w:hAnsi="Times New Roman"/>
        </w:rPr>
        <w:t xml:space="preserve">the Court in </w:t>
      </w:r>
      <w:r w:rsidR="00006699" w:rsidRPr="00444714">
        <w:rPr>
          <w:rFonts w:ascii="Times New Roman" w:hAnsi="Times New Roman"/>
          <w:i/>
        </w:rPr>
        <w:t>Bamford</w:t>
      </w:r>
      <w:r w:rsidR="00006699" w:rsidRPr="00444714">
        <w:rPr>
          <w:rStyle w:val="FootnoteReference"/>
          <w:rFonts w:ascii="Times New Roman" w:hAnsi="Times New Roman"/>
          <w:sz w:val="24"/>
        </w:rPr>
        <w:footnoteReference w:id="24"/>
      </w:r>
      <w:r w:rsidR="00006699" w:rsidRPr="00444714">
        <w:rPr>
          <w:rFonts w:ascii="Times New Roman" w:hAnsi="Times New Roman"/>
          <w:i/>
        </w:rPr>
        <w:t xml:space="preserve"> </w:t>
      </w:r>
      <w:r w:rsidR="00006699" w:rsidRPr="00444714">
        <w:rPr>
          <w:rFonts w:ascii="Times New Roman" w:hAnsi="Times New Roman"/>
        </w:rPr>
        <w:t>recognised that any such insufficiency arises because the beneficiary's tax liability under s 97</w:t>
      </w:r>
      <w:r w:rsidR="00162C9A" w:rsidRPr="00444714">
        <w:rPr>
          <w:rFonts w:ascii="Times New Roman" w:hAnsi="Times New Roman"/>
        </w:rPr>
        <w:t>(1)</w:t>
      </w:r>
      <w:r w:rsidR="00006699" w:rsidRPr="00444714">
        <w:rPr>
          <w:rFonts w:ascii="Times New Roman" w:hAnsi="Times New Roman"/>
        </w:rPr>
        <w:t xml:space="preserve"> is determined by reference to the "net</w:t>
      </w:r>
      <w:r w:rsidR="00570842">
        <w:rPr>
          <w:rFonts w:ascii="Times New Roman" w:hAnsi="Times New Roman"/>
        </w:rPr>
        <w:t> </w:t>
      </w:r>
      <w:r w:rsidR="00006699" w:rsidRPr="00444714">
        <w:rPr>
          <w:rFonts w:ascii="Times New Roman" w:hAnsi="Times New Roman"/>
        </w:rPr>
        <w:t>income" of the trust estate, not the distributable income.</w:t>
      </w:r>
      <w:r w:rsidR="00AA652F" w:rsidRPr="00444714">
        <w:rPr>
          <w:rFonts w:ascii="Times New Roman" w:hAnsi="Times New Roman"/>
        </w:rPr>
        <w:t xml:space="preserve"> </w:t>
      </w:r>
      <w:r w:rsidR="001F429B" w:rsidRPr="00444714">
        <w:rPr>
          <w:rFonts w:ascii="Times New Roman" w:hAnsi="Times New Roman"/>
        </w:rPr>
        <w:t>Similarly, here, t</w:t>
      </w:r>
      <w:r w:rsidR="004B5119" w:rsidRPr="00444714">
        <w:rPr>
          <w:rFonts w:ascii="Times New Roman" w:hAnsi="Times New Roman"/>
        </w:rPr>
        <w:t xml:space="preserve">he construction which has been adopted </w:t>
      </w:r>
      <w:r w:rsidR="001F429B" w:rsidRPr="00444714">
        <w:rPr>
          <w:rFonts w:ascii="Times New Roman" w:hAnsi="Times New Roman"/>
        </w:rPr>
        <w:t xml:space="preserve">means that </w:t>
      </w:r>
      <w:r w:rsidR="00E110CD" w:rsidRPr="00444714">
        <w:rPr>
          <w:rFonts w:ascii="Times New Roman" w:hAnsi="Times New Roman"/>
        </w:rPr>
        <w:t xml:space="preserve">a beneficiary might </w:t>
      </w:r>
      <w:r w:rsidR="00B22D97" w:rsidRPr="00444714">
        <w:rPr>
          <w:rFonts w:ascii="Times New Roman" w:hAnsi="Times New Roman"/>
        </w:rPr>
        <w:t xml:space="preserve">be presently entitled </w:t>
      </w:r>
      <w:r w:rsidR="00253B2C" w:rsidRPr="00444714">
        <w:rPr>
          <w:rFonts w:ascii="Times New Roman" w:hAnsi="Times New Roman"/>
        </w:rPr>
        <w:t xml:space="preserve">at the end of an income year </w:t>
      </w:r>
      <w:r w:rsidR="00034669" w:rsidRPr="00444714">
        <w:rPr>
          <w:rFonts w:ascii="Times New Roman" w:hAnsi="Times New Roman"/>
        </w:rPr>
        <w:t xml:space="preserve">but be unaware of </w:t>
      </w:r>
      <w:r w:rsidR="00B22D97" w:rsidRPr="00444714">
        <w:rPr>
          <w:rFonts w:ascii="Times New Roman" w:hAnsi="Times New Roman"/>
        </w:rPr>
        <w:t>it</w:t>
      </w:r>
      <w:r w:rsidR="004B5119" w:rsidRPr="00444714">
        <w:rPr>
          <w:rFonts w:ascii="Times New Roman" w:hAnsi="Times New Roman"/>
        </w:rPr>
        <w:t>.</w:t>
      </w:r>
      <w:r w:rsidR="00AA652F" w:rsidRPr="00444714">
        <w:rPr>
          <w:rFonts w:ascii="Times New Roman" w:hAnsi="Times New Roman"/>
        </w:rPr>
        <w:t xml:space="preserve"> </w:t>
      </w:r>
      <w:r w:rsidR="00ED7A4D" w:rsidRPr="00444714">
        <w:rPr>
          <w:rFonts w:ascii="Times New Roman" w:hAnsi="Times New Roman"/>
        </w:rPr>
        <w:t xml:space="preserve">That </w:t>
      </w:r>
      <w:r w:rsidR="00DE4E1F" w:rsidRPr="00444714">
        <w:rPr>
          <w:rFonts w:ascii="Times New Roman" w:hAnsi="Times New Roman"/>
        </w:rPr>
        <w:t xml:space="preserve">unfairness arises because </w:t>
      </w:r>
      <w:proofErr w:type="spellStart"/>
      <w:r w:rsidR="00DE4E1F" w:rsidRPr="00444714">
        <w:rPr>
          <w:rFonts w:ascii="Times New Roman" w:hAnsi="Times New Roman"/>
        </w:rPr>
        <w:t>Div</w:t>
      </w:r>
      <w:proofErr w:type="spellEnd"/>
      <w:r w:rsidR="00DE4E1F" w:rsidRPr="00444714">
        <w:rPr>
          <w:rFonts w:ascii="Times New Roman" w:hAnsi="Times New Roman"/>
        </w:rPr>
        <w:t> 6, and</w:t>
      </w:r>
      <w:r w:rsidR="000D368B">
        <w:rPr>
          <w:rFonts w:ascii="Times New Roman" w:hAnsi="Times New Roman"/>
        </w:rPr>
        <w:t xml:space="preserve"> </w:t>
      </w:r>
      <w:r w:rsidR="00DE4E1F" w:rsidRPr="00444714">
        <w:rPr>
          <w:rFonts w:ascii="Times New Roman" w:hAnsi="Times New Roman"/>
        </w:rPr>
        <w:t>s </w:t>
      </w:r>
      <w:proofErr w:type="gramStart"/>
      <w:r w:rsidR="00DE4E1F" w:rsidRPr="00444714">
        <w:rPr>
          <w:rFonts w:ascii="Times New Roman" w:hAnsi="Times New Roman"/>
        </w:rPr>
        <w:t>97</w:t>
      </w:r>
      <w:r w:rsidR="00162C9A" w:rsidRPr="00444714">
        <w:rPr>
          <w:rFonts w:ascii="Times New Roman" w:hAnsi="Times New Roman"/>
        </w:rPr>
        <w:t>(1)</w:t>
      </w:r>
      <w:r w:rsidR="00DE4E1F" w:rsidRPr="00444714">
        <w:rPr>
          <w:rFonts w:ascii="Times New Roman" w:hAnsi="Times New Roman"/>
        </w:rPr>
        <w:t xml:space="preserve"> in particular, is</w:t>
      </w:r>
      <w:proofErr w:type="gramEnd"/>
      <w:r w:rsidR="00DE4E1F" w:rsidRPr="00444714">
        <w:rPr>
          <w:rFonts w:ascii="Times New Roman" w:hAnsi="Times New Roman"/>
        </w:rPr>
        <w:t xml:space="preserve"> drafted to tax a beneficiary by reference to </w:t>
      </w:r>
      <w:r w:rsidR="00417B0D" w:rsidRPr="00444714">
        <w:rPr>
          <w:rFonts w:ascii="Times New Roman" w:hAnsi="Times New Roman"/>
        </w:rPr>
        <w:t xml:space="preserve">present </w:t>
      </w:r>
      <w:r w:rsidR="00DE4E1F" w:rsidRPr="00444714">
        <w:rPr>
          <w:rFonts w:ascii="Times New Roman" w:hAnsi="Times New Roman"/>
        </w:rPr>
        <w:t>entitlement, not receipt</w:t>
      </w:r>
      <w:r w:rsidR="00037A89" w:rsidRPr="00444714">
        <w:rPr>
          <w:rStyle w:val="FootnoteReference"/>
          <w:rFonts w:ascii="Times New Roman" w:hAnsi="Times New Roman"/>
          <w:sz w:val="24"/>
        </w:rPr>
        <w:footnoteReference w:id="25"/>
      </w:r>
      <w:r w:rsidR="00037A89" w:rsidRPr="00444714">
        <w:rPr>
          <w:rFonts w:ascii="Times New Roman" w:hAnsi="Times New Roman"/>
        </w:rPr>
        <w:t>.</w:t>
      </w:r>
    </w:p>
    <w:p w14:paraId="0CBBDA69" w14:textId="58C5A5D4" w:rsidR="00086430" w:rsidRPr="00444714" w:rsidRDefault="00086430" w:rsidP="00444714">
      <w:pPr>
        <w:pStyle w:val="HeadingL1"/>
        <w:spacing w:after="260" w:line="280" w:lineRule="exact"/>
        <w:ind w:right="0"/>
        <w:jc w:val="both"/>
        <w:rPr>
          <w:rFonts w:ascii="Times New Roman" w:hAnsi="Times New Roman"/>
        </w:rPr>
      </w:pPr>
      <w:r w:rsidRPr="00444714">
        <w:rPr>
          <w:rFonts w:ascii="Times New Roman" w:hAnsi="Times New Roman"/>
        </w:rPr>
        <w:t>Presumption of assent</w:t>
      </w:r>
    </w:p>
    <w:p w14:paraId="509C3BCF" w14:textId="50C0A617" w:rsidR="00C5076B" w:rsidRPr="00444714" w:rsidRDefault="00817798"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4247A9" w:rsidRPr="00444714">
        <w:rPr>
          <w:rFonts w:ascii="Times New Roman" w:hAnsi="Times New Roman"/>
        </w:rPr>
        <w:t xml:space="preserve">Given </w:t>
      </w:r>
      <w:r w:rsidR="00766201" w:rsidRPr="00444714">
        <w:rPr>
          <w:rFonts w:ascii="Times New Roman" w:hAnsi="Times New Roman"/>
        </w:rPr>
        <w:t>the construction of s </w:t>
      </w:r>
      <w:r w:rsidR="00F716D1" w:rsidRPr="00444714">
        <w:rPr>
          <w:rFonts w:ascii="Times New Roman" w:hAnsi="Times New Roman"/>
        </w:rPr>
        <w:t>97</w:t>
      </w:r>
      <w:r w:rsidR="00162C9A" w:rsidRPr="00444714">
        <w:rPr>
          <w:rFonts w:ascii="Times New Roman" w:hAnsi="Times New Roman"/>
        </w:rPr>
        <w:t>(1)</w:t>
      </w:r>
      <w:r w:rsidR="00F716D1" w:rsidRPr="00444714">
        <w:rPr>
          <w:rFonts w:ascii="Times New Roman" w:hAnsi="Times New Roman"/>
        </w:rPr>
        <w:t xml:space="preserve"> which has been adopted</w:t>
      </w:r>
      <w:r w:rsidR="004247A9" w:rsidRPr="00444714">
        <w:rPr>
          <w:rFonts w:ascii="Times New Roman" w:hAnsi="Times New Roman"/>
        </w:rPr>
        <w:t xml:space="preserve">, </w:t>
      </w:r>
      <w:r w:rsidR="00565C3A" w:rsidRPr="00444714">
        <w:rPr>
          <w:rFonts w:ascii="Times New Roman" w:hAnsi="Times New Roman"/>
        </w:rPr>
        <w:t>it</w:t>
      </w:r>
      <w:r w:rsidR="000D368B">
        <w:rPr>
          <w:rFonts w:ascii="Times New Roman" w:hAnsi="Times New Roman"/>
        </w:rPr>
        <w:t xml:space="preserve"> </w:t>
      </w:r>
      <w:r w:rsidR="00565C3A" w:rsidRPr="00444714">
        <w:rPr>
          <w:rFonts w:ascii="Times New Roman" w:hAnsi="Times New Roman"/>
        </w:rPr>
        <w:t xml:space="preserve">is unnecessary to address </w:t>
      </w:r>
      <w:r w:rsidR="00766201" w:rsidRPr="00444714">
        <w:rPr>
          <w:rFonts w:ascii="Times New Roman" w:hAnsi="Times New Roman"/>
        </w:rPr>
        <w:t xml:space="preserve">the </w:t>
      </w:r>
      <w:r w:rsidR="00F716D1" w:rsidRPr="00444714">
        <w:rPr>
          <w:rFonts w:ascii="Times New Roman" w:hAnsi="Times New Roman"/>
        </w:rPr>
        <w:t xml:space="preserve">content and effect of </w:t>
      </w:r>
      <w:r w:rsidR="00682246" w:rsidRPr="00444714">
        <w:rPr>
          <w:rFonts w:ascii="Times New Roman" w:hAnsi="Times New Roman"/>
        </w:rPr>
        <w:t xml:space="preserve">the </w:t>
      </w:r>
      <w:r w:rsidR="00766201" w:rsidRPr="00444714">
        <w:rPr>
          <w:rFonts w:ascii="Times New Roman" w:hAnsi="Times New Roman"/>
        </w:rPr>
        <w:t>Third Disclaimer</w:t>
      </w:r>
      <w:r w:rsidR="00682246" w:rsidRPr="00444714">
        <w:rPr>
          <w:rFonts w:ascii="Times New Roman" w:hAnsi="Times New Roman"/>
        </w:rPr>
        <w:t>s</w:t>
      </w:r>
      <w:r w:rsidR="00766201" w:rsidRPr="00444714">
        <w:rPr>
          <w:rFonts w:ascii="Times New Roman" w:hAnsi="Times New Roman"/>
        </w:rPr>
        <w:t>.</w:t>
      </w:r>
      <w:r w:rsidR="00AA652F" w:rsidRPr="00444714">
        <w:rPr>
          <w:rFonts w:ascii="Times New Roman" w:hAnsi="Times New Roman"/>
        </w:rPr>
        <w:t xml:space="preserve"> </w:t>
      </w:r>
      <w:r w:rsidR="004F6915" w:rsidRPr="00444714">
        <w:rPr>
          <w:rFonts w:ascii="Times New Roman" w:hAnsi="Times New Roman"/>
        </w:rPr>
        <w:t xml:space="preserve">Whether or not they </w:t>
      </w:r>
      <w:r w:rsidR="004F6915" w:rsidRPr="00444714">
        <w:rPr>
          <w:rFonts w:ascii="Times New Roman" w:hAnsi="Times New Roman"/>
        </w:rPr>
        <w:lastRenderedPageBreak/>
        <w:t xml:space="preserve">were effective to vary the rights </w:t>
      </w:r>
      <w:r w:rsidR="00404781" w:rsidRPr="00444714">
        <w:rPr>
          <w:rFonts w:ascii="Times New Roman" w:hAnsi="Times New Roman"/>
        </w:rPr>
        <w:t xml:space="preserve">and obligations </w:t>
      </w:r>
      <w:r w:rsidR="004F6915" w:rsidRPr="00444714">
        <w:rPr>
          <w:rFonts w:ascii="Times New Roman" w:hAnsi="Times New Roman"/>
        </w:rPr>
        <w:t xml:space="preserve">of the Trustee and the </w:t>
      </w:r>
      <w:r w:rsidR="00D22EC8" w:rsidRPr="00444714">
        <w:rPr>
          <w:rFonts w:ascii="Times New Roman" w:hAnsi="Times New Roman"/>
        </w:rPr>
        <w:t>respondents</w:t>
      </w:r>
      <w:r w:rsidR="00A060C6" w:rsidRPr="00444714">
        <w:rPr>
          <w:rFonts w:ascii="Times New Roman" w:hAnsi="Times New Roman"/>
        </w:rPr>
        <w:t xml:space="preserve">, they were not effective to "retrospectively </w:t>
      </w:r>
      <w:proofErr w:type="gramStart"/>
      <w:r w:rsidR="00D57C14" w:rsidRPr="00444714">
        <w:rPr>
          <w:rFonts w:ascii="Times New Roman" w:hAnsi="Times New Roman"/>
        </w:rPr>
        <w:t>expunge</w:t>
      </w:r>
      <w:r w:rsidR="006F7204" w:rsidRPr="00444714">
        <w:rPr>
          <w:rFonts w:ascii="Times New Roman" w:hAnsi="Times New Roman"/>
        </w:rPr>
        <w:t>[</w:t>
      </w:r>
      <w:proofErr w:type="gramEnd"/>
      <w:r w:rsidR="006F7204" w:rsidRPr="00444714">
        <w:rPr>
          <w:rFonts w:ascii="Times New Roman" w:hAnsi="Times New Roman"/>
        </w:rPr>
        <w:t>]</w:t>
      </w:r>
      <w:r w:rsidR="00D57C14" w:rsidRPr="00444714">
        <w:rPr>
          <w:rFonts w:ascii="Times New Roman" w:hAnsi="Times New Roman"/>
        </w:rPr>
        <w:t>"</w:t>
      </w:r>
      <w:r w:rsidR="00D57C14" w:rsidRPr="00444714">
        <w:rPr>
          <w:rStyle w:val="FootnoteReference"/>
          <w:rFonts w:ascii="Times New Roman" w:hAnsi="Times New Roman"/>
          <w:sz w:val="24"/>
        </w:rPr>
        <w:footnoteReference w:id="26"/>
      </w:r>
      <w:r w:rsidR="00D57C14" w:rsidRPr="00444714">
        <w:rPr>
          <w:rFonts w:ascii="Times New Roman" w:hAnsi="Times New Roman"/>
        </w:rPr>
        <w:t xml:space="preserve"> the rights of the </w:t>
      </w:r>
      <w:r w:rsidR="00E64072" w:rsidRPr="00444714">
        <w:rPr>
          <w:rFonts w:ascii="Times New Roman" w:hAnsi="Times New Roman"/>
        </w:rPr>
        <w:t>Commissioner against the respondent</w:t>
      </w:r>
      <w:r w:rsidR="009F2359" w:rsidRPr="00444714">
        <w:rPr>
          <w:rFonts w:ascii="Times New Roman" w:hAnsi="Times New Roman"/>
        </w:rPr>
        <w:t>s</w:t>
      </w:r>
      <w:r w:rsidR="00E64072" w:rsidRPr="00444714">
        <w:rPr>
          <w:rFonts w:ascii="Times New Roman" w:hAnsi="Times New Roman"/>
        </w:rPr>
        <w:t xml:space="preserve"> which were in existence at midnight on 30</w:t>
      </w:r>
      <w:r w:rsidR="000D368B">
        <w:rPr>
          <w:rFonts w:ascii="Times New Roman" w:hAnsi="Times New Roman"/>
        </w:rPr>
        <w:t> </w:t>
      </w:r>
      <w:r w:rsidR="00E64072" w:rsidRPr="00444714">
        <w:rPr>
          <w:rFonts w:ascii="Times New Roman" w:hAnsi="Times New Roman"/>
        </w:rPr>
        <w:t>June 2014</w:t>
      </w:r>
      <w:r w:rsidR="00E21B48" w:rsidRPr="00444714">
        <w:rPr>
          <w:rFonts w:ascii="Times New Roman" w:hAnsi="Times New Roman"/>
        </w:rPr>
        <w:t xml:space="preserve"> and which </w:t>
      </w:r>
      <w:r w:rsidR="00D90497" w:rsidRPr="00444714">
        <w:rPr>
          <w:rFonts w:ascii="Times New Roman" w:hAnsi="Times New Roman"/>
        </w:rPr>
        <w:t xml:space="preserve">gave rise to </w:t>
      </w:r>
      <w:r w:rsidR="00E21B48" w:rsidRPr="00444714">
        <w:rPr>
          <w:rFonts w:ascii="Times New Roman" w:hAnsi="Times New Roman"/>
        </w:rPr>
        <w:t xml:space="preserve">the </w:t>
      </w:r>
      <w:r w:rsidR="00D90497" w:rsidRPr="00444714">
        <w:rPr>
          <w:rFonts w:ascii="Times New Roman" w:hAnsi="Times New Roman"/>
        </w:rPr>
        <w:t xml:space="preserve">2014 </w:t>
      </w:r>
      <w:r w:rsidR="00473D15" w:rsidRPr="00444714">
        <w:rPr>
          <w:rFonts w:ascii="Times New Roman" w:hAnsi="Times New Roman"/>
        </w:rPr>
        <w:t>A</w:t>
      </w:r>
      <w:r w:rsidR="00D90497" w:rsidRPr="00444714">
        <w:rPr>
          <w:rFonts w:ascii="Times New Roman" w:hAnsi="Times New Roman"/>
        </w:rPr>
        <w:t>ssessments</w:t>
      </w:r>
      <w:r w:rsidR="006B0F45" w:rsidRPr="00444714">
        <w:rPr>
          <w:rStyle w:val="FootnoteReference"/>
          <w:rFonts w:ascii="Times New Roman" w:hAnsi="Times New Roman"/>
          <w:sz w:val="24"/>
        </w:rPr>
        <w:footnoteReference w:id="27"/>
      </w:r>
      <w:r w:rsidR="00D90497" w:rsidRPr="00444714">
        <w:rPr>
          <w:rFonts w:ascii="Times New Roman" w:hAnsi="Times New Roman"/>
        </w:rPr>
        <w:t>.</w:t>
      </w:r>
    </w:p>
    <w:p w14:paraId="5363446A" w14:textId="582675AE" w:rsidR="00817798" w:rsidRPr="00444714" w:rsidRDefault="00C5076B"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682246" w:rsidRPr="00444714">
        <w:rPr>
          <w:rFonts w:ascii="Times New Roman" w:hAnsi="Times New Roman"/>
        </w:rPr>
        <w:t>I</w:t>
      </w:r>
      <w:r w:rsidR="002D62FD" w:rsidRPr="00444714">
        <w:rPr>
          <w:rFonts w:ascii="Times New Roman" w:hAnsi="Times New Roman"/>
        </w:rPr>
        <w:t>t is appropriate</w:t>
      </w:r>
      <w:r w:rsidR="00682246" w:rsidRPr="00444714">
        <w:rPr>
          <w:rFonts w:ascii="Times New Roman" w:hAnsi="Times New Roman"/>
        </w:rPr>
        <w:t>, however,</w:t>
      </w:r>
      <w:r w:rsidR="002D62FD" w:rsidRPr="00444714">
        <w:rPr>
          <w:rFonts w:ascii="Times New Roman" w:hAnsi="Times New Roman"/>
        </w:rPr>
        <w:t xml:space="preserve"> to address </w:t>
      </w:r>
      <w:r w:rsidR="00465110" w:rsidRPr="00444714">
        <w:rPr>
          <w:rFonts w:ascii="Times New Roman" w:hAnsi="Times New Roman"/>
        </w:rPr>
        <w:t xml:space="preserve">and reject </w:t>
      </w:r>
      <w:r w:rsidR="002D62FD" w:rsidRPr="00444714">
        <w:rPr>
          <w:rFonts w:ascii="Times New Roman" w:hAnsi="Times New Roman"/>
        </w:rPr>
        <w:t>the</w:t>
      </w:r>
      <w:r w:rsidR="00826705" w:rsidRPr="00444714">
        <w:rPr>
          <w:rFonts w:ascii="Times New Roman" w:hAnsi="Times New Roman"/>
        </w:rPr>
        <w:t xml:space="preserve"> respondents' contentio</w:t>
      </w:r>
      <w:r w:rsidR="00682246" w:rsidRPr="00444714">
        <w:rPr>
          <w:rFonts w:ascii="Times New Roman" w:hAnsi="Times New Roman"/>
        </w:rPr>
        <w:t xml:space="preserve">n </w:t>
      </w:r>
      <w:r w:rsidR="00CA5EB0" w:rsidRPr="00444714">
        <w:rPr>
          <w:rFonts w:ascii="Times New Roman" w:hAnsi="Times New Roman"/>
        </w:rPr>
        <w:t>that</w:t>
      </w:r>
      <w:r w:rsidR="00B14BD2" w:rsidRPr="00444714">
        <w:rPr>
          <w:rFonts w:ascii="Times New Roman" w:hAnsi="Times New Roman"/>
        </w:rPr>
        <w:t xml:space="preserve"> </w:t>
      </w:r>
      <w:r w:rsidR="00D862D9" w:rsidRPr="00444714">
        <w:rPr>
          <w:rFonts w:ascii="Times New Roman" w:hAnsi="Times New Roman"/>
        </w:rPr>
        <w:t>they</w:t>
      </w:r>
      <w:r w:rsidR="00153840" w:rsidRPr="00444714">
        <w:rPr>
          <w:rFonts w:ascii="Times New Roman" w:hAnsi="Times New Roman"/>
        </w:rPr>
        <w:t xml:space="preserve"> were </w:t>
      </w:r>
      <w:r w:rsidR="00B14BD2" w:rsidRPr="00444714">
        <w:rPr>
          <w:rFonts w:ascii="Times New Roman" w:hAnsi="Times New Roman"/>
        </w:rPr>
        <w:t xml:space="preserve">not </w:t>
      </w:r>
      <w:r w:rsidR="00153840" w:rsidRPr="00444714">
        <w:rPr>
          <w:rFonts w:ascii="Times New Roman" w:hAnsi="Times New Roman"/>
        </w:rPr>
        <w:t xml:space="preserve">presently entitled </w:t>
      </w:r>
      <w:r w:rsidR="00826245" w:rsidRPr="00444714">
        <w:rPr>
          <w:rFonts w:ascii="Times New Roman" w:hAnsi="Times New Roman"/>
        </w:rPr>
        <w:t xml:space="preserve">to the income within the meaning of </w:t>
      </w:r>
      <w:r w:rsidR="00465110" w:rsidRPr="00444714">
        <w:rPr>
          <w:rFonts w:ascii="Times New Roman" w:hAnsi="Times New Roman"/>
        </w:rPr>
        <w:t>s 97</w:t>
      </w:r>
      <w:r w:rsidR="0025486A" w:rsidRPr="00444714">
        <w:rPr>
          <w:rFonts w:ascii="Times New Roman" w:hAnsi="Times New Roman"/>
        </w:rPr>
        <w:t>(1)</w:t>
      </w:r>
      <w:r w:rsidR="00465110" w:rsidRPr="00444714">
        <w:rPr>
          <w:rFonts w:ascii="Times New Roman" w:hAnsi="Times New Roman"/>
        </w:rPr>
        <w:t xml:space="preserve"> </w:t>
      </w:r>
      <w:r w:rsidR="00826245" w:rsidRPr="00444714">
        <w:rPr>
          <w:rFonts w:ascii="Times New Roman" w:hAnsi="Times New Roman"/>
        </w:rPr>
        <w:t>because</w:t>
      </w:r>
      <w:r w:rsidR="00E02C7F" w:rsidRPr="00444714">
        <w:rPr>
          <w:rFonts w:ascii="Times New Roman" w:hAnsi="Times New Roman"/>
        </w:rPr>
        <w:t xml:space="preserve"> </w:t>
      </w:r>
      <w:r w:rsidR="00602E02" w:rsidRPr="00444714">
        <w:rPr>
          <w:rFonts w:ascii="Times New Roman" w:hAnsi="Times New Roman"/>
        </w:rPr>
        <w:t xml:space="preserve">the </w:t>
      </w:r>
      <w:r w:rsidR="00E02C7F" w:rsidRPr="00444714">
        <w:rPr>
          <w:rFonts w:ascii="Times New Roman" w:hAnsi="Times New Roman"/>
        </w:rPr>
        <w:t xml:space="preserve">presumption </w:t>
      </w:r>
      <w:r w:rsidR="00602E02" w:rsidRPr="00444714">
        <w:rPr>
          <w:rFonts w:ascii="Times New Roman" w:hAnsi="Times New Roman"/>
        </w:rPr>
        <w:t xml:space="preserve">of assent </w:t>
      </w:r>
      <w:r w:rsidR="003435FC" w:rsidRPr="00444714">
        <w:rPr>
          <w:rFonts w:ascii="Times New Roman" w:hAnsi="Times New Roman"/>
        </w:rPr>
        <w:t>–</w:t>
      </w:r>
      <w:r w:rsidR="00602E02" w:rsidRPr="00444714">
        <w:rPr>
          <w:rFonts w:ascii="Times New Roman" w:hAnsi="Times New Roman"/>
        </w:rPr>
        <w:t xml:space="preserve"> that </w:t>
      </w:r>
      <w:r w:rsidR="00E02C7F" w:rsidRPr="00444714">
        <w:rPr>
          <w:rFonts w:ascii="Times New Roman" w:hAnsi="Times New Roman"/>
        </w:rPr>
        <w:t>the donee (the beneficiary) assents to a gift</w:t>
      </w:r>
      <w:r w:rsidR="009A0124" w:rsidRPr="00444714">
        <w:rPr>
          <w:rFonts w:ascii="Times New Roman" w:hAnsi="Times New Roman"/>
        </w:rPr>
        <w:t xml:space="preserve"> </w:t>
      </w:r>
      <w:r w:rsidR="003435FC" w:rsidRPr="00444714">
        <w:rPr>
          <w:rFonts w:ascii="Times New Roman" w:hAnsi="Times New Roman"/>
        </w:rPr>
        <w:t>–</w:t>
      </w:r>
      <w:r w:rsidR="00602E02" w:rsidRPr="00444714">
        <w:rPr>
          <w:rFonts w:ascii="Times New Roman" w:hAnsi="Times New Roman"/>
        </w:rPr>
        <w:t xml:space="preserve"> is an evidentiary presumption or inference that may be rebutted </w:t>
      </w:r>
      <w:r w:rsidR="00A90D36" w:rsidRPr="00444714">
        <w:rPr>
          <w:rFonts w:ascii="Times New Roman" w:hAnsi="Times New Roman"/>
        </w:rPr>
        <w:t>and that the Third Disclaimers were evidence of the rebuttal</w:t>
      </w:r>
      <w:r w:rsidR="009A0124" w:rsidRPr="00444714">
        <w:rPr>
          <w:rFonts w:ascii="Times New Roman" w:hAnsi="Times New Roman"/>
        </w:rPr>
        <w:t>.</w:t>
      </w:r>
      <w:r w:rsidR="00AA652F" w:rsidRPr="00444714">
        <w:rPr>
          <w:rFonts w:ascii="Times New Roman" w:hAnsi="Times New Roman"/>
        </w:rPr>
        <w:t xml:space="preserve"> </w:t>
      </w:r>
      <w:r w:rsidR="006A7F6A" w:rsidRPr="00444714">
        <w:rPr>
          <w:rFonts w:ascii="Times New Roman" w:hAnsi="Times New Roman"/>
        </w:rPr>
        <w:t>The</w:t>
      </w:r>
      <w:r w:rsidR="000D368B">
        <w:rPr>
          <w:rFonts w:ascii="Times New Roman" w:hAnsi="Times New Roman"/>
        </w:rPr>
        <w:t xml:space="preserve"> </w:t>
      </w:r>
      <w:r w:rsidR="0000141C" w:rsidRPr="00444714">
        <w:rPr>
          <w:rFonts w:ascii="Times New Roman" w:hAnsi="Times New Roman"/>
        </w:rPr>
        <w:t>respondents'</w:t>
      </w:r>
      <w:r w:rsidR="006A7F6A" w:rsidRPr="00444714">
        <w:rPr>
          <w:rFonts w:ascii="Times New Roman" w:hAnsi="Times New Roman"/>
        </w:rPr>
        <w:t xml:space="preserve"> contention </w:t>
      </w:r>
      <w:r w:rsidR="00E93B47" w:rsidRPr="00444714">
        <w:rPr>
          <w:rFonts w:ascii="Times New Roman" w:hAnsi="Times New Roman"/>
        </w:rPr>
        <w:t>was</w:t>
      </w:r>
      <w:r w:rsidR="006A7F6A" w:rsidRPr="00444714">
        <w:rPr>
          <w:rFonts w:ascii="Times New Roman" w:hAnsi="Times New Roman"/>
        </w:rPr>
        <w:t xml:space="preserve"> that, </w:t>
      </w:r>
      <w:r w:rsidR="00280165" w:rsidRPr="00444714">
        <w:rPr>
          <w:rFonts w:ascii="Times New Roman" w:hAnsi="Times New Roman"/>
        </w:rPr>
        <w:t xml:space="preserve">when the "evidentiary presumption" is rebutted, </w:t>
      </w:r>
      <w:r w:rsidR="00474D6C" w:rsidRPr="00444714">
        <w:rPr>
          <w:rFonts w:ascii="Times New Roman" w:hAnsi="Times New Roman"/>
        </w:rPr>
        <w:t xml:space="preserve">the result is </w:t>
      </w:r>
      <w:r w:rsidR="000E27FD" w:rsidRPr="00444714">
        <w:rPr>
          <w:rFonts w:ascii="Times New Roman" w:hAnsi="Times New Roman"/>
        </w:rPr>
        <w:t xml:space="preserve">that </w:t>
      </w:r>
      <w:r w:rsidR="00775121" w:rsidRPr="00444714">
        <w:rPr>
          <w:rFonts w:ascii="Times New Roman" w:hAnsi="Times New Roman"/>
        </w:rPr>
        <w:t>"</w:t>
      </w:r>
      <w:r w:rsidR="00E04826" w:rsidRPr="00444714">
        <w:rPr>
          <w:rFonts w:ascii="Times New Roman" w:hAnsi="Times New Roman"/>
        </w:rPr>
        <w:t>one of the elements necessary for an effective gift is, and at all times has been, missing".</w:t>
      </w:r>
    </w:p>
    <w:p w14:paraId="297B9C45" w14:textId="60D96CE9" w:rsidR="004C005A" w:rsidRPr="00444714" w:rsidRDefault="009A0124"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9E750F" w:rsidRPr="00444714">
        <w:rPr>
          <w:rFonts w:ascii="Times New Roman" w:hAnsi="Times New Roman"/>
        </w:rPr>
        <w:t xml:space="preserve">There is </w:t>
      </w:r>
      <w:r w:rsidR="00DC23F4" w:rsidRPr="00444714">
        <w:rPr>
          <w:rFonts w:ascii="Times New Roman" w:hAnsi="Times New Roman"/>
        </w:rPr>
        <w:t>a distinction between legal and evidentiary presumptions.</w:t>
      </w:r>
      <w:r w:rsidR="00AA652F" w:rsidRPr="00444714">
        <w:rPr>
          <w:rFonts w:ascii="Times New Roman" w:hAnsi="Times New Roman"/>
        </w:rPr>
        <w:t xml:space="preserve"> </w:t>
      </w:r>
      <w:r w:rsidR="004C005A" w:rsidRPr="00444714">
        <w:rPr>
          <w:rFonts w:ascii="Times New Roman" w:hAnsi="Times New Roman"/>
        </w:rPr>
        <w:t>In</w:t>
      </w:r>
      <w:r w:rsidR="00065821">
        <w:rPr>
          <w:rFonts w:ascii="Times New Roman" w:hAnsi="Times New Roman"/>
        </w:rPr>
        <w:t> </w:t>
      </w:r>
      <w:r w:rsidR="004C005A" w:rsidRPr="00444714">
        <w:rPr>
          <w:rFonts w:ascii="Times New Roman" w:hAnsi="Times New Roman"/>
          <w:i/>
        </w:rPr>
        <w:t>Masson v Parsons</w:t>
      </w:r>
      <w:r w:rsidR="00FA6EB2" w:rsidRPr="00444714">
        <w:rPr>
          <w:rStyle w:val="FootnoteReference"/>
          <w:rFonts w:ascii="Times New Roman" w:hAnsi="Times New Roman"/>
          <w:sz w:val="24"/>
        </w:rPr>
        <w:footnoteReference w:id="28"/>
      </w:r>
      <w:r w:rsidR="004C005A" w:rsidRPr="00444714">
        <w:rPr>
          <w:rFonts w:ascii="Times New Roman" w:hAnsi="Times New Roman"/>
        </w:rPr>
        <w:t xml:space="preserve">, </w:t>
      </w:r>
      <w:r w:rsidR="00AC6E85" w:rsidRPr="00444714">
        <w:rPr>
          <w:rFonts w:ascii="Times New Roman" w:hAnsi="Times New Roman"/>
        </w:rPr>
        <w:t xml:space="preserve">six members of </w:t>
      </w:r>
      <w:r w:rsidR="004C005A" w:rsidRPr="00444714">
        <w:rPr>
          <w:rFonts w:ascii="Times New Roman" w:hAnsi="Times New Roman"/>
        </w:rPr>
        <w:t>the Court said:</w:t>
      </w:r>
    </w:p>
    <w:p w14:paraId="46558DEA" w14:textId="252EA7CB" w:rsidR="00444714" w:rsidRDefault="004C005A" w:rsidP="00444714">
      <w:pPr>
        <w:pStyle w:val="leftright"/>
        <w:spacing w:before="0" w:after="260" w:line="280" w:lineRule="exact"/>
        <w:ind w:right="0"/>
        <w:jc w:val="both"/>
        <w:rPr>
          <w:rFonts w:ascii="Times New Roman" w:hAnsi="Times New Roman"/>
        </w:rPr>
      </w:pPr>
      <w:r w:rsidRPr="00444714">
        <w:rPr>
          <w:rFonts w:ascii="Times New Roman" w:hAnsi="Times New Roman"/>
        </w:rPr>
        <w:t>"A presumption of fact, or evidentiary presumption, is a traditional inference, based on logic and common sense, which a tribunal of fact ordinarily draws from basic facts, particularly circumstantial evidence.</w:t>
      </w:r>
      <w:r w:rsidR="00AA652F" w:rsidRPr="00444714">
        <w:rPr>
          <w:rFonts w:ascii="Times New Roman" w:hAnsi="Times New Roman"/>
        </w:rPr>
        <w:t xml:space="preserve"> </w:t>
      </w:r>
      <w:r w:rsidRPr="00444714">
        <w:rPr>
          <w:rFonts w:ascii="Times New Roman" w:hAnsi="Times New Roman"/>
        </w:rPr>
        <w:t>By</w:t>
      </w:r>
      <w:r w:rsidR="00065821">
        <w:rPr>
          <w:rFonts w:ascii="Times New Roman" w:hAnsi="Times New Roman"/>
        </w:rPr>
        <w:t> </w:t>
      </w:r>
      <w:r w:rsidRPr="00444714">
        <w:rPr>
          <w:rFonts w:ascii="Times New Roman" w:hAnsi="Times New Roman"/>
        </w:rPr>
        <w:t>contrast, a</w:t>
      </w:r>
      <w:r w:rsidR="00065821">
        <w:rPr>
          <w:rFonts w:ascii="Times New Roman" w:hAnsi="Times New Roman"/>
        </w:rPr>
        <w:t xml:space="preserve"> </w:t>
      </w:r>
      <w:r w:rsidRPr="00444714">
        <w:rPr>
          <w:rFonts w:ascii="Times New Roman" w:hAnsi="Times New Roman"/>
        </w:rPr>
        <w:t xml:space="preserve">presumption of law is a legal rule that gives </w:t>
      </w:r>
      <w:r w:rsidRPr="00444714">
        <w:rPr>
          <w:rFonts w:ascii="Times New Roman" w:hAnsi="Times New Roman"/>
          <w:i/>
        </w:rPr>
        <w:t>additional</w:t>
      </w:r>
      <w:r w:rsidRPr="00444714">
        <w:rPr>
          <w:rFonts w:ascii="Times New Roman" w:hAnsi="Times New Roman"/>
        </w:rPr>
        <w:t xml:space="preserve"> force to some basic facts in the proof of the presumed fact, by permitting or requiring an inference from the former to the latter.</w:t>
      </w:r>
      <w:r w:rsidR="00AA652F" w:rsidRPr="00444714">
        <w:rPr>
          <w:rFonts w:ascii="Times New Roman" w:hAnsi="Times New Roman"/>
        </w:rPr>
        <w:t xml:space="preserve"> </w:t>
      </w:r>
      <w:r w:rsidR="004D3D78" w:rsidRPr="00444714">
        <w:rPr>
          <w:rFonts w:ascii="Times New Roman" w:hAnsi="Times New Roman"/>
        </w:rPr>
        <w:t xml:space="preserve">If a presumption of the latter kind is rebuttable and so merely facilitates proof of the presumed fact, it is properly to be conceived of as a rule of law </w:t>
      </w:r>
      <w:r w:rsidR="007A4459" w:rsidRPr="00444714">
        <w:rPr>
          <w:rFonts w:ascii="Times New Roman" w:hAnsi="Times New Roman"/>
        </w:rPr>
        <w:t>'</w:t>
      </w:r>
      <w:r w:rsidR="004D3D78" w:rsidRPr="00444714">
        <w:rPr>
          <w:rFonts w:ascii="Times New Roman" w:hAnsi="Times New Roman"/>
        </w:rPr>
        <w:t>relating to evidence</w:t>
      </w:r>
      <w:r w:rsidR="007A4459" w:rsidRPr="00444714">
        <w:rPr>
          <w:rFonts w:ascii="Times New Roman" w:hAnsi="Times New Roman"/>
        </w:rPr>
        <w:t>'</w:t>
      </w:r>
      <w:r w:rsidRPr="00444714">
        <w:rPr>
          <w:rFonts w:ascii="Times New Roman" w:hAnsi="Times New Roman"/>
        </w:rPr>
        <w:t>"</w:t>
      </w:r>
      <w:r w:rsidR="00547A61" w:rsidRPr="00444714">
        <w:rPr>
          <w:rFonts w:ascii="Times New Roman" w:hAnsi="Times New Roman"/>
        </w:rPr>
        <w:t>.</w:t>
      </w:r>
      <w:r w:rsidR="00E46191" w:rsidRPr="00444714">
        <w:rPr>
          <w:rFonts w:ascii="Times New Roman" w:hAnsi="Times New Roman"/>
        </w:rPr>
        <w:t xml:space="preserve"> (emphasis in original)</w:t>
      </w:r>
    </w:p>
    <w:p w14:paraId="045E91CD" w14:textId="6C25166C" w:rsidR="009A0124" w:rsidRPr="00444714" w:rsidRDefault="001F52CC"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3D12DF" w:rsidRPr="00444714">
        <w:rPr>
          <w:rFonts w:ascii="Times New Roman" w:hAnsi="Times New Roman"/>
        </w:rPr>
        <w:t>The</w:t>
      </w:r>
      <w:r w:rsidR="00F718B4" w:rsidRPr="00444714">
        <w:rPr>
          <w:rFonts w:ascii="Times New Roman" w:hAnsi="Times New Roman"/>
        </w:rPr>
        <w:t xml:space="preserve"> presumption of assent </w:t>
      </w:r>
      <w:r w:rsidR="00D60D72" w:rsidRPr="00444714">
        <w:rPr>
          <w:rFonts w:ascii="Times New Roman" w:hAnsi="Times New Roman"/>
        </w:rPr>
        <w:t>–</w:t>
      </w:r>
      <w:r w:rsidR="00F718B4" w:rsidRPr="00444714">
        <w:rPr>
          <w:rFonts w:ascii="Times New Roman" w:hAnsi="Times New Roman"/>
        </w:rPr>
        <w:t xml:space="preserve"> that </w:t>
      </w:r>
      <w:r w:rsidR="00F97883" w:rsidRPr="00444714">
        <w:rPr>
          <w:rFonts w:ascii="Times New Roman" w:hAnsi="Times New Roman"/>
        </w:rPr>
        <w:t xml:space="preserve">when there is a transfer of property to a person, </w:t>
      </w:r>
      <w:r w:rsidR="00ED1617" w:rsidRPr="00444714">
        <w:rPr>
          <w:rFonts w:ascii="Times New Roman" w:hAnsi="Times New Roman"/>
        </w:rPr>
        <w:t>the donee assents</w:t>
      </w:r>
      <w:r w:rsidR="00F9350B" w:rsidRPr="00444714">
        <w:rPr>
          <w:rFonts w:ascii="Times New Roman" w:hAnsi="Times New Roman"/>
        </w:rPr>
        <w:t xml:space="preserve"> </w:t>
      </w:r>
      <w:r w:rsidR="00F97883" w:rsidRPr="00444714">
        <w:rPr>
          <w:rFonts w:ascii="Times New Roman" w:hAnsi="Times New Roman"/>
        </w:rPr>
        <w:t xml:space="preserve">even before </w:t>
      </w:r>
      <w:r w:rsidR="00F9350B" w:rsidRPr="00444714">
        <w:rPr>
          <w:rFonts w:ascii="Times New Roman" w:hAnsi="Times New Roman"/>
        </w:rPr>
        <w:t xml:space="preserve">they </w:t>
      </w:r>
      <w:r w:rsidR="00F97883" w:rsidRPr="00444714">
        <w:rPr>
          <w:rFonts w:ascii="Times New Roman" w:hAnsi="Times New Roman"/>
        </w:rPr>
        <w:t>know of the transfer</w:t>
      </w:r>
      <w:r w:rsidR="00A50FD5" w:rsidRPr="00444714">
        <w:rPr>
          <w:rFonts w:ascii="Times New Roman" w:hAnsi="Times New Roman"/>
        </w:rPr>
        <w:t xml:space="preserve"> </w:t>
      </w:r>
      <w:r w:rsidR="00D60D72" w:rsidRPr="00444714">
        <w:rPr>
          <w:rFonts w:ascii="Times New Roman" w:hAnsi="Times New Roman"/>
        </w:rPr>
        <w:t>–</w:t>
      </w:r>
      <w:r w:rsidR="00A50FD5" w:rsidRPr="00444714">
        <w:rPr>
          <w:rFonts w:ascii="Times New Roman" w:hAnsi="Times New Roman"/>
        </w:rPr>
        <w:t xml:space="preserve"> is a </w:t>
      </w:r>
      <w:r w:rsidR="00D456A4" w:rsidRPr="00444714">
        <w:rPr>
          <w:rFonts w:ascii="Times New Roman" w:hAnsi="Times New Roman"/>
        </w:rPr>
        <w:t xml:space="preserve">"strong </w:t>
      </w:r>
      <w:r w:rsidR="00D456A4" w:rsidRPr="00444714">
        <w:rPr>
          <w:rFonts w:ascii="Times New Roman" w:hAnsi="Times New Roman"/>
        </w:rPr>
        <w:lastRenderedPageBreak/>
        <w:t>presumption of law"</w:t>
      </w:r>
      <w:r w:rsidR="00655DC4" w:rsidRPr="00444714">
        <w:rPr>
          <w:rStyle w:val="FootnoteReference"/>
          <w:rFonts w:ascii="Times New Roman" w:hAnsi="Times New Roman"/>
          <w:sz w:val="24"/>
        </w:rPr>
        <w:footnoteReference w:id="29"/>
      </w:r>
      <w:r w:rsidR="00D456A4" w:rsidRPr="00444714">
        <w:rPr>
          <w:rFonts w:ascii="Times New Roman" w:hAnsi="Times New Roman"/>
        </w:rPr>
        <w:t>.</w:t>
      </w:r>
      <w:r w:rsidR="00AA652F" w:rsidRPr="00444714">
        <w:rPr>
          <w:rFonts w:ascii="Times New Roman" w:hAnsi="Times New Roman"/>
        </w:rPr>
        <w:t xml:space="preserve"> </w:t>
      </w:r>
      <w:r w:rsidR="000500BA" w:rsidRPr="00444714">
        <w:rPr>
          <w:rFonts w:ascii="Times New Roman" w:hAnsi="Times New Roman"/>
        </w:rPr>
        <w:t>Recognising that a gift "requires the assent of both minds"</w:t>
      </w:r>
      <w:r w:rsidR="000500BA" w:rsidRPr="00444714">
        <w:rPr>
          <w:rStyle w:val="FootnoteReference"/>
          <w:rFonts w:ascii="Times New Roman" w:hAnsi="Times New Roman"/>
          <w:sz w:val="24"/>
        </w:rPr>
        <w:footnoteReference w:id="30"/>
      </w:r>
      <w:r w:rsidR="00AC63BA" w:rsidRPr="00444714">
        <w:rPr>
          <w:rFonts w:ascii="Times New Roman" w:hAnsi="Times New Roman"/>
        </w:rPr>
        <w:t xml:space="preserve"> and</w:t>
      </w:r>
      <w:r w:rsidR="00FF0F80">
        <w:rPr>
          <w:rFonts w:ascii="Times New Roman" w:hAnsi="Times New Roman"/>
        </w:rPr>
        <w:t xml:space="preserve"> </w:t>
      </w:r>
      <w:r w:rsidR="00AC63BA" w:rsidRPr="00444714">
        <w:rPr>
          <w:rFonts w:ascii="Times New Roman" w:hAnsi="Times New Roman"/>
        </w:rPr>
        <w:t>that</w:t>
      </w:r>
      <w:r w:rsidR="00284F39" w:rsidRPr="00444714">
        <w:rPr>
          <w:rFonts w:ascii="Times New Roman" w:hAnsi="Times New Roman"/>
        </w:rPr>
        <w:t xml:space="preserve"> the subject matter of a gift can vest in a donee before the donee </w:t>
      </w:r>
      <w:proofErr w:type="gramStart"/>
      <w:r w:rsidR="00284F39" w:rsidRPr="00444714">
        <w:rPr>
          <w:rFonts w:ascii="Times New Roman" w:hAnsi="Times New Roman"/>
        </w:rPr>
        <w:t xml:space="preserve">actually </w:t>
      </w:r>
      <w:r w:rsidR="00162689" w:rsidRPr="00444714">
        <w:rPr>
          <w:rFonts w:ascii="Times New Roman" w:hAnsi="Times New Roman"/>
        </w:rPr>
        <w:t>assents</w:t>
      </w:r>
      <w:proofErr w:type="gramEnd"/>
      <w:r w:rsidR="00C126C9" w:rsidRPr="00444714">
        <w:rPr>
          <w:rStyle w:val="FootnoteReference"/>
          <w:rFonts w:ascii="Times New Roman" w:hAnsi="Times New Roman"/>
          <w:sz w:val="24"/>
        </w:rPr>
        <w:footnoteReference w:id="31"/>
      </w:r>
      <w:r w:rsidR="00284F39" w:rsidRPr="00444714">
        <w:rPr>
          <w:rFonts w:ascii="Times New Roman" w:hAnsi="Times New Roman"/>
        </w:rPr>
        <w:t xml:space="preserve">, the law supplies that </w:t>
      </w:r>
      <w:r w:rsidR="00162689" w:rsidRPr="00444714">
        <w:rPr>
          <w:rFonts w:ascii="Times New Roman" w:hAnsi="Times New Roman"/>
        </w:rPr>
        <w:t>assent</w:t>
      </w:r>
      <w:r w:rsidR="007949DF" w:rsidRPr="00444714">
        <w:rPr>
          <w:rFonts w:ascii="Times New Roman" w:hAnsi="Times New Roman"/>
        </w:rPr>
        <w:t xml:space="preserve"> based "on</w:t>
      </w:r>
      <w:r w:rsidR="00FF0F80">
        <w:rPr>
          <w:rFonts w:ascii="Times New Roman" w:hAnsi="Times New Roman"/>
        </w:rPr>
        <w:t xml:space="preserve"> </w:t>
      </w:r>
      <w:r w:rsidR="007949DF" w:rsidRPr="00444714">
        <w:rPr>
          <w:rFonts w:ascii="Times New Roman" w:hAnsi="Times New Roman"/>
        </w:rPr>
        <w:t>fundamental attributes of human nature"</w:t>
      </w:r>
      <w:r w:rsidR="00482FA6" w:rsidRPr="00444714">
        <w:rPr>
          <w:rStyle w:val="FootnoteReference"/>
          <w:rFonts w:ascii="Times New Roman" w:hAnsi="Times New Roman"/>
          <w:sz w:val="24"/>
        </w:rPr>
        <w:footnoteReference w:id="32"/>
      </w:r>
      <w:r w:rsidR="007949DF" w:rsidRPr="00444714">
        <w:rPr>
          <w:rFonts w:ascii="Times New Roman" w:hAnsi="Times New Roman"/>
        </w:rPr>
        <w:t>.</w:t>
      </w:r>
      <w:r w:rsidR="00AA652F" w:rsidRPr="00444714">
        <w:rPr>
          <w:rFonts w:ascii="Times New Roman" w:hAnsi="Times New Roman"/>
        </w:rPr>
        <w:t xml:space="preserve"> </w:t>
      </w:r>
      <w:r w:rsidR="007949DF" w:rsidRPr="00444714">
        <w:rPr>
          <w:rFonts w:ascii="Times New Roman" w:hAnsi="Times New Roman"/>
        </w:rPr>
        <w:t>It</w:t>
      </w:r>
      <w:r w:rsidR="00FF0F80">
        <w:rPr>
          <w:rFonts w:ascii="Times New Roman" w:hAnsi="Times New Roman"/>
        </w:rPr>
        <w:t xml:space="preserve"> </w:t>
      </w:r>
      <w:r w:rsidR="009127E8" w:rsidRPr="00444714">
        <w:rPr>
          <w:rFonts w:ascii="Times New Roman" w:hAnsi="Times New Roman"/>
        </w:rPr>
        <w:t>"presumes</w:t>
      </w:r>
      <w:r w:rsidR="007949DF" w:rsidRPr="00444714">
        <w:rPr>
          <w:rFonts w:ascii="Times New Roman" w:hAnsi="Times New Roman"/>
        </w:rPr>
        <w:t xml:space="preserve"> </w:t>
      </w:r>
      <w:r w:rsidR="00F97883" w:rsidRPr="00444714">
        <w:rPr>
          <w:rFonts w:ascii="Times New Roman" w:hAnsi="Times New Roman"/>
        </w:rPr>
        <w:t xml:space="preserve">a </w:t>
      </w:r>
      <w:proofErr w:type="spellStart"/>
      <w:r w:rsidR="00F97883" w:rsidRPr="00444714">
        <w:rPr>
          <w:rFonts w:ascii="Times New Roman" w:hAnsi="Times New Roman"/>
        </w:rPr>
        <w:t>donee's</w:t>
      </w:r>
      <w:proofErr w:type="spellEnd"/>
      <w:r w:rsidR="00F97883" w:rsidRPr="00444714">
        <w:rPr>
          <w:rFonts w:ascii="Times New Roman" w:hAnsi="Times New Roman"/>
        </w:rPr>
        <w:t xml:space="preserve"> assent until disclaimer"</w:t>
      </w:r>
      <w:r w:rsidR="00F97883" w:rsidRPr="00444714">
        <w:rPr>
          <w:rFonts w:ascii="Times New Roman" w:hAnsi="Times New Roman"/>
          <w:sz w:val="2"/>
          <w:szCs w:val="2"/>
        </w:rPr>
        <w:t>9F</w:t>
      </w:r>
      <w:r w:rsidR="00F97883" w:rsidRPr="00444714">
        <w:rPr>
          <w:rStyle w:val="FootnoteReference"/>
          <w:rFonts w:ascii="Times New Roman" w:hAnsi="Times New Roman"/>
          <w:sz w:val="24"/>
        </w:rPr>
        <w:footnoteReference w:id="33"/>
      </w:r>
      <w:r w:rsidR="007949DF" w:rsidRPr="00444714">
        <w:rPr>
          <w:rFonts w:ascii="Times New Roman" w:hAnsi="Times New Roman"/>
        </w:rPr>
        <w:t>.</w:t>
      </w:r>
      <w:r w:rsidR="00AA652F" w:rsidRPr="00444714">
        <w:rPr>
          <w:rFonts w:ascii="Times New Roman" w:hAnsi="Times New Roman"/>
        </w:rPr>
        <w:t xml:space="preserve"> </w:t>
      </w:r>
      <w:r w:rsidR="005F0326" w:rsidRPr="00444714">
        <w:rPr>
          <w:rFonts w:ascii="Times New Roman" w:hAnsi="Times New Roman"/>
        </w:rPr>
        <w:t>Th</w:t>
      </w:r>
      <w:r w:rsidR="00D31331" w:rsidRPr="00444714">
        <w:rPr>
          <w:rFonts w:ascii="Times New Roman" w:hAnsi="Times New Roman"/>
        </w:rPr>
        <w:t>at</w:t>
      </w:r>
      <w:r w:rsidR="005F0326" w:rsidRPr="00444714">
        <w:rPr>
          <w:rFonts w:ascii="Times New Roman" w:hAnsi="Times New Roman"/>
        </w:rPr>
        <w:t xml:space="preserve"> presumption </w:t>
      </w:r>
      <w:r w:rsidR="0013535D" w:rsidRPr="00444714">
        <w:rPr>
          <w:rFonts w:ascii="Times New Roman" w:hAnsi="Times New Roman"/>
        </w:rPr>
        <w:t xml:space="preserve">takes a </w:t>
      </w:r>
      <w:r w:rsidR="00EB6B04" w:rsidRPr="00444714">
        <w:rPr>
          <w:rFonts w:ascii="Times New Roman" w:hAnsi="Times New Roman"/>
        </w:rPr>
        <w:t xml:space="preserve">basic </w:t>
      </w:r>
      <w:r w:rsidR="0013535D" w:rsidRPr="00444714">
        <w:rPr>
          <w:rFonts w:ascii="Times New Roman" w:hAnsi="Times New Roman"/>
        </w:rPr>
        <w:t xml:space="preserve">fact </w:t>
      </w:r>
      <w:r w:rsidR="00CC2352" w:rsidRPr="00444714">
        <w:rPr>
          <w:rFonts w:ascii="Times New Roman" w:hAnsi="Times New Roman"/>
        </w:rPr>
        <w:t>–</w:t>
      </w:r>
      <w:r w:rsidR="0013535D" w:rsidRPr="00444714">
        <w:rPr>
          <w:rFonts w:ascii="Times New Roman" w:hAnsi="Times New Roman"/>
        </w:rPr>
        <w:t xml:space="preserve"> a transfer of property </w:t>
      </w:r>
      <w:r w:rsidR="00CC2352" w:rsidRPr="00444714">
        <w:rPr>
          <w:rFonts w:ascii="Times New Roman" w:hAnsi="Times New Roman"/>
        </w:rPr>
        <w:t>–</w:t>
      </w:r>
      <w:r w:rsidR="0013535D" w:rsidRPr="00444714">
        <w:rPr>
          <w:rFonts w:ascii="Times New Roman" w:hAnsi="Times New Roman"/>
        </w:rPr>
        <w:t xml:space="preserve"> </w:t>
      </w:r>
      <w:r w:rsidR="00BD1C55" w:rsidRPr="00444714">
        <w:rPr>
          <w:rFonts w:ascii="Times New Roman" w:hAnsi="Times New Roman"/>
        </w:rPr>
        <w:t xml:space="preserve">and gives additional force to that basic fact by </w:t>
      </w:r>
      <w:r w:rsidR="009B744D" w:rsidRPr="00444714">
        <w:rPr>
          <w:rFonts w:ascii="Times New Roman" w:hAnsi="Times New Roman"/>
        </w:rPr>
        <w:t xml:space="preserve">supplying the </w:t>
      </w:r>
      <w:r w:rsidR="006F6DFB" w:rsidRPr="00444714">
        <w:rPr>
          <w:rFonts w:ascii="Times New Roman" w:hAnsi="Times New Roman"/>
        </w:rPr>
        <w:t>assent</w:t>
      </w:r>
      <w:r w:rsidR="009B744D" w:rsidRPr="00444714">
        <w:rPr>
          <w:rFonts w:ascii="Times New Roman" w:hAnsi="Times New Roman"/>
        </w:rPr>
        <w:t xml:space="preserve"> to the transfer of that property.</w:t>
      </w:r>
      <w:r w:rsidR="00AA652F" w:rsidRPr="00444714">
        <w:rPr>
          <w:rFonts w:ascii="Times New Roman" w:hAnsi="Times New Roman"/>
        </w:rPr>
        <w:t xml:space="preserve"> </w:t>
      </w:r>
      <w:r w:rsidR="007949DF" w:rsidRPr="00444714">
        <w:rPr>
          <w:rFonts w:ascii="Times New Roman" w:hAnsi="Times New Roman"/>
        </w:rPr>
        <w:t>It</w:t>
      </w:r>
      <w:r w:rsidR="00FF0F80">
        <w:rPr>
          <w:rFonts w:ascii="Times New Roman" w:hAnsi="Times New Roman"/>
        </w:rPr>
        <w:t xml:space="preserve"> </w:t>
      </w:r>
      <w:r w:rsidR="00CB6645" w:rsidRPr="00444714">
        <w:rPr>
          <w:rFonts w:ascii="Times New Roman" w:hAnsi="Times New Roman"/>
        </w:rPr>
        <w:t>is not an evidentiary presumption in the sense of an inference drawn from basic facts.</w:t>
      </w:r>
      <w:r w:rsidR="00AA652F" w:rsidRPr="00444714">
        <w:rPr>
          <w:rFonts w:ascii="Times New Roman" w:hAnsi="Times New Roman"/>
        </w:rPr>
        <w:t xml:space="preserve"> </w:t>
      </w:r>
      <w:r w:rsidR="00B82888" w:rsidRPr="00444714">
        <w:rPr>
          <w:rFonts w:ascii="Times New Roman" w:hAnsi="Times New Roman"/>
        </w:rPr>
        <w:t>It</w:t>
      </w:r>
      <w:r w:rsidR="00FF0F80">
        <w:rPr>
          <w:rFonts w:ascii="Times New Roman" w:hAnsi="Times New Roman"/>
        </w:rPr>
        <w:t xml:space="preserve"> </w:t>
      </w:r>
      <w:r w:rsidR="00B82888" w:rsidRPr="00444714">
        <w:rPr>
          <w:rFonts w:ascii="Times New Roman" w:hAnsi="Times New Roman"/>
        </w:rPr>
        <w:t>is a presumption of law</w:t>
      </w:r>
      <w:r w:rsidR="00896EDE" w:rsidRPr="00444714">
        <w:rPr>
          <w:rFonts w:ascii="Times New Roman" w:hAnsi="Times New Roman"/>
        </w:rPr>
        <w:t>,</w:t>
      </w:r>
      <w:r w:rsidR="002E0C07" w:rsidRPr="00444714">
        <w:rPr>
          <w:rFonts w:ascii="Times New Roman" w:hAnsi="Times New Roman"/>
        </w:rPr>
        <w:t xml:space="preserve"> and</w:t>
      </w:r>
      <w:r w:rsidR="00B82888" w:rsidRPr="00444714">
        <w:rPr>
          <w:rFonts w:ascii="Times New Roman" w:hAnsi="Times New Roman"/>
        </w:rPr>
        <w:t xml:space="preserve"> </w:t>
      </w:r>
      <w:proofErr w:type="spellStart"/>
      <w:r w:rsidR="006B7568" w:rsidRPr="00444714">
        <w:rPr>
          <w:rFonts w:ascii="Times New Roman" w:hAnsi="Times New Roman"/>
        </w:rPr>
        <w:t>Div</w:t>
      </w:r>
      <w:proofErr w:type="spellEnd"/>
      <w:r w:rsidR="00420843" w:rsidRPr="00444714">
        <w:rPr>
          <w:rFonts w:ascii="Times New Roman" w:hAnsi="Times New Roman"/>
        </w:rPr>
        <w:t> </w:t>
      </w:r>
      <w:r w:rsidR="006B7568" w:rsidRPr="00444714">
        <w:rPr>
          <w:rFonts w:ascii="Times New Roman" w:hAnsi="Times New Roman"/>
        </w:rPr>
        <w:t xml:space="preserve">6 </w:t>
      </w:r>
      <w:r w:rsidR="001A1EF0" w:rsidRPr="00444714">
        <w:rPr>
          <w:rFonts w:ascii="Times New Roman" w:hAnsi="Times New Roman"/>
        </w:rPr>
        <w:t xml:space="preserve">– </w:t>
      </w:r>
      <w:r w:rsidR="006B7568" w:rsidRPr="00444714">
        <w:rPr>
          <w:rFonts w:ascii="Times New Roman" w:hAnsi="Times New Roman"/>
        </w:rPr>
        <w:t>and</w:t>
      </w:r>
      <w:proofErr w:type="gramStart"/>
      <w:r w:rsidR="006B7568" w:rsidRPr="00444714">
        <w:rPr>
          <w:rFonts w:ascii="Times New Roman" w:hAnsi="Times New Roman"/>
        </w:rPr>
        <w:t xml:space="preserve">, in particular, </w:t>
      </w:r>
      <w:r w:rsidR="00462B7B" w:rsidRPr="00444714">
        <w:rPr>
          <w:rFonts w:ascii="Times New Roman" w:hAnsi="Times New Roman"/>
        </w:rPr>
        <w:t>the</w:t>
      </w:r>
      <w:proofErr w:type="gramEnd"/>
      <w:r w:rsidR="00462B7B" w:rsidRPr="00444714">
        <w:rPr>
          <w:rFonts w:ascii="Times New Roman" w:hAnsi="Times New Roman"/>
        </w:rPr>
        <w:t xml:space="preserve"> criterion of "is</w:t>
      </w:r>
      <w:r w:rsidR="00FF0F80">
        <w:rPr>
          <w:rFonts w:ascii="Times New Roman" w:hAnsi="Times New Roman"/>
        </w:rPr>
        <w:t xml:space="preserve"> </w:t>
      </w:r>
      <w:r w:rsidR="00462B7B" w:rsidRPr="00444714">
        <w:rPr>
          <w:rFonts w:ascii="Times New Roman" w:hAnsi="Times New Roman"/>
        </w:rPr>
        <w:t>presently entitled" in</w:t>
      </w:r>
      <w:r w:rsidR="00FF0F80">
        <w:rPr>
          <w:rFonts w:ascii="Times New Roman" w:hAnsi="Times New Roman"/>
        </w:rPr>
        <w:t> </w:t>
      </w:r>
      <w:r w:rsidR="006B7568" w:rsidRPr="00444714">
        <w:rPr>
          <w:rFonts w:ascii="Times New Roman" w:hAnsi="Times New Roman"/>
        </w:rPr>
        <w:t>s 97</w:t>
      </w:r>
      <w:r w:rsidR="00602AF1" w:rsidRPr="00444714">
        <w:rPr>
          <w:rFonts w:ascii="Times New Roman" w:hAnsi="Times New Roman"/>
        </w:rPr>
        <w:t>(1)</w:t>
      </w:r>
      <w:r w:rsidR="001A1EF0" w:rsidRPr="00444714">
        <w:rPr>
          <w:rFonts w:ascii="Times New Roman" w:hAnsi="Times New Roman"/>
        </w:rPr>
        <w:t xml:space="preserve"> –</w:t>
      </w:r>
      <w:r w:rsidR="006B7568" w:rsidRPr="00444714">
        <w:rPr>
          <w:rFonts w:ascii="Times New Roman" w:hAnsi="Times New Roman"/>
        </w:rPr>
        <w:t xml:space="preserve"> </w:t>
      </w:r>
      <w:r w:rsidR="00BA21A0" w:rsidRPr="00444714">
        <w:rPr>
          <w:rFonts w:ascii="Times New Roman" w:hAnsi="Times New Roman"/>
        </w:rPr>
        <w:t>is consistent with</w:t>
      </w:r>
      <w:r w:rsidR="009C17FC" w:rsidRPr="00444714">
        <w:rPr>
          <w:rFonts w:ascii="Times New Roman" w:hAnsi="Times New Roman"/>
        </w:rPr>
        <w:t>,</w:t>
      </w:r>
      <w:r w:rsidR="00BA21A0" w:rsidRPr="00444714">
        <w:rPr>
          <w:rFonts w:ascii="Times New Roman" w:hAnsi="Times New Roman"/>
        </w:rPr>
        <w:t xml:space="preserve"> </w:t>
      </w:r>
      <w:r w:rsidR="00747B34" w:rsidRPr="00444714">
        <w:rPr>
          <w:rFonts w:ascii="Times New Roman" w:hAnsi="Times New Roman"/>
        </w:rPr>
        <w:t xml:space="preserve">and operates </w:t>
      </w:r>
      <w:r w:rsidR="00A92EF2" w:rsidRPr="00444714">
        <w:rPr>
          <w:rFonts w:ascii="Times New Roman" w:hAnsi="Times New Roman"/>
        </w:rPr>
        <w:t>on</w:t>
      </w:r>
      <w:r w:rsidR="009C17FC" w:rsidRPr="00444714">
        <w:rPr>
          <w:rFonts w:ascii="Times New Roman" w:hAnsi="Times New Roman"/>
        </w:rPr>
        <w:t>,</w:t>
      </w:r>
      <w:r w:rsidR="00A92EF2" w:rsidRPr="00444714">
        <w:rPr>
          <w:rFonts w:ascii="Times New Roman" w:hAnsi="Times New Roman"/>
        </w:rPr>
        <w:t xml:space="preserve"> </w:t>
      </w:r>
      <w:r w:rsidR="009C17FC" w:rsidRPr="00444714">
        <w:rPr>
          <w:rFonts w:ascii="Times New Roman" w:hAnsi="Times New Roman"/>
        </w:rPr>
        <w:t xml:space="preserve">the </w:t>
      </w:r>
      <w:r w:rsidR="00BA21A0" w:rsidRPr="00444714">
        <w:rPr>
          <w:rFonts w:ascii="Times New Roman" w:hAnsi="Times New Roman"/>
        </w:rPr>
        <w:t>presumption of law of</w:t>
      </w:r>
      <w:r w:rsidR="00BA21A0" w:rsidRPr="00444714" w:rsidDel="001F48D3">
        <w:rPr>
          <w:rFonts w:ascii="Times New Roman" w:hAnsi="Times New Roman"/>
        </w:rPr>
        <w:t xml:space="preserve"> </w:t>
      </w:r>
      <w:r w:rsidR="00260204" w:rsidRPr="00444714">
        <w:rPr>
          <w:rFonts w:ascii="Times New Roman" w:hAnsi="Times New Roman"/>
        </w:rPr>
        <w:t>assent</w:t>
      </w:r>
      <w:r w:rsidR="00285727" w:rsidRPr="00444714">
        <w:rPr>
          <w:rFonts w:ascii="Times New Roman" w:hAnsi="Times New Roman"/>
        </w:rPr>
        <w:t>.</w:t>
      </w:r>
      <w:r w:rsidR="00AA652F" w:rsidRPr="00444714">
        <w:rPr>
          <w:rFonts w:ascii="Times New Roman" w:hAnsi="Times New Roman"/>
        </w:rPr>
        <w:t xml:space="preserve"> </w:t>
      </w:r>
      <w:r w:rsidR="00A768ED" w:rsidRPr="00444714">
        <w:rPr>
          <w:rFonts w:ascii="Times New Roman" w:hAnsi="Times New Roman"/>
        </w:rPr>
        <w:t>On the facts in this appeal, t</w:t>
      </w:r>
      <w:r w:rsidR="006113DE" w:rsidRPr="00444714">
        <w:rPr>
          <w:rFonts w:ascii="Times New Roman" w:hAnsi="Times New Roman"/>
        </w:rPr>
        <w:t xml:space="preserve">hat presumption applied </w:t>
      </w:r>
      <w:r w:rsidR="004221E0" w:rsidRPr="00444714">
        <w:rPr>
          <w:rFonts w:ascii="Times New Roman" w:hAnsi="Times New Roman"/>
        </w:rPr>
        <w:t>immediately before</w:t>
      </w:r>
      <w:r w:rsidR="006113DE" w:rsidRPr="00444714">
        <w:rPr>
          <w:rFonts w:ascii="Times New Roman" w:hAnsi="Times New Roman"/>
        </w:rPr>
        <w:t xml:space="preserve"> the end of the 2014 income </w:t>
      </w:r>
      <w:r w:rsidR="00954C52" w:rsidRPr="00444714">
        <w:rPr>
          <w:rFonts w:ascii="Times New Roman" w:hAnsi="Times New Roman"/>
        </w:rPr>
        <w:t xml:space="preserve">year </w:t>
      </w:r>
      <w:r w:rsidR="004B6A7A" w:rsidRPr="00444714">
        <w:rPr>
          <w:rFonts w:ascii="Times New Roman" w:hAnsi="Times New Roman"/>
        </w:rPr>
        <w:t>to the operation at law of cl 3.7 of the Trust Deed</w:t>
      </w:r>
      <w:r w:rsidR="00545673" w:rsidRPr="00444714">
        <w:rPr>
          <w:rFonts w:ascii="Times New Roman" w:hAnsi="Times New Roman"/>
        </w:rPr>
        <w:t>.</w:t>
      </w:r>
    </w:p>
    <w:p w14:paraId="5ED911DB" w14:textId="6AAACFFB" w:rsidR="001610DC" w:rsidRPr="00444714" w:rsidRDefault="00A629EE" w:rsidP="00444714">
      <w:pPr>
        <w:pStyle w:val="FixListStyle"/>
        <w:spacing w:after="260" w:line="280" w:lineRule="exact"/>
        <w:ind w:right="0"/>
        <w:jc w:val="both"/>
        <w:rPr>
          <w:rFonts w:ascii="Times New Roman" w:hAnsi="Times New Roman"/>
        </w:rPr>
      </w:pPr>
      <w:r w:rsidRPr="00444714">
        <w:rPr>
          <w:rFonts w:ascii="Times New Roman" w:hAnsi="Times New Roman"/>
        </w:rPr>
        <w:tab/>
      </w:r>
      <w:r w:rsidR="00E16DCC" w:rsidRPr="00444714">
        <w:rPr>
          <w:rFonts w:ascii="Times New Roman" w:hAnsi="Times New Roman"/>
        </w:rPr>
        <w:t xml:space="preserve">The argument made by the respondents about assent is met by the </w:t>
      </w:r>
      <w:r w:rsidR="005072BE" w:rsidRPr="00444714">
        <w:rPr>
          <w:rFonts w:ascii="Times New Roman" w:hAnsi="Times New Roman"/>
        </w:rPr>
        <w:t xml:space="preserve">presumption of law described in </w:t>
      </w:r>
      <w:r w:rsidR="005072BE" w:rsidRPr="00444714">
        <w:rPr>
          <w:rFonts w:ascii="Times New Roman" w:hAnsi="Times New Roman"/>
          <w:i/>
        </w:rPr>
        <w:t>Matthews</w:t>
      </w:r>
      <w:r w:rsidR="00354018" w:rsidRPr="00444714">
        <w:rPr>
          <w:rFonts w:ascii="Times New Roman" w:hAnsi="Times New Roman"/>
          <w:i/>
        </w:rPr>
        <w:t xml:space="preserve"> v Matthews</w:t>
      </w:r>
      <w:r w:rsidR="00E33BE3" w:rsidRPr="00444714">
        <w:rPr>
          <w:rStyle w:val="FootnoteReference"/>
          <w:rFonts w:ascii="Times New Roman" w:hAnsi="Times New Roman"/>
          <w:sz w:val="24"/>
        </w:rPr>
        <w:footnoteReference w:id="34"/>
      </w:r>
      <w:r w:rsidR="00905D62" w:rsidRPr="00444714">
        <w:rPr>
          <w:rFonts w:ascii="Times New Roman" w:hAnsi="Times New Roman"/>
        </w:rPr>
        <w:t>.</w:t>
      </w:r>
      <w:r w:rsidR="00AA652F" w:rsidRPr="00444714">
        <w:rPr>
          <w:rFonts w:ascii="Times New Roman" w:hAnsi="Times New Roman"/>
        </w:rPr>
        <w:t xml:space="preserve"> </w:t>
      </w:r>
      <w:r w:rsidR="001D08FF" w:rsidRPr="00444714">
        <w:rPr>
          <w:rFonts w:ascii="Times New Roman" w:hAnsi="Times New Roman"/>
        </w:rPr>
        <w:t>The</w:t>
      </w:r>
      <w:r w:rsidR="007C3620">
        <w:rPr>
          <w:rFonts w:ascii="Times New Roman" w:hAnsi="Times New Roman"/>
        </w:rPr>
        <w:t xml:space="preserve"> </w:t>
      </w:r>
      <w:r w:rsidR="001D08FF" w:rsidRPr="00444714">
        <w:rPr>
          <w:rFonts w:ascii="Times New Roman" w:hAnsi="Times New Roman"/>
        </w:rPr>
        <w:t>premise of the respondents</w:t>
      </w:r>
      <w:r w:rsidR="005072BE" w:rsidRPr="00444714">
        <w:rPr>
          <w:rFonts w:ascii="Times New Roman" w:hAnsi="Times New Roman"/>
        </w:rPr>
        <w:t>'</w:t>
      </w:r>
      <w:r w:rsidR="001D08FF" w:rsidRPr="00444714">
        <w:rPr>
          <w:rFonts w:ascii="Times New Roman" w:hAnsi="Times New Roman"/>
        </w:rPr>
        <w:t xml:space="preserve"> argument, that assent </w:t>
      </w:r>
      <w:r w:rsidR="005072BE" w:rsidRPr="00444714">
        <w:rPr>
          <w:rFonts w:ascii="Times New Roman" w:hAnsi="Times New Roman"/>
        </w:rPr>
        <w:t xml:space="preserve">to distribution </w:t>
      </w:r>
      <w:r w:rsidR="001D08FF" w:rsidRPr="00444714">
        <w:rPr>
          <w:rFonts w:ascii="Times New Roman" w:hAnsi="Times New Roman"/>
        </w:rPr>
        <w:t>is necessary, was</w:t>
      </w:r>
      <w:r w:rsidR="007C3620">
        <w:rPr>
          <w:rFonts w:ascii="Times New Roman" w:hAnsi="Times New Roman"/>
        </w:rPr>
        <w:t xml:space="preserve"> </w:t>
      </w:r>
      <w:r w:rsidR="001D08FF" w:rsidRPr="00444714">
        <w:rPr>
          <w:rFonts w:ascii="Times New Roman" w:hAnsi="Times New Roman"/>
        </w:rPr>
        <w:t xml:space="preserve">not </w:t>
      </w:r>
      <w:r w:rsidR="005A7D2B" w:rsidRPr="00444714">
        <w:rPr>
          <w:rFonts w:ascii="Times New Roman" w:hAnsi="Times New Roman"/>
        </w:rPr>
        <w:t>dispute</w:t>
      </w:r>
      <w:r w:rsidR="00A536E5" w:rsidRPr="00444714">
        <w:rPr>
          <w:rFonts w:ascii="Times New Roman" w:hAnsi="Times New Roman"/>
        </w:rPr>
        <w:t>d by the Commissioner</w:t>
      </w:r>
      <w:r w:rsidR="005A7D2B" w:rsidRPr="00444714">
        <w:rPr>
          <w:rFonts w:ascii="Times New Roman" w:hAnsi="Times New Roman"/>
        </w:rPr>
        <w:t>.</w:t>
      </w:r>
      <w:r w:rsidR="00AA652F" w:rsidRPr="00444714">
        <w:rPr>
          <w:rFonts w:ascii="Times New Roman" w:hAnsi="Times New Roman"/>
        </w:rPr>
        <w:t xml:space="preserve"> </w:t>
      </w:r>
      <w:r w:rsidR="009E6762" w:rsidRPr="00444714">
        <w:rPr>
          <w:rFonts w:ascii="Times New Roman" w:hAnsi="Times New Roman"/>
        </w:rPr>
        <w:t xml:space="preserve">Argument proceeding as it did, this is not the case to examine </w:t>
      </w:r>
      <w:r w:rsidR="002469A0" w:rsidRPr="00444714">
        <w:rPr>
          <w:rFonts w:ascii="Times New Roman" w:hAnsi="Times New Roman"/>
        </w:rPr>
        <w:t xml:space="preserve">whether </w:t>
      </w:r>
      <w:r w:rsidR="00C20507" w:rsidRPr="00444714">
        <w:rPr>
          <w:rFonts w:ascii="Times New Roman" w:hAnsi="Times New Roman"/>
        </w:rPr>
        <w:t xml:space="preserve">any wider questions </w:t>
      </w:r>
      <w:r w:rsidR="0099624C" w:rsidRPr="00444714">
        <w:rPr>
          <w:rFonts w:ascii="Times New Roman" w:hAnsi="Times New Roman"/>
        </w:rPr>
        <w:t xml:space="preserve">arise </w:t>
      </w:r>
      <w:r w:rsidR="00C20507" w:rsidRPr="00444714">
        <w:rPr>
          <w:rFonts w:ascii="Times New Roman" w:hAnsi="Times New Roman"/>
        </w:rPr>
        <w:t xml:space="preserve">about </w:t>
      </w:r>
      <w:r w:rsidR="0006787D" w:rsidRPr="00444714">
        <w:rPr>
          <w:rFonts w:ascii="Times New Roman" w:hAnsi="Times New Roman"/>
        </w:rPr>
        <w:t xml:space="preserve">distributions </w:t>
      </w:r>
      <w:r w:rsidR="004A4E91" w:rsidRPr="00444714">
        <w:rPr>
          <w:rFonts w:ascii="Times New Roman" w:hAnsi="Times New Roman"/>
        </w:rPr>
        <w:t>or disclaimers</w:t>
      </w:r>
      <w:r w:rsidR="001610DC" w:rsidRPr="00444714">
        <w:rPr>
          <w:rFonts w:ascii="Times New Roman" w:hAnsi="Times New Roman"/>
        </w:rPr>
        <w:t>.</w:t>
      </w:r>
    </w:p>
    <w:p w14:paraId="27A371DD" w14:textId="74D5BBA1" w:rsidR="000704F5" w:rsidRPr="00444714" w:rsidRDefault="000704F5" w:rsidP="00444714">
      <w:pPr>
        <w:pStyle w:val="HeadingL1"/>
        <w:spacing w:after="260" w:line="280" w:lineRule="exact"/>
        <w:ind w:right="0"/>
        <w:jc w:val="both"/>
        <w:rPr>
          <w:rFonts w:ascii="Times New Roman" w:hAnsi="Times New Roman"/>
        </w:rPr>
      </w:pPr>
      <w:r w:rsidRPr="00444714">
        <w:rPr>
          <w:rFonts w:ascii="Times New Roman" w:hAnsi="Times New Roman"/>
        </w:rPr>
        <w:lastRenderedPageBreak/>
        <w:t>Conclusions and orders</w:t>
      </w:r>
    </w:p>
    <w:p w14:paraId="6D500AA0" w14:textId="77777777" w:rsidR="00AE3BDE" w:rsidRDefault="000704F5" w:rsidP="00444714">
      <w:pPr>
        <w:pStyle w:val="FixListStyle"/>
        <w:spacing w:after="260" w:line="280" w:lineRule="exact"/>
        <w:ind w:right="0"/>
        <w:jc w:val="both"/>
        <w:rPr>
          <w:rFonts w:ascii="Times New Roman" w:hAnsi="Times New Roman"/>
        </w:rPr>
      </w:pPr>
      <w:r w:rsidRPr="00444714">
        <w:rPr>
          <w:rFonts w:ascii="Times New Roman" w:hAnsi="Times New Roman"/>
        </w:rPr>
        <w:tab/>
        <w:t>The appeal should be allowed.</w:t>
      </w:r>
      <w:r w:rsidR="00AA652F" w:rsidRPr="00444714">
        <w:rPr>
          <w:rFonts w:ascii="Times New Roman" w:hAnsi="Times New Roman"/>
        </w:rPr>
        <w:t xml:space="preserve"> </w:t>
      </w:r>
      <w:r w:rsidR="00306052" w:rsidRPr="00444714">
        <w:rPr>
          <w:rFonts w:ascii="Times New Roman" w:hAnsi="Times New Roman"/>
        </w:rPr>
        <w:t xml:space="preserve">Orders 1 and 2 </w:t>
      </w:r>
      <w:r w:rsidR="000014AE" w:rsidRPr="00444714">
        <w:rPr>
          <w:rFonts w:ascii="Times New Roman" w:hAnsi="Times New Roman"/>
        </w:rPr>
        <w:t>of the Full Court of the Federal Court of 10 September 202</w:t>
      </w:r>
      <w:r w:rsidR="00306052" w:rsidRPr="00444714">
        <w:rPr>
          <w:rFonts w:ascii="Times New Roman" w:hAnsi="Times New Roman"/>
        </w:rPr>
        <w:t>0</w:t>
      </w:r>
      <w:r w:rsidR="00020C70" w:rsidRPr="00444714">
        <w:rPr>
          <w:rFonts w:ascii="Times New Roman" w:hAnsi="Times New Roman"/>
        </w:rPr>
        <w:t xml:space="preserve"> </w:t>
      </w:r>
      <w:r w:rsidR="00306052" w:rsidRPr="00444714">
        <w:rPr>
          <w:rFonts w:ascii="Times New Roman" w:hAnsi="Times New Roman"/>
        </w:rPr>
        <w:t>should be set aside and</w:t>
      </w:r>
      <w:r w:rsidR="00F64B77" w:rsidRPr="00444714">
        <w:rPr>
          <w:rFonts w:ascii="Times New Roman" w:hAnsi="Times New Roman"/>
        </w:rPr>
        <w:t>,</w:t>
      </w:r>
      <w:r w:rsidR="00306052" w:rsidRPr="00444714">
        <w:rPr>
          <w:rFonts w:ascii="Times New Roman" w:hAnsi="Times New Roman"/>
        </w:rPr>
        <w:t xml:space="preserve"> in their place, </w:t>
      </w:r>
      <w:r w:rsidR="00B73302" w:rsidRPr="00444714">
        <w:rPr>
          <w:rFonts w:ascii="Times New Roman" w:hAnsi="Times New Roman"/>
        </w:rPr>
        <w:t xml:space="preserve">it be </w:t>
      </w:r>
      <w:r w:rsidR="00306052" w:rsidRPr="00444714">
        <w:rPr>
          <w:rFonts w:ascii="Times New Roman" w:hAnsi="Times New Roman"/>
        </w:rPr>
        <w:t>order</w:t>
      </w:r>
      <w:r w:rsidR="00B73302" w:rsidRPr="00444714">
        <w:rPr>
          <w:rFonts w:ascii="Times New Roman" w:hAnsi="Times New Roman"/>
        </w:rPr>
        <w:t>ed</w:t>
      </w:r>
      <w:r w:rsidR="00306052" w:rsidRPr="00444714">
        <w:rPr>
          <w:rFonts w:ascii="Times New Roman" w:hAnsi="Times New Roman"/>
        </w:rPr>
        <w:t xml:space="preserve"> that the appeal is dismissed.</w:t>
      </w:r>
    </w:p>
    <w:p w14:paraId="59DF1E78" w14:textId="77777777" w:rsidR="00AE3BDE" w:rsidRDefault="00AE3BDE" w:rsidP="00444714">
      <w:pPr>
        <w:pStyle w:val="FixListStyle"/>
        <w:spacing w:after="260" w:line="280" w:lineRule="exact"/>
        <w:ind w:right="0"/>
        <w:jc w:val="both"/>
        <w:rPr>
          <w:rFonts w:ascii="Times New Roman" w:hAnsi="Times New Roman"/>
        </w:rPr>
        <w:sectPr w:rsidR="00AE3BDE" w:rsidSect="000B5E2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7A0D3E7" w14:textId="77777777" w:rsidR="00AE3BDE" w:rsidRPr="00B52C12" w:rsidRDefault="00AE3BDE" w:rsidP="00642F64">
      <w:pPr>
        <w:pStyle w:val="NormalBody"/>
        <w:tabs>
          <w:tab w:val="clear" w:pos="720"/>
          <w:tab w:val="left" w:pos="0"/>
        </w:tabs>
        <w:spacing w:after="260" w:line="280" w:lineRule="exact"/>
        <w:ind w:right="0"/>
        <w:jc w:val="both"/>
        <w:rPr>
          <w:rFonts w:ascii="Times New Roman" w:hAnsi="Times New Roman"/>
        </w:rPr>
      </w:pPr>
      <w:r w:rsidRPr="00B52C12">
        <w:rPr>
          <w:rFonts w:ascii="Times New Roman" w:hAnsi="Times New Roman"/>
        </w:rPr>
        <w:lastRenderedPageBreak/>
        <w:t xml:space="preserve">EDELMAN J.   </w:t>
      </w:r>
    </w:p>
    <w:p w14:paraId="2FEE2820" w14:textId="77777777" w:rsidR="00AE3BDE" w:rsidRPr="00B52C12" w:rsidRDefault="00AE3BDE" w:rsidP="00642F64">
      <w:pPr>
        <w:pStyle w:val="HeadingL1"/>
        <w:spacing w:after="260" w:line="280" w:lineRule="exact"/>
        <w:ind w:right="0"/>
        <w:jc w:val="both"/>
        <w:rPr>
          <w:rFonts w:ascii="Times New Roman" w:hAnsi="Times New Roman"/>
        </w:rPr>
      </w:pPr>
      <w:r w:rsidRPr="00B52C12">
        <w:rPr>
          <w:rFonts w:ascii="Times New Roman" w:hAnsi="Times New Roman"/>
        </w:rPr>
        <w:t>Two connected issues</w:t>
      </w:r>
    </w:p>
    <w:p w14:paraId="5E8619FB"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I have had the considerable benefit of reading the joint reasons of </w:t>
      </w:r>
      <w:proofErr w:type="spellStart"/>
      <w:r w:rsidRPr="00B52C12">
        <w:rPr>
          <w:rFonts w:ascii="Times New Roman" w:hAnsi="Times New Roman"/>
        </w:rPr>
        <w:t>Gageler</w:t>
      </w:r>
      <w:proofErr w:type="spellEnd"/>
      <w:r w:rsidRPr="00B52C12">
        <w:rPr>
          <w:rFonts w:ascii="Times New Roman" w:hAnsi="Times New Roman"/>
        </w:rPr>
        <w:t xml:space="preserve">, Gordon, Steward and Gleeson JJ. I agree entirely with their reasons concerning the interpretation of "is presently entitled" in s 97(1) of the </w:t>
      </w:r>
      <w:r w:rsidRPr="00B52C12">
        <w:rPr>
          <w:rFonts w:ascii="Times New Roman" w:hAnsi="Times New Roman"/>
          <w:i/>
          <w:iCs/>
        </w:rPr>
        <w:t>Income Tax Assessment Act 1936</w:t>
      </w:r>
      <w:r w:rsidRPr="00B52C12">
        <w:rPr>
          <w:rFonts w:ascii="Times New Roman" w:hAnsi="Times New Roman"/>
          <w:iCs/>
        </w:rPr>
        <w:t> </w:t>
      </w:r>
      <w:r w:rsidRPr="00B52C12">
        <w:rPr>
          <w:rFonts w:ascii="Times New Roman" w:hAnsi="Times New Roman"/>
        </w:rPr>
        <w:t>(</w:t>
      </w:r>
      <w:proofErr w:type="spellStart"/>
      <w:r w:rsidRPr="00B52C12">
        <w:rPr>
          <w:rFonts w:ascii="Times New Roman" w:hAnsi="Times New Roman"/>
        </w:rPr>
        <w:t>Cth</w:t>
      </w:r>
      <w:proofErr w:type="spellEnd"/>
      <w:r w:rsidRPr="00B52C12">
        <w:rPr>
          <w:rFonts w:ascii="Times New Roman" w:hAnsi="Times New Roman"/>
        </w:rPr>
        <w:t>)</w:t>
      </w:r>
      <w:r w:rsidRPr="00B52C12">
        <w:rPr>
          <w:rStyle w:val="FootnoteReference"/>
          <w:rFonts w:ascii="Times New Roman" w:hAnsi="Times New Roman"/>
          <w:sz w:val="24"/>
        </w:rPr>
        <w:footnoteReference w:id="35"/>
      </w:r>
      <w:r w:rsidRPr="00B52C12">
        <w:rPr>
          <w:rFonts w:ascii="Times New Roman" w:hAnsi="Times New Roman"/>
        </w:rPr>
        <w:t xml:space="preserve">. A "present entitlement" to a share of the income of the trust estate in s 97(1) is an entitlement at the "present" time of the determination, being the end of the relevant financial year, </w:t>
      </w:r>
      <w:proofErr w:type="gramStart"/>
      <w:r w:rsidRPr="00B52C12">
        <w:rPr>
          <w:rFonts w:ascii="Times New Roman" w:hAnsi="Times New Roman"/>
        </w:rPr>
        <w:t>whether or not</w:t>
      </w:r>
      <w:proofErr w:type="gramEnd"/>
      <w:r w:rsidRPr="00B52C12">
        <w:rPr>
          <w:rFonts w:ascii="Times New Roman" w:hAnsi="Times New Roman"/>
        </w:rPr>
        <w:t xml:space="preserve"> that entitlement is later the subject of defeasance by a disclaimer.</w:t>
      </w:r>
    </w:p>
    <w:p w14:paraId="599FA187"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The resolution of this issue of interpretation is logically anterior, although necessarily connected, to the issues raised by the parties concerning the content and effect of the Third Disclaimers. The interpretation adopted by the joint reasons answers the issue of how a disclaimer operates under s 97(1). But the submissions of the parties concerning the operation of the Third Disclaimers, including the references in those submissions to "presumptions" and "assent", cannot be addressed without dealing with an error in an assumption of the parties about the operation of disclaimers in equity. That assumption was made by the parties in this Court as well as in the Full Court of the Federal Court of Australia and in the Administrative Appeals Tribunal.</w:t>
      </w:r>
    </w:p>
    <w:p w14:paraId="5C048EBC"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The assumption of the parties was that the creation or increase in value of equitable rights is incomplete until affirmed by the beneficiary. That is, until affirmed, a declaration of trust, or an event increasing the value of the subject matter of a trust, would be inchoate, resting only upon a "presumed" assent by the beneficiary. This assumption was applied to the operation of the default distribution clause in the Trust Deed for the Whitby Trust, where income from the Trust was "distributed" in the sense that it was held on a separate trust for the Primary Beneficiaries. Thus, the parties assumed that the validity of the creation of the separate trust, or (if the separate trust already existed) the validity of the increase in the value of the subject matter of any existing trust for the Primary Beneficiaries, depended upon a "presumption", in each case, that the Primary Beneficiaries had assented to that creation or increase.</w:t>
      </w:r>
    </w:p>
    <w:p w14:paraId="35E4A235"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The assumption that there is a "presumption" of assent in such circumstances was thought to be supported by the notion that a disclaimer operates to rebut a "presumption" of assent. In </w:t>
      </w:r>
      <w:proofErr w:type="gramStart"/>
      <w:r w:rsidRPr="00B52C12">
        <w:rPr>
          <w:rFonts w:ascii="Times New Roman" w:hAnsi="Times New Roman"/>
        </w:rPr>
        <w:t>making the assumption</w:t>
      </w:r>
      <w:proofErr w:type="gramEnd"/>
      <w:r w:rsidRPr="00B52C12">
        <w:rPr>
          <w:rFonts w:ascii="Times New Roman" w:hAnsi="Times New Roman"/>
        </w:rPr>
        <w:t xml:space="preserve"> in his submissions, </w:t>
      </w:r>
      <w:r w:rsidRPr="00B52C12">
        <w:rPr>
          <w:rFonts w:ascii="Times New Roman" w:hAnsi="Times New Roman"/>
        </w:rPr>
        <w:lastRenderedPageBreak/>
        <w:t>the Commissioner of Taxation drew from remarks in cases concerning gifts of common law rights</w:t>
      </w:r>
      <w:r w:rsidRPr="00B52C12">
        <w:rPr>
          <w:rStyle w:val="FootnoteReference"/>
          <w:rFonts w:ascii="Times New Roman" w:hAnsi="Times New Roman"/>
          <w:sz w:val="24"/>
        </w:rPr>
        <w:footnoteReference w:id="36"/>
      </w:r>
      <w:r w:rsidRPr="00B52C12">
        <w:rPr>
          <w:rFonts w:ascii="Times New Roman" w:hAnsi="Times New Roman"/>
        </w:rPr>
        <w:t xml:space="preserve"> and made the following submission in this Court:</w:t>
      </w:r>
    </w:p>
    <w:p w14:paraId="1F2F91EA" w14:textId="77777777" w:rsidR="00AE3BDE" w:rsidRDefault="00AE3BDE" w:rsidP="00642F64">
      <w:pPr>
        <w:pStyle w:val="LeftrightafterHC"/>
        <w:spacing w:before="0" w:after="260" w:line="280" w:lineRule="exact"/>
        <w:ind w:right="0"/>
        <w:jc w:val="both"/>
        <w:rPr>
          <w:rFonts w:ascii="Times New Roman" w:hAnsi="Times New Roman"/>
        </w:rPr>
      </w:pPr>
      <w:r w:rsidRPr="00B52C12">
        <w:rPr>
          <w:rFonts w:ascii="Times New Roman" w:hAnsi="Times New Roman"/>
        </w:rPr>
        <w:t>"the key conclusions are these. A disclaimer operates to refute the legal presumption of assent to a gift. It thereby operates to prevent the perfection of the transfer of title contemplated by the gift."</w:t>
      </w:r>
    </w:p>
    <w:p w14:paraId="7EFD7C7F"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The assumption is based upon two faulty premises. The first premise is that there is a role for the assent of a beneficiary in the creation of a trust or the increase in the value of equitable rights. The second premise is that a "gift" of common law rights operates according to the same principles as a "gift" of rights in equity. The flaws in these premises aside, there are also serious difficulties even with the concept of a "presumption" of </w:t>
      </w:r>
      <w:proofErr w:type="spellStart"/>
      <w:r w:rsidRPr="00B52C12">
        <w:rPr>
          <w:rFonts w:ascii="Times New Roman" w:hAnsi="Times New Roman"/>
        </w:rPr>
        <w:t>donee</w:t>
      </w:r>
      <w:proofErr w:type="spellEnd"/>
      <w:r w:rsidRPr="00B52C12">
        <w:rPr>
          <w:rFonts w:ascii="Times New Roman" w:hAnsi="Times New Roman"/>
        </w:rPr>
        <w:t xml:space="preserve"> assent as a universal principle at common law. None of these faulty premises or difficulties is required by the doctrine of disclaimer, the effect of which will depend upon the reason that it is being invoked.</w:t>
      </w:r>
    </w:p>
    <w:p w14:paraId="5D9E00B5" w14:textId="77777777" w:rsidR="00AE3BDE" w:rsidRPr="00B52C12" w:rsidRDefault="00AE3BDE" w:rsidP="00642F64">
      <w:pPr>
        <w:pStyle w:val="HeadingL1"/>
        <w:spacing w:after="260" w:line="280" w:lineRule="exact"/>
        <w:ind w:right="0"/>
        <w:jc w:val="both"/>
        <w:rPr>
          <w:rFonts w:ascii="Times New Roman" w:hAnsi="Times New Roman"/>
        </w:rPr>
      </w:pPr>
      <w:r w:rsidRPr="00B52C12">
        <w:rPr>
          <w:rFonts w:ascii="Times New Roman" w:hAnsi="Times New Roman"/>
        </w:rPr>
        <w:t>Assent of a beneficiary is unnecessary for the creation of a trust or increase in the value of equitable rights</w:t>
      </w:r>
    </w:p>
    <w:p w14:paraId="118E013D"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As to the first faulty premise, the assent of a beneficiary is irrelevant to the creation of equitable rights by an unconditional declaration of trust. </w:t>
      </w:r>
      <w:proofErr w:type="gramStart"/>
      <w:r w:rsidRPr="00B52C12">
        <w:rPr>
          <w:rFonts w:ascii="Times New Roman" w:hAnsi="Times New Roman"/>
        </w:rPr>
        <w:t>A fortiori</w:t>
      </w:r>
      <w:proofErr w:type="gramEnd"/>
      <w:r w:rsidRPr="00B52C12">
        <w:rPr>
          <w:rFonts w:ascii="Times New Roman" w:hAnsi="Times New Roman"/>
        </w:rPr>
        <w:t>, the assent of a beneficiary is irrelevant to the notional allocation of income, increasing the value of equitable rights of a beneficiary, under a default distribution clause such as cl 3.7 of the Trust Deed for the Whitby Trust. Assent need not be proved by any evidence nor by any "presumption": a "</w:t>
      </w:r>
      <w:r w:rsidRPr="00B52C12">
        <w:rPr>
          <w:rFonts w:ascii="Times New Roman" w:hAnsi="Times New Roman"/>
          <w:szCs w:val="24"/>
        </w:rPr>
        <w:t>declaration of trust would be fully effective even though it did not come to the notice of the beneficiary"</w:t>
      </w:r>
      <w:r w:rsidRPr="00B52C12">
        <w:rPr>
          <w:rStyle w:val="FootnoteReference"/>
          <w:rFonts w:ascii="Times New Roman" w:hAnsi="Times New Roman"/>
          <w:sz w:val="24"/>
          <w:szCs w:val="24"/>
        </w:rPr>
        <w:footnoteReference w:id="37"/>
      </w:r>
      <w:r w:rsidRPr="00B52C12">
        <w:rPr>
          <w:rFonts w:ascii="Times New Roman" w:hAnsi="Times New Roman"/>
        </w:rPr>
        <w:t>. Indeed, neither a declaration of trust nor the increase in value of an entitlement under the trust requires the existence of a beneficiary. Trusts can be validly declared for charitable purposes or in favour of unborn persons</w:t>
      </w:r>
      <w:r w:rsidRPr="00B52C12">
        <w:rPr>
          <w:rStyle w:val="FootnoteReference"/>
          <w:rFonts w:ascii="Times New Roman" w:hAnsi="Times New Roman"/>
          <w:sz w:val="24"/>
        </w:rPr>
        <w:footnoteReference w:id="38"/>
      </w:r>
      <w:r w:rsidRPr="00B52C12">
        <w:rPr>
          <w:rFonts w:ascii="Times New Roman" w:hAnsi="Times New Roman"/>
        </w:rPr>
        <w:t>. It would be a nonsense to speak of the assent of a charitable purpose or the assent of an unborn child either to the creation of a trust or to the increase in the value of rights under a trust.</w:t>
      </w:r>
    </w:p>
    <w:p w14:paraId="0FD240B4"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The irrelevance of the assent of a beneficiary to the formation of a perfect trust was the subject of the decision of the House of Lords in </w:t>
      </w:r>
      <w:r w:rsidRPr="00B52C12">
        <w:rPr>
          <w:rFonts w:ascii="Times New Roman" w:hAnsi="Times New Roman"/>
          <w:i/>
          <w:iCs/>
        </w:rPr>
        <w:t xml:space="preserve">Lady Naas v </w:t>
      </w:r>
      <w:r w:rsidRPr="00B52C12">
        <w:rPr>
          <w:rFonts w:ascii="Times New Roman" w:hAnsi="Times New Roman"/>
          <w:i/>
          <w:iCs/>
        </w:rPr>
        <w:lastRenderedPageBreak/>
        <w:t>Westminster Bank Ltd</w:t>
      </w:r>
      <w:r w:rsidRPr="00B52C12">
        <w:rPr>
          <w:rStyle w:val="FootnoteReference"/>
          <w:rFonts w:ascii="Times New Roman" w:hAnsi="Times New Roman"/>
          <w:sz w:val="24"/>
        </w:rPr>
        <w:footnoteReference w:id="39"/>
      </w:r>
      <w:r w:rsidRPr="00B52C12">
        <w:rPr>
          <w:rFonts w:ascii="Times New Roman" w:hAnsi="Times New Roman"/>
        </w:rPr>
        <w:t>. That case concerned a trust settlement in favour of Lady Naas and an infant. The settlement was contained in a deed of covenant which provided for execution by the settlor, by the respondent bank as trustee, and by Lady Naas. The settlor and the bank executed the deed but, following delays, Lady Naas did not execute it. Lord Wright said that the "crucial issue" was whether the beneficial interest had vested "immediately on execution" of the deed without execution or any other action by Lady Naas</w:t>
      </w:r>
      <w:r w:rsidRPr="00B52C12">
        <w:rPr>
          <w:rStyle w:val="FootnoteReference"/>
          <w:rFonts w:ascii="Times New Roman" w:hAnsi="Times New Roman"/>
          <w:sz w:val="24"/>
        </w:rPr>
        <w:footnoteReference w:id="40"/>
      </w:r>
      <w:r w:rsidRPr="00B52C12">
        <w:rPr>
          <w:rFonts w:ascii="Times New Roman" w:hAnsi="Times New Roman"/>
        </w:rPr>
        <w:t>.</w:t>
      </w:r>
    </w:p>
    <w:p w14:paraId="1008EE12"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The House of Lords unanimously held that a trust had been perfectly constituted upon execution by the settlor. Lord Russell of </w:t>
      </w:r>
      <w:proofErr w:type="spellStart"/>
      <w:r w:rsidRPr="00B52C12">
        <w:rPr>
          <w:rFonts w:ascii="Times New Roman" w:hAnsi="Times New Roman"/>
        </w:rPr>
        <w:t>Killowen</w:t>
      </w:r>
      <w:proofErr w:type="spellEnd"/>
      <w:r w:rsidRPr="00B52C12">
        <w:rPr>
          <w:rFonts w:ascii="Times New Roman" w:hAnsi="Times New Roman"/>
        </w:rPr>
        <w:t xml:space="preserve"> (with whom Lord Romer agreed) rejected the approach taken by Scott and Clauson LJJ in the Court of Appeal as one that erroneously appeared "to have dealt with the matter as if it lay in contract and was governed by the rules as to offer and acceptance"</w:t>
      </w:r>
      <w:r w:rsidRPr="00B52C12">
        <w:rPr>
          <w:rStyle w:val="FootnoteReference"/>
          <w:rFonts w:ascii="Times New Roman" w:hAnsi="Times New Roman"/>
          <w:sz w:val="24"/>
        </w:rPr>
        <w:footnoteReference w:id="41"/>
      </w:r>
      <w:r w:rsidRPr="00B52C12">
        <w:rPr>
          <w:rFonts w:ascii="Times New Roman" w:hAnsi="Times New Roman"/>
        </w:rPr>
        <w:t>. Lord Wright also rejected the notion that the covenant containing a trust settlement "was to be construed as a consensual document requiring for its operation that [Lady Naas] should concur in it by executing it"</w:t>
      </w:r>
      <w:r w:rsidRPr="00B52C12">
        <w:rPr>
          <w:rStyle w:val="FootnoteReference"/>
          <w:rFonts w:ascii="Times New Roman" w:hAnsi="Times New Roman"/>
          <w:sz w:val="24"/>
        </w:rPr>
        <w:footnoteReference w:id="42"/>
      </w:r>
      <w:r w:rsidRPr="00B52C12">
        <w:rPr>
          <w:rFonts w:ascii="Times New Roman" w:hAnsi="Times New Roman"/>
        </w:rPr>
        <w:t>. His Lordship added that the deed had not been expressed to be conditional and that "the declaration of trust [was] absolute and unconditional in terms"</w:t>
      </w:r>
      <w:r w:rsidRPr="00B52C12">
        <w:rPr>
          <w:rStyle w:val="FootnoteReference"/>
          <w:rFonts w:ascii="Times New Roman" w:hAnsi="Times New Roman"/>
          <w:sz w:val="24"/>
        </w:rPr>
        <w:footnoteReference w:id="43"/>
      </w:r>
      <w:r w:rsidRPr="00B52C12">
        <w:rPr>
          <w:rFonts w:ascii="Times New Roman" w:hAnsi="Times New Roman"/>
        </w:rPr>
        <w:t>.</w:t>
      </w:r>
    </w:p>
    <w:p w14:paraId="41A1D040" w14:textId="77777777" w:rsidR="00AE3BDE" w:rsidRPr="00B52C12" w:rsidRDefault="00AE3BDE" w:rsidP="00642F64">
      <w:pPr>
        <w:pStyle w:val="HeadingL1"/>
        <w:spacing w:after="260" w:line="280" w:lineRule="exact"/>
        <w:ind w:right="0"/>
        <w:jc w:val="both"/>
        <w:rPr>
          <w:rFonts w:ascii="Times New Roman" w:hAnsi="Times New Roman"/>
        </w:rPr>
      </w:pPr>
      <w:r w:rsidRPr="00B52C12">
        <w:rPr>
          <w:rFonts w:ascii="Times New Roman" w:hAnsi="Times New Roman"/>
        </w:rPr>
        <w:t>A trust is not the equivalent of a common law gift</w:t>
      </w:r>
    </w:p>
    <w:p w14:paraId="77BF0B6D"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The second faulty premise underlying the assumption about the role of assent in the creation of a trust or the increase in the value of equitable rights echoes the view, derived from a mistaken understanding of the writing of Sir Arthur Underhill</w:t>
      </w:r>
      <w:r w:rsidRPr="00B52C12">
        <w:rPr>
          <w:rStyle w:val="FootnoteReference"/>
          <w:rFonts w:ascii="Times New Roman" w:hAnsi="Times New Roman"/>
          <w:sz w:val="24"/>
        </w:rPr>
        <w:footnoteReference w:id="44"/>
      </w:r>
      <w:r w:rsidRPr="00B52C12">
        <w:rPr>
          <w:rFonts w:ascii="Times New Roman" w:hAnsi="Times New Roman"/>
        </w:rPr>
        <w:t>, that "</w:t>
      </w:r>
      <w:r w:rsidRPr="00B52C12">
        <w:rPr>
          <w:rFonts w:ascii="Times New Roman" w:hAnsi="Times New Roman"/>
          <w:szCs w:val="24"/>
        </w:rPr>
        <w:t>a trust [is] the equitable equivalent of a common</w:t>
      </w:r>
      <w:r w:rsidRPr="00B52C12">
        <w:rPr>
          <w:rFonts w:ascii="Times New Roman" w:hAnsi="Times New Roman"/>
          <w:szCs w:val="24"/>
        </w:rPr>
        <w:noBreakHyphen/>
        <w:t>law gift"</w:t>
      </w:r>
      <w:r w:rsidRPr="00B52C12">
        <w:rPr>
          <w:rStyle w:val="FootnoteReference"/>
          <w:rFonts w:ascii="Times New Roman" w:hAnsi="Times New Roman"/>
          <w:sz w:val="24"/>
        </w:rPr>
        <w:footnoteReference w:id="45"/>
      </w:r>
      <w:r w:rsidRPr="00B52C12">
        <w:rPr>
          <w:rFonts w:ascii="Times New Roman" w:hAnsi="Times New Roman"/>
          <w:szCs w:val="24"/>
        </w:rPr>
        <w:t>. That premise ignores a fundamental difference between common law property rights and equitable rights under a trust.</w:t>
      </w:r>
      <w:r w:rsidRPr="00B52C12">
        <w:rPr>
          <w:rFonts w:ascii="Times New Roman" w:hAnsi="Times New Roman"/>
        </w:rPr>
        <w:t xml:space="preserve"> A gift at common law, such as a gift of a chattel, </w:t>
      </w:r>
      <w:r w:rsidRPr="00B52C12">
        <w:rPr>
          <w:rFonts w:ascii="Times New Roman" w:hAnsi="Times New Roman"/>
        </w:rPr>
        <w:lastRenderedPageBreak/>
        <w:t xml:space="preserve">will involve a transfer of rights. But a declaration of trust involves a </w:t>
      </w:r>
      <w:r w:rsidRPr="00B52C12">
        <w:rPr>
          <w:rFonts w:ascii="Times New Roman" w:hAnsi="Times New Roman"/>
          <w:i/>
        </w:rPr>
        <w:t xml:space="preserve">creation </w:t>
      </w:r>
      <w:r w:rsidRPr="00B52C12">
        <w:rPr>
          <w:rFonts w:ascii="Times New Roman" w:hAnsi="Times New Roman"/>
        </w:rPr>
        <w:t xml:space="preserve">of equitable rights and obligations, not a </w:t>
      </w:r>
      <w:r w:rsidRPr="00B52C12">
        <w:rPr>
          <w:rFonts w:ascii="Times New Roman" w:hAnsi="Times New Roman"/>
          <w:i/>
        </w:rPr>
        <w:t xml:space="preserve">transfer </w:t>
      </w:r>
      <w:r w:rsidRPr="00B52C12">
        <w:rPr>
          <w:rFonts w:ascii="Times New Roman" w:hAnsi="Times New Roman"/>
        </w:rPr>
        <w:t>of rights</w:t>
      </w:r>
      <w:r w:rsidRPr="00B52C12">
        <w:rPr>
          <w:rStyle w:val="FootnoteReference"/>
          <w:rFonts w:ascii="Times New Roman" w:hAnsi="Times New Roman"/>
          <w:sz w:val="24"/>
        </w:rPr>
        <w:footnoteReference w:id="46"/>
      </w:r>
      <w:r w:rsidRPr="00B52C12">
        <w:rPr>
          <w:rFonts w:ascii="Times New Roman" w:hAnsi="Times New Roman"/>
        </w:rPr>
        <w:t>: "it is fundamental that the creation of a trust involves the creation of new equitable obligations, which are 'annexed to the trust property' or 'engrafted' or 'impressed upon it'"</w:t>
      </w:r>
      <w:r w:rsidRPr="00B52C12">
        <w:rPr>
          <w:rStyle w:val="FootnoteReference"/>
          <w:rFonts w:ascii="Times New Roman" w:hAnsi="Times New Roman"/>
          <w:sz w:val="24"/>
        </w:rPr>
        <w:footnoteReference w:id="47"/>
      </w:r>
      <w:r w:rsidRPr="00B52C12">
        <w:rPr>
          <w:rFonts w:ascii="Times New Roman" w:hAnsi="Times New Roman"/>
        </w:rPr>
        <w:t xml:space="preserve">. As Maitland explained more than a century ago, it is because the creation of equitable rights does </w:t>
      </w:r>
      <w:r w:rsidRPr="00B52C12">
        <w:rPr>
          <w:rFonts w:ascii="Times New Roman" w:hAnsi="Times New Roman"/>
          <w:iCs/>
        </w:rPr>
        <w:t xml:space="preserve">not </w:t>
      </w:r>
      <w:r w:rsidRPr="00B52C12">
        <w:rPr>
          <w:rFonts w:ascii="Times New Roman" w:hAnsi="Times New Roman"/>
        </w:rPr>
        <w:t>involve the transfer of any property rights that the law of trusts does not contradict basic principles of the common law of property</w:t>
      </w:r>
      <w:r w:rsidRPr="00B52C12">
        <w:rPr>
          <w:rStyle w:val="FootnoteReference"/>
          <w:rFonts w:ascii="Times New Roman" w:hAnsi="Times New Roman"/>
          <w:sz w:val="24"/>
        </w:rPr>
        <w:footnoteReference w:id="48"/>
      </w:r>
      <w:r w:rsidRPr="00B52C12">
        <w:rPr>
          <w:rFonts w:ascii="Times New Roman" w:hAnsi="Times New Roman"/>
        </w:rPr>
        <w:t xml:space="preserve">. Thus, as Professor Hyland observed of the difference between a gift of common law rights and the creation of equitable rights, under the general law the creation of equitable rights can occur "by a gratuitous declaration of trust without delivery, deed, writing, notice to the </w:t>
      </w:r>
      <w:proofErr w:type="spellStart"/>
      <w:r w:rsidRPr="00B52C12">
        <w:rPr>
          <w:rFonts w:ascii="Times New Roman" w:hAnsi="Times New Roman"/>
        </w:rPr>
        <w:t>donee</w:t>
      </w:r>
      <w:proofErr w:type="spellEnd"/>
      <w:r w:rsidRPr="00B52C12">
        <w:rPr>
          <w:rFonts w:ascii="Times New Roman" w:hAnsi="Times New Roman"/>
        </w:rPr>
        <w:t>, or acceptance"</w:t>
      </w:r>
      <w:r w:rsidRPr="00B52C12">
        <w:rPr>
          <w:rStyle w:val="FootnoteReference"/>
          <w:rFonts w:ascii="Times New Roman" w:hAnsi="Times New Roman"/>
          <w:sz w:val="24"/>
        </w:rPr>
        <w:footnoteReference w:id="49"/>
      </w:r>
      <w:r w:rsidRPr="00B52C12">
        <w:rPr>
          <w:rFonts w:ascii="Times New Roman" w:hAnsi="Times New Roman"/>
        </w:rPr>
        <w:t>.</w:t>
      </w:r>
    </w:p>
    <w:p w14:paraId="77264F2D" w14:textId="77777777" w:rsidR="00AE3BDE" w:rsidRPr="00B52C12" w:rsidRDefault="00AE3BDE" w:rsidP="00642F64">
      <w:pPr>
        <w:pStyle w:val="HeadingL1"/>
        <w:spacing w:after="260" w:line="280" w:lineRule="exact"/>
        <w:ind w:right="0"/>
        <w:jc w:val="both"/>
        <w:rPr>
          <w:rFonts w:ascii="Times New Roman" w:hAnsi="Times New Roman"/>
        </w:rPr>
      </w:pPr>
      <w:r w:rsidRPr="00B52C12">
        <w:rPr>
          <w:rFonts w:ascii="Times New Roman" w:hAnsi="Times New Roman"/>
        </w:rPr>
        <w:t>Even at common law, a "presumption" of assent is problematic</w:t>
      </w:r>
    </w:p>
    <w:p w14:paraId="13B877D9"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There would be further problems with the assumption of the parties – that a declaration of trust or the increase in value of equitable rights under a trust is incomplete without the assent of the beneficiary – even if a gift of common law rights were to be equated with the creation, or increase in value, of equitable rights. It is true that many common law cases have spoken of a "presumption" of assent by a </w:t>
      </w:r>
      <w:proofErr w:type="spellStart"/>
      <w:r w:rsidRPr="00B52C12">
        <w:rPr>
          <w:rFonts w:ascii="Times New Roman" w:hAnsi="Times New Roman"/>
        </w:rPr>
        <w:t>donee</w:t>
      </w:r>
      <w:proofErr w:type="spellEnd"/>
      <w:r w:rsidRPr="00B52C12">
        <w:rPr>
          <w:rFonts w:ascii="Times New Roman" w:hAnsi="Times New Roman"/>
        </w:rPr>
        <w:t xml:space="preserve"> to a gift of common law rights</w:t>
      </w:r>
      <w:r w:rsidRPr="00B52C12">
        <w:rPr>
          <w:rStyle w:val="FootnoteReference"/>
          <w:rFonts w:ascii="Times New Roman" w:hAnsi="Times New Roman"/>
          <w:sz w:val="24"/>
        </w:rPr>
        <w:footnoteReference w:id="50"/>
      </w:r>
      <w:r w:rsidRPr="00B52C12">
        <w:rPr>
          <w:rFonts w:ascii="Times New Roman" w:hAnsi="Times New Roman"/>
        </w:rPr>
        <w:t xml:space="preserve">. But there is no sense in treating a gift </w:t>
      </w:r>
      <w:r w:rsidRPr="00B52C12">
        <w:rPr>
          <w:rFonts w:ascii="Times New Roman" w:hAnsi="Times New Roman"/>
        </w:rPr>
        <w:lastRenderedPageBreak/>
        <w:t>of common law rights as subject to any "presumption" of assent, whether the "presumption" is described loosely as one of "fact" or described as one of "law"</w:t>
      </w:r>
      <w:r w:rsidRPr="00B52C12">
        <w:rPr>
          <w:rStyle w:val="FootnoteReference"/>
          <w:rFonts w:ascii="Times New Roman" w:hAnsi="Times New Roman"/>
          <w:sz w:val="24"/>
        </w:rPr>
        <w:footnoteReference w:id="51"/>
      </w:r>
      <w:r w:rsidRPr="00B52C12">
        <w:rPr>
          <w:rFonts w:ascii="Times New Roman" w:hAnsi="Times New Roman"/>
        </w:rPr>
        <w:t xml:space="preserve">. </w:t>
      </w:r>
    </w:p>
    <w:p w14:paraId="26DA751C"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Some of the leading cases attempt to justify the "presumption" as founded on a standardised inference that the </w:t>
      </w:r>
      <w:proofErr w:type="spellStart"/>
      <w:r w:rsidRPr="00B52C12">
        <w:rPr>
          <w:rFonts w:ascii="Times New Roman" w:hAnsi="Times New Roman"/>
        </w:rPr>
        <w:t>donee</w:t>
      </w:r>
      <w:proofErr w:type="spellEnd"/>
      <w:r w:rsidRPr="00B52C12">
        <w:rPr>
          <w:rFonts w:ascii="Times New Roman" w:hAnsi="Times New Roman"/>
        </w:rPr>
        <w:t xml:space="preserve"> has assented to the gift. In this sense the "presumption ... arises where common experience is that the existence of one fact means that another fact also exists"</w:t>
      </w:r>
      <w:r w:rsidRPr="00B52C12">
        <w:rPr>
          <w:rStyle w:val="FootnoteReference"/>
          <w:rFonts w:ascii="Times New Roman" w:hAnsi="Times New Roman"/>
          <w:sz w:val="24"/>
        </w:rPr>
        <w:footnoteReference w:id="52"/>
      </w:r>
      <w:r w:rsidRPr="00B52C12">
        <w:rPr>
          <w:rFonts w:ascii="Times New Roman" w:hAnsi="Times New Roman"/>
        </w:rPr>
        <w:t>. Hence, the "presumption" has been said to be "founded on human nature", based upon an expectation that "in all probability" a gift would attract assent</w:t>
      </w:r>
      <w:r w:rsidRPr="00B52C12">
        <w:rPr>
          <w:rStyle w:val="FootnoteReference"/>
          <w:rFonts w:ascii="Times New Roman" w:hAnsi="Times New Roman"/>
          <w:sz w:val="24"/>
        </w:rPr>
        <w:footnoteReference w:id="53"/>
      </w:r>
      <w:r w:rsidRPr="00B52C12">
        <w:rPr>
          <w:rFonts w:ascii="Times New Roman" w:hAnsi="Times New Roman"/>
        </w:rPr>
        <w:t xml:space="preserve">. It has thus also been said that "the assent of a person to that which is obviously for [their] benefit may be inferred on slighter evidence than would be required to show that [they] assented to something, </w:t>
      </w:r>
      <w:proofErr w:type="spellStart"/>
      <w:r w:rsidRPr="00B52C12">
        <w:rPr>
          <w:rFonts w:ascii="Times New Roman" w:hAnsi="Times New Roman"/>
        </w:rPr>
        <w:t>eg</w:t>
      </w:r>
      <w:proofErr w:type="spellEnd"/>
      <w:r w:rsidRPr="00B52C12">
        <w:rPr>
          <w:rFonts w:ascii="Times New Roman" w:hAnsi="Times New Roman"/>
        </w:rPr>
        <w:t>, a contract, which may be to [their] prejudice"</w:t>
      </w:r>
      <w:r w:rsidRPr="00B52C12">
        <w:rPr>
          <w:rStyle w:val="FootnoteReference"/>
          <w:rFonts w:ascii="Times New Roman" w:hAnsi="Times New Roman"/>
          <w:sz w:val="24"/>
        </w:rPr>
        <w:footnoteReference w:id="54"/>
      </w:r>
      <w:r w:rsidRPr="00B52C12">
        <w:rPr>
          <w:rFonts w:ascii="Times New Roman" w:hAnsi="Times New Roman"/>
        </w:rPr>
        <w:t>.</w:t>
      </w:r>
    </w:p>
    <w:p w14:paraId="25CB6C45"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One problem with this reasoning is the combination of the premise of subjectivity of </w:t>
      </w:r>
      <w:proofErr w:type="spellStart"/>
      <w:r w:rsidRPr="00B52C12">
        <w:rPr>
          <w:rFonts w:ascii="Times New Roman" w:hAnsi="Times New Roman"/>
        </w:rPr>
        <w:t>donee</w:t>
      </w:r>
      <w:proofErr w:type="spellEnd"/>
      <w:r w:rsidRPr="00B52C12">
        <w:rPr>
          <w:rFonts w:ascii="Times New Roman" w:hAnsi="Times New Roman"/>
        </w:rPr>
        <w:t xml:space="preserve"> assent and the assumption that a gift of common law rights "requires the assent of both minds to make a gift as it does to make a contract"</w:t>
      </w:r>
      <w:r w:rsidRPr="00B52C12">
        <w:rPr>
          <w:rStyle w:val="FootnoteReference"/>
          <w:rFonts w:ascii="Times New Roman" w:hAnsi="Times New Roman"/>
          <w:sz w:val="24"/>
        </w:rPr>
        <w:footnoteReference w:id="55"/>
      </w:r>
      <w:r w:rsidRPr="00B52C12">
        <w:rPr>
          <w:rFonts w:ascii="Times New Roman" w:hAnsi="Times New Roman"/>
        </w:rPr>
        <w:t>. Although it would be coherent to draw a standardised inference founded on human nature that persons subjectively assent to gifts for their benefit, the objective theory of contract law, which is now "in command of the field"</w:t>
      </w:r>
      <w:r w:rsidRPr="00B52C12">
        <w:rPr>
          <w:rStyle w:val="FootnoteReference"/>
          <w:rFonts w:ascii="Times New Roman" w:hAnsi="Times New Roman"/>
          <w:sz w:val="24"/>
        </w:rPr>
        <w:footnoteReference w:id="56"/>
      </w:r>
      <w:r w:rsidRPr="00B52C12">
        <w:rPr>
          <w:rFonts w:ascii="Times New Roman" w:hAnsi="Times New Roman"/>
        </w:rPr>
        <w:t>, means that a binding contract does not depend upon the subjective assent of either party, and it is anachronistic to speak of a "presumption" of intention</w:t>
      </w:r>
      <w:r w:rsidRPr="00B52C12">
        <w:rPr>
          <w:rStyle w:val="FootnoteReference"/>
          <w:rFonts w:ascii="Times New Roman" w:hAnsi="Times New Roman"/>
          <w:sz w:val="24"/>
        </w:rPr>
        <w:footnoteReference w:id="57"/>
      </w:r>
      <w:r w:rsidRPr="00B52C12">
        <w:rPr>
          <w:rFonts w:ascii="Times New Roman" w:hAnsi="Times New Roman"/>
        </w:rPr>
        <w:t>.</w:t>
      </w:r>
    </w:p>
    <w:p w14:paraId="08055648"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lastRenderedPageBreak/>
        <w:tab/>
        <w:t xml:space="preserve">This problem cannot be resolved by shifting the "presumed fact" from one of the subjective </w:t>
      </w:r>
      <w:proofErr w:type="gramStart"/>
      <w:r w:rsidRPr="00B52C12">
        <w:rPr>
          <w:rFonts w:ascii="Times New Roman" w:hAnsi="Times New Roman"/>
        </w:rPr>
        <w:t>assent</w:t>
      </w:r>
      <w:proofErr w:type="gramEnd"/>
      <w:r w:rsidRPr="00B52C12">
        <w:rPr>
          <w:rFonts w:ascii="Times New Roman" w:hAnsi="Times New Roman"/>
        </w:rPr>
        <w:t xml:space="preserve"> of the </w:t>
      </w:r>
      <w:proofErr w:type="spellStart"/>
      <w:r w:rsidRPr="00B52C12">
        <w:rPr>
          <w:rFonts w:ascii="Times New Roman" w:hAnsi="Times New Roman"/>
        </w:rPr>
        <w:t>donee</w:t>
      </w:r>
      <w:proofErr w:type="spellEnd"/>
      <w:r w:rsidRPr="00B52C12">
        <w:rPr>
          <w:rFonts w:ascii="Times New Roman" w:hAnsi="Times New Roman"/>
        </w:rPr>
        <w:t xml:space="preserve"> to one of the objective or outward manifestations of assent by the </w:t>
      </w:r>
      <w:proofErr w:type="spellStart"/>
      <w:r w:rsidRPr="00B52C12">
        <w:rPr>
          <w:rFonts w:ascii="Times New Roman" w:hAnsi="Times New Roman"/>
        </w:rPr>
        <w:t>donee</w:t>
      </w:r>
      <w:proofErr w:type="spellEnd"/>
      <w:r w:rsidRPr="00B52C12">
        <w:rPr>
          <w:rFonts w:ascii="Times New Roman" w:hAnsi="Times New Roman"/>
        </w:rPr>
        <w:t xml:space="preserve">. Why would it be presumed that a </w:t>
      </w:r>
      <w:proofErr w:type="spellStart"/>
      <w:r w:rsidRPr="00B52C12">
        <w:rPr>
          <w:rFonts w:ascii="Times New Roman" w:hAnsi="Times New Roman"/>
        </w:rPr>
        <w:t>donee</w:t>
      </w:r>
      <w:proofErr w:type="spellEnd"/>
      <w:r w:rsidRPr="00B52C12">
        <w:rPr>
          <w:rFonts w:ascii="Times New Roman" w:hAnsi="Times New Roman"/>
        </w:rPr>
        <w:t xml:space="preserve">, who might not even know of the gift of common law rights, has acted in a manner which shows assent to the gift? And the underlying inference of fact, which must be rebuttable, would mean that a donor could revoke a gift by objectively demonstrating a change of mind before any act of objective assent by the </w:t>
      </w:r>
      <w:proofErr w:type="spellStart"/>
      <w:r w:rsidRPr="00B52C12">
        <w:rPr>
          <w:rFonts w:ascii="Times New Roman" w:hAnsi="Times New Roman"/>
        </w:rPr>
        <w:t>donee</w:t>
      </w:r>
      <w:proofErr w:type="spellEnd"/>
      <w:r w:rsidRPr="00B52C12">
        <w:rPr>
          <w:rFonts w:ascii="Times New Roman" w:hAnsi="Times New Roman"/>
        </w:rPr>
        <w:t>. That is not the law</w:t>
      </w:r>
      <w:r w:rsidRPr="00B52C12">
        <w:rPr>
          <w:rStyle w:val="FootnoteReference"/>
          <w:rFonts w:ascii="Times New Roman" w:hAnsi="Times New Roman"/>
          <w:sz w:val="24"/>
        </w:rPr>
        <w:footnoteReference w:id="58"/>
      </w:r>
      <w:r w:rsidRPr="00B52C12">
        <w:rPr>
          <w:rFonts w:ascii="Times New Roman" w:hAnsi="Times New Roman"/>
        </w:rPr>
        <w:t xml:space="preserve">. Indeed, it could create serious disruptions in the financial system if deposits into the account of a </w:t>
      </w:r>
      <w:proofErr w:type="spellStart"/>
      <w:r w:rsidRPr="00B52C12">
        <w:rPr>
          <w:rFonts w:ascii="Times New Roman" w:hAnsi="Times New Roman"/>
        </w:rPr>
        <w:t>donee</w:t>
      </w:r>
      <w:proofErr w:type="spellEnd"/>
      <w:r w:rsidRPr="00B52C12">
        <w:rPr>
          <w:rFonts w:ascii="Times New Roman" w:hAnsi="Times New Roman"/>
        </w:rPr>
        <w:t xml:space="preserve"> were to be subject to reversal by the donor at any time before the </w:t>
      </w:r>
      <w:proofErr w:type="spellStart"/>
      <w:r w:rsidRPr="00B52C12">
        <w:rPr>
          <w:rFonts w:ascii="Times New Roman" w:hAnsi="Times New Roman"/>
        </w:rPr>
        <w:t>donee</w:t>
      </w:r>
      <w:proofErr w:type="spellEnd"/>
      <w:r w:rsidRPr="00B52C12">
        <w:rPr>
          <w:rFonts w:ascii="Times New Roman" w:hAnsi="Times New Roman"/>
        </w:rPr>
        <w:t xml:space="preserve"> manifested assent to the receipt.</w:t>
      </w:r>
    </w:p>
    <w:p w14:paraId="4FCBB902"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Perhaps most fundamentally, there is no rationale for any "presumed fact", still less for any rule of law that "facilitates proof of the presumed fact"</w:t>
      </w:r>
      <w:r w:rsidRPr="00B52C12">
        <w:rPr>
          <w:rStyle w:val="FootnoteReference"/>
          <w:rFonts w:ascii="Times New Roman" w:hAnsi="Times New Roman"/>
          <w:sz w:val="24"/>
        </w:rPr>
        <w:footnoteReference w:id="59"/>
      </w:r>
      <w:r w:rsidRPr="00B52C12">
        <w:rPr>
          <w:rFonts w:ascii="Times New Roman" w:hAnsi="Times New Roman"/>
        </w:rPr>
        <w:t>. The rationale for a "presumption" may have arisen from a mistaken</w:t>
      </w:r>
      <w:r w:rsidRPr="00B52C12">
        <w:rPr>
          <w:rStyle w:val="FootnoteReference"/>
          <w:rFonts w:ascii="Times New Roman" w:hAnsi="Times New Roman"/>
          <w:sz w:val="24"/>
        </w:rPr>
        <w:footnoteReference w:id="60"/>
      </w:r>
      <w:r w:rsidRPr="00B52C12">
        <w:rPr>
          <w:rFonts w:ascii="Times New Roman" w:hAnsi="Times New Roman"/>
        </w:rPr>
        <w:t xml:space="preserve"> belief that title at common law could not pass without the assent of the </w:t>
      </w:r>
      <w:proofErr w:type="spellStart"/>
      <w:r w:rsidRPr="00B52C12">
        <w:rPr>
          <w:rFonts w:ascii="Times New Roman" w:hAnsi="Times New Roman"/>
        </w:rPr>
        <w:t>donee</w:t>
      </w:r>
      <w:proofErr w:type="spellEnd"/>
      <w:r w:rsidRPr="00B52C12">
        <w:rPr>
          <w:rStyle w:val="FootnoteReference"/>
          <w:rFonts w:ascii="Times New Roman" w:hAnsi="Times New Roman"/>
          <w:sz w:val="24"/>
        </w:rPr>
        <w:footnoteReference w:id="61"/>
      </w:r>
      <w:r w:rsidRPr="00B52C12">
        <w:rPr>
          <w:rFonts w:ascii="Times New Roman" w:hAnsi="Times New Roman"/>
        </w:rPr>
        <w:t xml:space="preserve">, with the language of "presumption" as a shorthand for the legal rule that a </w:t>
      </w:r>
      <w:proofErr w:type="spellStart"/>
      <w:r w:rsidRPr="00B52C12">
        <w:rPr>
          <w:rFonts w:ascii="Times New Roman" w:hAnsi="Times New Roman"/>
        </w:rPr>
        <w:t>donee</w:t>
      </w:r>
      <w:proofErr w:type="spellEnd"/>
      <w:r w:rsidRPr="00B52C12">
        <w:rPr>
          <w:rFonts w:ascii="Times New Roman" w:hAnsi="Times New Roman"/>
        </w:rPr>
        <w:t xml:space="preserve"> "must be taken to give an implied assent"</w:t>
      </w:r>
      <w:r w:rsidRPr="00B52C12">
        <w:rPr>
          <w:rStyle w:val="FootnoteReference"/>
          <w:rFonts w:ascii="Times New Roman" w:hAnsi="Times New Roman"/>
          <w:sz w:val="24"/>
        </w:rPr>
        <w:footnoteReference w:id="62"/>
      </w:r>
      <w:r w:rsidRPr="00B52C12">
        <w:rPr>
          <w:rFonts w:ascii="Times New Roman" w:hAnsi="Times New Roman"/>
        </w:rPr>
        <w:t xml:space="preserve">. But that legal rule of deemed assent was a fiction, as can be seen by its operation even when it was known that the </w:t>
      </w:r>
      <w:proofErr w:type="spellStart"/>
      <w:r w:rsidRPr="00B52C12">
        <w:rPr>
          <w:rFonts w:ascii="Times New Roman" w:hAnsi="Times New Roman"/>
        </w:rPr>
        <w:t>donee</w:t>
      </w:r>
      <w:proofErr w:type="spellEnd"/>
      <w:r w:rsidRPr="00B52C12">
        <w:rPr>
          <w:rFonts w:ascii="Times New Roman" w:hAnsi="Times New Roman"/>
        </w:rPr>
        <w:t xml:space="preserve"> had no knowledge of the gift</w:t>
      </w:r>
      <w:r w:rsidRPr="00B52C12">
        <w:rPr>
          <w:rStyle w:val="FootnoteReference"/>
          <w:rFonts w:ascii="Times New Roman" w:hAnsi="Times New Roman"/>
          <w:sz w:val="24"/>
        </w:rPr>
        <w:footnoteReference w:id="63"/>
      </w:r>
      <w:r w:rsidRPr="00B52C12">
        <w:rPr>
          <w:rFonts w:ascii="Times New Roman" w:hAnsi="Times New Roman"/>
        </w:rPr>
        <w:t xml:space="preserve">, and even when it was known that the </w:t>
      </w:r>
      <w:proofErr w:type="spellStart"/>
      <w:r w:rsidRPr="00B52C12">
        <w:rPr>
          <w:rFonts w:ascii="Times New Roman" w:hAnsi="Times New Roman"/>
        </w:rPr>
        <w:t>donee</w:t>
      </w:r>
      <w:proofErr w:type="spellEnd"/>
      <w:r w:rsidRPr="00B52C12">
        <w:rPr>
          <w:rFonts w:ascii="Times New Roman" w:hAnsi="Times New Roman"/>
        </w:rPr>
        <w:t xml:space="preserve"> accepted the gift only as a loan</w:t>
      </w:r>
      <w:r w:rsidRPr="00B52C12">
        <w:rPr>
          <w:rStyle w:val="FootnoteReference"/>
          <w:rFonts w:ascii="Times New Roman" w:hAnsi="Times New Roman"/>
          <w:sz w:val="24"/>
        </w:rPr>
        <w:footnoteReference w:id="64"/>
      </w:r>
      <w:r w:rsidRPr="00B52C12">
        <w:rPr>
          <w:rFonts w:ascii="Times New Roman" w:hAnsi="Times New Roman"/>
        </w:rPr>
        <w:t xml:space="preserve">. Since it is now recognised that title can pass without assent of the </w:t>
      </w:r>
      <w:proofErr w:type="spellStart"/>
      <w:r w:rsidRPr="00B52C12">
        <w:rPr>
          <w:rFonts w:ascii="Times New Roman" w:hAnsi="Times New Roman"/>
        </w:rPr>
        <w:t>donee</w:t>
      </w:r>
      <w:proofErr w:type="spellEnd"/>
      <w:r w:rsidRPr="00B52C12">
        <w:rPr>
          <w:rFonts w:ascii="Times New Roman" w:hAnsi="Times New Roman"/>
        </w:rPr>
        <w:t>, the "presumption" of implied assent is a fiction without any purpose at common law. There would be no basis to extend the "presumption" to equity, even if an analogy between common law and equitable rights could be drawn.</w:t>
      </w:r>
    </w:p>
    <w:p w14:paraId="55856C0C" w14:textId="77777777" w:rsidR="00AE3BDE" w:rsidRPr="00B52C12" w:rsidRDefault="00AE3BDE" w:rsidP="00642F64">
      <w:pPr>
        <w:pStyle w:val="HeadingL1"/>
        <w:spacing w:after="260" w:line="280" w:lineRule="exact"/>
        <w:ind w:right="0"/>
        <w:jc w:val="both"/>
        <w:rPr>
          <w:rFonts w:ascii="Times New Roman" w:hAnsi="Times New Roman"/>
        </w:rPr>
      </w:pPr>
      <w:r w:rsidRPr="00B52C12">
        <w:rPr>
          <w:rFonts w:ascii="Times New Roman" w:hAnsi="Times New Roman"/>
        </w:rPr>
        <w:t>The operation of a disclaimer depends on the reason it is invoked</w:t>
      </w:r>
    </w:p>
    <w:p w14:paraId="7A8EFEE5"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The short point for the purposes of this appeal is that, at least in relation to equitable rights, issues of disclaimer are separate and distinct from the creation of, </w:t>
      </w:r>
      <w:r w:rsidRPr="00B52C12">
        <w:rPr>
          <w:rFonts w:ascii="Times New Roman" w:hAnsi="Times New Roman"/>
        </w:rPr>
        <w:lastRenderedPageBreak/>
        <w:t xml:space="preserve">or increase in the value of, a beneficiary's rights or entitlements in relation to the subject matter of a trust. Although the unilateral vesting of equitable rights and entitlements can occur without a beneficiary's assent, such unilateral vesting can often be unwound by a later disclaimer by a beneficiary. As Lord Wright said in </w:t>
      </w:r>
      <w:r w:rsidRPr="00B52C12">
        <w:rPr>
          <w:rFonts w:ascii="Times New Roman" w:hAnsi="Times New Roman"/>
          <w:i/>
          <w:iCs/>
        </w:rPr>
        <w:t>Lady Naas v Westminster Bank Ltd</w:t>
      </w:r>
      <w:r w:rsidRPr="00B52C12">
        <w:rPr>
          <w:rStyle w:val="FootnoteReference"/>
          <w:rFonts w:ascii="Times New Roman" w:hAnsi="Times New Roman"/>
          <w:sz w:val="24"/>
        </w:rPr>
        <w:footnoteReference w:id="65"/>
      </w:r>
      <w:r w:rsidRPr="00B52C12">
        <w:rPr>
          <w:rFonts w:ascii="Times New Roman" w:hAnsi="Times New Roman"/>
        </w:rPr>
        <w:t>:</w:t>
      </w:r>
    </w:p>
    <w:p w14:paraId="5AD57EAB" w14:textId="77777777" w:rsidR="00AE3BDE" w:rsidRDefault="00AE3BDE" w:rsidP="00642F64">
      <w:pPr>
        <w:pStyle w:val="LeftrightafterHC"/>
        <w:spacing w:before="0" w:after="260" w:line="280" w:lineRule="exact"/>
        <w:ind w:right="0"/>
        <w:jc w:val="both"/>
        <w:rPr>
          <w:rFonts w:ascii="Times New Roman" w:hAnsi="Times New Roman"/>
        </w:rPr>
      </w:pPr>
      <w:r w:rsidRPr="00B52C12">
        <w:rPr>
          <w:rFonts w:ascii="Times New Roman" w:hAnsi="Times New Roman"/>
        </w:rPr>
        <w:t>"The declaration of trust by the settlor depended not on the other party's consent any more than on mutual consideration. It depended on the act of the settlor in executing the settlement. The beneficiary might, it is true, disclaim, but her acceptance was immaterial except perhaps as ruling out disclaimer."</w:t>
      </w:r>
    </w:p>
    <w:p w14:paraId="4B693A1E" w14:textId="77777777" w:rsidR="00AE3BDE" w:rsidRPr="00B52C12"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At general law, the effect of a disclaimer is generally retrospective, thus preserving the important principle of liberty that rights or liabilities are not generally to be conferred or imposed upon a person independently of that person's actions. But when considering questions about the retrospective effect of a disclaimer, whether of rights at common law or in equity, it is always necessary to appreciate why the question is being asked. In this case, where the question as to the effect of a disclaimer is being asked for the purpose of defeating the operation of a vested and "present entitlement" under s 97(1), the question is answered by the interpretation of that provision.</w:t>
      </w:r>
    </w:p>
    <w:p w14:paraId="1EE75C21" w14:textId="77777777" w:rsidR="00AE3BDE" w:rsidRPr="00B52C12" w:rsidRDefault="00AE3BDE" w:rsidP="00642F64">
      <w:pPr>
        <w:pStyle w:val="HeadingL1"/>
        <w:spacing w:after="260" w:line="280" w:lineRule="exact"/>
        <w:ind w:right="0"/>
        <w:jc w:val="both"/>
        <w:rPr>
          <w:rFonts w:ascii="Times New Roman" w:hAnsi="Times New Roman"/>
        </w:rPr>
      </w:pPr>
      <w:r w:rsidRPr="00B52C12">
        <w:rPr>
          <w:rFonts w:ascii="Times New Roman" w:hAnsi="Times New Roman"/>
        </w:rPr>
        <w:t>Conclusion</w:t>
      </w:r>
    </w:p>
    <w:p w14:paraId="2CC61F8D" w14:textId="77777777" w:rsidR="00AE3BDE" w:rsidRDefault="00AE3BDE" w:rsidP="00AE3BDE">
      <w:pPr>
        <w:pStyle w:val="FixListStyle"/>
        <w:numPr>
          <w:ilvl w:val="0"/>
          <w:numId w:val="18"/>
        </w:numPr>
        <w:spacing w:after="260" w:line="280" w:lineRule="exact"/>
        <w:ind w:left="0" w:right="0" w:hanging="720"/>
        <w:jc w:val="both"/>
        <w:rPr>
          <w:rFonts w:ascii="Times New Roman" w:hAnsi="Times New Roman"/>
        </w:rPr>
      </w:pPr>
      <w:r w:rsidRPr="00B52C12">
        <w:rPr>
          <w:rFonts w:ascii="Times New Roman" w:hAnsi="Times New Roman"/>
        </w:rPr>
        <w:tab/>
        <w:t xml:space="preserve">The appeal should be </w:t>
      </w:r>
      <w:proofErr w:type="gramStart"/>
      <w:r w:rsidRPr="00B52C12">
        <w:rPr>
          <w:rFonts w:ascii="Times New Roman" w:hAnsi="Times New Roman"/>
        </w:rPr>
        <w:t>allowed</w:t>
      </w:r>
      <w:proofErr w:type="gramEnd"/>
      <w:r w:rsidRPr="00B52C12">
        <w:rPr>
          <w:rFonts w:ascii="Times New Roman" w:hAnsi="Times New Roman"/>
        </w:rPr>
        <w:t xml:space="preserve"> and orders made as proposed in the joint reasons.</w:t>
      </w:r>
    </w:p>
    <w:p w14:paraId="47B53B97" w14:textId="77777777" w:rsidR="00AE3BDE" w:rsidRPr="00B52C12" w:rsidRDefault="00AE3BDE" w:rsidP="00642F64">
      <w:pPr>
        <w:pStyle w:val="NormalBody"/>
        <w:spacing w:after="260" w:line="280" w:lineRule="exact"/>
        <w:ind w:right="0"/>
        <w:jc w:val="both"/>
        <w:rPr>
          <w:rFonts w:ascii="Times New Roman" w:hAnsi="Times New Roman"/>
        </w:rPr>
      </w:pPr>
    </w:p>
    <w:p w14:paraId="7C7BAAE3" w14:textId="77777777" w:rsidR="00AE3BDE" w:rsidRDefault="00AE3BDE" w:rsidP="00444714">
      <w:pPr>
        <w:pStyle w:val="FixListStyle"/>
        <w:spacing w:after="260" w:line="280" w:lineRule="exact"/>
        <w:ind w:right="0"/>
        <w:jc w:val="both"/>
        <w:rPr>
          <w:rFonts w:ascii="Times New Roman" w:hAnsi="Times New Roman"/>
        </w:rPr>
        <w:sectPr w:rsidR="00AE3BDE" w:rsidSect="00AE3BD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CC528CA" w14:textId="4D66D163" w:rsidR="00D23E47" w:rsidRPr="00444714" w:rsidRDefault="00D23E47" w:rsidP="00AE3BDE">
      <w:pPr>
        <w:pStyle w:val="NormalBody"/>
      </w:pPr>
    </w:p>
    <w:sectPr w:rsidR="00D23E47" w:rsidRPr="00444714" w:rsidSect="00AE3BDE">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B189A" w14:textId="77777777" w:rsidR="009704E5" w:rsidRDefault="009704E5">
      <w:pPr>
        <w:spacing w:line="240" w:lineRule="auto"/>
      </w:pPr>
      <w:r>
        <w:separator/>
      </w:r>
    </w:p>
  </w:endnote>
  <w:endnote w:type="continuationSeparator" w:id="0">
    <w:p w14:paraId="78F74417" w14:textId="77777777" w:rsidR="009704E5" w:rsidRDefault="009704E5">
      <w:pPr>
        <w:spacing w:line="240" w:lineRule="auto"/>
      </w:pPr>
      <w:r>
        <w:continuationSeparator/>
      </w:r>
    </w:p>
  </w:endnote>
  <w:endnote w:type="continuationNotice" w:id="1">
    <w:p w14:paraId="21DC2AAB" w14:textId="77777777" w:rsidR="009704E5" w:rsidRDefault="009704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3A41" w14:textId="77777777" w:rsidR="000B5E2B" w:rsidRDefault="000B5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7578" w14:textId="77777777" w:rsidR="000B5E2B" w:rsidRDefault="000B5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3BC5" w14:textId="77777777" w:rsidR="000B5E2B" w:rsidRDefault="000B5E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F3" w14:textId="77777777" w:rsidR="000B5E2B" w:rsidRDefault="000B5E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BF9F" w14:textId="77777777" w:rsidR="000B5E2B" w:rsidRDefault="000B5E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C504" w14:textId="77777777" w:rsidR="000B5E2B" w:rsidRDefault="000B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293E1" w14:textId="77777777" w:rsidR="009704E5" w:rsidRPr="00444714" w:rsidRDefault="009704E5" w:rsidP="00444714">
      <w:pPr>
        <w:pStyle w:val="Footer"/>
        <w:spacing w:before="120" w:after="20"/>
        <w:ind w:right="0"/>
        <w:rPr>
          <w:rFonts w:ascii="Times New Roman" w:hAnsi="Times New Roman"/>
        </w:rPr>
      </w:pPr>
      <w:r>
        <w:continuationSeparator/>
      </w:r>
    </w:p>
  </w:footnote>
  <w:footnote w:type="continuationSeparator" w:id="0">
    <w:p w14:paraId="2A439AF2" w14:textId="77777777" w:rsidR="009704E5" w:rsidRPr="00444714" w:rsidRDefault="009704E5" w:rsidP="00444714">
      <w:pPr>
        <w:pStyle w:val="Footer"/>
        <w:spacing w:before="120" w:after="20"/>
        <w:ind w:right="0"/>
        <w:rPr>
          <w:rFonts w:ascii="Times New Roman" w:hAnsi="Times New Roman"/>
        </w:rPr>
      </w:pPr>
      <w:r w:rsidRPr="00444714">
        <w:rPr>
          <w:rFonts w:ascii="Times New Roman" w:hAnsi="Times New Roman"/>
        </w:rPr>
        <w:continuationSeparator/>
      </w:r>
    </w:p>
  </w:footnote>
  <w:footnote w:type="continuationNotice" w:id="1">
    <w:p w14:paraId="44712CA6" w14:textId="77777777" w:rsidR="009704E5" w:rsidRPr="00AE3BDE" w:rsidRDefault="009704E5">
      <w:pPr>
        <w:jc w:val="right"/>
        <w:rPr>
          <w:rFonts w:ascii="Times New Roman" w:hAnsi="Times New Roman"/>
          <w:sz w:val="24"/>
        </w:rPr>
      </w:pPr>
    </w:p>
  </w:footnote>
  <w:footnote w:id="2">
    <w:p w14:paraId="46CE9A1B" w14:textId="29DF1B58" w:rsidR="00C52E53" w:rsidRPr="00444714" w:rsidRDefault="00C52E53"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863A18" w:rsidRPr="00444714">
        <w:rPr>
          <w:rFonts w:ascii="Times New Roman" w:hAnsi="Times New Roman"/>
          <w:sz w:val="24"/>
        </w:rPr>
        <w:t xml:space="preserve">See </w:t>
      </w:r>
      <w:r w:rsidR="00DA0567" w:rsidRPr="00444714">
        <w:rPr>
          <w:rFonts w:ascii="Times New Roman" w:hAnsi="Times New Roman"/>
          <w:i/>
          <w:sz w:val="24"/>
        </w:rPr>
        <w:t xml:space="preserve">Federal Commissioner of Taxation v </w:t>
      </w:r>
      <w:r w:rsidRPr="00444714">
        <w:rPr>
          <w:rFonts w:ascii="Times New Roman" w:hAnsi="Times New Roman"/>
          <w:i/>
          <w:sz w:val="24"/>
        </w:rPr>
        <w:t>Bamford</w:t>
      </w:r>
      <w:r w:rsidRPr="00444714">
        <w:rPr>
          <w:rFonts w:ascii="Times New Roman" w:hAnsi="Times New Roman"/>
          <w:sz w:val="24"/>
        </w:rPr>
        <w:t xml:space="preserve"> (2010) 240 CLR 481 at 502 [22].</w:t>
      </w:r>
    </w:p>
  </w:footnote>
  <w:footnote w:id="3">
    <w:p w14:paraId="16A87268" w14:textId="77777777" w:rsidR="003C4668" w:rsidRPr="00444714" w:rsidRDefault="003C4668"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1936 Act, s 95AAA.</w:t>
      </w:r>
    </w:p>
  </w:footnote>
  <w:footnote w:id="4">
    <w:p w14:paraId="335AD4E7" w14:textId="379C53CA" w:rsidR="008A5849" w:rsidRPr="00444714" w:rsidRDefault="008A5849"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Bamford</w:t>
      </w:r>
      <w:r w:rsidRPr="00444714">
        <w:rPr>
          <w:rFonts w:ascii="Times New Roman" w:hAnsi="Times New Roman"/>
          <w:sz w:val="24"/>
        </w:rPr>
        <w:t xml:space="preserve"> </w:t>
      </w:r>
      <w:r w:rsidR="00110691" w:rsidRPr="00444714">
        <w:rPr>
          <w:rFonts w:ascii="Times New Roman" w:hAnsi="Times New Roman"/>
          <w:sz w:val="24"/>
        </w:rPr>
        <w:t xml:space="preserve">(2010) 240 CLR 481 </w:t>
      </w:r>
      <w:r w:rsidRPr="00444714">
        <w:rPr>
          <w:rFonts w:ascii="Times New Roman" w:hAnsi="Times New Roman"/>
          <w:sz w:val="24"/>
        </w:rPr>
        <w:t xml:space="preserve">at </w:t>
      </w:r>
      <w:r w:rsidR="00DA0567" w:rsidRPr="00444714">
        <w:rPr>
          <w:rFonts w:ascii="Times New Roman" w:hAnsi="Times New Roman"/>
          <w:sz w:val="24"/>
        </w:rPr>
        <w:t xml:space="preserve">502 </w:t>
      </w:r>
      <w:r w:rsidRPr="00444714">
        <w:rPr>
          <w:rFonts w:ascii="Times New Roman" w:hAnsi="Times New Roman"/>
          <w:sz w:val="24"/>
        </w:rPr>
        <w:t>[20]</w:t>
      </w:r>
      <w:r w:rsidR="00384A29" w:rsidRPr="00444714">
        <w:rPr>
          <w:rFonts w:ascii="Times New Roman" w:hAnsi="Times New Roman"/>
          <w:sz w:val="24"/>
        </w:rPr>
        <w:t>, quoting Ford, "Income and Estate Taxation Affecting Trusts" (1958) 1</w:t>
      </w:r>
      <w:r w:rsidR="00D67616" w:rsidRPr="00444714">
        <w:rPr>
          <w:rFonts w:ascii="Times New Roman" w:hAnsi="Times New Roman"/>
          <w:sz w:val="24"/>
        </w:rPr>
        <w:t> </w:t>
      </w:r>
      <w:r w:rsidR="00384A29" w:rsidRPr="00444714">
        <w:rPr>
          <w:rFonts w:ascii="Times New Roman" w:hAnsi="Times New Roman"/>
          <w:i/>
          <w:sz w:val="24"/>
        </w:rPr>
        <w:t>Melbourne University Law Review</w:t>
      </w:r>
      <w:r w:rsidR="00384A29" w:rsidRPr="00444714">
        <w:rPr>
          <w:rFonts w:ascii="Times New Roman" w:hAnsi="Times New Roman"/>
          <w:sz w:val="24"/>
        </w:rPr>
        <w:t xml:space="preserve"> 419 at 420.</w:t>
      </w:r>
    </w:p>
  </w:footnote>
  <w:footnote w:id="5">
    <w:p w14:paraId="6D41A45C" w14:textId="48947BFA" w:rsidR="00AF6BD3" w:rsidRPr="00444714" w:rsidRDefault="00AF6BD3"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 xml:space="preserve">Harmer v Federal Commissioner of Taxation </w:t>
      </w:r>
      <w:r w:rsidRPr="00444714">
        <w:rPr>
          <w:rFonts w:ascii="Times New Roman" w:hAnsi="Times New Roman"/>
          <w:sz w:val="24"/>
        </w:rPr>
        <w:t>(1991) 173 CLR 264 at 271</w:t>
      </w:r>
      <w:r w:rsidR="0010368C" w:rsidRPr="00444714">
        <w:rPr>
          <w:rFonts w:ascii="Times New Roman" w:hAnsi="Times New Roman"/>
          <w:sz w:val="24"/>
        </w:rPr>
        <w:t>, quoted</w:t>
      </w:r>
      <w:r w:rsidR="007C3620">
        <w:rPr>
          <w:rFonts w:ascii="Times New Roman" w:hAnsi="Times New Roman"/>
          <w:sz w:val="24"/>
        </w:rPr>
        <w:t> </w:t>
      </w:r>
      <w:r w:rsidR="0010368C" w:rsidRPr="00444714">
        <w:rPr>
          <w:rFonts w:ascii="Times New Roman" w:hAnsi="Times New Roman"/>
          <w:sz w:val="24"/>
        </w:rPr>
        <w:t xml:space="preserve">in </w:t>
      </w:r>
      <w:r w:rsidR="0010368C" w:rsidRPr="00444714">
        <w:rPr>
          <w:rFonts w:ascii="Times New Roman" w:hAnsi="Times New Roman"/>
          <w:i/>
          <w:sz w:val="24"/>
        </w:rPr>
        <w:t xml:space="preserve">Bamford </w:t>
      </w:r>
      <w:r w:rsidR="0010368C" w:rsidRPr="00444714">
        <w:rPr>
          <w:rFonts w:ascii="Times New Roman" w:hAnsi="Times New Roman"/>
          <w:sz w:val="24"/>
        </w:rPr>
        <w:t>(2010) 240 CLR 481 at 505 [37]</w:t>
      </w:r>
      <w:r w:rsidRPr="00444714">
        <w:rPr>
          <w:rFonts w:ascii="Times New Roman" w:hAnsi="Times New Roman"/>
          <w:sz w:val="24"/>
        </w:rPr>
        <w:t>.</w:t>
      </w:r>
    </w:p>
  </w:footnote>
  <w:footnote w:id="6">
    <w:p w14:paraId="47E251A2" w14:textId="4ED9706D" w:rsidR="00145B61" w:rsidRPr="00444714" w:rsidRDefault="00145B61"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Natalie, Alisha and Nicole are the respondents in this appeal.</w:t>
      </w:r>
    </w:p>
  </w:footnote>
  <w:footnote w:id="7">
    <w:p w14:paraId="37838100" w14:textId="6956AC26" w:rsidR="00FC58B9" w:rsidRPr="00444714" w:rsidRDefault="00FC58B9"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EA6014" w:rsidRPr="00444714">
        <w:rPr>
          <w:rFonts w:ascii="Times New Roman" w:hAnsi="Times New Roman"/>
          <w:i/>
          <w:sz w:val="24"/>
        </w:rPr>
        <w:t>Bamford</w:t>
      </w:r>
      <w:r w:rsidR="00EA6014" w:rsidRPr="00444714">
        <w:rPr>
          <w:rFonts w:ascii="Times New Roman" w:hAnsi="Times New Roman"/>
          <w:sz w:val="24"/>
        </w:rPr>
        <w:t xml:space="preserve"> (2010) 240 CLR 481 at 501 [17]</w:t>
      </w:r>
      <w:r w:rsidRPr="00444714">
        <w:rPr>
          <w:rFonts w:ascii="Times New Roman" w:hAnsi="Times New Roman"/>
          <w:sz w:val="24"/>
        </w:rPr>
        <w:t xml:space="preserve">. </w:t>
      </w:r>
      <w:r w:rsidR="003B1267" w:rsidRPr="00444714">
        <w:rPr>
          <w:rFonts w:ascii="Times New Roman" w:hAnsi="Times New Roman"/>
          <w:sz w:val="24"/>
        </w:rPr>
        <w:t xml:space="preserve">See, eg, </w:t>
      </w:r>
      <w:r w:rsidR="003B1267" w:rsidRPr="00444714">
        <w:rPr>
          <w:rFonts w:ascii="Times New Roman" w:hAnsi="Times New Roman"/>
          <w:i/>
          <w:sz w:val="24"/>
        </w:rPr>
        <w:t>Harmer</w:t>
      </w:r>
      <w:r w:rsidR="003B1267" w:rsidRPr="00444714">
        <w:rPr>
          <w:rFonts w:ascii="Times New Roman" w:hAnsi="Times New Roman"/>
          <w:sz w:val="24"/>
        </w:rPr>
        <w:t xml:space="preserve"> (1991) 173 CLR 264 at</w:t>
      </w:r>
      <w:r w:rsidR="00E93BFB">
        <w:rPr>
          <w:rFonts w:ascii="Times New Roman" w:hAnsi="Times New Roman"/>
          <w:sz w:val="24"/>
        </w:rPr>
        <w:t> </w:t>
      </w:r>
      <w:r w:rsidR="003B1267" w:rsidRPr="00444714">
        <w:rPr>
          <w:rFonts w:ascii="Times New Roman" w:hAnsi="Times New Roman"/>
          <w:sz w:val="24"/>
        </w:rPr>
        <w:t>271</w:t>
      </w:r>
      <w:r w:rsidR="00AD6F1D" w:rsidRPr="00444714">
        <w:rPr>
          <w:rFonts w:ascii="Times New Roman" w:hAnsi="Times New Roman"/>
          <w:sz w:val="24"/>
        </w:rPr>
        <w:t>.</w:t>
      </w:r>
      <w:r w:rsidR="00AA652F" w:rsidRPr="00444714">
        <w:rPr>
          <w:rFonts w:ascii="Times New Roman" w:hAnsi="Times New Roman"/>
          <w:sz w:val="24"/>
        </w:rPr>
        <w:t xml:space="preserve"> </w:t>
      </w:r>
      <w:r w:rsidR="0097674A" w:rsidRPr="00444714">
        <w:rPr>
          <w:rFonts w:ascii="Times New Roman" w:hAnsi="Times New Roman"/>
          <w:sz w:val="24"/>
        </w:rPr>
        <w:t xml:space="preserve">See also </w:t>
      </w:r>
      <w:r w:rsidR="0097674A" w:rsidRPr="00444714">
        <w:rPr>
          <w:rFonts w:ascii="Times New Roman" w:hAnsi="Times New Roman"/>
          <w:i/>
          <w:sz w:val="24"/>
        </w:rPr>
        <w:t>Chief Commissioner of State Revenue v Smeaton Grange Holdings Pty Ltd</w:t>
      </w:r>
      <w:r w:rsidR="0097674A" w:rsidRPr="00444714">
        <w:rPr>
          <w:rFonts w:ascii="Times New Roman" w:hAnsi="Times New Roman"/>
          <w:sz w:val="24"/>
        </w:rPr>
        <w:t xml:space="preserve"> (2017) 106</w:t>
      </w:r>
      <w:r w:rsidR="000F1ADB" w:rsidRPr="00444714">
        <w:rPr>
          <w:rFonts w:ascii="Times New Roman" w:hAnsi="Times New Roman"/>
          <w:sz w:val="24"/>
        </w:rPr>
        <w:t> </w:t>
      </w:r>
      <w:r w:rsidR="0097674A" w:rsidRPr="00444714">
        <w:rPr>
          <w:rFonts w:ascii="Times New Roman" w:hAnsi="Times New Roman"/>
          <w:sz w:val="24"/>
        </w:rPr>
        <w:t>ATR 151</w:t>
      </w:r>
      <w:r w:rsidR="00240190" w:rsidRPr="00444714">
        <w:rPr>
          <w:rFonts w:ascii="Times New Roman" w:hAnsi="Times New Roman"/>
          <w:sz w:val="24"/>
        </w:rPr>
        <w:t xml:space="preserve"> at </w:t>
      </w:r>
      <w:r w:rsidR="008F3F2F" w:rsidRPr="00444714">
        <w:rPr>
          <w:rFonts w:ascii="Times New Roman" w:hAnsi="Times New Roman"/>
          <w:sz w:val="24"/>
        </w:rPr>
        <w:t>172-173 [</w:t>
      </w:r>
      <w:r w:rsidR="00B47BDE" w:rsidRPr="00444714">
        <w:rPr>
          <w:rFonts w:ascii="Times New Roman" w:hAnsi="Times New Roman"/>
          <w:sz w:val="24"/>
        </w:rPr>
        <w:t>103]-[</w:t>
      </w:r>
      <w:r w:rsidR="0006066B" w:rsidRPr="00444714">
        <w:rPr>
          <w:rFonts w:ascii="Times New Roman" w:hAnsi="Times New Roman"/>
          <w:sz w:val="24"/>
        </w:rPr>
        <w:t>108].</w:t>
      </w:r>
    </w:p>
  </w:footnote>
  <w:footnote w:id="8">
    <w:p w14:paraId="42169FC3" w14:textId="3C7DF22E" w:rsidR="00AB11AC" w:rsidRPr="00444714" w:rsidRDefault="00AB11AC"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1936</w:t>
      </w:r>
      <w:r w:rsidR="006A00CA" w:rsidRPr="00444714">
        <w:rPr>
          <w:rFonts w:ascii="Times New Roman" w:hAnsi="Times New Roman"/>
          <w:sz w:val="24"/>
        </w:rPr>
        <w:t xml:space="preserve"> Act</w:t>
      </w:r>
      <w:r w:rsidRPr="00444714">
        <w:rPr>
          <w:rFonts w:ascii="Times New Roman" w:hAnsi="Times New Roman"/>
          <w:sz w:val="24"/>
        </w:rPr>
        <w:t xml:space="preserve">, </w:t>
      </w:r>
      <w:r w:rsidR="008A3D64" w:rsidRPr="00444714">
        <w:rPr>
          <w:rFonts w:ascii="Times New Roman" w:hAnsi="Times New Roman"/>
          <w:sz w:val="24"/>
        </w:rPr>
        <w:t>s</w:t>
      </w:r>
      <w:r w:rsidR="00C02EBF" w:rsidRPr="00444714">
        <w:rPr>
          <w:rFonts w:ascii="Times New Roman" w:hAnsi="Times New Roman"/>
          <w:sz w:val="24"/>
        </w:rPr>
        <w:t> </w:t>
      </w:r>
      <w:r w:rsidR="008A3D64" w:rsidRPr="00444714">
        <w:rPr>
          <w:rFonts w:ascii="Times New Roman" w:hAnsi="Times New Roman"/>
          <w:sz w:val="24"/>
        </w:rPr>
        <w:t>6(1) definition of "assessable income"</w:t>
      </w:r>
      <w:r w:rsidR="00CC00D6" w:rsidRPr="00444714">
        <w:rPr>
          <w:rFonts w:ascii="Times New Roman" w:hAnsi="Times New Roman"/>
          <w:sz w:val="24"/>
        </w:rPr>
        <w:t>,</w:t>
      </w:r>
      <w:r w:rsidR="008A3D64" w:rsidRPr="00444714">
        <w:rPr>
          <w:rFonts w:ascii="Times New Roman" w:hAnsi="Times New Roman"/>
          <w:sz w:val="24"/>
        </w:rPr>
        <w:t xml:space="preserve"> incorporating definition of "assessable income" in </w:t>
      </w:r>
      <w:r w:rsidR="008A3D64" w:rsidRPr="00444714">
        <w:rPr>
          <w:rFonts w:ascii="Times New Roman" w:hAnsi="Times New Roman"/>
          <w:i/>
          <w:sz w:val="24"/>
        </w:rPr>
        <w:t>Income Tax Assessment Act 1997</w:t>
      </w:r>
      <w:r w:rsidR="008A3D64" w:rsidRPr="00444714">
        <w:rPr>
          <w:rFonts w:ascii="Times New Roman" w:hAnsi="Times New Roman"/>
          <w:sz w:val="24"/>
        </w:rPr>
        <w:t xml:space="preserve"> (Cth)</w:t>
      </w:r>
      <w:r w:rsidR="009E7EFF" w:rsidRPr="00444714">
        <w:rPr>
          <w:rFonts w:ascii="Times New Roman" w:hAnsi="Times New Roman"/>
          <w:sz w:val="24"/>
        </w:rPr>
        <w:t xml:space="preserve"> ("</w:t>
      </w:r>
      <w:r w:rsidR="00416C3D" w:rsidRPr="00444714">
        <w:rPr>
          <w:rFonts w:ascii="Times New Roman" w:hAnsi="Times New Roman"/>
          <w:sz w:val="24"/>
        </w:rPr>
        <w:t xml:space="preserve">the </w:t>
      </w:r>
      <w:r w:rsidR="009E7EFF" w:rsidRPr="00444714">
        <w:rPr>
          <w:rFonts w:ascii="Times New Roman" w:hAnsi="Times New Roman"/>
          <w:sz w:val="24"/>
        </w:rPr>
        <w:t>1997</w:t>
      </w:r>
      <w:r w:rsidR="006A00CA" w:rsidRPr="00444714">
        <w:rPr>
          <w:rFonts w:ascii="Times New Roman" w:hAnsi="Times New Roman"/>
          <w:sz w:val="24"/>
        </w:rPr>
        <w:t xml:space="preserve"> Act</w:t>
      </w:r>
      <w:r w:rsidR="009E7EFF" w:rsidRPr="00444714">
        <w:rPr>
          <w:rFonts w:ascii="Times New Roman" w:hAnsi="Times New Roman"/>
          <w:sz w:val="24"/>
        </w:rPr>
        <w:t>")</w:t>
      </w:r>
      <w:r w:rsidR="008A3D64" w:rsidRPr="00444714">
        <w:rPr>
          <w:rFonts w:ascii="Times New Roman" w:hAnsi="Times New Roman"/>
          <w:sz w:val="24"/>
        </w:rPr>
        <w:t>, s 995-</w:t>
      </w:r>
      <w:r w:rsidR="003E4475" w:rsidRPr="00444714">
        <w:rPr>
          <w:rFonts w:ascii="Times New Roman" w:hAnsi="Times New Roman"/>
          <w:sz w:val="24"/>
        </w:rPr>
        <w:t>1(1)</w:t>
      </w:r>
      <w:r w:rsidR="00DD009A" w:rsidRPr="00444714">
        <w:rPr>
          <w:rFonts w:ascii="Times New Roman" w:hAnsi="Times New Roman"/>
          <w:sz w:val="24"/>
        </w:rPr>
        <w:t xml:space="preserve">, </w:t>
      </w:r>
      <w:r w:rsidR="00E817DB" w:rsidRPr="00444714">
        <w:rPr>
          <w:rFonts w:ascii="Times New Roman" w:hAnsi="Times New Roman"/>
          <w:sz w:val="24"/>
        </w:rPr>
        <w:t>which</w:t>
      </w:r>
      <w:r w:rsidR="00B17BE9" w:rsidRPr="00444714">
        <w:rPr>
          <w:rFonts w:ascii="Times New Roman" w:hAnsi="Times New Roman"/>
          <w:sz w:val="24"/>
        </w:rPr>
        <w:t xml:space="preserve"> provides that </w:t>
      </w:r>
      <w:r w:rsidR="00E817DB" w:rsidRPr="00444714">
        <w:rPr>
          <w:rFonts w:ascii="Times New Roman" w:hAnsi="Times New Roman"/>
          <w:sz w:val="24"/>
        </w:rPr>
        <w:t>"</w:t>
      </w:r>
      <w:r w:rsidR="00B17BE9" w:rsidRPr="00444714">
        <w:rPr>
          <w:rFonts w:ascii="Times New Roman" w:hAnsi="Times New Roman"/>
          <w:sz w:val="24"/>
        </w:rPr>
        <w:t>assessable income</w:t>
      </w:r>
      <w:r w:rsidR="00E817DB" w:rsidRPr="00444714">
        <w:rPr>
          <w:rFonts w:ascii="Times New Roman" w:hAnsi="Times New Roman"/>
          <w:sz w:val="24"/>
        </w:rPr>
        <w:t>"</w:t>
      </w:r>
      <w:r w:rsidR="00B17BE9" w:rsidRPr="00444714">
        <w:rPr>
          <w:rFonts w:ascii="Times New Roman" w:hAnsi="Times New Roman"/>
          <w:sz w:val="24"/>
        </w:rPr>
        <w:t xml:space="preserve"> has the meaning given by ss 6</w:t>
      </w:r>
      <w:r w:rsidR="00E93BFB">
        <w:rPr>
          <w:rFonts w:ascii="Times New Roman" w:hAnsi="Times New Roman"/>
          <w:sz w:val="24"/>
        </w:rPr>
        <w:noBreakHyphen/>
      </w:r>
      <w:r w:rsidR="00B17BE9" w:rsidRPr="00444714">
        <w:rPr>
          <w:rFonts w:ascii="Times New Roman" w:hAnsi="Times New Roman"/>
          <w:sz w:val="24"/>
        </w:rPr>
        <w:t>5, 6</w:t>
      </w:r>
      <w:r w:rsidR="00D73A9F" w:rsidRPr="00444714">
        <w:rPr>
          <w:rFonts w:ascii="Times New Roman" w:hAnsi="Times New Roman"/>
          <w:sz w:val="24"/>
        </w:rPr>
        <w:noBreakHyphen/>
      </w:r>
      <w:r w:rsidR="00B17BE9" w:rsidRPr="00444714">
        <w:rPr>
          <w:rFonts w:ascii="Times New Roman" w:hAnsi="Times New Roman"/>
          <w:sz w:val="24"/>
        </w:rPr>
        <w:t>10, 6</w:t>
      </w:r>
      <w:r w:rsidR="0084799A" w:rsidRPr="00444714">
        <w:rPr>
          <w:rFonts w:ascii="Times New Roman" w:hAnsi="Times New Roman"/>
          <w:sz w:val="24"/>
        </w:rPr>
        <w:noBreakHyphen/>
      </w:r>
      <w:r w:rsidR="00B17BE9" w:rsidRPr="00444714">
        <w:rPr>
          <w:rFonts w:ascii="Times New Roman" w:hAnsi="Times New Roman"/>
          <w:sz w:val="24"/>
        </w:rPr>
        <w:t>15, 17-10 and 17-30</w:t>
      </w:r>
      <w:r w:rsidR="00E817DB" w:rsidRPr="00444714">
        <w:rPr>
          <w:rFonts w:ascii="Times New Roman" w:hAnsi="Times New Roman"/>
          <w:sz w:val="24"/>
        </w:rPr>
        <w:t xml:space="preserve"> of the 1997</w:t>
      </w:r>
      <w:r w:rsidR="006A00CA" w:rsidRPr="00444714">
        <w:rPr>
          <w:rFonts w:ascii="Times New Roman" w:hAnsi="Times New Roman"/>
          <w:sz w:val="24"/>
        </w:rPr>
        <w:t xml:space="preserve"> Act</w:t>
      </w:r>
      <w:r w:rsidR="00B17BE9" w:rsidRPr="00444714">
        <w:rPr>
          <w:rFonts w:ascii="Times New Roman" w:hAnsi="Times New Roman"/>
          <w:sz w:val="24"/>
        </w:rPr>
        <w:t>.</w:t>
      </w:r>
      <w:r w:rsidR="00AA652F" w:rsidRPr="00444714">
        <w:rPr>
          <w:rFonts w:ascii="Times New Roman" w:hAnsi="Times New Roman"/>
          <w:sz w:val="24"/>
        </w:rPr>
        <w:t xml:space="preserve"> </w:t>
      </w:r>
      <w:r w:rsidR="00B17BE9" w:rsidRPr="00444714">
        <w:rPr>
          <w:rFonts w:ascii="Times New Roman" w:hAnsi="Times New Roman"/>
          <w:sz w:val="24"/>
        </w:rPr>
        <w:t>Relevantly, s 6</w:t>
      </w:r>
      <w:r w:rsidR="00B17BE9" w:rsidRPr="00444714">
        <w:rPr>
          <w:rFonts w:ascii="Times New Roman" w:hAnsi="Times New Roman"/>
          <w:sz w:val="24"/>
        </w:rPr>
        <w:noBreakHyphen/>
        <w:t xml:space="preserve">5(2) provides that, in the case of an Australian resident, assessable income includes </w:t>
      </w:r>
      <w:r w:rsidR="00E817DB" w:rsidRPr="00444714">
        <w:rPr>
          <w:rFonts w:ascii="Times New Roman" w:hAnsi="Times New Roman"/>
          <w:sz w:val="24"/>
        </w:rPr>
        <w:t>"</w:t>
      </w:r>
      <w:r w:rsidR="00B17BE9" w:rsidRPr="00444714">
        <w:rPr>
          <w:rFonts w:ascii="Times New Roman" w:hAnsi="Times New Roman"/>
          <w:sz w:val="24"/>
        </w:rPr>
        <w:t xml:space="preserve">ordinary income … derived directly or indirectly from all sources … </w:t>
      </w:r>
      <w:r w:rsidR="00B17BE9" w:rsidRPr="00444714">
        <w:rPr>
          <w:rFonts w:ascii="Times New Roman" w:hAnsi="Times New Roman"/>
          <w:i/>
          <w:sz w:val="24"/>
        </w:rPr>
        <w:t>during the income year</w:t>
      </w:r>
      <w:r w:rsidR="00E817DB" w:rsidRPr="00444714">
        <w:rPr>
          <w:rFonts w:ascii="Times New Roman" w:hAnsi="Times New Roman"/>
          <w:sz w:val="24"/>
        </w:rPr>
        <w:t>"</w:t>
      </w:r>
      <w:r w:rsidR="0002256B" w:rsidRPr="00444714">
        <w:rPr>
          <w:rFonts w:ascii="Times New Roman" w:hAnsi="Times New Roman"/>
          <w:sz w:val="24"/>
        </w:rPr>
        <w:t xml:space="preserve"> (emphasis added)</w:t>
      </w:r>
      <w:r w:rsidR="00B17BE9" w:rsidRPr="00444714">
        <w:rPr>
          <w:rFonts w:ascii="Times New Roman" w:hAnsi="Times New Roman"/>
          <w:sz w:val="24"/>
        </w:rPr>
        <w:t>.</w:t>
      </w:r>
    </w:p>
  </w:footnote>
  <w:footnote w:id="9">
    <w:p w14:paraId="081770AE" w14:textId="4895AC80" w:rsidR="003E4475" w:rsidRPr="00444714" w:rsidRDefault="003E4475"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1350C4" w:rsidRPr="00444714">
        <w:rPr>
          <w:rFonts w:ascii="Times New Roman" w:hAnsi="Times New Roman"/>
          <w:sz w:val="24"/>
        </w:rPr>
        <w:t>1936</w:t>
      </w:r>
      <w:r w:rsidR="006A00CA" w:rsidRPr="00444714">
        <w:rPr>
          <w:rFonts w:ascii="Times New Roman" w:hAnsi="Times New Roman"/>
          <w:sz w:val="24"/>
        </w:rPr>
        <w:t xml:space="preserve"> Act</w:t>
      </w:r>
      <w:r w:rsidR="001350C4" w:rsidRPr="00444714">
        <w:rPr>
          <w:rFonts w:ascii="Times New Roman" w:hAnsi="Times New Roman"/>
          <w:sz w:val="24"/>
        </w:rPr>
        <w:t>, s 95(1) definition of "net income".</w:t>
      </w:r>
    </w:p>
  </w:footnote>
  <w:footnote w:id="10">
    <w:p w14:paraId="59756368" w14:textId="65C71825" w:rsidR="003A5A99" w:rsidRPr="00444714" w:rsidRDefault="003A5A99"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 xml:space="preserve">cf </w:t>
      </w:r>
      <w:r w:rsidRPr="00444714">
        <w:rPr>
          <w:rFonts w:ascii="Times New Roman" w:hAnsi="Times New Roman"/>
          <w:i/>
          <w:sz w:val="24"/>
        </w:rPr>
        <w:t>Smeaton Grange</w:t>
      </w:r>
      <w:r w:rsidRPr="00444714">
        <w:rPr>
          <w:rFonts w:ascii="Times New Roman" w:hAnsi="Times New Roman"/>
          <w:sz w:val="24"/>
        </w:rPr>
        <w:t xml:space="preserve"> </w:t>
      </w:r>
      <w:r w:rsidR="00DF7A00" w:rsidRPr="00444714">
        <w:rPr>
          <w:rFonts w:ascii="Times New Roman" w:hAnsi="Times New Roman"/>
          <w:sz w:val="24"/>
        </w:rPr>
        <w:t>(2017) 106 ATR 151 at 179 [136].</w:t>
      </w:r>
    </w:p>
  </w:footnote>
  <w:footnote w:id="11">
    <w:p w14:paraId="30A17169" w14:textId="1CA91FE8" w:rsidR="00DA1275" w:rsidRPr="00444714" w:rsidRDefault="00DA1275"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B86FD1" w:rsidRPr="00444714">
        <w:rPr>
          <w:rFonts w:ascii="Times New Roman" w:hAnsi="Times New Roman"/>
          <w:sz w:val="24"/>
        </w:rPr>
        <w:t xml:space="preserve">See </w:t>
      </w:r>
      <w:r w:rsidRPr="00444714">
        <w:rPr>
          <w:rFonts w:ascii="Times New Roman" w:hAnsi="Times New Roman"/>
          <w:i/>
          <w:sz w:val="24"/>
        </w:rPr>
        <w:t>Dwight v Commissioner of Taxation</w:t>
      </w:r>
      <w:r w:rsidRPr="00444714">
        <w:rPr>
          <w:rFonts w:ascii="Times New Roman" w:hAnsi="Times New Roman"/>
          <w:sz w:val="24"/>
        </w:rPr>
        <w:t xml:space="preserve"> (1992) 37 FCR 178 at 192, citing </w:t>
      </w:r>
      <w:r w:rsidRPr="00444714">
        <w:rPr>
          <w:rFonts w:ascii="Times New Roman" w:hAnsi="Times New Roman"/>
          <w:i/>
          <w:sz w:val="24"/>
        </w:rPr>
        <w:t>Glenn v Federal Commissioner of Land Tax</w:t>
      </w:r>
      <w:r w:rsidRPr="00444714">
        <w:rPr>
          <w:rFonts w:ascii="Times New Roman" w:hAnsi="Times New Roman"/>
          <w:sz w:val="24"/>
        </w:rPr>
        <w:t xml:space="preserve"> (1915) 20 CLR 490 at 496, 501.</w:t>
      </w:r>
      <w:r w:rsidR="00AA652F" w:rsidRPr="00444714">
        <w:rPr>
          <w:rFonts w:ascii="Times New Roman" w:hAnsi="Times New Roman"/>
          <w:sz w:val="24"/>
        </w:rPr>
        <w:t xml:space="preserve"> </w:t>
      </w:r>
      <w:r w:rsidRPr="00444714">
        <w:rPr>
          <w:rFonts w:ascii="Times New Roman" w:hAnsi="Times New Roman"/>
          <w:sz w:val="24"/>
        </w:rPr>
        <w:t xml:space="preserve">See also </w:t>
      </w:r>
      <w:r w:rsidRPr="00444714">
        <w:rPr>
          <w:rFonts w:ascii="Times New Roman" w:hAnsi="Times New Roman"/>
          <w:i/>
          <w:sz w:val="24"/>
        </w:rPr>
        <w:t>Gartside v Inland Revenue Commissioners</w:t>
      </w:r>
      <w:r w:rsidRPr="00444714">
        <w:rPr>
          <w:rFonts w:ascii="Times New Roman" w:hAnsi="Times New Roman"/>
          <w:sz w:val="24"/>
        </w:rPr>
        <w:t xml:space="preserve"> [1968] AC 553 at 607.</w:t>
      </w:r>
    </w:p>
  </w:footnote>
  <w:footnote w:id="12">
    <w:p w14:paraId="7F2AB063" w14:textId="28E256D1" w:rsidR="001A25C0" w:rsidRPr="00444714" w:rsidRDefault="001A25C0"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(2010) 240 CLR 481 at 505 [37].</w:t>
      </w:r>
    </w:p>
  </w:footnote>
  <w:footnote w:id="13">
    <w:p w14:paraId="43592501" w14:textId="7E4D62F0" w:rsidR="003F68FC" w:rsidRPr="00444714" w:rsidRDefault="003F68FC"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cf</w:t>
      </w:r>
      <w:r w:rsidR="00ED1AE7" w:rsidRPr="00444714">
        <w:rPr>
          <w:rFonts w:ascii="Times New Roman" w:hAnsi="Times New Roman"/>
          <w:sz w:val="24"/>
        </w:rPr>
        <w:t> </w:t>
      </w:r>
      <w:r w:rsidR="00AC430F" w:rsidRPr="00444714">
        <w:rPr>
          <w:rFonts w:ascii="Times New Roman" w:hAnsi="Times New Roman"/>
          <w:i/>
          <w:sz w:val="24"/>
        </w:rPr>
        <w:t>Taylor v Federal Commissioner of Taxation</w:t>
      </w:r>
      <w:r w:rsidR="00AC430F" w:rsidRPr="00444714">
        <w:rPr>
          <w:rFonts w:ascii="Times New Roman" w:hAnsi="Times New Roman"/>
          <w:sz w:val="24"/>
        </w:rPr>
        <w:t xml:space="preserve"> (1970) 119 CLR 444 at 451-452.</w:t>
      </w:r>
    </w:p>
  </w:footnote>
  <w:footnote w:id="14">
    <w:p w14:paraId="08E1DB2D" w14:textId="06AF38EB" w:rsidR="001A3784" w:rsidRPr="00444714" w:rsidRDefault="001A3784"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C12630" w:rsidRPr="00444714">
        <w:rPr>
          <w:rFonts w:ascii="Times New Roman" w:hAnsi="Times New Roman"/>
          <w:i/>
          <w:sz w:val="24"/>
        </w:rPr>
        <w:t xml:space="preserve">Federal Commissioner of Taxation v </w:t>
      </w:r>
      <w:r w:rsidRPr="00444714">
        <w:rPr>
          <w:rFonts w:ascii="Times New Roman" w:hAnsi="Times New Roman"/>
          <w:i/>
          <w:sz w:val="24"/>
        </w:rPr>
        <w:t>Whiting</w:t>
      </w:r>
      <w:r w:rsidRPr="00444714">
        <w:rPr>
          <w:rFonts w:ascii="Times New Roman" w:hAnsi="Times New Roman"/>
          <w:sz w:val="24"/>
        </w:rPr>
        <w:t xml:space="preserve"> </w:t>
      </w:r>
      <w:r w:rsidR="00C12630" w:rsidRPr="00444714">
        <w:rPr>
          <w:rFonts w:ascii="Times New Roman" w:hAnsi="Times New Roman"/>
          <w:sz w:val="24"/>
        </w:rPr>
        <w:t>(</w:t>
      </w:r>
      <w:r w:rsidR="004E4D04" w:rsidRPr="00444714">
        <w:rPr>
          <w:rFonts w:ascii="Times New Roman" w:hAnsi="Times New Roman"/>
          <w:sz w:val="24"/>
        </w:rPr>
        <w:t>1943</w:t>
      </w:r>
      <w:r w:rsidR="00C12630" w:rsidRPr="00444714">
        <w:rPr>
          <w:rFonts w:ascii="Times New Roman" w:hAnsi="Times New Roman"/>
          <w:sz w:val="24"/>
        </w:rPr>
        <w:t xml:space="preserve">) 68 CLR 199 </w:t>
      </w:r>
      <w:r w:rsidRPr="00444714">
        <w:rPr>
          <w:rFonts w:ascii="Times New Roman" w:hAnsi="Times New Roman"/>
          <w:sz w:val="24"/>
        </w:rPr>
        <w:t xml:space="preserve">at </w:t>
      </w:r>
      <w:r w:rsidR="00D27FE1" w:rsidRPr="00444714">
        <w:rPr>
          <w:rFonts w:ascii="Times New Roman" w:hAnsi="Times New Roman"/>
          <w:sz w:val="24"/>
        </w:rPr>
        <w:t>215</w:t>
      </w:r>
      <w:r w:rsidR="00D27FE1" w:rsidRPr="00444714">
        <w:rPr>
          <w:rFonts w:ascii="Times New Roman" w:hAnsi="Times New Roman"/>
          <w:sz w:val="24"/>
        </w:rPr>
        <w:noBreakHyphen/>
        <w:t>216, 219</w:t>
      </w:r>
      <w:r w:rsidR="007F121B" w:rsidRPr="00444714">
        <w:rPr>
          <w:rFonts w:ascii="Times New Roman" w:hAnsi="Times New Roman"/>
          <w:sz w:val="24"/>
        </w:rPr>
        <w:t xml:space="preserve">; </w:t>
      </w:r>
      <w:r w:rsidR="007F121B" w:rsidRPr="00444714">
        <w:rPr>
          <w:rFonts w:ascii="Times New Roman" w:hAnsi="Times New Roman"/>
          <w:i/>
          <w:sz w:val="24"/>
        </w:rPr>
        <w:t>Tindal</w:t>
      </w:r>
      <w:r w:rsidR="00AA2B41" w:rsidRPr="00444714">
        <w:rPr>
          <w:rFonts w:ascii="Times New Roman" w:hAnsi="Times New Roman"/>
          <w:i/>
          <w:sz w:val="24"/>
        </w:rPr>
        <w:t xml:space="preserve"> v Federal Commissioner of Taxation</w:t>
      </w:r>
      <w:r w:rsidR="00AA2B41" w:rsidRPr="00444714">
        <w:rPr>
          <w:rFonts w:ascii="Times New Roman" w:hAnsi="Times New Roman"/>
          <w:sz w:val="24"/>
        </w:rPr>
        <w:t xml:space="preserve"> (1946) </w:t>
      </w:r>
      <w:r w:rsidR="00A21480" w:rsidRPr="00444714">
        <w:rPr>
          <w:rFonts w:ascii="Times New Roman" w:hAnsi="Times New Roman"/>
          <w:sz w:val="24"/>
        </w:rPr>
        <w:t>72 CLR 608</w:t>
      </w:r>
      <w:r w:rsidR="007F121B" w:rsidRPr="00444714">
        <w:rPr>
          <w:rFonts w:ascii="Times New Roman" w:hAnsi="Times New Roman"/>
          <w:sz w:val="24"/>
        </w:rPr>
        <w:t xml:space="preserve"> at 618</w:t>
      </w:r>
      <w:r w:rsidR="00305FC4" w:rsidRPr="00444714">
        <w:rPr>
          <w:rFonts w:ascii="Times New Roman" w:hAnsi="Times New Roman"/>
          <w:sz w:val="24"/>
        </w:rPr>
        <w:t xml:space="preserve">; see also </w:t>
      </w:r>
      <w:r w:rsidR="00C12630" w:rsidRPr="00444714">
        <w:rPr>
          <w:rFonts w:ascii="Times New Roman" w:hAnsi="Times New Roman"/>
          <w:sz w:val="24"/>
        </w:rPr>
        <w:t>1936</w:t>
      </w:r>
      <w:r w:rsidR="006A00CA" w:rsidRPr="00444714">
        <w:rPr>
          <w:rFonts w:ascii="Times New Roman" w:hAnsi="Times New Roman"/>
          <w:sz w:val="24"/>
        </w:rPr>
        <w:t xml:space="preserve"> Act</w:t>
      </w:r>
      <w:r w:rsidR="00C12630" w:rsidRPr="00444714">
        <w:rPr>
          <w:rFonts w:ascii="Times New Roman" w:hAnsi="Times New Roman"/>
          <w:sz w:val="24"/>
        </w:rPr>
        <w:t xml:space="preserve">, </w:t>
      </w:r>
      <w:r w:rsidR="00305FC4" w:rsidRPr="00444714">
        <w:rPr>
          <w:rFonts w:ascii="Times New Roman" w:hAnsi="Times New Roman"/>
          <w:sz w:val="24"/>
        </w:rPr>
        <w:t>s 95A</w:t>
      </w:r>
      <w:r w:rsidR="00181537" w:rsidRPr="00444714">
        <w:rPr>
          <w:rFonts w:ascii="Times New Roman" w:hAnsi="Times New Roman"/>
          <w:sz w:val="24"/>
        </w:rPr>
        <w:t>.</w:t>
      </w:r>
    </w:p>
  </w:footnote>
  <w:footnote w:id="15">
    <w:p w14:paraId="25EE73B5" w14:textId="05A46BCE" w:rsidR="006700AE" w:rsidRPr="00444714" w:rsidRDefault="006700AE"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4F1BC4" w:rsidRPr="00444714">
        <w:rPr>
          <w:rFonts w:ascii="Times New Roman" w:hAnsi="Times New Roman"/>
          <w:sz w:val="24"/>
        </w:rPr>
        <w:t xml:space="preserve">(1969) </w:t>
      </w:r>
      <w:r w:rsidR="001B3D93" w:rsidRPr="00444714">
        <w:rPr>
          <w:rFonts w:ascii="Times New Roman" w:hAnsi="Times New Roman"/>
          <w:sz w:val="24"/>
        </w:rPr>
        <w:t xml:space="preserve">119 CLR </w:t>
      </w:r>
      <w:r w:rsidR="006031C3" w:rsidRPr="00444714">
        <w:rPr>
          <w:rFonts w:ascii="Times New Roman" w:hAnsi="Times New Roman"/>
          <w:sz w:val="24"/>
        </w:rPr>
        <w:t>177 at 182.</w:t>
      </w:r>
      <w:r w:rsidR="00AA652F" w:rsidRPr="00444714">
        <w:rPr>
          <w:rFonts w:ascii="Times New Roman" w:hAnsi="Times New Roman"/>
          <w:sz w:val="24"/>
        </w:rPr>
        <w:t xml:space="preserve"> </w:t>
      </w:r>
      <w:r w:rsidR="0070297D" w:rsidRPr="00444714">
        <w:rPr>
          <w:rFonts w:ascii="Times New Roman" w:hAnsi="Times New Roman"/>
          <w:sz w:val="24"/>
        </w:rPr>
        <w:t xml:space="preserve">See </w:t>
      </w:r>
      <w:r w:rsidR="0070297D" w:rsidRPr="00444714">
        <w:rPr>
          <w:rFonts w:ascii="Times New Roman" w:hAnsi="Times New Roman"/>
          <w:i/>
          <w:sz w:val="24"/>
        </w:rPr>
        <w:t>Commissioner of Taxation v Harmer</w:t>
      </w:r>
      <w:r w:rsidR="0070297D" w:rsidRPr="00444714">
        <w:rPr>
          <w:rFonts w:ascii="Times New Roman" w:hAnsi="Times New Roman"/>
          <w:sz w:val="24"/>
        </w:rPr>
        <w:t xml:space="preserve"> (1990) 24 FCR 237 at 248-249; </w:t>
      </w:r>
      <w:r w:rsidR="00F815D9" w:rsidRPr="00444714">
        <w:rPr>
          <w:rFonts w:ascii="Times New Roman" w:hAnsi="Times New Roman"/>
          <w:i/>
          <w:sz w:val="24"/>
        </w:rPr>
        <w:t xml:space="preserve">Hart v Federal Commissioner of Taxation </w:t>
      </w:r>
      <w:r w:rsidR="00F815D9" w:rsidRPr="00444714">
        <w:rPr>
          <w:rFonts w:ascii="Times New Roman" w:hAnsi="Times New Roman"/>
          <w:sz w:val="24"/>
        </w:rPr>
        <w:t xml:space="preserve">(2018) 261 FCR 406 </w:t>
      </w:r>
      <w:r w:rsidR="00600D5A" w:rsidRPr="00444714">
        <w:rPr>
          <w:rFonts w:ascii="Times New Roman" w:hAnsi="Times New Roman"/>
          <w:sz w:val="24"/>
        </w:rPr>
        <w:t>at 434 [53].</w:t>
      </w:r>
    </w:p>
  </w:footnote>
  <w:footnote w:id="16">
    <w:p w14:paraId="291BF666" w14:textId="692DA610" w:rsidR="0012151A" w:rsidRPr="00444714" w:rsidRDefault="0012151A"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7373E2" w:rsidRPr="00444714">
        <w:rPr>
          <w:rFonts w:ascii="Times New Roman" w:hAnsi="Times New Roman"/>
          <w:i/>
          <w:sz w:val="24"/>
        </w:rPr>
        <w:t>Bamford</w:t>
      </w:r>
      <w:r w:rsidR="007373E2" w:rsidRPr="00444714">
        <w:rPr>
          <w:rFonts w:ascii="Times New Roman" w:hAnsi="Times New Roman"/>
          <w:sz w:val="24"/>
        </w:rPr>
        <w:t xml:space="preserve"> (2010) 240 CLR 481 at 505 [37], quoting </w:t>
      </w:r>
      <w:r w:rsidRPr="00444714">
        <w:rPr>
          <w:rFonts w:ascii="Times New Roman" w:hAnsi="Times New Roman"/>
          <w:i/>
          <w:sz w:val="24"/>
        </w:rPr>
        <w:t>Harmer</w:t>
      </w:r>
      <w:r w:rsidRPr="00444714">
        <w:rPr>
          <w:rFonts w:ascii="Times New Roman" w:hAnsi="Times New Roman"/>
          <w:sz w:val="24"/>
        </w:rPr>
        <w:t xml:space="preserve"> </w:t>
      </w:r>
      <w:r w:rsidR="00FE56A3" w:rsidRPr="00444714">
        <w:rPr>
          <w:rFonts w:ascii="Times New Roman" w:hAnsi="Times New Roman"/>
          <w:sz w:val="24"/>
        </w:rPr>
        <w:t xml:space="preserve">(1991) 173 CLR 264 </w:t>
      </w:r>
      <w:r w:rsidRPr="00444714">
        <w:rPr>
          <w:rFonts w:ascii="Times New Roman" w:hAnsi="Times New Roman"/>
          <w:sz w:val="24"/>
        </w:rPr>
        <w:t>at</w:t>
      </w:r>
      <w:r w:rsidR="00440050">
        <w:rPr>
          <w:rFonts w:ascii="Times New Roman" w:hAnsi="Times New Roman"/>
          <w:sz w:val="24"/>
        </w:rPr>
        <w:t> </w:t>
      </w:r>
      <w:r w:rsidR="003A16E7" w:rsidRPr="00444714">
        <w:rPr>
          <w:rFonts w:ascii="Times New Roman" w:hAnsi="Times New Roman"/>
          <w:sz w:val="24"/>
        </w:rPr>
        <w:t>271</w:t>
      </w:r>
      <w:r w:rsidRPr="00444714">
        <w:rPr>
          <w:rFonts w:ascii="Times New Roman" w:hAnsi="Times New Roman"/>
          <w:sz w:val="24"/>
        </w:rPr>
        <w:t>.</w:t>
      </w:r>
    </w:p>
  </w:footnote>
  <w:footnote w:id="17">
    <w:p w14:paraId="38A008E7" w14:textId="506AE6CB" w:rsidR="00623103" w:rsidRPr="00444714" w:rsidRDefault="00623103"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(2010) 240 CLR 481 at 505 [37]</w:t>
      </w:r>
      <w:r w:rsidR="00AE3F44" w:rsidRPr="00444714">
        <w:rPr>
          <w:rFonts w:ascii="Times New Roman" w:hAnsi="Times New Roman"/>
          <w:sz w:val="24"/>
        </w:rPr>
        <w:t>,</w:t>
      </w:r>
      <w:r w:rsidRPr="00444714">
        <w:rPr>
          <w:rFonts w:ascii="Times New Roman" w:hAnsi="Times New Roman"/>
          <w:sz w:val="24"/>
        </w:rPr>
        <w:t xml:space="preserve"> quoting </w:t>
      </w:r>
      <w:r w:rsidRPr="00444714">
        <w:rPr>
          <w:rFonts w:ascii="Times New Roman" w:hAnsi="Times New Roman"/>
          <w:i/>
          <w:sz w:val="24"/>
        </w:rPr>
        <w:t xml:space="preserve">Harmer </w:t>
      </w:r>
      <w:r w:rsidRPr="00444714">
        <w:rPr>
          <w:rFonts w:ascii="Times New Roman" w:hAnsi="Times New Roman"/>
          <w:sz w:val="24"/>
        </w:rPr>
        <w:t>(1991) 173</w:t>
      </w:r>
      <w:r w:rsidR="00812A1C" w:rsidRPr="00444714">
        <w:rPr>
          <w:rFonts w:ascii="Times New Roman" w:hAnsi="Times New Roman"/>
          <w:sz w:val="24"/>
        </w:rPr>
        <w:t> </w:t>
      </w:r>
      <w:r w:rsidRPr="00444714">
        <w:rPr>
          <w:rFonts w:ascii="Times New Roman" w:hAnsi="Times New Roman"/>
          <w:sz w:val="24"/>
        </w:rPr>
        <w:t>CLR 264</w:t>
      </w:r>
      <w:r w:rsidR="00AE3F44" w:rsidRPr="00444714">
        <w:rPr>
          <w:rFonts w:ascii="Times New Roman" w:hAnsi="Times New Roman"/>
          <w:sz w:val="24"/>
        </w:rPr>
        <w:t xml:space="preserve"> </w:t>
      </w:r>
      <w:r w:rsidRPr="00444714">
        <w:rPr>
          <w:rFonts w:ascii="Times New Roman" w:hAnsi="Times New Roman"/>
          <w:sz w:val="24"/>
        </w:rPr>
        <w:t>at 271.</w:t>
      </w:r>
    </w:p>
  </w:footnote>
  <w:footnote w:id="18">
    <w:p w14:paraId="4BEF7DEB" w14:textId="18B523F3" w:rsidR="00D431AD" w:rsidRPr="00444714" w:rsidRDefault="00D431AD"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Income Tax Act 1986</w:t>
      </w:r>
      <w:r w:rsidRPr="00444714">
        <w:rPr>
          <w:rFonts w:ascii="Times New Roman" w:hAnsi="Times New Roman"/>
          <w:sz w:val="24"/>
        </w:rPr>
        <w:t xml:space="preserve"> (Cth)</w:t>
      </w:r>
      <w:r w:rsidR="00B72495" w:rsidRPr="00444714">
        <w:rPr>
          <w:rFonts w:ascii="Times New Roman" w:hAnsi="Times New Roman"/>
          <w:sz w:val="24"/>
        </w:rPr>
        <w:t>,</w:t>
      </w:r>
      <w:r w:rsidRPr="00444714">
        <w:rPr>
          <w:rFonts w:ascii="Times New Roman" w:hAnsi="Times New Roman"/>
          <w:sz w:val="24"/>
        </w:rPr>
        <w:t xml:space="preserve"> ss </w:t>
      </w:r>
      <w:r w:rsidR="00CF61DA" w:rsidRPr="00444714">
        <w:rPr>
          <w:rFonts w:ascii="Times New Roman" w:hAnsi="Times New Roman"/>
          <w:sz w:val="24"/>
        </w:rPr>
        <w:t xml:space="preserve">5 and </w:t>
      </w:r>
      <w:r w:rsidRPr="00444714">
        <w:rPr>
          <w:rFonts w:ascii="Times New Roman" w:hAnsi="Times New Roman"/>
          <w:sz w:val="24"/>
        </w:rPr>
        <w:t>7.</w:t>
      </w:r>
      <w:r w:rsidR="00AA652F" w:rsidRPr="00444714">
        <w:rPr>
          <w:rFonts w:ascii="Times New Roman" w:hAnsi="Times New Roman"/>
          <w:sz w:val="24"/>
        </w:rPr>
        <w:t xml:space="preserve"> </w:t>
      </w:r>
      <w:r w:rsidR="0055620E" w:rsidRPr="00444714">
        <w:rPr>
          <w:rFonts w:ascii="Times New Roman" w:hAnsi="Times New Roman"/>
          <w:sz w:val="24"/>
        </w:rPr>
        <w:t xml:space="preserve">See </w:t>
      </w:r>
      <w:r w:rsidR="0055620E" w:rsidRPr="00444714">
        <w:rPr>
          <w:rFonts w:ascii="Times New Roman" w:hAnsi="Times New Roman"/>
          <w:i/>
          <w:sz w:val="24"/>
        </w:rPr>
        <w:t>Bamford</w:t>
      </w:r>
      <w:r w:rsidR="0055620E" w:rsidRPr="00444714">
        <w:rPr>
          <w:rFonts w:ascii="Times New Roman" w:hAnsi="Times New Roman"/>
          <w:sz w:val="24"/>
        </w:rPr>
        <w:t xml:space="preserve"> (2010) 240 CLR 481 at 507</w:t>
      </w:r>
      <w:r w:rsidR="007C3620">
        <w:rPr>
          <w:rFonts w:ascii="Times New Roman" w:hAnsi="Times New Roman"/>
          <w:sz w:val="24"/>
        </w:rPr>
        <w:noBreakHyphen/>
      </w:r>
      <w:r w:rsidR="0055620E" w:rsidRPr="00444714">
        <w:rPr>
          <w:rFonts w:ascii="Times New Roman" w:hAnsi="Times New Roman"/>
          <w:sz w:val="24"/>
        </w:rPr>
        <w:t xml:space="preserve">508 [45], quoting </w:t>
      </w:r>
      <w:r w:rsidR="0055620E" w:rsidRPr="00444714">
        <w:rPr>
          <w:rFonts w:ascii="Times New Roman" w:hAnsi="Times New Roman"/>
          <w:i/>
          <w:sz w:val="24"/>
        </w:rPr>
        <w:t>Zeta Force Pty Ltd v Commissioner of Taxation</w:t>
      </w:r>
      <w:r w:rsidR="0055620E" w:rsidRPr="00444714">
        <w:rPr>
          <w:rFonts w:ascii="Times New Roman" w:hAnsi="Times New Roman"/>
          <w:sz w:val="24"/>
        </w:rPr>
        <w:t xml:space="preserve"> (1998) 84 FCR 70 at</w:t>
      </w:r>
      <w:r w:rsidR="007C3620">
        <w:rPr>
          <w:rFonts w:ascii="Times New Roman" w:hAnsi="Times New Roman"/>
          <w:sz w:val="24"/>
        </w:rPr>
        <w:t> </w:t>
      </w:r>
      <w:r w:rsidR="0055620E" w:rsidRPr="00444714">
        <w:rPr>
          <w:rFonts w:ascii="Times New Roman" w:hAnsi="Times New Roman"/>
          <w:sz w:val="24"/>
        </w:rPr>
        <w:t>74-75.</w:t>
      </w:r>
    </w:p>
  </w:footnote>
  <w:footnote w:id="19">
    <w:p w14:paraId="28999C8B" w14:textId="7CC53B1E" w:rsidR="0084738D" w:rsidRPr="00444714" w:rsidRDefault="0084738D"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The same approach applies for the purposes of taxing the net income of a partnership under Div 5 of Pt III of the 1936 Act:</w:t>
      </w:r>
      <w:r w:rsidR="00AA652F" w:rsidRPr="00444714">
        <w:rPr>
          <w:rFonts w:ascii="Times New Roman" w:hAnsi="Times New Roman"/>
          <w:sz w:val="24"/>
        </w:rPr>
        <w:t xml:space="preserve"> </w:t>
      </w:r>
      <w:r w:rsidRPr="00444714">
        <w:rPr>
          <w:rFonts w:ascii="Times New Roman" w:hAnsi="Times New Roman"/>
          <w:i/>
          <w:sz w:val="24"/>
        </w:rPr>
        <w:t>Federal Commissioner of Taxation v Galland</w:t>
      </w:r>
      <w:r w:rsidRPr="00444714">
        <w:rPr>
          <w:rFonts w:ascii="Times New Roman" w:hAnsi="Times New Roman"/>
          <w:sz w:val="24"/>
        </w:rPr>
        <w:t xml:space="preserve"> (1986) 162 CLR 408 at 414-415, 418-419, 422, 424. </w:t>
      </w:r>
    </w:p>
  </w:footnote>
  <w:footnote w:id="20">
    <w:p w14:paraId="33DB9565" w14:textId="09203825" w:rsidR="001B3B4B" w:rsidRPr="00444714" w:rsidRDefault="001B3B4B"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 xml:space="preserve">cf </w:t>
      </w:r>
      <w:r w:rsidRPr="00444714">
        <w:rPr>
          <w:rFonts w:ascii="Times New Roman" w:hAnsi="Times New Roman"/>
          <w:i/>
          <w:sz w:val="24"/>
        </w:rPr>
        <w:t>Smeaton Grange</w:t>
      </w:r>
      <w:r w:rsidRPr="00444714">
        <w:rPr>
          <w:rFonts w:ascii="Times New Roman" w:hAnsi="Times New Roman"/>
          <w:sz w:val="24"/>
        </w:rPr>
        <w:t xml:space="preserve"> </w:t>
      </w:r>
      <w:r w:rsidR="000B7677" w:rsidRPr="00444714">
        <w:rPr>
          <w:rFonts w:ascii="Times New Roman" w:hAnsi="Times New Roman"/>
          <w:sz w:val="24"/>
        </w:rPr>
        <w:t>(2017) 106 ATR 151 at 157 [22].</w:t>
      </w:r>
    </w:p>
  </w:footnote>
  <w:footnote w:id="21">
    <w:p w14:paraId="5E3895E8" w14:textId="5B8E780B" w:rsidR="005C4394" w:rsidRPr="00444714" w:rsidRDefault="005C4394"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0E3895" w:rsidRPr="00444714">
        <w:rPr>
          <w:rFonts w:ascii="Times New Roman" w:hAnsi="Times New Roman"/>
          <w:sz w:val="24"/>
        </w:rPr>
        <w:t xml:space="preserve">cf </w:t>
      </w:r>
      <w:r w:rsidR="004809F6" w:rsidRPr="00444714">
        <w:rPr>
          <w:rFonts w:ascii="Times New Roman" w:hAnsi="Times New Roman"/>
          <w:sz w:val="24"/>
        </w:rPr>
        <w:t xml:space="preserve">Smith, </w:t>
      </w:r>
      <w:r w:rsidR="009171A6" w:rsidRPr="00444714">
        <w:rPr>
          <w:rFonts w:ascii="Times New Roman" w:hAnsi="Times New Roman"/>
          <w:i/>
          <w:sz w:val="24"/>
        </w:rPr>
        <w:t>An Inquiry into the Nature and Causes of the</w:t>
      </w:r>
      <w:r w:rsidR="004809F6" w:rsidRPr="00444714">
        <w:rPr>
          <w:rFonts w:ascii="Times New Roman" w:hAnsi="Times New Roman"/>
          <w:i/>
          <w:sz w:val="24"/>
        </w:rPr>
        <w:t xml:space="preserve"> Wealth of Nations</w:t>
      </w:r>
      <w:r w:rsidR="006645DC" w:rsidRPr="00444714">
        <w:rPr>
          <w:rFonts w:ascii="Times New Roman" w:hAnsi="Times New Roman"/>
          <w:sz w:val="24"/>
        </w:rPr>
        <w:t>, 4th ed</w:t>
      </w:r>
      <w:r w:rsidR="004809F6" w:rsidRPr="00444714">
        <w:rPr>
          <w:rFonts w:ascii="Times New Roman" w:hAnsi="Times New Roman"/>
          <w:sz w:val="24"/>
        </w:rPr>
        <w:t xml:space="preserve"> (</w:t>
      </w:r>
      <w:r w:rsidR="006645DC" w:rsidRPr="00444714">
        <w:rPr>
          <w:rFonts w:ascii="Times New Roman" w:hAnsi="Times New Roman"/>
          <w:sz w:val="24"/>
        </w:rPr>
        <w:t>1850</w:t>
      </w:r>
      <w:r w:rsidR="0059602C" w:rsidRPr="00444714">
        <w:rPr>
          <w:rFonts w:ascii="Times New Roman" w:hAnsi="Times New Roman"/>
          <w:sz w:val="24"/>
        </w:rPr>
        <w:t>)</w:t>
      </w:r>
      <w:r w:rsidR="00CF32F3" w:rsidRPr="00444714">
        <w:rPr>
          <w:rFonts w:ascii="Times New Roman" w:hAnsi="Times New Roman"/>
          <w:sz w:val="24"/>
        </w:rPr>
        <w:t>,</w:t>
      </w:r>
      <w:r w:rsidR="0059602C" w:rsidRPr="00444714">
        <w:rPr>
          <w:rFonts w:ascii="Times New Roman" w:hAnsi="Times New Roman"/>
          <w:sz w:val="24"/>
        </w:rPr>
        <w:t xml:space="preserve"> bk </w:t>
      </w:r>
      <w:r w:rsidR="00EB1A2D" w:rsidRPr="00444714">
        <w:rPr>
          <w:rFonts w:ascii="Times New Roman" w:hAnsi="Times New Roman"/>
          <w:sz w:val="24"/>
        </w:rPr>
        <w:t xml:space="preserve">v, ch </w:t>
      </w:r>
      <w:r w:rsidR="00540AD1" w:rsidRPr="00444714">
        <w:rPr>
          <w:rFonts w:ascii="Times New Roman" w:hAnsi="Times New Roman"/>
          <w:sz w:val="24"/>
        </w:rPr>
        <w:t xml:space="preserve">ii at </w:t>
      </w:r>
      <w:r w:rsidR="00F140FD" w:rsidRPr="00444714">
        <w:rPr>
          <w:rFonts w:ascii="Times New Roman" w:hAnsi="Times New Roman"/>
          <w:sz w:val="24"/>
        </w:rPr>
        <w:t>371-</w:t>
      </w:r>
      <w:r w:rsidR="003C63E2" w:rsidRPr="00444714">
        <w:rPr>
          <w:rFonts w:ascii="Times New Roman" w:hAnsi="Times New Roman"/>
          <w:sz w:val="24"/>
        </w:rPr>
        <w:t>372</w:t>
      </w:r>
      <w:r w:rsidR="004809F6" w:rsidRPr="00444714">
        <w:rPr>
          <w:rFonts w:ascii="Times New Roman" w:hAnsi="Times New Roman"/>
          <w:sz w:val="24"/>
        </w:rPr>
        <w:t>.</w:t>
      </w:r>
    </w:p>
  </w:footnote>
  <w:footnote w:id="22">
    <w:p w14:paraId="043921DE" w14:textId="7801F837" w:rsidR="006649FB" w:rsidRPr="00444714" w:rsidRDefault="006649FB"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Union</w:t>
      </w:r>
      <w:r w:rsidR="002158D3" w:rsidRPr="00444714">
        <w:rPr>
          <w:rFonts w:ascii="Times New Roman" w:hAnsi="Times New Roman"/>
          <w:i/>
          <w:sz w:val="24"/>
        </w:rPr>
        <w:t>-</w:t>
      </w:r>
      <w:r w:rsidRPr="00444714">
        <w:rPr>
          <w:rFonts w:ascii="Times New Roman" w:hAnsi="Times New Roman"/>
          <w:i/>
          <w:sz w:val="24"/>
        </w:rPr>
        <w:t>Fidelity</w:t>
      </w:r>
      <w:r w:rsidRPr="00444714">
        <w:rPr>
          <w:rFonts w:ascii="Times New Roman" w:hAnsi="Times New Roman"/>
          <w:sz w:val="24"/>
        </w:rPr>
        <w:t xml:space="preserve"> </w:t>
      </w:r>
      <w:r w:rsidR="002158D3" w:rsidRPr="00444714">
        <w:rPr>
          <w:rFonts w:ascii="Times New Roman" w:hAnsi="Times New Roman"/>
          <w:sz w:val="24"/>
        </w:rPr>
        <w:t xml:space="preserve">(1969) 119 CLR 177 </w:t>
      </w:r>
      <w:r w:rsidRPr="00444714">
        <w:rPr>
          <w:rFonts w:ascii="Times New Roman" w:hAnsi="Times New Roman"/>
          <w:sz w:val="24"/>
        </w:rPr>
        <w:t>at 182</w:t>
      </w:r>
      <w:r w:rsidR="00892EF2" w:rsidRPr="00444714">
        <w:rPr>
          <w:rFonts w:ascii="Times New Roman" w:hAnsi="Times New Roman"/>
          <w:sz w:val="24"/>
        </w:rPr>
        <w:t>; see also 183</w:t>
      </w:r>
      <w:r w:rsidRPr="00444714">
        <w:rPr>
          <w:rFonts w:ascii="Times New Roman" w:hAnsi="Times New Roman"/>
          <w:sz w:val="24"/>
        </w:rPr>
        <w:t>.</w:t>
      </w:r>
    </w:p>
  </w:footnote>
  <w:footnote w:id="23">
    <w:p w14:paraId="1C15E962" w14:textId="0FC5F1C6" w:rsidR="00296602" w:rsidRPr="00444714" w:rsidRDefault="00296602"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A72B4F" w:rsidRPr="00444714">
        <w:rPr>
          <w:rFonts w:ascii="Times New Roman" w:hAnsi="Times New Roman"/>
          <w:sz w:val="24"/>
        </w:rPr>
        <w:t>(</w:t>
      </w:r>
      <w:r w:rsidR="00CA71FF" w:rsidRPr="00444714">
        <w:rPr>
          <w:rFonts w:ascii="Times New Roman" w:hAnsi="Times New Roman"/>
          <w:sz w:val="24"/>
        </w:rPr>
        <w:t xml:space="preserve">2010) 240 CLR 481 at </w:t>
      </w:r>
      <w:r w:rsidR="00A7632F" w:rsidRPr="00444714">
        <w:rPr>
          <w:rFonts w:ascii="Times New Roman" w:hAnsi="Times New Roman"/>
          <w:sz w:val="24"/>
        </w:rPr>
        <w:t>500</w:t>
      </w:r>
      <w:r w:rsidR="004E2C8B" w:rsidRPr="00444714">
        <w:rPr>
          <w:rFonts w:ascii="Times New Roman" w:hAnsi="Times New Roman"/>
          <w:sz w:val="24"/>
        </w:rPr>
        <w:t xml:space="preserve"> </w:t>
      </w:r>
      <w:r w:rsidRPr="00444714">
        <w:rPr>
          <w:rFonts w:ascii="Times New Roman" w:hAnsi="Times New Roman"/>
          <w:sz w:val="24"/>
        </w:rPr>
        <w:t>[17].</w:t>
      </w:r>
    </w:p>
  </w:footnote>
  <w:footnote w:id="24">
    <w:p w14:paraId="027C7A21" w14:textId="4D5DBBA1" w:rsidR="00006699" w:rsidRPr="00444714" w:rsidRDefault="00006699"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900549" w:rsidRPr="00444714">
        <w:rPr>
          <w:rFonts w:ascii="Times New Roman" w:hAnsi="Times New Roman"/>
          <w:sz w:val="24"/>
        </w:rPr>
        <w:t xml:space="preserve">(2010) 240 CLR 481 at </w:t>
      </w:r>
      <w:r w:rsidR="00E1378A" w:rsidRPr="00444714">
        <w:rPr>
          <w:rFonts w:ascii="Times New Roman" w:hAnsi="Times New Roman"/>
          <w:sz w:val="24"/>
        </w:rPr>
        <w:t>507-508</w:t>
      </w:r>
      <w:r w:rsidR="00900549" w:rsidRPr="00444714">
        <w:rPr>
          <w:rFonts w:ascii="Times New Roman" w:hAnsi="Times New Roman"/>
          <w:sz w:val="24"/>
        </w:rPr>
        <w:t xml:space="preserve"> </w:t>
      </w:r>
      <w:r w:rsidRPr="00444714">
        <w:rPr>
          <w:rFonts w:ascii="Times New Roman" w:hAnsi="Times New Roman"/>
          <w:sz w:val="24"/>
        </w:rPr>
        <w:t>[</w:t>
      </w:r>
      <w:r w:rsidR="00E1378A" w:rsidRPr="00444714">
        <w:rPr>
          <w:rFonts w:ascii="Times New Roman" w:hAnsi="Times New Roman"/>
          <w:sz w:val="24"/>
        </w:rPr>
        <w:t>45</w:t>
      </w:r>
      <w:r w:rsidRPr="00444714" w:rsidDel="00900549">
        <w:rPr>
          <w:rFonts w:ascii="Times New Roman" w:hAnsi="Times New Roman"/>
          <w:sz w:val="24"/>
        </w:rPr>
        <w:t>]</w:t>
      </w:r>
      <w:r w:rsidR="00630854" w:rsidRPr="00444714">
        <w:rPr>
          <w:rFonts w:ascii="Times New Roman" w:hAnsi="Times New Roman"/>
          <w:sz w:val="24"/>
        </w:rPr>
        <w:t xml:space="preserve">, quoting </w:t>
      </w:r>
      <w:r w:rsidR="00630854" w:rsidRPr="00444714">
        <w:rPr>
          <w:rFonts w:ascii="Times New Roman" w:hAnsi="Times New Roman"/>
          <w:i/>
          <w:sz w:val="24"/>
        </w:rPr>
        <w:t>Zeta Force</w:t>
      </w:r>
      <w:r w:rsidR="00630854" w:rsidRPr="00444714">
        <w:rPr>
          <w:rFonts w:ascii="Times New Roman" w:hAnsi="Times New Roman"/>
          <w:sz w:val="24"/>
        </w:rPr>
        <w:t xml:space="preserve"> (1998) 84 FCR 70 at</w:t>
      </w:r>
      <w:r w:rsidR="007C3620">
        <w:rPr>
          <w:rFonts w:ascii="Times New Roman" w:hAnsi="Times New Roman"/>
          <w:sz w:val="24"/>
        </w:rPr>
        <w:t> </w:t>
      </w:r>
      <w:r w:rsidR="00630854" w:rsidRPr="00444714">
        <w:rPr>
          <w:rFonts w:ascii="Times New Roman" w:hAnsi="Times New Roman"/>
          <w:sz w:val="24"/>
        </w:rPr>
        <w:t>74</w:t>
      </w:r>
      <w:r w:rsidR="007C3620">
        <w:rPr>
          <w:rFonts w:ascii="Times New Roman" w:hAnsi="Times New Roman"/>
          <w:sz w:val="24"/>
        </w:rPr>
        <w:noBreakHyphen/>
      </w:r>
      <w:r w:rsidR="00630854" w:rsidRPr="00444714">
        <w:rPr>
          <w:rFonts w:ascii="Times New Roman" w:hAnsi="Times New Roman"/>
          <w:sz w:val="24"/>
        </w:rPr>
        <w:t>75</w:t>
      </w:r>
      <w:r w:rsidRPr="00444714">
        <w:rPr>
          <w:rFonts w:ascii="Times New Roman" w:hAnsi="Times New Roman"/>
          <w:sz w:val="24"/>
        </w:rPr>
        <w:t>.</w:t>
      </w:r>
    </w:p>
  </w:footnote>
  <w:footnote w:id="25">
    <w:p w14:paraId="40864682" w14:textId="6A0EDB69" w:rsidR="00037A89" w:rsidRPr="00444714" w:rsidRDefault="00037A89"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Bamford</w:t>
      </w:r>
      <w:r w:rsidRPr="00444714">
        <w:rPr>
          <w:rFonts w:ascii="Times New Roman" w:hAnsi="Times New Roman"/>
          <w:sz w:val="24"/>
        </w:rPr>
        <w:t xml:space="preserve"> </w:t>
      </w:r>
      <w:r w:rsidR="00BE3BB7" w:rsidRPr="00444714">
        <w:rPr>
          <w:rFonts w:ascii="Times New Roman" w:hAnsi="Times New Roman"/>
          <w:sz w:val="24"/>
        </w:rPr>
        <w:t xml:space="preserve">(2010) 240 CLR 481 </w:t>
      </w:r>
      <w:r w:rsidRPr="00444714">
        <w:rPr>
          <w:rFonts w:ascii="Times New Roman" w:hAnsi="Times New Roman"/>
          <w:sz w:val="24"/>
        </w:rPr>
        <w:t xml:space="preserve">at </w:t>
      </w:r>
      <w:r w:rsidR="0059055C" w:rsidRPr="00444714">
        <w:rPr>
          <w:rFonts w:ascii="Times New Roman" w:hAnsi="Times New Roman"/>
          <w:sz w:val="24"/>
        </w:rPr>
        <w:t>505 [</w:t>
      </w:r>
      <w:r w:rsidR="005A59B2" w:rsidRPr="00444714">
        <w:rPr>
          <w:rFonts w:ascii="Times New Roman" w:hAnsi="Times New Roman"/>
          <w:sz w:val="24"/>
        </w:rPr>
        <w:t>37</w:t>
      </w:r>
      <w:r w:rsidR="0059055C" w:rsidRPr="00444714">
        <w:rPr>
          <w:rFonts w:ascii="Times New Roman" w:hAnsi="Times New Roman"/>
          <w:sz w:val="24"/>
        </w:rPr>
        <w:t>]</w:t>
      </w:r>
      <w:r w:rsidR="00F237A4" w:rsidRPr="00444714">
        <w:rPr>
          <w:rFonts w:ascii="Times New Roman" w:hAnsi="Times New Roman"/>
          <w:sz w:val="24"/>
        </w:rPr>
        <w:t xml:space="preserve">, quoting </w:t>
      </w:r>
      <w:r w:rsidR="00F237A4" w:rsidRPr="00444714">
        <w:rPr>
          <w:rFonts w:ascii="Times New Roman" w:hAnsi="Times New Roman"/>
          <w:i/>
          <w:sz w:val="24"/>
        </w:rPr>
        <w:t>Harmer</w:t>
      </w:r>
      <w:r w:rsidR="00F237A4" w:rsidRPr="00444714">
        <w:rPr>
          <w:rFonts w:ascii="Times New Roman" w:hAnsi="Times New Roman"/>
          <w:sz w:val="24"/>
        </w:rPr>
        <w:t xml:space="preserve"> </w:t>
      </w:r>
      <w:r w:rsidR="00BE3BB7" w:rsidRPr="00444714">
        <w:rPr>
          <w:rFonts w:ascii="Times New Roman" w:hAnsi="Times New Roman"/>
          <w:sz w:val="24"/>
        </w:rPr>
        <w:t xml:space="preserve">(1991) 173 CLR 264 </w:t>
      </w:r>
      <w:r w:rsidR="00F237A4" w:rsidRPr="00444714">
        <w:rPr>
          <w:rFonts w:ascii="Times New Roman" w:hAnsi="Times New Roman"/>
          <w:sz w:val="24"/>
        </w:rPr>
        <w:t>at</w:t>
      </w:r>
      <w:r w:rsidR="007C3620">
        <w:rPr>
          <w:rFonts w:ascii="Times New Roman" w:hAnsi="Times New Roman"/>
          <w:sz w:val="24"/>
        </w:rPr>
        <w:t> </w:t>
      </w:r>
      <w:r w:rsidR="00BE3BB7" w:rsidRPr="00444714">
        <w:rPr>
          <w:rFonts w:ascii="Times New Roman" w:hAnsi="Times New Roman"/>
          <w:sz w:val="24"/>
        </w:rPr>
        <w:t>271</w:t>
      </w:r>
      <w:r w:rsidRPr="00444714">
        <w:rPr>
          <w:rFonts w:ascii="Times New Roman" w:hAnsi="Times New Roman"/>
          <w:sz w:val="24"/>
        </w:rPr>
        <w:t>.</w:t>
      </w:r>
    </w:p>
  </w:footnote>
  <w:footnote w:id="26">
    <w:p w14:paraId="5D324A68" w14:textId="22517742" w:rsidR="00D57C14" w:rsidRPr="00444714" w:rsidRDefault="00D57C14"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Smeaton</w:t>
      </w:r>
      <w:r w:rsidR="0051440E" w:rsidRPr="00444714">
        <w:rPr>
          <w:rFonts w:ascii="Times New Roman" w:hAnsi="Times New Roman"/>
          <w:i/>
          <w:sz w:val="24"/>
        </w:rPr>
        <w:t xml:space="preserve"> Grange</w:t>
      </w:r>
      <w:r w:rsidR="0051440E" w:rsidRPr="00444714">
        <w:rPr>
          <w:rFonts w:ascii="Times New Roman" w:hAnsi="Times New Roman"/>
          <w:sz w:val="24"/>
        </w:rPr>
        <w:t xml:space="preserve"> (2017) 106 ATR 151</w:t>
      </w:r>
      <w:r w:rsidRPr="00444714">
        <w:rPr>
          <w:rFonts w:ascii="Times New Roman" w:hAnsi="Times New Roman"/>
          <w:i/>
          <w:sz w:val="24"/>
        </w:rPr>
        <w:t xml:space="preserve"> </w:t>
      </w:r>
      <w:r w:rsidRPr="00444714">
        <w:rPr>
          <w:rFonts w:ascii="Times New Roman" w:hAnsi="Times New Roman"/>
          <w:sz w:val="24"/>
        </w:rPr>
        <w:t xml:space="preserve">at </w:t>
      </w:r>
      <w:r w:rsidR="00687C16" w:rsidRPr="00444714">
        <w:rPr>
          <w:rFonts w:ascii="Times New Roman" w:hAnsi="Times New Roman"/>
          <w:sz w:val="24"/>
        </w:rPr>
        <w:t xml:space="preserve">181 </w:t>
      </w:r>
      <w:r w:rsidRPr="00444714">
        <w:rPr>
          <w:rFonts w:ascii="Times New Roman" w:hAnsi="Times New Roman"/>
          <w:sz w:val="24"/>
        </w:rPr>
        <w:t>[146].</w:t>
      </w:r>
    </w:p>
  </w:footnote>
  <w:footnote w:id="27">
    <w:p w14:paraId="46E2D2ED" w14:textId="1BBC0F30" w:rsidR="006B0F45" w:rsidRPr="00444714" w:rsidRDefault="006B0F45"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00BB168A" w:rsidRPr="00444714">
        <w:rPr>
          <w:rFonts w:ascii="Times New Roman" w:hAnsi="Times New Roman"/>
          <w:sz w:val="24"/>
        </w:rPr>
        <w:t xml:space="preserve">See </w:t>
      </w:r>
      <w:r w:rsidR="00BB168A" w:rsidRPr="00444714">
        <w:rPr>
          <w:rFonts w:ascii="Times New Roman" w:hAnsi="Times New Roman"/>
          <w:i/>
          <w:sz w:val="24"/>
        </w:rPr>
        <w:t>Federal Commissioner of Taxation v H</w:t>
      </w:r>
      <w:r w:rsidR="00BB168A" w:rsidRPr="00444714">
        <w:rPr>
          <w:rFonts w:ascii="Times New Roman" w:hAnsi="Times New Roman"/>
          <w:sz w:val="24"/>
        </w:rPr>
        <w:t xml:space="preserve"> (2010) 188 FCR 440 at </w:t>
      </w:r>
      <w:r w:rsidR="00CC0E00" w:rsidRPr="00444714">
        <w:rPr>
          <w:rFonts w:ascii="Times New Roman" w:hAnsi="Times New Roman"/>
          <w:sz w:val="24"/>
        </w:rPr>
        <w:t>448 [39].</w:t>
      </w:r>
    </w:p>
  </w:footnote>
  <w:footnote w:id="28">
    <w:p w14:paraId="077F5957" w14:textId="60ABE80F" w:rsidR="00FA6EB2" w:rsidRPr="00444714" w:rsidRDefault="00FA6EB2"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(2019) 266 CLR 554 at 575-576 [32]</w:t>
      </w:r>
      <w:r w:rsidR="007F63E2" w:rsidRPr="00444714">
        <w:rPr>
          <w:rFonts w:ascii="Times New Roman" w:hAnsi="Times New Roman"/>
          <w:sz w:val="24"/>
        </w:rPr>
        <w:t xml:space="preserve"> (</w:t>
      </w:r>
      <w:r w:rsidR="00547A61" w:rsidRPr="00444714">
        <w:rPr>
          <w:rFonts w:ascii="Times New Roman" w:hAnsi="Times New Roman"/>
          <w:sz w:val="24"/>
        </w:rPr>
        <w:t xml:space="preserve">footnotes </w:t>
      </w:r>
      <w:r w:rsidR="007F63E2" w:rsidRPr="00444714">
        <w:rPr>
          <w:rFonts w:ascii="Times New Roman" w:hAnsi="Times New Roman"/>
          <w:sz w:val="24"/>
        </w:rPr>
        <w:t>omitted)</w:t>
      </w:r>
      <w:r w:rsidRPr="00444714">
        <w:rPr>
          <w:rFonts w:ascii="Times New Roman" w:hAnsi="Times New Roman"/>
          <w:sz w:val="24"/>
        </w:rPr>
        <w:t>.</w:t>
      </w:r>
      <w:r w:rsidR="00AA652F" w:rsidRPr="00444714">
        <w:rPr>
          <w:rFonts w:ascii="Times New Roman" w:hAnsi="Times New Roman"/>
          <w:sz w:val="24"/>
        </w:rPr>
        <w:t xml:space="preserve"> </w:t>
      </w:r>
      <w:r w:rsidRPr="00444714">
        <w:rPr>
          <w:rFonts w:ascii="Times New Roman" w:hAnsi="Times New Roman"/>
          <w:sz w:val="24"/>
        </w:rPr>
        <w:t>See</w:t>
      </w:r>
      <w:r w:rsidR="00EF5218" w:rsidRPr="00444714">
        <w:rPr>
          <w:rFonts w:ascii="Times New Roman" w:hAnsi="Times New Roman"/>
          <w:sz w:val="24"/>
        </w:rPr>
        <w:t> </w:t>
      </w:r>
      <w:r w:rsidRPr="00444714">
        <w:rPr>
          <w:rFonts w:ascii="Times New Roman" w:hAnsi="Times New Roman"/>
          <w:sz w:val="24"/>
        </w:rPr>
        <w:t xml:space="preserve">also </w:t>
      </w:r>
      <w:r w:rsidRPr="00444714">
        <w:rPr>
          <w:rFonts w:ascii="Times New Roman" w:hAnsi="Times New Roman"/>
          <w:i/>
          <w:sz w:val="24"/>
        </w:rPr>
        <w:t>R v Falconer</w:t>
      </w:r>
      <w:r w:rsidRPr="00444714">
        <w:rPr>
          <w:rFonts w:ascii="Times New Roman" w:hAnsi="Times New Roman"/>
          <w:sz w:val="24"/>
        </w:rPr>
        <w:t xml:space="preserve"> (1990) 171 CLR 30 at 83; </w:t>
      </w:r>
      <w:r w:rsidRPr="00444714">
        <w:rPr>
          <w:rFonts w:ascii="Times New Roman" w:hAnsi="Times New Roman"/>
          <w:i/>
          <w:sz w:val="24"/>
        </w:rPr>
        <w:t>Weissensteiner v The Queen</w:t>
      </w:r>
      <w:r w:rsidRPr="00444714">
        <w:rPr>
          <w:rFonts w:ascii="Times New Roman" w:hAnsi="Times New Roman"/>
          <w:sz w:val="24"/>
        </w:rPr>
        <w:t xml:space="preserve"> (1993) 178 CLR 217 at</w:t>
      </w:r>
      <w:r w:rsidR="007C3620">
        <w:rPr>
          <w:rFonts w:ascii="Times New Roman" w:hAnsi="Times New Roman"/>
          <w:sz w:val="24"/>
        </w:rPr>
        <w:t> </w:t>
      </w:r>
      <w:r w:rsidRPr="00444714">
        <w:rPr>
          <w:rFonts w:ascii="Times New Roman" w:hAnsi="Times New Roman"/>
          <w:sz w:val="24"/>
        </w:rPr>
        <w:t>242</w:t>
      </w:r>
      <w:r w:rsidR="007C3620">
        <w:rPr>
          <w:rFonts w:ascii="Times New Roman" w:hAnsi="Times New Roman"/>
          <w:sz w:val="24"/>
        </w:rPr>
        <w:noBreakHyphen/>
      </w:r>
      <w:r w:rsidRPr="00444714">
        <w:rPr>
          <w:rFonts w:ascii="Times New Roman" w:hAnsi="Times New Roman"/>
          <w:sz w:val="24"/>
        </w:rPr>
        <w:t>243</w:t>
      </w:r>
      <w:r w:rsidR="00132845" w:rsidRPr="00444714">
        <w:rPr>
          <w:rFonts w:ascii="Times New Roman" w:hAnsi="Times New Roman"/>
          <w:sz w:val="24"/>
        </w:rPr>
        <w:t xml:space="preserve">; </w:t>
      </w:r>
      <w:r w:rsidR="001805EF" w:rsidRPr="00444714">
        <w:rPr>
          <w:rFonts w:ascii="Times New Roman" w:hAnsi="Times New Roman"/>
          <w:i/>
          <w:sz w:val="24"/>
        </w:rPr>
        <w:t>Phipson on Evidence</w:t>
      </w:r>
      <w:r w:rsidR="001805EF" w:rsidRPr="00444714">
        <w:rPr>
          <w:rFonts w:ascii="Times New Roman" w:hAnsi="Times New Roman"/>
          <w:sz w:val="24"/>
        </w:rPr>
        <w:t>, 19th ed (</w:t>
      </w:r>
      <w:r w:rsidR="00233730" w:rsidRPr="00444714">
        <w:rPr>
          <w:rFonts w:ascii="Times New Roman" w:hAnsi="Times New Roman"/>
          <w:sz w:val="24"/>
        </w:rPr>
        <w:t>2018</w:t>
      </w:r>
      <w:r w:rsidR="001805EF" w:rsidRPr="00444714">
        <w:rPr>
          <w:rFonts w:ascii="Times New Roman" w:hAnsi="Times New Roman"/>
          <w:sz w:val="24"/>
        </w:rPr>
        <w:t xml:space="preserve">) at </w:t>
      </w:r>
      <w:r w:rsidR="007275CC" w:rsidRPr="00444714">
        <w:rPr>
          <w:rFonts w:ascii="Times New Roman" w:hAnsi="Times New Roman"/>
          <w:sz w:val="24"/>
        </w:rPr>
        <w:t xml:space="preserve">172 </w:t>
      </w:r>
      <w:r w:rsidR="001805EF" w:rsidRPr="00444714">
        <w:rPr>
          <w:rFonts w:ascii="Times New Roman" w:hAnsi="Times New Roman"/>
          <w:sz w:val="24"/>
        </w:rPr>
        <w:t>[6-19]</w:t>
      </w:r>
      <w:r w:rsidR="00045E33" w:rsidRPr="00444714">
        <w:rPr>
          <w:rFonts w:ascii="Times New Roman" w:hAnsi="Times New Roman"/>
          <w:sz w:val="24"/>
        </w:rPr>
        <w:t xml:space="preserve">; </w:t>
      </w:r>
      <w:r w:rsidR="00045E33" w:rsidRPr="00444714">
        <w:rPr>
          <w:rFonts w:ascii="Times New Roman" w:hAnsi="Times New Roman"/>
          <w:i/>
          <w:sz w:val="24"/>
        </w:rPr>
        <w:t>Cross on Evidence</w:t>
      </w:r>
      <w:r w:rsidR="00045E33" w:rsidRPr="00444714">
        <w:rPr>
          <w:rFonts w:ascii="Times New Roman" w:hAnsi="Times New Roman"/>
          <w:sz w:val="24"/>
        </w:rPr>
        <w:t xml:space="preserve">, </w:t>
      </w:r>
      <w:r w:rsidR="00BF3396" w:rsidRPr="00444714">
        <w:rPr>
          <w:rFonts w:ascii="Times New Roman" w:hAnsi="Times New Roman"/>
          <w:sz w:val="24"/>
        </w:rPr>
        <w:t>13th </w:t>
      </w:r>
      <w:r w:rsidR="00045E33" w:rsidRPr="00444714">
        <w:rPr>
          <w:rFonts w:ascii="Times New Roman" w:hAnsi="Times New Roman"/>
          <w:sz w:val="24"/>
        </w:rPr>
        <w:t>Aust ed (</w:t>
      </w:r>
      <w:r w:rsidR="00BF3396" w:rsidRPr="00444714">
        <w:rPr>
          <w:rFonts w:ascii="Times New Roman" w:hAnsi="Times New Roman"/>
          <w:sz w:val="24"/>
        </w:rPr>
        <w:t>2021</w:t>
      </w:r>
      <w:r w:rsidR="00045E33" w:rsidRPr="00444714">
        <w:rPr>
          <w:rFonts w:ascii="Times New Roman" w:hAnsi="Times New Roman"/>
          <w:sz w:val="24"/>
        </w:rPr>
        <w:t xml:space="preserve">) at </w:t>
      </w:r>
      <w:r w:rsidR="00B37B83" w:rsidRPr="00444714">
        <w:rPr>
          <w:rFonts w:ascii="Times New Roman" w:hAnsi="Times New Roman"/>
          <w:sz w:val="24"/>
        </w:rPr>
        <w:t>383</w:t>
      </w:r>
      <w:r w:rsidR="00045E33" w:rsidRPr="00444714">
        <w:rPr>
          <w:rFonts w:ascii="Times New Roman" w:hAnsi="Times New Roman"/>
          <w:sz w:val="24"/>
        </w:rPr>
        <w:t>-</w:t>
      </w:r>
      <w:r w:rsidR="00B37B83" w:rsidRPr="00444714">
        <w:rPr>
          <w:rFonts w:ascii="Times New Roman" w:hAnsi="Times New Roman"/>
          <w:sz w:val="24"/>
        </w:rPr>
        <w:t xml:space="preserve">384 </w:t>
      </w:r>
      <w:r w:rsidR="00045E33" w:rsidRPr="00444714">
        <w:rPr>
          <w:rFonts w:ascii="Times New Roman" w:hAnsi="Times New Roman"/>
          <w:sz w:val="24"/>
        </w:rPr>
        <w:t>[7255]</w:t>
      </w:r>
      <w:proofErr w:type="gramStart"/>
      <w:r w:rsidR="00045E33" w:rsidRPr="00444714">
        <w:rPr>
          <w:rFonts w:ascii="Times New Roman" w:hAnsi="Times New Roman"/>
          <w:sz w:val="24"/>
        </w:rPr>
        <w:t>-[</w:t>
      </w:r>
      <w:proofErr w:type="gramEnd"/>
      <w:r w:rsidR="00045E33" w:rsidRPr="00444714">
        <w:rPr>
          <w:rFonts w:ascii="Times New Roman" w:hAnsi="Times New Roman"/>
          <w:sz w:val="24"/>
        </w:rPr>
        <w:t>7260]</w:t>
      </w:r>
      <w:r w:rsidR="001805EF" w:rsidRPr="00444714">
        <w:rPr>
          <w:rFonts w:ascii="Times New Roman" w:hAnsi="Times New Roman"/>
          <w:sz w:val="24"/>
        </w:rPr>
        <w:t>.</w:t>
      </w:r>
    </w:p>
  </w:footnote>
  <w:footnote w:id="29">
    <w:p w14:paraId="3D226928" w14:textId="3E548948" w:rsidR="00655DC4" w:rsidRPr="00444714" w:rsidRDefault="00655DC4"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 xml:space="preserve">Matthews </w:t>
      </w:r>
      <w:r w:rsidR="00872858" w:rsidRPr="00444714">
        <w:rPr>
          <w:rFonts w:ascii="Times New Roman" w:hAnsi="Times New Roman"/>
          <w:i/>
          <w:sz w:val="24"/>
        </w:rPr>
        <w:t>v Matthews</w:t>
      </w:r>
      <w:r w:rsidRPr="00444714">
        <w:rPr>
          <w:rFonts w:ascii="Times New Roman" w:hAnsi="Times New Roman"/>
          <w:sz w:val="24"/>
        </w:rPr>
        <w:t xml:space="preserve"> (1913) 17 CLR 8 at </w:t>
      </w:r>
      <w:r w:rsidR="004C3F98" w:rsidRPr="00444714">
        <w:rPr>
          <w:rFonts w:ascii="Times New Roman" w:hAnsi="Times New Roman"/>
          <w:sz w:val="24"/>
        </w:rPr>
        <w:t>44</w:t>
      </w:r>
      <w:r w:rsidRPr="00444714">
        <w:rPr>
          <w:rFonts w:ascii="Times New Roman" w:hAnsi="Times New Roman"/>
          <w:sz w:val="24"/>
        </w:rPr>
        <w:t>; see also 20</w:t>
      </w:r>
      <w:r w:rsidR="004C3F98" w:rsidRPr="00444714">
        <w:rPr>
          <w:rFonts w:ascii="Times New Roman" w:hAnsi="Times New Roman"/>
          <w:sz w:val="24"/>
        </w:rPr>
        <w:t>, 43</w:t>
      </w:r>
      <w:r w:rsidRPr="00444714">
        <w:rPr>
          <w:rFonts w:ascii="Times New Roman" w:hAnsi="Times New Roman"/>
          <w:sz w:val="24"/>
        </w:rPr>
        <w:t>.</w:t>
      </w:r>
    </w:p>
  </w:footnote>
  <w:footnote w:id="30">
    <w:p w14:paraId="78F752B2" w14:textId="77777777" w:rsidR="000500BA" w:rsidRPr="00444714" w:rsidRDefault="000500BA"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Hill v Wilson</w:t>
      </w:r>
      <w:r w:rsidRPr="00444714">
        <w:rPr>
          <w:rFonts w:ascii="Times New Roman" w:hAnsi="Times New Roman"/>
          <w:sz w:val="24"/>
        </w:rPr>
        <w:t xml:space="preserve"> (1873) LR 8 Ch App 888 at 896, quoted in </w:t>
      </w:r>
      <w:r w:rsidRPr="00444714">
        <w:rPr>
          <w:rFonts w:ascii="Times New Roman" w:hAnsi="Times New Roman"/>
          <w:i/>
          <w:sz w:val="24"/>
        </w:rPr>
        <w:t>Matthews</w:t>
      </w:r>
      <w:r w:rsidRPr="00444714">
        <w:rPr>
          <w:rFonts w:ascii="Times New Roman" w:hAnsi="Times New Roman"/>
          <w:sz w:val="24"/>
        </w:rPr>
        <w:t xml:space="preserve"> (1913) 17 CLR 8 at 20.</w:t>
      </w:r>
    </w:p>
  </w:footnote>
  <w:footnote w:id="31">
    <w:p w14:paraId="00C4C1C6" w14:textId="1B36EFC2" w:rsidR="00C126C9" w:rsidRPr="00444714" w:rsidRDefault="00C126C9"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 xml:space="preserve">Federal Commissioner of Taxation v Cornell </w:t>
      </w:r>
      <w:r w:rsidRPr="00444714">
        <w:rPr>
          <w:rFonts w:ascii="Times New Roman" w:hAnsi="Times New Roman"/>
          <w:sz w:val="24"/>
        </w:rPr>
        <w:t xml:space="preserve">(1946) 73 CLR 394 at </w:t>
      </w:r>
      <w:r w:rsidR="00E33D34" w:rsidRPr="00444714">
        <w:rPr>
          <w:rFonts w:ascii="Times New Roman" w:hAnsi="Times New Roman"/>
          <w:sz w:val="24"/>
        </w:rPr>
        <w:t>401-</w:t>
      </w:r>
      <w:r w:rsidRPr="00444714">
        <w:rPr>
          <w:rFonts w:ascii="Times New Roman" w:hAnsi="Times New Roman"/>
          <w:sz w:val="24"/>
        </w:rPr>
        <w:t>402.</w:t>
      </w:r>
      <w:r w:rsidR="00AA652F" w:rsidRPr="00444714">
        <w:rPr>
          <w:rFonts w:ascii="Times New Roman" w:hAnsi="Times New Roman"/>
          <w:sz w:val="24"/>
        </w:rPr>
        <w:t xml:space="preserve"> </w:t>
      </w:r>
      <w:r w:rsidRPr="00444714">
        <w:rPr>
          <w:rFonts w:ascii="Times New Roman" w:hAnsi="Times New Roman"/>
          <w:sz w:val="24"/>
        </w:rPr>
        <w:t>See</w:t>
      </w:r>
      <w:r w:rsidR="007C3620">
        <w:rPr>
          <w:rFonts w:ascii="Times New Roman" w:hAnsi="Times New Roman"/>
          <w:sz w:val="24"/>
        </w:rPr>
        <w:t> </w:t>
      </w:r>
      <w:r w:rsidRPr="00444714">
        <w:rPr>
          <w:rFonts w:ascii="Times New Roman" w:hAnsi="Times New Roman"/>
          <w:sz w:val="24"/>
        </w:rPr>
        <w:t xml:space="preserve">also </w:t>
      </w:r>
      <w:r w:rsidRPr="00444714">
        <w:rPr>
          <w:rFonts w:ascii="Times New Roman" w:hAnsi="Times New Roman"/>
          <w:i/>
          <w:sz w:val="24"/>
        </w:rPr>
        <w:t>Thompson v Leach</w:t>
      </w:r>
      <w:r w:rsidRPr="00444714">
        <w:rPr>
          <w:rFonts w:ascii="Times New Roman" w:hAnsi="Times New Roman"/>
          <w:sz w:val="24"/>
        </w:rPr>
        <w:t xml:space="preserve"> (1690) 2 Vent 198 at </w:t>
      </w:r>
      <w:r w:rsidR="00A02673" w:rsidRPr="00444714">
        <w:rPr>
          <w:rFonts w:ascii="Times New Roman" w:hAnsi="Times New Roman"/>
          <w:sz w:val="24"/>
        </w:rPr>
        <w:t>202</w:t>
      </w:r>
      <w:r w:rsidR="00D2225D" w:rsidRPr="00444714">
        <w:rPr>
          <w:rFonts w:ascii="Times New Roman" w:hAnsi="Times New Roman"/>
          <w:sz w:val="24"/>
        </w:rPr>
        <w:noBreakHyphen/>
      </w:r>
      <w:r w:rsidRPr="00444714">
        <w:rPr>
          <w:rFonts w:ascii="Times New Roman" w:hAnsi="Times New Roman"/>
          <w:sz w:val="24"/>
        </w:rPr>
        <w:t>203</w:t>
      </w:r>
      <w:r w:rsidR="00A02673" w:rsidRPr="00444714">
        <w:rPr>
          <w:rFonts w:ascii="Times New Roman" w:hAnsi="Times New Roman"/>
          <w:sz w:val="24"/>
        </w:rPr>
        <w:t xml:space="preserve"> [</w:t>
      </w:r>
      <w:r w:rsidR="00502DF4" w:rsidRPr="00444714">
        <w:rPr>
          <w:rFonts w:ascii="Times New Roman" w:hAnsi="Times New Roman"/>
          <w:sz w:val="24"/>
        </w:rPr>
        <w:t xml:space="preserve">86 ER 391 at </w:t>
      </w:r>
      <w:r w:rsidR="005D6069" w:rsidRPr="00444714">
        <w:rPr>
          <w:rFonts w:ascii="Times New Roman" w:hAnsi="Times New Roman"/>
          <w:sz w:val="24"/>
        </w:rPr>
        <w:t>393-394]</w:t>
      </w:r>
      <w:r w:rsidRPr="00444714">
        <w:rPr>
          <w:rFonts w:ascii="Times New Roman" w:hAnsi="Times New Roman"/>
          <w:sz w:val="24"/>
        </w:rPr>
        <w:t xml:space="preserve">; </w:t>
      </w:r>
      <w:r w:rsidRPr="00444714">
        <w:rPr>
          <w:rFonts w:ascii="Times New Roman" w:hAnsi="Times New Roman"/>
          <w:i/>
          <w:sz w:val="24"/>
        </w:rPr>
        <w:t>Siggers v Evans</w:t>
      </w:r>
      <w:r w:rsidRPr="00444714">
        <w:rPr>
          <w:rFonts w:ascii="Times New Roman" w:hAnsi="Times New Roman"/>
          <w:sz w:val="24"/>
        </w:rPr>
        <w:t xml:space="preserve"> (1855) 5 El &amp; Bl 367 at 382</w:t>
      </w:r>
      <w:r w:rsidR="001313C2" w:rsidRPr="00444714">
        <w:rPr>
          <w:rFonts w:ascii="Times New Roman" w:hAnsi="Times New Roman"/>
          <w:sz w:val="24"/>
        </w:rPr>
        <w:t xml:space="preserve"> [</w:t>
      </w:r>
      <w:r w:rsidR="004F6FFE" w:rsidRPr="00444714">
        <w:rPr>
          <w:rFonts w:ascii="Times New Roman" w:hAnsi="Times New Roman"/>
          <w:sz w:val="24"/>
        </w:rPr>
        <w:t xml:space="preserve">119 ER 518 at </w:t>
      </w:r>
      <w:r w:rsidR="00BC02D0" w:rsidRPr="00444714">
        <w:rPr>
          <w:rFonts w:ascii="Times New Roman" w:hAnsi="Times New Roman"/>
          <w:sz w:val="24"/>
        </w:rPr>
        <w:t>524]</w:t>
      </w:r>
      <w:r w:rsidRPr="00444714">
        <w:rPr>
          <w:rFonts w:ascii="Times New Roman" w:hAnsi="Times New Roman"/>
          <w:sz w:val="24"/>
        </w:rPr>
        <w:t xml:space="preserve">; </w:t>
      </w:r>
      <w:r w:rsidRPr="00444714">
        <w:rPr>
          <w:rFonts w:ascii="Times New Roman" w:hAnsi="Times New Roman"/>
          <w:i/>
          <w:sz w:val="24"/>
        </w:rPr>
        <w:t>Standing v Bowring</w:t>
      </w:r>
      <w:r w:rsidRPr="00444714">
        <w:rPr>
          <w:rFonts w:ascii="Times New Roman" w:hAnsi="Times New Roman"/>
          <w:sz w:val="24"/>
        </w:rPr>
        <w:t xml:space="preserve"> (1885) 31 Ch D 282 at 290; </w:t>
      </w:r>
      <w:r w:rsidR="00C97E49" w:rsidRPr="00444714">
        <w:rPr>
          <w:rFonts w:ascii="Times New Roman" w:hAnsi="Times New Roman"/>
          <w:i/>
          <w:sz w:val="24"/>
        </w:rPr>
        <w:t>London and County Banking Co Ltd v London and River Plate Bank Ltd</w:t>
      </w:r>
      <w:r w:rsidR="00C97E49" w:rsidRPr="00444714">
        <w:rPr>
          <w:rFonts w:ascii="Times New Roman" w:hAnsi="Times New Roman"/>
          <w:sz w:val="24"/>
        </w:rPr>
        <w:t xml:space="preserve"> (1888) 21 QBD 535 at 541; </w:t>
      </w:r>
      <w:r w:rsidRPr="00444714">
        <w:rPr>
          <w:rFonts w:ascii="Times New Roman" w:hAnsi="Times New Roman"/>
          <w:i/>
          <w:sz w:val="24"/>
        </w:rPr>
        <w:t xml:space="preserve">Mallott v Wilson </w:t>
      </w:r>
      <w:r w:rsidRPr="00444714">
        <w:rPr>
          <w:rFonts w:ascii="Times New Roman" w:hAnsi="Times New Roman"/>
          <w:sz w:val="24"/>
        </w:rPr>
        <w:t xml:space="preserve">[1903] 2 Ch 494 at 502; </w:t>
      </w:r>
      <w:r w:rsidRPr="00444714">
        <w:rPr>
          <w:rFonts w:ascii="Times New Roman" w:hAnsi="Times New Roman"/>
          <w:i/>
          <w:sz w:val="24"/>
        </w:rPr>
        <w:t xml:space="preserve">Matthews </w:t>
      </w:r>
      <w:r w:rsidRPr="00444714">
        <w:rPr>
          <w:rFonts w:ascii="Times New Roman" w:hAnsi="Times New Roman"/>
          <w:sz w:val="24"/>
        </w:rPr>
        <w:t>(1913) 17</w:t>
      </w:r>
      <w:r w:rsidR="005C0432" w:rsidRPr="00444714">
        <w:rPr>
          <w:rFonts w:ascii="Times New Roman" w:hAnsi="Times New Roman"/>
          <w:sz w:val="24"/>
        </w:rPr>
        <w:t> </w:t>
      </w:r>
      <w:r w:rsidRPr="00444714">
        <w:rPr>
          <w:rFonts w:ascii="Times New Roman" w:hAnsi="Times New Roman"/>
          <w:sz w:val="24"/>
        </w:rPr>
        <w:t>CLR 8 at 20</w:t>
      </w:r>
      <w:r w:rsidR="00143519" w:rsidRPr="00444714">
        <w:rPr>
          <w:rFonts w:ascii="Times New Roman" w:hAnsi="Times New Roman"/>
          <w:sz w:val="24"/>
        </w:rPr>
        <w:t>;</w:t>
      </w:r>
      <w:r w:rsidRPr="00444714">
        <w:rPr>
          <w:rFonts w:ascii="Times New Roman" w:hAnsi="Times New Roman"/>
          <w:sz w:val="24"/>
        </w:rPr>
        <w:t xml:space="preserve"> </w:t>
      </w:r>
      <w:r w:rsidRPr="00444714">
        <w:rPr>
          <w:rFonts w:ascii="Times New Roman" w:hAnsi="Times New Roman"/>
          <w:i/>
          <w:sz w:val="24"/>
        </w:rPr>
        <w:t>Federal Commissioner of Taxation v Taylor</w:t>
      </w:r>
      <w:r w:rsidRPr="00444714">
        <w:rPr>
          <w:rFonts w:ascii="Times New Roman" w:hAnsi="Times New Roman"/>
          <w:sz w:val="24"/>
        </w:rPr>
        <w:t xml:space="preserve"> (1929) 42 CLR 80 at 86; </w:t>
      </w:r>
      <w:r w:rsidRPr="00444714">
        <w:rPr>
          <w:rFonts w:ascii="Times New Roman" w:hAnsi="Times New Roman"/>
          <w:i/>
          <w:sz w:val="24"/>
        </w:rPr>
        <w:t>Vegners v Federal Commissioner of Taxation</w:t>
      </w:r>
      <w:r w:rsidRPr="00444714">
        <w:rPr>
          <w:rFonts w:ascii="Times New Roman" w:hAnsi="Times New Roman"/>
          <w:sz w:val="24"/>
        </w:rPr>
        <w:t xml:space="preserve"> (1991) 21 ATR 1347 at 1349.</w:t>
      </w:r>
    </w:p>
  </w:footnote>
  <w:footnote w:id="32">
    <w:p w14:paraId="558FCB89" w14:textId="53360684" w:rsidR="00482FA6" w:rsidRPr="00444714" w:rsidRDefault="00482FA6"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r>
      <w:r w:rsidRPr="00444714">
        <w:rPr>
          <w:rFonts w:ascii="Times New Roman" w:hAnsi="Times New Roman"/>
          <w:i/>
          <w:sz w:val="24"/>
        </w:rPr>
        <w:t>Matthews</w:t>
      </w:r>
      <w:r w:rsidRPr="00444714">
        <w:rPr>
          <w:rFonts w:ascii="Times New Roman" w:hAnsi="Times New Roman"/>
          <w:sz w:val="24"/>
        </w:rPr>
        <w:t xml:space="preserve"> (1913) 17 CLR 8 at </w:t>
      </w:r>
      <w:r w:rsidR="00C51479" w:rsidRPr="00444714">
        <w:rPr>
          <w:rFonts w:ascii="Times New Roman" w:hAnsi="Times New Roman"/>
          <w:sz w:val="24"/>
        </w:rPr>
        <w:t>44</w:t>
      </w:r>
      <w:r w:rsidRPr="00444714">
        <w:rPr>
          <w:rFonts w:ascii="Times New Roman" w:hAnsi="Times New Roman"/>
          <w:sz w:val="24"/>
        </w:rPr>
        <w:t>.</w:t>
      </w:r>
    </w:p>
  </w:footnote>
  <w:footnote w:id="33">
    <w:p w14:paraId="0335FC67" w14:textId="6BEB4665" w:rsidR="00F97883" w:rsidRPr="00444714" w:rsidRDefault="00F97883"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 xml:space="preserve">Crago, "Principles of Disclaimer of Gifts" (1999) 28 </w:t>
      </w:r>
      <w:r w:rsidRPr="00444714">
        <w:rPr>
          <w:rFonts w:ascii="Times New Roman" w:hAnsi="Times New Roman"/>
          <w:i/>
          <w:sz w:val="24"/>
        </w:rPr>
        <w:t>University of Western Australia Law Review</w:t>
      </w:r>
      <w:r w:rsidRPr="00444714">
        <w:rPr>
          <w:rFonts w:ascii="Times New Roman" w:hAnsi="Times New Roman"/>
          <w:sz w:val="24"/>
        </w:rPr>
        <w:t xml:space="preserve"> 65 at 65.</w:t>
      </w:r>
      <w:r w:rsidR="00AA652F" w:rsidRPr="00444714">
        <w:rPr>
          <w:rFonts w:ascii="Times New Roman" w:hAnsi="Times New Roman"/>
          <w:sz w:val="24"/>
        </w:rPr>
        <w:t xml:space="preserve"> </w:t>
      </w:r>
      <w:r w:rsidRPr="00444714">
        <w:rPr>
          <w:rFonts w:ascii="Times New Roman" w:hAnsi="Times New Roman"/>
          <w:sz w:val="24"/>
        </w:rPr>
        <w:t xml:space="preserve">See also </w:t>
      </w:r>
      <w:r w:rsidRPr="00444714">
        <w:rPr>
          <w:rFonts w:ascii="Times New Roman" w:hAnsi="Times New Roman"/>
          <w:i/>
          <w:sz w:val="24"/>
        </w:rPr>
        <w:t>Thompson</w:t>
      </w:r>
      <w:r w:rsidRPr="00444714">
        <w:rPr>
          <w:rFonts w:ascii="Times New Roman" w:hAnsi="Times New Roman"/>
          <w:sz w:val="24"/>
        </w:rPr>
        <w:t xml:space="preserve"> (1690) 2 Vent 198 at 206</w:t>
      </w:r>
      <w:r w:rsidR="00FC5B38" w:rsidRPr="00444714">
        <w:rPr>
          <w:rFonts w:ascii="Times New Roman" w:hAnsi="Times New Roman"/>
          <w:sz w:val="24"/>
        </w:rPr>
        <w:t xml:space="preserve"> [</w:t>
      </w:r>
      <w:r w:rsidR="008E12F6" w:rsidRPr="00444714">
        <w:rPr>
          <w:rFonts w:ascii="Times New Roman" w:hAnsi="Times New Roman"/>
          <w:sz w:val="24"/>
        </w:rPr>
        <w:t>86 ER 391 at</w:t>
      </w:r>
      <w:r w:rsidR="007C3620">
        <w:rPr>
          <w:rFonts w:ascii="Times New Roman" w:hAnsi="Times New Roman"/>
          <w:sz w:val="24"/>
        </w:rPr>
        <w:t> </w:t>
      </w:r>
      <w:r w:rsidR="00CE7AC9" w:rsidRPr="00444714">
        <w:rPr>
          <w:rFonts w:ascii="Times New Roman" w:hAnsi="Times New Roman"/>
          <w:sz w:val="24"/>
        </w:rPr>
        <w:t>396]</w:t>
      </w:r>
      <w:r w:rsidRPr="00444714">
        <w:rPr>
          <w:rFonts w:ascii="Times New Roman" w:hAnsi="Times New Roman"/>
          <w:sz w:val="24"/>
        </w:rPr>
        <w:t xml:space="preserve">; </w:t>
      </w:r>
      <w:r w:rsidRPr="00444714">
        <w:rPr>
          <w:rFonts w:ascii="Times New Roman" w:hAnsi="Times New Roman"/>
          <w:i/>
          <w:sz w:val="24"/>
        </w:rPr>
        <w:t>Townson v Tickell</w:t>
      </w:r>
      <w:r w:rsidRPr="00444714">
        <w:rPr>
          <w:rFonts w:ascii="Times New Roman" w:hAnsi="Times New Roman"/>
          <w:sz w:val="24"/>
        </w:rPr>
        <w:t xml:space="preserve"> (1819) 3 B &amp; A 31 at 38, 39</w:t>
      </w:r>
      <w:r w:rsidR="00A319B9" w:rsidRPr="00444714">
        <w:rPr>
          <w:rFonts w:ascii="Times New Roman" w:hAnsi="Times New Roman"/>
          <w:sz w:val="24"/>
        </w:rPr>
        <w:t xml:space="preserve"> [</w:t>
      </w:r>
      <w:r w:rsidR="00505C9A" w:rsidRPr="00444714">
        <w:rPr>
          <w:rFonts w:ascii="Times New Roman" w:hAnsi="Times New Roman"/>
          <w:sz w:val="24"/>
        </w:rPr>
        <w:t xml:space="preserve">106 ER 575 at </w:t>
      </w:r>
      <w:r w:rsidR="002F5B18" w:rsidRPr="00444714">
        <w:rPr>
          <w:rFonts w:ascii="Times New Roman" w:hAnsi="Times New Roman"/>
          <w:sz w:val="24"/>
        </w:rPr>
        <w:t>577</w:t>
      </w:r>
      <w:r w:rsidR="00F4475E" w:rsidRPr="00444714">
        <w:rPr>
          <w:rFonts w:ascii="Times New Roman" w:hAnsi="Times New Roman"/>
          <w:sz w:val="24"/>
        </w:rPr>
        <w:t xml:space="preserve">, </w:t>
      </w:r>
      <w:r w:rsidR="002F5B18" w:rsidRPr="00444714">
        <w:rPr>
          <w:rFonts w:ascii="Times New Roman" w:hAnsi="Times New Roman"/>
          <w:sz w:val="24"/>
        </w:rPr>
        <w:t>578]</w:t>
      </w:r>
      <w:r w:rsidRPr="00444714">
        <w:rPr>
          <w:rFonts w:ascii="Times New Roman" w:hAnsi="Times New Roman"/>
          <w:sz w:val="24"/>
        </w:rPr>
        <w:t xml:space="preserve">; </w:t>
      </w:r>
      <w:r w:rsidRPr="00444714">
        <w:rPr>
          <w:rFonts w:ascii="Times New Roman" w:hAnsi="Times New Roman"/>
          <w:i/>
          <w:sz w:val="24"/>
        </w:rPr>
        <w:t>Petrie v Bury</w:t>
      </w:r>
      <w:r w:rsidRPr="00444714">
        <w:rPr>
          <w:rFonts w:ascii="Times New Roman" w:hAnsi="Times New Roman"/>
          <w:sz w:val="24"/>
        </w:rPr>
        <w:t xml:space="preserve"> (1824) 3 B &amp; C 353 at 355</w:t>
      </w:r>
      <w:r w:rsidR="00FD1D22" w:rsidRPr="00444714">
        <w:rPr>
          <w:rFonts w:ascii="Times New Roman" w:hAnsi="Times New Roman"/>
          <w:sz w:val="24"/>
        </w:rPr>
        <w:t xml:space="preserve"> [107 ER 764 at </w:t>
      </w:r>
      <w:r w:rsidR="00CB7CD4" w:rsidRPr="00444714">
        <w:rPr>
          <w:rFonts w:ascii="Times New Roman" w:hAnsi="Times New Roman"/>
          <w:sz w:val="24"/>
        </w:rPr>
        <w:t>765]</w:t>
      </w:r>
      <w:r w:rsidRPr="00444714">
        <w:rPr>
          <w:rFonts w:ascii="Times New Roman" w:hAnsi="Times New Roman"/>
          <w:sz w:val="24"/>
        </w:rPr>
        <w:t xml:space="preserve">; </w:t>
      </w:r>
      <w:r w:rsidRPr="00444714">
        <w:rPr>
          <w:rFonts w:ascii="Times New Roman" w:hAnsi="Times New Roman"/>
          <w:i/>
          <w:sz w:val="24"/>
        </w:rPr>
        <w:t>Cornell</w:t>
      </w:r>
      <w:r w:rsidRPr="00444714">
        <w:rPr>
          <w:rFonts w:ascii="Times New Roman" w:hAnsi="Times New Roman"/>
          <w:sz w:val="24"/>
        </w:rPr>
        <w:t xml:space="preserve"> (1946) 73 CLR 394 at 401.</w:t>
      </w:r>
    </w:p>
  </w:footnote>
  <w:footnote w:id="34">
    <w:p w14:paraId="7DA87621" w14:textId="7BB96EF5" w:rsidR="00E33BE3" w:rsidRPr="00444714" w:rsidRDefault="00E33BE3" w:rsidP="00444714">
      <w:pPr>
        <w:pStyle w:val="FootnoteText"/>
        <w:spacing w:line="280" w:lineRule="exact"/>
        <w:ind w:right="0"/>
        <w:jc w:val="both"/>
        <w:rPr>
          <w:rFonts w:ascii="Times New Roman" w:hAnsi="Times New Roman"/>
          <w:sz w:val="24"/>
        </w:rPr>
      </w:pPr>
      <w:r w:rsidRPr="00444714">
        <w:rPr>
          <w:rStyle w:val="FootnoteReference"/>
          <w:rFonts w:ascii="Times New Roman" w:hAnsi="Times New Roman"/>
          <w:sz w:val="22"/>
          <w:vertAlign w:val="baseline"/>
        </w:rPr>
        <w:footnoteRef/>
      </w:r>
      <w:r w:rsidRPr="00444714">
        <w:rPr>
          <w:rFonts w:ascii="Times New Roman" w:hAnsi="Times New Roman"/>
          <w:sz w:val="24"/>
        </w:rPr>
        <w:t xml:space="preserve"> </w:t>
      </w:r>
      <w:r w:rsidRPr="00444714">
        <w:rPr>
          <w:rFonts w:ascii="Times New Roman" w:hAnsi="Times New Roman"/>
          <w:sz w:val="24"/>
        </w:rPr>
        <w:tab/>
        <w:t>(1913) 17 CLR 8 at 44; see also 20</w:t>
      </w:r>
      <w:r w:rsidRPr="00444714" w:rsidDel="001149FF">
        <w:rPr>
          <w:rFonts w:ascii="Times New Roman" w:hAnsi="Times New Roman"/>
          <w:sz w:val="24"/>
        </w:rPr>
        <w:t xml:space="preserve">, </w:t>
      </w:r>
      <w:r w:rsidR="00E9402B" w:rsidRPr="00444714">
        <w:rPr>
          <w:rFonts w:ascii="Times New Roman" w:hAnsi="Times New Roman"/>
          <w:sz w:val="24"/>
        </w:rPr>
        <w:t>43</w:t>
      </w:r>
      <w:r w:rsidRPr="00444714">
        <w:rPr>
          <w:rFonts w:ascii="Times New Roman" w:hAnsi="Times New Roman"/>
          <w:sz w:val="24"/>
        </w:rPr>
        <w:t>.</w:t>
      </w:r>
    </w:p>
  </w:footnote>
  <w:footnote w:id="35">
    <w:p w14:paraId="0EBBE1C1"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See reasons of Gageler, Gordon, Steward and Gleeson JJ at [</w:t>
      </w:r>
      <w:proofErr w:type="gramStart"/>
      <w:r w:rsidRPr="00B52C12">
        <w:rPr>
          <w:rFonts w:ascii="Times New Roman" w:hAnsi="Times New Roman"/>
          <w:sz w:val="24"/>
        </w:rPr>
        <w:t>1]</w:t>
      </w:r>
      <w:r w:rsidRPr="00B52C12">
        <w:rPr>
          <w:rFonts w:ascii="Times New Roman" w:hAnsi="Times New Roman"/>
          <w:sz w:val="24"/>
        </w:rPr>
        <w:noBreakHyphen/>
      </w:r>
      <w:proofErr w:type="gramEnd"/>
      <w:r w:rsidRPr="00B52C12">
        <w:rPr>
          <w:rFonts w:ascii="Times New Roman" w:hAnsi="Times New Roman"/>
          <w:sz w:val="24"/>
        </w:rPr>
        <w:t>[26].</w:t>
      </w:r>
    </w:p>
  </w:footnote>
  <w:footnote w:id="36">
    <w:p w14:paraId="58D0710B"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 xml:space="preserve">See, eg, </w:t>
      </w:r>
      <w:r w:rsidRPr="00B52C12">
        <w:rPr>
          <w:rFonts w:ascii="Times New Roman" w:hAnsi="Times New Roman"/>
          <w:i/>
          <w:iCs/>
          <w:sz w:val="24"/>
        </w:rPr>
        <w:t xml:space="preserve">In re Parsons; Parsons v Attorney-General </w:t>
      </w:r>
      <w:r w:rsidRPr="00B52C12">
        <w:rPr>
          <w:rFonts w:ascii="Times New Roman" w:hAnsi="Times New Roman"/>
          <w:sz w:val="24"/>
        </w:rPr>
        <w:t xml:space="preserve">[1943] Ch 12; </w:t>
      </w:r>
      <w:r w:rsidRPr="00B52C12">
        <w:rPr>
          <w:rFonts w:ascii="Times New Roman" w:hAnsi="Times New Roman"/>
          <w:i/>
          <w:sz w:val="24"/>
        </w:rPr>
        <w:t>In r</w:t>
      </w:r>
      <w:r w:rsidRPr="00B52C12">
        <w:rPr>
          <w:rFonts w:ascii="Times New Roman" w:hAnsi="Times New Roman"/>
          <w:i/>
          <w:iCs/>
          <w:sz w:val="24"/>
        </w:rPr>
        <w:t xml:space="preserve">e Stratton's Disclaimer </w:t>
      </w:r>
      <w:r w:rsidRPr="00B52C12">
        <w:rPr>
          <w:rFonts w:ascii="Times New Roman" w:hAnsi="Times New Roman"/>
          <w:sz w:val="24"/>
        </w:rPr>
        <w:t>[1958] Ch 42.</w:t>
      </w:r>
    </w:p>
  </w:footnote>
  <w:footnote w:id="37">
    <w:p w14:paraId="4F8D9B39"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Rose v Rose</w:t>
      </w:r>
      <w:r w:rsidRPr="00B52C12">
        <w:rPr>
          <w:rFonts w:ascii="Times New Roman" w:hAnsi="Times New Roman"/>
          <w:sz w:val="24"/>
        </w:rPr>
        <w:t xml:space="preserve"> (1986) 7 NSWLR 679 at 686.</w:t>
      </w:r>
    </w:p>
  </w:footnote>
  <w:footnote w:id="38">
    <w:p w14:paraId="0688A696"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iCs/>
          <w:sz w:val="24"/>
        </w:rPr>
        <w:t>Mansell v Mansell</w:t>
      </w:r>
      <w:r w:rsidRPr="00B52C12">
        <w:rPr>
          <w:rFonts w:ascii="Times New Roman" w:hAnsi="Times New Roman"/>
          <w:sz w:val="24"/>
        </w:rPr>
        <w:t xml:space="preserve"> (1732) 2 P Wms 678 at 679</w:t>
      </w:r>
      <w:r w:rsidRPr="00B52C12">
        <w:rPr>
          <w:rFonts w:ascii="Times New Roman" w:hAnsi="Times New Roman"/>
          <w:sz w:val="24"/>
        </w:rPr>
        <w:noBreakHyphen/>
        <w:t xml:space="preserve">680 [24 ER 913 at 914]; </w:t>
      </w:r>
      <w:r w:rsidRPr="00B52C12">
        <w:rPr>
          <w:rFonts w:ascii="Times New Roman" w:hAnsi="Times New Roman"/>
          <w:i/>
          <w:iCs/>
          <w:sz w:val="24"/>
        </w:rPr>
        <w:t>Savage v Taylor</w:t>
      </w:r>
      <w:r w:rsidRPr="00B52C12">
        <w:rPr>
          <w:rFonts w:ascii="Times New Roman" w:hAnsi="Times New Roman"/>
          <w:sz w:val="24"/>
        </w:rPr>
        <w:t xml:space="preserve"> (1736) Cas temp Talbot 234 at 239 [25 ER 753 at 755]. See also Heydon and Leeming, </w:t>
      </w:r>
      <w:r w:rsidRPr="00B52C12">
        <w:rPr>
          <w:rFonts w:ascii="Times New Roman" w:hAnsi="Times New Roman"/>
          <w:i/>
          <w:sz w:val="24"/>
        </w:rPr>
        <w:t>Jacobs' Law of Trusts in Australia</w:t>
      </w:r>
      <w:r w:rsidRPr="00B52C12">
        <w:rPr>
          <w:rFonts w:ascii="Times New Roman" w:hAnsi="Times New Roman"/>
          <w:sz w:val="24"/>
        </w:rPr>
        <w:t>, 8th ed (2016) at 4 [1</w:t>
      </w:r>
      <w:r w:rsidRPr="00B52C12">
        <w:rPr>
          <w:rFonts w:ascii="Times New Roman" w:hAnsi="Times New Roman"/>
          <w:sz w:val="24"/>
        </w:rPr>
        <w:noBreakHyphen/>
        <w:t>07].</w:t>
      </w:r>
    </w:p>
  </w:footnote>
  <w:footnote w:id="39">
    <w:p w14:paraId="436B89E8"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 xml:space="preserve">[1940] AC 366. See also </w:t>
      </w:r>
      <w:r w:rsidRPr="00B52C12">
        <w:rPr>
          <w:rFonts w:ascii="Times New Roman" w:hAnsi="Times New Roman"/>
          <w:i/>
          <w:iCs/>
          <w:sz w:val="24"/>
        </w:rPr>
        <w:t>Mirzikinian v Tom &amp; Bill Waterhouse Pty Ltd</w:t>
      </w:r>
      <w:r w:rsidRPr="00B52C12">
        <w:rPr>
          <w:rFonts w:ascii="Times New Roman" w:hAnsi="Times New Roman"/>
          <w:iCs/>
          <w:sz w:val="24"/>
        </w:rPr>
        <w:t xml:space="preserve"> </w:t>
      </w:r>
      <w:r w:rsidRPr="00B52C12">
        <w:rPr>
          <w:rFonts w:ascii="Times New Roman" w:hAnsi="Times New Roman"/>
          <w:sz w:val="24"/>
        </w:rPr>
        <w:t>[2009] NSWCA 296 at [51].</w:t>
      </w:r>
    </w:p>
  </w:footnote>
  <w:footnote w:id="40">
    <w:p w14:paraId="0F9652B7"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[1940] AC 366 at 398.</w:t>
      </w:r>
    </w:p>
  </w:footnote>
  <w:footnote w:id="41">
    <w:p w14:paraId="14EFEA42"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[1940] AC 366 at 389.</w:t>
      </w:r>
    </w:p>
  </w:footnote>
  <w:footnote w:id="42">
    <w:p w14:paraId="52FAAD28"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[1940] AC 366 at 402.</w:t>
      </w:r>
    </w:p>
  </w:footnote>
  <w:footnote w:id="43">
    <w:p w14:paraId="75D1C6CC"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[1940] AC 366 at 403.</w:t>
      </w:r>
    </w:p>
  </w:footnote>
  <w:footnote w:id="44">
    <w:p w14:paraId="0BC47633"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szCs w:val="24"/>
        </w:rPr>
        <w:t>Lewin on Trusts</w:t>
      </w:r>
      <w:r w:rsidRPr="00B52C12">
        <w:rPr>
          <w:rFonts w:ascii="Times New Roman" w:hAnsi="Times New Roman"/>
          <w:sz w:val="24"/>
          <w:szCs w:val="24"/>
        </w:rPr>
        <w:t>, 20th ed (2020), vol 1 at 7 [1</w:t>
      </w:r>
      <w:r w:rsidRPr="00B52C12">
        <w:rPr>
          <w:rFonts w:ascii="Times New Roman" w:hAnsi="Times New Roman"/>
          <w:sz w:val="24"/>
          <w:szCs w:val="24"/>
        </w:rPr>
        <w:noBreakHyphen/>
        <w:t xml:space="preserve">005]. See Underhill, </w:t>
      </w:r>
      <w:r w:rsidRPr="00B52C12">
        <w:rPr>
          <w:rFonts w:ascii="Times New Roman" w:hAnsi="Times New Roman"/>
          <w:i/>
          <w:iCs/>
          <w:sz w:val="24"/>
          <w:szCs w:val="24"/>
        </w:rPr>
        <w:t xml:space="preserve">A Practical and Concise Manual of the Law Relating to </w:t>
      </w:r>
      <w:r w:rsidRPr="00B52C12">
        <w:rPr>
          <w:rFonts w:ascii="Times New Roman" w:hAnsi="Times New Roman"/>
          <w:i/>
          <w:sz w:val="24"/>
          <w:szCs w:val="24"/>
        </w:rPr>
        <w:t>Private</w:t>
      </w:r>
      <w:r w:rsidRPr="00B52C12">
        <w:rPr>
          <w:rFonts w:ascii="Times New Roman" w:hAnsi="Times New Roman"/>
          <w:i/>
          <w:iCs/>
          <w:sz w:val="24"/>
          <w:szCs w:val="24"/>
        </w:rPr>
        <w:t xml:space="preserve"> Trusts and Trustees</w:t>
      </w:r>
      <w:r w:rsidRPr="00B52C12">
        <w:rPr>
          <w:rFonts w:ascii="Times New Roman" w:hAnsi="Times New Roman"/>
          <w:sz w:val="24"/>
          <w:szCs w:val="24"/>
        </w:rPr>
        <w:t>, 3rd ed</w:t>
      </w:r>
      <w:r w:rsidRPr="00B52C12">
        <w:rPr>
          <w:rFonts w:ascii="Times New Roman" w:hAnsi="Times New Roman"/>
          <w:i/>
          <w:iCs/>
          <w:sz w:val="24"/>
          <w:szCs w:val="24"/>
        </w:rPr>
        <w:t xml:space="preserve"> </w:t>
      </w:r>
      <w:r w:rsidRPr="00B52C12">
        <w:rPr>
          <w:rFonts w:ascii="Times New Roman" w:hAnsi="Times New Roman"/>
          <w:sz w:val="24"/>
          <w:szCs w:val="24"/>
        </w:rPr>
        <w:t>(1888) at 1</w:t>
      </w:r>
      <w:r w:rsidRPr="00B52C12">
        <w:rPr>
          <w:rFonts w:ascii="Times New Roman" w:hAnsi="Times New Roman"/>
          <w:sz w:val="24"/>
          <w:szCs w:val="24"/>
        </w:rPr>
        <w:noBreakHyphen/>
        <w:t>2.</w:t>
      </w:r>
    </w:p>
  </w:footnote>
  <w:footnote w:id="45">
    <w:p w14:paraId="0AF74032"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szCs w:val="24"/>
        </w:rPr>
        <w:t>Lewin on Trusts</w:t>
      </w:r>
      <w:r w:rsidRPr="00B52C12">
        <w:rPr>
          <w:rFonts w:ascii="Times New Roman" w:hAnsi="Times New Roman"/>
          <w:sz w:val="24"/>
          <w:szCs w:val="24"/>
        </w:rPr>
        <w:t>, 20th ed (2020), vol 1 at 7 [1</w:t>
      </w:r>
      <w:r w:rsidRPr="00B52C12">
        <w:rPr>
          <w:rFonts w:ascii="Times New Roman" w:hAnsi="Times New Roman"/>
          <w:sz w:val="24"/>
          <w:szCs w:val="24"/>
        </w:rPr>
        <w:noBreakHyphen/>
        <w:t>005].</w:t>
      </w:r>
    </w:p>
  </w:footnote>
  <w:footnote w:id="46">
    <w:p w14:paraId="4A668472"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szCs w:val="24"/>
        </w:rPr>
        <w:t>Commissioner of State Revenue (WA) v Rojoda Pty Ltd</w:t>
      </w:r>
      <w:r w:rsidRPr="00B52C12">
        <w:rPr>
          <w:rFonts w:ascii="Times New Roman" w:hAnsi="Times New Roman"/>
          <w:sz w:val="24"/>
          <w:szCs w:val="24"/>
        </w:rPr>
        <w:t xml:space="preserve"> (2020) 268 CLR 281 at 315 [65].</w:t>
      </w:r>
    </w:p>
  </w:footnote>
  <w:footnote w:id="47">
    <w:p w14:paraId="59F3F1CA"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szCs w:val="24"/>
        </w:rPr>
        <w:t>Commissioner of State Revenue (WA) v Rojoda Pty Ltd</w:t>
      </w:r>
      <w:r w:rsidRPr="00B52C12">
        <w:rPr>
          <w:rFonts w:ascii="Times New Roman" w:hAnsi="Times New Roman"/>
          <w:sz w:val="24"/>
          <w:szCs w:val="24"/>
        </w:rPr>
        <w:t xml:space="preserve"> (2020) 268 CLR 281 at 307 [44], citing </w:t>
      </w:r>
      <w:r w:rsidRPr="00B52C12">
        <w:rPr>
          <w:rFonts w:ascii="Times New Roman" w:hAnsi="Times New Roman"/>
          <w:i/>
          <w:iCs/>
          <w:sz w:val="24"/>
        </w:rPr>
        <w:t>Chief Commissioner of Stamp Duties (NSW) v Buckle</w:t>
      </w:r>
      <w:r w:rsidRPr="00B52C12">
        <w:rPr>
          <w:rFonts w:ascii="Times New Roman" w:hAnsi="Times New Roman"/>
          <w:sz w:val="24"/>
        </w:rPr>
        <w:t xml:space="preserve"> (1998) 192 CLR 226 at 243 [38]; </w:t>
      </w:r>
      <w:r w:rsidRPr="00B52C12">
        <w:rPr>
          <w:rFonts w:ascii="Times New Roman" w:hAnsi="Times New Roman"/>
          <w:i/>
          <w:iCs/>
          <w:sz w:val="24"/>
        </w:rPr>
        <w:t>Federal Commissioner of Taxation v Linter Textiles Australia Ltd (In liq)</w:t>
      </w:r>
      <w:r w:rsidRPr="00B52C12">
        <w:rPr>
          <w:rFonts w:ascii="Times New Roman" w:hAnsi="Times New Roman"/>
          <w:sz w:val="24"/>
        </w:rPr>
        <w:t xml:space="preserve"> (2005) 220 CLR 592 at 606 [30]; </w:t>
      </w:r>
      <w:r w:rsidRPr="00B52C12">
        <w:rPr>
          <w:rFonts w:ascii="Times New Roman" w:hAnsi="Times New Roman"/>
          <w:i/>
          <w:iCs/>
          <w:sz w:val="24"/>
        </w:rPr>
        <w:t>DKLR Holding Co (No 2) Pty Ltd v Commissioner of Stamp Duties</w:t>
      </w:r>
      <w:r w:rsidRPr="00B52C12">
        <w:rPr>
          <w:rFonts w:ascii="Times New Roman" w:hAnsi="Times New Roman"/>
          <w:iCs/>
          <w:sz w:val="24"/>
        </w:rPr>
        <w:t xml:space="preserve"> </w:t>
      </w:r>
      <w:r w:rsidRPr="00B52C12">
        <w:rPr>
          <w:rFonts w:ascii="Times New Roman" w:hAnsi="Times New Roman"/>
          <w:sz w:val="24"/>
        </w:rPr>
        <w:t xml:space="preserve">[1980] 1 NSWLR 510 at 519; on appeal (1982) 149 CLR 431 at 474; </w:t>
      </w:r>
      <w:r w:rsidRPr="00B52C12">
        <w:rPr>
          <w:rFonts w:ascii="Times New Roman" w:hAnsi="Times New Roman"/>
          <w:i/>
          <w:iCs/>
          <w:sz w:val="24"/>
        </w:rPr>
        <w:t>Re Transphere Pty Ltd</w:t>
      </w:r>
      <w:r w:rsidRPr="00B52C12">
        <w:rPr>
          <w:rFonts w:ascii="Times New Roman" w:hAnsi="Times New Roman"/>
          <w:iCs/>
          <w:sz w:val="24"/>
        </w:rPr>
        <w:t xml:space="preserve"> </w:t>
      </w:r>
      <w:r w:rsidRPr="00B52C12">
        <w:rPr>
          <w:rFonts w:ascii="Times New Roman" w:hAnsi="Times New Roman"/>
          <w:sz w:val="24"/>
        </w:rPr>
        <w:t>(1986) 5 NSWLR 309 at 311.</w:t>
      </w:r>
    </w:p>
  </w:footnote>
  <w:footnote w:id="48">
    <w:p w14:paraId="7E8FAD31"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 xml:space="preserve">Maitland, </w:t>
      </w:r>
      <w:r w:rsidRPr="00B52C12">
        <w:rPr>
          <w:rFonts w:ascii="Times New Roman" w:hAnsi="Times New Roman"/>
          <w:i/>
          <w:iCs/>
          <w:sz w:val="24"/>
        </w:rPr>
        <w:t xml:space="preserve">Equity: </w:t>
      </w:r>
      <w:proofErr w:type="gramStart"/>
      <w:r w:rsidRPr="00B52C12">
        <w:rPr>
          <w:rFonts w:ascii="Times New Roman" w:hAnsi="Times New Roman"/>
          <w:i/>
          <w:iCs/>
          <w:sz w:val="24"/>
        </w:rPr>
        <w:t>also</w:t>
      </w:r>
      <w:proofErr w:type="gramEnd"/>
      <w:r w:rsidRPr="00B52C12">
        <w:rPr>
          <w:rFonts w:ascii="Times New Roman" w:hAnsi="Times New Roman"/>
          <w:i/>
          <w:iCs/>
          <w:sz w:val="24"/>
        </w:rPr>
        <w:t xml:space="preserve"> The Forms of Action at Common Law </w:t>
      </w:r>
      <w:r w:rsidRPr="00B52C12">
        <w:rPr>
          <w:rFonts w:ascii="Times New Roman" w:hAnsi="Times New Roman"/>
          <w:sz w:val="24"/>
        </w:rPr>
        <w:t>(1909) at 17</w:t>
      </w:r>
      <w:r w:rsidRPr="00B52C12">
        <w:rPr>
          <w:rFonts w:ascii="Times New Roman" w:hAnsi="Times New Roman"/>
          <w:sz w:val="24"/>
        </w:rPr>
        <w:noBreakHyphen/>
        <w:t xml:space="preserve">18; Maitland, </w:t>
      </w:r>
      <w:r w:rsidRPr="00B52C12">
        <w:rPr>
          <w:rFonts w:ascii="Times New Roman" w:hAnsi="Times New Roman"/>
          <w:i/>
          <w:iCs/>
          <w:sz w:val="24"/>
        </w:rPr>
        <w:t>Equity: A Course of Lectures</w:t>
      </w:r>
      <w:r w:rsidRPr="00B52C12">
        <w:rPr>
          <w:rFonts w:ascii="Times New Roman" w:hAnsi="Times New Roman"/>
          <w:sz w:val="24"/>
        </w:rPr>
        <w:t>, 2nd ed (1936) at 17.</w:t>
      </w:r>
    </w:p>
  </w:footnote>
  <w:footnote w:id="49">
    <w:p w14:paraId="68F436B2"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 xml:space="preserve">Hyland, </w:t>
      </w:r>
      <w:r w:rsidRPr="00B52C12">
        <w:rPr>
          <w:rFonts w:ascii="Times New Roman" w:hAnsi="Times New Roman"/>
          <w:i/>
          <w:sz w:val="24"/>
        </w:rPr>
        <w:t xml:space="preserve">Gifts: A Study in Comparative Law </w:t>
      </w:r>
      <w:r w:rsidRPr="00B52C12">
        <w:rPr>
          <w:rFonts w:ascii="Times New Roman" w:hAnsi="Times New Roman"/>
          <w:sz w:val="24"/>
        </w:rPr>
        <w:t>(2009) at 454.</w:t>
      </w:r>
    </w:p>
  </w:footnote>
  <w:footnote w:id="50">
    <w:p w14:paraId="7BE33B47"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Thompson v Leach</w:t>
      </w:r>
      <w:r w:rsidRPr="00B52C12">
        <w:rPr>
          <w:rFonts w:ascii="Times New Roman" w:hAnsi="Times New Roman"/>
          <w:sz w:val="24"/>
        </w:rPr>
        <w:t xml:space="preserve"> (1690) 2 Ventris 198 at 202, 207</w:t>
      </w:r>
      <w:r w:rsidRPr="00B52C12">
        <w:rPr>
          <w:rFonts w:ascii="Times New Roman" w:hAnsi="Times New Roman"/>
          <w:sz w:val="24"/>
        </w:rPr>
        <w:noBreakHyphen/>
        <w:t>208 [86 ER 391 at 393</w:t>
      </w:r>
      <w:r w:rsidRPr="00B52C12">
        <w:rPr>
          <w:rFonts w:ascii="Times New Roman" w:hAnsi="Times New Roman"/>
          <w:sz w:val="24"/>
        </w:rPr>
        <w:noBreakHyphen/>
        <w:t>394, 396</w:t>
      </w:r>
      <w:r w:rsidRPr="00B52C12">
        <w:rPr>
          <w:rFonts w:ascii="Times New Roman" w:hAnsi="Times New Roman"/>
          <w:sz w:val="24"/>
        </w:rPr>
        <w:noBreakHyphen/>
        <w:t xml:space="preserve">397]; </w:t>
      </w:r>
      <w:r w:rsidRPr="00B52C12">
        <w:rPr>
          <w:rFonts w:ascii="Times New Roman" w:hAnsi="Times New Roman"/>
          <w:i/>
          <w:sz w:val="24"/>
        </w:rPr>
        <w:t>Siggers v Evans</w:t>
      </w:r>
      <w:r w:rsidRPr="00B52C12">
        <w:rPr>
          <w:rFonts w:ascii="Times New Roman" w:hAnsi="Times New Roman"/>
          <w:sz w:val="24"/>
        </w:rPr>
        <w:t xml:space="preserve"> (1855) 5 El &amp; Bl 367 at 380 [119 ER 518 at 523]; </w:t>
      </w:r>
      <w:r w:rsidRPr="00B52C12">
        <w:rPr>
          <w:rFonts w:ascii="Times New Roman" w:hAnsi="Times New Roman"/>
          <w:i/>
          <w:sz w:val="24"/>
        </w:rPr>
        <w:t xml:space="preserve">Hill v Wilson </w:t>
      </w:r>
      <w:r w:rsidRPr="00B52C12">
        <w:rPr>
          <w:rFonts w:ascii="Times New Roman" w:hAnsi="Times New Roman"/>
          <w:sz w:val="24"/>
        </w:rPr>
        <w:t xml:space="preserve">(1873) LR 8 Ch App 888 at 896; </w:t>
      </w:r>
      <w:r w:rsidRPr="00B52C12">
        <w:rPr>
          <w:rFonts w:ascii="Times New Roman" w:hAnsi="Times New Roman"/>
          <w:i/>
          <w:sz w:val="24"/>
        </w:rPr>
        <w:t>London and County Banking Co v London and River Plate Bank</w:t>
      </w:r>
      <w:r w:rsidRPr="00B52C12">
        <w:rPr>
          <w:rFonts w:ascii="Times New Roman" w:hAnsi="Times New Roman"/>
          <w:sz w:val="24"/>
        </w:rPr>
        <w:t xml:space="preserve"> (1888) 21 QBD 535 at 541</w:t>
      </w:r>
      <w:r w:rsidRPr="00B52C12">
        <w:rPr>
          <w:rFonts w:ascii="Times New Roman" w:hAnsi="Times New Roman"/>
          <w:sz w:val="24"/>
        </w:rPr>
        <w:noBreakHyphen/>
        <w:t xml:space="preserve">542; </w:t>
      </w:r>
      <w:r w:rsidRPr="00B52C12">
        <w:rPr>
          <w:rFonts w:ascii="Times New Roman" w:hAnsi="Times New Roman"/>
          <w:i/>
          <w:sz w:val="24"/>
        </w:rPr>
        <w:t>Matthews v Matthews</w:t>
      </w:r>
      <w:r w:rsidRPr="00B52C12">
        <w:rPr>
          <w:rFonts w:ascii="Times New Roman" w:hAnsi="Times New Roman"/>
          <w:sz w:val="24"/>
        </w:rPr>
        <w:t xml:space="preserve"> (1913) 17 CLR 8 at 31, 43</w:t>
      </w:r>
      <w:r w:rsidRPr="00B52C12">
        <w:rPr>
          <w:rFonts w:ascii="Times New Roman" w:hAnsi="Times New Roman"/>
          <w:sz w:val="24"/>
        </w:rPr>
        <w:noBreakHyphen/>
        <w:t xml:space="preserve">44. </w:t>
      </w:r>
    </w:p>
  </w:footnote>
  <w:footnote w:id="51">
    <w:p w14:paraId="57661338"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 xml:space="preserve">See </w:t>
      </w:r>
      <w:r w:rsidRPr="00B52C12">
        <w:rPr>
          <w:rFonts w:ascii="Times New Roman" w:hAnsi="Times New Roman"/>
          <w:sz w:val="24"/>
          <w:szCs w:val="24"/>
        </w:rPr>
        <w:t xml:space="preserve">Thayer, </w:t>
      </w:r>
      <w:r w:rsidRPr="00B52C12">
        <w:rPr>
          <w:rFonts w:ascii="Times New Roman" w:hAnsi="Times New Roman"/>
          <w:i/>
          <w:sz w:val="24"/>
          <w:szCs w:val="24"/>
        </w:rPr>
        <w:t>A Preliminary Treatise on Evidence at the Common Law</w:t>
      </w:r>
      <w:r w:rsidRPr="00B52C12">
        <w:rPr>
          <w:rFonts w:ascii="Times New Roman" w:hAnsi="Times New Roman"/>
          <w:sz w:val="24"/>
          <w:szCs w:val="24"/>
        </w:rPr>
        <w:t xml:space="preserve"> (1898) at 339; Wigmore, </w:t>
      </w:r>
      <w:r w:rsidRPr="00B52C12">
        <w:rPr>
          <w:rFonts w:ascii="Times New Roman" w:hAnsi="Times New Roman"/>
          <w:i/>
          <w:sz w:val="24"/>
          <w:szCs w:val="24"/>
        </w:rPr>
        <w:t xml:space="preserve">A Treatise on the System of Evidence in Trials at Common Law </w:t>
      </w:r>
      <w:r w:rsidRPr="00B52C12">
        <w:rPr>
          <w:rFonts w:ascii="Times New Roman" w:hAnsi="Times New Roman"/>
          <w:sz w:val="24"/>
          <w:szCs w:val="24"/>
        </w:rPr>
        <w:t>(1905), vol 4 at 3533 §2491.</w:t>
      </w:r>
    </w:p>
  </w:footnote>
  <w:footnote w:id="52">
    <w:p w14:paraId="01FC3213"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Thorne v Kennedy</w:t>
      </w:r>
      <w:r w:rsidRPr="00B52C12">
        <w:rPr>
          <w:rFonts w:ascii="Times New Roman" w:hAnsi="Times New Roman"/>
          <w:sz w:val="24"/>
        </w:rPr>
        <w:t xml:space="preserve"> (2017) 263 CLR 85 at 101 [34], citing </w:t>
      </w:r>
      <w:r w:rsidRPr="00B52C12">
        <w:rPr>
          <w:rFonts w:ascii="Times New Roman" w:hAnsi="Times New Roman"/>
          <w:i/>
          <w:sz w:val="24"/>
        </w:rPr>
        <w:t>Calverley v Green</w:t>
      </w:r>
      <w:r w:rsidRPr="00B52C12">
        <w:rPr>
          <w:rFonts w:ascii="Times New Roman" w:hAnsi="Times New Roman"/>
          <w:sz w:val="24"/>
        </w:rPr>
        <w:t xml:space="preserve"> (1984) 155 CLR 242 at 264.</w:t>
      </w:r>
    </w:p>
  </w:footnote>
  <w:footnote w:id="53">
    <w:p w14:paraId="4319B781"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iCs/>
          <w:sz w:val="24"/>
        </w:rPr>
        <w:t>London and County Banking Co v London and River Plate Bank</w:t>
      </w:r>
      <w:r w:rsidRPr="00B52C12">
        <w:rPr>
          <w:rFonts w:ascii="Times New Roman" w:hAnsi="Times New Roman"/>
          <w:sz w:val="24"/>
        </w:rPr>
        <w:t xml:space="preserve"> (1888) 21 QBD 535 at 542.</w:t>
      </w:r>
    </w:p>
  </w:footnote>
  <w:footnote w:id="54">
    <w:p w14:paraId="4CA196F9"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Matthews v Matthews</w:t>
      </w:r>
      <w:r w:rsidRPr="00B52C12">
        <w:rPr>
          <w:rFonts w:ascii="Times New Roman" w:hAnsi="Times New Roman"/>
          <w:sz w:val="24"/>
        </w:rPr>
        <w:t xml:space="preserve"> (1913) 17 CLR 8 at 20. See also </w:t>
      </w:r>
      <w:r w:rsidRPr="00B52C12">
        <w:rPr>
          <w:rFonts w:ascii="Times New Roman" w:hAnsi="Times New Roman"/>
          <w:i/>
          <w:sz w:val="24"/>
          <w:szCs w:val="24"/>
        </w:rPr>
        <w:t>Townson v Tickell</w:t>
      </w:r>
      <w:r w:rsidRPr="00B52C12">
        <w:rPr>
          <w:rFonts w:ascii="Times New Roman" w:hAnsi="Times New Roman"/>
          <w:sz w:val="24"/>
          <w:szCs w:val="24"/>
        </w:rPr>
        <w:t xml:space="preserve"> (1819) 3 B &amp; Ald 31 [106 ER 575].</w:t>
      </w:r>
    </w:p>
  </w:footnote>
  <w:footnote w:id="55">
    <w:p w14:paraId="6E29A765"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Matthews v Matthews</w:t>
      </w:r>
      <w:r w:rsidRPr="00B52C12">
        <w:rPr>
          <w:rFonts w:ascii="Times New Roman" w:hAnsi="Times New Roman"/>
          <w:sz w:val="24"/>
        </w:rPr>
        <w:t xml:space="preserve"> (1913) 17 CLR 8 at 20, quoting </w:t>
      </w:r>
      <w:r w:rsidRPr="00B52C12">
        <w:rPr>
          <w:rFonts w:ascii="Times New Roman" w:hAnsi="Times New Roman"/>
          <w:i/>
          <w:sz w:val="24"/>
        </w:rPr>
        <w:t xml:space="preserve">Hill v Wilson </w:t>
      </w:r>
      <w:r w:rsidRPr="00B52C12">
        <w:rPr>
          <w:rFonts w:ascii="Times New Roman" w:hAnsi="Times New Roman"/>
          <w:sz w:val="24"/>
        </w:rPr>
        <w:t>(1873) LR 8 Ch App 888 at 896.</w:t>
      </w:r>
    </w:p>
  </w:footnote>
  <w:footnote w:id="56">
    <w:p w14:paraId="4F07BED5"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Taylor v Johnson</w:t>
      </w:r>
      <w:r w:rsidRPr="00B52C12">
        <w:rPr>
          <w:rFonts w:ascii="Times New Roman" w:hAnsi="Times New Roman"/>
          <w:sz w:val="24"/>
        </w:rPr>
        <w:t xml:space="preserve"> (1983) 151 CLR 422 at 429, cited in </w:t>
      </w:r>
      <w:r w:rsidRPr="00B52C12">
        <w:rPr>
          <w:rFonts w:ascii="Times New Roman" w:hAnsi="Times New Roman"/>
          <w:i/>
          <w:sz w:val="24"/>
        </w:rPr>
        <w:t>Toll (FGCT) Pty Ltd v Alphapharm Pty Ltd</w:t>
      </w:r>
      <w:r w:rsidRPr="00B52C12">
        <w:rPr>
          <w:rFonts w:ascii="Times New Roman" w:hAnsi="Times New Roman"/>
          <w:sz w:val="24"/>
        </w:rPr>
        <w:t xml:space="preserve"> (2004) 219 CLR 165 at 179</w:t>
      </w:r>
      <w:r w:rsidRPr="00B52C12">
        <w:rPr>
          <w:rFonts w:ascii="Times New Roman" w:hAnsi="Times New Roman"/>
          <w:sz w:val="24"/>
        </w:rPr>
        <w:noBreakHyphen/>
        <w:t>180 [41].</w:t>
      </w:r>
    </w:p>
  </w:footnote>
  <w:footnote w:id="57">
    <w:p w14:paraId="7730D601"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 xml:space="preserve">Ermogenous v Greek Orthodox Community of SA Inc </w:t>
      </w:r>
      <w:r w:rsidRPr="00B52C12">
        <w:rPr>
          <w:rFonts w:ascii="Times New Roman" w:hAnsi="Times New Roman"/>
          <w:sz w:val="24"/>
        </w:rPr>
        <w:t>(2002) 209 CLR 95 at 106 [26].</w:t>
      </w:r>
    </w:p>
  </w:footnote>
  <w:footnote w:id="58">
    <w:p w14:paraId="278EE265"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iCs/>
          <w:sz w:val="24"/>
        </w:rPr>
        <w:t xml:space="preserve">Standing v Bowring </w:t>
      </w:r>
      <w:r w:rsidRPr="00B52C12">
        <w:rPr>
          <w:rFonts w:ascii="Times New Roman" w:hAnsi="Times New Roman"/>
          <w:sz w:val="24"/>
        </w:rPr>
        <w:t xml:space="preserve">(1885) 31 Ch D 282. </w:t>
      </w:r>
    </w:p>
  </w:footnote>
  <w:footnote w:id="59">
    <w:p w14:paraId="2F900440"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 xml:space="preserve">Masson v Parsons </w:t>
      </w:r>
      <w:r w:rsidRPr="00B52C12">
        <w:rPr>
          <w:rFonts w:ascii="Times New Roman" w:hAnsi="Times New Roman"/>
          <w:sz w:val="24"/>
        </w:rPr>
        <w:t>(2019) 266 CLR 554 at 575</w:t>
      </w:r>
      <w:r w:rsidRPr="00B52C12">
        <w:rPr>
          <w:rFonts w:ascii="Times New Roman" w:hAnsi="Times New Roman"/>
          <w:sz w:val="24"/>
        </w:rPr>
        <w:noBreakHyphen/>
        <w:t>576 [32].</w:t>
      </w:r>
    </w:p>
  </w:footnote>
  <w:footnote w:id="60">
    <w:p w14:paraId="42FFD0A2"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 xml:space="preserve">See </w:t>
      </w:r>
      <w:r w:rsidRPr="00B52C12">
        <w:rPr>
          <w:rFonts w:ascii="Times New Roman" w:hAnsi="Times New Roman"/>
          <w:i/>
          <w:sz w:val="24"/>
        </w:rPr>
        <w:t>Siggers v Evans</w:t>
      </w:r>
      <w:r w:rsidRPr="00B52C12">
        <w:rPr>
          <w:rFonts w:ascii="Times New Roman" w:hAnsi="Times New Roman"/>
          <w:sz w:val="24"/>
        </w:rPr>
        <w:t xml:space="preserve"> (1855) 5 El &amp; Bl 367 at 380 [119 ER 518 at 523]; </w:t>
      </w:r>
      <w:r w:rsidRPr="00B52C12">
        <w:rPr>
          <w:rFonts w:ascii="Times New Roman" w:hAnsi="Times New Roman"/>
          <w:i/>
          <w:sz w:val="24"/>
        </w:rPr>
        <w:t>Standing v Bowring</w:t>
      </w:r>
      <w:r w:rsidRPr="00B52C12">
        <w:rPr>
          <w:rFonts w:ascii="Times New Roman" w:hAnsi="Times New Roman"/>
          <w:sz w:val="24"/>
        </w:rPr>
        <w:t xml:space="preserve"> (1885) 31 Ch D 282 at 288, 290.</w:t>
      </w:r>
    </w:p>
  </w:footnote>
  <w:footnote w:id="61">
    <w:p w14:paraId="6AF3B855"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Butler and Baker's Case</w:t>
      </w:r>
      <w:r w:rsidRPr="00B52C12">
        <w:rPr>
          <w:rFonts w:ascii="Times New Roman" w:hAnsi="Times New Roman"/>
          <w:sz w:val="24"/>
        </w:rPr>
        <w:t xml:space="preserve"> (1591) 3 Co Rep 25a at 26b, fn E [76 ER 684 at 688].</w:t>
      </w:r>
    </w:p>
  </w:footnote>
  <w:footnote w:id="62">
    <w:p w14:paraId="22F37AC9"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 xml:space="preserve">Townson v Tickell </w:t>
      </w:r>
      <w:r w:rsidRPr="00B52C12">
        <w:rPr>
          <w:rFonts w:ascii="Times New Roman" w:hAnsi="Times New Roman"/>
          <w:sz w:val="24"/>
        </w:rPr>
        <w:t>(1819) 3 B &amp; Ald 31 at 37 [106 ER 575 at 577].</w:t>
      </w:r>
    </w:p>
  </w:footnote>
  <w:footnote w:id="63">
    <w:p w14:paraId="71BA25B1"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iCs/>
          <w:sz w:val="24"/>
        </w:rPr>
        <w:t>London and County Banking Co v London and River Plate Bank</w:t>
      </w:r>
      <w:r w:rsidRPr="00B52C12">
        <w:rPr>
          <w:rFonts w:ascii="Times New Roman" w:hAnsi="Times New Roman"/>
          <w:sz w:val="24"/>
        </w:rPr>
        <w:t xml:space="preserve"> (1888) 21 QBD 535 at 541</w:t>
      </w:r>
      <w:r w:rsidRPr="00B52C12">
        <w:rPr>
          <w:rFonts w:ascii="Times New Roman" w:hAnsi="Times New Roman"/>
          <w:sz w:val="24"/>
        </w:rPr>
        <w:noBreakHyphen/>
        <w:t>542.</w:t>
      </w:r>
    </w:p>
  </w:footnote>
  <w:footnote w:id="64">
    <w:p w14:paraId="0D44EBBE"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r>
      <w:r w:rsidRPr="00B52C12">
        <w:rPr>
          <w:rFonts w:ascii="Times New Roman" w:hAnsi="Times New Roman"/>
          <w:i/>
          <w:sz w:val="24"/>
        </w:rPr>
        <w:t>Dewar v Dewar</w:t>
      </w:r>
      <w:r w:rsidRPr="00B52C12">
        <w:rPr>
          <w:rFonts w:ascii="Times New Roman" w:hAnsi="Times New Roman"/>
          <w:sz w:val="24"/>
        </w:rPr>
        <w:t xml:space="preserve"> [1975] 1 WLR 1532 at 1538; [1975] 2 All ER 728 at 733.</w:t>
      </w:r>
    </w:p>
  </w:footnote>
  <w:footnote w:id="65">
    <w:p w14:paraId="281495FE" w14:textId="77777777" w:rsidR="00AE3BDE" w:rsidRPr="00B52C12" w:rsidRDefault="00AE3BDE" w:rsidP="00642F64">
      <w:pPr>
        <w:pStyle w:val="FootnoteText"/>
        <w:spacing w:line="280" w:lineRule="exact"/>
        <w:ind w:right="0"/>
        <w:jc w:val="both"/>
        <w:rPr>
          <w:rFonts w:ascii="Times New Roman" w:hAnsi="Times New Roman"/>
          <w:sz w:val="24"/>
        </w:rPr>
      </w:pPr>
      <w:r w:rsidRPr="00B52C12">
        <w:rPr>
          <w:rStyle w:val="FootnoteReference"/>
          <w:rFonts w:ascii="Times New Roman" w:hAnsi="Times New Roman"/>
          <w:sz w:val="22"/>
          <w:vertAlign w:val="baseline"/>
        </w:rPr>
        <w:footnoteRef/>
      </w:r>
      <w:r w:rsidRPr="00B52C12">
        <w:rPr>
          <w:rFonts w:ascii="Times New Roman" w:hAnsi="Times New Roman"/>
          <w:sz w:val="24"/>
        </w:rPr>
        <w:t xml:space="preserve"> </w:t>
      </w:r>
      <w:r w:rsidRPr="00B52C12">
        <w:rPr>
          <w:rFonts w:ascii="Times New Roman" w:hAnsi="Times New Roman"/>
          <w:sz w:val="24"/>
        </w:rPr>
        <w:tab/>
        <w:t>[1940] AC 366 at 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17A2" w14:textId="77777777" w:rsidR="00444714" w:rsidRPr="000B5E2B" w:rsidRDefault="00444714" w:rsidP="000B5E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8E0A" w14:textId="77777777" w:rsidR="00AE3BDE" w:rsidRPr="007E257F" w:rsidRDefault="00AE3BDE" w:rsidP="007E2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1F88" w14:textId="49513BF1" w:rsidR="00444714" w:rsidRPr="000B5E2B" w:rsidRDefault="000B5E2B" w:rsidP="000B5E2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BD45" w14:textId="19ABDBF0" w:rsidR="002047F2" w:rsidRPr="000B5E2B" w:rsidRDefault="002047F2" w:rsidP="000B5E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2C57" w14:textId="77777777" w:rsidR="000B5E2B" w:rsidRPr="00444714" w:rsidRDefault="000B5E2B" w:rsidP="00444714">
    <w:pPr>
      <w:pStyle w:val="Header"/>
      <w:tabs>
        <w:tab w:val="clear" w:pos="4153"/>
        <w:tab w:val="clear" w:pos="8306"/>
        <w:tab w:val="right" w:pos="1304"/>
      </w:tabs>
      <w:spacing w:line="280" w:lineRule="exact"/>
      <w:ind w:firstLine="0"/>
      <w:rPr>
        <w:rFonts w:ascii="Times New Roman" w:hAnsi="Times New Roman"/>
        <w:i/>
        <w:sz w:val="22"/>
      </w:rPr>
    </w:pPr>
    <w:proofErr w:type="spellStart"/>
    <w:r w:rsidRPr="00444714">
      <w:rPr>
        <w:rFonts w:ascii="Times New Roman" w:hAnsi="Times New Roman"/>
        <w:i/>
        <w:sz w:val="22"/>
      </w:rPr>
      <w:t>Gageler</w:t>
    </w:r>
    <w:proofErr w:type="spellEnd"/>
    <w:r w:rsidRPr="00444714">
      <w:rPr>
        <w:rFonts w:ascii="Times New Roman" w:hAnsi="Times New Roman"/>
        <w:i/>
        <w:sz w:val="22"/>
      </w:rPr>
      <w:tab/>
      <w:t>J</w:t>
    </w:r>
  </w:p>
  <w:p w14:paraId="214CF0C1" w14:textId="77777777" w:rsidR="000B5E2B" w:rsidRPr="00444714" w:rsidRDefault="000B5E2B" w:rsidP="00444714">
    <w:pPr>
      <w:pStyle w:val="Header"/>
      <w:tabs>
        <w:tab w:val="clear" w:pos="4153"/>
        <w:tab w:val="clear" w:pos="8306"/>
        <w:tab w:val="right" w:pos="1304"/>
      </w:tabs>
      <w:spacing w:line="280" w:lineRule="exact"/>
      <w:ind w:firstLine="0"/>
      <w:rPr>
        <w:rFonts w:ascii="Times New Roman" w:hAnsi="Times New Roman"/>
        <w:i/>
        <w:sz w:val="22"/>
      </w:rPr>
    </w:pPr>
    <w:r w:rsidRPr="00444714">
      <w:rPr>
        <w:rFonts w:ascii="Times New Roman" w:hAnsi="Times New Roman"/>
        <w:i/>
        <w:sz w:val="22"/>
      </w:rPr>
      <w:t>Gordon</w:t>
    </w:r>
    <w:r w:rsidRPr="00444714">
      <w:rPr>
        <w:rFonts w:ascii="Times New Roman" w:hAnsi="Times New Roman"/>
        <w:i/>
        <w:sz w:val="22"/>
      </w:rPr>
      <w:tab/>
      <w:t>J</w:t>
    </w:r>
  </w:p>
  <w:p w14:paraId="1FBCEC5D" w14:textId="77777777" w:rsidR="000B5E2B" w:rsidRPr="00444714" w:rsidRDefault="000B5E2B" w:rsidP="00444714">
    <w:pPr>
      <w:pStyle w:val="Header"/>
      <w:tabs>
        <w:tab w:val="clear" w:pos="4153"/>
        <w:tab w:val="clear" w:pos="8306"/>
        <w:tab w:val="right" w:pos="1304"/>
      </w:tabs>
      <w:spacing w:line="280" w:lineRule="exact"/>
      <w:ind w:firstLine="0"/>
      <w:rPr>
        <w:rFonts w:ascii="Times New Roman" w:hAnsi="Times New Roman"/>
        <w:i/>
        <w:sz w:val="22"/>
      </w:rPr>
    </w:pPr>
    <w:r w:rsidRPr="00444714">
      <w:rPr>
        <w:rFonts w:ascii="Times New Roman" w:hAnsi="Times New Roman"/>
        <w:i/>
        <w:sz w:val="22"/>
      </w:rPr>
      <w:t>Steward</w:t>
    </w:r>
    <w:r w:rsidRPr="00444714">
      <w:rPr>
        <w:rFonts w:ascii="Times New Roman" w:hAnsi="Times New Roman"/>
        <w:i/>
        <w:sz w:val="22"/>
      </w:rPr>
      <w:tab/>
      <w:t>J</w:t>
    </w:r>
  </w:p>
  <w:p w14:paraId="2DC473DE" w14:textId="77777777" w:rsidR="000B5E2B" w:rsidRDefault="000B5E2B" w:rsidP="0044471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649DDB72" w14:textId="77777777" w:rsidR="000B5E2B" w:rsidRDefault="000B5E2B" w:rsidP="00444714">
    <w:pPr>
      <w:pStyle w:val="Header"/>
      <w:tabs>
        <w:tab w:val="clear" w:pos="4153"/>
        <w:tab w:val="clear" w:pos="8306"/>
        <w:tab w:val="right" w:pos="1304"/>
      </w:tabs>
      <w:spacing w:line="280" w:lineRule="exact"/>
      <w:ind w:firstLine="0"/>
      <w:rPr>
        <w:rFonts w:ascii="Times New Roman" w:hAnsi="Times New Roman"/>
        <w:i/>
        <w:sz w:val="22"/>
      </w:rPr>
    </w:pPr>
  </w:p>
  <w:p w14:paraId="16F88F6A" w14:textId="77777777" w:rsidR="000B5E2B" w:rsidRDefault="000B5E2B" w:rsidP="0044471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8A297AB" w14:textId="77777777" w:rsidR="000B5E2B" w:rsidRPr="00444714" w:rsidRDefault="000B5E2B" w:rsidP="0044471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67F6" w14:textId="77777777" w:rsidR="000B5E2B" w:rsidRPr="00444714" w:rsidRDefault="000B5E2B" w:rsidP="00444714">
    <w:pPr>
      <w:pStyle w:val="Header"/>
      <w:tabs>
        <w:tab w:val="clear" w:pos="4153"/>
        <w:tab w:val="clear" w:pos="8306"/>
        <w:tab w:val="left" w:pos="7200"/>
        <w:tab w:val="right" w:pos="8504"/>
      </w:tabs>
      <w:spacing w:line="280" w:lineRule="exact"/>
      <w:jc w:val="right"/>
      <w:rPr>
        <w:rFonts w:ascii="Times New Roman" w:hAnsi="Times New Roman"/>
        <w:i/>
        <w:sz w:val="22"/>
      </w:rPr>
    </w:pPr>
    <w:r w:rsidRPr="00444714">
      <w:rPr>
        <w:rFonts w:ascii="Times New Roman" w:hAnsi="Times New Roman"/>
        <w:i/>
        <w:sz w:val="22"/>
      </w:rPr>
      <w:tab/>
    </w:r>
    <w:proofErr w:type="spellStart"/>
    <w:r w:rsidRPr="00444714">
      <w:rPr>
        <w:rFonts w:ascii="Times New Roman" w:hAnsi="Times New Roman"/>
        <w:i/>
        <w:sz w:val="22"/>
      </w:rPr>
      <w:t>Gageler</w:t>
    </w:r>
    <w:proofErr w:type="spellEnd"/>
    <w:r w:rsidRPr="00444714">
      <w:rPr>
        <w:rFonts w:ascii="Times New Roman" w:hAnsi="Times New Roman"/>
        <w:i/>
        <w:sz w:val="22"/>
      </w:rPr>
      <w:tab/>
      <w:t>J</w:t>
    </w:r>
  </w:p>
  <w:p w14:paraId="4269407A" w14:textId="77777777" w:rsidR="000B5E2B" w:rsidRPr="00444714" w:rsidRDefault="000B5E2B" w:rsidP="00444714">
    <w:pPr>
      <w:pStyle w:val="Header"/>
      <w:tabs>
        <w:tab w:val="clear" w:pos="4153"/>
        <w:tab w:val="clear" w:pos="8306"/>
        <w:tab w:val="left" w:pos="7200"/>
        <w:tab w:val="right" w:pos="8504"/>
      </w:tabs>
      <w:spacing w:line="280" w:lineRule="exact"/>
      <w:jc w:val="right"/>
      <w:rPr>
        <w:rFonts w:ascii="Times New Roman" w:hAnsi="Times New Roman"/>
        <w:i/>
        <w:sz w:val="22"/>
      </w:rPr>
    </w:pPr>
    <w:r w:rsidRPr="00444714">
      <w:rPr>
        <w:rFonts w:ascii="Times New Roman" w:hAnsi="Times New Roman"/>
        <w:i/>
        <w:sz w:val="22"/>
      </w:rPr>
      <w:tab/>
      <w:t>Gordon</w:t>
    </w:r>
    <w:r w:rsidRPr="00444714">
      <w:rPr>
        <w:rFonts w:ascii="Times New Roman" w:hAnsi="Times New Roman"/>
        <w:i/>
        <w:sz w:val="22"/>
      </w:rPr>
      <w:tab/>
      <w:t>J</w:t>
    </w:r>
  </w:p>
  <w:p w14:paraId="5ADB68AD" w14:textId="77777777" w:rsidR="000B5E2B" w:rsidRPr="00444714" w:rsidRDefault="000B5E2B" w:rsidP="00444714">
    <w:pPr>
      <w:pStyle w:val="Header"/>
      <w:tabs>
        <w:tab w:val="clear" w:pos="4153"/>
        <w:tab w:val="clear" w:pos="8306"/>
        <w:tab w:val="left" w:pos="7200"/>
        <w:tab w:val="right" w:pos="8504"/>
      </w:tabs>
      <w:spacing w:line="280" w:lineRule="exact"/>
      <w:jc w:val="right"/>
      <w:rPr>
        <w:rFonts w:ascii="Times New Roman" w:hAnsi="Times New Roman"/>
        <w:i/>
        <w:sz w:val="22"/>
      </w:rPr>
    </w:pPr>
    <w:r w:rsidRPr="00444714">
      <w:rPr>
        <w:rFonts w:ascii="Times New Roman" w:hAnsi="Times New Roman"/>
        <w:i/>
        <w:sz w:val="22"/>
      </w:rPr>
      <w:tab/>
      <w:t>Steward</w:t>
    </w:r>
    <w:r w:rsidRPr="00444714">
      <w:rPr>
        <w:rFonts w:ascii="Times New Roman" w:hAnsi="Times New Roman"/>
        <w:i/>
        <w:sz w:val="22"/>
      </w:rPr>
      <w:tab/>
      <w:t>J</w:t>
    </w:r>
  </w:p>
  <w:p w14:paraId="2E4BA551" w14:textId="77777777" w:rsidR="000B5E2B" w:rsidRDefault="000B5E2B" w:rsidP="0044471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711E08E" w14:textId="77777777" w:rsidR="000B5E2B" w:rsidRDefault="000B5E2B" w:rsidP="00444714">
    <w:pPr>
      <w:pStyle w:val="Header"/>
      <w:tabs>
        <w:tab w:val="clear" w:pos="4153"/>
        <w:tab w:val="clear" w:pos="8306"/>
        <w:tab w:val="left" w:pos="7200"/>
        <w:tab w:val="right" w:pos="8504"/>
      </w:tabs>
      <w:spacing w:line="280" w:lineRule="exact"/>
      <w:jc w:val="right"/>
      <w:rPr>
        <w:rFonts w:ascii="Times New Roman" w:hAnsi="Times New Roman"/>
        <w:i/>
        <w:sz w:val="22"/>
      </w:rPr>
    </w:pPr>
  </w:p>
  <w:p w14:paraId="73E0700A" w14:textId="77777777" w:rsidR="000B5E2B" w:rsidRDefault="000B5E2B" w:rsidP="0044471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4372247" w14:textId="77777777" w:rsidR="000B5E2B" w:rsidRPr="00444714" w:rsidRDefault="000B5E2B" w:rsidP="0044471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7202" w14:textId="77777777" w:rsidR="000B5E2B" w:rsidRDefault="000B5E2B" w:rsidP="00444714">
    <w:pPr>
      <w:pStyle w:val="Header"/>
      <w:tabs>
        <w:tab w:val="clear" w:pos="4153"/>
        <w:tab w:val="clear" w:pos="8306"/>
        <w:tab w:val="center" w:pos="1134"/>
      </w:tabs>
      <w:spacing w:line="280" w:lineRule="exact"/>
      <w:ind w:firstLine="0"/>
      <w:rPr>
        <w:rFonts w:ascii="Times New Roman" w:hAnsi="Times New Roman"/>
        <w:i/>
        <w:sz w:val="22"/>
      </w:rPr>
    </w:pPr>
  </w:p>
  <w:p w14:paraId="2998B2E2" w14:textId="77777777" w:rsidR="000B5E2B" w:rsidRDefault="000B5E2B" w:rsidP="00444714">
    <w:pPr>
      <w:pStyle w:val="Header"/>
      <w:tabs>
        <w:tab w:val="clear" w:pos="4153"/>
        <w:tab w:val="clear" w:pos="8306"/>
        <w:tab w:val="center" w:pos="1134"/>
      </w:tabs>
      <w:spacing w:line="280" w:lineRule="exact"/>
      <w:ind w:firstLine="0"/>
      <w:rPr>
        <w:rFonts w:ascii="Times New Roman" w:hAnsi="Times New Roman"/>
        <w:i/>
        <w:sz w:val="22"/>
      </w:rPr>
    </w:pPr>
  </w:p>
  <w:p w14:paraId="62136131" w14:textId="77777777" w:rsidR="000B5E2B" w:rsidRDefault="000B5E2B" w:rsidP="00444714">
    <w:pPr>
      <w:pStyle w:val="Header"/>
      <w:tabs>
        <w:tab w:val="clear" w:pos="4153"/>
        <w:tab w:val="clear" w:pos="8306"/>
        <w:tab w:val="center" w:pos="1134"/>
      </w:tabs>
      <w:spacing w:line="280" w:lineRule="exact"/>
      <w:ind w:firstLine="0"/>
      <w:rPr>
        <w:rFonts w:ascii="Times New Roman" w:hAnsi="Times New Roman"/>
        <w:i/>
        <w:sz w:val="22"/>
      </w:rPr>
    </w:pPr>
  </w:p>
  <w:p w14:paraId="1C846D85" w14:textId="77777777" w:rsidR="000B5E2B" w:rsidRDefault="000B5E2B" w:rsidP="00444714">
    <w:pPr>
      <w:pStyle w:val="Header"/>
      <w:tabs>
        <w:tab w:val="clear" w:pos="4153"/>
        <w:tab w:val="clear" w:pos="8306"/>
        <w:tab w:val="center" w:pos="1134"/>
      </w:tabs>
      <w:spacing w:line="280" w:lineRule="exact"/>
      <w:ind w:firstLine="0"/>
      <w:rPr>
        <w:rFonts w:ascii="Times New Roman" w:hAnsi="Times New Roman"/>
        <w:i/>
        <w:sz w:val="22"/>
      </w:rPr>
    </w:pPr>
  </w:p>
  <w:p w14:paraId="1F6A3D31" w14:textId="77777777" w:rsidR="000B5E2B" w:rsidRDefault="000B5E2B" w:rsidP="00444714">
    <w:pPr>
      <w:pStyle w:val="Header"/>
      <w:tabs>
        <w:tab w:val="clear" w:pos="4153"/>
        <w:tab w:val="clear" w:pos="8306"/>
        <w:tab w:val="center" w:pos="1134"/>
      </w:tabs>
      <w:spacing w:line="280" w:lineRule="exact"/>
      <w:ind w:firstLine="0"/>
      <w:rPr>
        <w:rFonts w:ascii="Times New Roman" w:hAnsi="Times New Roman"/>
        <w:i/>
        <w:sz w:val="22"/>
      </w:rPr>
    </w:pPr>
  </w:p>
  <w:p w14:paraId="49BA4B47" w14:textId="77777777" w:rsidR="000B5E2B" w:rsidRDefault="000B5E2B" w:rsidP="00444714">
    <w:pPr>
      <w:pStyle w:val="Header"/>
      <w:tabs>
        <w:tab w:val="clear" w:pos="4153"/>
        <w:tab w:val="clear" w:pos="8306"/>
        <w:tab w:val="center" w:pos="1134"/>
      </w:tabs>
      <w:spacing w:line="280" w:lineRule="exact"/>
      <w:ind w:firstLine="0"/>
      <w:rPr>
        <w:rFonts w:ascii="Times New Roman" w:hAnsi="Times New Roman"/>
        <w:i/>
        <w:sz w:val="22"/>
      </w:rPr>
    </w:pPr>
  </w:p>
  <w:p w14:paraId="0AE6D1C4" w14:textId="77777777" w:rsidR="000B5E2B" w:rsidRPr="00444714" w:rsidRDefault="000B5E2B" w:rsidP="0044471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ED11" w14:textId="77777777" w:rsidR="00642F64" w:rsidRDefault="00AE3BDE" w:rsidP="00642F6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BF57D11" w14:textId="77777777" w:rsidR="00642F64" w:rsidRDefault="00642F64" w:rsidP="00642F64">
    <w:pPr>
      <w:pStyle w:val="Header"/>
      <w:tabs>
        <w:tab w:val="clear" w:pos="4153"/>
        <w:tab w:val="clear" w:pos="8306"/>
        <w:tab w:val="right" w:pos="1304"/>
      </w:tabs>
      <w:spacing w:line="280" w:lineRule="exact"/>
      <w:ind w:firstLine="0"/>
      <w:rPr>
        <w:rFonts w:ascii="Times New Roman" w:hAnsi="Times New Roman"/>
        <w:i/>
        <w:sz w:val="22"/>
      </w:rPr>
    </w:pPr>
  </w:p>
  <w:p w14:paraId="73CBD17C" w14:textId="77777777" w:rsidR="00642F64" w:rsidRDefault="00AE3BDE" w:rsidP="00642F6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D3079DB" w14:textId="77777777" w:rsidR="00642F64" w:rsidRPr="00B52C12" w:rsidRDefault="00642F64" w:rsidP="00642F6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9D52" w14:textId="77777777" w:rsidR="00642F64" w:rsidRDefault="00AE3BDE" w:rsidP="00642F6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587F9FA" w14:textId="77777777" w:rsidR="00642F64" w:rsidRDefault="00642F64" w:rsidP="00642F64">
    <w:pPr>
      <w:pStyle w:val="Header"/>
      <w:tabs>
        <w:tab w:val="clear" w:pos="4153"/>
        <w:tab w:val="clear" w:pos="8306"/>
        <w:tab w:val="left" w:pos="7200"/>
        <w:tab w:val="right" w:pos="8504"/>
      </w:tabs>
      <w:spacing w:line="280" w:lineRule="exact"/>
      <w:jc w:val="right"/>
      <w:rPr>
        <w:rFonts w:ascii="Times New Roman" w:hAnsi="Times New Roman"/>
        <w:i/>
        <w:sz w:val="22"/>
      </w:rPr>
    </w:pPr>
  </w:p>
  <w:p w14:paraId="3C8DC596" w14:textId="77777777" w:rsidR="00642F64" w:rsidRDefault="00AE3BDE" w:rsidP="00642F6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5E1D633" w14:textId="77777777" w:rsidR="00642F64" w:rsidRPr="00B52C12" w:rsidRDefault="00642F64" w:rsidP="00642F6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CFB3" w14:textId="77777777" w:rsidR="00642F64" w:rsidRDefault="00642F64" w:rsidP="00642F64">
    <w:pPr>
      <w:pStyle w:val="Header"/>
      <w:tabs>
        <w:tab w:val="clear" w:pos="4153"/>
        <w:tab w:val="clear" w:pos="8306"/>
        <w:tab w:val="center" w:pos="1134"/>
      </w:tabs>
      <w:spacing w:line="280" w:lineRule="exact"/>
      <w:ind w:firstLine="0"/>
      <w:rPr>
        <w:rFonts w:ascii="Times New Roman" w:hAnsi="Times New Roman"/>
        <w:i/>
        <w:sz w:val="22"/>
      </w:rPr>
    </w:pPr>
  </w:p>
  <w:p w14:paraId="7598D54C" w14:textId="77777777" w:rsidR="00642F64" w:rsidRDefault="00642F64" w:rsidP="00642F64">
    <w:pPr>
      <w:pStyle w:val="Header"/>
      <w:tabs>
        <w:tab w:val="clear" w:pos="4153"/>
        <w:tab w:val="clear" w:pos="8306"/>
        <w:tab w:val="center" w:pos="1134"/>
      </w:tabs>
      <w:spacing w:line="280" w:lineRule="exact"/>
      <w:ind w:firstLine="0"/>
      <w:rPr>
        <w:rFonts w:ascii="Times New Roman" w:hAnsi="Times New Roman"/>
        <w:i/>
        <w:sz w:val="22"/>
      </w:rPr>
    </w:pPr>
  </w:p>
  <w:p w14:paraId="033BCB8F" w14:textId="77777777" w:rsidR="00642F64" w:rsidRDefault="00642F64" w:rsidP="00642F64">
    <w:pPr>
      <w:pStyle w:val="Header"/>
      <w:tabs>
        <w:tab w:val="clear" w:pos="4153"/>
        <w:tab w:val="clear" w:pos="8306"/>
        <w:tab w:val="center" w:pos="1134"/>
      </w:tabs>
      <w:spacing w:line="280" w:lineRule="exact"/>
      <w:ind w:firstLine="0"/>
      <w:rPr>
        <w:rFonts w:ascii="Times New Roman" w:hAnsi="Times New Roman"/>
        <w:i/>
        <w:sz w:val="22"/>
      </w:rPr>
    </w:pPr>
  </w:p>
  <w:p w14:paraId="27FCE5AC" w14:textId="77777777" w:rsidR="00642F64" w:rsidRPr="00B52C12" w:rsidRDefault="00642F64" w:rsidP="00642F6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AC84F906"/>
    <w:lvl w:ilvl="0">
      <w:start w:val="1"/>
      <w:numFmt w:val="upperLetter"/>
      <w:lvlText w:val="%1"/>
      <w:lvlJc w:val="left"/>
      <w:pPr>
        <w:ind w:left="720" w:hanging="720"/>
      </w:pPr>
      <w:rPr>
        <w:rFonts w:hint="default"/>
        <w:b/>
        <w:i w:val="0"/>
      </w:rPr>
    </w:lvl>
    <w:lvl w:ilvl="1">
      <w:start w:val="1"/>
      <w:numFmt w:val="decimal"/>
      <w:lvlRestart w:val="0"/>
      <w:lvlText w:val="%2"/>
      <w:lvlJc w:val="left"/>
      <w:pPr>
        <w:ind w:left="2564"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8"/>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86"/>
    <w:rsid w:val="000002D2"/>
    <w:rsid w:val="000003A6"/>
    <w:rsid w:val="00000738"/>
    <w:rsid w:val="0000141C"/>
    <w:rsid w:val="000014AE"/>
    <w:rsid w:val="00002069"/>
    <w:rsid w:val="00002C67"/>
    <w:rsid w:val="00002CE6"/>
    <w:rsid w:val="0000316A"/>
    <w:rsid w:val="000031C5"/>
    <w:rsid w:val="00003F08"/>
    <w:rsid w:val="000046B9"/>
    <w:rsid w:val="000049B7"/>
    <w:rsid w:val="000049FE"/>
    <w:rsid w:val="00004B03"/>
    <w:rsid w:val="00005357"/>
    <w:rsid w:val="00005516"/>
    <w:rsid w:val="000055A2"/>
    <w:rsid w:val="000058A8"/>
    <w:rsid w:val="00005B23"/>
    <w:rsid w:val="00005FD8"/>
    <w:rsid w:val="0000643A"/>
    <w:rsid w:val="0000644F"/>
    <w:rsid w:val="00006651"/>
    <w:rsid w:val="00006699"/>
    <w:rsid w:val="000074E6"/>
    <w:rsid w:val="00010321"/>
    <w:rsid w:val="00010495"/>
    <w:rsid w:val="00010871"/>
    <w:rsid w:val="000116F9"/>
    <w:rsid w:val="00011CD6"/>
    <w:rsid w:val="00011F4B"/>
    <w:rsid w:val="00012341"/>
    <w:rsid w:val="0001292B"/>
    <w:rsid w:val="000129A3"/>
    <w:rsid w:val="00013A1D"/>
    <w:rsid w:val="00013D94"/>
    <w:rsid w:val="00014B34"/>
    <w:rsid w:val="00014C39"/>
    <w:rsid w:val="00014D16"/>
    <w:rsid w:val="0001592F"/>
    <w:rsid w:val="00015E76"/>
    <w:rsid w:val="000161D1"/>
    <w:rsid w:val="0001630B"/>
    <w:rsid w:val="000164EA"/>
    <w:rsid w:val="00016771"/>
    <w:rsid w:val="000168C9"/>
    <w:rsid w:val="000169B0"/>
    <w:rsid w:val="00016C20"/>
    <w:rsid w:val="00016DBB"/>
    <w:rsid w:val="00017126"/>
    <w:rsid w:val="00017144"/>
    <w:rsid w:val="0001740E"/>
    <w:rsid w:val="00017B62"/>
    <w:rsid w:val="00017B77"/>
    <w:rsid w:val="0002010F"/>
    <w:rsid w:val="00020C70"/>
    <w:rsid w:val="000212DB"/>
    <w:rsid w:val="000215D8"/>
    <w:rsid w:val="00021807"/>
    <w:rsid w:val="0002256B"/>
    <w:rsid w:val="00022DEB"/>
    <w:rsid w:val="00023208"/>
    <w:rsid w:val="00023934"/>
    <w:rsid w:val="00023A96"/>
    <w:rsid w:val="000250AF"/>
    <w:rsid w:val="000251D2"/>
    <w:rsid w:val="00025490"/>
    <w:rsid w:val="0002561E"/>
    <w:rsid w:val="00025C4D"/>
    <w:rsid w:val="000268E1"/>
    <w:rsid w:val="00026D3A"/>
    <w:rsid w:val="00026E5C"/>
    <w:rsid w:val="00027235"/>
    <w:rsid w:val="00027E17"/>
    <w:rsid w:val="000301C9"/>
    <w:rsid w:val="00030AC6"/>
    <w:rsid w:val="00030D45"/>
    <w:rsid w:val="0003110C"/>
    <w:rsid w:val="000311AB"/>
    <w:rsid w:val="00031902"/>
    <w:rsid w:val="0003260D"/>
    <w:rsid w:val="00032852"/>
    <w:rsid w:val="00033315"/>
    <w:rsid w:val="00033353"/>
    <w:rsid w:val="0003371F"/>
    <w:rsid w:val="00034669"/>
    <w:rsid w:val="000350C3"/>
    <w:rsid w:val="00035620"/>
    <w:rsid w:val="0003575A"/>
    <w:rsid w:val="00035FFE"/>
    <w:rsid w:val="000360EB"/>
    <w:rsid w:val="0003719D"/>
    <w:rsid w:val="000371BC"/>
    <w:rsid w:val="00037A5F"/>
    <w:rsid w:val="00037A89"/>
    <w:rsid w:val="00037D87"/>
    <w:rsid w:val="00037E76"/>
    <w:rsid w:val="0004071D"/>
    <w:rsid w:val="00040939"/>
    <w:rsid w:val="00040C21"/>
    <w:rsid w:val="00040D59"/>
    <w:rsid w:val="000410F4"/>
    <w:rsid w:val="00041242"/>
    <w:rsid w:val="0004167A"/>
    <w:rsid w:val="0004221D"/>
    <w:rsid w:val="00042E09"/>
    <w:rsid w:val="00043D2C"/>
    <w:rsid w:val="00043EE6"/>
    <w:rsid w:val="00044B02"/>
    <w:rsid w:val="00044C81"/>
    <w:rsid w:val="0004565B"/>
    <w:rsid w:val="00045E33"/>
    <w:rsid w:val="00046812"/>
    <w:rsid w:val="00046BED"/>
    <w:rsid w:val="000470C1"/>
    <w:rsid w:val="000500BA"/>
    <w:rsid w:val="0005224A"/>
    <w:rsid w:val="00053461"/>
    <w:rsid w:val="00053703"/>
    <w:rsid w:val="000537BA"/>
    <w:rsid w:val="00055816"/>
    <w:rsid w:val="00055ACD"/>
    <w:rsid w:val="00055C15"/>
    <w:rsid w:val="00056255"/>
    <w:rsid w:val="000565F9"/>
    <w:rsid w:val="00056F27"/>
    <w:rsid w:val="000573AF"/>
    <w:rsid w:val="00060554"/>
    <w:rsid w:val="0006066B"/>
    <w:rsid w:val="00060775"/>
    <w:rsid w:val="00061410"/>
    <w:rsid w:val="0006169E"/>
    <w:rsid w:val="00062457"/>
    <w:rsid w:val="000626FD"/>
    <w:rsid w:val="0006303E"/>
    <w:rsid w:val="00063051"/>
    <w:rsid w:val="00063487"/>
    <w:rsid w:val="000639DF"/>
    <w:rsid w:val="0006432B"/>
    <w:rsid w:val="00064AEF"/>
    <w:rsid w:val="000652EE"/>
    <w:rsid w:val="000653D4"/>
    <w:rsid w:val="0006573F"/>
    <w:rsid w:val="00065821"/>
    <w:rsid w:val="00065B08"/>
    <w:rsid w:val="00066EB0"/>
    <w:rsid w:val="0006787D"/>
    <w:rsid w:val="0007046A"/>
    <w:rsid w:val="000704F5"/>
    <w:rsid w:val="000706A3"/>
    <w:rsid w:val="00071C35"/>
    <w:rsid w:val="00071FC8"/>
    <w:rsid w:val="00073118"/>
    <w:rsid w:val="00073248"/>
    <w:rsid w:val="00073714"/>
    <w:rsid w:val="00073F5C"/>
    <w:rsid w:val="00074748"/>
    <w:rsid w:val="00074B59"/>
    <w:rsid w:val="00074B66"/>
    <w:rsid w:val="00074C3F"/>
    <w:rsid w:val="00075074"/>
    <w:rsid w:val="00075195"/>
    <w:rsid w:val="000754B5"/>
    <w:rsid w:val="00075F50"/>
    <w:rsid w:val="000764CF"/>
    <w:rsid w:val="00076511"/>
    <w:rsid w:val="00076BD7"/>
    <w:rsid w:val="00076FED"/>
    <w:rsid w:val="000772EC"/>
    <w:rsid w:val="00077E8E"/>
    <w:rsid w:val="00080908"/>
    <w:rsid w:val="00080943"/>
    <w:rsid w:val="00080D50"/>
    <w:rsid w:val="00080D77"/>
    <w:rsid w:val="00080FEB"/>
    <w:rsid w:val="00081E4A"/>
    <w:rsid w:val="00082A4B"/>
    <w:rsid w:val="000836FE"/>
    <w:rsid w:val="00083D50"/>
    <w:rsid w:val="00083E26"/>
    <w:rsid w:val="0008435D"/>
    <w:rsid w:val="000849CD"/>
    <w:rsid w:val="00084C47"/>
    <w:rsid w:val="00084FC2"/>
    <w:rsid w:val="0008558C"/>
    <w:rsid w:val="00085F13"/>
    <w:rsid w:val="00086430"/>
    <w:rsid w:val="0008685D"/>
    <w:rsid w:val="00086D9C"/>
    <w:rsid w:val="0008727A"/>
    <w:rsid w:val="00087397"/>
    <w:rsid w:val="000876FB"/>
    <w:rsid w:val="0008786E"/>
    <w:rsid w:val="000903C1"/>
    <w:rsid w:val="00090C16"/>
    <w:rsid w:val="000917A6"/>
    <w:rsid w:val="00091F45"/>
    <w:rsid w:val="00091F6B"/>
    <w:rsid w:val="00092A15"/>
    <w:rsid w:val="00092A16"/>
    <w:rsid w:val="00094B88"/>
    <w:rsid w:val="00094EBA"/>
    <w:rsid w:val="0009575F"/>
    <w:rsid w:val="000958ED"/>
    <w:rsid w:val="0009648D"/>
    <w:rsid w:val="000971F2"/>
    <w:rsid w:val="00097789"/>
    <w:rsid w:val="000A0347"/>
    <w:rsid w:val="000A0618"/>
    <w:rsid w:val="000A11C4"/>
    <w:rsid w:val="000A28D4"/>
    <w:rsid w:val="000A2EB4"/>
    <w:rsid w:val="000A374F"/>
    <w:rsid w:val="000A3DA3"/>
    <w:rsid w:val="000A3E99"/>
    <w:rsid w:val="000A413F"/>
    <w:rsid w:val="000A4CFB"/>
    <w:rsid w:val="000A6196"/>
    <w:rsid w:val="000A63C6"/>
    <w:rsid w:val="000A735F"/>
    <w:rsid w:val="000A7471"/>
    <w:rsid w:val="000A7F82"/>
    <w:rsid w:val="000B075B"/>
    <w:rsid w:val="000B1158"/>
    <w:rsid w:val="000B164E"/>
    <w:rsid w:val="000B17C6"/>
    <w:rsid w:val="000B24FA"/>
    <w:rsid w:val="000B28D4"/>
    <w:rsid w:val="000B2C7A"/>
    <w:rsid w:val="000B324D"/>
    <w:rsid w:val="000B3467"/>
    <w:rsid w:val="000B3E73"/>
    <w:rsid w:val="000B4323"/>
    <w:rsid w:val="000B45F3"/>
    <w:rsid w:val="000B4630"/>
    <w:rsid w:val="000B497F"/>
    <w:rsid w:val="000B4A3B"/>
    <w:rsid w:val="000B5288"/>
    <w:rsid w:val="000B5CFA"/>
    <w:rsid w:val="000B5E2B"/>
    <w:rsid w:val="000B6FF2"/>
    <w:rsid w:val="000B710D"/>
    <w:rsid w:val="000B711C"/>
    <w:rsid w:val="000B72BE"/>
    <w:rsid w:val="000B7558"/>
    <w:rsid w:val="000B7677"/>
    <w:rsid w:val="000B76F9"/>
    <w:rsid w:val="000B7CE5"/>
    <w:rsid w:val="000C014F"/>
    <w:rsid w:val="000C04DC"/>
    <w:rsid w:val="000C0D98"/>
    <w:rsid w:val="000C0F4E"/>
    <w:rsid w:val="000C13EB"/>
    <w:rsid w:val="000C153A"/>
    <w:rsid w:val="000C1DF2"/>
    <w:rsid w:val="000C23BD"/>
    <w:rsid w:val="000C2628"/>
    <w:rsid w:val="000C428D"/>
    <w:rsid w:val="000C4F6F"/>
    <w:rsid w:val="000C5DCC"/>
    <w:rsid w:val="000C632F"/>
    <w:rsid w:val="000C6C5E"/>
    <w:rsid w:val="000C727D"/>
    <w:rsid w:val="000C7821"/>
    <w:rsid w:val="000C7A4B"/>
    <w:rsid w:val="000D08E8"/>
    <w:rsid w:val="000D0A6C"/>
    <w:rsid w:val="000D0B24"/>
    <w:rsid w:val="000D0D3A"/>
    <w:rsid w:val="000D0F6F"/>
    <w:rsid w:val="000D12EC"/>
    <w:rsid w:val="000D25E6"/>
    <w:rsid w:val="000D28A1"/>
    <w:rsid w:val="000D2F49"/>
    <w:rsid w:val="000D368B"/>
    <w:rsid w:val="000D39BB"/>
    <w:rsid w:val="000D40E8"/>
    <w:rsid w:val="000D41DF"/>
    <w:rsid w:val="000D4A0C"/>
    <w:rsid w:val="000D4B35"/>
    <w:rsid w:val="000D5B6F"/>
    <w:rsid w:val="000D6BFE"/>
    <w:rsid w:val="000D7018"/>
    <w:rsid w:val="000D72A1"/>
    <w:rsid w:val="000E0205"/>
    <w:rsid w:val="000E1FCD"/>
    <w:rsid w:val="000E22CD"/>
    <w:rsid w:val="000E2639"/>
    <w:rsid w:val="000E27FD"/>
    <w:rsid w:val="000E2A63"/>
    <w:rsid w:val="000E2D54"/>
    <w:rsid w:val="000E3895"/>
    <w:rsid w:val="000E4273"/>
    <w:rsid w:val="000E479A"/>
    <w:rsid w:val="000E4A4A"/>
    <w:rsid w:val="000E52D5"/>
    <w:rsid w:val="000E5BFF"/>
    <w:rsid w:val="000E5F60"/>
    <w:rsid w:val="000E6263"/>
    <w:rsid w:val="000E65F7"/>
    <w:rsid w:val="000E682A"/>
    <w:rsid w:val="000E7630"/>
    <w:rsid w:val="000F1345"/>
    <w:rsid w:val="000F1ADB"/>
    <w:rsid w:val="000F1EC7"/>
    <w:rsid w:val="000F1F95"/>
    <w:rsid w:val="000F27E8"/>
    <w:rsid w:val="000F280F"/>
    <w:rsid w:val="000F28FF"/>
    <w:rsid w:val="000F31EF"/>
    <w:rsid w:val="000F35E0"/>
    <w:rsid w:val="000F4360"/>
    <w:rsid w:val="000F43D0"/>
    <w:rsid w:val="000F480A"/>
    <w:rsid w:val="000F4955"/>
    <w:rsid w:val="000F4ED6"/>
    <w:rsid w:val="000F500E"/>
    <w:rsid w:val="000F51A1"/>
    <w:rsid w:val="000F524F"/>
    <w:rsid w:val="000F626D"/>
    <w:rsid w:val="000F6A34"/>
    <w:rsid w:val="000F773D"/>
    <w:rsid w:val="001001B9"/>
    <w:rsid w:val="00100771"/>
    <w:rsid w:val="00100F1C"/>
    <w:rsid w:val="00102254"/>
    <w:rsid w:val="001024F9"/>
    <w:rsid w:val="0010368C"/>
    <w:rsid w:val="00103974"/>
    <w:rsid w:val="00103E61"/>
    <w:rsid w:val="0010435E"/>
    <w:rsid w:val="00104ABB"/>
    <w:rsid w:val="001052BE"/>
    <w:rsid w:val="00105503"/>
    <w:rsid w:val="0010575E"/>
    <w:rsid w:val="00106004"/>
    <w:rsid w:val="001060CB"/>
    <w:rsid w:val="00106747"/>
    <w:rsid w:val="00106B07"/>
    <w:rsid w:val="00106DC8"/>
    <w:rsid w:val="00106EF1"/>
    <w:rsid w:val="0010702C"/>
    <w:rsid w:val="00107A94"/>
    <w:rsid w:val="00110327"/>
    <w:rsid w:val="00110691"/>
    <w:rsid w:val="00110970"/>
    <w:rsid w:val="00110994"/>
    <w:rsid w:val="00111390"/>
    <w:rsid w:val="00111568"/>
    <w:rsid w:val="00111571"/>
    <w:rsid w:val="00111A4B"/>
    <w:rsid w:val="00111FB1"/>
    <w:rsid w:val="001120C0"/>
    <w:rsid w:val="00112204"/>
    <w:rsid w:val="001129D7"/>
    <w:rsid w:val="00113D1D"/>
    <w:rsid w:val="001149FF"/>
    <w:rsid w:val="00114F32"/>
    <w:rsid w:val="00115099"/>
    <w:rsid w:val="001150BF"/>
    <w:rsid w:val="001152F6"/>
    <w:rsid w:val="00115A4A"/>
    <w:rsid w:val="00115EB0"/>
    <w:rsid w:val="001160D3"/>
    <w:rsid w:val="0011615D"/>
    <w:rsid w:val="001168F2"/>
    <w:rsid w:val="00116BA8"/>
    <w:rsid w:val="00116EFA"/>
    <w:rsid w:val="001176DD"/>
    <w:rsid w:val="00120207"/>
    <w:rsid w:val="0012022C"/>
    <w:rsid w:val="0012023A"/>
    <w:rsid w:val="00120C8F"/>
    <w:rsid w:val="0012151A"/>
    <w:rsid w:val="001223E7"/>
    <w:rsid w:val="001228B0"/>
    <w:rsid w:val="001229B3"/>
    <w:rsid w:val="00123316"/>
    <w:rsid w:val="00123843"/>
    <w:rsid w:val="00123C1B"/>
    <w:rsid w:val="001242F9"/>
    <w:rsid w:val="00124372"/>
    <w:rsid w:val="00125A0A"/>
    <w:rsid w:val="00125AA6"/>
    <w:rsid w:val="00125E3C"/>
    <w:rsid w:val="0012729F"/>
    <w:rsid w:val="001274DC"/>
    <w:rsid w:val="0012752F"/>
    <w:rsid w:val="00127B23"/>
    <w:rsid w:val="00130E02"/>
    <w:rsid w:val="001313C2"/>
    <w:rsid w:val="00131969"/>
    <w:rsid w:val="00131D0E"/>
    <w:rsid w:val="00132845"/>
    <w:rsid w:val="00132B23"/>
    <w:rsid w:val="00133147"/>
    <w:rsid w:val="00133736"/>
    <w:rsid w:val="00133E7E"/>
    <w:rsid w:val="00133EDE"/>
    <w:rsid w:val="0013456F"/>
    <w:rsid w:val="001347B8"/>
    <w:rsid w:val="001350C4"/>
    <w:rsid w:val="0013535D"/>
    <w:rsid w:val="0013541A"/>
    <w:rsid w:val="00135988"/>
    <w:rsid w:val="00135DCD"/>
    <w:rsid w:val="00135EC5"/>
    <w:rsid w:val="00135ECE"/>
    <w:rsid w:val="00136F22"/>
    <w:rsid w:val="0013770D"/>
    <w:rsid w:val="0013796B"/>
    <w:rsid w:val="00137CE5"/>
    <w:rsid w:val="00137D93"/>
    <w:rsid w:val="00137E06"/>
    <w:rsid w:val="00137F1C"/>
    <w:rsid w:val="001404FB"/>
    <w:rsid w:val="001406C8"/>
    <w:rsid w:val="00140965"/>
    <w:rsid w:val="00140C93"/>
    <w:rsid w:val="00140EF4"/>
    <w:rsid w:val="00141480"/>
    <w:rsid w:val="001418DB"/>
    <w:rsid w:val="00142072"/>
    <w:rsid w:val="00142A7A"/>
    <w:rsid w:val="00142D04"/>
    <w:rsid w:val="00143519"/>
    <w:rsid w:val="0014379D"/>
    <w:rsid w:val="00143FCB"/>
    <w:rsid w:val="00144C24"/>
    <w:rsid w:val="00145416"/>
    <w:rsid w:val="00145447"/>
    <w:rsid w:val="0014545E"/>
    <w:rsid w:val="00145627"/>
    <w:rsid w:val="00145B61"/>
    <w:rsid w:val="00146657"/>
    <w:rsid w:val="00146A41"/>
    <w:rsid w:val="001479E2"/>
    <w:rsid w:val="00147C11"/>
    <w:rsid w:val="00151679"/>
    <w:rsid w:val="00151DBE"/>
    <w:rsid w:val="00152866"/>
    <w:rsid w:val="0015318E"/>
    <w:rsid w:val="00153840"/>
    <w:rsid w:val="00156334"/>
    <w:rsid w:val="001600CD"/>
    <w:rsid w:val="00160BBA"/>
    <w:rsid w:val="001610DC"/>
    <w:rsid w:val="001615C9"/>
    <w:rsid w:val="001616EF"/>
    <w:rsid w:val="001618CE"/>
    <w:rsid w:val="0016209E"/>
    <w:rsid w:val="00162289"/>
    <w:rsid w:val="00162689"/>
    <w:rsid w:val="00162C9A"/>
    <w:rsid w:val="00162DBF"/>
    <w:rsid w:val="00162FE4"/>
    <w:rsid w:val="00163375"/>
    <w:rsid w:val="00163D92"/>
    <w:rsid w:val="00164144"/>
    <w:rsid w:val="00164309"/>
    <w:rsid w:val="0016519D"/>
    <w:rsid w:val="00165231"/>
    <w:rsid w:val="0016596E"/>
    <w:rsid w:val="00166365"/>
    <w:rsid w:val="00166836"/>
    <w:rsid w:val="00166B87"/>
    <w:rsid w:val="00166D1B"/>
    <w:rsid w:val="00166E4F"/>
    <w:rsid w:val="00166F08"/>
    <w:rsid w:val="001670EB"/>
    <w:rsid w:val="00167686"/>
    <w:rsid w:val="00167D66"/>
    <w:rsid w:val="00167E09"/>
    <w:rsid w:val="00170475"/>
    <w:rsid w:val="0017075E"/>
    <w:rsid w:val="0017134B"/>
    <w:rsid w:val="0017162B"/>
    <w:rsid w:val="001716AF"/>
    <w:rsid w:val="00171E92"/>
    <w:rsid w:val="00172ADE"/>
    <w:rsid w:val="00173124"/>
    <w:rsid w:val="001736F3"/>
    <w:rsid w:val="00174166"/>
    <w:rsid w:val="00174399"/>
    <w:rsid w:val="001743D5"/>
    <w:rsid w:val="00174C7E"/>
    <w:rsid w:val="00175703"/>
    <w:rsid w:val="001758DE"/>
    <w:rsid w:val="00175925"/>
    <w:rsid w:val="00176392"/>
    <w:rsid w:val="00176731"/>
    <w:rsid w:val="00176D25"/>
    <w:rsid w:val="00176E3D"/>
    <w:rsid w:val="00177077"/>
    <w:rsid w:val="00177120"/>
    <w:rsid w:val="00177368"/>
    <w:rsid w:val="00177FC7"/>
    <w:rsid w:val="001805EF"/>
    <w:rsid w:val="00180BAA"/>
    <w:rsid w:val="00181537"/>
    <w:rsid w:val="00181597"/>
    <w:rsid w:val="00181A94"/>
    <w:rsid w:val="00181ECA"/>
    <w:rsid w:val="0018201E"/>
    <w:rsid w:val="00182408"/>
    <w:rsid w:val="00182A3D"/>
    <w:rsid w:val="00182FDB"/>
    <w:rsid w:val="0018342E"/>
    <w:rsid w:val="00183BCC"/>
    <w:rsid w:val="00183DE4"/>
    <w:rsid w:val="001840C2"/>
    <w:rsid w:val="00184B46"/>
    <w:rsid w:val="0018557B"/>
    <w:rsid w:val="00185939"/>
    <w:rsid w:val="00185C83"/>
    <w:rsid w:val="001865B5"/>
    <w:rsid w:val="00186993"/>
    <w:rsid w:val="00186A7D"/>
    <w:rsid w:val="001876F6"/>
    <w:rsid w:val="00187836"/>
    <w:rsid w:val="001907F1"/>
    <w:rsid w:val="00191788"/>
    <w:rsid w:val="00191E23"/>
    <w:rsid w:val="001938DE"/>
    <w:rsid w:val="00193A5E"/>
    <w:rsid w:val="00193E75"/>
    <w:rsid w:val="001946DE"/>
    <w:rsid w:val="00194A5B"/>
    <w:rsid w:val="00194CDF"/>
    <w:rsid w:val="001953B1"/>
    <w:rsid w:val="001953B9"/>
    <w:rsid w:val="00195AA8"/>
    <w:rsid w:val="001963C0"/>
    <w:rsid w:val="00196808"/>
    <w:rsid w:val="00197763"/>
    <w:rsid w:val="00197956"/>
    <w:rsid w:val="001A02E2"/>
    <w:rsid w:val="001A0D1C"/>
    <w:rsid w:val="001A141A"/>
    <w:rsid w:val="001A1A81"/>
    <w:rsid w:val="001A1EF0"/>
    <w:rsid w:val="001A1FAA"/>
    <w:rsid w:val="001A25C0"/>
    <w:rsid w:val="001A2DAE"/>
    <w:rsid w:val="001A318B"/>
    <w:rsid w:val="001A34EE"/>
    <w:rsid w:val="001A355F"/>
    <w:rsid w:val="001A3784"/>
    <w:rsid w:val="001A3ACB"/>
    <w:rsid w:val="001A446E"/>
    <w:rsid w:val="001A51B8"/>
    <w:rsid w:val="001A5369"/>
    <w:rsid w:val="001A5606"/>
    <w:rsid w:val="001A633A"/>
    <w:rsid w:val="001A66A5"/>
    <w:rsid w:val="001A6BD2"/>
    <w:rsid w:val="001A6EB9"/>
    <w:rsid w:val="001A7FCB"/>
    <w:rsid w:val="001B0C60"/>
    <w:rsid w:val="001B131B"/>
    <w:rsid w:val="001B158F"/>
    <w:rsid w:val="001B16A8"/>
    <w:rsid w:val="001B1713"/>
    <w:rsid w:val="001B17A8"/>
    <w:rsid w:val="001B2A09"/>
    <w:rsid w:val="001B30C0"/>
    <w:rsid w:val="001B3261"/>
    <w:rsid w:val="001B3B4B"/>
    <w:rsid w:val="001B3D93"/>
    <w:rsid w:val="001B4557"/>
    <w:rsid w:val="001B4B7A"/>
    <w:rsid w:val="001B4F81"/>
    <w:rsid w:val="001B5017"/>
    <w:rsid w:val="001B52AE"/>
    <w:rsid w:val="001B59BE"/>
    <w:rsid w:val="001B59F9"/>
    <w:rsid w:val="001B5BB3"/>
    <w:rsid w:val="001B6068"/>
    <w:rsid w:val="001B60C6"/>
    <w:rsid w:val="001B63C6"/>
    <w:rsid w:val="001B6651"/>
    <w:rsid w:val="001B6B9E"/>
    <w:rsid w:val="001B6F5F"/>
    <w:rsid w:val="001B7356"/>
    <w:rsid w:val="001B7370"/>
    <w:rsid w:val="001B7EBD"/>
    <w:rsid w:val="001C209B"/>
    <w:rsid w:val="001C20ED"/>
    <w:rsid w:val="001C23AA"/>
    <w:rsid w:val="001C2C4C"/>
    <w:rsid w:val="001C323C"/>
    <w:rsid w:val="001C40DE"/>
    <w:rsid w:val="001C48D4"/>
    <w:rsid w:val="001C497C"/>
    <w:rsid w:val="001C50FA"/>
    <w:rsid w:val="001C54BB"/>
    <w:rsid w:val="001C6395"/>
    <w:rsid w:val="001C672B"/>
    <w:rsid w:val="001C69B1"/>
    <w:rsid w:val="001C7AE4"/>
    <w:rsid w:val="001C7B94"/>
    <w:rsid w:val="001C7C93"/>
    <w:rsid w:val="001D04EC"/>
    <w:rsid w:val="001D07FD"/>
    <w:rsid w:val="001D08FF"/>
    <w:rsid w:val="001D101A"/>
    <w:rsid w:val="001D1969"/>
    <w:rsid w:val="001D1A08"/>
    <w:rsid w:val="001D2CD1"/>
    <w:rsid w:val="001D2D50"/>
    <w:rsid w:val="001D36CD"/>
    <w:rsid w:val="001D3FD5"/>
    <w:rsid w:val="001D472C"/>
    <w:rsid w:val="001D48F2"/>
    <w:rsid w:val="001D490B"/>
    <w:rsid w:val="001D4A98"/>
    <w:rsid w:val="001D4F49"/>
    <w:rsid w:val="001D53F4"/>
    <w:rsid w:val="001D5E54"/>
    <w:rsid w:val="001D6037"/>
    <w:rsid w:val="001D7565"/>
    <w:rsid w:val="001D7982"/>
    <w:rsid w:val="001D7D02"/>
    <w:rsid w:val="001E00C0"/>
    <w:rsid w:val="001E0582"/>
    <w:rsid w:val="001E16AD"/>
    <w:rsid w:val="001E19B7"/>
    <w:rsid w:val="001E1D3D"/>
    <w:rsid w:val="001E2415"/>
    <w:rsid w:val="001E369C"/>
    <w:rsid w:val="001E37EE"/>
    <w:rsid w:val="001E387D"/>
    <w:rsid w:val="001E3B51"/>
    <w:rsid w:val="001E3E0D"/>
    <w:rsid w:val="001E4180"/>
    <w:rsid w:val="001E47D1"/>
    <w:rsid w:val="001E4F3D"/>
    <w:rsid w:val="001E64A9"/>
    <w:rsid w:val="001E68F6"/>
    <w:rsid w:val="001E6A64"/>
    <w:rsid w:val="001E743E"/>
    <w:rsid w:val="001E75C5"/>
    <w:rsid w:val="001E7697"/>
    <w:rsid w:val="001E7AFF"/>
    <w:rsid w:val="001F0905"/>
    <w:rsid w:val="001F0C1A"/>
    <w:rsid w:val="001F0E6F"/>
    <w:rsid w:val="001F1C5A"/>
    <w:rsid w:val="001F22A9"/>
    <w:rsid w:val="001F2823"/>
    <w:rsid w:val="001F3A3A"/>
    <w:rsid w:val="001F3C63"/>
    <w:rsid w:val="001F3E65"/>
    <w:rsid w:val="001F3F2A"/>
    <w:rsid w:val="001F429B"/>
    <w:rsid w:val="001F4421"/>
    <w:rsid w:val="001F4540"/>
    <w:rsid w:val="001F4648"/>
    <w:rsid w:val="001F48D3"/>
    <w:rsid w:val="001F52CC"/>
    <w:rsid w:val="001F565A"/>
    <w:rsid w:val="001F5869"/>
    <w:rsid w:val="001F5C8F"/>
    <w:rsid w:val="001F64C6"/>
    <w:rsid w:val="001F66C7"/>
    <w:rsid w:val="001F69C2"/>
    <w:rsid w:val="001F6A3E"/>
    <w:rsid w:val="001F6C59"/>
    <w:rsid w:val="001F7783"/>
    <w:rsid w:val="001F7895"/>
    <w:rsid w:val="0020029C"/>
    <w:rsid w:val="00200678"/>
    <w:rsid w:val="00201905"/>
    <w:rsid w:val="00201F4C"/>
    <w:rsid w:val="00202129"/>
    <w:rsid w:val="00204413"/>
    <w:rsid w:val="0020465E"/>
    <w:rsid w:val="002047F2"/>
    <w:rsid w:val="002048D1"/>
    <w:rsid w:val="00204BFD"/>
    <w:rsid w:val="00205368"/>
    <w:rsid w:val="00205622"/>
    <w:rsid w:val="00205711"/>
    <w:rsid w:val="0020636B"/>
    <w:rsid w:val="00207075"/>
    <w:rsid w:val="002070BD"/>
    <w:rsid w:val="00207543"/>
    <w:rsid w:val="00207803"/>
    <w:rsid w:val="002079CB"/>
    <w:rsid w:val="0021096E"/>
    <w:rsid w:val="00210DE8"/>
    <w:rsid w:val="00211064"/>
    <w:rsid w:val="00211D73"/>
    <w:rsid w:val="00211E51"/>
    <w:rsid w:val="00212A3E"/>
    <w:rsid w:val="002134C4"/>
    <w:rsid w:val="00214BF2"/>
    <w:rsid w:val="00215684"/>
    <w:rsid w:val="002158D3"/>
    <w:rsid w:val="00215A7F"/>
    <w:rsid w:val="00216522"/>
    <w:rsid w:val="00216BA3"/>
    <w:rsid w:val="00216D69"/>
    <w:rsid w:val="00217403"/>
    <w:rsid w:val="00217787"/>
    <w:rsid w:val="002207E9"/>
    <w:rsid w:val="00220937"/>
    <w:rsid w:val="00220CC9"/>
    <w:rsid w:val="0022149D"/>
    <w:rsid w:val="00221D19"/>
    <w:rsid w:val="00222053"/>
    <w:rsid w:val="00222874"/>
    <w:rsid w:val="00222B38"/>
    <w:rsid w:val="00222C87"/>
    <w:rsid w:val="00223648"/>
    <w:rsid w:val="002241D9"/>
    <w:rsid w:val="002253E9"/>
    <w:rsid w:val="002259C1"/>
    <w:rsid w:val="0022666B"/>
    <w:rsid w:val="00226B59"/>
    <w:rsid w:val="00226B6E"/>
    <w:rsid w:val="0022734D"/>
    <w:rsid w:val="00227648"/>
    <w:rsid w:val="0023160E"/>
    <w:rsid w:val="00231D17"/>
    <w:rsid w:val="00231D49"/>
    <w:rsid w:val="00232444"/>
    <w:rsid w:val="00232471"/>
    <w:rsid w:val="00232588"/>
    <w:rsid w:val="00232F24"/>
    <w:rsid w:val="002334E1"/>
    <w:rsid w:val="00233730"/>
    <w:rsid w:val="0023447F"/>
    <w:rsid w:val="00234DC0"/>
    <w:rsid w:val="002350B3"/>
    <w:rsid w:val="00235B7D"/>
    <w:rsid w:val="00237834"/>
    <w:rsid w:val="0023798E"/>
    <w:rsid w:val="002379A4"/>
    <w:rsid w:val="002400FB"/>
    <w:rsid w:val="00240190"/>
    <w:rsid w:val="002410AD"/>
    <w:rsid w:val="00241CA8"/>
    <w:rsid w:val="00242EE4"/>
    <w:rsid w:val="002436E0"/>
    <w:rsid w:val="00243930"/>
    <w:rsid w:val="00243FD0"/>
    <w:rsid w:val="00244378"/>
    <w:rsid w:val="002444C4"/>
    <w:rsid w:val="0024462E"/>
    <w:rsid w:val="00244B25"/>
    <w:rsid w:val="00244C67"/>
    <w:rsid w:val="00245136"/>
    <w:rsid w:val="0024637C"/>
    <w:rsid w:val="00246421"/>
    <w:rsid w:val="00246659"/>
    <w:rsid w:val="0024699B"/>
    <w:rsid w:val="002469A0"/>
    <w:rsid w:val="00246C29"/>
    <w:rsid w:val="00246C45"/>
    <w:rsid w:val="0024703E"/>
    <w:rsid w:val="002474FA"/>
    <w:rsid w:val="00247D20"/>
    <w:rsid w:val="00250673"/>
    <w:rsid w:val="00250EA8"/>
    <w:rsid w:val="00250EFF"/>
    <w:rsid w:val="00250FF3"/>
    <w:rsid w:val="002510B6"/>
    <w:rsid w:val="00251529"/>
    <w:rsid w:val="002517C5"/>
    <w:rsid w:val="0025296C"/>
    <w:rsid w:val="00252E18"/>
    <w:rsid w:val="00253493"/>
    <w:rsid w:val="00253A22"/>
    <w:rsid w:val="00253B2C"/>
    <w:rsid w:val="0025486A"/>
    <w:rsid w:val="00254EAC"/>
    <w:rsid w:val="002556C3"/>
    <w:rsid w:val="00255BA1"/>
    <w:rsid w:val="00257AFB"/>
    <w:rsid w:val="00260204"/>
    <w:rsid w:val="0026042C"/>
    <w:rsid w:val="002605B8"/>
    <w:rsid w:val="00260789"/>
    <w:rsid w:val="002613E4"/>
    <w:rsid w:val="00261FB4"/>
    <w:rsid w:val="0026293D"/>
    <w:rsid w:val="00263716"/>
    <w:rsid w:val="00263823"/>
    <w:rsid w:val="00263B2F"/>
    <w:rsid w:val="0026433E"/>
    <w:rsid w:val="0026477F"/>
    <w:rsid w:val="00264DE5"/>
    <w:rsid w:val="002653CC"/>
    <w:rsid w:val="0026576E"/>
    <w:rsid w:val="0026582D"/>
    <w:rsid w:val="00265982"/>
    <w:rsid w:val="00265B34"/>
    <w:rsid w:val="00267234"/>
    <w:rsid w:val="0026765E"/>
    <w:rsid w:val="00267A66"/>
    <w:rsid w:val="00267EB7"/>
    <w:rsid w:val="00270154"/>
    <w:rsid w:val="0027085B"/>
    <w:rsid w:val="00270AC5"/>
    <w:rsid w:val="00270D76"/>
    <w:rsid w:val="002712BF"/>
    <w:rsid w:val="00271977"/>
    <w:rsid w:val="00271F70"/>
    <w:rsid w:val="002725FD"/>
    <w:rsid w:val="002729F9"/>
    <w:rsid w:val="00273402"/>
    <w:rsid w:val="0027395D"/>
    <w:rsid w:val="00273BDF"/>
    <w:rsid w:val="0027408B"/>
    <w:rsid w:val="00274353"/>
    <w:rsid w:val="00274D40"/>
    <w:rsid w:val="0027574E"/>
    <w:rsid w:val="0027594B"/>
    <w:rsid w:val="002759AF"/>
    <w:rsid w:val="00275CF6"/>
    <w:rsid w:val="00276141"/>
    <w:rsid w:val="00276B56"/>
    <w:rsid w:val="002771CC"/>
    <w:rsid w:val="00277779"/>
    <w:rsid w:val="00277841"/>
    <w:rsid w:val="0028001E"/>
    <w:rsid w:val="00280165"/>
    <w:rsid w:val="00280F46"/>
    <w:rsid w:val="00281407"/>
    <w:rsid w:val="002817F3"/>
    <w:rsid w:val="002819FD"/>
    <w:rsid w:val="00281CDA"/>
    <w:rsid w:val="00282452"/>
    <w:rsid w:val="00283B62"/>
    <w:rsid w:val="00283B65"/>
    <w:rsid w:val="00283F9A"/>
    <w:rsid w:val="00283FA4"/>
    <w:rsid w:val="00284721"/>
    <w:rsid w:val="00284F39"/>
    <w:rsid w:val="002850E6"/>
    <w:rsid w:val="00285727"/>
    <w:rsid w:val="0028583A"/>
    <w:rsid w:val="002868A3"/>
    <w:rsid w:val="00286E25"/>
    <w:rsid w:val="00286E6F"/>
    <w:rsid w:val="00287107"/>
    <w:rsid w:val="00287368"/>
    <w:rsid w:val="00287873"/>
    <w:rsid w:val="0029023E"/>
    <w:rsid w:val="0029061A"/>
    <w:rsid w:val="0029078A"/>
    <w:rsid w:val="002916CC"/>
    <w:rsid w:val="00291CBE"/>
    <w:rsid w:val="00291F57"/>
    <w:rsid w:val="0029217C"/>
    <w:rsid w:val="0029278C"/>
    <w:rsid w:val="002927D5"/>
    <w:rsid w:val="00292E65"/>
    <w:rsid w:val="002949E0"/>
    <w:rsid w:val="00296445"/>
    <w:rsid w:val="00296602"/>
    <w:rsid w:val="00296880"/>
    <w:rsid w:val="0029697C"/>
    <w:rsid w:val="002972E2"/>
    <w:rsid w:val="00297345"/>
    <w:rsid w:val="00297907"/>
    <w:rsid w:val="002979F1"/>
    <w:rsid w:val="00297C69"/>
    <w:rsid w:val="002A0584"/>
    <w:rsid w:val="002A0CB6"/>
    <w:rsid w:val="002A13E1"/>
    <w:rsid w:val="002A186F"/>
    <w:rsid w:val="002A1E30"/>
    <w:rsid w:val="002A2805"/>
    <w:rsid w:val="002A3248"/>
    <w:rsid w:val="002A3738"/>
    <w:rsid w:val="002A4558"/>
    <w:rsid w:val="002A46EE"/>
    <w:rsid w:val="002A480F"/>
    <w:rsid w:val="002A4B43"/>
    <w:rsid w:val="002A6D52"/>
    <w:rsid w:val="002A6DDD"/>
    <w:rsid w:val="002B0846"/>
    <w:rsid w:val="002B0B84"/>
    <w:rsid w:val="002B1304"/>
    <w:rsid w:val="002B17C3"/>
    <w:rsid w:val="002B1AE4"/>
    <w:rsid w:val="002B1E9B"/>
    <w:rsid w:val="002B1FB1"/>
    <w:rsid w:val="002B2501"/>
    <w:rsid w:val="002B3464"/>
    <w:rsid w:val="002B4881"/>
    <w:rsid w:val="002B494B"/>
    <w:rsid w:val="002B52A0"/>
    <w:rsid w:val="002B6138"/>
    <w:rsid w:val="002B61E7"/>
    <w:rsid w:val="002C0113"/>
    <w:rsid w:val="002C0B52"/>
    <w:rsid w:val="002C1191"/>
    <w:rsid w:val="002C1451"/>
    <w:rsid w:val="002C1E1B"/>
    <w:rsid w:val="002C2FD0"/>
    <w:rsid w:val="002C3D2F"/>
    <w:rsid w:val="002C5981"/>
    <w:rsid w:val="002C6E3B"/>
    <w:rsid w:val="002C6EA6"/>
    <w:rsid w:val="002C7AF0"/>
    <w:rsid w:val="002D0410"/>
    <w:rsid w:val="002D05BD"/>
    <w:rsid w:val="002D0899"/>
    <w:rsid w:val="002D1531"/>
    <w:rsid w:val="002D1707"/>
    <w:rsid w:val="002D17E2"/>
    <w:rsid w:val="002D1EF0"/>
    <w:rsid w:val="002D21B4"/>
    <w:rsid w:val="002D24DC"/>
    <w:rsid w:val="002D3F5B"/>
    <w:rsid w:val="002D41F5"/>
    <w:rsid w:val="002D5218"/>
    <w:rsid w:val="002D5BB2"/>
    <w:rsid w:val="002D60C8"/>
    <w:rsid w:val="002D62FD"/>
    <w:rsid w:val="002D67C5"/>
    <w:rsid w:val="002D6A94"/>
    <w:rsid w:val="002D7C58"/>
    <w:rsid w:val="002E028C"/>
    <w:rsid w:val="002E0C07"/>
    <w:rsid w:val="002E0E30"/>
    <w:rsid w:val="002E0EC8"/>
    <w:rsid w:val="002E11C1"/>
    <w:rsid w:val="002E11CD"/>
    <w:rsid w:val="002E1A48"/>
    <w:rsid w:val="002E1E1A"/>
    <w:rsid w:val="002E243E"/>
    <w:rsid w:val="002E278F"/>
    <w:rsid w:val="002E27ED"/>
    <w:rsid w:val="002E2AAC"/>
    <w:rsid w:val="002E3404"/>
    <w:rsid w:val="002E3B4D"/>
    <w:rsid w:val="002E424A"/>
    <w:rsid w:val="002E72E0"/>
    <w:rsid w:val="002E76C1"/>
    <w:rsid w:val="002E77BD"/>
    <w:rsid w:val="002E782C"/>
    <w:rsid w:val="002E78AB"/>
    <w:rsid w:val="002F03CD"/>
    <w:rsid w:val="002F0522"/>
    <w:rsid w:val="002F0734"/>
    <w:rsid w:val="002F0B87"/>
    <w:rsid w:val="002F1558"/>
    <w:rsid w:val="002F1B4B"/>
    <w:rsid w:val="002F2444"/>
    <w:rsid w:val="002F2592"/>
    <w:rsid w:val="002F2CDE"/>
    <w:rsid w:val="002F35C9"/>
    <w:rsid w:val="002F46A1"/>
    <w:rsid w:val="002F5B18"/>
    <w:rsid w:val="002F6BD1"/>
    <w:rsid w:val="002F7160"/>
    <w:rsid w:val="002F721B"/>
    <w:rsid w:val="002F79AA"/>
    <w:rsid w:val="002F7B78"/>
    <w:rsid w:val="002F7D03"/>
    <w:rsid w:val="0030017C"/>
    <w:rsid w:val="00300816"/>
    <w:rsid w:val="00300F04"/>
    <w:rsid w:val="00301975"/>
    <w:rsid w:val="00302C54"/>
    <w:rsid w:val="00302D2F"/>
    <w:rsid w:val="00302DB2"/>
    <w:rsid w:val="00303D69"/>
    <w:rsid w:val="00304928"/>
    <w:rsid w:val="00304C17"/>
    <w:rsid w:val="00305356"/>
    <w:rsid w:val="0030542C"/>
    <w:rsid w:val="00305E9E"/>
    <w:rsid w:val="00305EC9"/>
    <w:rsid w:val="00305FC4"/>
    <w:rsid w:val="00306052"/>
    <w:rsid w:val="003065E8"/>
    <w:rsid w:val="00307728"/>
    <w:rsid w:val="00307BCC"/>
    <w:rsid w:val="003100D3"/>
    <w:rsid w:val="003101BC"/>
    <w:rsid w:val="00310418"/>
    <w:rsid w:val="003110EA"/>
    <w:rsid w:val="0031129A"/>
    <w:rsid w:val="0031294B"/>
    <w:rsid w:val="003129D8"/>
    <w:rsid w:val="00312FFC"/>
    <w:rsid w:val="0031310C"/>
    <w:rsid w:val="00314327"/>
    <w:rsid w:val="003146AB"/>
    <w:rsid w:val="00314F78"/>
    <w:rsid w:val="003150BF"/>
    <w:rsid w:val="003150CE"/>
    <w:rsid w:val="00315E2D"/>
    <w:rsid w:val="00315E92"/>
    <w:rsid w:val="00317238"/>
    <w:rsid w:val="00320759"/>
    <w:rsid w:val="00321873"/>
    <w:rsid w:val="003221EB"/>
    <w:rsid w:val="00322432"/>
    <w:rsid w:val="003235DD"/>
    <w:rsid w:val="00323B9E"/>
    <w:rsid w:val="003246DF"/>
    <w:rsid w:val="0032521A"/>
    <w:rsid w:val="003253C2"/>
    <w:rsid w:val="00327063"/>
    <w:rsid w:val="00327527"/>
    <w:rsid w:val="00327F3D"/>
    <w:rsid w:val="00327F3E"/>
    <w:rsid w:val="00330804"/>
    <w:rsid w:val="00330D0E"/>
    <w:rsid w:val="00330F1D"/>
    <w:rsid w:val="003323EF"/>
    <w:rsid w:val="00332441"/>
    <w:rsid w:val="0033257C"/>
    <w:rsid w:val="0033364E"/>
    <w:rsid w:val="00333779"/>
    <w:rsid w:val="003339C9"/>
    <w:rsid w:val="00333D8B"/>
    <w:rsid w:val="00334A6B"/>
    <w:rsid w:val="003351AC"/>
    <w:rsid w:val="003366B2"/>
    <w:rsid w:val="003368F2"/>
    <w:rsid w:val="00336A0E"/>
    <w:rsid w:val="00336E7F"/>
    <w:rsid w:val="00337734"/>
    <w:rsid w:val="003378D4"/>
    <w:rsid w:val="00340066"/>
    <w:rsid w:val="00341035"/>
    <w:rsid w:val="003418F4"/>
    <w:rsid w:val="0034288B"/>
    <w:rsid w:val="00342DF0"/>
    <w:rsid w:val="003432AC"/>
    <w:rsid w:val="0034332B"/>
    <w:rsid w:val="003435FC"/>
    <w:rsid w:val="00343C07"/>
    <w:rsid w:val="003457C1"/>
    <w:rsid w:val="00345B90"/>
    <w:rsid w:val="003467D4"/>
    <w:rsid w:val="0034681C"/>
    <w:rsid w:val="00346A37"/>
    <w:rsid w:val="003506C0"/>
    <w:rsid w:val="00350E27"/>
    <w:rsid w:val="00350E7A"/>
    <w:rsid w:val="00351141"/>
    <w:rsid w:val="00351A19"/>
    <w:rsid w:val="00351D56"/>
    <w:rsid w:val="00351F81"/>
    <w:rsid w:val="00352801"/>
    <w:rsid w:val="003534A6"/>
    <w:rsid w:val="003539BF"/>
    <w:rsid w:val="00353AB5"/>
    <w:rsid w:val="00353CFD"/>
    <w:rsid w:val="00354018"/>
    <w:rsid w:val="00354037"/>
    <w:rsid w:val="00354D52"/>
    <w:rsid w:val="00355A14"/>
    <w:rsid w:val="003566F3"/>
    <w:rsid w:val="00356863"/>
    <w:rsid w:val="00356A83"/>
    <w:rsid w:val="00356DD6"/>
    <w:rsid w:val="0035751E"/>
    <w:rsid w:val="00357886"/>
    <w:rsid w:val="003600A8"/>
    <w:rsid w:val="00360D6F"/>
    <w:rsid w:val="00361652"/>
    <w:rsid w:val="00361A67"/>
    <w:rsid w:val="00363CC0"/>
    <w:rsid w:val="00364760"/>
    <w:rsid w:val="00364E97"/>
    <w:rsid w:val="003654D6"/>
    <w:rsid w:val="003657BD"/>
    <w:rsid w:val="00366074"/>
    <w:rsid w:val="0036642C"/>
    <w:rsid w:val="0036650B"/>
    <w:rsid w:val="00366524"/>
    <w:rsid w:val="00367354"/>
    <w:rsid w:val="00367FF8"/>
    <w:rsid w:val="003701D2"/>
    <w:rsid w:val="00370385"/>
    <w:rsid w:val="0037092D"/>
    <w:rsid w:val="00371033"/>
    <w:rsid w:val="0037169F"/>
    <w:rsid w:val="003731E5"/>
    <w:rsid w:val="00373560"/>
    <w:rsid w:val="00373AFC"/>
    <w:rsid w:val="00373E58"/>
    <w:rsid w:val="003742C6"/>
    <w:rsid w:val="003746E3"/>
    <w:rsid w:val="00375049"/>
    <w:rsid w:val="003750BF"/>
    <w:rsid w:val="00375A96"/>
    <w:rsid w:val="00375B05"/>
    <w:rsid w:val="00376073"/>
    <w:rsid w:val="00377452"/>
    <w:rsid w:val="00377D5F"/>
    <w:rsid w:val="003800C7"/>
    <w:rsid w:val="003802E6"/>
    <w:rsid w:val="003803F5"/>
    <w:rsid w:val="00380D2E"/>
    <w:rsid w:val="00381223"/>
    <w:rsid w:val="00381849"/>
    <w:rsid w:val="00381AAF"/>
    <w:rsid w:val="00381BB4"/>
    <w:rsid w:val="00381D39"/>
    <w:rsid w:val="0038222A"/>
    <w:rsid w:val="003823A0"/>
    <w:rsid w:val="00382CE7"/>
    <w:rsid w:val="003830AE"/>
    <w:rsid w:val="003830FE"/>
    <w:rsid w:val="003836B5"/>
    <w:rsid w:val="0038380E"/>
    <w:rsid w:val="00384562"/>
    <w:rsid w:val="00384A29"/>
    <w:rsid w:val="00384F36"/>
    <w:rsid w:val="00385271"/>
    <w:rsid w:val="0038528A"/>
    <w:rsid w:val="00385838"/>
    <w:rsid w:val="00385D8C"/>
    <w:rsid w:val="00385E29"/>
    <w:rsid w:val="003860F9"/>
    <w:rsid w:val="0038695E"/>
    <w:rsid w:val="00386F47"/>
    <w:rsid w:val="00391229"/>
    <w:rsid w:val="00391279"/>
    <w:rsid w:val="003914C4"/>
    <w:rsid w:val="00391595"/>
    <w:rsid w:val="0039178E"/>
    <w:rsid w:val="0039211B"/>
    <w:rsid w:val="0039226E"/>
    <w:rsid w:val="00392CC8"/>
    <w:rsid w:val="0039329D"/>
    <w:rsid w:val="00393B2E"/>
    <w:rsid w:val="00393DC8"/>
    <w:rsid w:val="0039451F"/>
    <w:rsid w:val="00394B0F"/>
    <w:rsid w:val="0039508E"/>
    <w:rsid w:val="00395850"/>
    <w:rsid w:val="00395B6B"/>
    <w:rsid w:val="00395E31"/>
    <w:rsid w:val="0039601D"/>
    <w:rsid w:val="003960BE"/>
    <w:rsid w:val="0039629F"/>
    <w:rsid w:val="003973E8"/>
    <w:rsid w:val="003A0626"/>
    <w:rsid w:val="003A1181"/>
    <w:rsid w:val="003A16E7"/>
    <w:rsid w:val="003A19DD"/>
    <w:rsid w:val="003A1D52"/>
    <w:rsid w:val="003A1F7B"/>
    <w:rsid w:val="003A2017"/>
    <w:rsid w:val="003A3E80"/>
    <w:rsid w:val="003A430C"/>
    <w:rsid w:val="003A48CC"/>
    <w:rsid w:val="003A5496"/>
    <w:rsid w:val="003A5642"/>
    <w:rsid w:val="003A5A99"/>
    <w:rsid w:val="003A5D25"/>
    <w:rsid w:val="003A5F7A"/>
    <w:rsid w:val="003A64FF"/>
    <w:rsid w:val="003A690E"/>
    <w:rsid w:val="003A6AD9"/>
    <w:rsid w:val="003A72EF"/>
    <w:rsid w:val="003A7333"/>
    <w:rsid w:val="003A73E5"/>
    <w:rsid w:val="003A76C5"/>
    <w:rsid w:val="003B016C"/>
    <w:rsid w:val="003B01B9"/>
    <w:rsid w:val="003B0581"/>
    <w:rsid w:val="003B06CF"/>
    <w:rsid w:val="003B0870"/>
    <w:rsid w:val="003B1113"/>
    <w:rsid w:val="003B1267"/>
    <w:rsid w:val="003B193D"/>
    <w:rsid w:val="003B1DD2"/>
    <w:rsid w:val="003B2315"/>
    <w:rsid w:val="003B2422"/>
    <w:rsid w:val="003B2944"/>
    <w:rsid w:val="003B3D11"/>
    <w:rsid w:val="003B4EED"/>
    <w:rsid w:val="003B5453"/>
    <w:rsid w:val="003B55CC"/>
    <w:rsid w:val="003B5858"/>
    <w:rsid w:val="003B5E26"/>
    <w:rsid w:val="003B5F88"/>
    <w:rsid w:val="003B601D"/>
    <w:rsid w:val="003B65F5"/>
    <w:rsid w:val="003B6B2C"/>
    <w:rsid w:val="003B75DE"/>
    <w:rsid w:val="003B7B03"/>
    <w:rsid w:val="003C0121"/>
    <w:rsid w:val="003C0710"/>
    <w:rsid w:val="003C0A49"/>
    <w:rsid w:val="003C212E"/>
    <w:rsid w:val="003C266A"/>
    <w:rsid w:val="003C2C5C"/>
    <w:rsid w:val="003C2D6B"/>
    <w:rsid w:val="003C2D71"/>
    <w:rsid w:val="003C3EDF"/>
    <w:rsid w:val="003C4668"/>
    <w:rsid w:val="003C602A"/>
    <w:rsid w:val="003C63E2"/>
    <w:rsid w:val="003C715F"/>
    <w:rsid w:val="003D028F"/>
    <w:rsid w:val="003D1208"/>
    <w:rsid w:val="003D12DF"/>
    <w:rsid w:val="003D16AE"/>
    <w:rsid w:val="003D1759"/>
    <w:rsid w:val="003D17DA"/>
    <w:rsid w:val="003D1896"/>
    <w:rsid w:val="003D1971"/>
    <w:rsid w:val="003D3416"/>
    <w:rsid w:val="003D3B14"/>
    <w:rsid w:val="003D4B81"/>
    <w:rsid w:val="003D4BAC"/>
    <w:rsid w:val="003D4CBD"/>
    <w:rsid w:val="003D52E2"/>
    <w:rsid w:val="003D533B"/>
    <w:rsid w:val="003D62F7"/>
    <w:rsid w:val="003D662B"/>
    <w:rsid w:val="003D6B2E"/>
    <w:rsid w:val="003D6C65"/>
    <w:rsid w:val="003D7337"/>
    <w:rsid w:val="003E00EE"/>
    <w:rsid w:val="003E0194"/>
    <w:rsid w:val="003E0B3C"/>
    <w:rsid w:val="003E1035"/>
    <w:rsid w:val="003E17F2"/>
    <w:rsid w:val="003E19BA"/>
    <w:rsid w:val="003E19F7"/>
    <w:rsid w:val="003E1B01"/>
    <w:rsid w:val="003E1EB2"/>
    <w:rsid w:val="003E1F37"/>
    <w:rsid w:val="003E2200"/>
    <w:rsid w:val="003E2BE2"/>
    <w:rsid w:val="003E2F84"/>
    <w:rsid w:val="003E4475"/>
    <w:rsid w:val="003E4782"/>
    <w:rsid w:val="003E492C"/>
    <w:rsid w:val="003E4E7B"/>
    <w:rsid w:val="003E502B"/>
    <w:rsid w:val="003E57F6"/>
    <w:rsid w:val="003E5A6A"/>
    <w:rsid w:val="003E66EE"/>
    <w:rsid w:val="003E6843"/>
    <w:rsid w:val="003E6CB0"/>
    <w:rsid w:val="003E710D"/>
    <w:rsid w:val="003E7A9C"/>
    <w:rsid w:val="003F1119"/>
    <w:rsid w:val="003F1348"/>
    <w:rsid w:val="003F163B"/>
    <w:rsid w:val="003F2030"/>
    <w:rsid w:val="003F2527"/>
    <w:rsid w:val="003F2C9C"/>
    <w:rsid w:val="003F3048"/>
    <w:rsid w:val="003F328F"/>
    <w:rsid w:val="003F3F03"/>
    <w:rsid w:val="003F4702"/>
    <w:rsid w:val="003F4F14"/>
    <w:rsid w:val="003F531A"/>
    <w:rsid w:val="003F5498"/>
    <w:rsid w:val="003F5AC4"/>
    <w:rsid w:val="003F6432"/>
    <w:rsid w:val="003F6794"/>
    <w:rsid w:val="003F68FC"/>
    <w:rsid w:val="003F6C48"/>
    <w:rsid w:val="003F6E73"/>
    <w:rsid w:val="003F7138"/>
    <w:rsid w:val="003F7204"/>
    <w:rsid w:val="003F7C9E"/>
    <w:rsid w:val="0040095A"/>
    <w:rsid w:val="00400C27"/>
    <w:rsid w:val="00401A4C"/>
    <w:rsid w:val="00401DB5"/>
    <w:rsid w:val="004025E8"/>
    <w:rsid w:val="00402768"/>
    <w:rsid w:val="00402C1E"/>
    <w:rsid w:val="0040329D"/>
    <w:rsid w:val="00403D4E"/>
    <w:rsid w:val="00403E99"/>
    <w:rsid w:val="004045DF"/>
    <w:rsid w:val="00404781"/>
    <w:rsid w:val="004047B8"/>
    <w:rsid w:val="00404984"/>
    <w:rsid w:val="00404A79"/>
    <w:rsid w:val="00404BA3"/>
    <w:rsid w:val="00404C36"/>
    <w:rsid w:val="00404F81"/>
    <w:rsid w:val="004055E2"/>
    <w:rsid w:val="00405B50"/>
    <w:rsid w:val="00406F38"/>
    <w:rsid w:val="00407207"/>
    <w:rsid w:val="004107CA"/>
    <w:rsid w:val="0041082C"/>
    <w:rsid w:val="004111BC"/>
    <w:rsid w:val="004114CB"/>
    <w:rsid w:val="004118BC"/>
    <w:rsid w:val="00411BC1"/>
    <w:rsid w:val="00411E78"/>
    <w:rsid w:val="0041213E"/>
    <w:rsid w:val="004125F4"/>
    <w:rsid w:val="004126D4"/>
    <w:rsid w:val="00413442"/>
    <w:rsid w:val="00414703"/>
    <w:rsid w:val="00414A87"/>
    <w:rsid w:val="00414B11"/>
    <w:rsid w:val="00414FDE"/>
    <w:rsid w:val="004151CD"/>
    <w:rsid w:val="004153C7"/>
    <w:rsid w:val="004155A0"/>
    <w:rsid w:val="00415D2B"/>
    <w:rsid w:val="00416B6A"/>
    <w:rsid w:val="00416C0A"/>
    <w:rsid w:val="00416C3D"/>
    <w:rsid w:val="004170CA"/>
    <w:rsid w:val="00417B0D"/>
    <w:rsid w:val="00420843"/>
    <w:rsid w:val="00420E90"/>
    <w:rsid w:val="00421941"/>
    <w:rsid w:val="00421CD5"/>
    <w:rsid w:val="00421DB0"/>
    <w:rsid w:val="004221E0"/>
    <w:rsid w:val="00422C0F"/>
    <w:rsid w:val="004235A4"/>
    <w:rsid w:val="00423F5A"/>
    <w:rsid w:val="00424610"/>
    <w:rsid w:val="004247A9"/>
    <w:rsid w:val="00424DE2"/>
    <w:rsid w:val="0042537E"/>
    <w:rsid w:val="00425F84"/>
    <w:rsid w:val="004267A2"/>
    <w:rsid w:val="004275B5"/>
    <w:rsid w:val="00427BDD"/>
    <w:rsid w:val="004309A5"/>
    <w:rsid w:val="00430B97"/>
    <w:rsid w:val="00430FBE"/>
    <w:rsid w:val="00431A81"/>
    <w:rsid w:val="00432064"/>
    <w:rsid w:val="00432528"/>
    <w:rsid w:val="00432836"/>
    <w:rsid w:val="00432C34"/>
    <w:rsid w:val="00432D12"/>
    <w:rsid w:val="00432EB7"/>
    <w:rsid w:val="00433114"/>
    <w:rsid w:val="0043346E"/>
    <w:rsid w:val="00433A72"/>
    <w:rsid w:val="00434983"/>
    <w:rsid w:val="00434EFF"/>
    <w:rsid w:val="00435910"/>
    <w:rsid w:val="0043594A"/>
    <w:rsid w:val="00435B28"/>
    <w:rsid w:val="00435F88"/>
    <w:rsid w:val="0043701E"/>
    <w:rsid w:val="004373D1"/>
    <w:rsid w:val="0043778D"/>
    <w:rsid w:val="00437FCE"/>
    <w:rsid w:val="00440050"/>
    <w:rsid w:val="00440A75"/>
    <w:rsid w:val="00442E77"/>
    <w:rsid w:val="0044375E"/>
    <w:rsid w:val="00443951"/>
    <w:rsid w:val="00444025"/>
    <w:rsid w:val="00444537"/>
    <w:rsid w:val="00444714"/>
    <w:rsid w:val="004448A5"/>
    <w:rsid w:val="00445079"/>
    <w:rsid w:val="00445433"/>
    <w:rsid w:val="004454C2"/>
    <w:rsid w:val="00446D5B"/>
    <w:rsid w:val="00447347"/>
    <w:rsid w:val="00447A7C"/>
    <w:rsid w:val="00447F33"/>
    <w:rsid w:val="00450A27"/>
    <w:rsid w:val="00450AF4"/>
    <w:rsid w:val="00451EC2"/>
    <w:rsid w:val="0045245C"/>
    <w:rsid w:val="00453348"/>
    <w:rsid w:val="004536C3"/>
    <w:rsid w:val="00453F47"/>
    <w:rsid w:val="00454A19"/>
    <w:rsid w:val="004551DA"/>
    <w:rsid w:val="004557AA"/>
    <w:rsid w:val="00455A4A"/>
    <w:rsid w:val="0045675A"/>
    <w:rsid w:val="00456FB2"/>
    <w:rsid w:val="00457022"/>
    <w:rsid w:val="004571ED"/>
    <w:rsid w:val="0045728B"/>
    <w:rsid w:val="00457B67"/>
    <w:rsid w:val="00457D8D"/>
    <w:rsid w:val="004603A0"/>
    <w:rsid w:val="00460B71"/>
    <w:rsid w:val="00460F7C"/>
    <w:rsid w:val="00462777"/>
    <w:rsid w:val="0046298B"/>
    <w:rsid w:val="00462B7B"/>
    <w:rsid w:val="00463357"/>
    <w:rsid w:val="00463A04"/>
    <w:rsid w:val="0046419D"/>
    <w:rsid w:val="004648DA"/>
    <w:rsid w:val="00464DB5"/>
    <w:rsid w:val="00465110"/>
    <w:rsid w:val="00465255"/>
    <w:rsid w:val="004655C5"/>
    <w:rsid w:val="00465ADB"/>
    <w:rsid w:val="00466677"/>
    <w:rsid w:val="004666CE"/>
    <w:rsid w:val="00467E0D"/>
    <w:rsid w:val="00470D1D"/>
    <w:rsid w:val="00470F76"/>
    <w:rsid w:val="0047156F"/>
    <w:rsid w:val="00472679"/>
    <w:rsid w:val="004728F7"/>
    <w:rsid w:val="00473659"/>
    <w:rsid w:val="00473718"/>
    <w:rsid w:val="00473869"/>
    <w:rsid w:val="00473D10"/>
    <w:rsid w:val="00473D15"/>
    <w:rsid w:val="00473DDF"/>
    <w:rsid w:val="0047410E"/>
    <w:rsid w:val="00474497"/>
    <w:rsid w:val="00474696"/>
    <w:rsid w:val="00474985"/>
    <w:rsid w:val="00474D6C"/>
    <w:rsid w:val="004751BD"/>
    <w:rsid w:val="00475B4D"/>
    <w:rsid w:val="0047644B"/>
    <w:rsid w:val="00476B11"/>
    <w:rsid w:val="00477901"/>
    <w:rsid w:val="00477BAD"/>
    <w:rsid w:val="0048054A"/>
    <w:rsid w:val="004809F6"/>
    <w:rsid w:val="004818E8"/>
    <w:rsid w:val="004826B5"/>
    <w:rsid w:val="00482F67"/>
    <w:rsid w:val="00482FA6"/>
    <w:rsid w:val="00483006"/>
    <w:rsid w:val="0048397F"/>
    <w:rsid w:val="00483A17"/>
    <w:rsid w:val="0048414C"/>
    <w:rsid w:val="004844D2"/>
    <w:rsid w:val="00484915"/>
    <w:rsid w:val="00484C77"/>
    <w:rsid w:val="00485022"/>
    <w:rsid w:val="00485961"/>
    <w:rsid w:val="00485FF9"/>
    <w:rsid w:val="00486FE4"/>
    <w:rsid w:val="00487387"/>
    <w:rsid w:val="004879CB"/>
    <w:rsid w:val="00487AA9"/>
    <w:rsid w:val="00490C18"/>
    <w:rsid w:val="00491762"/>
    <w:rsid w:val="004919FD"/>
    <w:rsid w:val="00491A06"/>
    <w:rsid w:val="00491A5B"/>
    <w:rsid w:val="00491E09"/>
    <w:rsid w:val="00492220"/>
    <w:rsid w:val="00492771"/>
    <w:rsid w:val="00492840"/>
    <w:rsid w:val="00492A90"/>
    <w:rsid w:val="00492BCE"/>
    <w:rsid w:val="004937D9"/>
    <w:rsid w:val="004940EA"/>
    <w:rsid w:val="00494505"/>
    <w:rsid w:val="00495376"/>
    <w:rsid w:val="004961E5"/>
    <w:rsid w:val="00496463"/>
    <w:rsid w:val="00496862"/>
    <w:rsid w:val="00496993"/>
    <w:rsid w:val="00496C3D"/>
    <w:rsid w:val="00497B8B"/>
    <w:rsid w:val="004A03B4"/>
    <w:rsid w:val="004A0613"/>
    <w:rsid w:val="004A0855"/>
    <w:rsid w:val="004A0B46"/>
    <w:rsid w:val="004A0B9C"/>
    <w:rsid w:val="004A132C"/>
    <w:rsid w:val="004A1B5E"/>
    <w:rsid w:val="004A2296"/>
    <w:rsid w:val="004A2DD7"/>
    <w:rsid w:val="004A4386"/>
    <w:rsid w:val="004A4E91"/>
    <w:rsid w:val="004A60AB"/>
    <w:rsid w:val="004A62A9"/>
    <w:rsid w:val="004A7F53"/>
    <w:rsid w:val="004B1AF7"/>
    <w:rsid w:val="004B25AC"/>
    <w:rsid w:val="004B26D9"/>
    <w:rsid w:val="004B2C5E"/>
    <w:rsid w:val="004B34AD"/>
    <w:rsid w:val="004B4486"/>
    <w:rsid w:val="004B4788"/>
    <w:rsid w:val="004B5119"/>
    <w:rsid w:val="004B56D4"/>
    <w:rsid w:val="004B5B7C"/>
    <w:rsid w:val="004B5DD4"/>
    <w:rsid w:val="004B684A"/>
    <w:rsid w:val="004B691A"/>
    <w:rsid w:val="004B6A17"/>
    <w:rsid w:val="004B6A7A"/>
    <w:rsid w:val="004B76A5"/>
    <w:rsid w:val="004B774B"/>
    <w:rsid w:val="004B7B60"/>
    <w:rsid w:val="004B7E13"/>
    <w:rsid w:val="004B7E26"/>
    <w:rsid w:val="004C005A"/>
    <w:rsid w:val="004C13C2"/>
    <w:rsid w:val="004C1FF3"/>
    <w:rsid w:val="004C20D8"/>
    <w:rsid w:val="004C23E2"/>
    <w:rsid w:val="004C2A71"/>
    <w:rsid w:val="004C2ACF"/>
    <w:rsid w:val="004C2E1C"/>
    <w:rsid w:val="004C3232"/>
    <w:rsid w:val="004C3F98"/>
    <w:rsid w:val="004C43F3"/>
    <w:rsid w:val="004C4629"/>
    <w:rsid w:val="004C4779"/>
    <w:rsid w:val="004C4B61"/>
    <w:rsid w:val="004C4B71"/>
    <w:rsid w:val="004C52E7"/>
    <w:rsid w:val="004C62DB"/>
    <w:rsid w:val="004C65F0"/>
    <w:rsid w:val="004C715F"/>
    <w:rsid w:val="004C76E4"/>
    <w:rsid w:val="004C79D4"/>
    <w:rsid w:val="004C7D3E"/>
    <w:rsid w:val="004D087E"/>
    <w:rsid w:val="004D08E5"/>
    <w:rsid w:val="004D0E34"/>
    <w:rsid w:val="004D19DB"/>
    <w:rsid w:val="004D1E88"/>
    <w:rsid w:val="004D275F"/>
    <w:rsid w:val="004D3A24"/>
    <w:rsid w:val="004D3CD7"/>
    <w:rsid w:val="004D3D78"/>
    <w:rsid w:val="004D49C2"/>
    <w:rsid w:val="004D4C74"/>
    <w:rsid w:val="004D58DE"/>
    <w:rsid w:val="004D63E2"/>
    <w:rsid w:val="004D668C"/>
    <w:rsid w:val="004D69EA"/>
    <w:rsid w:val="004E0AC1"/>
    <w:rsid w:val="004E1CBE"/>
    <w:rsid w:val="004E1E91"/>
    <w:rsid w:val="004E256B"/>
    <w:rsid w:val="004E2C8B"/>
    <w:rsid w:val="004E35A1"/>
    <w:rsid w:val="004E38AA"/>
    <w:rsid w:val="004E3F30"/>
    <w:rsid w:val="004E4551"/>
    <w:rsid w:val="004E46F8"/>
    <w:rsid w:val="004E4D04"/>
    <w:rsid w:val="004E4D7E"/>
    <w:rsid w:val="004E50C8"/>
    <w:rsid w:val="004E50D5"/>
    <w:rsid w:val="004E5EAF"/>
    <w:rsid w:val="004E652E"/>
    <w:rsid w:val="004E653E"/>
    <w:rsid w:val="004E65F5"/>
    <w:rsid w:val="004E69CB"/>
    <w:rsid w:val="004F00A6"/>
    <w:rsid w:val="004F054F"/>
    <w:rsid w:val="004F06A3"/>
    <w:rsid w:val="004F0A3B"/>
    <w:rsid w:val="004F1BC4"/>
    <w:rsid w:val="004F209F"/>
    <w:rsid w:val="004F280D"/>
    <w:rsid w:val="004F2D77"/>
    <w:rsid w:val="004F3B7C"/>
    <w:rsid w:val="004F3E28"/>
    <w:rsid w:val="004F48B6"/>
    <w:rsid w:val="004F48D8"/>
    <w:rsid w:val="004F4D6B"/>
    <w:rsid w:val="004F5C81"/>
    <w:rsid w:val="004F5FBB"/>
    <w:rsid w:val="004F621F"/>
    <w:rsid w:val="004F6915"/>
    <w:rsid w:val="004F6A8B"/>
    <w:rsid w:val="004F6D02"/>
    <w:rsid w:val="004F6FFE"/>
    <w:rsid w:val="004F7DB3"/>
    <w:rsid w:val="00500D32"/>
    <w:rsid w:val="00500F03"/>
    <w:rsid w:val="005013C2"/>
    <w:rsid w:val="00501C43"/>
    <w:rsid w:val="00501F45"/>
    <w:rsid w:val="005022A3"/>
    <w:rsid w:val="005028B6"/>
    <w:rsid w:val="00502965"/>
    <w:rsid w:val="00502D06"/>
    <w:rsid w:val="00502DF4"/>
    <w:rsid w:val="00502EAE"/>
    <w:rsid w:val="0050302B"/>
    <w:rsid w:val="005035C0"/>
    <w:rsid w:val="005035F2"/>
    <w:rsid w:val="00503A1B"/>
    <w:rsid w:val="0050418C"/>
    <w:rsid w:val="00504AD9"/>
    <w:rsid w:val="00504C6D"/>
    <w:rsid w:val="0050500F"/>
    <w:rsid w:val="00505279"/>
    <w:rsid w:val="00505AE6"/>
    <w:rsid w:val="00505C9A"/>
    <w:rsid w:val="005063E1"/>
    <w:rsid w:val="00506E4E"/>
    <w:rsid w:val="00507059"/>
    <w:rsid w:val="005072BE"/>
    <w:rsid w:val="00507C0D"/>
    <w:rsid w:val="00507CC5"/>
    <w:rsid w:val="005101E2"/>
    <w:rsid w:val="00510248"/>
    <w:rsid w:val="005105B9"/>
    <w:rsid w:val="00510AC1"/>
    <w:rsid w:val="00510B18"/>
    <w:rsid w:val="00511114"/>
    <w:rsid w:val="005112C5"/>
    <w:rsid w:val="0051180A"/>
    <w:rsid w:val="00512954"/>
    <w:rsid w:val="00512B68"/>
    <w:rsid w:val="0051327D"/>
    <w:rsid w:val="005143F5"/>
    <w:rsid w:val="0051440E"/>
    <w:rsid w:val="00514753"/>
    <w:rsid w:val="005157A7"/>
    <w:rsid w:val="00516660"/>
    <w:rsid w:val="00516BBB"/>
    <w:rsid w:val="00516CA9"/>
    <w:rsid w:val="0051711E"/>
    <w:rsid w:val="00520352"/>
    <w:rsid w:val="0052054E"/>
    <w:rsid w:val="00520DD5"/>
    <w:rsid w:val="00521B8F"/>
    <w:rsid w:val="00521EA1"/>
    <w:rsid w:val="00521EB4"/>
    <w:rsid w:val="00522078"/>
    <w:rsid w:val="00522971"/>
    <w:rsid w:val="00522B7E"/>
    <w:rsid w:val="00523E83"/>
    <w:rsid w:val="005243F4"/>
    <w:rsid w:val="005248BB"/>
    <w:rsid w:val="005249EE"/>
    <w:rsid w:val="00524AD4"/>
    <w:rsid w:val="00526AA8"/>
    <w:rsid w:val="00526DBA"/>
    <w:rsid w:val="00530573"/>
    <w:rsid w:val="0053061B"/>
    <w:rsid w:val="005308A5"/>
    <w:rsid w:val="00530F1E"/>
    <w:rsid w:val="005314E9"/>
    <w:rsid w:val="00531723"/>
    <w:rsid w:val="0053191F"/>
    <w:rsid w:val="00531CF4"/>
    <w:rsid w:val="0053275E"/>
    <w:rsid w:val="00532942"/>
    <w:rsid w:val="005330D1"/>
    <w:rsid w:val="0053324F"/>
    <w:rsid w:val="00533680"/>
    <w:rsid w:val="005338F2"/>
    <w:rsid w:val="005340E5"/>
    <w:rsid w:val="0053470C"/>
    <w:rsid w:val="0053578C"/>
    <w:rsid w:val="00535A43"/>
    <w:rsid w:val="005362EA"/>
    <w:rsid w:val="005367C4"/>
    <w:rsid w:val="00536903"/>
    <w:rsid w:val="005374E4"/>
    <w:rsid w:val="00537663"/>
    <w:rsid w:val="0054024A"/>
    <w:rsid w:val="00540AD1"/>
    <w:rsid w:val="00540B48"/>
    <w:rsid w:val="0054131E"/>
    <w:rsid w:val="005418AC"/>
    <w:rsid w:val="00541CD2"/>
    <w:rsid w:val="00541D85"/>
    <w:rsid w:val="00541EF9"/>
    <w:rsid w:val="0054208A"/>
    <w:rsid w:val="0054223C"/>
    <w:rsid w:val="00542A20"/>
    <w:rsid w:val="00542FC0"/>
    <w:rsid w:val="005431CF"/>
    <w:rsid w:val="00543366"/>
    <w:rsid w:val="0054356C"/>
    <w:rsid w:val="00543D0A"/>
    <w:rsid w:val="00543F88"/>
    <w:rsid w:val="00543FEC"/>
    <w:rsid w:val="00544C19"/>
    <w:rsid w:val="005454F3"/>
    <w:rsid w:val="005455E5"/>
    <w:rsid w:val="00545673"/>
    <w:rsid w:val="005456A2"/>
    <w:rsid w:val="00546431"/>
    <w:rsid w:val="0054681B"/>
    <w:rsid w:val="00547256"/>
    <w:rsid w:val="0054750A"/>
    <w:rsid w:val="00547593"/>
    <w:rsid w:val="0054779A"/>
    <w:rsid w:val="00547803"/>
    <w:rsid w:val="005479E0"/>
    <w:rsid w:val="00547A61"/>
    <w:rsid w:val="00547AF4"/>
    <w:rsid w:val="00547BA1"/>
    <w:rsid w:val="00550817"/>
    <w:rsid w:val="00550A35"/>
    <w:rsid w:val="00552ED7"/>
    <w:rsid w:val="00553CFF"/>
    <w:rsid w:val="00554252"/>
    <w:rsid w:val="005543E7"/>
    <w:rsid w:val="005548E9"/>
    <w:rsid w:val="005549E5"/>
    <w:rsid w:val="00554EE0"/>
    <w:rsid w:val="00556101"/>
    <w:rsid w:val="0055620E"/>
    <w:rsid w:val="00556363"/>
    <w:rsid w:val="00556586"/>
    <w:rsid w:val="005571BB"/>
    <w:rsid w:val="00557703"/>
    <w:rsid w:val="00557A5F"/>
    <w:rsid w:val="00557CB1"/>
    <w:rsid w:val="0056091E"/>
    <w:rsid w:val="00560E7E"/>
    <w:rsid w:val="00561292"/>
    <w:rsid w:val="00561371"/>
    <w:rsid w:val="0056172D"/>
    <w:rsid w:val="005619BF"/>
    <w:rsid w:val="005627BD"/>
    <w:rsid w:val="00562BD4"/>
    <w:rsid w:val="005635F3"/>
    <w:rsid w:val="00563C10"/>
    <w:rsid w:val="0056411C"/>
    <w:rsid w:val="0056435B"/>
    <w:rsid w:val="00564562"/>
    <w:rsid w:val="00564706"/>
    <w:rsid w:val="0056572C"/>
    <w:rsid w:val="00565B4C"/>
    <w:rsid w:val="00565C3A"/>
    <w:rsid w:val="005663CF"/>
    <w:rsid w:val="005663FF"/>
    <w:rsid w:val="005667E0"/>
    <w:rsid w:val="00566BFF"/>
    <w:rsid w:val="00567651"/>
    <w:rsid w:val="005677E5"/>
    <w:rsid w:val="00567CF6"/>
    <w:rsid w:val="00567D17"/>
    <w:rsid w:val="005702C7"/>
    <w:rsid w:val="005707D8"/>
    <w:rsid w:val="00570842"/>
    <w:rsid w:val="00570D24"/>
    <w:rsid w:val="00570F88"/>
    <w:rsid w:val="00571DAF"/>
    <w:rsid w:val="005726D8"/>
    <w:rsid w:val="00572A80"/>
    <w:rsid w:val="00573377"/>
    <w:rsid w:val="0057362B"/>
    <w:rsid w:val="00573A51"/>
    <w:rsid w:val="00574A1F"/>
    <w:rsid w:val="00574BED"/>
    <w:rsid w:val="00574C1A"/>
    <w:rsid w:val="00574CFA"/>
    <w:rsid w:val="005763A4"/>
    <w:rsid w:val="005767CF"/>
    <w:rsid w:val="005775DA"/>
    <w:rsid w:val="0057772C"/>
    <w:rsid w:val="00577B9F"/>
    <w:rsid w:val="005800E5"/>
    <w:rsid w:val="005808DF"/>
    <w:rsid w:val="00580EEB"/>
    <w:rsid w:val="00580FCF"/>
    <w:rsid w:val="0058154A"/>
    <w:rsid w:val="00581CC4"/>
    <w:rsid w:val="00582A25"/>
    <w:rsid w:val="00582C6F"/>
    <w:rsid w:val="00583365"/>
    <w:rsid w:val="00583673"/>
    <w:rsid w:val="005836C7"/>
    <w:rsid w:val="00583D08"/>
    <w:rsid w:val="00583DE0"/>
    <w:rsid w:val="00584B4A"/>
    <w:rsid w:val="00584C76"/>
    <w:rsid w:val="00585CD8"/>
    <w:rsid w:val="00585FC9"/>
    <w:rsid w:val="0058605B"/>
    <w:rsid w:val="00586175"/>
    <w:rsid w:val="0058645E"/>
    <w:rsid w:val="005865BF"/>
    <w:rsid w:val="00586749"/>
    <w:rsid w:val="0058683F"/>
    <w:rsid w:val="005868B5"/>
    <w:rsid w:val="00587BE7"/>
    <w:rsid w:val="00587CBC"/>
    <w:rsid w:val="00587D66"/>
    <w:rsid w:val="0059055C"/>
    <w:rsid w:val="00591225"/>
    <w:rsid w:val="0059191A"/>
    <w:rsid w:val="00592656"/>
    <w:rsid w:val="00593F54"/>
    <w:rsid w:val="005943D9"/>
    <w:rsid w:val="0059460A"/>
    <w:rsid w:val="0059490A"/>
    <w:rsid w:val="005949A0"/>
    <w:rsid w:val="00594DAC"/>
    <w:rsid w:val="005952B2"/>
    <w:rsid w:val="00595701"/>
    <w:rsid w:val="005959CE"/>
    <w:rsid w:val="00595DF1"/>
    <w:rsid w:val="0059602C"/>
    <w:rsid w:val="00596354"/>
    <w:rsid w:val="0059642D"/>
    <w:rsid w:val="00596524"/>
    <w:rsid w:val="00597130"/>
    <w:rsid w:val="00597CEB"/>
    <w:rsid w:val="00597D35"/>
    <w:rsid w:val="005A02A6"/>
    <w:rsid w:val="005A03AD"/>
    <w:rsid w:val="005A16A4"/>
    <w:rsid w:val="005A1B72"/>
    <w:rsid w:val="005A1EE9"/>
    <w:rsid w:val="005A30F0"/>
    <w:rsid w:val="005A35A2"/>
    <w:rsid w:val="005A3968"/>
    <w:rsid w:val="005A3A0F"/>
    <w:rsid w:val="005A3CA7"/>
    <w:rsid w:val="005A3CFF"/>
    <w:rsid w:val="005A4679"/>
    <w:rsid w:val="005A4A36"/>
    <w:rsid w:val="005A4D2F"/>
    <w:rsid w:val="005A4DC1"/>
    <w:rsid w:val="005A50A8"/>
    <w:rsid w:val="005A5860"/>
    <w:rsid w:val="005A59B2"/>
    <w:rsid w:val="005A5D59"/>
    <w:rsid w:val="005A6D6D"/>
    <w:rsid w:val="005A7264"/>
    <w:rsid w:val="005A7A09"/>
    <w:rsid w:val="005A7D2B"/>
    <w:rsid w:val="005B0750"/>
    <w:rsid w:val="005B15CD"/>
    <w:rsid w:val="005B1601"/>
    <w:rsid w:val="005B1C95"/>
    <w:rsid w:val="005B3FBA"/>
    <w:rsid w:val="005B43AA"/>
    <w:rsid w:val="005B4836"/>
    <w:rsid w:val="005B4CAC"/>
    <w:rsid w:val="005B4CFC"/>
    <w:rsid w:val="005B4F59"/>
    <w:rsid w:val="005B5334"/>
    <w:rsid w:val="005B58B0"/>
    <w:rsid w:val="005B688F"/>
    <w:rsid w:val="005B6A6A"/>
    <w:rsid w:val="005B6D7E"/>
    <w:rsid w:val="005B7725"/>
    <w:rsid w:val="005B7996"/>
    <w:rsid w:val="005C010E"/>
    <w:rsid w:val="005C0298"/>
    <w:rsid w:val="005C0432"/>
    <w:rsid w:val="005C049C"/>
    <w:rsid w:val="005C0769"/>
    <w:rsid w:val="005C0943"/>
    <w:rsid w:val="005C0AD9"/>
    <w:rsid w:val="005C0F25"/>
    <w:rsid w:val="005C1880"/>
    <w:rsid w:val="005C1E98"/>
    <w:rsid w:val="005C2228"/>
    <w:rsid w:val="005C28EC"/>
    <w:rsid w:val="005C3007"/>
    <w:rsid w:val="005C317F"/>
    <w:rsid w:val="005C360A"/>
    <w:rsid w:val="005C3676"/>
    <w:rsid w:val="005C3818"/>
    <w:rsid w:val="005C3B4E"/>
    <w:rsid w:val="005C3B6E"/>
    <w:rsid w:val="005C4394"/>
    <w:rsid w:val="005C4B8A"/>
    <w:rsid w:val="005C5513"/>
    <w:rsid w:val="005C5675"/>
    <w:rsid w:val="005C5EBF"/>
    <w:rsid w:val="005C6028"/>
    <w:rsid w:val="005C7090"/>
    <w:rsid w:val="005C7B2F"/>
    <w:rsid w:val="005C7C59"/>
    <w:rsid w:val="005D0031"/>
    <w:rsid w:val="005D1B3E"/>
    <w:rsid w:val="005D221C"/>
    <w:rsid w:val="005D2238"/>
    <w:rsid w:val="005D2321"/>
    <w:rsid w:val="005D2A43"/>
    <w:rsid w:val="005D339F"/>
    <w:rsid w:val="005D3BE7"/>
    <w:rsid w:val="005D46E6"/>
    <w:rsid w:val="005D4761"/>
    <w:rsid w:val="005D4DEB"/>
    <w:rsid w:val="005D4E9B"/>
    <w:rsid w:val="005D50BF"/>
    <w:rsid w:val="005D521E"/>
    <w:rsid w:val="005D5DAC"/>
    <w:rsid w:val="005D6069"/>
    <w:rsid w:val="005D6A99"/>
    <w:rsid w:val="005D6BC2"/>
    <w:rsid w:val="005D6EA0"/>
    <w:rsid w:val="005D6FE3"/>
    <w:rsid w:val="005D716E"/>
    <w:rsid w:val="005D72F8"/>
    <w:rsid w:val="005D7711"/>
    <w:rsid w:val="005E0BE0"/>
    <w:rsid w:val="005E2824"/>
    <w:rsid w:val="005E2A7C"/>
    <w:rsid w:val="005E3250"/>
    <w:rsid w:val="005E3327"/>
    <w:rsid w:val="005E338B"/>
    <w:rsid w:val="005E3A87"/>
    <w:rsid w:val="005E406F"/>
    <w:rsid w:val="005E4110"/>
    <w:rsid w:val="005E5D15"/>
    <w:rsid w:val="005E635D"/>
    <w:rsid w:val="005E7431"/>
    <w:rsid w:val="005E770A"/>
    <w:rsid w:val="005E7B36"/>
    <w:rsid w:val="005F0022"/>
    <w:rsid w:val="005F02E6"/>
    <w:rsid w:val="005F0326"/>
    <w:rsid w:val="005F10F1"/>
    <w:rsid w:val="005F1911"/>
    <w:rsid w:val="005F27C0"/>
    <w:rsid w:val="005F2CBA"/>
    <w:rsid w:val="005F3216"/>
    <w:rsid w:val="005F3585"/>
    <w:rsid w:val="005F3A3A"/>
    <w:rsid w:val="005F419C"/>
    <w:rsid w:val="005F4DFE"/>
    <w:rsid w:val="005F4EF9"/>
    <w:rsid w:val="005F5E98"/>
    <w:rsid w:val="005F62AE"/>
    <w:rsid w:val="005F6D78"/>
    <w:rsid w:val="005F711C"/>
    <w:rsid w:val="005F7645"/>
    <w:rsid w:val="005F7AEC"/>
    <w:rsid w:val="005F7C0A"/>
    <w:rsid w:val="006004B6"/>
    <w:rsid w:val="00600D5A"/>
    <w:rsid w:val="006015AE"/>
    <w:rsid w:val="006017B1"/>
    <w:rsid w:val="00601944"/>
    <w:rsid w:val="00602237"/>
    <w:rsid w:val="00602AF1"/>
    <w:rsid w:val="00602E02"/>
    <w:rsid w:val="006031C3"/>
    <w:rsid w:val="006034F5"/>
    <w:rsid w:val="006037BF"/>
    <w:rsid w:val="0060401C"/>
    <w:rsid w:val="006045E8"/>
    <w:rsid w:val="00604869"/>
    <w:rsid w:val="00604C80"/>
    <w:rsid w:val="00605851"/>
    <w:rsid w:val="0060589E"/>
    <w:rsid w:val="00605D66"/>
    <w:rsid w:val="0060685F"/>
    <w:rsid w:val="0060690D"/>
    <w:rsid w:val="00606FE5"/>
    <w:rsid w:val="00607066"/>
    <w:rsid w:val="00607197"/>
    <w:rsid w:val="00607871"/>
    <w:rsid w:val="00607A16"/>
    <w:rsid w:val="00610023"/>
    <w:rsid w:val="006109F8"/>
    <w:rsid w:val="006113DE"/>
    <w:rsid w:val="00611D65"/>
    <w:rsid w:val="00611D7C"/>
    <w:rsid w:val="006147EA"/>
    <w:rsid w:val="0061537E"/>
    <w:rsid w:val="006159A3"/>
    <w:rsid w:val="00615F86"/>
    <w:rsid w:val="0061624A"/>
    <w:rsid w:val="006162CE"/>
    <w:rsid w:val="006165C3"/>
    <w:rsid w:val="006167F1"/>
    <w:rsid w:val="006173F5"/>
    <w:rsid w:val="006175AD"/>
    <w:rsid w:val="0061788D"/>
    <w:rsid w:val="00620371"/>
    <w:rsid w:val="00620A3D"/>
    <w:rsid w:val="00621FE7"/>
    <w:rsid w:val="00623075"/>
    <w:rsid w:val="00623103"/>
    <w:rsid w:val="00623910"/>
    <w:rsid w:val="0062456E"/>
    <w:rsid w:val="00624880"/>
    <w:rsid w:val="00624A27"/>
    <w:rsid w:val="00624A7E"/>
    <w:rsid w:val="00624B7E"/>
    <w:rsid w:val="00624D74"/>
    <w:rsid w:val="00624E85"/>
    <w:rsid w:val="00625182"/>
    <w:rsid w:val="00626F49"/>
    <w:rsid w:val="0062712B"/>
    <w:rsid w:val="0062716D"/>
    <w:rsid w:val="00627470"/>
    <w:rsid w:val="006275AA"/>
    <w:rsid w:val="00627A97"/>
    <w:rsid w:val="00627AF2"/>
    <w:rsid w:val="0063022C"/>
    <w:rsid w:val="00630408"/>
    <w:rsid w:val="00630854"/>
    <w:rsid w:val="00630CA2"/>
    <w:rsid w:val="0063144E"/>
    <w:rsid w:val="00631E90"/>
    <w:rsid w:val="0063237E"/>
    <w:rsid w:val="00632F94"/>
    <w:rsid w:val="006334E9"/>
    <w:rsid w:val="006345CF"/>
    <w:rsid w:val="006349D7"/>
    <w:rsid w:val="00635546"/>
    <w:rsid w:val="00635767"/>
    <w:rsid w:val="006359BF"/>
    <w:rsid w:val="00635F90"/>
    <w:rsid w:val="0063614B"/>
    <w:rsid w:val="0063632F"/>
    <w:rsid w:val="006369D5"/>
    <w:rsid w:val="0063766D"/>
    <w:rsid w:val="00637DD7"/>
    <w:rsid w:val="00637E5D"/>
    <w:rsid w:val="00640529"/>
    <w:rsid w:val="00640984"/>
    <w:rsid w:val="006413E0"/>
    <w:rsid w:val="00641CB0"/>
    <w:rsid w:val="00642F64"/>
    <w:rsid w:val="00643EB6"/>
    <w:rsid w:val="00644D1B"/>
    <w:rsid w:val="006454ED"/>
    <w:rsid w:val="0064607C"/>
    <w:rsid w:val="00647171"/>
    <w:rsid w:val="00647328"/>
    <w:rsid w:val="00650C56"/>
    <w:rsid w:val="00650D81"/>
    <w:rsid w:val="006517DD"/>
    <w:rsid w:val="00651B75"/>
    <w:rsid w:val="00651C6A"/>
    <w:rsid w:val="00652522"/>
    <w:rsid w:val="00652858"/>
    <w:rsid w:val="00652AFA"/>
    <w:rsid w:val="00652C79"/>
    <w:rsid w:val="00652DEC"/>
    <w:rsid w:val="00653766"/>
    <w:rsid w:val="00654051"/>
    <w:rsid w:val="006541A1"/>
    <w:rsid w:val="006547B5"/>
    <w:rsid w:val="00654A89"/>
    <w:rsid w:val="00655511"/>
    <w:rsid w:val="0065586E"/>
    <w:rsid w:val="006558DC"/>
    <w:rsid w:val="00655DC4"/>
    <w:rsid w:val="00655FAF"/>
    <w:rsid w:val="0065637C"/>
    <w:rsid w:val="00656B27"/>
    <w:rsid w:val="00656BF5"/>
    <w:rsid w:val="00656C92"/>
    <w:rsid w:val="00656F08"/>
    <w:rsid w:val="006576E6"/>
    <w:rsid w:val="00657E5F"/>
    <w:rsid w:val="00657F8B"/>
    <w:rsid w:val="00660401"/>
    <w:rsid w:val="006606A3"/>
    <w:rsid w:val="0066082F"/>
    <w:rsid w:val="006608EC"/>
    <w:rsid w:val="00660A21"/>
    <w:rsid w:val="006618FC"/>
    <w:rsid w:val="00661B85"/>
    <w:rsid w:val="0066203A"/>
    <w:rsid w:val="00662302"/>
    <w:rsid w:val="00662356"/>
    <w:rsid w:val="00662B4F"/>
    <w:rsid w:val="00663052"/>
    <w:rsid w:val="00663D00"/>
    <w:rsid w:val="00663E86"/>
    <w:rsid w:val="00663F44"/>
    <w:rsid w:val="006645DC"/>
    <w:rsid w:val="00664904"/>
    <w:rsid w:val="0066498E"/>
    <w:rsid w:val="006649FB"/>
    <w:rsid w:val="0066508C"/>
    <w:rsid w:val="0066628A"/>
    <w:rsid w:val="00666BEB"/>
    <w:rsid w:val="0066730A"/>
    <w:rsid w:val="00670040"/>
    <w:rsid w:val="006700AE"/>
    <w:rsid w:val="00670273"/>
    <w:rsid w:val="0067064A"/>
    <w:rsid w:val="00670B19"/>
    <w:rsid w:val="00670E47"/>
    <w:rsid w:val="00670ED6"/>
    <w:rsid w:val="00671B7E"/>
    <w:rsid w:val="00672CC6"/>
    <w:rsid w:val="00672F9F"/>
    <w:rsid w:val="00673206"/>
    <w:rsid w:val="00673F15"/>
    <w:rsid w:val="00674778"/>
    <w:rsid w:val="0067480F"/>
    <w:rsid w:val="00675172"/>
    <w:rsid w:val="006756B8"/>
    <w:rsid w:val="00675ACE"/>
    <w:rsid w:val="00675CC3"/>
    <w:rsid w:val="0067633D"/>
    <w:rsid w:val="0067642E"/>
    <w:rsid w:val="00676489"/>
    <w:rsid w:val="006767BC"/>
    <w:rsid w:val="006770E1"/>
    <w:rsid w:val="00677727"/>
    <w:rsid w:val="00680650"/>
    <w:rsid w:val="006807D0"/>
    <w:rsid w:val="00680AF8"/>
    <w:rsid w:val="00681C9A"/>
    <w:rsid w:val="00681D75"/>
    <w:rsid w:val="00682246"/>
    <w:rsid w:val="0068242E"/>
    <w:rsid w:val="006826C5"/>
    <w:rsid w:val="0068270A"/>
    <w:rsid w:val="00682C3D"/>
    <w:rsid w:val="006835BC"/>
    <w:rsid w:val="00683D55"/>
    <w:rsid w:val="00683E0E"/>
    <w:rsid w:val="006842B4"/>
    <w:rsid w:val="00684722"/>
    <w:rsid w:val="00684BAF"/>
    <w:rsid w:val="00687C16"/>
    <w:rsid w:val="006903ED"/>
    <w:rsid w:val="00690829"/>
    <w:rsid w:val="00690B05"/>
    <w:rsid w:val="00690BC3"/>
    <w:rsid w:val="006911B1"/>
    <w:rsid w:val="006915C5"/>
    <w:rsid w:val="00691B79"/>
    <w:rsid w:val="00691BB9"/>
    <w:rsid w:val="00691F50"/>
    <w:rsid w:val="006921FE"/>
    <w:rsid w:val="006926EB"/>
    <w:rsid w:val="0069278A"/>
    <w:rsid w:val="00692B35"/>
    <w:rsid w:val="00693297"/>
    <w:rsid w:val="00693597"/>
    <w:rsid w:val="006936A2"/>
    <w:rsid w:val="00693BE2"/>
    <w:rsid w:val="00693D39"/>
    <w:rsid w:val="00693DE7"/>
    <w:rsid w:val="006942BD"/>
    <w:rsid w:val="00694A8B"/>
    <w:rsid w:val="00695926"/>
    <w:rsid w:val="006962BE"/>
    <w:rsid w:val="006967AC"/>
    <w:rsid w:val="00696EBB"/>
    <w:rsid w:val="006970ED"/>
    <w:rsid w:val="00697B37"/>
    <w:rsid w:val="006A00CA"/>
    <w:rsid w:val="006A07EA"/>
    <w:rsid w:val="006A147B"/>
    <w:rsid w:val="006A18C4"/>
    <w:rsid w:val="006A1F10"/>
    <w:rsid w:val="006A22D0"/>
    <w:rsid w:val="006A2534"/>
    <w:rsid w:val="006A2735"/>
    <w:rsid w:val="006A48D7"/>
    <w:rsid w:val="006A4A19"/>
    <w:rsid w:val="006A4CC9"/>
    <w:rsid w:val="006A4D4E"/>
    <w:rsid w:val="006A50FC"/>
    <w:rsid w:val="006A51C5"/>
    <w:rsid w:val="006A5545"/>
    <w:rsid w:val="006A60DE"/>
    <w:rsid w:val="006A6B9E"/>
    <w:rsid w:val="006A78A9"/>
    <w:rsid w:val="006A7B99"/>
    <w:rsid w:val="006A7F6A"/>
    <w:rsid w:val="006B05F1"/>
    <w:rsid w:val="006B093F"/>
    <w:rsid w:val="006B0F45"/>
    <w:rsid w:val="006B16CA"/>
    <w:rsid w:val="006B1E82"/>
    <w:rsid w:val="006B25AC"/>
    <w:rsid w:val="006B3139"/>
    <w:rsid w:val="006B42BB"/>
    <w:rsid w:val="006B4520"/>
    <w:rsid w:val="006B522F"/>
    <w:rsid w:val="006B5CDE"/>
    <w:rsid w:val="006B630A"/>
    <w:rsid w:val="006B74B4"/>
    <w:rsid w:val="006B7568"/>
    <w:rsid w:val="006B78F2"/>
    <w:rsid w:val="006B7A64"/>
    <w:rsid w:val="006B7B54"/>
    <w:rsid w:val="006C04EB"/>
    <w:rsid w:val="006C0BE5"/>
    <w:rsid w:val="006C1577"/>
    <w:rsid w:val="006C1653"/>
    <w:rsid w:val="006C19BC"/>
    <w:rsid w:val="006C262D"/>
    <w:rsid w:val="006C3319"/>
    <w:rsid w:val="006C350A"/>
    <w:rsid w:val="006C3E02"/>
    <w:rsid w:val="006C40C5"/>
    <w:rsid w:val="006C41BA"/>
    <w:rsid w:val="006C442D"/>
    <w:rsid w:val="006C4573"/>
    <w:rsid w:val="006C4821"/>
    <w:rsid w:val="006C4F7C"/>
    <w:rsid w:val="006C5887"/>
    <w:rsid w:val="006C5ACD"/>
    <w:rsid w:val="006C5AD6"/>
    <w:rsid w:val="006C610A"/>
    <w:rsid w:val="006C6300"/>
    <w:rsid w:val="006C6555"/>
    <w:rsid w:val="006C6AD7"/>
    <w:rsid w:val="006C6B70"/>
    <w:rsid w:val="006C6C01"/>
    <w:rsid w:val="006C766A"/>
    <w:rsid w:val="006D0490"/>
    <w:rsid w:val="006D0675"/>
    <w:rsid w:val="006D125F"/>
    <w:rsid w:val="006D1544"/>
    <w:rsid w:val="006D1D8D"/>
    <w:rsid w:val="006D22C2"/>
    <w:rsid w:val="006D2DD7"/>
    <w:rsid w:val="006D3293"/>
    <w:rsid w:val="006D3333"/>
    <w:rsid w:val="006D36B7"/>
    <w:rsid w:val="006D3A49"/>
    <w:rsid w:val="006D45BD"/>
    <w:rsid w:val="006D46A6"/>
    <w:rsid w:val="006D6251"/>
    <w:rsid w:val="006D652D"/>
    <w:rsid w:val="006D6B86"/>
    <w:rsid w:val="006D6DF6"/>
    <w:rsid w:val="006D7088"/>
    <w:rsid w:val="006D714E"/>
    <w:rsid w:val="006D7A24"/>
    <w:rsid w:val="006E0137"/>
    <w:rsid w:val="006E0812"/>
    <w:rsid w:val="006E136C"/>
    <w:rsid w:val="006E16F1"/>
    <w:rsid w:val="006E2194"/>
    <w:rsid w:val="006E2207"/>
    <w:rsid w:val="006E238D"/>
    <w:rsid w:val="006E24B0"/>
    <w:rsid w:val="006E3078"/>
    <w:rsid w:val="006E359B"/>
    <w:rsid w:val="006E3730"/>
    <w:rsid w:val="006E384A"/>
    <w:rsid w:val="006E4238"/>
    <w:rsid w:val="006E4456"/>
    <w:rsid w:val="006E48C5"/>
    <w:rsid w:val="006E4969"/>
    <w:rsid w:val="006E50D2"/>
    <w:rsid w:val="006E55BB"/>
    <w:rsid w:val="006E5688"/>
    <w:rsid w:val="006E6C74"/>
    <w:rsid w:val="006E6C82"/>
    <w:rsid w:val="006E75BF"/>
    <w:rsid w:val="006E7B3B"/>
    <w:rsid w:val="006F0958"/>
    <w:rsid w:val="006F09B5"/>
    <w:rsid w:val="006F1349"/>
    <w:rsid w:val="006F1B62"/>
    <w:rsid w:val="006F201F"/>
    <w:rsid w:val="006F2B10"/>
    <w:rsid w:val="006F2C03"/>
    <w:rsid w:val="006F352C"/>
    <w:rsid w:val="006F393E"/>
    <w:rsid w:val="006F3D50"/>
    <w:rsid w:val="006F48B3"/>
    <w:rsid w:val="006F48B8"/>
    <w:rsid w:val="006F553C"/>
    <w:rsid w:val="006F577C"/>
    <w:rsid w:val="006F57E7"/>
    <w:rsid w:val="006F5924"/>
    <w:rsid w:val="006F5E3D"/>
    <w:rsid w:val="006F5E5F"/>
    <w:rsid w:val="006F5ED6"/>
    <w:rsid w:val="006F6258"/>
    <w:rsid w:val="006F65E1"/>
    <w:rsid w:val="006F6673"/>
    <w:rsid w:val="006F6DFB"/>
    <w:rsid w:val="006F713B"/>
    <w:rsid w:val="006F7204"/>
    <w:rsid w:val="006F76B0"/>
    <w:rsid w:val="006F78D1"/>
    <w:rsid w:val="006F7F8E"/>
    <w:rsid w:val="00700322"/>
    <w:rsid w:val="00700D9B"/>
    <w:rsid w:val="00700F1D"/>
    <w:rsid w:val="00701552"/>
    <w:rsid w:val="00701A85"/>
    <w:rsid w:val="00702026"/>
    <w:rsid w:val="0070297D"/>
    <w:rsid w:val="00702E26"/>
    <w:rsid w:val="007032D4"/>
    <w:rsid w:val="00703951"/>
    <w:rsid w:val="007043DF"/>
    <w:rsid w:val="00704C31"/>
    <w:rsid w:val="00704FDE"/>
    <w:rsid w:val="0070516C"/>
    <w:rsid w:val="007053E8"/>
    <w:rsid w:val="00705448"/>
    <w:rsid w:val="00705A48"/>
    <w:rsid w:val="0070613F"/>
    <w:rsid w:val="00706325"/>
    <w:rsid w:val="007067E8"/>
    <w:rsid w:val="0070748E"/>
    <w:rsid w:val="00707D28"/>
    <w:rsid w:val="00710B25"/>
    <w:rsid w:val="00710B8E"/>
    <w:rsid w:val="00711164"/>
    <w:rsid w:val="007113BF"/>
    <w:rsid w:val="00711E7D"/>
    <w:rsid w:val="007122EC"/>
    <w:rsid w:val="007126E8"/>
    <w:rsid w:val="007130B6"/>
    <w:rsid w:val="0071357A"/>
    <w:rsid w:val="007137B3"/>
    <w:rsid w:val="00713846"/>
    <w:rsid w:val="00714504"/>
    <w:rsid w:val="00714E55"/>
    <w:rsid w:val="00715015"/>
    <w:rsid w:val="0071515E"/>
    <w:rsid w:val="007152B0"/>
    <w:rsid w:val="007161E7"/>
    <w:rsid w:val="0071643E"/>
    <w:rsid w:val="00716561"/>
    <w:rsid w:val="00716E2A"/>
    <w:rsid w:val="00717369"/>
    <w:rsid w:val="0071742A"/>
    <w:rsid w:val="00717985"/>
    <w:rsid w:val="00717B1A"/>
    <w:rsid w:val="00717DFE"/>
    <w:rsid w:val="00720F4E"/>
    <w:rsid w:val="00722054"/>
    <w:rsid w:val="007234F6"/>
    <w:rsid w:val="00723938"/>
    <w:rsid w:val="0072412E"/>
    <w:rsid w:val="0072486A"/>
    <w:rsid w:val="00726938"/>
    <w:rsid w:val="00726B07"/>
    <w:rsid w:val="00727253"/>
    <w:rsid w:val="007275CC"/>
    <w:rsid w:val="00727949"/>
    <w:rsid w:val="00727C74"/>
    <w:rsid w:val="00730379"/>
    <w:rsid w:val="0073096B"/>
    <w:rsid w:val="00730E8F"/>
    <w:rsid w:val="00730FBE"/>
    <w:rsid w:val="00731B8F"/>
    <w:rsid w:val="00731CAA"/>
    <w:rsid w:val="00731D48"/>
    <w:rsid w:val="00731E14"/>
    <w:rsid w:val="007322D2"/>
    <w:rsid w:val="0073231F"/>
    <w:rsid w:val="00732636"/>
    <w:rsid w:val="00732E3B"/>
    <w:rsid w:val="00732F8D"/>
    <w:rsid w:val="0073304D"/>
    <w:rsid w:val="007331D2"/>
    <w:rsid w:val="007332AF"/>
    <w:rsid w:val="00733884"/>
    <w:rsid w:val="00733FC2"/>
    <w:rsid w:val="00734484"/>
    <w:rsid w:val="00734757"/>
    <w:rsid w:val="00734C9F"/>
    <w:rsid w:val="00734CDD"/>
    <w:rsid w:val="00735685"/>
    <w:rsid w:val="007357D5"/>
    <w:rsid w:val="00737180"/>
    <w:rsid w:val="007373E2"/>
    <w:rsid w:val="00737F59"/>
    <w:rsid w:val="00740CAF"/>
    <w:rsid w:val="007414E9"/>
    <w:rsid w:val="00741709"/>
    <w:rsid w:val="00741E47"/>
    <w:rsid w:val="00742076"/>
    <w:rsid w:val="00742EFA"/>
    <w:rsid w:val="0074329A"/>
    <w:rsid w:val="00743445"/>
    <w:rsid w:val="00744B4E"/>
    <w:rsid w:val="00744B85"/>
    <w:rsid w:val="00744BF3"/>
    <w:rsid w:val="00745136"/>
    <w:rsid w:val="00745A15"/>
    <w:rsid w:val="00745ADB"/>
    <w:rsid w:val="00745DD2"/>
    <w:rsid w:val="00745FA5"/>
    <w:rsid w:val="0074721E"/>
    <w:rsid w:val="0074795C"/>
    <w:rsid w:val="00747B34"/>
    <w:rsid w:val="0075012F"/>
    <w:rsid w:val="00751354"/>
    <w:rsid w:val="00751A53"/>
    <w:rsid w:val="007526C3"/>
    <w:rsid w:val="00752ADD"/>
    <w:rsid w:val="00753449"/>
    <w:rsid w:val="00753647"/>
    <w:rsid w:val="007540B0"/>
    <w:rsid w:val="00754EC1"/>
    <w:rsid w:val="00756909"/>
    <w:rsid w:val="00756AEF"/>
    <w:rsid w:val="00756C1A"/>
    <w:rsid w:val="00757BA4"/>
    <w:rsid w:val="0076029B"/>
    <w:rsid w:val="007606EA"/>
    <w:rsid w:val="00760B0B"/>
    <w:rsid w:val="00760C38"/>
    <w:rsid w:val="00760C54"/>
    <w:rsid w:val="00760D10"/>
    <w:rsid w:val="00760E03"/>
    <w:rsid w:val="00762108"/>
    <w:rsid w:val="00762BE2"/>
    <w:rsid w:val="00762E68"/>
    <w:rsid w:val="007639F7"/>
    <w:rsid w:val="0076461F"/>
    <w:rsid w:val="00764FBA"/>
    <w:rsid w:val="00766201"/>
    <w:rsid w:val="007665D1"/>
    <w:rsid w:val="0076692A"/>
    <w:rsid w:val="00766F5E"/>
    <w:rsid w:val="00770131"/>
    <w:rsid w:val="00770E38"/>
    <w:rsid w:val="007715FA"/>
    <w:rsid w:val="00771975"/>
    <w:rsid w:val="00771AC8"/>
    <w:rsid w:val="00771F35"/>
    <w:rsid w:val="00772370"/>
    <w:rsid w:val="007725E1"/>
    <w:rsid w:val="00772BCF"/>
    <w:rsid w:val="007731C0"/>
    <w:rsid w:val="007738D3"/>
    <w:rsid w:val="00775121"/>
    <w:rsid w:val="007751DE"/>
    <w:rsid w:val="00775416"/>
    <w:rsid w:val="007757CE"/>
    <w:rsid w:val="00775BA9"/>
    <w:rsid w:val="00776785"/>
    <w:rsid w:val="00776F84"/>
    <w:rsid w:val="007770AC"/>
    <w:rsid w:val="007775F4"/>
    <w:rsid w:val="00780A7F"/>
    <w:rsid w:val="0078133D"/>
    <w:rsid w:val="00781356"/>
    <w:rsid w:val="007813C7"/>
    <w:rsid w:val="00781C6F"/>
    <w:rsid w:val="00781E34"/>
    <w:rsid w:val="0078211B"/>
    <w:rsid w:val="00784C7B"/>
    <w:rsid w:val="007851EA"/>
    <w:rsid w:val="00785785"/>
    <w:rsid w:val="00785C04"/>
    <w:rsid w:val="00786B07"/>
    <w:rsid w:val="00787199"/>
    <w:rsid w:val="00790183"/>
    <w:rsid w:val="00791969"/>
    <w:rsid w:val="00791A8D"/>
    <w:rsid w:val="00791CCD"/>
    <w:rsid w:val="00791D60"/>
    <w:rsid w:val="00791D8B"/>
    <w:rsid w:val="00791DED"/>
    <w:rsid w:val="007924E6"/>
    <w:rsid w:val="007925F1"/>
    <w:rsid w:val="0079262D"/>
    <w:rsid w:val="0079292B"/>
    <w:rsid w:val="00792AA0"/>
    <w:rsid w:val="00792AA8"/>
    <w:rsid w:val="007936F2"/>
    <w:rsid w:val="00793AAE"/>
    <w:rsid w:val="0079450B"/>
    <w:rsid w:val="00794972"/>
    <w:rsid w:val="007949DF"/>
    <w:rsid w:val="00794E28"/>
    <w:rsid w:val="0079537D"/>
    <w:rsid w:val="0079564D"/>
    <w:rsid w:val="00795C16"/>
    <w:rsid w:val="00796BDC"/>
    <w:rsid w:val="00796EE7"/>
    <w:rsid w:val="00797022"/>
    <w:rsid w:val="0079730F"/>
    <w:rsid w:val="0079769A"/>
    <w:rsid w:val="007A0F85"/>
    <w:rsid w:val="007A11F0"/>
    <w:rsid w:val="007A25AF"/>
    <w:rsid w:val="007A27E7"/>
    <w:rsid w:val="007A3ABE"/>
    <w:rsid w:val="007A4459"/>
    <w:rsid w:val="007A4CB0"/>
    <w:rsid w:val="007A4EAD"/>
    <w:rsid w:val="007A5B52"/>
    <w:rsid w:val="007A5BD7"/>
    <w:rsid w:val="007A5EAF"/>
    <w:rsid w:val="007A62C3"/>
    <w:rsid w:val="007A7E9E"/>
    <w:rsid w:val="007B0BA1"/>
    <w:rsid w:val="007B1DB2"/>
    <w:rsid w:val="007B210A"/>
    <w:rsid w:val="007B21E1"/>
    <w:rsid w:val="007B24DC"/>
    <w:rsid w:val="007B31ED"/>
    <w:rsid w:val="007B3C01"/>
    <w:rsid w:val="007B4102"/>
    <w:rsid w:val="007B62BF"/>
    <w:rsid w:val="007B651A"/>
    <w:rsid w:val="007B6648"/>
    <w:rsid w:val="007B6669"/>
    <w:rsid w:val="007B666B"/>
    <w:rsid w:val="007B6B11"/>
    <w:rsid w:val="007B7BC0"/>
    <w:rsid w:val="007C01F4"/>
    <w:rsid w:val="007C056A"/>
    <w:rsid w:val="007C0AAF"/>
    <w:rsid w:val="007C0EDA"/>
    <w:rsid w:val="007C12A2"/>
    <w:rsid w:val="007C1556"/>
    <w:rsid w:val="007C190F"/>
    <w:rsid w:val="007C1A6D"/>
    <w:rsid w:val="007C210F"/>
    <w:rsid w:val="007C28D7"/>
    <w:rsid w:val="007C2F29"/>
    <w:rsid w:val="007C30DA"/>
    <w:rsid w:val="007C311B"/>
    <w:rsid w:val="007C3174"/>
    <w:rsid w:val="007C3620"/>
    <w:rsid w:val="007C4093"/>
    <w:rsid w:val="007C40EF"/>
    <w:rsid w:val="007C44F6"/>
    <w:rsid w:val="007C4790"/>
    <w:rsid w:val="007C48FA"/>
    <w:rsid w:val="007C506B"/>
    <w:rsid w:val="007C5655"/>
    <w:rsid w:val="007C583F"/>
    <w:rsid w:val="007C5882"/>
    <w:rsid w:val="007C6689"/>
    <w:rsid w:val="007D02C5"/>
    <w:rsid w:val="007D07F5"/>
    <w:rsid w:val="007D0986"/>
    <w:rsid w:val="007D0D40"/>
    <w:rsid w:val="007D0DBC"/>
    <w:rsid w:val="007D4354"/>
    <w:rsid w:val="007D541C"/>
    <w:rsid w:val="007D549F"/>
    <w:rsid w:val="007D59A7"/>
    <w:rsid w:val="007D5DC2"/>
    <w:rsid w:val="007D698B"/>
    <w:rsid w:val="007D7AF0"/>
    <w:rsid w:val="007D7BB6"/>
    <w:rsid w:val="007E0453"/>
    <w:rsid w:val="007E069F"/>
    <w:rsid w:val="007E100B"/>
    <w:rsid w:val="007E129C"/>
    <w:rsid w:val="007E12BA"/>
    <w:rsid w:val="007E2095"/>
    <w:rsid w:val="007E2145"/>
    <w:rsid w:val="007E2505"/>
    <w:rsid w:val="007E257F"/>
    <w:rsid w:val="007E25B0"/>
    <w:rsid w:val="007E2769"/>
    <w:rsid w:val="007E279A"/>
    <w:rsid w:val="007E308B"/>
    <w:rsid w:val="007E34EE"/>
    <w:rsid w:val="007E36F9"/>
    <w:rsid w:val="007E374A"/>
    <w:rsid w:val="007E410D"/>
    <w:rsid w:val="007E47FB"/>
    <w:rsid w:val="007E5641"/>
    <w:rsid w:val="007E5818"/>
    <w:rsid w:val="007E5A8C"/>
    <w:rsid w:val="007E5BBF"/>
    <w:rsid w:val="007E5D35"/>
    <w:rsid w:val="007E5F8C"/>
    <w:rsid w:val="007E62D3"/>
    <w:rsid w:val="007E79B4"/>
    <w:rsid w:val="007E7CFE"/>
    <w:rsid w:val="007F036C"/>
    <w:rsid w:val="007F04C4"/>
    <w:rsid w:val="007F121B"/>
    <w:rsid w:val="007F1240"/>
    <w:rsid w:val="007F2381"/>
    <w:rsid w:val="007F23A0"/>
    <w:rsid w:val="007F266F"/>
    <w:rsid w:val="007F2BE4"/>
    <w:rsid w:val="007F31E7"/>
    <w:rsid w:val="007F33B1"/>
    <w:rsid w:val="007F3693"/>
    <w:rsid w:val="007F387C"/>
    <w:rsid w:val="007F3AE7"/>
    <w:rsid w:val="007F40B0"/>
    <w:rsid w:val="007F52A6"/>
    <w:rsid w:val="007F5789"/>
    <w:rsid w:val="007F63E2"/>
    <w:rsid w:val="007F6766"/>
    <w:rsid w:val="007F68DA"/>
    <w:rsid w:val="007F789E"/>
    <w:rsid w:val="008004E7"/>
    <w:rsid w:val="00800E10"/>
    <w:rsid w:val="00800F65"/>
    <w:rsid w:val="0080145E"/>
    <w:rsid w:val="0080194F"/>
    <w:rsid w:val="0080276C"/>
    <w:rsid w:val="008034D7"/>
    <w:rsid w:val="00803888"/>
    <w:rsid w:val="008039DB"/>
    <w:rsid w:val="00804378"/>
    <w:rsid w:val="0080545B"/>
    <w:rsid w:val="00805DE8"/>
    <w:rsid w:val="00805F62"/>
    <w:rsid w:val="008060C8"/>
    <w:rsid w:val="008067C7"/>
    <w:rsid w:val="00810223"/>
    <w:rsid w:val="00810462"/>
    <w:rsid w:val="00810AFF"/>
    <w:rsid w:val="00810F5C"/>
    <w:rsid w:val="00811120"/>
    <w:rsid w:val="00811982"/>
    <w:rsid w:val="0081261F"/>
    <w:rsid w:val="00812723"/>
    <w:rsid w:val="008128C1"/>
    <w:rsid w:val="00812A1C"/>
    <w:rsid w:val="00812E5D"/>
    <w:rsid w:val="00814087"/>
    <w:rsid w:val="0081440C"/>
    <w:rsid w:val="00814A6A"/>
    <w:rsid w:val="00814ED4"/>
    <w:rsid w:val="00814F11"/>
    <w:rsid w:val="008152E3"/>
    <w:rsid w:val="0081557C"/>
    <w:rsid w:val="008159B1"/>
    <w:rsid w:val="00816E58"/>
    <w:rsid w:val="008171AA"/>
    <w:rsid w:val="008172CC"/>
    <w:rsid w:val="00817798"/>
    <w:rsid w:val="00817FCC"/>
    <w:rsid w:val="00820282"/>
    <w:rsid w:val="00820A11"/>
    <w:rsid w:val="00820BB4"/>
    <w:rsid w:val="0082117F"/>
    <w:rsid w:val="00821371"/>
    <w:rsid w:val="0082148E"/>
    <w:rsid w:val="00822153"/>
    <w:rsid w:val="00822C00"/>
    <w:rsid w:val="00823242"/>
    <w:rsid w:val="0082403D"/>
    <w:rsid w:val="00824346"/>
    <w:rsid w:val="008243E7"/>
    <w:rsid w:val="0082454D"/>
    <w:rsid w:val="008246F5"/>
    <w:rsid w:val="00825448"/>
    <w:rsid w:val="0082544F"/>
    <w:rsid w:val="00825C11"/>
    <w:rsid w:val="00826033"/>
    <w:rsid w:val="0082619C"/>
    <w:rsid w:val="00826245"/>
    <w:rsid w:val="00826705"/>
    <w:rsid w:val="00827076"/>
    <w:rsid w:val="008277DD"/>
    <w:rsid w:val="008278FA"/>
    <w:rsid w:val="0083054A"/>
    <w:rsid w:val="00830C98"/>
    <w:rsid w:val="00831365"/>
    <w:rsid w:val="008319D8"/>
    <w:rsid w:val="00831A0D"/>
    <w:rsid w:val="00831F5E"/>
    <w:rsid w:val="00831F6E"/>
    <w:rsid w:val="008323FF"/>
    <w:rsid w:val="00832F30"/>
    <w:rsid w:val="0083401B"/>
    <w:rsid w:val="00835808"/>
    <w:rsid w:val="008358B3"/>
    <w:rsid w:val="00835B85"/>
    <w:rsid w:val="00835C7B"/>
    <w:rsid w:val="00836AD2"/>
    <w:rsid w:val="0083748B"/>
    <w:rsid w:val="008375CC"/>
    <w:rsid w:val="008376E7"/>
    <w:rsid w:val="008411A0"/>
    <w:rsid w:val="008415C0"/>
    <w:rsid w:val="008415CC"/>
    <w:rsid w:val="00841631"/>
    <w:rsid w:val="00841D02"/>
    <w:rsid w:val="00842088"/>
    <w:rsid w:val="008427FE"/>
    <w:rsid w:val="00842862"/>
    <w:rsid w:val="00842B36"/>
    <w:rsid w:val="00842B7B"/>
    <w:rsid w:val="00842B98"/>
    <w:rsid w:val="00842FCD"/>
    <w:rsid w:val="00843116"/>
    <w:rsid w:val="008438B8"/>
    <w:rsid w:val="008439DB"/>
    <w:rsid w:val="008445CF"/>
    <w:rsid w:val="00844FB1"/>
    <w:rsid w:val="00845199"/>
    <w:rsid w:val="008461D9"/>
    <w:rsid w:val="008467BC"/>
    <w:rsid w:val="00846814"/>
    <w:rsid w:val="00846AE1"/>
    <w:rsid w:val="0084738D"/>
    <w:rsid w:val="0084799A"/>
    <w:rsid w:val="00847DFE"/>
    <w:rsid w:val="00851111"/>
    <w:rsid w:val="0085219B"/>
    <w:rsid w:val="008525CF"/>
    <w:rsid w:val="00853501"/>
    <w:rsid w:val="0085362B"/>
    <w:rsid w:val="00853940"/>
    <w:rsid w:val="008539F4"/>
    <w:rsid w:val="00853CC7"/>
    <w:rsid w:val="008542CC"/>
    <w:rsid w:val="00854CC2"/>
    <w:rsid w:val="00855849"/>
    <w:rsid w:val="00855994"/>
    <w:rsid w:val="00855995"/>
    <w:rsid w:val="00856407"/>
    <w:rsid w:val="00856709"/>
    <w:rsid w:val="00856717"/>
    <w:rsid w:val="00856E99"/>
    <w:rsid w:val="00860973"/>
    <w:rsid w:val="00860B77"/>
    <w:rsid w:val="00860D4E"/>
    <w:rsid w:val="00861332"/>
    <w:rsid w:val="0086183E"/>
    <w:rsid w:val="00862A14"/>
    <w:rsid w:val="00862A32"/>
    <w:rsid w:val="0086398D"/>
    <w:rsid w:val="00863A18"/>
    <w:rsid w:val="00863B57"/>
    <w:rsid w:val="00864060"/>
    <w:rsid w:val="00864111"/>
    <w:rsid w:val="008648B5"/>
    <w:rsid w:val="00864F20"/>
    <w:rsid w:val="0086568F"/>
    <w:rsid w:val="0086641A"/>
    <w:rsid w:val="00866764"/>
    <w:rsid w:val="00866DA3"/>
    <w:rsid w:val="00867F68"/>
    <w:rsid w:val="008700DC"/>
    <w:rsid w:val="0087067C"/>
    <w:rsid w:val="008715A6"/>
    <w:rsid w:val="0087183A"/>
    <w:rsid w:val="008722E8"/>
    <w:rsid w:val="00872858"/>
    <w:rsid w:val="00872AD9"/>
    <w:rsid w:val="00872C13"/>
    <w:rsid w:val="00872D5A"/>
    <w:rsid w:val="00872D63"/>
    <w:rsid w:val="00873419"/>
    <w:rsid w:val="008737D3"/>
    <w:rsid w:val="00873987"/>
    <w:rsid w:val="00874925"/>
    <w:rsid w:val="00874E8C"/>
    <w:rsid w:val="00875099"/>
    <w:rsid w:val="00875FB2"/>
    <w:rsid w:val="008771A4"/>
    <w:rsid w:val="0087740C"/>
    <w:rsid w:val="00877CBF"/>
    <w:rsid w:val="00880B1A"/>
    <w:rsid w:val="00881350"/>
    <w:rsid w:val="008813CD"/>
    <w:rsid w:val="008815CC"/>
    <w:rsid w:val="008815EA"/>
    <w:rsid w:val="00881D1C"/>
    <w:rsid w:val="00882B8A"/>
    <w:rsid w:val="00882D53"/>
    <w:rsid w:val="008833E2"/>
    <w:rsid w:val="00883437"/>
    <w:rsid w:val="008834C5"/>
    <w:rsid w:val="00883542"/>
    <w:rsid w:val="00883992"/>
    <w:rsid w:val="00883C24"/>
    <w:rsid w:val="0088443A"/>
    <w:rsid w:val="0088452D"/>
    <w:rsid w:val="00884B75"/>
    <w:rsid w:val="00884F19"/>
    <w:rsid w:val="00884F2F"/>
    <w:rsid w:val="008853F8"/>
    <w:rsid w:val="00887161"/>
    <w:rsid w:val="00887C81"/>
    <w:rsid w:val="00887F7A"/>
    <w:rsid w:val="00890A93"/>
    <w:rsid w:val="00890DCC"/>
    <w:rsid w:val="008912BF"/>
    <w:rsid w:val="0089152B"/>
    <w:rsid w:val="00891534"/>
    <w:rsid w:val="00891766"/>
    <w:rsid w:val="008923F6"/>
    <w:rsid w:val="00892AB3"/>
    <w:rsid w:val="00892EF2"/>
    <w:rsid w:val="008932A8"/>
    <w:rsid w:val="00894668"/>
    <w:rsid w:val="008947A9"/>
    <w:rsid w:val="008953BD"/>
    <w:rsid w:val="00895674"/>
    <w:rsid w:val="008956C6"/>
    <w:rsid w:val="00896615"/>
    <w:rsid w:val="00896647"/>
    <w:rsid w:val="00896703"/>
    <w:rsid w:val="0089692C"/>
    <w:rsid w:val="00896EDE"/>
    <w:rsid w:val="00897324"/>
    <w:rsid w:val="008979CE"/>
    <w:rsid w:val="00897A52"/>
    <w:rsid w:val="008A085F"/>
    <w:rsid w:val="008A178D"/>
    <w:rsid w:val="008A1976"/>
    <w:rsid w:val="008A19F8"/>
    <w:rsid w:val="008A279D"/>
    <w:rsid w:val="008A31AC"/>
    <w:rsid w:val="008A3D64"/>
    <w:rsid w:val="008A42D9"/>
    <w:rsid w:val="008A4628"/>
    <w:rsid w:val="008A4B75"/>
    <w:rsid w:val="008A5125"/>
    <w:rsid w:val="008A54A8"/>
    <w:rsid w:val="008A5849"/>
    <w:rsid w:val="008A6442"/>
    <w:rsid w:val="008A6CFF"/>
    <w:rsid w:val="008A704C"/>
    <w:rsid w:val="008B111C"/>
    <w:rsid w:val="008B17FA"/>
    <w:rsid w:val="008B1A6E"/>
    <w:rsid w:val="008B1AFF"/>
    <w:rsid w:val="008B1C61"/>
    <w:rsid w:val="008B219C"/>
    <w:rsid w:val="008B2542"/>
    <w:rsid w:val="008B2833"/>
    <w:rsid w:val="008B2E86"/>
    <w:rsid w:val="008B3A09"/>
    <w:rsid w:val="008B3CBA"/>
    <w:rsid w:val="008B40E6"/>
    <w:rsid w:val="008B47CB"/>
    <w:rsid w:val="008B4F1C"/>
    <w:rsid w:val="008B587F"/>
    <w:rsid w:val="008B6741"/>
    <w:rsid w:val="008B6A6C"/>
    <w:rsid w:val="008B7666"/>
    <w:rsid w:val="008C0001"/>
    <w:rsid w:val="008C0A6A"/>
    <w:rsid w:val="008C15BB"/>
    <w:rsid w:val="008C16BA"/>
    <w:rsid w:val="008C17E8"/>
    <w:rsid w:val="008C1ADD"/>
    <w:rsid w:val="008C28E5"/>
    <w:rsid w:val="008C2EB9"/>
    <w:rsid w:val="008C456D"/>
    <w:rsid w:val="008C4E5F"/>
    <w:rsid w:val="008C5A73"/>
    <w:rsid w:val="008C5D73"/>
    <w:rsid w:val="008C63A4"/>
    <w:rsid w:val="008C67B0"/>
    <w:rsid w:val="008C6C82"/>
    <w:rsid w:val="008C6DC7"/>
    <w:rsid w:val="008C71D2"/>
    <w:rsid w:val="008C745B"/>
    <w:rsid w:val="008D0CFE"/>
    <w:rsid w:val="008D1429"/>
    <w:rsid w:val="008D15F7"/>
    <w:rsid w:val="008D1970"/>
    <w:rsid w:val="008D1CEC"/>
    <w:rsid w:val="008D1F6B"/>
    <w:rsid w:val="008D1FDE"/>
    <w:rsid w:val="008D272D"/>
    <w:rsid w:val="008D2B65"/>
    <w:rsid w:val="008D351D"/>
    <w:rsid w:val="008D44FF"/>
    <w:rsid w:val="008D483F"/>
    <w:rsid w:val="008D4AA5"/>
    <w:rsid w:val="008D4ABC"/>
    <w:rsid w:val="008D4FAA"/>
    <w:rsid w:val="008D51BA"/>
    <w:rsid w:val="008D68E7"/>
    <w:rsid w:val="008D6ECC"/>
    <w:rsid w:val="008D74FE"/>
    <w:rsid w:val="008D7519"/>
    <w:rsid w:val="008E061A"/>
    <w:rsid w:val="008E12F6"/>
    <w:rsid w:val="008E14D8"/>
    <w:rsid w:val="008E1526"/>
    <w:rsid w:val="008E18E0"/>
    <w:rsid w:val="008E1C45"/>
    <w:rsid w:val="008E1D0F"/>
    <w:rsid w:val="008E242E"/>
    <w:rsid w:val="008E25C9"/>
    <w:rsid w:val="008E26DB"/>
    <w:rsid w:val="008E3132"/>
    <w:rsid w:val="008E36DF"/>
    <w:rsid w:val="008E3990"/>
    <w:rsid w:val="008E4C63"/>
    <w:rsid w:val="008E53CB"/>
    <w:rsid w:val="008E5759"/>
    <w:rsid w:val="008E588E"/>
    <w:rsid w:val="008E5AEE"/>
    <w:rsid w:val="008E647B"/>
    <w:rsid w:val="008E7B61"/>
    <w:rsid w:val="008E7DE0"/>
    <w:rsid w:val="008F0374"/>
    <w:rsid w:val="008F0E04"/>
    <w:rsid w:val="008F1A8A"/>
    <w:rsid w:val="008F1E85"/>
    <w:rsid w:val="008F1FAC"/>
    <w:rsid w:val="008F243B"/>
    <w:rsid w:val="008F2872"/>
    <w:rsid w:val="008F3AE2"/>
    <w:rsid w:val="008F3F2F"/>
    <w:rsid w:val="008F438F"/>
    <w:rsid w:val="008F461E"/>
    <w:rsid w:val="008F4757"/>
    <w:rsid w:val="008F4985"/>
    <w:rsid w:val="008F4B9A"/>
    <w:rsid w:val="008F4BA8"/>
    <w:rsid w:val="008F4C2E"/>
    <w:rsid w:val="008F52A9"/>
    <w:rsid w:val="008F5744"/>
    <w:rsid w:val="008F5904"/>
    <w:rsid w:val="008F6221"/>
    <w:rsid w:val="008F6B73"/>
    <w:rsid w:val="008F6DC5"/>
    <w:rsid w:val="008F722B"/>
    <w:rsid w:val="008F72BF"/>
    <w:rsid w:val="008F777B"/>
    <w:rsid w:val="008F7CCE"/>
    <w:rsid w:val="008F7D9E"/>
    <w:rsid w:val="00900549"/>
    <w:rsid w:val="009008C5"/>
    <w:rsid w:val="00900D50"/>
    <w:rsid w:val="0090185A"/>
    <w:rsid w:val="0090255B"/>
    <w:rsid w:val="00903212"/>
    <w:rsid w:val="00903234"/>
    <w:rsid w:val="0090351B"/>
    <w:rsid w:val="0090392E"/>
    <w:rsid w:val="00904B11"/>
    <w:rsid w:val="00905392"/>
    <w:rsid w:val="009053E5"/>
    <w:rsid w:val="0090569A"/>
    <w:rsid w:val="00905D62"/>
    <w:rsid w:val="009064E2"/>
    <w:rsid w:val="0090699C"/>
    <w:rsid w:val="00906C0D"/>
    <w:rsid w:val="00906F9C"/>
    <w:rsid w:val="0090734A"/>
    <w:rsid w:val="009077C7"/>
    <w:rsid w:val="0091220E"/>
    <w:rsid w:val="009127E8"/>
    <w:rsid w:val="00912B66"/>
    <w:rsid w:val="009145D6"/>
    <w:rsid w:val="0091465A"/>
    <w:rsid w:val="00914B94"/>
    <w:rsid w:val="00915274"/>
    <w:rsid w:val="00915918"/>
    <w:rsid w:val="00915B6F"/>
    <w:rsid w:val="00915D9B"/>
    <w:rsid w:val="009163E1"/>
    <w:rsid w:val="00916EA3"/>
    <w:rsid w:val="009171A6"/>
    <w:rsid w:val="00917840"/>
    <w:rsid w:val="009178BF"/>
    <w:rsid w:val="00917D81"/>
    <w:rsid w:val="00920216"/>
    <w:rsid w:val="00920463"/>
    <w:rsid w:val="00920B41"/>
    <w:rsid w:val="00920F38"/>
    <w:rsid w:val="00920F3F"/>
    <w:rsid w:val="00920F7C"/>
    <w:rsid w:val="009212EA"/>
    <w:rsid w:val="0092195A"/>
    <w:rsid w:val="00921A7B"/>
    <w:rsid w:val="0092231C"/>
    <w:rsid w:val="00922D33"/>
    <w:rsid w:val="00922DD4"/>
    <w:rsid w:val="00922E01"/>
    <w:rsid w:val="00922E97"/>
    <w:rsid w:val="009231E5"/>
    <w:rsid w:val="009238C7"/>
    <w:rsid w:val="00923D68"/>
    <w:rsid w:val="009241B9"/>
    <w:rsid w:val="009241E4"/>
    <w:rsid w:val="009245CA"/>
    <w:rsid w:val="00926338"/>
    <w:rsid w:val="009267F1"/>
    <w:rsid w:val="009268F6"/>
    <w:rsid w:val="00926AFB"/>
    <w:rsid w:val="00926E4D"/>
    <w:rsid w:val="009272BE"/>
    <w:rsid w:val="0092794B"/>
    <w:rsid w:val="00927E64"/>
    <w:rsid w:val="00930030"/>
    <w:rsid w:val="00930FA0"/>
    <w:rsid w:val="009312A8"/>
    <w:rsid w:val="009318BF"/>
    <w:rsid w:val="00931BDA"/>
    <w:rsid w:val="00931C84"/>
    <w:rsid w:val="00931DF4"/>
    <w:rsid w:val="009327BF"/>
    <w:rsid w:val="00932E79"/>
    <w:rsid w:val="00932FA3"/>
    <w:rsid w:val="009333FC"/>
    <w:rsid w:val="0093352D"/>
    <w:rsid w:val="00933CED"/>
    <w:rsid w:val="00933ED6"/>
    <w:rsid w:val="009343A6"/>
    <w:rsid w:val="009349DB"/>
    <w:rsid w:val="0093502B"/>
    <w:rsid w:val="0093579E"/>
    <w:rsid w:val="0093657F"/>
    <w:rsid w:val="00936B0B"/>
    <w:rsid w:val="00936E09"/>
    <w:rsid w:val="009376FF"/>
    <w:rsid w:val="00940185"/>
    <w:rsid w:val="00940430"/>
    <w:rsid w:val="00940BCD"/>
    <w:rsid w:val="00941279"/>
    <w:rsid w:val="0094233D"/>
    <w:rsid w:val="0094277E"/>
    <w:rsid w:val="009428E0"/>
    <w:rsid w:val="00942FDB"/>
    <w:rsid w:val="00943239"/>
    <w:rsid w:val="0094378B"/>
    <w:rsid w:val="00943B27"/>
    <w:rsid w:val="009449A7"/>
    <w:rsid w:val="00944E5F"/>
    <w:rsid w:val="00945391"/>
    <w:rsid w:val="00945506"/>
    <w:rsid w:val="009462D5"/>
    <w:rsid w:val="00946C9C"/>
    <w:rsid w:val="009507F5"/>
    <w:rsid w:val="00950CCC"/>
    <w:rsid w:val="00950F69"/>
    <w:rsid w:val="009519B2"/>
    <w:rsid w:val="00951CB0"/>
    <w:rsid w:val="00951F32"/>
    <w:rsid w:val="009520F2"/>
    <w:rsid w:val="00952100"/>
    <w:rsid w:val="00952ECD"/>
    <w:rsid w:val="009538C7"/>
    <w:rsid w:val="00953B34"/>
    <w:rsid w:val="00953C29"/>
    <w:rsid w:val="0095435D"/>
    <w:rsid w:val="00954469"/>
    <w:rsid w:val="0095456C"/>
    <w:rsid w:val="009547B3"/>
    <w:rsid w:val="00954C52"/>
    <w:rsid w:val="009557A3"/>
    <w:rsid w:val="00956905"/>
    <w:rsid w:val="00956983"/>
    <w:rsid w:val="00956BD7"/>
    <w:rsid w:val="0095782A"/>
    <w:rsid w:val="00960019"/>
    <w:rsid w:val="009610BA"/>
    <w:rsid w:val="00961116"/>
    <w:rsid w:val="009614C6"/>
    <w:rsid w:val="009616CC"/>
    <w:rsid w:val="00961CB8"/>
    <w:rsid w:val="009623FF"/>
    <w:rsid w:val="009627CA"/>
    <w:rsid w:val="00962BFB"/>
    <w:rsid w:val="00962E1C"/>
    <w:rsid w:val="00962F72"/>
    <w:rsid w:val="00963302"/>
    <w:rsid w:val="0096349D"/>
    <w:rsid w:val="009638AF"/>
    <w:rsid w:val="00963CB3"/>
    <w:rsid w:val="00963CCD"/>
    <w:rsid w:val="0096433E"/>
    <w:rsid w:val="00964954"/>
    <w:rsid w:val="00964F63"/>
    <w:rsid w:val="00965687"/>
    <w:rsid w:val="0096584E"/>
    <w:rsid w:val="009665F8"/>
    <w:rsid w:val="00966684"/>
    <w:rsid w:val="00966910"/>
    <w:rsid w:val="00966DEC"/>
    <w:rsid w:val="009673C3"/>
    <w:rsid w:val="009702AB"/>
    <w:rsid w:val="009704E5"/>
    <w:rsid w:val="009710E6"/>
    <w:rsid w:val="00971C15"/>
    <w:rsid w:val="00972578"/>
    <w:rsid w:val="00972D35"/>
    <w:rsid w:val="00972E82"/>
    <w:rsid w:val="0097371E"/>
    <w:rsid w:val="00974F9A"/>
    <w:rsid w:val="00975B1C"/>
    <w:rsid w:val="0097643E"/>
    <w:rsid w:val="0097673B"/>
    <w:rsid w:val="0097674A"/>
    <w:rsid w:val="00976B19"/>
    <w:rsid w:val="00977085"/>
    <w:rsid w:val="0097737F"/>
    <w:rsid w:val="009778A7"/>
    <w:rsid w:val="00977ADC"/>
    <w:rsid w:val="00977F0D"/>
    <w:rsid w:val="009800F5"/>
    <w:rsid w:val="00980124"/>
    <w:rsid w:val="0098037D"/>
    <w:rsid w:val="00980ECA"/>
    <w:rsid w:val="0098224A"/>
    <w:rsid w:val="0098275A"/>
    <w:rsid w:val="00983168"/>
    <w:rsid w:val="00983333"/>
    <w:rsid w:val="00983F1C"/>
    <w:rsid w:val="00984424"/>
    <w:rsid w:val="009844AD"/>
    <w:rsid w:val="00984B79"/>
    <w:rsid w:val="00984C3B"/>
    <w:rsid w:val="00984E8E"/>
    <w:rsid w:val="0098544A"/>
    <w:rsid w:val="0098589D"/>
    <w:rsid w:val="00985DBB"/>
    <w:rsid w:val="009867EC"/>
    <w:rsid w:val="00987C7D"/>
    <w:rsid w:val="00987D06"/>
    <w:rsid w:val="00990380"/>
    <w:rsid w:val="00990BF7"/>
    <w:rsid w:val="00990E07"/>
    <w:rsid w:val="009921DB"/>
    <w:rsid w:val="00992A39"/>
    <w:rsid w:val="00992B84"/>
    <w:rsid w:val="00993141"/>
    <w:rsid w:val="0099321F"/>
    <w:rsid w:val="00993D04"/>
    <w:rsid w:val="00993DFC"/>
    <w:rsid w:val="00993EC5"/>
    <w:rsid w:val="009940EF"/>
    <w:rsid w:val="009949F2"/>
    <w:rsid w:val="00994A8D"/>
    <w:rsid w:val="00994D06"/>
    <w:rsid w:val="00995143"/>
    <w:rsid w:val="00995BCF"/>
    <w:rsid w:val="00995CF4"/>
    <w:rsid w:val="00995FE6"/>
    <w:rsid w:val="0099611C"/>
    <w:rsid w:val="0099624C"/>
    <w:rsid w:val="00996681"/>
    <w:rsid w:val="00996C75"/>
    <w:rsid w:val="00996FCA"/>
    <w:rsid w:val="0099706A"/>
    <w:rsid w:val="009977DE"/>
    <w:rsid w:val="00997CF0"/>
    <w:rsid w:val="00997D52"/>
    <w:rsid w:val="00997DC8"/>
    <w:rsid w:val="00997F28"/>
    <w:rsid w:val="009A0124"/>
    <w:rsid w:val="009A0BBC"/>
    <w:rsid w:val="009A0D0E"/>
    <w:rsid w:val="009A0EF4"/>
    <w:rsid w:val="009A114F"/>
    <w:rsid w:val="009A12A8"/>
    <w:rsid w:val="009A1590"/>
    <w:rsid w:val="009A1A7F"/>
    <w:rsid w:val="009A1BC7"/>
    <w:rsid w:val="009A1C15"/>
    <w:rsid w:val="009A201F"/>
    <w:rsid w:val="009A2072"/>
    <w:rsid w:val="009A4122"/>
    <w:rsid w:val="009A493D"/>
    <w:rsid w:val="009A4DA6"/>
    <w:rsid w:val="009A5823"/>
    <w:rsid w:val="009A5AFD"/>
    <w:rsid w:val="009A601F"/>
    <w:rsid w:val="009A6EFD"/>
    <w:rsid w:val="009A70F4"/>
    <w:rsid w:val="009B00B1"/>
    <w:rsid w:val="009B0891"/>
    <w:rsid w:val="009B0936"/>
    <w:rsid w:val="009B0B37"/>
    <w:rsid w:val="009B2464"/>
    <w:rsid w:val="009B2EFA"/>
    <w:rsid w:val="009B3378"/>
    <w:rsid w:val="009B348A"/>
    <w:rsid w:val="009B39DC"/>
    <w:rsid w:val="009B3B1E"/>
    <w:rsid w:val="009B3BBC"/>
    <w:rsid w:val="009B454E"/>
    <w:rsid w:val="009B4796"/>
    <w:rsid w:val="009B4B1D"/>
    <w:rsid w:val="009B5383"/>
    <w:rsid w:val="009B5B49"/>
    <w:rsid w:val="009B5C90"/>
    <w:rsid w:val="009B61E7"/>
    <w:rsid w:val="009B69B2"/>
    <w:rsid w:val="009B6F14"/>
    <w:rsid w:val="009B72A4"/>
    <w:rsid w:val="009B72DC"/>
    <w:rsid w:val="009B744D"/>
    <w:rsid w:val="009C0A72"/>
    <w:rsid w:val="009C0C82"/>
    <w:rsid w:val="009C10C2"/>
    <w:rsid w:val="009C121E"/>
    <w:rsid w:val="009C17B0"/>
    <w:rsid w:val="009C17FC"/>
    <w:rsid w:val="009C3E9F"/>
    <w:rsid w:val="009C4758"/>
    <w:rsid w:val="009C4B70"/>
    <w:rsid w:val="009C5022"/>
    <w:rsid w:val="009C53FA"/>
    <w:rsid w:val="009C5B58"/>
    <w:rsid w:val="009C5C20"/>
    <w:rsid w:val="009C5F5B"/>
    <w:rsid w:val="009C6012"/>
    <w:rsid w:val="009C615E"/>
    <w:rsid w:val="009C64E8"/>
    <w:rsid w:val="009C6E72"/>
    <w:rsid w:val="009C76F4"/>
    <w:rsid w:val="009D0ACF"/>
    <w:rsid w:val="009D0EF6"/>
    <w:rsid w:val="009D1989"/>
    <w:rsid w:val="009D21C8"/>
    <w:rsid w:val="009D280E"/>
    <w:rsid w:val="009D2EB9"/>
    <w:rsid w:val="009D34F4"/>
    <w:rsid w:val="009D35AB"/>
    <w:rsid w:val="009D36DB"/>
    <w:rsid w:val="009D3A2E"/>
    <w:rsid w:val="009D3C3F"/>
    <w:rsid w:val="009D3CEE"/>
    <w:rsid w:val="009D4D67"/>
    <w:rsid w:val="009D635B"/>
    <w:rsid w:val="009D6360"/>
    <w:rsid w:val="009D66DC"/>
    <w:rsid w:val="009D6A06"/>
    <w:rsid w:val="009D7815"/>
    <w:rsid w:val="009D7CF5"/>
    <w:rsid w:val="009D7F6F"/>
    <w:rsid w:val="009E0393"/>
    <w:rsid w:val="009E07D3"/>
    <w:rsid w:val="009E0CF5"/>
    <w:rsid w:val="009E1F9C"/>
    <w:rsid w:val="009E2089"/>
    <w:rsid w:val="009E2CAB"/>
    <w:rsid w:val="009E2D57"/>
    <w:rsid w:val="009E4558"/>
    <w:rsid w:val="009E4A6C"/>
    <w:rsid w:val="009E5011"/>
    <w:rsid w:val="009E51D2"/>
    <w:rsid w:val="009E53DC"/>
    <w:rsid w:val="009E6762"/>
    <w:rsid w:val="009E6846"/>
    <w:rsid w:val="009E72CA"/>
    <w:rsid w:val="009E750F"/>
    <w:rsid w:val="009E763A"/>
    <w:rsid w:val="009E788B"/>
    <w:rsid w:val="009E7EFF"/>
    <w:rsid w:val="009F0025"/>
    <w:rsid w:val="009F038E"/>
    <w:rsid w:val="009F057C"/>
    <w:rsid w:val="009F06F2"/>
    <w:rsid w:val="009F0D1F"/>
    <w:rsid w:val="009F0D60"/>
    <w:rsid w:val="009F12D9"/>
    <w:rsid w:val="009F148D"/>
    <w:rsid w:val="009F200F"/>
    <w:rsid w:val="009F20C1"/>
    <w:rsid w:val="009F2359"/>
    <w:rsid w:val="009F2CD7"/>
    <w:rsid w:val="009F3189"/>
    <w:rsid w:val="009F3DB0"/>
    <w:rsid w:val="009F3F0A"/>
    <w:rsid w:val="009F4CC9"/>
    <w:rsid w:val="009F5F52"/>
    <w:rsid w:val="009F60D8"/>
    <w:rsid w:val="009F6266"/>
    <w:rsid w:val="009F635E"/>
    <w:rsid w:val="00A00AB6"/>
    <w:rsid w:val="00A00D67"/>
    <w:rsid w:val="00A01293"/>
    <w:rsid w:val="00A01D59"/>
    <w:rsid w:val="00A023F9"/>
    <w:rsid w:val="00A02458"/>
    <w:rsid w:val="00A02673"/>
    <w:rsid w:val="00A027F8"/>
    <w:rsid w:val="00A02C5D"/>
    <w:rsid w:val="00A0364B"/>
    <w:rsid w:val="00A039FF"/>
    <w:rsid w:val="00A03CD8"/>
    <w:rsid w:val="00A0428C"/>
    <w:rsid w:val="00A0486C"/>
    <w:rsid w:val="00A048DF"/>
    <w:rsid w:val="00A04D86"/>
    <w:rsid w:val="00A0573B"/>
    <w:rsid w:val="00A060C6"/>
    <w:rsid w:val="00A068F1"/>
    <w:rsid w:val="00A06A81"/>
    <w:rsid w:val="00A06EE6"/>
    <w:rsid w:val="00A071C7"/>
    <w:rsid w:val="00A07DD0"/>
    <w:rsid w:val="00A10918"/>
    <w:rsid w:val="00A109FB"/>
    <w:rsid w:val="00A10C87"/>
    <w:rsid w:val="00A12A67"/>
    <w:rsid w:val="00A13E91"/>
    <w:rsid w:val="00A140D3"/>
    <w:rsid w:val="00A1446B"/>
    <w:rsid w:val="00A14BA9"/>
    <w:rsid w:val="00A14E2D"/>
    <w:rsid w:val="00A15B8A"/>
    <w:rsid w:val="00A167F2"/>
    <w:rsid w:val="00A1701A"/>
    <w:rsid w:val="00A172ED"/>
    <w:rsid w:val="00A17B8B"/>
    <w:rsid w:val="00A17D78"/>
    <w:rsid w:val="00A17EFE"/>
    <w:rsid w:val="00A2069B"/>
    <w:rsid w:val="00A20C78"/>
    <w:rsid w:val="00A20CDF"/>
    <w:rsid w:val="00A2104C"/>
    <w:rsid w:val="00A21159"/>
    <w:rsid w:val="00A21450"/>
    <w:rsid w:val="00A21480"/>
    <w:rsid w:val="00A21F03"/>
    <w:rsid w:val="00A22096"/>
    <w:rsid w:val="00A225A7"/>
    <w:rsid w:val="00A23017"/>
    <w:rsid w:val="00A2312E"/>
    <w:rsid w:val="00A2368D"/>
    <w:rsid w:val="00A239CA"/>
    <w:rsid w:val="00A23C7A"/>
    <w:rsid w:val="00A24323"/>
    <w:rsid w:val="00A2448D"/>
    <w:rsid w:val="00A24DB5"/>
    <w:rsid w:val="00A24FF4"/>
    <w:rsid w:val="00A2512C"/>
    <w:rsid w:val="00A2515B"/>
    <w:rsid w:val="00A251CB"/>
    <w:rsid w:val="00A251CD"/>
    <w:rsid w:val="00A25590"/>
    <w:rsid w:val="00A257B6"/>
    <w:rsid w:val="00A2588E"/>
    <w:rsid w:val="00A25A7C"/>
    <w:rsid w:val="00A262DB"/>
    <w:rsid w:val="00A26D91"/>
    <w:rsid w:val="00A26EDF"/>
    <w:rsid w:val="00A27644"/>
    <w:rsid w:val="00A300D6"/>
    <w:rsid w:val="00A3051B"/>
    <w:rsid w:val="00A31120"/>
    <w:rsid w:val="00A312AE"/>
    <w:rsid w:val="00A319B9"/>
    <w:rsid w:val="00A31E2A"/>
    <w:rsid w:val="00A320D1"/>
    <w:rsid w:val="00A32186"/>
    <w:rsid w:val="00A330F3"/>
    <w:rsid w:val="00A33276"/>
    <w:rsid w:val="00A332BE"/>
    <w:rsid w:val="00A333A9"/>
    <w:rsid w:val="00A341D6"/>
    <w:rsid w:val="00A34600"/>
    <w:rsid w:val="00A34789"/>
    <w:rsid w:val="00A34D09"/>
    <w:rsid w:val="00A35731"/>
    <w:rsid w:val="00A3630E"/>
    <w:rsid w:val="00A366A0"/>
    <w:rsid w:val="00A36D14"/>
    <w:rsid w:val="00A36EE5"/>
    <w:rsid w:val="00A36EEE"/>
    <w:rsid w:val="00A37431"/>
    <w:rsid w:val="00A37BB8"/>
    <w:rsid w:val="00A40999"/>
    <w:rsid w:val="00A41400"/>
    <w:rsid w:val="00A41459"/>
    <w:rsid w:val="00A41FF8"/>
    <w:rsid w:val="00A42D87"/>
    <w:rsid w:val="00A42E8F"/>
    <w:rsid w:val="00A42EAC"/>
    <w:rsid w:val="00A431A0"/>
    <w:rsid w:val="00A43743"/>
    <w:rsid w:val="00A43753"/>
    <w:rsid w:val="00A442B1"/>
    <w:rsid w:val="00A44BD3"/>
    <w:rsid w:val="00A44D64"/>
    <w:rsid w:val="00A450E9"/>
    <w:rsid w:val="00A4521D"/>
    <w:rsid w:val="00A45C58"/>
    <w:rsid w:val="00A4625F"/>
    <w:rsid w:val="00A462B0"/>
    <w:rsid w:val="00A46363"/>
    <w:rsid w:val="00A46D6F"/>
    <w:rsid w:val="00A46E01"/>
    <w:rsid w:val="00A477B0"/>
    <w:rsid w:val="00A47ABA"/>
    <w:rsid w:val="00A50053"/>
    <w:rsid w:val="00A502A2"/>
    <w:rsid w:val="00A503EB"/>
    <w:rsid w:val="00A508EC"/>
    <w:rsid w:val="00A50FD5"/>
    <w:rsid w:val="00A51310"/>
    <w:rsid w:val="00A515BE"/>
    <w:rsid w:val="00A5161B"/>
    <w:rsid w:val="00A51665"/>
    <w:rsid w:val="00A51A09"/>
    <w:rsid w:val="00A51DD3"/>
    <w:rsid w:val="00A51F0A"/>
    <w:rsid w:val="00A52540"/>
    <w:rsid w:val="00A5345F"/>
    <w:rsid w:val="00A536E5"/>
    <w:rsid w:val="00A53951"/>
    <w:rsid w:val="00A53993"/>
    <w:rsid w:val="00A54483"/>
    <w:rsid w:val="00A54510"/>
    <w:rsid w:val="00A54910"/>
    <w:rsid w:val="00A54EDB"/>
    <w:rsid w:val="00A54EF2"/>
    <w:rsid w:val="00A55D48"/>
    <w:rsid w:val="00A56EF8"/>
    <w:rsid w:val="00A579AC"/>
    <w:rsid w:val="00A57BEB"/>
    <w:rsid w:val="00A6049A"/>
    <w:rsid w:val="00A60D26"/>
    <w:rsid w:val="00A60FF2"/>
    <w:rsid w:val="00A61673"/>
    <w:rsid w:val="00A61B30"/>
    <w:rsid w:val="00A627E0"/>
    <w:rsid w:val="00A6294F"/>
    <w:rsid w:val="00A629EE"/>
    <w:rsid w:val="00A62B90"/>
    <w:rsid w:val="00A63FFD"/>
    <w:rsid w:val="00A64926"/>
    <w:rsid w:val="00A6598A"/>
    <w:rsid w:val="00A66024"/>
    <w:rsid w:val="00A66529"/>
    <w:rsid w:val="00A665CF"/>
    <w:rsid w:val="00A67374"/>
    <w:rsid w:val="00A67CA7"/>
    <w:rsid w:val="00A70648"/>
    <w:rsid w:val="00A709DA"/>
    <w:rsid w:val="00A72A21"/>
    <w:rsid w:val="00A72B4F"/>
    <w:rsid w:val="00A73989"/>
    <w:rsid w:val="00A73B12"/>
    <w:rsid w:val="00A74289"/>
    <w:rsid w:val="00A74763"/>
    <w:rsid w:val="00A74AA4"/>
    <w:rsid w:val="00A74F2C"/>
    <w:rsid w:val="00A752F2"/>
    <w:rsid w:val="00A75879"/>
    <w:rsid w:val="00A7591F"/>
    <w:rsid w:val="00A75EB2"/>
    <w:rsid w:val="00A762A0"/>
    <w:rsid w:val="00A7632F"/>
    <w:rsid w:val="00A768ED"/>
    <w:rsid w:val="00A76B7A"/>
    <w:rsid w:val="00A7752F"/>
    <w:rsid w:val="00A80AF9"/>
    <w:rsid w:val="00A813A0"/>
    <w:rsid w:val="00A81BCF"/>
    <w:rsid w:val="00A82812"/>
    <w:rsid w:val="00A82DB7"/>
    <w:rsid w:val="00A83419"/>
    <w:rsid w:val="00A8353E"/>
    <w:rsid w:val="00A84221"/>
    <w:rsid w:val="00A84CE6"/>
    <w:rsid w:val="00A84D5A"/>
    <w:rsid w:val="00A85764"/>
    <w:rsid w:val="00A85C35"/>
    <w:rsid w:val="00A85DFA"/>
    <w:rsid w:val="00A86128"/>
    <w:rsid w:val="00A863CF"/>
    <w:rsid w:val="00A86B79"/>
    <w:rsid w:val="00A86FAA"/>
    <w:rsid w:val="00A87037"/>
    <w:rsid w:val="00A875AC"/>
    <w:rsid w:val="00A87A5E"/>
    <w:rsid w:val="00A907C9"/>
    <w:rsid w:val="00A908D0"/>
    <w:rsid w:val="00A90D36"/>
    <w:rsid w:val="00A90DF2"/>
    <w:rsid w:val="00A92061"/>
    <w:rsid w:val="00A92612"/>
    <w:rsid w:val="00A92EF2"/>
    <w:rsid w:val="00A93502"/>
    <w:rsid w:val="00A93C3A"/>
    <w:rsid w:val="00A93CD6"/>
    <w:rsid w:val="00A94249"/>
    <w:rsid w:val="00A94BC9"/>
    <w:rsid w:val="00A94C30"/>
    <w:rsid w:val="00A957AD"/>
    <w:rsid w:val="00A959BC"/>
    <w:rsid w:val="00A95AC4"/>
    <w:rsid w:val="00A96846"/>
    <w:rsid w:val="00A97A39"/>
    <w:rsid w:val="00AA13B8"/>
    <w:rsid w:val="00AA2164"/>
    <w:rsid w:val="00AA29D6"/>
    <w:rsid w:val="00AA2B41"/>
    <w:rsid w:val="00AA2B71"/>
    <w:rsid w:val="00AA33A4"/>
    <w:rsid w:val="00AA3AFC"/>
    <w:rsid w:val="00AA3BE7"/>
    <w:rsid w:val="00AA3C60"/>
    <w:rsid w:val="00AA4080"/>
    <w:rsid w:val="00AA42C7"/>
    <w:rsid w:val="00AA5CBF"/>
    <w:rsid w:val="00AA5CEC"/>
    <w:rsid w:val="00AA652F"/>
    <w:rsid w:val="00AA66BF"/>
    <w:rsid w:val="00AA68F1"/>
    <w:rsid w:val="00AA6D1A"/>
    <w:rsid w:val="00AA77FE"/>
    <w:rsid w:val="00AA7D88"/>
    <w:rsid w:val="00AB0359"/>
    <w:rsid w:val="00AB08DD"/>
    <w:rsid w:val="00AB11AC"/>
    <w:rsid w:val="00AB12B0"/>
    <w:rsid w:val="00AB22BC"/>
    <w:rsid w:val="00AB22CC"/>
    <w:rsid w:val="00AB25B6"/>
    <w:rsid w:val="00AB2651"/>
    <w:rsid w:val="00AB2FF4"/>
    <w:rsid w:val="00AB33BF"/>
    <w:rsid w:val="00AB5F9C"/>
    <w:rsid w:val="00AB6DFD"/>
    <w:rsid w:val="00AB78EB"/>
    <w:rsid w:val="00AC0BAB"/>
    <w:rsid w:val="00AC18AE"/>
    <w:rsid w:val="00AC19EF"/>
    <w:rsid w:val="00AC1AD6"/>
    <w:rsid w:val="00AC1FEE"/>
    <w:rsid w:val="00AC2C3A"/>
    <w:rsid w:val="00AC3151"/>
    <w:rsid w:val="00AC3BBF"/>
    <w:rsid w:val="00AC430F"/>
    <w:rsid w:val="00AC51D9"/>
    <w:rsid w:val="00AC581E"/>
    <w:rsid w:val="00AC5B5D"/>
    <w:rsid w:val="00AC63BA"/>
    <w:rsid w:val="00AC6E85"/>
    <w:rsid w:val="00AC7BB7"/>
    <w:rsid w:val="00AD0FEC"/>
    <w:rsid w:val="00AD10A4"/>
    <w:rsid w:val="00AD115E"/>
    <w:rsid w:val="00AD1175"/>
    <w:rsid w:val="00AD226A"/>
    <w:rsid w:val="00AD27E4"/>
    <w:rsid w:val="00AD2AD2"/>
    <w:rsid w:val="00AD2E18"/>
    <w:rsid w:val="00AD3AA9"/>
    <w:rsid w:val="00AD3B31"/>
    <w:rsid w:val="00AD4760"/>
    <w:rsid w:val="00AD4862"/>
    <w:rsid w:val="00AD4FD0"/>
    <w:rsid w:val="00AD5459"/>
    <w:rsid w:val="00AD56AB"/>
    <w:rsid w:val="00AD5983"/>
    <w:rsid w:val="00AD63A8"/>
    <w:rsid w:val="00AD64DF"/>
    <w:rsid w:val="00AD6528"/>
    <w:rsid w:val="00AD6F1D"/>
    <w:rsid w:val="00AD791D"/>
    <w:rsid w:val="00AD7C4A"/>
    <w:rsid w:val="00AD7CAC"/>
    <w:rsid w:val="00AD7D43"/>
    <w:rsid w:val="00AE0801"/>
    <w:rsid w:val="00AE1025"/>
    <w:rsid w:val="00AE1791"/>
    <w:rsid w:val="00AE1B2C"/>
    <w:rsid w:val="00AE1ED6"/>
    <w:rsid w:val="00AE20A4"/>
    <w:rsid w:val="00AE2679"/>
    <w:rsid w:val="00AE2CE8"/>
    <w:rsid w:val="00AE3A0D"/>
    <w:rsid w:val="00AE3BDE"/>
    <w:rsid w:val="00AE3F03"/>
    <w:rsid w:val="00AE3F21"/>
    <w:rsid w:val="00AE3F44"/>
    <w:rsid w:val="00AE3F4D"/>
    <w:rsid w:val="00AE3FB1"/>
    <w:rsid w:val="00AE41F9"/>
    <w:rsid w:val="00AE434A"/>
    <w:rsid w:val="00AE55AA"/>
    <w:rsid w:val="00AE5726"/>
    <w:rsid w:val="00AE587C"/>
    <w:rsid w:val="00AE5E0C"/>
    <w:rsid w:val="00AE64B2"/>
    <w:rsid w:val="00AE64F0"/>
    <w:rsid w:val="00AE72C4"/>
    <w:rsid w:val="00AF02C7"/>
    <w:rsid w:val="00AF04B1"/>
    <w:rsid w:val="00AF08EF"/>
    <w:rsid w:val="00AF1585"/>
    <w:rsid w:val="00AF1908"/>
    <w:rsid w:val="00AF20B2"/>
    <w:rsid w:val="00AF22D0"/>
    <w:rsid w:val="00AF23C8"/>
    <w:rsid w:val="00AF2895"/>
    <w:rsid w:val="00AF2AE2"/>
    <w:rsid w:val="00AF2C9C"/>
    <w:rsid w:val="00AF2EEF"/>
    <w:rsid w:val="00AF30A8"/>
    <w:rsid w:val="00AF3131"/>
    <w:rsid w:val="00AF4124"/>
    <w:rsid w:val="00AF4AA0"/>
    <w:rsid w:val="00AF54D6"/>
    <w:rsid w:val="00AF6236"/>
    <w:rsid w:val="00AF658D"/>
    <w:rsid w:val="00AF6BD3"/>
    <w:rsid w:val="00AF6C1B"/>
    <w:rsid w:val="00AF7F59"/>
    <w:rsid w:val="00B00491"/>
    <w:rsid w:val="00B0191F"/>
    <w:rsid w:val="00B01FB1"/>
    <w:rsid w:val="00B02720"/>
    <w:rsid w:val="00B02D57"/>
    <w:rsid w:val="00B02FA4"/>
    <w:rsid w:val="00B031ED"/>
    <w:rsid w:val="00B034B8"/>
    <w:rsid w:val="00B0362F"/>
    <w:rsid w:val="00B0377E"/>
    <w:rsid w:val="00B03A71"/>
    <w:rsid w:val="00B04324"/>
    <w:rsid w:val="00B047FD"/>
    <w:rsid w:val="00B0552C"/>
    <w:rsid w:val="00B06472"/>
    <w:rsid w:val="00B065A9"/>
    <w:rsid w:val="00B06F6F"/>
    <w:rsid w:val="00B0709E"/>
    <w:rsid w:val="00B070D9"/>
    <w:rsid w:val="00B07BA9"/>
    <w:rsid w:val="00B07CAC"/>
    <w:rsid w:val="00B10055"/>
    <w:rsid w:val="00B1141E"/>
    <w:rsid w:val="00B11839"/>
    <w:rsid w:val="00B11DEE"/>
    <w:rsid w:val="00B1278B"/>
    <w:rsid w:val="00B13169"/>
    <w:rsid w:val="00B13C92"/>
    <w:rsid w:val="00B1419B"/>
    <w:rsid w:val="00B144A3"/>
    <w:rsid w:val="00B1477D"/>
    <w:rsid w:val="00B1488D"/>
    <w:rsid w:val="00B14BD2"/>
    <w:rsid w:val="00B14BDB"/>
    <w:rsid w:val="00B14D46"/>
    <w:rsid w:val="00B1568C"/>
    <w:rsid w:val="00B162C4"/>
    <w:rsid w:val="00B164C3"/>
    <w:rsid w:val="00B1671D"/>
    <w:rsid w:val="00B168D8"/>
    <w:rsid w:val="00B17295"/>
    <w:rsid w:val="00B17BE9"/>
    <w:rsid w:val="00B201B1"/>
    <w:rsid w:val="00B215F5"/>
    <w:rsid w:val="00B21FDD"/>
    <w:rsid w:val="00B21FFB"/>
    <w:rsid w:val="00B22241"/>
    <w:rsid w:val="00B22C65"/>
    <w:rsid w:val="00B22D97"/>
    <w:rsid w:val="00B237D2"/>
    <w:rsid w:val="00B23A00"/>
    <w:rsid w:val="00B24B1A"/>
    <w:rsid w:val="00B24C1A"/>
    <w:rsid w:val="00B253F3"/>
    <w:rsid w:val="00B25ABD"/>
    <w:rsid w:val="00B25C0A"/>
    <w:rsid w:val="00B25CF3"/>
    <w:rsid w:val="00B27921"/>
    <w:rsid w:val="00B27A54"/>
    <w:rsid w:val="00B300BF"/>
    <w:rsid w:val="00B301FE"/>
    <w:rsid w:val="00B30246"/>
    <w:rsid w:val="00B30359"/>
    <w:rsid w:val="00B30783"/>
    <w:rsid w:val="00B30B8C"/>
    <w:rsid w:val="00B3129F"/>
    <w:rsid w:val="00B3243D"/>
    <w:rsid w:val="00B3255F"/>
    <w:rsid w:val="00B32715"/>
    <w:rsid w:val="00B33106"/>
    <w:rsid w:val="00B33127"/>
    <w:rsid w:val="00B334F8"/>
    <w:rsid w:val="00B34B90"/>
    <w:rsid w:val="00B3598B"/>
    <w:rsid w:val="00B364D6"/>
    <w:rsid w:val="00B366A5"/>
    <w:rsid w:val="00B36A1B"/>
    <w:rsid w:val="00B36B55"/>
    <w:rsid w:val="00B374E0"/>
    <w:rsid w:val="00B3764D"/>
    <w:rsid w:val="00B37B83"/>
    <w:rsid w:val="00B40195"/>
    <w:rsid w:val="00B4036A"/>
    <w:rsid w:val="00B41332"/>
    <w:rsid w:val="00B415C1"/>
    <w:rsid w:val="00B415DE"/>
    <w:rsid w:val="00B41B59"/>
    <w:rsid w:val="00B41B79"/>
    <w:rsid w:val="00B41F0F"/>
    <w:rsid w:val="00B42156"/>
    <w:rsid w:val="00B42560"/>
    <w:rsid w:val="00B42C59"/>
    <w:rsid w:val="00B4366D"/>
    <w:rsid w:val="00B441FA"/>
    <w:rsid w:val="00B4464A"/>
    <w:rsid w:val="00B44C82"/>
    <w:rsid w:val="00B455AA"/>
    <w:rsid w:val="00B45778"/>
    <w:rsid w:val="00B457A1"/>
    <w:rsid w:val="00B45BCE"/>
    <w:rsid w:val="00B4630F"/>
    <w:rsid w:val="00B464B1"/>
    <w:rsid w:val="00B46941"/>
    <w:rsid w:val="00B470F8"/>
    <w:rsid w:val="00B47A4A"/>
    <w:rsid w:val="00B47B99"/>
    <w:rsid w:val="00B47BDE"/>
    <w:rsid w:val="00B47ECE"/>
    <w:rsid w:val="00B50499"/>
    <w:rsid w:val="00B50526"/>
    <w:rsid w:val="00B506F2"/>
    <w:rsid w:val="00B50D9F"/>
    <w:rsid w:val="00B510E3"/>
    <w:rsid w:val="00B512EA"/>
    <w:rsid w:val="00B51504"/>
    <w:rsid w:val="00B516BA"/>
    <w:rsid w:val="00B51A0F"/>
    <w:rsid w:val="00B51DD5"/>
    <w:rsid w:val="00B521AC"/>
    <w:rsid w:val="00B52702"/>
    <w:rsid w:val="00B528D3"/>
    <w:rsid w:val="00B52DD9"/>
    <w:rsid w:val="00B53056"/>
    <w:rsid w:val="00B53882"/>
    <w:rsid w:val="00B53A7D"/>
    <w:rsid w:val="00B545CE"/>
    <w:rsid w:val="00B5498D"/>
    <w:rsid w:val="00B5501D"/>
    <w:rsid w:val="00B55785"/>
    <w:rsid w:val="00B55908"/>
    <w:rsid w:val="00B56069"/>
    <w:rsid w:val="00B56B7F"/>
    <w:rsid w:val="00B573AE"/>
    <w:rsid w:val="00B5790E"/>
    <w:rsid w:val="00B6151E"/>
    <w:rsid w:val="00B6182F"/>
    <w:rsid w:val="00B61EF8"/>
    <w:rsid w:val="00B625D9"/>
    <w:rsid w:val="00B62934"/>
    <w:rsid w:val="00B63532"/>
    <w:rsid w:val="00B63B87"/>
    <w:rsid w:val="00B63BD2"/>
    <w:rsid w:val="00B63E5F"/>
    <w:rsid w:val="00B647DE"/>
    <w:rsid w:val="00B64962"/>
    <w:rsid w:val="00B64BBA"/>
    <w:rsid w:val="00B65153"/>
    <w:rsid w:val="00B65687"/>
    <w:rsid w:val="00B65FAB"/>
    <w:rsid w:val="00B676EC"/>
    <w:rsid w:val="00B67726"/>
    <w:rsid w:val="00B67DE9"/>
    <w:rsid w:val="00B7016C"/>
    <w:rsid w:val="00B7039B"/>
    <w:rsid w:val="00B7042A"/>
    <w:rsid w:val="00B70EF6"/>
    <w:rsid w:val="00B712BA"/>
    <w:rsid w:val="00B712F0"/>
    <w:rsid w:val="00B71772"/>
    <w:rsid w:val="00B71B26"/>
    <w:rsid w:val="00B72495"/>
    <w:rsid w:val="00B725D9"/>
    <w:rsid w:val="00B7307B"/>
    <w:rsid w:val="00B73282"/>
    <w:rsid w:val="00B73302"/>
    <w:rsid w:val="00B73941"/>
    <w:rsid w:val="00B740A5"/>
    <w:rsid w:val="00B74D1E"/>
    <w:rsid w:val="00B74EA1"/>
    <w:rsid w:val="00B75E1A"/>
    <w:rsid w:val="00B766C4"/>
    <w:rsid w:val="00B76A18"/>
    <w:rsid w:val="00B76AD2"/>
    <w:rsid w:val="00B76E20"/>
    <w:rsid w:val="00B77002"/>
    <w:rsid w:val="00B7727E"/>
    <w:rsid w:val="00B80915"/>
    <w:rsid w:val="00B82888"/>
    <w:rsid w:val="00B82DEF"/>
    <w:rsid w:val="00B830F9"/>
    <w:rsid w:val="00B83672"/>
    <w:rsid w:val="00B848BC"/>
    <w:rsid w:val="00B84C6C"/>
    <w:rsid w:val="00B84C87"/>
    <w:rsid w:val="00B8502A"/>
    <w:rsid w:val="00B851DE"/>
    <w:rsid w:val="00B866F7"/>
    <w:rsid w:val="00B86FD1"/>
    <w:rsid w:val="00B872C8"/>
    <w:rsid w:val="00B90104"/>
    <w:rsid w:val="00B91417"/>
    <w:rsid w:val="00B92687"/>
    <w:rsid w:val="00B93120"/>
    <w:rsid w:val="00B94248"/>
    <w:rsid w:val="00B942A1"/>
    <w:rsid w:val="00B9486F"/>
    <w:rsid w:val="00B9491D"/>
    <w:rsid w:val="00B94A9D"/>
    <w:rsid w:val="00B94B4F"/>
    <w:rsid w:val="00B94DE4"/>
    <w:rsid w:val="00B94E8F"/>
    <w:rsid w:val="00B94F28"/>
    <w:rsid w:val="00B95229"/>
    <w:rsid w:val="00B957D1"/>
    <w:rsid w:val="00B95B97"/>
    <w:rsid w:val="00B9639B"/>
    <w:rsid w:val="00B965F6"/>
    <w:rsid w:val="00B966E7"/>
    <w:rsid w:val="00B97386"/>
    <w:rsid w:val="00B976F6"/>
    <w:rsid w:val="00BA21A0"/>
    <w:rsid w:val="00BA23FB"/>
    <w:rsid w:val="00BA2A82"/>
    <w:rsid w:val="00BA2A8D"/>
    <w:rsid w:val="00BA3FE5"/>
    <w:rsid w:val="00BA4955"/>
    <w:rsid w:val="00BA4C7E"/>
    <w:rsid w:val="00BA5474"/>
    <w:rsid w:val="00BA5C01"/>
    <w:rsid w:val="00BA5DB3"/>
    <w:rsid w:val="00BA5EB7"/>
    <w:rsid w:val="00BA5F41"/>
    <w:rsid w:val="00BA6C3D"/>
    <w:rsid w:val="00BA7166"/>
    <w:rsid w:val="00BA7385"/>
    <w:rsid w:val="00BA7BF0"/>
    <w:rsid w:val="00BA7C4E"/>
    <w:rsid w:val="00BB077E"/>
    <w:rsid w:val="00BB168A"/>
    <w:rsid w:val="00BB187C"/>
    <w:rsid w:val="00BB1FC9"/>
    <w:rsid w:val="00BB225E"/>
    <w:rsid w:val="00BB296B"/>
    <w:rsid w:val="00BB30E9"/>
    <w:rsid w:val="00BB34BB"/>
    <w:rsid w:val="00BB3622"/>
    <w:rsid w:val="00BB3CAA"/>
    <w:rsid w:val="00BB3EA9"/>
    <w:rsid w:val="00BB43AA"/>
    <w:rsid w:val="00BB4520"/>
    <w:rsid w:val="00BB5021"/>
    <w:rsid w:val="00BB53DA"/>
    <w:rsid w:val="00BB5864"/>
    <w:rsid w:val="00BB65F5"/>
    <w:rsid w:val="00BB682C"/>
    <w:rsid w:val="00BB6A99"/>
    <w:rsid w:val="00BB7658"/>
    <w:rsid w:val="00BB7C40"/>
    <w:rsid w:val="00BB7CA9"/>
    <w:rsid w:val="00BC02D0"/>
    <w:rsid w:val="00BC0515"/>
    <w:rsid w:val="00BC143F"/>
    <w:rsid w:val="00BC1CF7"/>
    <w:rsid w:val="00BC1F65"/>
    <w:rsid w:val="00BC2190"/>
    <w:rsid w:val="00BC236B"/>
    <w:rsid w:val="00BC29E6"/>
    <w:rsid w:val="00BC2BB4"/>
    <w:rsid w:val="00BC2C70"/>
    <w:rsid w:val="00BC302E"/>
    <w:rsid w:val="00BC56AC"/>
    <w:rsid w:val="00BC5F06"/>
    <w:rsid w:val="00BC6006"/>
    <w:rsid w:val="00BC62D6"/>
    <w:rsid w:val="00BC65D9"/>
    <w:rsid w:val="00BC6998"/>
    <w:rsid w:val="00BC6BB5"/>
    <w:rsid w:val="00BC70EA"/>
    <w:rsid w:val="00BC7B8E"/>
    <w:rsid w:val="00BC7C52"/>
    <w:rsid w:val="00BC7DB1"/>
    <w:rsid w:val="00BC7FC2"/>
    <w:rsid w:val="00BD0111"/>
    <w:rsid w:val="00BD03A3"/>
    <w:rsid w:val="00BD05B4"/>
    <w:rsid w:val="00BD0681"/>
    <w:rsid w:val="00BD0CF6"/>
    <w:rsid w:val="00BD103C"/>
    <w:rsid w:val="00BD1471"/>
    <w:rsid w:val="00BD14C5"/>
    <w:rsid w:val="00BD196A"/>
    <w:rsid w:val="00BD1C55"/>
    <w:rsid w:val="00BD2081"/>
    <w:rsid w:val="00BD2168"/>
    <w:rsid w:val="00BD2311"/>
    <w:rsid w:val="00BD2374"/>
    <w:rsid w:val="00BD2804"/>
    <w:rsid w:val="00BD3895"/>
    <w:rsid w:val="00BD4AFE"/>
    <w:rsid w:val="00BD50C0"/>
    <w:rsid w:val="00BD5214"/>
    <w:rsid w:val="00BD5314"/>
    <w:rsid w:val="00BD561B"/>
    <w:rsid w:val="00BD5687"/>
    <w:rsid w:val="00BD57CE"/>
    <w:rsid w:val="00BD5ACB"/>
    <w:rsid w:val="00BD6262"/>
    <w:rsid w:val="00BD62F7"/>
    <w:rsid w:val="00BD6B6A"/>
    <w:rsid w:val="00BE019E"/>
    <w:rsid w:val="00BE27EB"/>
    <w:rsid w:val="00BE3563"/>
    <w:rsid w:val="00BE361E"/>
    <w:rsid w:val="00BE3BB7"/>
    <w:rsid w:val="00BE41BF"/>
    <w:rsid w:val="00BE4471"/>
    <w:rsid w:val="00BE4A96"/>
    <w:rsid w:val="00BE4AFC"/>
    <w:rsid w:val="00BE4B19"/>
    <w:rsid w:val="00BE4C48"/>
    <w:rsid w:val="00BE4FE7"/>
    <w:rsid w:val="00BE61C1"/>
    <w:rsid w:val="00BE64AF"/>
    <w:rsid w:val="00BE6717"/>
    <w:rsid w:val="00BE7B46"/>
    <w:rsid w:val="00BF0381"/>
    <w:rsid w:val="00BF11F7"/>
    <w:rsid w:val="00BF1CC4"/>
    <w:rsid w:val="00BF3396"/>
    <w:rsid w:val="00BF343E"/>
    <w:rsid w:val="00BF3FCD"/>
    <w:rsid w:val="00BF48B5"/>
    <w:rsid w:val="00BF4A90"/>
    <w:rsid w:val="00BF4D88"/>
    <w:rsid w:val="00BF5B4D"/>
    <w:rsid w:val="00BF6062"/>
    <w:rsid w:val="00BF6792"/>
    <w:rsid w:val="00BF69C9"/>
    <w:rsid w:val="00BF69EC"/>
    <w:rsid w:val="00BF6E7B"/>
    <w:rsid w:val="00BF77DD"/>
    <w:rsid w:val="00C0040A"/>
    <w:rsid w:val="00C0061B"/>
    <w:rsid w:val="00C00A4C"/>
    <w:rsid w:val="00C00DE3"/>
    <w:rsid w:val="00C01021"/>
    <w:rsid w:val="00C013F5"/>
    <w:rsid w:val="00C0141F"/>
    <w:rsid w:val="00C02673"/>
    <w:rsid w:val="00C028A6"/>
    <w:rsid w:val="00C02D8E"/>
    <w:rsid w:val="00C02EBF"/>
    <w:rsid w:val="00C0316D"/>
    <w:rsid w:val="00C0381F"/>
    <w:rsid w:val="00C040B4"/>
    <w:rsid w:val="00C048AF"/>
    <w:rsid w:val="00C04BB0"/>
    <w:rsid w:val="00C05213"/>
    <w:rsid w:val="00C05523"/>
    <w:rsid w:val="00C0568F"/>
    <w:rsid w:val="00C05B19"/>
    <w:rsid w:val="00C05D89"/>
    <w:rsid w:val="00C05DAD"/>
    <w:rsid w:val="00C0639B"/>
    <w:rsid w:val="00C06D46"/>
    <w:rsid w:val="00C0714A"/>
    <w:rsid w:val="00C076DF"/>
    <w:rsid w:val="00C077E0"/>
    <w:rsid w:val="00C07D13"/>
    <w:rsid w:val="00C07DE6"/>
    <w:rsid w:val="00C1000A"/>
    <w:rsid w:val="00C10284"/>
    <w:rsid w:val="00C102AD"/>
    <w:rsid w:val="00C104D4"/>
    <w:rsid w:val="00C12616"/>
    <w:rsid w:val="00C12630"/>
    <w:rsid w:val="00C126C9"/>
    <w:rsid w:val="00C128AE"/>
    <w:rsid w:val="00C1328A"/>
    <w:rsid w:val="00C134AE"/>
    <w:rsid w:val="00C1362F"/>
    <w:rsid w:val="00C14A80"/>
    <w:rsid w:val="00C14DB6"/>
    <w:rsid w:val="00C154B5"/>
    <w:rsid w:val="00C15CF8"/>
    <w:rsid w:val="00C16459"/>
    <w:rsid w:val="00C16672"/>
    <w:rsid w:val="00C16732"/>
    <w:rsid w:val="00C16BCA"/>
    <w:rsid w:val="00C16DDB"/>
    <w:rsid w:val="00C16E30"/>
    <w:rsid w:val="00C16FCC"/>
    <w:rsid w:val="00C17470"/>
    <w:rsid w:val="00C17872"/>
    <w:rsid w:val="00C20507"/>
    <w:rsid w:val="00C205E9"/>
    <w:rsid w:val="00C2096E"/>
    <w:rsid w:val="00C212FC"/>
    <w:rsid w:val="00C21B91"/>
    <w:rsid w:val="00C226E1"/>
    <w:rsid w:val="00C22736"/>
    <w:rsid w:val="00C227CE"/>
    <w:rsid w:val="00C22924"/>
    <w:rsid w:val="00C22A8C"/>
    <w:rsid w:val="00C23303"/>
    <w:rsid w:val="00C23516"/>
    <w:rsid w:val="00C23C9D"/>
    <w:rsid w:val="00C23F48"/>
    <w:rsid w:val="00C24673"/>
    <w:rsid w:val="00C2508B"/>
    <w:rsid w:val="00C251AD"/>
    <w:rsid w:val="00C262BD"/>
    <w:rsid w:val="00C26519"/>
    <w:rsid w:val="00C268A6"/>
    <w:rsid w:val="00C273D4"/>
    <w:rsid w:val="00C27559"/>
    <w:rsid w:val="00C27678"/>
    <w:rsid w:val="00C27911"/>
    <w:rsid w:val="00C279AF"/>
    <w:rsid w:val="00C27F7C"/>
    <w:rsid w:val="00C27F92"/>
    <w:rsid w:val="00C302B9"/>
    <w:rsid w:val="00C310C2"/>
    <w:rsid w:val="00C31E5F"/>
    <w:rsid w:val="00C32B8B"/>
    <w:rsid w:val="00C33041"/>
    <w:rsid w:val="00C333A9"/>
    <w:rsid w:val="00C3400B"/>
    <w:rsid w:val="00C35623"/>
    <w:rsid w:val="00C359E8"/>
    <w:rsid w:val="00C35DD9"/>
    <w:rsid w:val="00C36156"/>
    <w:rsid w:val="00C36525"/>
    <w:rsid w:val="00C3685D"/>
    <w:rsid w:val="00C368A6"/>
    <w:rsid w:val="00C36B73"/>
    <w:rsid w:val="00C37757"/>
    <w:rsid w:val="00C401AB"/>
    <w:rsid w:val="00C40A17"/>
    <w:rsid w:val="00C40EB3"/>
    <w:rsid w:val="00C41BD9"/>
    <w:rsid w:val="00C42228"/>
    <w:rsid w:val="00C42B42"/>
    <w:rsid w:val="00C43266"/>
    <w:rsid w:val="00C434FD"/>
    <w:rsid w:val="00C444BB"/>
    <w:rsid w:val="00C447AC"/>
    <w:rsid w:val="00C45612"/>
    <w:rsid w:val="00C456D6"/>
    <w:rsid w:val="00C4767C"/>
    <w:rsid w:val="00C47AC7"/>
    <w:rsid w:val="00C47B86"/>
    <w:rsid w:val="00C47E08"/>
    <w:rsid w:val="00C506CA"/>
    <w:rsid w:val="00C5076B"/>
    <w:rsid w:val="00C51479"/>
    <w:rsid w:val="00C514F0"/>
    <w:rsid w:val="00C5192E"/>
    <w:rsid w:val="00C51B0D"/>
    <w:rsid w:val="00C52BB8"/>
    <w:rsid w:val="00C52C0A"/>
    <w:rsid w:val="00C52CFC"/>
    <w:rsid w:val="00C52DE6"/>
    <w:rsid w:val="00C52E53"/>
    <w:rsid w:val="00C52F4E"/>
    <w:rsid w:val="00C53343"/>
    <w:rsid w:val="00C551EC"/>
    <w:rsid w:val="00C57684"/>
    <w:rsid w:val="00C6016B"/>
    <w:rsid w:val="00C6021A"/>
    <w:rsid w:val="00C609BB"/>
    <w:rsid w:val="00C60C15"/>
    <w:rsid w:val="00C61B2D"/>
    <w:rsid w:val="00C62CEB"/>
    <w:rsid w:val="00C62FB4"/>
    <w:rsid w:val="00C634A7"/>
    <w:rsid w:val="00C638D7"/>
    <w:rsid w:val="00C638DF"/>
    <w:rsid w:val="00C64039"/>
    <w:rsid w:val="00C64720"/>
    <w:rsid w:val="00C6517F"/>
    <w:rsid w:val="00C65A01"/>
    <w:rsid w:val="00C66777"/>
    <w:rsid w:val="00C66D08"/>
    <w:rsid w:val="00C6795C"/>
    <w:rsid w:val="00C67B7D"/>
    <w:rsid w:val="00C67BA6"/>
    <w:rsid w:val="00C67CD3"/>
    <w:rsid w:val="00C704D6"/>
    <w:rsid w:val="00C70616"/>
    <w:rsid w:val="00C7065F"/>
    <w:rsid w:val="00C70DA3"/>
    <w:rsid w:val="00C71920"/>
    <w:rsid w:val="00C71FD1"/>
    <w:rsid w:val="00C7238F"/>
    <w:rsid w:val="00C72A63"/>
    <w:rsid w:val="00C72BCB"/>
    <w:rsid w:val="00C72CEF"/>
    <w:rsid w:val="00C72DE5"/>
    <w:rsid w:val="00C72E94"/>
    <w:rsid w:val="00C72F73"/>
    <w:rsid w:val="00C74137"/>
    <w:rsid w:val="00C744A0"/>
    <w:rsid w:val="00C746C8"/>
    <w:rsid w:val="00C76396"/>
    <w:rsid w:val="00C806E1"/>
    <w:rsid w:val="00C807B6"/>
    <w:rsid w:val="00C80AE4"/>
    <w:rsid w:val="00C813A1"/>
    <w:rsid w:val="00C818EF"/>
    <w:rsid w:val="00C81B85"/>
    <w:rsid w:val="00C81E74"/>
    <w:rsid w:val="00C82005"/>
    <w:rsid w:val="00C820A4"/>
    <w:rsid w:val="00C820F3"/>
    <w:rsid w:val="00C8224A"/>
    <w:rsid w:val="00C822F1"/>
    <w:rsid w:val="00C8235F"/>
    <w:rsid w:val="00C823E8"/>
    <w:rsid w:val="00C8299F"/>
    <w:rsid w:val="00C8334C"/>
    <w:rsid w:val="00C84387"/>
    <w:rsid w:val="00C843D0"/>
    <w:rsid w:val="00C8498B"/>
    <w:rsid w:val="00C85505"/>
    <w:rsid w:val="00C857F1"/>
    <w:rsid w:val="00C86D52"/>
    <w:rsid w:val="00C871C4"/>
    <w:rsid w:val="00C876DE"/>
    <w:rsid w:val="00C87AE6"/>
    <w:rsid w:val="00C9041D"/>
    <w:rsid w:val="00C915BC"/>
    <w:rsid w:val="00C91802"/>
    <w:rsid w:val="00C91AE8"/>
    <w:rsid w:val="00C9293A"/>
    <w:rsid w:val="00C935F1"/>
    <w:rsid w:val="00C937A5"/>
    <w:rsid w:val="00C94F0D"/>
    <w:rsid w:val="00C9699D"/>
    <w:rsid w:val="00C96C5E"/>
    <w:rsid w:val="00C96DE2"/>
    <w:rsid w:val="00C96FC0"/>
    <w:rsid w:val="00C97E49"/>
    <w:rsid w:val="00CA00C3"/>
    <w:rsid w:val="00CA1130"/>
    <w:rsid w:val="00CA288F"/>
    <w:rsid w:val="00CA2B21"/>
    <w:rsid w:val="00CA2CE3"/>
    <w:rsid w:val="00CA3BD1"/>
    <w:rsid w:val="00CA3F60"/>
    <w:rsid w:val="00CA415F"/>
    <w:rsid w:val="00CA42D9"/>
    <w:rsid w:val="00CA4B35"/>
    <w:rsid w:val="00CA4FD1"/>
    <w:rsid w:val="00CA5EA6"/>
    <w:rsid w:val="00CA5EA7"/>
    <w:rsid w:val="00CA5EB0"/>
    <w:rsid w:val="00CA61F0"/>
    <w:rsid w:val="00CA620C"/>
    <w:rsid w:val="00CA6547"/>
    <w:rsid w:val="00CA655E"/>
    <w:rsid w:val="00CA71FF"/>
    <w:rsid w:val="00CA75AA"/>
    <w:rsid w:val="00CA7ABC"/>
    <w:rsid w:val="00CB026C"/>
    <w:rsid w:val="00CB0A92"/>
    <w:rsid w:val="00CB1517"/>
    <w:rsid w:val="00CB15B8"/>
    <w:rsid w:val="00CB2C13"/>
    <w:rsid w:val="00CB2C14"/>
    <w:rsid w:val="00CB2D35"/>
    <w:rsid w:val="00CB2F94"/>
    <w:rsid w:val="00CB3A95"/>
    <w:rsid w:val="00CB401A"/>
    <w:rsid w:val="00CB4355"/>
    <w:rsid w:val="00CB5159"/>
    <w:rsid w:val="00CB51C4"/>
    <w:rsid w:val="00CB5659"/>
    <w:rsid w:val="00CB5A49"/>
    <w:rsid w:val="00CB5C15"/>
    <w:rsid w:val="00CB6111"/>
    <w:rsid w:val="00CB6231"/>
    <w:rsid w:val="00CB6645"/>
    <w:rsid w:val="00CB678B"/>
    <w:rsid w:val="00CB7115"/>
    <w:rsid w:val="00CB7260"/>
    <w:rsid w:val="00CB75A3"/>
    <w:rsid w:val="00CB7CD4"/>
    <w:rsid w:val="00CC00D6"/>
    <w:rsid w:val="00CC071A"/>
    <w:rsid w:val="00CC0A9C"/>
    <w:rsid w:val="00CC0E00"/>
    <w:rsid w:val="00CC1228"/>
    <w:rsid w:val="00CC15CD"/>
    <w:rsid w:val="00CC1A21"/>
    <w:rsid w:val="00CC232B"/>
    <w:rsid w:val="00CC2352"/>
    <w:rsid w:val="00CC2366"/>
    <w:rsid w:val="00CC2CB2"/>
    <w:rsid w:val="00CC2FB4"/>
    <w:rsid w:val="00CC408A"/>
    <w:rsid w:val="00CC4369"/>
    <w:rsid w:val="00CC4958"/>
    <w:rsid w:val="00CC5DF5"/>
    <w:rsid w:val="00CC6279"/>
    <w:rsid w:val="00CC66DE"/>
    <w:rsid w:val="00CC6CFB"/>
    <w:rsid w:val="00CC7056"/>
    <w:rsid w:val="00CC7C0C"/>
    <w:rsid w:val="00CD004B"/>
    <w:rsid w:val="00CD0BD6"/>
    <w:rsid w:val="00CD1FB2"/>
    <w:rsid w:val="00CD2526"/>
    <w:rsid w:val="00CD2957"/>
    <w:rsid w:val="00CD2B67"/>
    <w:rsid w:val="00CD2BEA"/>
    <w:rsid w:val="00CD30C9"/>
    <w:rsid w:val="00CD334F"/>
    <w:rsid w:val="00CD3667"/>
    <w:rsid w:val="00CD4054"/>
    <w:rsid w:val="00CD45BB"/>
    <w:rsid w:val="00CD49B1"/>
    <w:rsid w:val="00CD4B8B"/>
    <w:rsid w:val="00CD4CCD"/>
    <w:rsid w:val="00CD4EB7"/>
    <w:rsid w:val="00CD50E2"/>
    <w:rsid w:val="00CD516D"/>
    <w:rsid w:val="00CD5381"/>
    <w:rsid w:val="00CD75E3"/>
    <w:rsid w:val="00CD7CA9"/>
    <w:rsid w:val="00CE1092"/>
    <w:rsid w:val="00CE12FA"/>
    <w:rsid w:val="00CE13D5"/>
    <w:rsid w:val="00CE2203"/>
    <w:rsid w:val="00CE2627"/>
    <w:rsid w:val="00CE270B"/>
    <w:rsid w:val="00CE27BD"/>
    <w:rsid w:val="00CE2AF2"/>
    <w:rsid w:val="00CE2EB2"/>
    <w:rsid w:val="00CE2FEC"/>
    <w:rsid w:val="00CE3423"/>
    <w:rsid w:val="00CE373C"/>
    <w:rsid w:val="00CE525D"/>
    <w:rsid w:val="00CE52E8"/>
    <w:rsid w:val="00CE5C99"/>
    <w:rsid w:val="00CE5F12"/>
    <w:rsid w:val="00CE6314"/>
    <w:rsid w:val="00CE69C2"/>
    <w:rsid w:val="00CE6E7B"/>
    <w:rsid w:val="00CE7AC9"/>
    <w:rsid w:val="00CE7E04"/>
    <w:rsid w:val="00CF0D59"/>
    <w:rsid w:val="00CF0EDE"/>
    <w:rsid w:val="00CF1684"/>
    <w:rsid w:val="00CF1F16"/>
    <w:rsid w:val="00CF20C2"/>
    <w:rsid w:val="00CF2184"/>
    <w:rsid w:val="00CF23EE"/>
    <w:rsid w:val="00CF2497"/>
    <w:rsid w:val="00CF2B03"/>
    <w:rsid w:val="00CF2BB2"/>
    <w:rsid w:val="00CF32F3"/>
    <w:rsid w:val="00CF36F1"/>
    <w:rsid w:val="00CF3908"/>
    <w:rsid w:val="00CF3966"/>
    <w:rsid w:val="00CF429E"/>
    <w:rsid w:val="00CF480C"/>
    <w:rsid w:val="00CF484A"/>
    <w:rsid w:val="00CF555C"/>
    <w:rsid w:val="00CF5DD7"/>
    <w:rsid w:val="00CF6107"/>
    <w:rsid w:val="00CF615F"/>
    <w:rsid w:val="00CF61DA"/>
    <w:rsid w:val="00CF6C56"/>
    <w:rsid w:val="00CF724A"/>
    <w:rsid w:val="00CF7BBB"/>
    <w:rsid w:val="00D00119"/>
    <w:rsid w:val="00D00738"/>
    <w:rsid w:val="00D00CAC"/>
    <w:rsid w:val="00D013F2"/>
    <w:rsid w:val="00D01A45"/>
    <w:rsid w:val="00D01CA3"/>
    <w:rsid w:val="00D02EE5"/>
    <w:rsid w:val="00D0362E"/>
    <w:rsid w:val="00D03C54"/>
    <w:rsid w:val="00D03D45"/>
    <w:rsid w:val="00D0446F"/>
    <w:rsid w:val="00D058C5"/>
    <w:rsid w:val="00D06019"/>
    <w:rsid w:val="00D0619F"/>
    <w:rsid w:val="00D06E02"/>
    <w:rsid w:val="00D07565"/>
    <w:rsid w:val="00D10006"/>
    <w:rsid w:val="00D10079"/>
    <w:rsid w:val="00D11339"/>
    <w:rsid w:val="00D11357"/>
    <w:rsid w:val="00D1173D"/>
    <w:rsid w:val="00D117A0"/>
    <w:rsid w:val="00D11A41"/>
    <w:rsid w:val="00D12077"/>
    <w:rsid w:val="00D1223E"/>
    <w:rsid w:val="00D1266C"/>
    <w:rsid w:val="00D126F7"/>
    <w:rsid w:val="00D12758"/>
    <w:rsid w:val="00D12762"/>
    <w:rsid w:val="00D129F5"/>
    <w:rsid w:val="00D12ED9"/>
    <w:rsid w:val="00D1323C"/>
    <w:rsid w:val="00D133A4"/>
    <w:rsid w:val="00D13FEB"/>
    <w:rsid w:val="00D141DD"/>
    <w:rsid w:val="00D1494A"/>
    <w:rsid w:val="00D149FD"/>
    <w:rsid w:val="00D14EBD"/>
    <w:rsid w:val="00D15071"/>
    <w:rsid w:val="00D1523D"/>
    <w:rsid w:val="00D1678F"/>
    <w:rsid w:val="00D21887"/>
    <w:rsid w:val="00D21F45"/>
    <w:rsid w:val="00D221FF"/>
    <w:rsid w:val="00D2225D"/>
    <w:rsid w:val="00D22580"/>
    <w:rsid w:val="00D22B39"/>
    <w:rsid w:val="00D22D15"/>
    <w:rsid w:val="00D22D1A"/>
    <w:rsid w:val="00D22EB6"/>
    <w:rsid w:val="00D22EC8"/>
    <w:rsid w:val="00D23646"/>
    <w:rsid w:val="00D23E47"/>
    <w:rsid w:val="00D251FD"/>
    <w:rsid w:val="00D25CB8"/>
    <w:rsid w:val="00D26612"/>
    <w:rsid w:val="00D266DE"/>
    <w:rsid w:val="00D276C3"/>
    <w:rsid w:val="00D27896"/>
    <w:rsid w:val="00D27FE1"/>
    <w:rsid w:val="00D31331"/>
    <w:rsid w:val="00D31689"/>
    <w:rsid w:val="00D31810"/>
    <w:rsid w:val="00D31FD8"/>
    <w:rsid w:val="00D3210B"/>
    <w:rsid w:val="00D32213"/>
    <w:rsid w:val="00D32E9F"/>
    <w:rsid w:val="00D33493"/>
    <w:rsid w:val="00D337E9"/>
    <w:rsid w:val="00D33BCD"/>
    <w:rsid w:val="00D33CD8"/>
    <w:rsid w:val="00D33E64"/>
    <w:rsid w:val="00D34BF3"/>
    <w:rsid w:val="00D355E8"/>
    <w:rsid w:val="00D35947"/>
    <w:rsid w:val="00D36D54"/>
    <w:rsid w:val="00D40150"/>
    <w:rsid w:val="00D4067C"/>
    <w:rsid w:val="00D41970"/>
    <w:rsid w:val="00D41A2B"/>
    <w:rsid w:val="00D41FBF"/>
    <w:rsid w:val="00D42186"/>
    <w:rsid w:val="00D42990"/>
    <w:rsid w:val="00D42B73"/>
    <w:rsid w:val="00D431AD"/>
    <w:rsid w:val="00D43DD6"/>
    <w:rsid w:val="00D4435C"/>
    <w:rsid w:val="00D44472"/>
    <w:rsid w:val="00D44B58"/>
    <w:rsid w:val="00D44C04"/>
    <w:rsid w:val="00D4502A"/>
    <w:rsid w:val="00D456A4"/>
    <w:rsid w:val="00D45804"/>
    <w:rsid w:val="00D45B03"/>
    <w:rsid w:val="00D45C34"/>
    <w:rsid w:val="00D466B2"/>
    <w:rsid w:val="00D46A02"/>
    <w:rsid w:val="00D4704C"/>
    <w:rsid w:val="00D47243"/>
    <w:rsid w:val="00D47630"/>
    <w:rsid w:val="00D47CCA"/>
    <w:rsid w:val="00D47F4B"/>
    <w:rsid w:val="00D50825"/>
    <w:rsid w:val="00D50871"/>
    <w:rsid w:val="00D51C2C"/>
    <w:rsid w:val="00D52FB9"/>
    <w:rsid w:val="00D53074"/>
    <w:rsid w:val="00D5352F"/>
    <w:rsid w:val="00D537C4"/>
    <w:rsid w:val="00D53815"/>
    <w:rsid w:val="00D54245"/>
    <w:rsid w:val="00D54E5E"/>
    <w:rsid w:val="00D5503D"/>
    <w:rsid w:val="00D55062"/>
    <w:rsid w:val="00D55A36"/>
    <w:rsid w:val="00D56066"/>
    <w:rsid w:val="00D56470"/>
    <w:rsid w:val="00D5689A"/>
    <w:rsid w:val="00D57072"/>
    <w:rsid w:val="00D57C14"/>
    <w:rsid w:val="00D57EA1"/>
    <w:rsid w:val="00D60342"/>
    <w:rsid w:val="00D60C05"/>
    <w:rsid w:val="00D60D72"/>
    <w:rsid w:val="00D61249"/>
    <w:rsid w:val="00D61311"/>
    <w:rsid w:val="00D616AE"/>
    <w:rsid w:val="00D61AE5"/>
    <w:rsid w:val="00D62176"/>
    <w:rsid w:val="00D635AC"/>
    <w:rsid w:val="00D635C9"/>
    <w:rsid w:val="00D63D06"/>
    <w:rsid w:val="00D642D6"/>
    <w:rsid w:val="00D642E0"/>
    <w:rsid w:val="00D6445A"/>
    <w:rsid w:val="00D64636"/>
    <w:rsid w:val="00D646EB"/>
    <w:rsid w:val="00D64E32"/>
    <w:rsid w:val="00D6555F"/>
    <w:rsid w:val="00D65716"/>
    <w:rsid w:val="00D65C66"/>
    <w:rsid w:val="00D660DD"/>
    <w:rsid w:val="00D66324"/>
    <w:rsid w:val="00D665D8"/>
    <w:rsid w:val="00D667BD"/>
    <w:rsid w:val="00D668E4"/>
    <w:rsid w:val="00D67466"/>
    <w:rsid w:val="00D67616"/>
    <w:rsid w:val="00D67902"/>
    <w:rsid w:val="00D7047B"/>
    <w:rsid w:val="00D706C0"/>
    <w:rsid w:val="00D71E48"/>
    <w:rsid w:val="00D71E74"/>
    <w:rsid w:val="00D71FFF"/>
    <w:rsid w:val="00D720DD"/>
    <w:rsid w:val="00D729A9"/>
    <w:rsid w:val="00D72B00"/>
    <w:rsid w:val="00D72E00"/>
    <w:rsid w:val="00D73A9F"/>
    <w:rsid w:val="00D741F4"/>
    <w:rsid w:val="00D742C6"/>
    <w:rsid w:val="00D74324"/>
    <w:rsid w:val="00D74B67"/>
    <w:rsid w:val="00D74FEC"/>
    <w:rsid w:val="00D75505"/>
    <w:rsid w:val="00D75628"/>
    <w:rsid w:val="00D758C5"/>
    <w:rsid w:val="00D760D4"/>
    <w:rsid w:val="00D7619A"/>
    <w:rsid w:val="00D76695"/>
    <w:rsid w:val="00D76815"/>
    <w:rsid w:val="00D77C21"/>
    <w:rsid w:val="00D77DAB"/>
    <w:rsid w:val="00D80801"/>
    <w:rsid w:val="00D8091B"/>
    <w:rsid w:val="00D8125A"/>
    <w:rsid w:val="00D81D52"/>
    <w:rsid w:val="00D8228F"/>
    <w:rsid w:val="00D82786"/>
    <w:rsid w:val="00D828F6"/>
    <w:rsid w:val="00D83255"/>
    <w:rsid w:val="00D8390D"/>
    <w:rsid w:val="00D83CB1"/>
    <w:rsid w:val="00D83F2C"/>
    <w:rsid w:val="00D844E2"/>
    <w:rsid w:val="00D847D1"/>
    <w:rsid w:val="00D84BF5"/>
    <w:rsid w:val="00D84BF7"/>
    <w:rsid w:val="00D84FE1"/>
    <w:rsid w:val="00D853B0"/>
    <w:rsid w:val="00D85A1A"/>
    <w:rsid w:val="00D85AA7"/>
    <w:rsid w:val="00D85E85"/>
    <w:rsid w:val="00D85F65"/>
    <w:rsid w:val="00D862D9"/>
    <w:rsid w:val="00D862DA"/>
    <w:rsid w:val="00D8630F"/>
    <w:rsid w:val="00D8640C"/>
    <w:rsid w:val="00D86456"/>
    <w:rsid w:val="00D8677D"/>
    <w:rsid w:val="00D86E53"/>
    <w:rsid w:val="00D870BD"/>
    <w:rsid w:val="00D875FB"/>
    <w:rsid w:val="00D87E64"/>
    <w:rsid w:val="00D87F08"/>
    <w:rsid w:val="00D901F2"/>
    <w:rsid w:val="00D90497"/>
    <w:rsid w:val="00D90ED8"/>
    <w:rsid w:val="00D91D6E"/>
    <w:rsid w:val="00D91F81"/>
    <w:rsid w:val="00D92232"/>
    <w:rsid w:val="00D923C4"/>
    <w:rsid w:val="00D9263E"/>
    <w:rsid w:val="00D92C27"/>
    <w:rsid w:val="00D935C1"/>
    <w:rsid w:val="00D93EC6"/>
    <w:rsid w:val="00D966E5"/>
    <w:rsid w:val="00D97B4A"/>
    <w:rsid w:val="00D97D47"/>
    <w:rsid w:val="00D97DC1"/>
    <w:rsid w:val="00DA00DF"/>
    <w:rsid w:val="00DA025D"/>
    <w:rsid w:val="00DA0567"/>
    <w:rsid w:val="00DA0E7C"/>
    <w:rsid w:val="00DA0F28"/>
    <w:rsid w:val="00DA1275"/>
    <w:rsid w:val="00DA18DC"/>
    <w:rsid w:val="00DA2A0D"/>
    <w:rsid w:val="00DA2ECA"/>
    <w:rsid w:val="00DA3D7B"/>
    <w:rsid w:val="00DA51BD"/>
    <w:rsid w:val="00DA58A4"/>
    <w:rsid w:val="00DA5B43"/>
    <w:rsid w:val="00DA5D0A"/>
    <w:rsid w:val="00DA5E64"/>
    <w:rsid w:val="00DA653F"/>
    <w:rsid w:val="00DA6721"/>
    <w:rsid w:val="00DA6AC6"/>
    <w:rsid w:val="00DA7189"/>
    <w:rsid w:val="00DA7370"/>
    <w:rsid w:val="00DA75C8"/>
    <w:rsid w:val="00DA7AD3"/>
    <w:rsid w:val="00DA7BF2"/>
    <w:rsid w:val="00DB001D"/>
    <w:rsid w:val="00DB0824"/>
    <w:rsid w:val="00DB09FC"/>
    <w:rsid w:val="00DB0A57"/>
    <w:rsid w:val="00DB0D9D"/>
    <w:rsid w:val="00DB0E23"/>
    <w:rsid w:val="00DB1175"/>
    <w:rsid w:val="00DB1190"/>
    <w:rsid w:val="00DB1446"/>
    <w:rsid w:val="00DB1715"/>
    <w:rsid w:val="00DB258A"/>
    <w:rsid w:val="00DB2978"/>
    <w:rsid w:val="00DB2AC3"/>
    <w:rsid w:val="00DB3B95"/>
    <w:rsid w:val="00DB4594"/>
    <w:rsid w:val="00DB4AA3"/>
    <w:rsid w:val="00DB5355"/>
    <w:rsid w:val="00DB5A97"/>
    <w:rsid w:val="00DB683F"/>
    <w:rsid w:val="00DB68FF"/>
    <w:rsid w:val="00DB71BB"/>
    <w:rsid w:val="00DB7230"/>
    <w:rsid w:val="00DB726D"/>
    <w:rsid w:val="00DC008F"/>
    <w:rsid w:val="00DC07CF"/>
    <w:rsid w:val="00DC0EEE"/>
    <w:rsid w:val="00DC144B"/>
    <w:rsid w:val="00DC164A"/>
    <w:rsid w:val="00DC1804"/>
    <w:rsid w:val="00DC18E3"/>
    <w:rsid w:val="00DC1AC9"/>
    <w:rsid w:val="00DC1B2B"/>
    <w:rsid w:val="00DC1C1D"/>
    <w:rsid w:val="00DC23F4"/>
    <w:rsid w:val="00DC287E"/>
    <w:rsid w:val="00DC2C13"/>
    <w:rsid w:val="00DC2C81"/>
    <w:rsid w:val="00DC2EE2"/>
    <w:rsid w:val="00DC3014"/>
    <w:rsid w:val="00DC32BA"/>
    <w:rsid w:val="00DC3439"/>
    <w:rsid w:val="00DC39D2"/>
    <w:rsid w:val="00DC42E4"/>
    <w:rsid w:val="00DC4DEC"/>
    <w:rsid w:val="00DC51C6"/>
    <w:rsid w:val="00DC55D4"/>
    <w:rsid w:val="00DC5FD8"/>
    <w:rsid w:val="00DC6519"/>
    <w:rsid w:val="00DC6E8C"/>
    <w:rsid w:val="00DC7121"/>
    <w:rsid w:val="00DD009A"/>
    <w:rsid w:val="00DD095E"/>
    <w:rsid w:val="00DD10B3"/>
    <w:rsid w:val="00DD4CEC"/>
    <w:rsid w:val="00DD5317"/>
    <w:rsid w:val="00DD5782"/>
    <w:rsid w:val="00DD5999"/>
    <w:rsid w:val="00DD5E42"/>
    <w:rsid w:val="00DD60B5"/>
    <w:rsid w:val="00DD6537"/>
    <w:rsid w:val="00DD6667"/>
    <w:rsid w:val="00DD694C"/>
    <w:rsid w:val="00DD74A2"/>
    <w:rsid w:val="00DD77E5"/>
    <w:rsid w:val="00DD79AA"/>
    <w:rsid w:val="00DD7C16"/>
    <w:rsid w:val="00DE0254"/>
    <w:rsid w:val="00DE05D2"/>
    <w:rsid w:val="00DE0C10"/>
    <w:rsid w:val="00DE0D23"/>
    <w:rsid w:val="00DE1E41"/>
    <w:rsid w:val="00DE2393"/>
    <w:rsid w:val="00DE29BB"/>
    <w:rsid w:val="00DE34C6"/>
    <w:rsid w:val="00DE353B"/>
    <w:rsid w:val="00DE3686"/>
    <w:rsid w:val="00DE383B"/>
    <w:rsid w:val="00DE47BA"/>
    <w:rsid w:val="00DE4951"/>
    <w:rsid w:val="00DE49BE"/>
    <w:rsid w:val="00DE4E1F"/>
    <w:rsid w:val="00DE5510"/>
    <w:rsid w:val="00DE5BB0"/>
    <w:rsid w:val="00DE6576"/>
    <w:rsid w:val="00DE6F38"/>
    <w:rsid w:val="00DF1FE8"/>
    <w:rsid w:val="00DF2B5B"/>
    <w:rsid w:val="00DF40F7"/>
    <w:rsid w:val="00DF41C3"/>
    <w:rsid w:val="00DF4614"/>
    <w:rsid w:val="00DF478C"/>
    <w:rsid w:val="00DF4A70"/>
    <w:rsid w:val="00DF4BFA"/>
    <w:rsid w:val="00DF51A7"/>
    <w:rsid w:val="00DF5561"/>
    <w:rsid w:val="00DF577E"/>
    <w:rsid w:val="00DF5E08"/>
    <w:rsid w:val="00DF6437"/>
    <w:rsid w:val="00DF6D10"/>
    <w:rsid w:val="00DF7A00"/>
    <w:rsid w:val="00DF7B25"/>
    <w:rsid w:val="00DF7D1E"/>
    <w:rsid w:val="00E00846"/>
    <w:rsid w:val="00E00B16"/>
    <w:rsid w:val="00E00B67"/>
    <w:rsid w:val="00E00CB4"/>
    <w:rsid w:val="00E0139C"/>
    <w:rsid w:val="00E02038"/>
    <w:rsid w:val="00E02C7F"/>
    <w:rsid w:val="00E04826"/>
    <w:rsid w:val="00E05201"/>
    <w:rsid w:val="00E07261"/>
    <w:rsid w:val="00E07B8C"/>
    <w:rsid w:val="00E07B93"/>
    <w:rsid w:val="00E07F09"/>
    <w:rsid w:val="00E102C4"/>
    <w:rsid w:val="00E10F1F"/>
    <w:rsid w:val="00E110CD"/>
    <w:rsid w:val="00E1185E"/>
    <w:rsid w:val="00E119C6"/>
    <w:rsid w:val="00E1328C"/>
    <w:rsid w:val="00E1333B"/>
    <w:rsid w:val="00E135A1"/>
    <w:rsid w:val="00E1378A"/>
    <w:rsid w:val="00E148D9"/>
    <w:rsid w:val="00E1496E"/>
    <w:rsid w:val="00E14C0C"/>
    <w:rsid w:val="00E15F5E"/>
    <w:rsid w:val="00E16325"/>
    <w:rsid w:val="00E16DCC"/>
    <w:rsid w:val="00E16EF1"/>
    <w:rsid w:val="00E172BD"/>
    <w:rsid w:val="00E177A0"/>
    <w:rsid w:val="00E17ADB"/>
    <w:rsid w:val="00E17F63"/>
    <w:rsid w:val="00E2024F"/>
    <w:rsid w:val="00E20F48"/>
    <w:rsid w:val="00E216AB"/>
    <w:rsid w:val="00E21B48"/>
    <w:rsid w:val="00E2234F"/>
    <w:rsid w:val="00E2338C"/>
    <w:rsid w:val="00E244F4"/>
    <w:rsid w:val="00E24AC7"/>
    <w:rsid w:val="00E24B0F"/>
    <w:rsid w:val="00E24BC1"/>
    <w:rsid w:val="00E24C86"/>
    <w:rsid w:val="00E251B5"/>
    <w:rsid w:val="00E258DA"/>
    <w:rsid w:val="00E261BE"/>
    <w:rsid w:val="00E2659B"/>
    <w:rsid w:val="00E27073"/>
    <w:rsid w:val="00E27531"/>
    <w:rsid w:val="00E30CD1"/>
    <w:rsid w:val="00E310A5"/>
    <w:rsid w:val="00E311BE"/>
    <w:rsid w:val="00E31BC7"/>
    <w:rsid w:val="00E31C5E"/>
    <w:rsid w:val="00E31D51"/>
    <w:rsid w:val="00E338C6"/>
    <w:rsid w:val="00E3398D"/>
    <w:rsid w:val="00E33BE3"/>
    <w:rsid w:val="00E33D34"/>
    <w:rsid w:val="00E33F04"/>
    <w:rsid w:val="00E33F38"/>
    <w:rsid w:val="00E349EA"/>
    <w:rsid w:val="00E35246"/>
    <w:rsid w:val="00E35CF1"/>
    <w:rsid w:val="00E3605C"/>
    <w:rsid w:val="00E36788"/>
    <w:rsid w:val="00E37275"/>
    <w:rsid w:val="00E37359"/>
    <w:rsid w:val="00E4048A"/>
    <w:rsid w:val="00E408BB"/>
    <w:rsid w:val="00E40C85"/>
    <w:rsid w:val="00E40DBC"/>
    <w:rsid w:val="00E41B35"/>
    <w:rsid w:val="00E42648"/>
    <w:rsid w:val="00E42780"/>
    <w:rsid w:val="00E42EAB"/>
    <w:rsid w:val="00E43564"/>
    <w:rsid w:val="00E43687"/>
    <w:rsid w:val="00E43C06"/>
    <w:rsid w:val="00E44341"/>
    <w:rsid w:val="00E446BC"/>
    <w:rsid w:val="00E449B1"/>
    <w:rsid w:val="00E44FED"/>
    <w:rsid w:val="00E46191"/>
    <w:rsid w:val="00E47B31"/>
    <w:rsid w:val="00E501F7"/>
    <w:rsid w:val="00E5082D"/>
    <w:rsid w:val="00E50AF8"/>
    <w:rsid w:val="00E51245"/>
    <w:rsid w:val="00E5180E"/>
    <w:rsid w:val="00E51BF1"/>
    <w:rsid w:val="00E520FB"/>
    <w:rsid w:val="00E521CE"/>
    <w:rsid w:val="00E53909"/>
    <w:rsid w:val="00E53B8B"/>
    <w:rsid w:val="00E55923"/>
    <w:rsid w:val="00E562BB"/>
    <w:rsid w:val="00E56627"/>
    <w:rsid w:val="00E574A9"/>
    <w:rsid w:val="00E57E86"/>
    <w:rsid w:val="00E6043C"/>
    <w:rsid w:val="00E61202"/>
    <w:rsid w:val="00E61355"/>
    <w:rsid w:val="00E613BC"/>
    <w:rsid w:val="00E61446"/>
    <w:rsid w:val="00E617A8"/>
    <w:rsid w:val="00E61F1E"/>
    <w:rsid w:val="00E6260E"/>
    <w:rsid w:val="00E62D69"/>
    <w:rsid w:val="00E63677"/>
    <w:rsid w:val="00E6379F"/>
    <w:rsid w:val="00E63B93"/>
    <w:rsid w:val="00E64072"/>
    <w:rsid w:val="00E6466D"/>
    <w:rsid w:val="00E6629F"/>
    <w:rsid w:val="00E66563"/>
    <w:rsid w:val="00E66743"/>
    <w:rsid w:val="00E66807"/>
    <w:rsid w:val="00E66861"/>
    <w:rsid w:val="00E6693C"/>
    <w:rsid w:val="00E66E21"/>
    <w:rsid w:val="00E66E83"/>
    <w:rsid w:val="00E67063"/>
    <w:rsid w:val="00E6714A"/>
    <w:rsid w:val="00E6741C"/>
    <w:rsid w:val="00E70F38"/>
    <w:rsid w:val="00E710FC"/>
    <w:rsid w:val="00E7163A"/>
    <w:rsid w:val="00E71915"/>
    <w:rsid w:val="00E71A07"/>
    <w:rsid w:val="00E71BF5"/>
    <w:rsid w:val="00E72C0D"/>
    <w:rsid w:val="00E7362F"/>
    <w:rsid w:val="00E7392B"/>
    <w:rsid w:val="00E748DE"/>
    <w:rsid w:val="00E74F0E"/>
    <w:rsid w:val="00E7508D"/>
    <w:rsid w:val="00E75CE6"/>
    <w:rsid w:val="00E76865"/>
    <w:rsid w:val="00E76886"/>
    <w:rsid w:val="00E77A22"/>
    <w:rsid w:val="00E77E6D"/>
    <w:rsid w:val="00E80916"/>
    <w:rsid w:val="00E8094D"/>
    <w:rsid w:val="00E81051"/>
    <w:rsid w:val="00E810E7"/>
    <w:rsid w:val="00E817DB"/>
    <w:rsid w:val="00E81FBB"/>
    <w:rsid w:val="00E821E1"/>
    <w:rsid w:val="00E82506"/>
    <w:rsid w:val="00E8315C"/>
    <w:rsid w:val="00E83A6E"/>
    <w:rsid w:val="00E840DF"/>
    <w:rsid w:val="00E845BA"/>
    <w:rsid w:val="00E848F0"/>
    <w:rsid w:val="00E851B5"/>
    <w:rsid w:val="00E8536E"/>
    <w:rsid w:val="00E8560F"/>
    <w:rsid w:val="00E85674"/>
    <w:rsid w:val="00E8691D"/>
    <w:rsid w:val="00E8780A"/>
    <w:rsid w:val="00E87C69"/>
    <w:rsid w:val="00E9047D"/>
    <w:rsid w:val="00E907C2"/>
    <w:rsid w:val="00E9174B"/>
    <w:rsid w:val="00E93B47"/>
    <w:rsid w:val="00E93BFB"/>
    <w:rsid w:val="00E9402B"/>
    <w:rsid w:val="00E94208"/>
    <w:rsid w:val="00E94DA9"/>
    <w:rsid w:val="00E95062"/>
    <w:rsid w:val="00E957FC"/>
    <w:rsid w:val="00E95A9D"/>
    <w:rsid w:val="00E95BAC"/>
    <w:rsid w:val="00E96245"/>
    <w:rsid w:val="00E9639B"/>
    <w:rsid w:val="00E96AF8"/>
    <w:rsid w:val="00E976A0"/>
    <w:rsid w:val="00E97A0E"/>
    <w:rsid w:val="00E97C0C"/>
    <w:rsid w:val="00E97DCA"/>
    <w:rsid w:val="00EA0289"/>
    <w:rsid w:val="00EA0604"/>
    <w:rsid w:val="00EA0A55"/>
    <w:rsid w:val="00EA3E9E"/>
    <w:rsid w:val="00EA481E"/>
    <w:rsid w:val="00EA5277"/>
    <w:rsid w:val="00EA6014"/>
    <w:rsid w:val="00EA64CF"/>
    <w:rsid w:val="00EA6C63"/>
    <w:rsid w:val="00EA77AD"/>
    <w:rsid w:val="00EB11D1"/>
    <w:rsid w:val="00EB1515"/>
    <w:rsid w:val="00EB16F9"/>
    <w:rsid w:val="00EB181B"/>
    <w:rsid w:val="00EB1A2D"/>
    <w:rsid w:val="00EB1B29"/>
    <w:rsid w:val="00EB1CA4"/>
    <w:rsid w:val="00EB1FDC"/>
    <w:rsid w:val="00EB2201"/>
    <w:rsid w:val="00EB22C7"/>
    <w:rsid w:val="00EB2D2B"/>
    <w:rsid w:val="00EB2DEA"/>
    <w:rsid w:val="00EB347E"/>
    <w:rsid w:val="00EB3AD5"/>
    <w:rsid w:val="00EB3B94"/>
    <w:rsid w:val="00EB469B"/>
    <w:rsid w:val="00EB5456"/>
    <w:rsid w:val="00EB5E6E"/>
    <w:rsid w:val="00EB613D"/>
    <w:rsid w:val="00EB640F"/>
    <w:rsid w:val="00EB6B04"/>
    <w:rsid w:val="00EB6FE0"/>
    <w:rsid w:val="00EB7317"/>
    <w:rsid w:val="00EB7828"/>
    <w:rsid w:val="00EC0549"/>
    <w:rsid w:val="00EC06A3"/>
    <w:rsid w:val="00EC0775"/>
    <w:rsid w:val="00EC098A"/>
    <w:rsid w:val="00EC0E1D"/>
    <w:rsid w:val="00EC0EA7"/>
    <w:rsid w:val="00EC152B"/>
    <w:rsid w:val="00EC1664"/>
    <w:rsid w:val="00EC1FFA"/>
    <w:rsid w:val="00EC341C"/>
    <w:rsid w:val="00EC3803"/>
    <w:rsid w:val="00EC3F74"/>
    <w:rsid w:val="00EC4857"/>
    <w:rsid w:val="00EC6AA2"/>
    <w:rsid w:val="00EC73B6"/>
    <w:rsid w:val="00EC73BF"/>
    <w:rsid w:val="00EC7C1E"/>
    <w:rsid w:val="00EC7D44"/>
    <w:rsid w:val="00ED1617"/>
    <w:rsid w:val="00ED1657"/>
    <w:rsid w:val="00ED1AE7"/>
    <w:rsid w:val="00ED1EAD"/>
    <w:rsid w:val="00ED25C6"/>
    <w:rsid w:val="00ED26E8"/>
    <w:rsid w:val="00ED2CE7"/>
    <w:rsid w:val="00ED4802"/>
    <w:rsid w:val="00ED5114"/>
    <w:rsid w:val="00ED5637"/>
    <w:rsid w:val="00ED6618"/>
    <w:rsid w:val="00ED7814"/>
    <w:rsid w:val="00ED7A4D"/>
    <w:rsid w:val="00ED7B38"/>
    <w:rsid w:val="00EE033D"/>
    <w:rsid w:val="00EE03BE"/>
    <w:rsid w:val="00EE0ABB"/>
    <w:rsid w:val="00EE19A2"/>
    <w:rsid w:val="00EE1E9E"/>
    <w:rsid w:val="00EE3670"/>
    <w:rsid w:val="00EE5851"/>
    <w:rsid w:val="00EE5894"/>
    <w:rsid w:val="00EE5C96"/>
    <w:rsid w:val="00EE6227"/>
    <w:rsid w:val="00EE69DC"/>
    <w:rsid w:val="00EE714D"/>
    <w:rsid w:val="00EE71C9"/>
    <w:rsid w:val="00EE784C"/>
    <w:rsid w:val="00EE795F"/>
    <w:rsid w:val="00EE7A88"/>
    <w:rsid w:val="00EE7DD9"/>
    <w:rsid w:val="00EF0AEC"/>
    <w:rsid w:val="00EF162C"/>
    <w:rsid w:val="00EF1ABC"/>
    <w:rsid w:val="00EF1CF9"/>
    <w:rsid w:val="00EF2CCD"/>
    <w:rsid w:val="00EF334C"/>
    <w:rsid w:val="00EF352D"/>
    <w:rsid w:val="00EF3A27"/>
    <w:rsid w:val="00EF3CFF"/>
    <w:rsid w:val="00EF4996"/>
    <w:rsid w:val="00EF4AEE"/>
    <w:rsid w:val="00EF5218"/>
    <w:rsid w:val="00EF52B5"/>
    <w:rsid w:val="00EF654A"/>
    <w:rsid w:val="00EF698D"/>
    <w:rsid w:val="00EF6D11"/>
    <w:rsid w:val="00EF6E41"/>
    <w:rsid w:val="00EF746F"/>
    <w:rsid w:val="00EF7954"/>
    <w:rsid w:val="00EF7AF5"/>
    <w:rsid w:val="00F00288"/>
    <w:rsid w:val="00F00367"/>
    <w:rsid w:val="00F00B76"/>
    <w:rsid w:val="00F0114B"/>
    <w:rsid w:val="00F015B2"/>
    <w:rsid w:val="00F03895"/>
    <w:rsid w:val="00F039D4"/>
    <w:rsid w:val="00F03F3B"/>
    <w:rsid w:val="00F05156"/>
    <w:rsid w:val="00F05D84"/>
    <w:rsid w:val="00F05F00"/>
    <w:rsid w:val="00F05F99"/>
    <w:rsid w:val="00F06885"/>
    <w:rsid w:val="00F06F3F"/>
    <w:rsid w:val="00F07468"/>
    <w:rsid w:val="00F10B44"/>
    <w:rsid w:val="00F1109F"/>
    <w:rsid w:val="00F110B2"/>
    <w:rsid w:val="00F119D0"/>
    <w:rsid w:val="00F11B25"/>
    <w:rsid w:val="00F11D9E"/>
    <w:rsid w:val="00F11DDC"/>
    <w:rsid w:val="00F11F62"/>
    <w:rsid w:val="00F12355"/>
    <w:rsid w:val="00F126AF"/>
    <w:rsid w:val="00F12AAB"/>
    <w:rsid w:val="00F1302B"/>
    <w:rsid w:val="00F1315D"/>
    <w:rsid w:val="00F134F2"/>
    <w:rsid w:val="00F13F76"/>
    <w:rsid w:val="00F1405E"/>
    <w:rsid w:val="00F140FD"/>
    <w:rsid w:val="00F14790"/>
    <w:rsid w:val="00F14BE7"/>
    <w:rsid w:val="00F14EED"/>
    <w:rsid w:val="00F1500A"/>
    <w:rsid w:val="00F16BCB"/>
    <w:rsid w:val="00F17577"/>
    <w:rsid w:val="00F177D1"/>
    <w:rsid w:val="00F178B4"/>
    <w:rsid w:val="00F21595"/>
    <w:rsid w:val="00F2176B"/>
    <w:rsid w:val="00F21A65"/>
    <w:rsid w:val="00F21D11"/>
    <w:rsid w:val="00F22439"/>
    <w:rsid w:val="00F22906"/>
    <w:rsid w:val="00F22C79"/>
    <w:rsid w:val="00F22D82"/>
    <w:rsid w:val="00F2333F"/>
    <w:rsid w:val="00F234BF"/>
    <w:rsid w:val="00F23567"/>
    <w:rsid w:val="00F237A4"/>
    <w:rsid w:val="00F237C2"/>
    <w:rsid w:val="00F23A8E"/>
    <w:rsid w:val="00F23DBF"/>
    <w:rsid w:val="00F24709"/>
    <w:rsid w:val="00F24F94"/>
    <w:rsid w:val="00F25851"/>
    <w:rsid w:val="00F25C99"/>
    <w:rsid w:val="00F25EEC"/>
    <w:rsid w:val="00F263D0"/>
    <w:rsid w:val="00F26D40"/>
    <w:rsid w:val="00F303E7"/>
    <w:rsid w:val="00F305DC"/>
    <w:rsid w:val="00F3084E"/>
    <w:rsid w:val="00F31341"/>
    <w:rsid w:val="00F3134B"/>
    <w:rsid w:val="00F313BD"/>
    <w:rsid w:val="00F3144B"/>
    <w:rsid w:val="00F3202A"/>
    <w:rsid w:val="00F32A82"/>
    <w:rsid w:val="00F33454"/>
    <w:rsid w:val="00F3351B"/>
    <w:rsid w:val="00F33A19"/>
    <w:rsid w:val="00F33FB8"/>
    <w:rsid w:val="00F340B6"/>
    <w:rsid w:val="00F347CA"/>
    <w:rsid w:val="00F34A8B"/>
    <w:rsid w:val="00F35115"/>
    <w:rsid w:val="00F35194"/>
    <w:rsid w:val="00F3599D"/>
    <w:rsid w:val="00F35BE4"/>
    <w:rsid w:val="00F361B7"/>
    <w:rsid w:val="00F362B2"/>
    <w:rsid w:val="00F3663D"/>
    <w:rsid w:val="00F378EA"/>
    <w:rsid w:val="00F37B67"/>
    <w:rsid w:val="00F37C04"/>
    <w:rsid w:val="00F37D3A"/>
    <w:rsid w:val="00F37D95"/>
    <w:rsid w:val="00F40BAE"/>
    <w:rsid w:val="00F4104D"/>
    <w:rsid w:val="00F41547"/>
    <w:rsid w:val="00F41D5D"/>
    <w:rsid w:val="00F420F3"/>
    <w:rsid w:val="00F42BD7"/>
    <w:rsid w:val="00F4370E"/>
    <w:rsid w:val="00F43CAA"/>
    <w:rsid w:val="00F43D23"/>
    <w:rsid w:val="00F43DF3"/>
    <w:rsid w:val="00F441EE"/>
    <w:rsid w:val="00F4475E"/>
    <w:rsid w:val="00F44893"/>
    <w:rsid w:val="00F44F66"/>
    <w:rsid w:val="00F45389"/>
    <w:rsid w:val="00F456B2"/>
    <w:rsid w:val="00F45815"/>
    <w:rsid w:val="00F458C9"/>
    <w:rsid w:val="00F45AAF"/>
    <w:rsid w:val="00F46D73"/>
    <w:rsid w:val="00F47484"/>
    <w:rsid w:val="00F474C7"/>
    <w:rsid w:val="00F50070"/>
    <w:rsid w:val="00F5049A"/>
    <w:rsid w:val="00F5070D"/>
    <w:rsid w:val="00F50FAC"/>
    <w:rsid w:val="00F51444"/>
    <w:rsid w:val="00F516C7"/>
    <w:rsid w:val="00F52513"/>
    <w:rsid w:val="00F52B18"/>
    <w:rsid w:val="00F52F93"/>
    <w:rsid w:val="00F531ED"/>
    <w:rsid w:val="00F54608"/>
    <w:rsid w:val="00F54713"/>
    <w:rsid w:val="00F552F2"/>
    <w:rsid w:val="00F55B1E"/>
    <w:rsid w:val="00F55D8E"/>
    <w:rsid w:val="00F55E52"/>
    <w:rsid w:val="00F56CE0"/>
    <w:rsid w:val="00F572F2"/>
    <w:rsid w:val="00F573D7"/>
    <w:rsid w:val="00F57902"/>
    <w:rsid w:val="00F57B9B"/>
    <w:rsid w:val="00F57EF0"/>
    <w:rsid w:val="00F57F28"/>
    <w:rsid w:val="00F608D5"/>
    <w:rsid w:val="00F612C7"/>
    <w:rsid w:val="00F61A29"/>
    <w:rsid w:val="00F61B96"/>
    <w:rsid w:val="00F627E2"/>
    <w:rsid w:val="00F62AD3"/>
    <w:rsid w:val="00F62CA6"/>
    <w:rsid w:val="00F637A4"/>
    <w:rsid w:val="00F637D8"/>
    <w:rsid w:val="00F6388B"/>
    <w:rsid w:val="00F63B0D"/>
    <w:rsid w:val="00F63C4F"/>
    <w:rsid w:val="00F64B77"/>
    <w:rsid w:val="00F64F32"/>
    <w:rsid w:val="00F64FE2"/>
    <w:rsid w:val="00F66AA9"/>
    <w:rsid w:val="00F66B1B"/>
    <w:rsid w:val="00F66D0C"/>
    <w:rsid w:val="00F66DFC"/>
    <w:rsid w:val="00F679B1"/>
    <w:rsid w:val="00F67BD0"/>
    <w:rsid w:val="00F707C0"/>
    <w:rsid w:val="00F70C7D"/>
    <w:rsid w:val="00F71520"/>
    <w:rsid w:val="00F716D1"/>
    <w:rsid w:val="00F718B4"/>
    <w:rsid w:val="00F71DFA"/>
    <w:rsid w:val="00F72874"/>
    <w:rsid w:val="00F7590F"/>
    <w:rsid w:val="00F759DF"/>
    <w:rsid w:val="00F75FE2"/>
    <w:rsid w:val="00F76797"/>
    <w:rsid w:val="00F772CC"/>
    <w:rsid w:val="00F774B0"/>
    <w:rsid w:val="00F77D37"/>
    <w:rsid w:val="00F77EDE"/>
    <w:rsid w:val="00F803DE"/>
    <w:rsid w:val="00F807D1"/>
    <w:rsid w:val="00F81046"/>
    <w:rsid w:val="00F81507"/>
    <w:rsid w:val="00F815D9"/>
    <w:rsid w:val="00F818B4"/>
    <w:rsid w:val="00F83261"/>
    <w:rsid w:val="00F839E4"/>
    <w:rsid w:val="00F83D30"/>
    <w:rsid w:val="00F83E7B"/>
    <w:rsid w:val="00F83EF8"/>
    <w:rsid w:val="00F84620"/>
    <w:rsid w:val="00F85075"/>
    <w:rsid w:val="00F8569E"/>
    <w:rsid w:val="00F85A14"/>
    <w:rsid w:val="00F85DC1"/>
    <w:rsid w:val="00F85EF4"/>
    <w:rsid w:val="00F871EE"/>
    <w:rsid w:val="00F87F37"/>
    <w:rsid w:val="00F905B0"/>
    <w:rsid w:val="00F907EB"/>
    <w:rsid w:val="00F90EB0"/>
    <w:rsid w:val="00F913C6"/>
    <w:rsid w:val="00F92C02"/>
    <w:rsid w:val="00F92FCC"/>
    <w:rsid w:val="00F9350B"/>
    <w:rsid w:val="00F94455"/>
    <w:rsid w:val="00F94864"/>
    <w:rsid w:val="00F952D5"/>
    <w:rsid w:val="00F95BDD"/>
    <w:rsid w:val="00F96921"/>
    <w:rsid w:val="00F96C18"/>
    <w:rsid w:val="00F96CB5"/>
    <w:rsid w:val="00F97883"/>
    <w:rsid w:val="00F97993"/>
    <w:rsid w:val="00F97B12"/>
    <w:rsid w:val="00F97D6C"/>
    <w:rsid w:val="00FA0114"/>
    <w:rsid w:val="00FA02EE"/>
    <w:rsid w:val="00FA0482"/>
    <w:rsid w:val="00FA0672"/>
    <w:rsid w:val="00FA1344"/>
    <w:rsid w:val="00FA1A0A"/>
    <w:rsid w:val="00FA1F2B"/>
    <w:rsid w:val="00FA2777"/>
    <w:rsid w:val="00FA3165"/>
    <w:rsid w:val="00FA33A6"/>
    <w:rsid w:val="00FA35B0"/>
    <w:rsid w:val="00FA375C"/>
    <w:rsid w:val="00FA39C0"/>
    <w:rsid w:val="00FA3C6B"/>
    <w:rsid w:val="00FA4B7F"/>
    <w:rsid w:val="00FA5EC9"/>
    <w:rsid w:val="00FA6EB2"/>
    <w:rsid w:val="00FA7446"/>
    <w:rsid w:val="00FA782A"/>
    <w:rsid w:val="00FA7B2B"/>
    <w:rsid w:val="00FA7B80"/>
    <w:rsid w:val="00FB013B"/>
    <w:rsid w:val="00FB0B18"/>
    <w:rsid w:val="00FB0CA5"/>
    <w:rsid w:val="00FB1349"/>
    <w:rsid w:val="00FB15D4"/>
    <w:rsid w:val="00FB1EB2"/>
    <w:rsid w:val="00FB2018"/>
    <w:rsid w:val="00FB23BB"/>
    <w:rsid w:val="00FB2ACA"/>
    <w:rsid w:val="00FB34DE"/>
    <w:rsid w:val="00FB449C"/>
    <w:rsid w:val="00FB4DD9"/>
    <w:rsid w:val="00FB4E2D"/>
    <w:rsid w:val="00FB5582"/>
    <w:rsid w:val="00FB5605"/>
    <w:rsid w:val="00FB57E1"/>
    <w:rsid w:val="00FB6690"/>
    <w:rsid w:val="00FB673E"/>
    <w:rsid w:val="00FB6C47"/>
    <w:rsid w:val="00FB6EE6"/>
    <w:rsid w:val="00FB753B"/>
    <w:rsid w:val="00FB7745"/>
    <w:rsid w:val="00FB779D"/>
    <w:rsid w:val="00FB7915"/>
    <w:rsid w:val="00FB7AB9"/>
    <w:rsid w:val="00FB7FC8"/>
    <w:rsid w:val="00FC16D5"/>
    <w:rsid w:val="00FC1BC8"/>
    <w:rsid w:val="00FC1BCA"/>
    <w:rsid w:val="00FC1BD8"/>
    <w:rsid w:val="00FC1C28"/>
    <w:rsid w:val="00FC2190"/>
    <w:rsid w:val="00FC2408"/>
    <w:rsid w:val="00FC2509"/>
    <w:rsid w:val="00FC254A"/>
    <w:rsid w:val="00FC29A6"/>
    <w:rsid w:val="00FC2E34"/>
    <w:rsid w:val="00FC3BD5"/>
    <w:rsid w:val="00FC3D57"/>
    <w:rsid w:val="00FC3EB4"/>
    <w:rsid w:val="00FC509B"/>
    <w:rsid w:val="00FC51B8"/>
    <w:rsid w:val="00FC56AF"/>
    <w:rsid w:val="00FC58B9"/>
    <w:rsid w:val="00FC5B38"/>
    <w:rsid w:val="00FC5DE8"/>
    <w:rsid w:val="00FC5FD1"/>
    <w:rsid w:val="00FC602C"/>
    <w:rsid w:val="00FC6816"/>
    <w:rsid w:val="00FC6AB3"/>
    <w:rsid w:val="00FC6C2D"/>
    <w:rsid w:val="00FC75DD"/>
    <w:rsid w:val="00FC763A"/>
    <w:rsid w:val="00FC7689"/>
    <w:rsid w:val="00FD0134"/>
    <w:rsid w:val="00FD0299"/>
    <w:rsid w:val="00FD053D"/>
    <w:rsid w:val="00FD098D"/>
    <w:rsid w:val="00FD15CA"/>
    <w:rsid w:val="00FD16AB"/>
    <w:rsid w:val="00FD1D22"/>
    <w:rsid w:val="00FD29EB"/>
    <w:rsid w:val="00FD2ACB"/>
    <w:rsid w:val="00FD2E3A"/>
    <w:rsid w:val="00FD339A"/>
    <w:rsid w:val="00FD38DC"/>
    <w:rsid w:val="00FD4009"/>
    <w:rsid w:val="00FD4174"/>
    <w:rsid w:val="00FD425E"/>
    <w:rsid w:val="00FD5DE2"/>
    <w:rsid w:val="00FD6457"/>
    <w:rsid w:val="00FD6619"/>
    <w:rsid w:val="00FD6A61"/>
    <w:rsid w:val="00FD742F"/>
    <w:rsid w:val="00FD755E"/>
    <w:rsid w:val="00FD7CD3"/>
    <w:rsid w:val="00FE010B"/>
    <w:rsid w:val="00FE05AE"/>
    <w:rsid w:val="00FE0B35"/>
    <w:rsid w:val="00FE0BDC"/>
    <w:rsid w:val="00FE1386"/>
    <w:rsid w:val="00FE1C10"/>
    <w:rsid w:val="00FE2543"/>
    <w:rsid w:val="00FE2876"/>
    <w:rsid w:val="00FE2BA4"/>
    <w:rsid w:val="00FE347A"/>
    <w:rsid w:val="00FE3A96"/>
    <w:rsid w:val="00FE44C5"/>
    <w:rsid w:val="00FE4586"/>
    <w:rsid w:val="00FE56A3"/>
    <w:rsid w:val="00FE57D8"/>
    <w:rsid w:val="00FE5DBA"/>
    <w:rsid w:val="00FE6248"/>
    <w:rsid w:val="00FE6423"/>
    <w:rsid w:val="00FE6DA0"/>
    <w:rsid w:val="00FE7212"/>
    <w:rsid w:val="00FE7557"/>
    <w:rsid w:val="00FE7934"/>
    <w:rsid w:val="00FE7B4F"/>
    <w:rsid w:val="00FF0127"/>
    <w:rsid w:val="00FF03D5"/>
    <w:rsid w:val="00FF06C9"/>
    <w:rsid w:val="00FF09CB"/>
    <w:rsid w:val="00FF0F80"/>
    <w:rsid w:val="00FF1021"/>
    <w:rsid w:val="00FF141F"/>
    <w:rsid w:val="00FF182D"/>
    <w:rsid w:val="00FF1D27"/>
    <w:rsid w:val="00FF2492"/>
    <w:rsid w:val="00FF2BE5"/>
    <w:rsid w:val="00FF3CD5"/>
    <w:rsid w:val="00FF406D"/>
    <w:rsid w:val="00FF5568"/>
    <w:rsid w:val="00FF5CE3"/>
    <w:rsid w:val="00FF5E43"/>
    <w:rsid w:val="00FF69C8"/>
    <w:rsid w:val="00FF6D57"/>
    <w:rsid w:val="00FF6FC9"/>
    <w:rsid w:val="00FF7050"/>
    <w:rsid w:val="00FF79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E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uiPriority="0"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99"/>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NoNorm">
    <w:name w:val="No Norm"/>
    <w:basedOn w:val="Normal"/>
    <w:qFormat/>
    <w:rsid w:val="008F0E04"/>
    <w:pPr>
      <w:tabs>
        <w:tab w:val="clear" w:pos="720"/>
        <w:tab w:val="clear" w:pos="1440"/>
        <w:tab w:val="left" w:pos="709"/>
      </w:tabs>
      <w:spacing w:before="120" w:line="240" w:lineRule="auto"/>
      <w:ind w:left="720" w:hanging="720"/>
      <w:jc w:val="both"/>
    </w:pPr>
    <w:rPr>
      <w:rFonts w:ascii="Arial" w:hAnsi="Arial" w:cs="Arial"/>
      <w:sz w:val="22"/>
      <w:szCs w:val="22"/>
    </w:rPr>
  </w:style>
  <w:style w:type="paragraph" w:customStyle="1" w:styleId="Noindentnormal">
    <w:name w:val="No indent normal"/>
    <w:basedOn w:val="NoNorm"/>
    <w:qFormat/>
    <w:rsid w:val="008F0E04"/>
    <w:pPr>
      <w:tabs>
        <w:tab w:val="clear" w:pos="2160"/>
        <w:tab w:val="left" w:pos="1418"/>
      </w:tabs>
      <w:ind w:left="1418" w:hanging="709"/>
    </w:pPr>
  </w:style>
  <w:style w:type="paragraph" w:customStyle="1" w:styleId="Indentlista">
    <w:name w:val="Indent list a)"/>
    <w:basedOn w:val="Noindentnormal"/>
    <w:qFormat/>
    <w:rsid w:val="008F0E04"/>
    <w:pPr>
      <w:tabs>
        <w:tab w:val="left" w:pos="2268"/>
      </w:tabs>
      <w:spacing w:before="60"/>
      <w:ind w:left="2268" w:hanging="567"/>
    </w:pPr>
  </w:style>
  <w:style w:type="character" w:customStyle="1" w:styleId="FootnoteTextChar">
    <w:name w:val="Footnote Text Char"/>
    <w:link w:val="FootnoteText"/>
    <w:uiPriority w:val="99"/>
    <w:rsid w:val="00993141"/>
  </w:style>
  <w:style w:type="character" w:styleId="CommentReference">
    <w:name w:val="annotation reference"/>
    <w:basedOn w:val="DefaultParagraphFont"/>
    <w:uiPriority w:val="99"/>
    <w:semiHidden/>
    <w:unhideWhenUsed/>
    <w:locked/>
    <w:rsid w:val="005C049C"/>
    <w:rPr>
      <w:sz w:val="16"/>
      <w:szCs w:val="16"/>
    </w:rPr>
  </w:style>
  <w:style w:type="paragraph" w:styleId="CommentText">
    <w:name w:val="annotation text"/>
    <w:basedOn w:val="Normal"/>
    <w:link w:val="CommentTextChar"/>
    <w:uiPriority w:val="99"/>
    <w:semiHidden/>
    <w:unhideWhenUsed/>
    <w:locked/>
    <w:rsid w:val="005C049C"/>
    <w:pPr>
      <w:spacing w:line="240" w:lineRule="auto"/>
    </w:pPr>
    <w:rPr>
      <w:sz w:val="20"/>
      <w:szCs w:val="20"/>
    </w:rPr>
  </w:style>
  <w:style w:type="character" w:customStyle="1" w:styleId="CommentTextChar">
    <w:name w:val="Comment Text Char"/>
    <w:basedOn w:val="DefaultParagraphFont"/>
    <w:link w:val="CommentText"/>
    <w:uiPriority w:val="99"/>
    <w:semiHidden/>
    <w:rsid w:val="005C049C"/>
    <w:rPr>
      <w:sz w:val="20"/>
      <w:szCs w:val="20"/>
    </w:rPr>
  </w:style>
  <w:style w:type="paragraph" w:styleId="CommentSubject">
    <w:name w:val="annotation subject"/>
    <w:basedOn w:val="CommentText"/>
    <w:next w:val="CommentText"/>
    <w:link w:val="CommentSubjectChar"/>
    <w:uiPriority w:val="99"/>
    <w:semiHidden/>
    <w:unhideWhenUsed/>
    <w:locked/>
    <w:rsid w:val="005C049C"/>
    <w:rPr>
      <w:b/>
      <w:bCs/>
    </w:rPr>
  </w:style>
  <w:style w:type="character" w:customStyle="1" w:styleId="CommentSubjectChar">
    <w:name w:val="Comment Subject Char"/>
    <w:basedOn w:val="CommentTextChar"/>
    <w:link w:val="CommentSubject"/>
    <w:uiPriority w:val="99"/>
    <w:semiHidden/>
    <w:rsid w:val="005C049C"/>
    <w:rPr>
      <w:b/>
      <w:bCs/>
      <w:sz w:val="20"/>
      <w:szCs w:val="20"/>
    </w:rPr>
  </w:style>
  <w:style w:type="paragraph" w:styleId="Revision">
    <w:name w:val="Revision"/>
    <w:hidden/>
    <w:uiPriority w:val="99"/>
    <w:semiHidden/>
    <w:rsid w:val="00E338C6"/>
  </w:style>
  <w:style w:type="paragraph" w:customStyle="1" w:styleId="Body">
    <w:name w:val="Body"/>
    <w:basedOn w:val="Normal"/>
    <w:qFormat/>
    <w:rsid w:val="000B5E2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0B5E2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0B5E2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0B5E2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0B5E2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0B5E2B"/>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6516">
      <w:bodyDiv w:val="1"/>
      <w:marLeft w:val="0"/>
      <w:marRight w:val="0"/>
      <w:marTop w:val="0"/>
      <w:marBottom w:val="0"/>
      <w:divBdr>
        <w:top w:val="none" w:sz="0" w:space="0" w:color="auto"/>
        <w:left w:val="none" w:sz="0" w:space="0" w:color="auto"/>
        <w:bottom w:val="none" w:sz="0" w:space="0" w:color="auto"/>
        <w:right w:val="none" w:sz="0" w:space="0" w:color="auto"/>
      </w:divBdr>
      <w:divsChild>
        <w:div w:id="41386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492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030466">
      <w:bodyDiv w:val="1"/>
      <w:marLeft w:val="0"/>
      <w:marRight w:val="0"/>
      <w:marTop w:val="0"/>
      <w:marBottom w:val="0"/>
      <w:divBdr>
        <w:top w:val="none" w:sz="0" w:space="0" w:color="auto"/>
        <w:left w:val="none" w:sz="0" w:space="0" w:color="auto"/>
        <w:bottom w:val="none" w:sz="0" w:space="0" w:color="auto"/>
        <w:right w:val="none" w:sz="0" w:space="0" w:color="auto"/>
      </w:divBdr>
    </w:div>
    <w:div w:id="1889952924">
      <w:bodyDiv w:val="1"/>
      <w:marLeft w:val="0"/>
      <w:marRight w:val="0"/>
      <w:marTop w:val="0"/>
      <w:marBottom w:val="0"/>
      <w:divBdr>
        <w:top w:val="none" w:sz="0" w:space="0" w:color="auto"/>
        <w:left w:val="none" w:sz="0" w:space="0" w:color="auto"/>
        <w:bottom w:val="none" w:sz="0" w:space="0" w:color="auto"/>
        <w:right w:val="none" w:sz="0" w:space="0" w:color="auto"/>
      </w:divBdr>
      <w:divsChild>
        <w:div w:id="454956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050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0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D76A-9810-4829-920F-D8E20C7EE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34AD50-83DD-498C-946B-E36BBA75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23</Pages>
  <Words>5080</Words>
  <Characters>28961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2022-04-03T09:04:00Z</dcterms:created>
  <dcterms:modified xsi:type="dcterms:W3CDTF">2022-04-04T02:58:00Z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