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652F7" w14:textId="77777777" w:rsidR="009C2BE6" w:rsidRPr="00704FF8" w:rsidRDefault="009C2BE6" w:rsidP="00704FF8">
      <w:pPr>
        <w:pStyle w:val="OrdersTopLine"/>
      </w:pPr>
      <w:bookmarkStart w:id="0" w:name="_GoBack"/>
      <w:bookmarkEnd w:id="0"/>
      <w:r w:rsidRPr="00704FF8">
        <w:t>HIGH COURT OF AUSTRALIA</w:t>
      </w:r>
    </w:p>
    <w:p w14:paraId="71E9A95D" w14:textId="77777777" w:rsidR="009C2BE6" w:rsidRPr="00704FF8" w:rsidRDefault="009C2BE6" w:rsidP="00704FF8">
      <w:pPr>
        <w:pStyle w:val="OrderCentre"/>
      </w:pPr>
    </w:p>
    <w:p w14:paraId="2C135A9C" w14:textId="77777777" w:rsidR="009C2BE6" w:rsidRPr="00E47297" w:rsidRDefault="009C2BE6" w:rsidP="00704FF8">
      <w:pPr>
        <w:pStyle w:val="OrderCentre"/>
        <w:rPr>
          <w:sz w:val="24"/>
          <w:szCs w:val="24"/>
        </w:rPr>
      </w:pPr>
      <w:r w:rsidRPr="00E47297">
        <w:rPr>
          <w:sz w:val="24"/>
          <w:szCs w:val="24"/>
        </w:rPr>
        <w:t>KIEFEL CJ,</w:t>
      </w:r>
    </w:p>
    <w:p w14:paraId="7D87D607" w14:textId="77777777" w:rsidR="009C2BE6" w:rsidRPr="00E47297" w:rsidRDefault="009C2BE6" w:rsidP="00704FF8">
      <w:pPr>
        <w:pStyle w:val="OrderCentre"/>
        <w:rPr>
          <w:sz w:val="24"/>
          <w:szCs w:val="24"/>
        </w:rPr>
      </w:pPr>
      <w:r w:rsidRPr="00E47297">
        <w:rPr>
          <w:sz w:val="24"/>
          <w:szCs w:val="24"/>
        </w:rPr>
        <w:t>GAGELER, KEANE, GORDON, EDELMAN, STEWARD AND GLEESON JJ</w:t>
      </w:r>
    </w:p>
    <w:p w14:paraId="5F2AD60F" w14:textId="77777777" w:rsidR="009C2BE6" w:rsidRPr="00427F3A" w:rsidRDefault="009C2BE6" w:rsidP="00EE5374">
      <w:pPr>
        <w:pStyle w:val="Centre"/>
        <w:rPr>
          <w:lang w:val="en-AU"/>
        </w:rPr>
      </w:pPr>
    </w:p>
    <w:p w14:paraId="0962DFAF" w14:textId="77777777" w:rsidR="009C2BE6" w:rsidRPr="00704FF8" w:rsidRDefault="009C2BE6" w:rsidP="00704FF8">
      <w:pPr>
        <w:pStyle w:val="OrdersCenteredBorder"/>
      </w:pPr>
    </w:p>
    <w:p w14:paraId="312BF512" w14:textId="77777777" w:rsidR="009C2BE6" w:rsidRPr="00704FF8" w:rsidRDefault="009C2BE6" w:rsidP="0032341F">
      <w:pPr>
        <w:pStyle w:val="OrdersBodyHeading"/>
      </w:pPr>
    </w:p>
    <w:p w14:paraId="7E658BBA" w14:textId="77777777" w:rsidR="009C2BE6" w:rsidRDefault="009C2BE6" w:rsidP="009362E8">
      <w:pPr>
        <w:pStyle w:val="OrdersPartyName"/>
        <w:ind w:right="-1"/>
      </w:pPr>
      <w:r w:rsidRPr="008F12BC">
        <w:t xml:space="preserve">AUSTRALIAN BUILDING AND CONSTRUCTION </w:t>
      </w:r>
    </w:p>
    <w:p w14:paraId="18AE56C2" w14:textId="77777777" w:rsidR="009C2BE6" w:rsidRPr="0032341F" w:rsidRDefault="009C2BE6" w:rsidP="009362E8">
      <w:pPr>
        <w:pStyle w:val="OrdersPartyName"/>
        <w:ind w:right="-1"/>
      </w:pPr>
      <w:r w:rsidRPr="008F12BC">
        <w:t>COMMISSIONER</w:t>
      </w:r>
      <w:r w:rsidRPr="0032341F">
        <w:tab/>
        <w:t>APPELLANT</w:t>
      </w:r>
    </w:p>
    <w:p w14:paraId="73431170" w14:textId="77777777" w:rsidR="009C2BE6" w:rsidRPr="0032341F" w:rsidRDefault="009C2BE6" w:rsidP="009362E8">
      <w:pPr>
        <w:pStyle w:val="OrdersPartyName"/>
        <w:ind w:right="-1"/>
      </w:pPr>
    </w:p>
    <w:p w14:paraId="6F00E208" w14:textId="77777777" w:rsidR="009C2BE6" w:rsidRPr="0032341F" w:rsidRDefault="009C2BE6" w:rsidP="009362E8">
      <w:pPr>
        <w:pStyle w:val="OrdersPartyName"/>
        <w:ind w:right="-1"/>
      </w:pPr>
      <w:r w:rsidRPr="0032341F">
        <w:t>AND</w:t>
      </w:r>
    </w:p>
    <w:p w14:paraId="0FEC3FED" w14:textId="77777777" w:rsidR="009C2BE6" w:rsidRPr="0032341F" w:rsidRDefault="009C2BE6" w:rsidP="009362E8">
      <w:pPr>
        <w:pStyle w:val="OrdersPartyName"/>
        <w:ind w:right="-1"/>
      </w:pPr>
    </w:p>
    <w:p w14:paraId="755D13AD" w14:textId="77777777" w:rsidR="009C2BE6" w:rsidRPr="0032341F" w:rsidRDefault="009C2BE6" w:rsidP="009362E8">
      <w:pPr>
        <w:pStyle w:val="OrdersPartyName"/>
        <w:ind w:right="-1"/>
      </w:pPr>
      <w:r w:rsidRPr="00627FF5">
        <w:t>KEVIN</w:t>
      </w:r>
      <w:r>
        <w:t xml:space="preserve"> </w:t>
      </w:r>
      <w:r w:rsidRPr="008F12BC">
        <w:t>PATTINSON &amp; ANOR</w:t>
      </w:r>
      <w:r w:rsidRPr="0032341F">
        <w:tab/>
        <w:t>RESPONDENT</w:t>
      </w:r>
      <w:r>
        <w:t>S</w:t>
      </w:r>
    </w:p>
    <w:p w14:paraId="0EC8D6FA" w14:textId="77777777" w:rsidR="009C2BE6" w:rsidRPr="00427F3A" w:rsidRDefault="009C2BE6" w:rsidP="00AF0A5E">
      <w:pPr>
        <w:pStyle w:val="BodyHeading"/>
      </w:pPr>
    </w:p>
    <w:p w14:paraId="49EBE380" w14:textId="77777777" w:rsidR="009C2BE6" w:rsidRPr="00427F3A" w:rsidRDefault="009C2BE6" w:rsidP="00BE0A6C">
      <w:pPr>
        <w:pStyle w:val="BodyHeading"/>
      </w:pPr>
    </w:p>
    <w:p w14:paraId="7983858E" w14:textId="77777777" w:rsidR="009C2BE6" w:rsidRPr="00427F3A" w:rsidRDefault="009C2BE6" w:rsidP="00EE5374">
      <w:pPr>
        <w:pStyle w:val="CentreItalics"/>
      </w:pPr>
      <w:r w:rsidRPr="00627FF5">
        <w:t>Australian Building and Construction Commissioner v Pattinson</w:t>
      </w:r>
    </w:p>
    <w:p w14:paraId="45A7938B" w14:textId="77777777" w:rsidR="009C2BE6" w:rsidRPr="00427F3A" w:rsidRDefault="009C2BE6" w:rsidP="00E90E4F">
      <w:pPr>
        <w:pStyle w:val="OrdersCentre"/>
      </w:pPr>
      <w:r>
        <w:t>[2022</w:t>
      </w:r>
      <w:r w:rsidRPr="00427F3A">
        <w:t xml:space="preserve">] HCA </w:t>
      </w:r>
      <w:r>
        <w:t>13</w:t>
      </w:r>
    </w:p>
    <w:p w14:paraId="48D4182F" w14:textId="77777777" w:rsidR="009C2BE6" w:rsidRDefault="009C2BE6" w:rsidP="00E90E4F">
      <w:pPr>
        <w:pStyle w:val="OrdersCentreItalics"/>
      </w:pPr>
      <w:r>
        <w:t>Date of Hearing: 7</w:t>
      </w:r>
      <w:r w:rsidRPr="003768DF">
        <w:t xml:space="preserve"> December 2021</w:t>
      </w:r>
    </w:p>
    <w:p w14:paraId="0BB09101" w14:textId="77777777" w:rsidR="009C2BE6" w:rsidRPr="00427F3A" w:rsidRDefault="009C2BE6" w:rsidP="00E90E4F">
      <w:pPr>
        <w:pStyle w:val="OrdersCentreItalics"/>
      </w:pPr>
      <w:r>
        <w:t>Date of Judgment: 13 April 2022</w:t>
      </w:r>
    </w:p>
    <w:p w14:paraId="0FB7833F" w14:textId="77777777" w:rsidR="009C2BE6" w:rsidRDefault="009C2BE6" w:rsidP="00E90E4F">
      <w:pPr>
        <w:pStyle w:val="OrdersCentre"/>
      </w:pPr>
      <w:r w:rsidRPr="00627FF5">
        <w:t>M34/2021</w:t>
      </w:r>
    </w:p>
    <w:p w14:paraId="0E32BDFD" w14:textId="77777777" w:rsidR="009C2BE6" w:rsidRPr="00427F3A" w:rsidRDefault="009C2BE6" w:rsidP="00E90E4F">
      <w:pPr>
        <w:pStyle w:val="OrdersCentre"/>
      </w:pPr>
    </w:p>
    <w:p w14:paraId="4BAF4BEE" w14:textId="77777777" w:rsidR="009C2BE6" w:rsidRPr="00BE0A6C" w:rsidRDefault="009C2BE6" w:rsidP="00E90E4F">
      <w:pPr>
        <w:pStyle w:val="OrderCentreBold"/>
      </w:pPr>
      <w:r w:rsidRPr="00BE0A6C">
        <w:t>ORDER</w:t>
      </w:r>
    </w:p>
    <w:p w14:paraId="1F00CC12" w14:textId="77777777" w:rsidR="009C2BE6" w:rsidRPr="00427F3A" w:rsidRDefault="009C2BE6" w:rsidP="00736C52">
      <w:pPr>
        <w:pStyle w:val="Centre"/>
        <w:rPr>
          <w:lang w:val="en-AU"/>
        </w:rPr>
      </w:pPr>
    </w:p>
    <w:p w14:paraId="7CA18383" w14:textId="77777777" w:rsidR="009C2BE6" w:rsidRDefault="009C2BE6" w:rsidP="0064558B">
      <w:pPr>
        <w:pStyle w:val="OrdersText"/>
      </w:pPr>
      <w:r>
        <w:t xml:space="preserve">1. </w:t>
      </w:r>
      <w:r>
        <w:tab/>
      </w:r>
      <w:r w:rsidRPr="00C116FB">
        <w:t xml:space="preserve">Appeal allowed. </w:t>
      </w:r>
    </w:p>
    <w:p w14:paraId="5B3F228A" w14:textId="77777777" w:rsidR="009C2BE6" w:rsidRDefault="009C2BE6" w:rsidP="0064558B">
      <w:pPr>
        <w:pStyle w:val="OrdersText"/>
      </w:pPr>
    </w:p>
    <w:p w14:paraId="201CDBFB" w14:textId="77777777" w:rsidR="009C2BE6" w:rsidRPr="005C110C" w:rsidRDefault="009C2BE6" w:rsidP="0064558B">
      <w:pPr>
        <w:pStyle w:val="OrdersText"/>
      </w:pPr>
      <w:r>
        <w:t>2.</w:t>
      </w:r>
      <w:r>
        <w:tab/>
        <w:t xml:space="preserve">Set aside the orders of the Full Court of the Federal Court of Australia made on 16 October 2020 and, in their place, order that the appeal to that Court be dismissed. </w:t>
      </w:r>
    </w:p>
    <w:p w14:paraId="0E2FE97A" w14:textId="77777777" w:rsidR="009C2BE6" w:rsidRPr="00427F3A" w:rsidRDefault="009C2BE6" w:rsidP="00EE5374">
      <w:pPr>
        <w:pStyle w:val="Body"/>
      </w:pPr>
    </w:p>
    <w:p w14:paraId="5F1CB720" w14:textId="77777777" w:rsidR="009C2BE6" w:rsidRPr="00427F3A" w:rsidRDefault="009C2BE6" w:rsidP="0032341F">
      <w:pPr>
        <w:pStyle w:val="OrdersBody"/>
      </w:pPr>
      <w:r w:rsidRPr="00427F3A">
        <w:t xml:space="preserve">On appeal from the </w:t>
      </w:r>
      <w:r w:rsidRPr="005509D3">
        <w:t>Federal Court of Australia</w:t>
      </w:r>
    </w:p>
    <w:p w14:paraId="6BAA1D3D" w14:textId="77777777" w:rsidR="009C2BE6" w:rsidRPr="00427F3A" w:rsidRDefault="009C2BE6" w:rsidP="00EE5374">
      <w:pPr>
        <w:pStyle w:val="Body"/>
      </w:pPr>
    </w:p>
    <w:p w14:paraId="7830AC76" w14:textId="77777777" w:rsidR="009C2BE6" w:rsidRPr="004739FB" w:rsidRDefault="009C2BE6" w:rsidP="00E90E4F">
      <w:pPr>
        <w:pStyle w:val="OrdersBodyHeading"/>
      </w:pPr>
      <w:r w:rsidRPr="004739FB">
        <w:t>Representation</w:t>
      </w:r>
    </w:p>
    <w:p w14:paraId="7E551C15" w14:textId="77777777" w:rsidR="009C2BE6" w:rsidRPr="004739FB" w:rsidRDefault="009C2BE6" w:rsidP="00EE5374">
      <w:pPr>
        <w:pStyle w:val="Body"/>
      </w:pPr>
    </w:p>
    <w:p w14:paraId="22233D27" w14:textId="77777777" w:rsidR="009C2BE6" w:rsidRPr="004739FB" w:rsidRDefault="009C2BE6" w:rsidP="00E90E4F">
      <w:pPr>
        <w:pStyle w:val="OrdersBody"/>
      </w:pPr>
      <w:r w:rsidRPr="004739FB">
        <w:t xml:space="preserve">S P </w:t>
      </w:r>
      <w:proofErr w:type="spellStart"/>
      <w:r w:rsidRPr="004739FB">
        <w:t>Donaghue</w:t>
      </w:r>
      <w:proofErr w:type="spellEnd"/>
      <w:r w:rsidRPr="004739FB">
        <w:t xml:space="preserve"> QC, Solicitor</w:t>
      </w:r>
      <w:r>
        <w:t>-</w:t>
      </w:r>
      <w:r w:rsidRPr="004739FB">
        <w:t xml:space="preserve">General of the Commonwealth, </w:t>
      </w:r>
      <w:r>
        <w:t>and</w:t>
      </w:r>
      <w:r w:rsidRPr="004739FB">
        <w:t xml:space="preserve"> T</w:t>
      </w:r>
      <w:r>
        <w:t> </w:t>
      </w:r>
      <w:r w:rsidRPr="004739FB">
        <w:t>M</w:t>
      </w:r>
      <w:r>
        <w:t> </w:t>
      </w:r>
      <w:proofErr w:type="spellStart"/>
      <w:r w:rsidRPr="004739FB">
        <w:t>Begbie</w:t>
      </w:r>
      <w:proofErr w:type="spellEnd"/>
      <w:r>
        <w:t> </w:t>
      </w:r>
      <w:r w:rsidRPr="004739FB">
        <w:t xml:space="preserve">QC </w:t>
      </w:r>
      <w:r>
        <w:t>with</w:t>
      </w:r>
      <w:r w:rsidRPr="004739FB">
        <w:t xml:space="preserve"> J D Watson for the appellant (instructed by </w:t>
      </w:r>
      <w:proofErr w:type="spellStart"/>
      <w:r w:rsidRPr="004739FB">
        <w:t>MinterEllison</w:t>
      </w:r>
      <w:proofErr w:type="spellEnd"/>
      <w:r w:rsidRPr="004739FB">
        <w:t>)</w:t>
      </w:r>
    </w:p>
    <w:p w14:paraId="3CEDCDD2" w14:textId="77777777" w:rsidR="009C2BE6" w:rsidRPr="004739FB" w:rsidRDefault="009C2BE6" w:rsidP="001B3C97">
      <w:pPr>
        <w:pStyle w:val="Body"/>
      </w:pPr>
    </w:p>
    <w:p w14:paraId="09FDC42A" w14:textId="77777777" w:rsidR="009C2BE6" w:rsidRPr="004739FB" w:rsidRDefault="009C2BE6" w:rsidP="00E90E4F">
      <w:pPr>
        <w:pStyle w:val="OrdersBody"/>
      </w:pPr>
      <w:r w:rsidRPr="004739FB">
        <w:t xml:space="preserve">R M Doyle SC with P </w:t>
      </w:r>
      <w:proofErr w:type="gramStart"/>
      <w:r w:rsidRPr="004739FB">
        <w:t>A</w:t>
      </w:r>
      <w:proofErr w:type="gramEnd"/>
      <w:r w:rsidRPr="004739FB">
        <w:t xml:space="preserve"> </w:t>
      </w:r>
      <w:proofErr w:type="spellStart"/>
      <w:r w:rsidRPr="004739FB">
        <w:t>Boncardo</w:t>
      </w:r>
      <w:proofErr w:type="spellEnd"/>
      <w:r w:rsidRPr="004739FB">
        <w:t xml:space="preserve"> and B Bromberg for the respondents (instructed by </w:t>
      </w:r>
      <w:r>
        <w:t>Construction, Forestry, Maritime, Mining and Energy Union</w:t>
      </w:r>
      <w:r w:rsidRPr="004739FB">
        <w:t>)</w:t>
      </w:r>
    </w:p>
    <w:p w14:paraId="675B2EAF" w14:textId="77777777" w:rsidR="009C2BE6" w:rsidRPr="00427F3A" w:rsidRDefault="009C2BE6" w:rsidP="00EE5374">
      <w:pPr>
        <w:pStyle w:val="Body"/>
      </w:pPr>
    </w:p>
    <w:p w14:paraId="301AEEF4" w14:textId="77777777" w:rsidR="009C2BE6" w:rsidRPr="00427F3A" w:rsidRDefault="009C2BE6" w:rsidP="00F9713B">
      <w:pPr>
        <w:pStyle w:val="Notice"/>
        <w:rPr>
          <w:lang w:val="en-AU"/>
        </w:rPr>
      </w:pPr>
      <w:r w:rsidRPr="00427F3A">
        <w:rPr>
          <w:lang w:val="en-AU"/>
        </w:rPr>
        <w:t>Notice:  This copy of the Court's Reasons for Judgment is subject to formal revision prior to publication in the Commonwealth Law Reports.</w:t>
      </w:r>
    </w:p>
    <w:p w14:paraId="0B407CCD" w14:textId="144DD864" w:rsidR="009C2BE6" w:rsidRDefault="009C2B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DC4E10F" w14:textId="77777777" w:rsidR="009C2BE6" w:rsidRDefault="009C2B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9C2BE6" w:rsidSect="009C2BE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C2D1326" w14:textId="77777777" w:rsidR="009C2BE6" w:rsidRDefault="009C2BE6" w:rsidP="009C2BE6">
      <w:pPr>
        <w:pStyle w:val="CatchwordsBold"/>
      </w:pPr>
      <w:r w:rsidRPr="00B9489E">
        <w:lastRenderedPageBreak/>
        <w:t>CATCHWORDS</w:t>
      </w:r>
    </w:p>
    <w:p w14:paraId="584451AD" w14:textId="77777777" w:rsidR="009C2BE6" w:rsidRPr="00B9489E" w:rsidRDefault="009C2BE6" w:rsidP="009C2BE6">
      <w:pPr>
        <w:pStyle w:val="CatchwordsBold"/>
      </w:pPr>
    </w:p>
    <w:p w14:paraId="4FFE2E84" w14:textId="77777777" w:rsidR="009C2BE6" w:rsidRPr="00B9489E" w:rsidRDefault="009C2BE6" w:rsidP="009C2BE6">
      <w:pPr>
        <w:pStyle w:val="CatchwordsBold"/>
      </w:pPr>
      <w:r>
        <w:t>Australian Building and Construction Commissioner v Pattinson</w:t>
      </w:r>
    </w:p>
    <w:p w14:paraId="654B6188" w14:textId="77777777" w:rsidR="009C2BE6" w:rsidRPr="00B9489E" w:rsidRDefault="009C2BE6" w:rsidP="009C2BE6">
      <w:pPr>
        <w:pStyle w:val="CatchwordsBold"/>
      </w:pPr>
    </w:p>
    <w:p w14:paraId="17E9879C" w14:textId="5F0BEEC1" w:rsidR="009C2BE6" w:rsidRPr="00FB1B97" w:rsidRDefault="009C2BE6" w:rsidP="009C2BE6">
      <w:pPr>
        <w:pStyle w:val="CatchwordsText"/>
        <w:rPr>
          <w:highlight w:val="yellow"/>
        </w:rPr>
      </w:pPr>
      <w:r>
        <w:t>Industrial law (</w:t>
      </w:r>
      <w:proofErr w:type="spellStart"/>
      <w:r>
        <w:t>Cth</w:t>
      </w:r>
      <w:proofErr w:type="spellEnd"/>
      <w:r>
        <w:t xml:space="preserve">) – </w:t>
      </w:r>
      <w:r w:rsidRPr="008E2490">
        <w:t>Pecuniary penalties – Determination of appropriate penalty</w:t>
      </w:r>
      <w:r>
        <w:t xml:space="preserve"> – Where s 349(1) of </w:t>
      </w:r>
      <w:r>
        <w:rPr>
          <w:i/>
          <w:iCs/>
        </w:rPr>
        <w:t xml:space="preserve">Fair Work Act </w:t>
      </w:r>
      <w:r w:rsidRPr="008835A2">
        <w:rPr>
          <w:i/>
        </w:rPr>
        <w:t>2009</w:t>
      </w:r>
      <w:r>
        <w:t> (</w:t>
      </w:r>
      <w:proofErr w:type="spellStart"/>
      <w:r>
        <w:t>Cth</w:t>
      </w:r>
      <w:proofErr w:type="spellEnd"/>
      <w:r>
        <w:t xml:space="preserve">) ("Act") relevantly provided that person must not knowingly or recklessly make false or misleading representation about another person's obligation to engage in industrial activity – Where s 546 of Act empowered Federal Court of Australia to </w:t>
      </w:r>
      <w:r w:rsidRPr="00E04BCF">
        <w:t>order person to pay pecuniary penalty that court consider</w:t>
      </w:r>
      <w:r>
        <w:t>ed</w:t>
      </w:r>
      <w:r w:rsidRPr="00E04BCF">
        <w:t xml:space="preserve"> "appropriate"</w:t>
      </w:r>
      <w:r>
        <w:t xml:space="preserve"> </w:t>
      </w:r>
      <w:r w:rsidRPr="00C42F22">
        <w:t>in respect of contravention of civil remedy provision</w:t>
      </w:r>
      <w:r w:rsidRPr="00E04BCF">
        <w:t xml:space="preserve"> </w:t>
      </w:r>
      <w:r>
        <w:t>– Where first respondent union officer and second respondent union each contravened s 349(1) of Act twice – Where second respondent had longstanding history of contraventions of Act – Whether discretion under s 546 of Act constrained by notion of proportionality drawn from criminal law – Whether statutory maximum penalty for civil remedy provision may be imposed only for worst category of contravening conduct.</w:t>
      </w:r>
    </w:p>
    <w:p w14:paraId="7504200B" w14:textId="77777777" w:rsidR="009C2BE6" w:rsidRPr="00FB1B97" w:rsidRDefault="009C2BE6" w:rsidP="001649CA">
      <w:pPr>
        <w:pStyle w:val="CatchwordsText"/>
        <w:rPr>
          <w:highlight w:val="yellow"/>
        </w:rPr>
      </w:pPr>
    </w:p>
    <w:p w14:paraId="3A4E44ED" w14:textId="77777777" w:rsidR="009C2BE6" w:rsidRDefault="009C2BE6" w:rsidP="001649CA">
      <w:pPr>
        <w:pStyle w:val="CatchwordsText"/>
      </w:pPr>
      <w:r w:rsidRPr="00BA09FE">
        <w:t xml:space="preserve">Words and phrases – </w:t>
      </w:r>
      <w:r>
        <w:t xml:space="preserve">"appropriate penalty", </w:t>
      </w:r>
      <w:r w:rsidRPr="00BA09FE">
        <w:t>"</w:t>
      </w:r>
      <w:r>
        <w:t>civil penalty regime</w:t>
      </w:r>
      <w:r w:rsidRPr="00BA09FE">
        <w:t>",</w:t>
      </w:r>
      <w:r>
        <w:t xml:space="preserve"> "civil remedy provision", "deterrence", "discretion", "maximum penalty", </w:t>
      </w:r>
      <w:r w:rsidRPr="00BA09FE">
        <w:t>"</w:t>
      </w:r>
      <w:r>
        <w:t>pecuniary penalty</w:t>
      </w:r>
      <w:r w:rsidRPr="00BA09FE">
        <w:t>"</w:t>
      </w:r>
      <w:r>
        <w:t>, "proportionality", "retribution"</w:t>
      </w:r>
      <w:r w:rsidRPr="00BA09FE">
        <w:t>.</w:t>
      </w:r>
      <w:r w:rsidRPr="00B9489E">
        <w:t xml:space="preserve"> </w:t>
      </w:r>
    </w:p>
    <w:p w14:paraId="67B7068C" w14:textId="77777777" w:rsidR="009C2BE6" w:rsidRPr="00B9489E" w:rsidRDefault="009C2BE6" w:rsidP="001649CA">
      <w:pPr>
        <w:pStyle w:val="CatchwordsText"/>
      </w:pPr>
    </w:p>
    <w:p w14:paraId="73830984" w14:textId="77777777" w:rsidR="009C2BE6" w:rsidRPr="00866E28" w:rsidRDefault="009C2BE6" w:rsidP="001649CA">
      <w:pPr>
        <w:pStyle w:val="CatchwordsText"/>
      </w:pPr>
      <w:r>
        <w:rPr>
          <w:i/>
        </w:rPr>
        <w:t>Fair Work Act 2009</w:t>
      </w:r>
      <w:r w:rsidRPr="00B9489E">
        <w:rPr>
          <w:i/>
        </w:rPr>
        <w:t xml:space="preserve"> </w:t>
      </w:r>
      <w:r w:rsidRPr="00B9489E">
        <w:t>(</w:t>
      </w:r>
      <w:proofErr w:type="spellStart"/>
      <w:r w:rsidRPr="00B9489E">
        <w:t>Cth</w:t>
      </w:r>
      <w:proofErr w:type="spellEnd"/>
      <w:r w:rsidRPr="00B9489E">
        <w:t xml:space="preserve">), </w:t>
      </w:r>
      <w:r>
        <w:t>s</w:t>
      </w:r>
      <w:r w:rsidRPr="00B9489E">
        <w:t>s</w:t>
      </w:r>
      <w:r>
        <w:t xml:space="preserve"> 349,</w:t>
      </w:r>
      <w:r w:rsidRPr="00B9489E">
        <w:t xml:space="preserve"> </w:t>
      </w:r>
      <w:r>
        <w:t>546</w:t>
      </w:r>
      <w:r w:rsidRPr="00B9489E">
        <w:t>.</w:t>
      </w:r>
    </w:p>
    <w:p w14:paraId="09732E54" w14:textId="123F3444" w:rsidR="009C2BE6" w:rsidRDefault="009C2BE6" w:rsidP="009C2B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841E01A" w14:textId="3B84836B" w:rsidR="009C2BE6" w:rsidRDefault="009C2B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5B2804D" w14:textId="0BF10169" w:rsidR="009C2BE6" w:rsidRDefault="009C2B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7CFE127" w14:textId="77777777" w:rsidR="009C2BE6" w:rsidRDefault="009C2BE6" w:rsidP="00DF5070">
      <w:pPr>
        <w:pStyle w:val="FixListStyle"/>
        <w:tabs>
          <w:tab w:val="clear" w:pos="720"/>
          <w:tab w:val="left" w:pos="0"/>
        </w:tabs>
        <w:spacing w:after="260" w:line="280" w:lineRule="exact"/>
        <w:ind w:right="0"/>
        <w:jc w:val="both"/>
        <w:rPr>
          <w:rFonts w:ascii="Times New Roman" w:hAnsi="Times New Roman"/>
        </w:rPr>
        <w:sectPr w:rsidR="009C2BE6" w:rsidSect="009C2BE6">
          <w:pgSz w:w="11907" w:h="16839" w:code="9"/>
          <w:pgMar w:top="1440" w:right="1701" w:bottom="1984" w:left="1701" w:header="720" w:footer="720" w:gutter="0"/>
          <w:pgNumType w:start="1"/>
          <w:cols w:space="720"/>
          <w:titlePg/>
          <w:docGrid w:linePitch="354"/>
        </w:sectPr>
      </w:pPr>
    </w:p>
    <w:p w14:paraId="1CACB3D6" w14:textId="464975FE" w:rsidR="00115C08" w:rsidRPr="00DF5070" w:rsidRDefault="00DF5070" w:rsidP="00DF5070">
      <w:pPr>
        <w:pStyle w:val="FixListStyle"/>
        <w:tabs>
          <w:tab w:val="clear" w:pos="720"/>
          <w:tab w:val="left" w:pos="0"/>
        </w:tabs>
        <w:spacing w:after="260" w:line="280" w:lineRule="exact"/>
        <w:ind w:right="0"/>
        <w:jc w:val="both"/>
        <w:rPr>
          <w:rFonts w:ascii="Times New Roman" w:hAnsi="Times New Roman"/>
        </w:rPr>
      </w:pPr>
      <w:r w:rsidRPr="00DF5070">
        <w:rPr>
          <w:rFonts w:ascii="Times New Roman" w:hAnsi="Times New Roman"/>
        </w:rPr>
        <w:lastRenderedPageBreak/>
        <w:t xml:space="preserve">KIEFEL CJ, GAGELER, KEANE, GORDON, STEWARD AND GLEESON JJ.   </w:t>
      </w:r>
      <w:r w:rsidR="00115C08" w:rsidRPr="00DF5070">
        <w:rPr>
          <w:rFonts w:ascii="Times New Roman" w:hAnsi="Times New Roman"/>
        </w:rPr>
        <w:t>This appeal concerns the scope of the power</w:t>
      </w:r>
      <w:r w:rsidR="00067961" w:rsidRPr="00DF5070">
        <w:rPr>
          <w:rFonts w:ascii="Times New Roman" w:hAnsi="Times New Roman"/>
        </w:rPr>
        <w:t xml:space="preserve"> </w:t>
      </w:r>
      <w:r w:rsidR="00431814" w:rsidRPr="00DF5070">
        <w:rPr>
          <w:rFonts w:ascii="Times New Roman" w:hAnsi="Times New Roman"/>
        </w:rPr>
        <w:t>conferred on the Federal Court of Australia by</w:t>
      </w:r>
      <w:r w:rsidR="00067961" w:rsidRPr="00DF5070">
        <w:rPr>
          <w:rFonts w:ascii="Times New Roman" w:hAnsi="Times New Roman"/>
        </w:rPr>
        <w:t xml:space="preserve"> s 546 of the </w:t>
      </w:r>
      <w:r w:rsidR="00067961" w:rsidRPr="00DF5070">
        <w:rPr>
          <w:rFonts w:ascii="Times New Roman" w:hAnsi="Times New Roman"/>
          <w:i/>
        </w:rPr>
        <w:t>Fair Work Act 2009</w:t>
      </w:r>
      <w:r w:rsidR="00FB4DD9" w:rsidRPr="00DF5070">
        <w:rPr>
          <w:rFonts w:ascii="Times New Roman" w:hAnsi="Times New Roman"/>
          <w:i/>
        </w:rPr>
        <w:t> </w:t>
      </w:r>
      <w:r w:rsidR="00067961" w:rsidRPr="00DF5070">
        <w:rPr>
          <w:rFonts w:ascii="Times New Roman" w:hAnsi="Times New Roman"/>
        </w:rPr>
        <w:t>(</w:t>
      </w:r>
      <w:proofErr w:type="spellStart"/>
      <w:r w:rsidR="00067961" w:rsidRPr="00DF5070">
        <w:rPr>
          <w:rFonts w:ascii="Times New Roman" w:hAnsi="Times New Roman"/>
        </w:rPr>
        <w:t>Cth</w:t>
      </w:r>
      <w:proofErr w:type="spellEnd"/>
      <w:r w:rsidR="00067961" w:rsidRPr="00DF5070">
        <w:rPr>
          <w:rFonts w:ascii="Times New Roman" w:hAnsi="Times New Roman"/>
        </w:rPr>
        <w:t xml:space="preserve">) ("the Act") </w:t>
      </w:r>
      <w:r w:rsidR="00115C08" w:rsidRPr="00DF5070">
        <w:rPr>
          <w:rFonts w:ascii="Times New Roman" w:hAnsi="Times New Roman"/>
        </w:rPr>
        <w:t xml:space="preserve">to impose civil </w:t>
      </w:r>
      <w:r w:rsidR="004D6030" w:rsidRPr="00DF5070">
        <w:rPr>
          <w:rFonts w:ascii="Times New Roman" w:hAnsi="Times New Roman"/>
        </w:rPr>
        <w:t xml:space="preserve">pecuniary </w:t>
      </w:r>
      <w:r w:rsidR="00115C08" w:rsidRPr="00DF5070">
        <w:rPr>
          <w:rFonts w:ascii="Times New Roman" w:hAnsi="Times New Roman"/>
        </w:rPr>
        <w:t xml:space="preserve">penalties in respect of contraventions of </w:t>
      </w:r>
      <w:r w:rsidR="009D26D9" w:rsidRPr="00DF5070">
        <w:rPr>
          <w:rFonts w:ascii="Times New Roman" w:hAnsi="Times New Roman"/>
        </w:rPr>
        <w:t xml:space="preserve">the </w:t>
      </w:r>
      <w:r w:rsidR="00115C08" w:rsidRPr="00DF5070">
        <w:rPr>
          <w:rFonts w:ascii="Times New Roman" w:hAnsi="Times New Roman"/>
        </w:rPr>
        <w:t xml:space="preserve">civil remedy provisions </w:t>
      </w:r>
      <w:r w:rsidR="00BB7588" w:rsidRPr="00DF5070">
        <w:rPr>
          <w:rFonts w:ascii="Times New Roman" w:hAnsi="Times New Roman"/>
        </w:rPr>
        <w:t xml:space="preserve">of </w:t>
      </w:r>
      <w:r w:rsidR="00067961" w:rsidRPr="00DF5070">
        <w:rPr>
          <w:rFonts w:ascii="Times New Roman" w:hAnsi="Times New Roman"/>
        </w:rPr>
        <w:t xml:space="preserve">the Act. </w:t>
      </w:r>
    </w:p>
    <w:p w14:paraId="2402B2B3" w14:textId="5075855E" w:rsidR="004D6030" w:rsidRPr="00DF5070" w:rsidRDefault="006227E9"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436F08" w:rsidRPr="00DF5070">
        <w:rPr>
          <w:rFonts w:ascii="Times New Roman" w:hAnsi="Times New Roman"/>
        </w:rPr>
        <w:t xml:space="preserve">The contraventions </w:t>
      </w:r>
      <w:r w:rsidR="00187DBB" w:rsidRPr="00DF5070">
        <w:rPr>
          <w:rFonts w:ascii="Times New Roman" w:hAnsi="Times New Roman"/>
        </w:rPr>
        <w:t xml:space="preserve">in question </w:t>
      </w:r>
      <w:r w:rsidR="00436F08" w:rsidRPr="00DF5070">
        <w:rPr>
          <w:rFonts w:ascii="Times New Roman" w:hAnsi="Times New Roman"/>
        </w:rPr>
        <w:t xml:space="preserve">occurred </w:t>
      </w:r>
      <w:r w:rsidR="00537AAC" w:rsidRPr="00DF5070">
        <w:rPr>
          <w:rFonts w:ascii="Times New Roman" w:hAnsi="Times New Roman"/>
        </w:rPr>
        <w:t>in September</w:t>
      </w:r>
      <w:r w:rsidR="00DE4D91" w:rsidRPr="00DF5070">
        <w:rPr>
          <w:rFonts w:ascii="Times New Roman" w:hAnsi="Times New Roman"/>
        </w:rPr>
        <w:t> </w:t>
      </w:r>
      <w:r w:rsidR="00537AAC" w:rsidRPr="00DF5070">
        <w:rPr>
          <w:rFonts w:ascii="Times New Roman" w:hAnsi="Times New Roman"/>
        </w:rPr>
        <w:t xml:space="preserve">2018 </w:t>
      </w:r>
      <w:r w:rsidR="00436F08" w:rsidRPr="00DF5070">
        <w:rPr>
          <w:rFonts w:ascii="Times New Roman" w:hAnsi="Times New Roman"/>
        </w:rPr>
        <w:t>at a building site</w:t>
      </w:r>
      <w:r w:rsidR="00537AAC" w:rsidRPr="00DF5070">
        <w:rPr>
          <w:rFonts w:ascii="Times New Roman" w:hAnsi="Times New Roman"/>
        </w:rPr>
        <w:t xml:space="preserve"> in Frankston, Victoria. </w:t>
      </w:r>
      <w:r w:rsidR="000F57E9" w:rsidRPr="00DF5070">
        <w:rPr>
          <w:rFonts w:ascii="Times New Roman" w:hAnsi="Times New Roman"/>
        </w:rPr>
        <w:t xml:space="preserve">The site was occupied by Multiplex Constructions Pty Ltd, the principal contractor. The first respondent ("Mr Pattinson") </w:t>
      </w:r>
      <w:r w:rsidR="00A66446" w:rsidRPr="00DF5070">
        <w:rPr>
          <w:rFonts w:ascii="Times New Roman" w:hAnsi="Times New Roman"/>
        </w:rPr>
        <w:t>was an employee of Multiplex. He was also an officer of the second respondent union ("the CFMMEU") and was the union delegate on site</w:t>
      </w:r>
      <w:r w:rsidR="00A66446" w:rsidRPr="00DF5070">
        <w:rPr>
          <w:rStyle w:val="FootnoteReference"/>
          <w:rFonts w:ascii="Times New Roman" w:hAnsi="Times New Roman"/>
          <w:sz w:val="24"/>
        </w:rPr>
        <w:footnoteReference w:id="2"/>
      </w:r>
      <w:r w:rsidR="00A66446" w:rsidRPr="00DF5070">
        <w:rPr>
          <w:rFonts w:ascii="Times New Roman" w:hAnsi="Times New Roman"/>
        </w:rPr>
        <w:t xml:space="preserve">. </w:t>
      </w:r>
    </w:p>
    <w:p w14:paraId="60272A10" w14:textId="793F5F39" w:rsidR="00110525" w:rsidRPr="00DF5070" w:rsidRDefault="004D6030"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E86924" w:rsidRPr="00DF5070">
        <w:rPr>
          <w:rFonts w:ascii="Times New Roman" w:hAnsi="Times New Roman"/>
        </w:rPr>
        <w:t xml:space="preserve">A subcontractor was engaged to install solar panels at the site. Two employees of the subcontractor </w:t>
      </w:r>
      <w:r w:rsidR="00020BAD" w:rsidRPr="00DF5070">
        <w:rPr>
          <w:rFonts w:ascii="Times New Roman" w:hAnsi="Times New Roman"/>
        </w:rPr>
        <w:t>arrived at the</w:t>
      </w:r>
      <w:r w:rsidR="00E86924" w:rsidRPr="00DF5070">
        <w:rPr>
          <w:rFonts w:ascii="Times New Roman" w:hAnsi="Times New Roman"/>
        </w:rPr>
        <w:t xml:space="preserve"> site </w:t>
      </w:r>
      <w:r w:rsidR="0092574F" w:rsidRPr="00DF5070">
        <w:rPr>
          <w:rFonts w:ascii="Times New Roman" w:hAnsi="Times New Roman"/>
        </w:rPr>
        <w:t xml:space="preserve">to carry out that work </w:t>
      </w:r>
      <w:r w:rsidR="00E86924" w:rsidRPr="00DF5070">
        <w:rPr>
          <w:rFonts w:ascii="Times New Roman" w:hAnsi="Times New Roman"/>
        </w:rPr>
        <w:t xml:space="preserve">and attended an induction </w:t>
      </w:r>
      <w:r w:rsidR="009B3173" w:rsidRPr="00DF5070">
        <w:rPr>
          <w:rFonts w:ascii="Times New Roman" w:hAnsi="Times New Roman"/>
        </w:rPr>
        <w:t>conducted by Mr Pattinson.</w:t>
      </w:r>
      <w:r w:rsidR="00FA3677" w:rsidRPr="00DF5070">
        <w:rPr>
          <w:rFonts w:ascii="Times New Roman" w:hAnsi="Times New Roman"/>
        </w:rPr>
        <w:t xml:space="preserve"> </w:t>
      </w:r>
      <w:r w:rsidR="009B3173" w:rsidRPr="00DF5070">
        <w:rPr>
          <w:rFonts w:ascii="Times New Roman" w:hAnsi="Times New Roman"/>
        </w:rPr>
        <w:t xml:space="preserve">During the induction, Mr Pattinson enquired </w:t>
      </w:r>
      <w:r w:rsidR="00020BAD" w:rsidRPr="00DF5070">
        <w:rPr>
          <w:rFonts w:ascii="Times New Roman" w:hAnsi="Times New Roman"/>
        </w:rPr>
        <w:t xml:space="preserve">whether the </w:t>
      </w:r>
      <w:r w:rsidR="003D241E" w:rsidRPr="00DF5070">
        <w:rPr>
          <w:rFonts w:ascii="Times New Roman" w:hAnsi="Times New Roman"/>
        </w:rPr>
        <w:t xml:space="preserve">two employees were "union" and whether they had a "ticket". </w:t>
      </w:r>
      <w:r w:rsidR="00E0646C" w:rsidRPr="00DF5070">
        <w:rPr>
          <w:rFonts w:ascii="Times New Roman" w:hAnsi="Times New Roman"/>
        </w:rPr>
        <w:t xml:space="preserve">This enquiry </w:t>
      </w:r>
      <w:r w:rsidR="00FF2212" w:rsidRPr="00DF5070">
        <w:rPr>
          <w:rFonts w:ascii="Times New Roman" w:hAnsi="Times New Roman"/>
        </w:rPr>
        <w:t>alluded</w:t>
      </w:r>
      <w:r w:rsidR="00064C4D" w:rsidRPr="00DF5070">
        <w:rPr>
          <w:rFonts w:ascii="Times New Roman" w:hAnsi="Times New Roman"/>
        </w:rPr>
        <w:t xml:space="preserve"> to the </w:t>
      </w:r>
      <w:r w:rsidR="00A22F6C" w:rsidRPr="00DF5070">
        <w:rPr>
          <w:rFonts w:ascii="Times New Roman" w:hAnsi="Times New Roman"/>
        </w:rPr>
        <w:t>CFMMEU</w:t>
      </w:r>
      <w:r w:rsidR="00064C4D" w:rsidRPr="00DF5070">
        <w:rPr>
          <w:rFonts w:ascii="Times New Roman" w:hAnsi="Times New Roman"/>
        </w:rPr>
        <w:t>'s</w:t>
      </w:r>
      <w:r w:rsidR="00A22F6C" w:rsidRPr="00DF5070">
        <w:rPr>
          <w:rFonts w:ascii="Times New Roman" w:hAnsi="Times New Roman"/>
        </w:rPr>
        <w:t xml:space="preserve"> </w:t>
      </w:r>
      <w:r w:rsidR="00FF2212" w:rsidRPr="00DF5070">
        <w:rPr>
          <w:rFonts w:ascii="Times New Roman" w:hAnsi="Times New Roman"/>
        </w:rPr>
        <w:t xml:space="preserve">longstanding </w:t>
      </w:r>
      <w:r w:rsidR="00A22F6C" w:rsidRPr="00DF5070">
        <w:rPr>
          <w:rFonts w:ascii="Times New Roman" w:hAnsi="Times New Roman"/>
        </w:rPr>
        <w:t>"no ticket, no start</w:t>
      </w:r>
      <w:r w:rsidR="00064C4D" w:rsidRPr="00DF5070">
        <w:rPr>
          <w:rFonts w:ascii="Times New Roman" w:hAnsi="Times New Roman"/>
        </w:rPr>
        <w:t>"</w:t>
      </w:r>
      <w:r w:rsidR="00A22F6C" w:rsidRPr="00DF5070">
        <w:rPr>
          <w:rFonts w:ascii="Times New Roman" w:hAnsi="Times New Roman"/>
        </w:rPr>
        <w:t xml:space="preserve"> policy</w:t>
      </w:r>
      <w:r w:rsidR="00064C4D" w:rsidRPr="00DF5070">
        <w:rPr>
          <w:rFonts w:ascii="Times New Roman" w:hAnsi="Times New Roman"/>
        </w:rPr>
        <w:t>, pursuant to which</w:t>
      </w:r>
      <w:r w:rsidR="00A22F6C" w:rsidRPr="00DF5070">
        <w:rPr>
          <w:rFonts w:ascii="Times New Roman" w:hAnsi="Times New Roman"/>
        </w:rPr>
        <w:t xml:space="preserve"> all workers </w:t>
      </w:r>
      <w:r w:rsidR="00110525" w:rsidRPr="00DF5070">
        <w:rPr>
          <w:rFonts w:ascii="Times New Roman" w:hAnsi="Times New Roman"/>
        </w:rPr>
        <w:t xml:space="preserve">are required to hold union membership in order to work </w:t>
      </w:r>
      <w:r w:rsidR="00A22F6C" w:rsidRPr="00DF5070">
        <w:rPr>
          <w:rFonts w:ascii="Times New Roman" w:hAnsi="Times New Roman"/>
        </w:rPr>
        <w:t xml:space="preserve">on construction sites where </w:t>
      </w:r>
      <w:r w:rsidR="00110525" w:rsidRPr="00DF5070">
        <w:rPr>
          <w:rFonts w:ascii="Times New Roman" w:hAnsi="Times New Roman"/>
        </w:rPr>
        <w:t xml:space="preserve">the CFMMEU </w:t>
      </w:r>
      <w:r w:rsidR="00A22F6C" w:rsidRPr="00DF5070">
        <w:rPr>
          <w:rFonts w:ascii="Times New Roman" w:hAnsi="Times New Roman"/>
        </w:rPr>
        <w:t xml:space="preserve">has a presence. </w:t>
      </w:r>
      <w:r w:rsidR="00110525" w:rsidRPr="00DF5070">
        <w:rPr>
          <w:rFonts w:ascii="Times New Roman" w:hAnsi="Times New Roman"/>
        </w:rPr>
        <w:t xml:space="preserve">Since at least the advent of the </w:t>
      </w:r>
      <w:r w:rsidR="00110525" w:rsidRPr="00DF5070">
        <w:rPr>
          <w:rFonts w:ascii="Times New Roman" w:hAnsi="Times New Roman"/>
          <w:i/>
        </w:rPr>
        <w:t>Workplace Relations Act 1996</w:t>
      </w:r>
      <w:r w:rsidR="00DE4D91" w:rsidRPr="00DF5070">
        <w:rPr>
          <w:rFonts w:ascii="Times New Roman" w:hAnsi="Times New Roman"/>
          <w:i/>
        </w:rPr>
        <w:t> </w:t>
      </w:r>
      <w:r w:rsidR="00110525" w:rsidRPr="00DF5070">
        <w:rPr>
          <w:rFonts w:ascii="Times New Roman" w:hAnsi="Times New Roman"/>
        </w:rPr>
        <w:t>(</w:t>
      </w:r>
      <w:proofErr w:type="spellStart"/>
      <w:r w:rsidR="00110525" w:rsidRPr="00DF5070">
        <w:rPr>
          <w:rFonts w:ascii="Times New Roman" w:hAnsi="Times New Roman"/>
        </w:rPr>
        <w:t>Cth</w:t>
      </w:r>
      <w:proofErr w:type="spellEnd"/>
      <w:r w:rsidR="00110525" w:rsidRPr="00DF5070">
        <w:rPr>
          <w:rFonts w:ascii="Times New Roman" w:hAnsi="Times New Roman"/>
        </w:rPr>
        <w:t xml:space="preserve">), the </w:t>
      </w:r>
      <w:r w:rsidR="004235A7" w:rsidRPr="00DF5070">
        <w:rPr>
          <w:rFonts w:ascii="Times New Roman" w:hAnsi="Times New Roman"/>
        </w:rPr>
        <w:t>implementation</w:t>
      </w:r>
      <w:r w:rsidR="00110525" w:rsidRPr="00DF5070">
        <w:rPr>
          <w:rFonts w:ascii="Times New Roman" w:hAnsi="Times New Roman"/>
        </w:rPr>
        <w:t xml:space="preserve"> of such a policy has been </w:t>
      </w:r>
      <w:r w:rsidR="00E0646C" w:rsidRPr="00DF5070">
        <w:rPr>
          <w:rFonts w:ascii="Times New Roman" w:hAnsi="Times New Roman"/>
        </w:rPr>
        <w:t>unlawful</w:t>
      </w:r>
      <w:r w:rsidR="00FF2212" w:rsidRPr="00DF5070">
        <w:rPr>
          <w:rStyle w:val="FootnoteReference"/>
          <w:rFonts w:ascii="Times New Roman" w:hAnsi="Times New Roman"/>
          <w:sz w:val="24"/>
        </w:rPr>
        <w:footnoteReference w:id="3"/>
      </w:r>
      <w:r w:rsidR="00110525" w:rsidRPr="00DF5070">
        <w:rPr>
          <w:rFonts w:ascii="Times New Roman" w:hAnsi="Times New Roman"/>
        </w:rPr>
        <w:t>.</w:t>
      </w:r>
    </w:p>
    <w:p w14:paraId="656ABB12" w14:textId="00AD000D" w:rsidR="00A66446" w:rsidRPr="00DF5070" w:rsidRDefault="00110525"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3D241E" w:rsidRPr="00DF5070">
        <w:rPr>
          <w:rFonts w:ascii="Times New Roman" w:hAnsi="Times New Roman"/>
        </w:rPr>
        <w:t xml:space="preserve">Neither employee was a member of the </w:t>
      </w:r>
      <w:proofErr w:type="gramStart"/>
      <w:r w:rsidR="003D241E" w:rsidRPr="00DF5070">
        <w:rPr>
          <w:rFonts w:ascii="Times New Roman" w:hAnsi="Times New Roman"/>
        </w:rPr>
        <w:t>CFMMEU</w:t>
      </w:r>
      <w:proofErr w:type="gramEnd"/>
      <w:r w:rsidRPr="00DF5070">
        <w:rPr>
          <w:rFonts w:ascii="Times New Roman" w:hAnsi="Times New Roman"/>
        </w:rPr>
        <w:t xml:space="preserve"> and </w:t>
      </w:r>
      <w:r w:rsidR="0081087F" w:rsidRPr="00DF5070">
        <w:rPr>
          <w:rFonts w:ascii="Times New Roman" w:hAnsi="Times New Roman"/>
        </w:rPr>
        <w:t xml:space="preserve">they </w:t>
      </w:r>
      <w:r w:rsidRPr="00DF5070">
        <w:rPr>
          <w:rFonts w:ascii="Times New Roman" w:hAnsi="Times New Roman"/>
        </w:rPr>
        <w:t>told Mr Pattinson as much</w:t>
      </w:r>
      <w:r w:rsidR="003D241E" w:rsidRPr="00DF5070">
        <w:rPr>
          <w:rFonts w:ascii="Times New Roman" w:hAnsi="Times New Roman"/>
        </w:rPr>
        <w:t xml:space="preserve">. </w:t>
      </w:r>
      <w:r w:rsidRPr="00DF5070">
        <w:rPr>
          <w:rFonts w:ascii="Times New Roman" w:hAnsi="Times New Roman"/>
        </w:rPr>
        <w:t xml:space="preserve">In response, </w:t>
      </w:r>
      <w:r w:rsidR="003D241E" w:rsidRPr="00DF5070">
        <w:rPr>
          <w:rFonts w:ascii="Times New Roman" w:hAnsi="Times New Roman"/>
        </w:rPr>
        <w:t xml:space="preserve">Mr Pattinson </w:t>
      </w:r>
      <w:r w:rsidRPr="00DF5070">
        <w:rPr>
          <w:rFonts w:ascii="Times New Roman" w:hAnsi="Times New Roman"/>
        </w:rPr>
        <w:t xml:space="preserve">represented to </w:t>
      </w:r>
      <w:r w:rsidR="005359E6" w:rsidRPr="00DF5070">
        <w:rPr>
          <w:rFonts w:ascii="Times New Roman" w:hAnsi="Times New Roman"/>
        </w:rPr>
        <w:t xml:space="preserve">the two employees that, in order to perform the </w:t>
      </w:r>
      <w:proofErr w:type="gramStart"/>
      <w:r w:rsidR="005359E6" w:rsidRPr="00DF5070">
        <w:rPr>
          <w:rFonts w:ascii="Times New Roman" w:hAnsi="Times New Roman"/>
        </w:rPr>
        <w:t>work</w:t>
      </w:r>
      <w:proofErr w:type="gramEnd"/>
      <w:r w:rsidR="005359E6" w:rsidRPr="00DF5070">
        <w:rPr>
          <w:rFonts w:ascii="Times New Roman" w:hAnsi="Times New Roman"/>
        </w:rPr>
        <w:t xml:space="preserve"> they had attended the site to perform, they were required to become a member of </w:t>
      </w:r>
      <w:r w:rsidR="0092574F" w:rsidRPr="00DF5070">
        <w:rPr>
          <w:rFonts w:ascii="Times New Roman" w:hAnsi="Times New Roman"/>
        </w:rPr>
        <w:t>an industrial association</w:t>
      </w:r>
      <w:r w:rsidR="00AC24AF" w:rsidRPr="00DF5070">
        <w:rPr>
          <w:rFonts w:ascii="Times New Roman" w:hAnsi="Times New Roman"/>
        </w:rPr>
        <w:t xml:space="preserve"> ("the </w:t>
      </w:r>
      <w:r w:rsidR="00A93200" w:rsidRPr="00DF5070">
        <w:rPr>
          <w:rFonts w:ascii="Times New Roman" w:hAnsi="Times New Roman"/>
        </w:rPr>
        <w:t>mis</w:t>
      </w:r>
      <w:r w:rsidR="00AC24AF" w:rsidRPr="00DF5070">
        <w:rPr>
          <w:rFonts w:ascii="Times New Roman" w:hAnsi="Times New Roman"/>
        </w:rPr>
        <w:t>representations")</w:t>
      </w:r>
      <w:r w:rsidR="005359E6" w:rsidRPr="00DF5070">
        <w:rPr>
          <w:rFonts w:ascii="Times New Roman" w:hAnsi="Times New Roman"/>
        </w:rPr>
        <w:t>.</w:t>
      </w:r>
      <w:r w:rsidR="00833339" w:rsidRPr="00DF5070">
        <w:rPr>
          <w:rFonts w:ascii="Times New Roman" w:hAnsi="Times New Roman"/>
        </w:rPr>
        <w:t xml:space="preserve"> </w:t>
      </w:r>
      <w:r w:rsidR="00C053F8" w:rsidRPr="00DF5070">
        <w:rPr>
          <w:rFonts w:ascii="Times New Roman" w:hAnsi="Times New Roman"/>
        </w:rPr>
        <w:t xml:space="preserve">As a result of the </w:t>
      </w:r>
      <w:r w:rsidR="00A93200" w:rsidRPr="00DF5070">
        <w:rPr>
          <w:rFonts w:ascii="Times New Roman" w:hAnsi="Times New Roman"/>
        </w:rPr>
        <w:t>mis</w:t>
      </w:r>
      <w:r w:rsidR="00C053F8" w:rsidRPr="00DF5070">
        <w:rPr>
          <w:rFonts w:ascii="Times New Roman" w:hAnsi="Times New Roman"/>
        </w:rPr>
        <w:t>representations, the two employees were prevented from performing any work on the site that day</w:t>
      </w:r>
      <w:r w:rsidR="00C053F8" w:rsidRPr="00DF5070">
        <w:rPr>
          <w:rStyle w:val="FootnoteReference"/>
          <w:rFonts w:ascii="Times New Roman" w:hAnsi="Times New Roman"/>
          <w:sz w:val="24"/>
        </w:rPr>
        <w:footnoteReference w:id="4"/>
      </w:r>
      <w:r w:rsidR="00C053F8" w:rsidRPr="00DF5070">
        <w:rPr>
          <w:rFonts w:ascii="Times New Roman" w:hAnsi="Times New Roman"/>
        </w:rPr>
        <w:t>.</w:t>
      </w:r>
      <w:r w:rsidR="00663D69" w:rsidRPr="00DF5070">
        <w:rPr>
          <w:rFonts w:ascii="Times New Roman" w:hAnsi="Times New Roman"/>
        </w:rPr>
        <w:t xml:space="preserve"> </w:t>
      </w:r>
    </w:p>
    <w:p w14:paraId="0BA50421" w14:textId="29BC3969" w:rsidR="00AC24AF" w:rsidRPr="00DF5070" w:rsidRDefault="00AC24AF" w:rsidP="00DF5070">
      <w:pPr>
        <w:pStyle w:val="FixListStyle"/>
        <w:spacing w:after="260" w:line="280" w:lineRule="exact"/>
        <w:ind w:right="0"/>
        <w:jc w:val="both"/>
        <w:rPr>
          <w:rFonts w:ascii="Times New Roman" w:hAnsi="Times New Roman"/>
        </w:rPr>
      </w:pPr>
      <w:r w:rsidRPr="00DF5070">
        <w:rPr>
          <w:rFonts w:ascii="Times New Roman" w:hAnsi="Times New Roman"/>
        </w:rPr>
        <w:lastRenderedPageBreak/>
        <w:tab/>
      </w:r>
      <w:r w:rsidR="00AF18BC" w:rsidRPr="00DF5070">
        <w:rPr>
          <w:rFonts w:ascii="Times New Roman" w:hAnsi="Times New Roman"/>
        </w:rPr>
        <w:t xml:space="preserve">In </w:t>
      </w:r>
      <w:r w:rsidR="00F13AD2" w:rsidRPr="00DF5070">
        <w:rPr>
          <w:rFonts w:ascii="Times New Roman" w:hAnsi="Times New Roman"/>
        </w:rPr>
        <w:t xml:space="preserve">civil penalty </w:t>
      </w:r>
      <w:r w:rsidR="00AF18BC" w:rsidRPr="00DF5070">
        <w:rPr>
          <w:rFonts w:ascii="Times New Roman" w:hAnsi="Times New Roman"/>
        </w:rPr>
        <w:t xml:space="preserve">proceedings brought by the </w:t>
      </w:r>
      <w:r w:rsidR="0081087F" w:rsidRPr="00DF5070">
        <w:rPr>
          <w:rFonts w:ascii="Times New Roman" w:hAnsi="Times New Roman"/>
        </w:rPr>
        <w:t xml:space="preserve">Australian Building and Construction </w:t>
      </w:r>
      <w:r w:rsidR="00AF18BC" w:rsidRPr="00DF5070">
        <w:rPr>
          <w:rFonts w:ascii="Times New Roman" w:hAnsi="Times New Roman"/>
        </w:rPr>
        <w:t>Commissioner</w:t>
      </w:r>
      <w:r w:rsidR="00E434F8" w:rsidRPr="00DF5070">
        <w:rPr>
          <w:rFonts w:ascii="Times New Roman" w:hAnsi="Times New Roman"/>
        </w:rPr>
        <w:t xml:space="preserve"> </w:t>
      </w:r>
      <w:r w:rsidR="0081087F" w:rsidRPr="00DF5070">
        <w:rPr>
          <w:rFonts w:ascii="Times New Roman" w:hAnsi="Times New Roman"/>
        </w:rPr>
        <w:t xml:space="preserve">("the Commissioner") </w:t>
      </w:r>
      <w:r w:rsidR="00F13AD2" w:rsidRPr="00DF5070">
        <w:rPr>
          <w:rFonts w:ascii="Times New Roman" w:hAnsi="Times New Roman"/>
        </w:rPr>
        <w:t xml:space="preserve">in </w:t>
      </w:r>
      <w:r w:rsidR="002F441A" w:rsidRPr="00DF5070">
        <w:rPr>
          <w:rFonts w:ascii="Times New Roman" w:hAnsi="Times New Roman"/>
        </w:rPr>
        <w:t>the</w:t>
      </w:r>
      <w:r w:rsidR="007405AA" w:rsidRPr="00DF5070">
        <w:rPr>
          <w:rFonts w:ascii="Times New Roman" w:hAnsi="Times New Roman"/>
        </w:rPr>
        <w:t xml:space="preserve"> Federal Court of Australia</w:t>
      </w:r>
      <w:r w:rsidR="00FF2A98" w:rsidRPr="00DF5070">
        <w:rPr>
          <w:rFonts w:ascii="Times New Roman" w:hAnsi="Times New Roman"/>
        </w:rPr>
        <w:t xml:space="preserve">, </w:t>
      </w:r>
      <w:r w:rsidR="002F441A" w:rsidRPr="00DF5070">
        <w:rPr>
          <w:rFonts w:ascii="Times New Roman" w:hAnsi="Times New Roman"/>
        </w:rPr>
        <w:t>t</w:t>
      </w:r>
      <w:r w:rsidR="003F7158" w:rsidRPr="00DF5070">
        <w:rPr>
          <w:rFonts w:ascii="Times New Roman" w:hAnsi="Times New Roman"/>
        </w:rPr>
        <w:t>hese matters of fact</w:t>
      </w:r>
      <w:r w:rsidR="009E7456" w:rsidRPr="00DF5070">
        <w:rPr>
          <w:rFonts w:ascii="Times New Roman" w:hAnsi="Times New Roman"/>
        </w:rPr>
        <w:t xml:space="preserve"> were </w:t>
      </w:r>
      <w:r w:rsidR="0013146F" w:rsidRPr="00DF5070">
        <w:rPr>
          <w:rFonts w:ascii="Times New Roman" w:hAnsi="Times New Roman"/>
        </w:rPr>
        <w:t>admitted</w:t>
      </w:r>
      <w:r w:rsidR="009F1718" w:rsidRPr="00DF5070">
        <w:rPr>
          <w:rFonts w:ascii="Times New Roman" w:hAnsi="Times New Roman"/>
        </w:rPr>
        <w:t xml:space="preserve"> by </w:t>
      </w:r>
      <w:r w:rsidR="00F621FB" w:rsidRPr="00DF5070">
        <w:rPr>
          <w:rFonts w:ascii="Times New Roman" w:hAnsi="Times New Roman"/>
        </w:rPr>
        <w:t>Mr Pattinson and the CFMMEU</w:t>
      </w:r>
      <w:r w:rsidR="009F1718" w:rsidRPr="00DF5070">
        <w:rPr>
          <w:rFonts w:ascii="Times New Roman" w:hAnsi="Times New Roman"/>
        </w:rPr>
        <w:t xml:space="preserve">. </w:t>
      </w:r>
      <w:r w:rsidRPr="00DF5070">
        <w:rPr>
          <w:rFonts w:ascii="Times New Roman" w:hAnsi="Times New Roman"/>
        </w:rPr>
        <w:t xml:space="preserve">It was accepted that, by the </w:t>
      </w:r>
      <w:r w:rsidR="00A93200" w:rsidRPr="00DF5070">
        <w:rPr>
          <w:rFonts w:ascii="Times New Roman" w:hAnsi="Times New Roman"/>
        </w:rPr>
        <w:t>mis</w:t>
      </w:r>
      <w:r w:rsidRPr="00DF5070">
        <w:rPr>
          <w:rFonts w:ascii="Times New Roman" w:hAnsi="Times New Roman"/>
        </w:rPr>
        <w:t xml:space="preserve">representations, Mr Pattinson </w:t>
      </w:r>
      <w:r w:rsidR="009F1718" w:rsidRPr="00DF5070">
        <w:rPr>
          <w:rFonts w:ascii="Times New Roman" w:hAnsi="Times New Roman"/>
        </w:rPr>
        <w:t xml:space="preserve">twice contravened s 349(1) of the </w:t>
      </w:r>
      <w:r w:rsidR="009C3CD6" w:rsidRPr="00DF5070">
        <w:rPr>
          <w:rFonts w:ascii="Times New Roman" w:hAnsi="Times New Roman"/>
        </w:rPr>
        <w:t>Act</w:t>
      </w:r>
      <w:r w:rsidR="00543BB3" w:rsidRPr="00DF5070">
        <w:rPr>
          <w:rFonts w:ascii="Times New Roman" w:hAnsi="Times New Roman"/>
        </w:rPr>
        <w:t>, in that he knowingly or recklessly made a false</w:t>
      </w:r>
      <w:r w:rsidR="00C32CA8" w:rsidRPr="00DF5070">
        <w:rPr>
          <w:rFonts w:ascii="Times New Roman" w:hAnsi="Times New Roman"/>
        </w:rPr>
        <w:t xml:space="preserve"> or misleading representation </w:t>
      </w:r>
      <w:r w:rsidR="008936A1" w:rsidRPr="00DF5070">
        <w:rPr>
          <w:rFonts w:ascii="Times New Roman" w:hAnsi="Times New Roman"/>
        </w:rPr>
        <w:t xml:space="preserve">about the </w:t>
      </w:r>
      <w:r w:rsidR="002B2DF8" w:rsidRPr="00DF5070">
        <w:rPr>
          <w:rFonts w:ascii="Times New Roman" w:hAnsi="Times New Roman"/>
        </w:rPr>
        <w:t xml:space="preserve">supposed obligation of the </w:t>
      </w:r>
      <w:r w:rsidR="008936A1" w:rsidRPr="00DF5070">
        <w:rPr>
          <w:rFonts w:ascii="Times New Roman" w:hAnsi="Times New Roman"/>
        </w:rPr>
        <w:t>two employees</w:t>
      </w:r>
      <w:r w:rsidR="002B2DF8" w:rsidRPr="00DF5070">
        <w:rPr>
          <w:rFonts w:ascii="Times New Roman" w:hAnsi="Times New Roman"/>
        </w:rPr>
        <w:t xml:space="preserve"> </w:t>
      </w:r>
      <w:r w:rsidR="008936A1" w:rsidRPr="00DF5070">
        <w:rPr>
          <w:rFonts w:ascii="Times New Roman" w:hAnsi="Times New Roman"/>
        </w:rPr>
        <w:t xml:space="preserve">to become members </w:t>
      </w:r>
      <w:r w:rsidR="002B2DF8" w:rsidRPr="00DF5070">
        <w:rPr>
          <w:rFonts w:ascii="Times New Roman" w:hAnsi="Times New Roman"/>
        </w:rPr>
        <w:t>of an industrial association</w:t>
      </w:r>
      <w:r w:rsidR="009C3CD6" w:rsidRPr="00DF5070">
        <w:rPr>
          <w:rFonts w:ascii="Times New Roman" w:hAnsi="Times New Roman"/>
        </w:rPr>
        <w:t>.</w:t>
      </w:r>
      <w:r w:rsidR="002B2DF8" w:rsidRPr="00DF5070">
        <w:rPr>
          <w:rFonts w:ascii="Times New Roman" w:hAnsi="Times New Roman"/>
        </w:rPr>
        <w:t xml:space="preserve"> It was also accepted that Mr Pattinson</w:t>
      </w:r>
      <w:r w:rsidR="0083507C" w:rsidRPr="00DF5070">
        <w:rPr>
          <w:rFonts w:ascii="Times New Roman" w:hAnsi="Times New Roman"/>
        </w:rPr>
        <w:t xml:space="preserve">, in making the </w:t>
      </w:r>
      <w:r w:rsidR="00A93200" w:rsidRPr="00DF5070">
        <w:rPr>
          <w:rFonts w:ascii="Times New Roman" w:hAnsi="Times New Roman"/>
        </w:rPr>
        <w:t>misrepresentations</w:t>
      </w:r>
      <w:r w:rsidR="0083507C" w:rsidRPr="00DF5070">
        <w:rPr>
          <w:rFonts w:ascii="Times New Roman" w:hAnsi="Times New Roman"/>
        </w:rPr>
        <w:t xml:space="preserve">, </w:t>
      </w:r>
      <w:r w:rsidR="009A612F" w:rsidRPr="00DF5070">
        <w:rPr>
          <w:rFonts w:ascii="Times New Roman" w:hAnsi="Times New Roman"/>
        </w:rPr>
        <w:t xml:space="preserve">acted in his capacity as a delegate of the CFMMEU, and therefore his </w:t>
      </w:r>
      <w:r w:rsidR="0083507C" w:rsidRPr="00DF5070">
        <w:rPr>
          <w:rFonts w:ascii="Times New Roman" w:hAnsi="Times New Roman"/>
        </w:rPr>
        <w:t xml:space="preserve">action was attributable to the CFMMEU pursuant to </w:t>
      </w:r>
      <w:r w:rsidR="009A612F" w:rsidRPr="00DF5070">
        <w:rPr>
          <w:rFonts w:ascii="Times New Roman" w:hAnsi="Times New Roman"/>
        </w:rPr>
        <w:t xml:space="preserve">s 363 of the Act. It followed that the CFMMEU itself </w:t>
      </w:r>
      <w:r w:rsidR="00C229DB" w:rsidRPr="00DF5070">
        <w:rPr>
          <w:rFonts w:ascii="Times New Roman" w:hAnsi="Times New Roman"/>
        </w:rPr>
        <w:t xml:space="preserve">also </w:t>
      </w:r>
      <w:r w:rsidR="009A612F" w:rsidRPr="00DF5070">
        <w:rPr>
          <w:rFonts w:ascii="Times New Roman" w:hAnsi="Times New Roman"/>
        </w:rPr>
        <w:t>contravened s 349(1)</w:t>
      </w:r>
      <w:r w:rsidR="009A612F" w:rsidRPr="00DF5070">
        <w:rPr>
          <w:rStyle w:val="FootnoteReference"/>
          <w:rFonts w:ascii="Times New Roman" w:hAnsi="Times New Roman"/>
          <w:sz w:val="24"/>
        </w:rPr>
        <w:footnoteReference w:id="5"/>
      </w:r>
      <w:r w:rsidR="009A612F" w:rsidRPr="00DF5070">
        <w:rPr>
          <w:rFonts w:ascii="Times New Roman" w:hAnsi="Times New Roman"/>
        </w:rPr>
        <w:t>.</w:t>
      </w:r>
    </w:p>
    <w:p w14:paraId="6AFDBC9B" w14:textId="3E5B68F0" w:rsidR="00D72267" w:rsidRPr="00DF5070" w:rsidRDefault="001F6C42"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557228" w:rsidRPr="00DF5070">
        <w:rPr>
          <w:rFonts w:ascii="Times New Roman" w:hAnsi="Times New Roman"/>
        </w:rPr>
        <w:t>T</w:t>
      </w:r>
      <w:r w:rsidR="00B66474" w:rsidRPr="00DF5070">
        <w:rPr>
          <w:rFonts w:ascii="Times New Roman" w:hAnsi="Times New Roman"/>
        </w:rPr>
        <w:t>he primary judge</w:t>
      </w:r>
      <w:r w:rsidR="00FF2A98" w:rsidRPr="00DF5070">
        <w:rPr>
          <w:rFonts w:ascii="Times New Roman" w:hAnsi="Times New Roman"/>
        </w:rPr>
        <w:t xml:space="preserve"> (</w:t>
      </w:r>
      <w:proofErr w:type="spellStart"/>
      <w:r w:rsidR="00FF2A98" w:rsidRPr="00DF5070">
        <w:rPr>
          <w:rFonts w:ascii="Times New Roman" w:hAnsi="Times New Roman"/>
        </w:rPr>
        <w:t>Snaden</w:t>
      </w:r>
      <w:proofErr w:type="spellEnd"/>
      <w:r w:rsidR="00FF2A98" w:rsidRPr="00DF5070">
        <w:rPr>
          <w:rFonts w:ascii="Times New Roman" w:hAnsi="Times New Roman"/>
        </w:rPr>
        <w:t> </w:t>
      </w:r>
      <w:r w:rsidR="006D6708" w:rsidRPr="00DF5070">
        <w:rPr>
          <w:rFonts w:ascii="Times New Roman" w:hAnsi="Times New Roman"/>
        </w:rPr>
        <w:t>J</w:t>
      </w:r>
      <w:r w:rsidR="00FF2A98" w:rsidRPr="00DF5070">
        <w:rPr>
          <w:rFonts w:ascii="Times New Roman" w:hAnsi="Times New Roman"/>
        </w:rPr>
        <w:t>)</w:t>
      </w:r>
      <w:r w:rsidR="00B66474" w:rsidRPr="00DF5070">
        <w:rPr>
          <w:rFonts w:ascii="Times New Roman" w:hAnsi="Times New Roman"/>
        </w:rPr>
        <w:t xml:space="preserve"> </w:t>
      </w:r>
      <w:r w:rsidR="00557228" w:rsidRPr="00DF5070">
        <w:rPr>
          <w:rFonts w:ascii="Times New Roman" w:hAnsi="Times New Roman"/>
        </w:rPr>
        <w:t xml:space="preserve">imposed </w:t>
      </w:r>
      <w:r w:rsidR="00C44D8C" w:rsidRPr="00DF5070">
        <w:rPr>
          <w:rFonts w:ascii="Times New Roman" w:hAnsi="Times New Roman"/>
        </w:rPr>
        <w:t xml:space="preserve">civil pecuniary </w:t>
      </w:r>
      <w:r w:rsidR="00557228" w:rsidRPr="00DF5070">
        <w:rPr>
          <w:rFonts w:ascii="Times New Roman" w:hAnsi="Times New Roman"/>
        </w:rPr>
        <w:t xml:space="preserve">penalties </w:t>
      </w:r>
      <w:r w:rsidR="00B66474" w:rsidRPr="00DF5070">
        <w:rPr>
          <w:rFonts w:ascii="Times New Roman" w:hAnsi="Times New Roman"/>
        </w:rPr>
        <w:t>in the amount</w:t>
      </w:r>
      <w:r w:rsidR="007133FB" w:rsidRPr="00DF5070">
        <w:rPr>
          <w:rFonts w:ascii="Times New Roman" w:hAnsi="Times New Roman"/>
        </w:rPr>
        <w:t>s</w:t>
      </w:r>
      <w:r w:rsidR="00B66474" w:rsidRPr="00DF5070">
        <w:rPr>
          <w:rFonts w:ascii="Times New Roman" w:hAnsi="Times New Roman"/>
        </w:rPr>
        <w:t xml:space="preserve"> of $6,000</w:t>
      </w:r>
      <w:r w:rsidR="006533DC" w:rsidRPr="00DF5070">
        <w:rPr>
          <w:rFonts w:ascii="Times New Roman" w:hAnsi="Times New Roman"/>
        </w:rPr>
        <w:t xml:space="preserve"> </w:t>
      </w:r>
      <w:r w:rsidR="007133FB" w:rsidRPr="00DF5070">
        <w:rPr>
          <w:rFonts w:ascii="Times New Roman" w:hAnsi="Times New Roman"/>
        </w:rPr>
        <w:t>in respect of Mr </w:t>
      </w:r>
      <w:r w:rsidR="00FA1D94" w:rsidRPr="00DF5070">
        <w:rPr>
          <w:rFonts w:ascii="Times New Roman" w:hAnsi="Times New Roman"/>
        </w:rPr>
        <w:t xml:space="preserve">Pattinson </w:t>
      </w:r>
      <w:r w:rsidR="00473491" w:rsidRPr="00DF5070">
        <w:rPr>
          <w:rFonts w:ascii="Times New Roman" w:hAnsi="Times New Roman"/>
        </w:rPr>
        <w:t>($</w:t>
      </w:r>
      <w:r w:rsidR="006533DC" w:rsidRPr="00DF5070">
        <w:rPr>
          <w:rFonts w:ascii="Times New Roman" w:hAnsi="Times New Roman"/>
        </w:rPr>
        <w:t>3,000 for each contravention)</w:t>
      </w:r>
      <w:r w:rsidR="00B35E82" w:rsidRPr="00DF5070">
        <w:rPr>
          <w:rFonts w:ascii="Times New Roman" w:hAnsi="Times New Roman"/>
        </w:rPr>
        <w:t xml:space="preserve"> </w:t>
      </w:r>
      <w:r w:rsidR="00FA1D94" w:rsidRPr="00DF5070">
        <w:rPr>
          <w:rFonts w:ascii="Times New Roman" w:hAnsi="Times New Roman"/>
        </w:rPr>
        <w:t xml:space="preserve">and </w:t>
      </w:r>
      <w:r w:rsidR="006533DC" w:rsidRPr="00DF5070">
        <w:rPr>
          <w:rFonts w:ascii="Times New Roman" w:hAnsi="Times New Roman"/>
        </w:rPr>
        <w:t xml:space="preserve">$63,000 </w:t>
      </w:r>
      <w:r w:rsidR="00FA1D94" w:rsidRPr="00DF5070">
        <w:rPr>
          <w:rFonts w:ascii="Times New Roman" w:hAnsi="Times New Roman"/>
        </w:rPr>
        <w:t xml:space="preserve">in respect of </w:t>
      </w:r>
      <w:r w:rsidR="00B35E82" w:rsidRPr="00DF5070">
        <w:rPr>
          <w:rFonts w:ascii="Times New Roman" w:hAnsi="Times New Roman"/>
        </w:rPr>
        <w:t xml:space="preserve">the </w:t>
      </w:r>
      <w:r w:rsidR="006533DC" w:rsidRPr="00DF5070">
        <w:rPr>
          <w:rFonts w:ascii="Times New Roman" w:hAnsi="Times New Roman"/>
        </w:rPr>
        <w:t>CFMMEU ($31,500 for each contravention)</w:t>
      </w:r>
      <w:r w:rsidR="00D72267" w:rsidRPr="00DF5070">
        <w:rPr>
          <w:rFonts w:ascii="Times New Roman" w:hAnsi="Times New Roman"/>
        </w:rPr>
        <w:t xml:space="preserve">. </w:t>
      </w:r>
      <w:r w:rsidR="005B2000" w:rsidRPr="00DF5070">
        <w:rPr>
          <w:rFonts w:ascii="Times New Roman" w:hAnsi="Times New Roman"/>
        </w:rPr>
        <w:t>His</w:t>
      </w:r>
      <w:r w:rsidR="0091374F" w:rsidRPr="00DF5070">
        <w:rPr>
          <w:rFonts w:ascii="Times New Roman" w:hAnsi="Times New Roman"/>
        </w:rPr>
        <w:t> </w:t>
      </w:r>
      <w:r w:rsidR="005B2000" w:rsidRPr="00DF5070">
        <w:rPr>
          <w:rFonts w:ascii="Times New Roman" w:hAnsi="Times New Roman"/>
        </w:rPr>
        <w:t xml:space="preserve">Honour was minded </w:t>
      </w:r>
      <w:proofErr w:type="gramStart"/>
      <w:r w:rsidR="005B2000" w:rsidRPr="00DF5070">
        <w:rPr>
          <w:rFonts w:ascii="Times New Roman" w:hAnsi="Times New Roman"/>
        </w:rPr>
        <w:t>to fix</w:t>
      </w:r>
      <w:proofErr w:type="gramEnd"/>
      <w:r w:rsidR="005B2000" w:rsidRPr="00DF5070">
        <w:rPr>
          <w:rFonts w:ascii="Times New Roman" w:hAnsi="Times New Roman"/>
        </w:rPr>
        <w:t xml:space="preserve"> t</w:t>
      </w:r>
      <w:r w:rsidR="00D72267" w:rsidRPr="00DF5070">
        <w:rPr>
          <w:rFonts w:ascii="Times New Roman" w:hAnsi="Times New Roman"/>
        </w:rPr>
        <w:t xml:space="preserve">he penalty </w:t>
      </w:r>
      <w:r w:rsidR="00787793" w:rsidRPr="00DF5070">
        <w:rPr>
          <w:rFonts w:ascii="Times New Roman" w:hAnsi="Times New Roman"/>
        </w:rPr>
        <w:t xml:space="preserve">for the CFMMEU </w:t>
      </w:r>
      <w:r w:rsidR="000E1EFE" w:rsidRPr="00DF5070">
        <w:rPr>
          <w:rFonts w:ascii="Times New Roman" w:hAnsi="Times New Roman"/>
        </w:rPr>
        <w:t xml:space="preserve">at the </w:t>
      </w:r>
      <w:r w:rsidR="00EE723D" w:rsidRPr="00DF5070">
        <w:rPr>
          <w:rFonts w:ascii="Times New Roman" w:hAnsi="Times New Roman"/>
        </w:rPr>
        <w:t xml:space="preserve">statutory </w:t>
      </w:r>
      <w:r w:rsidR="000E1EFE" w:rsidRPr="00DF5070">
        <w:rPr>
          <w:rFonts w:ascii="Times New Roman" w:hAnsi="Times New Roman"/>
        </w:rPr>
        <w:t>maximum</w:t>
      </w:r>
      <w:r w:rsidR="00EE723D" w:rsidRPr="00DF5070">
        <w:rPr>
          <w:rFonts w:ascii="Times New Roman" w:hAnsi="Times New Roman"/>
        </w:rPr>
        <w:t xml:space="preserve"> of $63,000 for each contravention</w:t>
      </w:r>
      <w:r w:rsidR="000E1EFE" w:rsidRPr="00DF5070">
        <w:rPr>
          <w:rFonts w:ascii="Times New Roman" w:hAnsi="Times New Roman"/>
        </w:rPr>
        <w:t xml:space="preserve">, </w:t>
      </w:r>
      <w:r w:rsidR="00D72267" w:rsidRPr="00DF5070">
        <w:rPr>
          <w:rFonts w:ascii="Times New Roman" w:hAnsi="Times New Roman"/>
        </w:rPr>
        <w:t>having regard to</w:t>
      </w:r>
      <w:r w:rsidR="009D4776" w:rsidRPr="00DF5070">
        <w:rPr>
          <w:rFonts w:ascii="Times New Roman" w:hAnsi="Times New Roman"/>
        </w:rPr>
        <w:t xml:space="preserve"> the CFMMEU's longstanding </w:t>
      </w:r>
      <w:r w:rsidR="007503C4" w:rsidRPr="00DF5070">
        <w:rPr>
          <w:rFonts w:ascii="Times New Roman" w:hAnsi="Times New Roman"/>
        </w:rPr>
        <w:t xml:space="preserve">history of contraventions </w:t>
      </w:r>
      <w:r w:rsidR="00EE723D" w:rsidRPr="00DF5070">
        <w:rPr>
          <w:rFonts w:ascii="Times New Roman" w:hAnsi="Times New Roman"/>
        </w:rPr>
        <w:t xml:space="preserve">of the Act </w:t>
      </w:r>
      <w:r w:rsidR="007503C4" w:rsidRPr="00DF5070">
        <w:rPr>
          <w:rFonts w:ascii="Times New Roman" w:hAnsi="Times New Roman"/>
        </w:rPr>
        <w:t xml:space="preserve">in furtherance of its </w:t>
      </w:r>
      <w:r w:rsidR="009D4776" w:rsidRPr="00DF5070">
        <w:rPr>
          <w:rFonts w:ascii="Times New Roman" w:hAnsi="Times New Roman"/>
        </w:rPr>
        <w:t>"no ticket, no start" polic</w:t>
      </w:r>
      <w:r w:rsidR="00066575" w:rsidRPr="00DF5070">
        <w:rPr>
          <w:rFonts w:ascii="Times New Roman" w:hAnsi="Times New Roman"/>
        </w:rPr>
        <w:t xml:space="preserve">y. However, </w:t>
      </w:r>
      <w:r w:rsidR="000E1EFE" w:rsidRPr="00DF5070">
        <w:rPr>
          <w:rFonts w:ascii="Times New Roman" w:hAnsi="Times New Roman"/>
        </w:rPr>
        <w:t>because both contraventions occurred in the course of a single episode</w:t>
      </w:r>
      <w:r w:rsidR="009B3653" w:rsidRPr="00DF5070">
        <w:rPr>
          <w:rFonts w:ascii="Times New Roman" w:hAnsi="Times New Roman"/>
        </w:rPr>
        <w:t>, the</w:t>
      </w:r>
      <w:r w:rsidR="00D35067" w:rsidRPr="00DF5070">
        <w:rPr>
          <w:rFonts w:ascii="Times New Roman" w:hAnsi="Times New Roman"/>
        </w:rPr>
        <w:t xml:space="preserve"> </w:t>
      </w:r>
      <w:r w:rsidR="00EE723D" w:rsidRPr="00DF5070">
        <w:rPr>
          <w:rFonts w:ascii="Times New Roman" w:hAnsi="Times New Roman"/>
        </w:rPr>
        <w:t xml:space="preserve">primary judge reduced each penalty </w:t>
      </w:r>
      <w:r w:rsidR="009B033C" w:rsidRPr="00DF5070">
        <w:rPr>
          <w:rFonts w:ascii="Times New Roman" w:hAnsi="Times New Roman"/>
        </w:rPr>
        <w:t xml:space="preserve">by half, so that their total reflected </w:t>
      </w:r>
      <w:r w:rsidR="00D35067" w:rsidRPr="00DF5070">
        <w:rPr>
          <w:rFonts w:ascii="Times New Roman" w:hAnsi="Times New Roman"/>
        </w:rPr>
        <w:t xml:space="preserve">a </w:t>
      </w:r>
      <w:r w:rsidR="008D61F0" w:rsidRPr="00DF5070">
        <w:rPr>
          <w:rFonts w:ascii="Times New Roman" w:hAnsi="Times New Roman"/>
        </w:rPr>
        <w:t>single</w:t>
      </w:r>
      <w:r w:rsidR="00D35067" w:rsidRPr="00DF5070">
        <w:rPr>
          <w:rFonts w:ascii="Times New Roman" w:hAnsi="Times New Roman"/>
        </w:rPr>
        <w:t xml:space="preserve"> maximum penalty</w:t>
      </w:r>
      <w:r w:rsidR="00D35067" w:rsidRPr="00DF5070">
        <w:rPr>
          <w:rStyle w:val="FootnoteReference"/>
          <w:rFonts w:ascii="Times New Roman" w:hAnsi="Times New Roman"/>
          <w:sz w:val="24"/>
        </w:rPr>
        <w:footnoteReference w:id="6"/>
      </w:r>
      <w:r w:rsidR="00413BCE" w:rsidRPr="00DF5070">
        <w:rPr>
          <w:rFonts w:ascii="Times New Roman" w:hAnsi="Times New Roman"/>
        </w:rPr>
        <w:t>.</w:t>
      </w:r>
      <w:r w:rsidR="00944EC1" w:rsidRPr="00DF5070">
        <w:rPr>
          <w:rFonts w:ascii="Times New Roman" w:hAnsi="Times New Roman"/>
        </w:rPr>
        <w:t xml:space="preserve"> </w:t>
      </w:r>
    </w:p>
    <w:p w14:paraId="27D602FE" w14:textId="7AED3E6E" w:rsidR="00663D69" w:rsidRPr="00DF5070" w:rsidRDefault="00D72267"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D6437B" w:rsidRPr="00DF5070">
        <w:rPr>
          <w:rFonts w:ascii="Times New Roman" w:hAnsi="Times New Roman"/>
        </w:rPr>
        <w:t>On appeal, the</w:t>
      </w:r>
      <w:r w:rsidR="00944EC1" w:rsidRPr="00DF5070">
        <w:rPr>
          <w:rFonts w:ascii="Times New Roman" w:hAnsi="Times New Roman"/>
        </w:rPr>
        <w:t xml:space="preserve"> Full </w:t>
      </w:r>
      <w:r w:rsidR="00F879FF" w:rsidRPr="00DF5070">
        <w:rPr>
          <w:rFonts w:ascii="Times New Roman" w:hAnsi="Times New Roman"/>
        </w:rPr>
        <w:t>Court</w:t>
      </w:r>
      <w:r w:rsidR="009D782C" w:rsidRPr="00DF5070">
        <w:rPr>
          <w:rFonts w:ascii="Times New Roman" w:hAnsi="Times New Roman"/>
        </w:rPr>
        <w:t xml:space="preserve"> </w:t>
      </w:r>
      <w:r w:rsidR="00066575" w:rsidRPr="00DF5070">
        <w:rPr>
          <w:rFonts w:ascii="Times New Roman" w:hAnsi="Times New Roman"/>
        </w:rPr>
        <w:t xml:space="preserve">of the Federal Court </w:t>
      </w:r>
      <w:r w:rsidR="009B033C" w:rsidRPr="00DF5070">
        <w:rPr>
          <w:rFonts w:ascii="Times New Roman" w:hAnsi="Times New Roman"/>
        </w:rPr>
        <w:t xml:space="preserve">of Australia </w:t>
      </w:r>
      <w:r w:rsidR="009D782C" w:rsidRPr="00DF5070">
        <w:rPr>
          <w:rFonts w:ascii="Times New Roman" w:hAnsi="Times New Roman"/>
        </w:rPr>
        <w:t>(</w:t>
      </w:r>
      <w:proofErr w:type="spellStart"/>
      <w:r w:rsidR="009D782C" w:rsidRPr="00DF5070">
        <w:rPr>
          <w:rFonts w:ascii="Times New Roman" w:hAnsi="Times New Roman"/>
        </w:rPr>
        <w:t>Allsop</w:t>
      </w:r>
      <w:proofErr w:type="spellEnd"/>
      <w:r w:rsidR="009D782C" w:rsidRPr="00DF5070">
        <w:rPr>
          <w:rFonts w:ascii="Times New Roman" w:hAnsi="Times New Roman"/>
        </w:rPr>
        <w:t xml:space="preserve"> CJ, </w:t>
      </w:r>
      <w:proofErr w:type="spellStart"/>
      <w:r w:rsidR="009D782C" w:rsidRPr="00DF5070">
        <w:rPr>
          <w:rFonts w:ascii="Times New Roman" w:hAnsi="Times New Roman"/>
        </w:rPr>
        <w:t>Besanko</w:t>
      </w:r>
      <w:proofErr w:type="spellEnd"/>
      <w:r w:rsidR="009D782C" w:rsidRPr="00DF5070">
        <w:rPr>
          <w:rFonts w:ascii="Times New Roman" w:hAnsi="Times New Roman"/>
        </w:rPr>
        <w:t xml:space="preserve">, White, </w:t>
      </w:r>
      <w:proofErr w:type="spellStart"/>
      <w:r w:rsidR="009D782C" w:rsidRPr="00DF5070">
        <w:rPr>
          <w:rFonts w:ascii="Times New Roman" w:hAnsi="Times New Roman"/>
        </w:rPr>
        <w:t>Wigney</w:t>
      </w:r>
      <w:proofErr w:type="spellEnd"/>
      <w:r w:rsidR="009D782C" w:rsidRPr="00DF5070">
        <w:rPr>
          <w:rFonts w:ascii="Times New Roman" w:hAnsi="Times New Roman"/>
        </w:rPr>
        <w:t xml:space="preserve"> and Bromwich JJ)</w:t>
      </w:r>
      <w:r w:rsidR="00F879FF" w:rsidRPr="00DF5070">
        <w:rPr>
          <w:rFonts w:ascii="Times New Roman" w:hAnsi="Times New Roman"/>
        </w:rPr>
        <w:t xml:space="preserve"> held that </w:t>
      </w:r>
      <w:r w:rsidR="00877EA3" w:rsidRPr="00DF5070">
        <w:rPr>
          <w:rFonts w:ascii="Times New Roman" w:hAnsi="Times New Roman"/>
        </w:rPr>
        <w:t xml:space="preserve">the history of </w:t>
      </w:r>
      <w:r w:rsidR="00760D90" w:rsidRPr="00DF5070">
        <w:rPr>
          <w:rFonts w:ascii="Times New Roman" w:hAnsi="Times New Roman"/>
        </w:rPr>
        <w:t xml:space="preserve">the CFMMEU's </w:t>
      </w:r>
      <w:r w:rsidR="00877EA3" w:rsidRPr="00DF5070">
        <w:rPr>
          <w:rFonts w:ascii="Times New Roman" w:hAnsi="Times New Roman"/>
        </w:rPr>
        <w:t xml:space="preserve">prior contraventions </w:t>
      </w:r>
      <w:r w:rsidR="000A7120" w:rsidRPr="00DF5070">
        <w:rPr>
          <w:rFonts w:ascii="Times New Roman" w:hAnsi="Times New Roman"/>
        </w:rPr>
        <w:t>and</w:t>
      </w:r>
      <w:r w:rsidR="00877EA3" w:rsidRPr="00DF5070">
        <w:rPr>
          <w:rFonts w:ascii="Times New Roman" w:hAnsi="Times New Roman"/>
        </w:rPr>
        <w:t xml:space="preserve"> the deterrent purpose of s 546 </w:t>
      </w:r>
      <w:r w:rsidR="000A7120" w:rsidRPr="00DF5070">
        <w:rPr>
          <w:rFonts w:ascii="Times New Roman" w:hAnsi="Times New Roman"/>
        </w:rPr>
        <w:t>did not warrant</w:t>
      </w:r>
      <w:r w:rsidR="00877EA3" w:rsidRPr="00DF5070">
        <w:rPr>
          <w:rFonts w:ascii="Times New Roman" w:hAnsi="Times New Roman"/>
        </w:rPr>
        <w:t xml:space="preserve"> </w:t>
      </w:r>
      <w:r w:rsidR="00760D90" w:rsidRPr="00DF5070">
        <w:rPr>
          <w:rFonts w:ascii="Times New Roman" w:hAnsi="Times New Roman"/>
        </w:rPr>
        <w:t xml:space="preserve">the imposition of </w:t>
      </w:r>
      <w:r w:rsidR="009B033C" w:rsidRPr="00DF5070">
        <w:rPr>
          <w:rFonts w:ascii="Times New Roman" w:hAnsi="Times New Roman"/>
        </w:rPr>
        <w:t>a penalty that was disproportionate to the nature</w:t>
      </w:r>
      <w:r w:rsidR="00D45D4F" w:rsidRPr="00DF5070">
        <w:rPr>
          <w:rFonts w:ascii="Times New Roman" w:hAnsi="Times New Roman"/>
        </w:rPr>
        <w:t>, gravity</w:t>
      </w:r>
      <w:r w:rsidR="009B033C" w:rsidRPr="00DF5070">
        <w:rPr>
          <w:rFonts w:ascii="Times New Roman" w:hAnsi="Times New Roman"/>
        </w:rPr>
        <w:t xml:space="preserve"> and </w:t>
      </w:r>
      <w:r w:rsidR="00D45D4F" w:rsidRPr="00DF5070">
        <w:rPr>
          <w:rFonts w:ascii="Times New Roman" w:hAnsi="Times New Roman"/>
        </w:rPr>
        <w:t xml:space="preserve">seriousness </w:t>
      </w:r>
      <w:r w:rsidR="009B033C" w:rsidRPr="00DF5070">
        <w:rPr>
          <w:rFonts w:ascii="Times New Roman" w:hAnsi="Times New Roman"/>
        </w:rPr>
        <w:t>of the</w:t>
      </w:r>
      <w:r w:rsidR="00927B5F" w:rsidRPr="00DF5070">
        <w:rPr>
          <w:rFonts w:ascii="Times New Roman" w:hAnsi="Times New Roman"/>
        </w:rPr>
        <w:t xml:space="preserve"> circumstances of the</w:t>
      </w:r>
      <w:r w:rsidR="009B033C" w:rsidRPr="00DF5070">
        <w:rPr>
          <w:rFonts w:ascii="Times New Roman" w:hAnsi="Times New Roman"/>
        </w:rPr>
        <w:t xml:space="preserve"> instant contraventions</w:t>
      </w:r>
      <w:r w:rsidR="00D45D4F" w:rsidRPr="00DF5070">
        <w:rPr>
          <w:rStyle w:val="FootnoteReference"/>
          <w:rFonts w:ascii="Times New Roman" w:hAnsi="Times New Roman"/>
          <w:sz w:val="24"/>
        </w:rPr>
        <w:footnoteReference w:id="7"/>
      </w:r>
      <w:r w:rsidR="009B033C" w:rsidRPr="00DF5070">
        <w:rPr>
          <w:rFonts w:ascii="Times New Roman" w:hAnsi="Times New Roman"/>
        </w:rPr>
        <w:t xml:space="preserve">. The Full Court considered that the primary judge had erred in imposing on the CFMMEU what was, in effect, </w:t>
      </w:r>
      <w:r w:rsidR="00760D90" w:rsidRPr="00DF5070">
        <w:rPr>
          <w:rFonts w:ascii="Times New Roman" w:hAnsi="Times New Roman"/>
        </w:rPr>
        <w:t xml:space="preserve">the maximum penalty, </w:t>
      </w:r>
      <w:r w:rsidR="009B033C" w:rsidRPr="00DF5070">
        <w:rPr>
          <w:rFonts w:ascii="Times New Roman" w:hAnsi="Times New Roman"/>
        </w:rPr>
        <w:t xml:space="preserve">which the Full Court considered ought </w:t>
      </w:r>
      <w:r w:rsidR="002F62FA" w:rsidRPr="00DF5070">
        <w:rPr>
          <w:rFonts w:ascii="Times New Roman" w:hAnsi="Times New Roman"/>
        </w:rPr>
        <w:t>to be</w:t>
      </w:r>
      <w:r w:rsidR="00760D90" w:rsidRPr="00DF5070">
        <w:rPr>
          <w:rFonts w:ascii="Times New Roman" w:hAnsi="Times New Roman"/>
        </w:rPr>
        <w:t xml:space="preserve"> reserved </w:t>
      </w:r>
      <w:r w:rsidR="00877EA3" w:rsidRPr="00DF5070">
        <w:rPr>
          <w:rFonts w:ascii="Times New Roman" w:hAnsi="Times New Roman"/>
        </w:rPr>
        <w:t xml:space="preserve">for the most serious examples of </w:t>
      </w:r>
      <w:r w:rsidR="00BA4F82" w:rsidRPr="00DF5070">
        <w:rPr>
          <w:rFonts w:ascii="Times New Roman" w:hAnsi="Times New Roman"/>
        </w:rPr>
        <w:t xml:space="preserve">conduct in </w:t>
      </w:r>
      <w:r w:rsidR="00877EA3" w:rsidRPr="00DF5070">
        <w:rPr>
          <w:rFonts w:ascii="Times New Roman" w:hAnsi="Times New Roman"/>
        </w:rPr>
        <w:t xml:space="preserve">contravention of s 349(1) of </w:t>
      </w:r>
      <w:r w:rsidR="00877EA3" w:rsidRPr="00DF5070">
        <w:rPr>
          <w:rFonts w:ascii="Times New Roman" w:hAnsi="Times New Roman"/>
        </w:rPr>
        <w:lastRenderedPageBreak/>
        <w:t>the Act</w:t>
      </w:r>
      <w:r w:rsidR="004D53C4" w:rsidRPr="00DF5070">
        <w:rPr>
          <w:rStyle w:val="FootnoteReference"/>
          <w:rFonts w:ascii="Times New Roman" w:hAnsi="Times New Roman"/>
          <w:sz w:val="24"/>
        </w:rPr>
        <w:footnoteReference w:id="8"/>
      </w:r>
      <w:r w:rsidR="00877EA3" w:rsidRPr="00DF5070">
        <w:rPr>
          <w:rFonts w:ascii="Times New Roman" w:hAnsi="Times New Roman"/>
        </w:rPr>
        <w:t xml:space="preserve">. </w:t>
      </w:r>
      <w:r w:rsidR="00373757" w:rsidRPr="00DF5070">
        <w:rPr>
          <w:rFonts w:ascii="Times New Roman" w:hAnsi="Times New Roman"/>
        </w:rPr>
        <w:t>The</w:t>
      </w:r>
      <w:r w:rsidR="00F879FF" w:rsidRPr="00DF5070">
        <w:rPr>
          <w:rFonts w:ascii="Times New Roman" w:hAnsi="Times New Roman"/>
        </w:rPr>
        <w:t xml:space="preserve"> Full Court</w:t>
      </w:r>
      <w:r w:rsidR="004D53C4" w:rsidRPr="00DF5070">
        <w:rPr>
          <w:rFonts w:ascii="Times New Roman" w:hAnsi="Times New Roman"/>
        </w:rPr>
        <w:t xml:space="preserve"> set aside the penalties imposed by the primary judge and</w:t>
      </w:r>
      <w:r w:rsidR="00BA4F82" w:rsidRPr="00DF5070">
        <w:rPr>
          <w:rFonts w:ascii="Times New Roman" w:hAnsi="Times New Roman"/>
        </w:rPr>
        <w:t>, exercising afresh the discretion conferred by s </w:t>
      </w:r>
      <w:r w:rsidR="006C2845" w:rsidRPr="00DF5070">
        <w:rPr>
          <w:rFonts w:ascii="Times New Roman" w:hAnsi="Times New Roman"/>
        </w:rPr>
        <w:t xml:space="preserve">546, </w:t>
      </w:r>
      <w:r w:rsidR="00FA0DE8" w:rsidRPr="00DF5070">
        <w:rPr>
          <w:rFonts w:ascii="Times New Roman" w:hAnsi="Times New Roman"/>
        </w:rPr>
        <w:t>proceeded</w:t>
      </w:r>
      <w:r w:rsidR="004D53C4" w:rsidRPr="00DF5070">
        <w:rPr>
          <w:rFonts w:ascii="Times New Roman" w:hAnsi="Times New Roman"/>
        </w:rPr>
        <w:t xml:space="preserve"> </w:t>
      </w:r>
      <w:r w:rsidR="006A33BF" w:rsidRPr="00DF5070">
        <w:rPr>
          <w:rFonts w:ascii="Times New Roman" w:hAnsi="Times New Roman"/>
        </w:rPr>
        <w:t xml:space="preserve">to impose </w:t>
      </w:r>
      <w:r w:rsidR="00531DCD" w:rsidRPr="00DF5070">
        <w:rPr>
          <w:rFonts w:ascii="Times New Roman" w:hAnsi="Times New Roman"/>
        </w:rPr>
        <w:t xml:space="preserve">penalties in the </w:t>
      </w:r>
      <w:r w:rsidR="009B033C" w:rsidRPr="00DF5070">
        <w:rPr>
          <w:rFonts w:ascii="Times New Roman" w:hAnsi="Times New Roman"/>
        </w:rPr>
        <w:t xml:space="preserve">lesser </w:t>
      </w:r>
      <w:r w:rsidR="00531DCD" w:rsidRPr="00DF5070">
        <w:rPr>
          <w:rFonts w:ascii="Times New Roman" w:hAnsi="Times New Roman"/>
        </w:rPr>
        <w:t>amounts of $</w:t>
      </w:r>
      <w:r w:rsidR="00BB5FD2" w:rsidRPr="00DF5070">
        <w:rPr>
          <w:rFonts w:ascii="Times New Roman" w:hAnsi="Times New Roman"/>
        </w:rPr>
        <w:t>4,500</w:t>
      </w:r>
      <w:r w:rsidR="00531DCD" w:rsidRPr="00DF5070">
        <w:rPr>
          <w:rFonts w:ascii="Times New Roman" w:hAnsi="Times New Roman"/>
        </w:rPr>
        <w:t xml:space="preserve"> in respect of Mr Pattinson ($</w:t>
      </w:r>
      <w:r w:rsidR="00BB5FD2" w:rsidRPr="00DF5070">
        <w:rPr>
          <w:rFonts w:ascii="Times New Roman" w:hAnsi="Times New Roman"/>
        </w:rPr>
        <w:t>4</w:t>
      </w:r>
      <w:r w:rsidR="00531DCD" w:rsidRPr="00DF5070">
        <w:rPr>
          <w:rFonts w:ascii="Times New Roman" w:hAnsi="Times New Roman"/>
        </w:rPr>
        <w:t xml:space="preserve">,000 </w:t>
      </w:r>
      <w:r w:rsidR="00BB5FD2" w:rsidRPr="00DF5070">
        <w:rPr>
          <w:rFonts w:ascii="Times New Roman" w:hAnsi="Times New Roman"/>
        </w:rPr>
        <w:t>and $500</w:t>
      </w:r>
      <w:r w:rsidR="00531DCD" w:rsidRPr="00DF5070">
        <w:rPr>
          <w:rFonts w:ascii="Times New Roman" w:hAnsi="Times New Roman"/>
        </w:rPr>
        <w:t>) and $</w:t>
      </w:r>
      <w:r w:rsidR="000B2BD1" w:rsidRPr="00DF5070">
        <w:rPr>
          <w:rFonts w:ascii="Times New Roman" w:hAnsi="Times New Roman"/>
        </w:rPr>
        <w:t>40</w:t>
      </w:r>
      <w:r w:rsidR="00531DCD" w:rsidRPr="00DF5070">
        <w:rPr>
          <w:rFonts w:ascii="Times New Roman" w:hAnsi="Times New Roman"/>
        </w:rPr>
        <w:t>,000 in respect of the CFMMEU ($3</w:t>
      </w:r>
      <w:r w:rsidR="000B2BD1" w:rsidRPr="00DF5070">
        <w:rPr>
          <w:rFonts w:ascii="Times New Roman" w:hAnsi="Times New Roman"/>
        </w:rPr>
        <w:t>8</w:t>
      </w:r>
      <w:r w:rsidR="00531DCD" w:rsidRPr="00DF5070">
        <w:rPr>
          <w:rFonts w:ascii="Times New Roman" w:hAnsi="Times New Roman"/>
        </w:rPr>
        <w:t>,</w:t>
      </w:r>
      <w:r w:rsidR="000B2BD1" w:rsidRPr="00DF5070">
        <w:rPr>
          <w:rFonts w:ascii="Times New Roman" w:hAnsi="Times New Roman"/>
        </w:rPr>
        <w:t>0</w:t>
      </w:r>
      <w:r w:rsidR="00531DCD" w:rsidRPr="00DF5070">
        <w:rPr>
          <w:rFonts w:ascii="Times New Roman" w:hAnsi="Times New Roman"/>
        </w:rPr>
        <w:t xml:space="preserve">00 </w:t>
      </w:r>
      <w:r w:rsidR="000B2BD1" w:rsidRPr="00DF5070">
        <w:rPr>
          <w:rFonts w:ascii="Times New Roman" w:hAnsi="Times New Roman"/>
        </w:rPr>
        <w:t>and $2,000</w:t>
      </w:r>
      <w:r w:rsidR="00531DCD" w:rsidRPr="00DF5070">
        <w:rPr>
          <w:rFonts w:ascii="Times New Roman" w:hAnsi="Times New Roman"/>
        </w:rPr>
        <w:t>)</w:t>
      </w:r>
      <w:r w:rsidR="004D53C4" w:rsidRPr="00DF5070">
        <w:rPr>
          <w:rStyle w:val="FootnoteReference"/>
          <w:rFonts w:ascii="Times New Roman" w:hAnsi="Times New Roman"/>
          <w:sz w:val="24"/>
        </w:rPr>
        <w:footnoteReference w:id="9"/>
      </w:r>
      <w:r w:rsidR="000B2BD1" w:rsidRPr="00DF5070">
        <w:rPr>
          <w:rFonts w:ascii="Times New Roman" w:hAnsi="Times New Roman"/>
        </w:rPr>
        <w:t>.</w:t>
      </w:r>
    </w:p>
    <w:p w14:paraId="5ABA361E" w14:textId="26C4D79C" w:rsidR="00150D0A" w:rsidRPr="00DF5070" w:rsidRDefault="003C4B19"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4150DA" w:rsidRPr="00DF5070">
        <w:rPr>
          <w:rFonts w:ascii="Times New Roman" w:hAnsi="Times New Roman"/>
        </w:rPr>
        <w:t>The Commissioner appealed to this Court</w:t>
      </w:r>
      <w:r w:rsidR="006C2845" w:rsidRPr="00DF5070">
        <w:rPr>
          <w:rFonts w:ascii="Times New Roman" w:hAnsi="Times New Roman"/>
        </w:rPr>
        <w:t xml:space="preserve">, </w:t>
      </w:r>
      <w:r w:rsidR="006A33BF" w:rsidRPr="00DF5070">
        <w:rPr>
          <w:rFonts w:ascii="Times New Roman" w:hAnsi="Times New Roman"/>
        </w:rPr>
        <w:t xml:space="preserve">contending </w:t>
      </w:r>
      <w:r w:rsidR="00150D0A" w:rsidRPr="00DF5070">
        <w:rPr>
          <w:rFonts w:ascii="Times New Roman" w:hAnsi="Times New Roman"/>
        </w:rPr>
        <w:t xml:space="preserve">that the Full Court made two </w:t>
      </w:r>
      <w:r w:rsidR="006A33BF" w:rsidRPr="00DF5070">
        <w:rPr>
          <w:rFonts w:ascii="Times New Roman" w:hAnsi="Times New Roman"/>
        </w:rPr>
        <w:t xml:space="preserve">related </w:t>
      </w:r>
      <w:r w:rsidR="00150D0A" w:rsidRPr="00DF5070">
        <w:rPr>
          <w:rFonts w:ascii="Times New Roman" w:hAnsi="Times New Roman"/>
        </w:rPr>
        <w:t>errors: first, in regarding the discretion under s 546 of the Act as constrained by a "notion of proportionality"</w:t>
      </w:r>
      <w:r w:rsidR="00333C74" w:rsidRPr="00DF5070">
        <w:rPr>
          <w:rFonts w:ascii="Times New Roman" w:hAnsi="Times New Roman"/>
        </w:rPr>
        <w:t>;</w:t>
      </w:r>
      <w:r w:rsidR="00150D0A" w:rsidRPr="00DF5070">
        <w:rPr>
          <w:rFonts w:ascii="Times New Roman" w:hAnsi="Times New Roman"/>
        </w:rPr>
        <w:t xml:space="preserve"> and secondly, in regarding the statutory maximum </w:t>
      </w:r>
      <w:r w:rsidR="006A33BF" w:rsidRPr="00DF5070">
        <w:rPr>
          <w:rFonts w:ascii="Times New Roman" w:hAnsi="Times New Roman"/>
        </w:rPr>
        <w:t xml:space="preserve">civil </w:t>
      </w:r>
      <w:r w:rsidR="00150D0A" w:rsidRPr="00DF5070">
        <w:rPr>
          <w:rFonts w:ascii="Times New Roman" w:hAnsi="Times New Roman"/>
        </w:rPr>
        <w:t xml:space="preserve">penalty as </w:t>
      </w:r>
      <w:r w:rsidR="002E39B5" w:rsidRPr="00DF5070">
        <w:rPr>
          <w:rFonts w:ascii="Times New Roman" w:hAnsi="Times New Roman"/>
        </w:rPr>
        <w:t xml:space="preserve">providing </w:t>
      </w:r>
      <w:r w:rsidR="00150D0A" w:rsidRPr="00DF5070">
        <w:rPr>
          <w:rFonts w:ascii="Times New Roman" w:hAnsi="Times New Roman"/>
        </w:rPr>
        <w:t xml:space="preserve">a "yardstick" </w:t>
      </w:r>
      <w:r w:rsidR="002D606B" w:rsidRPr="00DF5070">
        <w:rPr>
          <w:rFonts w:ascii="Times New Roman" w:hAnsi="Times New Roman"/>
        </w:rPr>
        <w:t>according to</w:t>
      </w:r>
      <w:r w:rsidR="002E39B5" w:rsidRPr="00DF5070">
        <w:rPr>
          <w:rFonts w:ascii="Times New Roman" w:hAnsi="Times New Roman"/>
        </w:rPr>
        <w:t xml:space="preserve"> which the maximum </w:t>
      </w:r>
      <w:r w:rsidR="00E971F2" w:rsidRPr="00DF5070">
        <w:rPr>
          <w:rFonts w:ascii="Times New Roman" w:hAnsi="Times New Roman"/>
        </w:rPr>
        <w:t xml:space="preserve">may </w:t>
      </w:r>
      <w:r w:rsidR="00150D0A" w:rsidRPr="00DF5070">
        <w:rPr>
          <w:rFonts w:ascii="Times New Roman" w:hAnsi="Times New Roman"/>
        </w:rPr>
        <w:t xml:space="preserve">be imposed only in </w:t>
      </w:r>
      <w:r w:rsidR="002D606B" w:rsidRPr="00DF5070">
        <w:rPr>
          <w:rFonts w:ascii="Times New Roman" w:hAnsi="Times New Roman"/>
        </w:rPr>
        <w:t xml:space="preserve">a </w:t>
      </w:r>
      <w:r w:rsidR="00E971F2" w:rsidRPr="00DF5070">
        <w:rPr>
          <w:rFonts w:ascii="Times New Roman" w:hAnsi="Times New Roman"/>
        </w:rPr>
        <w:t xml:space="preserve">case </w:t>
      </w:r>
      <w:r w:rsidR="002D606B" w:rsidRPr="00DF5070">
        <w:rPr>
          <w:rFonts w:ascii="Times New Roman" w:hAnsi="Times New Roman"/>
        </w:rPr>
        <w:t xml:space="preserve">involving </w:t>
      </w:r>
      <w:r w:rsidR="00150D0A" w:rsidRPr="00DF5070">
        <w:rPr>
          <w:rFonts w:ascii="Times New Roman" w:hAnsi="Times New Roman"/>
        </w:rPr>
        <w:t>the worst category of</w:t>
      </w:r>
      <w:r w:rsidR="00E971F2" w:rsidRPr="00DF5070">
        <w:rPr>
          <w:rFonts w:ascii="Times New Roman" w:hAnsi="Times New Roman"/>
        </w:rPr>
        <w:t xml:space="preserve"> contravening conduct</w:t>
      </w:r>
      <w:r w:rsidR="00150D0A" w:rsidRPr="00DF5070">
        <w:rPr>
          <w:rFonts w:ascii="Times New Roman" w:hAnsi="Times New Roman"/>
        </w:rPr>
        <w:t xml:space="preserve">. </w:t>
      </w:r>
    </w:p>
    <w:p w14:paraId="5108BFD3" w14:textId="00BDC43F" w:rsidR="00705614" w:rsidRPr="00DF5070" w:rsidRDefault="009A4EF6"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1F1BE6" w:rsidRPr="00DF5070">
        <w:rPr>
          <w:rFonts w:ascii="Times New Roman" w:hAnsi="Times New Roman"/>
        </w:rPr>
        <w:t>The Commissioner's</w:t>
      </w:r>
      <w:r w:rsidR="0068222E" w:rsidRPr="00DF5070">
        <w:rPr>
          <w:rFonts w:ascii="Times New Roman" w:hAnsi="Times New Roman"/>
        </w:rPr>
        <w:t xml:space="preserve"> </w:t>
      </w:r>
      <w:r w:rsidR="006A33BF" w:rsidRPr="00DF5070">
        <w:rPr>
          <w:rFonts w:ascii="Times New Roman" w:hAnsi="Times New Roman"/>
        </w:rPr>
        <w:t xml:space="preserve">contentions </w:t>
      </w:r>
      <w:r w:rsidR="00CC01B0" w:rsidRPr="00DF5070">
        <w:rPr>
          <w:rFonts w:ascii="Times New Roman" w:hAnsi="Times New Roman"/>
        </w:rPr>
        <w:t xml:space="preserve">should </w:t>
      </w:r>
      <w:r w:rsidR="0068222E" w:rsidRPr="00DF5070">
        <w:rPr>
          <w:rFonts w:ascii="Times New Roman" w:hAnsi="Times New Roman"/>
        </w:rPr>
        <w:t xml:space="preserve">be </w:t>
      </w:r>
      <w:proofErr w:type="gramStart"/>
      <w:r w:rsidR="0068222E" w:rsidRPr="00DF5070">
        <w:rPr>
          <w:rFonts w:ascii="Times New Roman" w:hAnsi="Times New Roman"/>
        </w:rPr>
        <w:t>accepted</w:t>
      </w:r>
      <w:proofErr w:type="gramEnd"/>
      <w:r w:rsidR="0068222E" w:rsidRPr="00DF5070">
        <w:rPr>
          <w:rFonts w:ascii="Times New Roman" w:hAnsi="Times New Roman"/>
        </w:rPr>
        <w:t xml:space="preserve"> and the </w:t>
      </w:r>
      <w:r w:rsidR="00C73910" w:rsidRPr="00DF5070">
        <w:rPr>
          <w:rFonts w:ascii="Times New Roman" w:hAnsi="Times New Roman"/>
        </w:rPr>
        <w:t>appeal allowed.</w:t>
      </w:r>
      <w:r w:rsidR="001F1BE6" w:rsidRPr="00DF5070">
        <w:rPr>
          <w:rFonts w:ascii="Times New Roman" w:hAnsi="Times New Roman"/>
        </w:rPr>
        <w:t xml:space="preserve"> </w:t>
      </w:r>
      <w:r w:rsidR="00CC5518" w:rsidRPr="00DF5070">
        <w:rPr>
          <w:rFonts w:ascii="Times New Roman" w:hAnsi="Times New Roman"/>
        </w:rPr>
        <w:t>Under the civil penalty regime</w:t>
      </w:r>
      <w:r w:rsidR="00054416" w:rsidRPr="00DF5070">
        <w:rPr>
          <w:rFonts w:ascii="Times New Roman" w:hAnsi="Times New Roman"/>
        </w:rPr>
        <w:t xml:space="preserve"> </w:t>
      </w:r>
      <w:r w:rsidR="000526FC" w:rsidRPr="00DF5070">
        <w:rPr>
          <w:rFonts w:ascii="Times New Roman" w:hAnsi="Times New Roman"/>
        </w:rPr>
        <w:t>provided by</w:t>
      </w:r>
      <w:r w:rsidR="00054416" w:rsidRPr="00DF5070">
        <w:rPr>
          <w:rFonts w:ascii="Times New Roman" w:hAnsi="Times New Roman"/>
        </w:rPr>
        <w:t xml:space="preserve"> the Act,</w:t>
      </w:r>
      <w:r w:rsidR="00CC5518" w:rsidRPr="00DF5070">
        <w:rPr>
          <w:rFonts w:ascii="Times New Roman" w:hAnsi="Times New Roman"/>
        </w:rPr>
        <w:t xml:space="preserve"> the purpose of a </w:t>
      </w:r>
      <w:r w:rsidR="009B033C" w:rsidRPr="00DF5070">
        <w:rPr>
          <w:rFonts w:ascii="Times New Roman" w:hAnsi="Times New Roman"/>
        </w:rPr>
        <w:t xml:space="preserve">civil </w:t>
      </w:r>
      <w:r w:rsidR="00CC5518" w:rsidRPr="00DF5070">
        <w:rPr>
          <w:rFonts w:ascii="Times New Roman" w:hAnsi="Times New Roman"/>
        </w:rPr>
        <w:t>penalty is</w:t>
      </w:r>
      <w:r w:rsidR="000526FC" w:rsidRPr="00DF5070">
        <w:rPr>
          <w:rFonts w:ascii="Times New Roman" w:hAnsi="Times New Roman"/>
        </w:rPr>
        <w:t xml:space="preserve"> primarily, if not solely, </w:t>
      </w:r>
      <w:r w:rsidR="00BE45F8" w:rsidRPr="00DF5070">
        <w:rPr>
          <w:rFonts w:ascii="Times New Roman" w:hAnsi="Times New Roman"/>
        </w:rPr>
        <w:t>the promotion of the public interest in compliance</w:t>
      </w:r>
      <w:r w:rsidR="00DB3971" w:rsidRPr="00DF5070">
        <w:rPr>
          <w:rFonts w:ascii="Times New Roman" w:hAnsi="Times New Roman"/>
        </w:rPr>
        <w:t xml:space="preserve"> with the provisions of the Act by the deterrence of further contraventions of the Act</w:t>
      </w:r>
      <w:r w:rsidR="001A33BD" w:rsidRPr="00DF5070">
        <w:rPr>
          <w:rFonts w:ascii="Times New Roman" w:hAnsi="Times New Roman"/>
        </w:rPr>
        <w:t xml:space="preserve">. In that context, </w:t>
      </w:r>
      <w:r w:rsidR="000002FD" w:rsidRPr="00DF5070">
        <w:rPr>
          <w:rFonts w:ascii="Times New Roman" w:hAnsi="Times New Roman"/>
        </w:rPr>
        <w:t>t</w:t>
      </w:r>
      <w:r w:rsidR="00E01D9A" w:rsidRPr="00DF5070">
        <w:rPr>
          <w:rFonts w:ascii="Times New Roman" w:hAnsi="Times New Roman"/>
        </w:rPr>
        <w:t>he</w:t>
      </w:r>
      <w:r w:rsidR="00EF28B2" w:rsidRPr="00DF5070">
        <w:rPr>
          <w:rFonts w:ascii="Times New Roman" w:hAnsi="Times New Roman"/>
        </w:rPr>
        <w:t xml:space="preserve"> </w:t>
      </w:r>
      <w:r w:rsidR="00C855B8" w:rsidRPr="00DF5070">
        <w:rPr>
          <w:rFonts w:ascii="Times New Roman" w:hAnsi="Times New Roman"/>
        </w:rPr>
        <w:t xml:space="preserve">penalties </w:t>
      </w:r>
      <w:r w:rsidR="00E01D9A" w:rsidRPr="00DF5070">
        <w:rPr>
          <w:rFonts w:ascii="Times New Roman" w:hAnsi="Times New Roman"/>
        </w:rPr>
        <w:t>fixed by the primary judge</w:t>
      </w:r>
      <w:r w:rsidR="00EF28B2" w:rsidRPr="00DF5070">
        <w:rPr>
          <w:rFonts w:ascii="Times New Roman" w:hAnsi="Times New Roman"/>
        </w:rPr>
        <w:t xml:space="preserve"> </w:t>
      </w:r>
      <w:r w:rsidR="00C855B8" w:rsidRPr="00DF5070">
        <w:rPr>
          <w:rFonts w:ascii="Times New Roman" w:hAnsi="Times New Roman"/>
        </w:rPr>
        <w:t>were</w:t>
      </w:r>
      <w:r w:rsidR="00EF28B2" w:rsidRPr="00DF5070">
        <w:rPr>
          <w:rFonts w:ascii="Times New Roman" w:hAnsi="Times New Roman"/>
        </w:rPr>
        <w:t xml:space="preserve"> appropriate</w:t>
      </w:r>
      <w:r w:rsidR="000002FD" w:rsidRPr="00DF5070">
        <w:rPr>
          <w:rFonts w:ascii="Times New Roman" w:hAnsi="Times New Roman"/>
        </w:rPr>
        <w:t xml:space="preserve"> because</w:t>
      </w:r>
      <w:r w:rsidR="00EF28B2" w:rsidRPr="00DF5070">
        <w:rPr>
          <w:rFonts w:ascii="Times New Roman" w:hAnsi="Times New Roman"/>
        </w:rPr>
        <w:t xml:space="preserve"> </w:t>
      </w:r>
      <w:r w:rsidR="00E14449" w:rsidRPr="00DF5070">
        <w:rPr>
          <w:rFonts w:ascii="Times New Roman" w:hAnsi="Times New Roman"/>
        </w:rPr>
        <w:t>they were</w:t>
      </w:r>
      <w:r w:rsidR="00EF28B2" w:rsidRPr="00DF5070">
        <w:rPr>
          <w:rFonts w:ascii="Times New Roman" w:hAnsi="Times New Roman"/>
        </w:rPr>
        <w:t xml:space="preserve"> </w:t>
      </w:r>
      <w:r w:rsidR="00546232" w:rsidRPr="00DF5070">
        <w:rPr>
          <w:rFonts w:ascii="Times New Roman" w:hAnsi="Times New Roman"/>
        </w:rPr>
        <w:t xml:space="preserve">no more than might </w:t>
      </w:r>
      <w:proofErr w:type="gramStart"/>
      <w:r w:rsidR="00546232" w:rsidRPr="00DF5070">
        <w:rPr>
          <w:rFonts w:ascii="Times New Roman" w:hAnsi="Times New Roman"/>
        </w:rPr>
        <w:t>be considered to be</w:t>
      </w:r>
      <w:proofErr w:type="gramEnd"/>
      <w:r w:rsidR="00546232" w:rsidRPr="00DF5070">
        <w:rPr>
          <w:rFonts w:ascii="Times New Roman" w:hAnsi="Times New Roman"/>
        </w:rPr>
        <w:t xml:space="preserve"> reasonably necessary to deter further contraventions </w:t>
      </w:r>
      <w:r w:rsidR="0081087F" w:rsidRPr="00DF5070">
        <w:rPr>
          <w:rFonts w:ascii="Times New Roman" w:hAnsi="Times New Roman"/>
        </w:rPr>
        <w:t xml:space="preserve">of a like kind </w:t>
      </w:r>
      <w:r w:rsidR="000002FD" w:rsidRPr="00DF5070">
        <w:rPr>
          <w:rFonts w:ascii="Times New Roman" w:hAnsi="Times New Roman"/>
        </w:rPr>
        <w:t xml:space="preserve">by </w:t>
      </w:r>
      <w:r w:rsidR="007E6A05" w:rsidRPr="00DF5070">
        <w:rPr>
          <w:rFonts w:ascii="Times New Roman" w:hAnsi="Times New Roman"/>
        </w:rPr>
        <w:t xml:space="preserve">Mr Pattinson, </w:t>
      </w:r>
      <w:r w:rsidR="000002FD" w:rsidRPr="00DF5070">
        <w:rPr>
          <w:rFonts w:ascii="Times New Roman" w:hAnsi="Times New Roman"/>
        </w:rPr>
        <w:t>the CFMMEU</w:t>
      </w:r>
      <w:r w:rsidR="007E6A05" w:rsidRPr="00DF5070">
        <w:rPr>
          <w:rFonts w:ascii="Times New Roman" w:hAnsi="Times New Roman"/>
        </w:rPr>
        <w:t xml:space="preserve"> or others. </w:t>
      </w:r>
      <w:r w:rsidR="00F32043" w:rsidRPr="00DF5070">
        <w:rPr>
          <w:rFonts w:ascii="Times New Roman" w:hAnsi="Times New Roman"/>
        </w:rPr>
        <w:t xml:space="preserve">They represented </w:t>
      </w:r>
      <w:r w:rsidR="00F32966" w:rsidRPr="00DF5070">
        <w:rPr>
          <w:rFonts w:ascii="Times New Roman" w:hAnsi="Times New Roman"/>
        </w:rPr>
        <w:t>a reasonable assessment of what was necessary</w:t>
      </w:r>
      <w:r w:rsidR="00F32043" w:rsidRPr="00DF5070">
        <w:rPr>
          <w:rFonts w:ascii="Times New Roman" w:hAnsi="Times New Roman"/>
        </w:rPr>
        <w:t xml:space="preserve"> to make the continuation of </w:t>
      </w:r>
      <w:r w:rsidR="00546232" w:rsidRPr="00DF5070">
        <w:rPr>
          <w:rFonts w:ascii="Times New Roman" w:hAnsi="Times New Roman"/>
        </w:rPr>
        <w:t xml:space="preserve">the </w:t>
      </w:r>
      <w:r w:rsidR="00E14449" w:rsidRPr="00DF5070">
        <w:rPr>
          <w:rFonts w:ascii="Times New Roman" w:hAnsi="Times New Roman"/>
        </w:rPr>
        <w:t>CFMMEU's non</w:t>
      </w:r>
      <w:r w:rsidR="00074A94" w:rsidRPr="00DF5070">
        <w:rPr>
          <w:rFonts w:ascii="Times New Roman" w:hAnsi="Times New Roman"/>
        </w:rPr>
        <w:noBreakHyphen/>
      </w:r>
      <w:r w:rsidR="00E14449" w:rsidRPr="00DF5070">
        <w:rPr>
          <w:rFonts w:ascii="Times New Roman" w:hAnsi="Times New Roman"/>
        </w:rPr>
        <w:t>compliance</w:t>
      </w:r>
      <w:r w:rsidR="009E53CC" w:rsidRPr="00DF5070">
        <w:rPr>
          <w:rFonts w:ascii="Times New Roman" w:hAnsi="Times New Roman"/>
        </w:rPr>
        <w:t xml:space="preserve"> with the law</w:t>
      </w:r>
      <w:r w:rsidR="00F32043" w:rsidRPr="00DF5070">
        <w:rPr>
          <w:rFonts w:ascii="Times New Roman" w:hAnsi="Times New Roman"/>
        </w:rPr>
        <w:t>,</w:t>
      </w:r>
      <w:r w:rsidR="00E14449" w:rsidRPr="00DF5070">
        <w:rPr>
          <w:rFonts w:ascii="Times New Roman" w:hAnsi="Times New Roman"/>
        </w:rPr>
        <w:t xml:space="preserve"> </w:t>
      </w:r>
      <w:r w:rsidR="000E744B" w:rsidRPr="00DF5070">
        <w:rPr>
          <w:rFonts w:ascii="Times New Roman" w:hAnsi="Times New Roman"/>
        </w:rPr>
        <w:t>amply</w:t>
      </w:r>
      <w:r w:rsidR="00EF28B2" w:rsidRPr="00DF5070">
        <w:rPr>
          <w:rFonts w:ascii="Times New Roman" w:hAnsi="Times New Roman"/>
        </w:rPr>
        <w:t xml:space="preserve"> demonstrated by </w:t>
      </w:r>
      <w:r w:rsidR="00705614" w:rsidRPr="00DF5070">
        <w:rPr>
          <w:rFonts w:ascii="Times New Roman" w:hAnsi="Times New Roman"/>
        </w:rPr>
        <w:t>the</w:t>
      </w:r>
      <w:r w:rsidR="00EF28B2" w:rsidRPr="00DF5070">
        <w:rPr>
          <w:rFonts w:ascii="Times New Roman" w:hAnsi="Times New Roman"/>
        </w:rPr>
        <w:t xml:space="preserve"> history of</w:t>
      </w:r>
      <w:r w:rsidR="00F32966" w:rsidRPr="00DF5070">
        <w:rPr>
          <w:rFonts w:ascii="Times New Roman" w:hAnsi="Times New Roman"/>
        </w:rPr>
        <w:t xml:space="preserve"> its</w:t>
      </w:r>
      <w:r w:rsidR="00EF28B2" w:rsidRPr="00DF5070">
        <w:rPr>
          <w:rFonts w:ascii="Times New Roman" w:hAnsi="Times New Roman"/>
        </w:rPr>
        <w:t xml:space="preserve"> contraventions</w:t>
      </w:r>
      <w:r w:rsidR="00E14449" w:rsidRPr="00DF5070">
        <w:rPr>
          <w:rFonts w:ascii="Times New Roman" w:hAnsi="Times New Roman"/>
        </w:rPr>
        <w:t>, too expensive to maintain</w:t>
      </w:r>
      <w:r w:rsidR="00EF28B2" w:rsidRPr="00DF5070">
        <w:rPr>
          <w:rFonts w:ascii="Times New Roman" w:hAnsi="Times New Roman"/>
        </w:rPr>
        <w:t xml:space="preserve">. </w:t>
      </w:r>
    </w:p>
    <w:p w14:paraId="6D961391" w14:textId="53D58F83" w:rsidR="001F1BE6" w:rsidRPr="00DF5070" w:rsidRDefault="00705614"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EF28B2" w:rsidRPr="00DF5070">
        <w:rPr>
          <w:rFonts w:ascii="Times New Roman" w:hAnsi="Times New Roman"/>
        </w:rPr>
        <w:t>T</w:t>
      </w:r>
      <w:r w:rsidR="001F1BE6" w:rsidRPr="00DF5070">
        <w:rPr>
          <w:rFonts w:ascii="Times New Roman" w:hAnsi="Times New Roman"/>
        </w:rPr>
        <w:t>he Full Court</w:t>
      </w:r>
      <w:r w:rsidR="00E14449" w:rsidRPr="00DF5070">
        <w:rPr>
          <w:rFonts w:ascii="Times New Roman" w:hAnsi="Times New Roman"/>
        </w:rPr>
        <w:t>'s critical error was that it</w:t>
      </w:r>
      <w:r w:rsidR="001F1BE6" w:rsidRPr="00DF5070">
        <w:rPr>
          <w:rFonts w:ascii="Times New Roman" w:hAnsi="Times New Roman"/>
        </w:rPr>
        <w:t xml:space="preserve"> </w:t>
      </w:r>
      <w:r w:rsidRPr="00DF5070">
        <w:rPr>
          <w:rFonts w:ascii="Times New Roman" w:hAnsi="Times New Roman"/>
        </w:rPr>
        <w:t>was</w:t>
      </w:r>
      <w:r w:rsidR="001F1BE6" w:rsidRPr="00DF5070">
        <w:rPr>
          <w:rFonts w:ascii="Times New Roman" w:hAnsi="Times New Roman"/>
        </w:rPr>
        <w:t xml:space="preserve"> distracted by </w:t>
      </w:r>
      <w:r w:rsidRPr="00DF5070">
        <w:rPr>
          <w:rFonts w:ascii="Times New Roman" w:hAnsi="Times New Roman"/>
        </w:rPr>
        <w:t>a</w:t>
      </w:r>
      <w:r w:rsidR="00510E59" w:rsidRPr="00DF5070">
        <w:rPr>
          <w:rFonts w:ascii="Times New Roman" w:hAnsi="Times New Roman"/>
        </w:rPr>
        <w:t xml:space="preserve"> </w:t>
      </w:r>
      <w:r w:rsidR="001F1BE6" w:rsidRPr="00DF5070">
        <w:rPr>
          <w:rFonts w:ascii="Times New Roman" w:hAnsi="Times New Roman"/>
        </w:rPr>
        <w:t>concern</w:t>
      </w:r>
      <w:r w:rsidR="00DA72EE" w:rsidRPr="00DF5070">
        <w:rPr>
          <w:rFonts w:ascii="Times New Roman" w:hAnsi="Times New Roman"/>
        </w:rPr>
        <w:t>, drawn from the criminal law,</w:t>
      </w:r>
      <w:r w:rsidR="001F1BE6" w:rsidRPr="00DF5070">
        <w:rPr>
          <w:rFonts w:ascii="Times New Roman" w:hAnsi="Times New Roman"/>
        </w:rPr>
        <w:t xml:space="preserve"> that </w:t>
      </w:r>
      <w:r w:rsidR="004D5EC7" w:rsidRPr="00DF5070">
        <w:rPr>
          <w:rFonts w:ascii="Times New Roman" w:hAnsi="Times New Roman"/>
        </w:rPr>
        <w:t>a</w:t>
      </w:r>
      <w:r w:rsidR="001F1BE6" w:rsidRPr="00DF5070">
        <w:rPr>
          <w:rFonts w:ascii="Times New Roman" w:hAnsi="Times New Roman"/>
        </w:rPr>
        <w:t xml:space="preserve"> penalty must be proportionate to the </w:t>
      </w:r>
      <w:r w:rsidR="00200C28" w:rsidRPr="00DF5070">
        <w:rPr>
          <w:rFonts w:ascii="Times New Roman" w:hAnsi="Times New Roman"/>
        </w:rPr>
        <w:t>seriousness</w:t>
      </w:r>
      <w:r w:rsidR="001F1BE6" w:rsidRPr="00DF5070">
        <w:rPr>
          <w:rFonts w:ascii="Times New Roman" w:hAnsi="Times New Roman"/>
        </w:rPr>
        <w:t xml:space="preserve"> of </w:t>
      </w:r>
      <w:r w:rsidR="007D0B1A" w:rsidRPr="00DF5070">
        <w:rPr>
          <w:rFonts w:ascii="Times New Roman" w:hAnsi="Times New Roman"/>
        </w:rPr>
        <w:t>the</w:t>
      </w:r>
      <w:r w:rsidR="001F1BE6" w:rsidRPr="00DF5070">
        <w:rPr>
          <w:rFonts w:ascii="Times New Roman" w:hAnsi="Times New Roman"/>
        </w:rPr>
        <w:t xml:space="preserve"> </w:t>
      </w:r>
      <w:r w:rsidR="00200C28" w:rsidRPr="00DF5070">
        <w:rPr>
          <w:rFonts w:ascii="Times New Roman" w:hAnsi="Times New Roman"/>
        </w:rPr>
        <w:t>conduct</w:t>
      </w:r>
      <w:r w:rsidR="00DA72EE" w:rsidRPr="00DF5070">
        <w:rPr>
          <w:rFonts w:ascii="Times New Roman" w:hAnsi="Times New Roman"/>
        </w:rPr>
        <w:t xml:space="preserve"> </w:t>
      </w:r>
      <w:r w:rsidR="001E01B7" w:rsidRPr="00DF5070">
        <w:rPr>
          <w:rFonts w:ascii="Times New Roman" w:hAnsi="Times New Roman"/>
        </w:rPr>
        <w:t>that constituted</w:t>
      </w:r>
      <w:r w:rsidR="00DA72EE" w:rsidRPr="00DF5070">
        <w:rPr>
          <w:rFonts w:ascii="Times New Roman" w:hAnsi="Times New Roman"/>
        </w:rPr>
        <w:t xml:space="preserve"> the </w:t>
      </w:r>
      <w:r w:rsidR="001F1BE6" w:rsidRPr="00DF5070">
        <w:rPr>
          <w:rFonts w:ascii="Times New Roman" w:hAnsi="Times New Roman"/>
        </w:rPr>
        <w:t>contravention</w:t>
      </w:r>
      <w:r w:rsidR="001E01B7" w:rsidRPr="00DF5070">
        <w:rPr>
          <w:rFonts w:ascii="Times New Roman" w:hAnsi="Times New Roman"/>
        </w:rPr>
        <w:t xml:space="preserve">. </w:t>
      </w:r>
      <w:r w:rsidR="00A052AC" w:rsidRPr="00DF5070">
        <w:rPr>
          <w:rFonts w:ascii="Times New Roman" w:hAnsi="Times New Roman"/>
        </w:rPr>
        <w:t>The power conferred by s 546 of the Act is not subject to constraints drawn from the criminal law</w:t>
      </w:r>
      <w:r w:rsidR="009B033C" w:rsidRPr="00DF5070">
        <w:rPr>
          <w:rFonts w:ascii="Times New Roman" w:hAnsi="Times New Roman"/>
        </w:rPr>
        <w:t xml:space="preserve"> and there is no place for a </w:t>
      </w:r>
      <w:r w:rsidR="009C19C4" w:rsidRPr="00DF5070">
        <w:rPr>
          <w:rFonts w:ascii="Times New Roman" w:hAnsi="Times New Roman"/>
        </w:rPr>
        <w:t>"</w:t>
      </w:r>
      <w:r w:rsidR="009B033C" w:rsidRPr="00DF5070">
        <w:rPr>
          <w:rFonts w:ascii="Times New Roman" w:hAnsi="Times New Roman"/>
        </w:rPr>
        <w:t>notion of proportionality", in the sense in which the Full Court used that term, in a civil penalty regime</w:t>
      </w:r>
      <w:r w:rsidR="00A052AC" w:rsidRPr="00DF5070">
        <w:rPr>
          <w:rFonts w:ascii="Times New Roman" w:hAnsi="Times New Roman"/>
        </w:rPr>
        <w:t xml:space="preserve">. </w:t>
      </w:r>
      <w:r w:rsidR="00E14449" w:rsidRPr="00DF5070">
        <w:rPr>
          <w:rFonts w:ascii="Times New Roman" w:hAnsi="Times New Roman"/>
        </w:rPr>
        <w:t>Further, and relatedly</w:t>
      </w:r>
      <w:r w:rsidR="001E01B7" w:rsidRPr="00DF5070">
        <w:rPr>
          <w:rFonts w:ascii="Times New Roman" w:hAnsi="Times New Roman"/>
        </w:rPr>
        <w:t>, their Honours</w:t>
      </w:r>
      <w:r w:rsidR="00937560" w:rsidRPr="00DF5070">
        <w:rPr>
          <w:rFonts w:ascii="Times New Roman" w:hAnsi="Times New Roman"/>
        </w:rPr>
        <w:t xml:space="preserve"> were </w:t>
      </w:r>
      <w:r w:rsidR="0028370F" w:rsidRPr="00DF5070">
        <w:rPr>
          <w:rFonts w:ascii="Times New Roman" w:hAnsi="Times New Roman"/>
        </w:rPr>
        <w:t xml:space="preserve">misled by the view </w:t>
      </w:r>
      <w:r w:rsidR="001F1BE6" w:rsidRPr="00DF5070">
        <w:rPr>
          <w:rFonts w:ascii="Times New Roman" w:hAnsi="Times New Roman"/>
        </w:rPr>
        <w:t xml:space="preserve">that the </w:t>
      </w:r>
      <w:r w:rsidR="000E662A" w:rsidRPr="00DF5070">
        <w:rPr>
          <w:rFonts w:ascii="Times New Roman" w:hAnsi="Times New Roman"/>
        </w:rPr>
        <w:t>Act required</w:t>
      </w:r>
      <w:r w:rsidR="007E6CA2" w:rsidRPr="00DF5070">
        <w:rPr>
          <w:rFonts w:ascii="Times New Roman" w:hAnsi="Times New Roman"/>
        </w:rPr>
        <w:t xml:space="preserve"> </w:t>
      </w:r>
      <w:r w:rsidR="009B033C" w:rsidRPr="00DF5070">
        <w:rPr>
          <w:rFonts w:ascii="Times New Roman" w:hAnsi="Times New Roman"/>
        </w:rPr>
        <w:t xml:space="preserve">that </w:t>
      </w:r>
      <w:r w:rsidR="001F1BE6" w:rsidRPr="00DF5070">
        <w:rPr>
          <w:rFonts w:ascii="Times New Roman" w:hAnsi="Times New Roman"/>
        </w:rPr>
        <w:t xml:space="preserve">the maximum penalty be reserved for </w:t>
      </w:r>
      <w:r w:rsidR="009B033C" w:rsidRPr="00DF5070">
        <w:rPr>
          <w:rFonts w:ascii="Times New Roman" w:hAnsi="Times New Roman"/>
        </w:rPr>
        <w:t xml:space="preserve">only </w:t>
      </w:r>
      <w:r w:rsidR="001F1BE6" w:rsidRPr="00DF5070">
        <w:rPr>
          <w:rFonts w:ascii="Times New Roman" w:hAnsi="Times New Roman"/>
        </w:rPr>
        <w:t>the most serious examples of</w:t>
      </w:r>
      <w:r w:rsidR="004B4FD6" w:rsidRPr="00DF5070">
        <w:rPr>
          <w:rFonts w:ascii="Times New Roman" w:hAnsi="Times New Roman"/>
        </w:rPr>
        <w:t xml:space="preserve"> </w:t>
      </w:r>
      <w:r w:rsidR="00555F75" w:rsidRPr="00DF5070">
        <w:rPr>
          <w:rFonts w:ascii="Times New Roman" w:hAnsi="Times New Roman"/>
        </w:rPr>
        <w:t>the</w:t>
      </w:r>
      <w:r w:rsidR="004B4FD6" w:rsidRPr="00DF5070">
        <w:rPr>
          <w:rFonts w:ascii="Times New Roman" w:hAnsi="Times New Roman"/>
        </w:rPr>
        <w:t xml:space="preserve"> offending</w:t>
      </w:r>
      <w:r w:rsidR="00555F75" w:rsidRPr="00DF5070">
        <w:rPr>
          <w:rFonts w:ascii="Times New Roman" w:hAnsi="Times New Roman"/>
        </w:rPr>
        <w:t xml:space="preserve"> comprehended by s 349(1)</w:t>
      </w:r>
      <w:r w:rsidR="00F31CDF" w:rsidRPr="00DF5070">
        <w:rPr>
          <w:rFonts w:ascii="Times New Roman" w:hAnsi="Times New Roman"/>
        </w:rPr>
        <w:t xml:space="preserve">, </w:t>
      </w:r>
      <w:r w:rsidR="009B033C" w:rsidRPr="00DF5070">
        <w:rPr>
          <w:rFonts w:ascii="Times New Roman" w:hAnsi="Times New Roman"/>
        </w:rPr>
        <w:t>and that this principle could prevent the court from imposing</w:t>
      </w:r>
      <w:r w:rsidR="0007773B" w:rsidRPr="00DF5070">
        <w:rPr>
          <w:rFonts w:ascii="Times New Roman" w:hAnsi="Times New Roman"/>
        </w:rPr>
        <w:t xml:space="preserve"> </w:t>
      </w:r>
      <w:r w:rsidR="00751136" w:rsidRPr="00DF5070">
        <w:rPr>
          <w:rFonts w:ascii="Times New Roman" w:hAnsi="Times New Roman"/>
        </w:rPr>
        <w:t>the maximum penalty</w:t>
      </w:r>
      <w:r w:rsidR="00077B17" w:rsidRPr="00DF5070">
        <w:rPr>
          <w:rFonts w:ascii="Times New Roman" w:hAnsi="Times New Roman"/>
        </w:rPr>
        <w:t xml:space="preserve"> </w:t>
      </w:r>
      <w:r w:rsidR="0007773B" w:rsidRPr="00DF5070">
        <w:rPr>
          <w:rFonts w:ascii="Times New Roman" w:hAnsi="Times New Roman"/>
        </w:rPr>
        <w:lastRenderedPageBreak/>
        <w:t>even though a penalty in that amount might</w:t>
      </w:r>
      <w:r w:rsidR="00077B17" w:rsidRPr="00DF5070">
        <w:rPr>
          <w:rFonts w:ascii="Times New Roman" w:hAnsi="Times New Roman"/>
        </w:rPr>
        <w:t xml:space="preserve"> reasonably be considered to be necessary to deter future contraventions</w:t>
      </w:r>
      <w:r w:rsidR="00F3554B" w:rsidRPr="00DF5070">
        <w:rPr>
          <w:rFonts w:ascii="Times New Roman" w:hAnsi="Times New Roman"/>
        </w:rPr>
        <w:t xml:space="preserve"> of a like kind</w:t>
      </w:r>
      <w:r w:rsidR="00077B17" w:rsidRPr="00DF5070">
        <w:rPr>
          <w:rFonts w:ascii="Times New Roman" w:hAnsi="Times New Roman"/>
        </w:rPr>
        <w:t>.</w:t>
      </w:r>
      <w:r w:rsidR="00506DF6" w:rsidRPr="00DF5070">
        <w:rPr>
          <w:rFonts w:ascii="Times New Roman" w:hAnsi="Times New Roman"/>
        </w:rPr>
        <w:t xml:space="preserve"> </w:t>
      </w:r>
      <w:r w:rsidR="00AD15C4" w:rsidRPr="00DF5070">
        <w:rPr>
          <w:rFonts w:ascii="Times New Roman" w:hAnsi="Times New Roman"/>
        </w:rPr>
        <w:t>N</w:t>
      </w:r>
      <w:r w:rsidR="00185A72" w:rsidRPr="00DF5070">
        <w:rPr>
          <w:rFonts w:ascii="Times New Roman" w:hAnsi="Times New Roman"/>
        </w:rPr>
        <w:t>othing in the text</w:t>
      </w:r>
      <w:r w:rsidR="00E14449" w:rsidRPr="00DF5070">
        <w:rPr>
          <w:rFonts w:ascii="Times New Roman" w:hAnsi="Times New Roman"/>
        </w:rPr>
        <w:t xml:space="preserve">, </w:t>
      </w:r>
      <w:r w:rsidR="00185A72" w:rsidRPr="00DF5070">
        <w:rPr>
          <w:rFonts w:ascii="Times New Roman" w:hAnsi="Times New Roman"/>
        </w:rPr>
        <w:t>context</w:t>
      </w:r>
      <w:r w:rsidR="00185A72" w:rsidRPr="00DF5070">
        <w:rPr>
          <w:rFonts w:ascii="Times New Roman" w:hAnsi="Times New Roman"/>
          <w:b/>
          <w:bCs/>
        </w:rPr>
        <w:t xml:space="preserve"> </w:t>
      </w:r>
      <w:r w:rsidR="00CC3CCA" w:rsidRPr="00DF5070">
        <w:rPr>
          <w:rFonts w:ascii="Times New Roman" w:hAnsi="Times New Roman"/>
        </w:rPr>
        <w:t xml:space="preserve">or purpose </w:t>
      </w:r>
      <w:r w:rsidR="00185A72" w:rsidRPr="00DF5070">
        <w:rPr>
          <w:rFonts w:ascii="Times New Roman" w:hAnsi="Times New Roman"/>
        </w:rPr>
        <w:t>of s 546 requires that the maximum penalty be reserved for the most serious examples of misconduct within s 349(1).</w:t>
      </w:r>
      <w:r w:rsidR="001D4D28" w:rsidRPr="00DF5070">
        <w:rPr>
          <w:rFonts w:ascii="Times New Roman" w:hAnsi="Times New Roman"/>
        </w:rPr>
        <w:t xml:space="preserve"> What is required</w:t>
      </w:r>
      <w:r w:rsidR="00C66DFC" w:rsidRPr="00DF5070">
        <w:rPr>
          <w:rFonts w:ascii="Times New Roman" w:hAnsi="Times New Roman"/>
        </w:rPr>
        <w:t xml:space="preserve"> is that there be "some reasonable relationship between the theoretical maximum and the final penalty imposed"</w:t>
      </w:r>
      <w:r w:rsidR="00C66DFC" w:rsidRPr="00DF5070">
        <w:rPr>
          <w:rStyle w:val="FootnoteReference"/>
          <w:rFonts w:ascii="Times New Roman" w:hAnsi="Times New Roman"/>
          <w:sz w:val="24"/>
        </w:rPr>
        <w:footnoteReference w:id="10"/>
      </w:r>
      <w:r w:rsidR="003A62DC" w:rsidRPr="00DF5070">
        <w:rPr>
          <w:rFonts w:ascii="Times New Roman" w:hAnsi="Times New Roman"/>
        </w:rPr>
        <w:t xml:space="preserve">. </w:t>
      </w:r>
      <w:r w:rsidR="00416AAE" w:rsidRPr="00DF5070">
        <w:rPr>
          <w:rFonts w:ascii="Times New Roman" w:hAnsi="Times New Roman"/>
        </w:rPr>
        <w:t>T</w:t>
      </w:r>
      <w:r w:rsidR="003A62DC" w:rsidRPr="00DF5070">
        <w:rPr>
          <w:rFonts w:ascii="Times New Roman" w:hAnsi="Times New Roman"/>
        </w:rPr>
        <w:t xml:space="preserve">hat relationship </w:t>
      </w:r>
      <w:r w:rsidR="00416AAE" w:rsidRPr="00DF5070">
        <w:rPr>
          <w:rFonts w:ascii="Times New Roman" w:hAnsi="Times New Roman"/>
        </w:rPr>
        <w:t>is established</w:t>
      </w:r>
      <w:r w:rsidR="003A62DC" w:rsidRPr="00DF5070">
        <w:rPr>
          <w:rFonts w:ascii="Times New Roman" w:hAnsi="Times New Roman"/>
        </w:rPr>
        <w:t xml:space="preserve"> where the </w:t>
      </w:r>
      <w:r w:rsidR="006E7DB7" w:rsidRPr="00DF5070">
        <w:rPr>
          <w:rFonts w:ascii="Times New Roman" w:hAnsi="Times New Roman"/>
        </w:rPr>
        <w:t>maximum</w:t>
      </w:r>
      <w:r w:rsidR="003A62DC" w:rsidRPr="00DF5070">
        <w:rPr>
          <w:rFonts w:ascii="Times New Roman" w:hAnsi="Times New Roman"/>
        </w:rPr>
        <w:t xml:space="preserve"> penalty does not</w:t>
      </w:r>
      <w:r w:rsidR="00E935C8" w:rsidRPr="00DF5070">
        <w:rPr>
          <w:rFonts w:ascii="Times New Roman" w:hAnsi="Times New Roman"/>
        </w:rPr>
        <w:t xml:space="preserve"> exceed what is reasonably necessary to </w:t>
      </w:r>
      <w:r w:rsidR="009579D3" w:rsidRPr="00DF5070">
        <w:rPr>
          <w:rFonts w:ascii="Times New Roman" w:hAnsi="Times New Roman"/>
        </w:rPr>
        <w:t xml:space="preserve">achieve the purpose of s 546: the </w:t>
      </w:r>
      <w:r w:rsidR="00E935C8" w:rsidRPr="00DF5070">
        <w:rPr>
          <w:rFonts w:ascii="Times New Roman" w:hAnsi="Times New Roman"/>
        </w:rPr>
        <w:t>deter</w:t>
      </w:r>
      <w:r w:rsidR="009579D3" w:rsidRPr="00DF5070">
        <w:rPr>
          <w:rFonts w:ascii="Times New Roman" w:hAnsi="Times New Roman"/>
        </w:rPr>
        <w:t>rence of</w:t>
      </w:r>
      <w:r w:rsidR="00E935C8" w:rsidRPr="00DF5070">
        <w:rPr>
          <w:rFonts w:ascii="Times New Roman" w:hAnsi="Times New Roman"/>
        </w:rPr>
        <w:t xml:space="preserve"> future con</w:t>
      </w:r>
      <w:r w:rsidR="00023E95" w:rsidRPr="00DF5070">
        <w:rPr>
          <w:rFonts w:ascii="Times New Roman" w:hAnsi="Times New Roman"/>
        </w:rPr>
        <w:t>t</w:t>
      </w:r>
      <w:r w:rsidR="00E935C8" w:rsidRPr="00DF5070">
        <w:rPr>
          <w:rFonts w:ascii="Times New Roman" w:hAnsi="Times New Roman"/>
        </w:rPr>
        <w:t>raventions</w:t>
      </w:r>
      <w:r w:rsidR="006E7DB7" w:rsidRPr="00DF5070">
        <w:rPr>
          <w:rFonts w:ascii="Times New Roman" w:hAnsi="Times New Roman"/>
        </w:rPr>
        <w:t xml:space="preserve"> </w:t>
      </w:r>
      <w:r w:rsidR="00F3554B" w:rsidRPr="00DF5070">
        <w:rPr>
          <w:rFonts w:ascii="Times New Roman" w:hAnsi="Times New Roman"/>
        </w:rPr>
        <w:t xml:space="preserve">of a like kind </w:t>
      </w:r>
      <w:r w:rsidR="006E7DB7" w:rsidRPr="00DF5070">
        <w:rPr>
          <w:rFonts w:ascii="Times New Roman" w:hAnsi="Times New Roman"/>
        </w:rPr>
        <w:t xml:space="preserve">by the </w:t>
      </w:r>
      <w:proofErr w:type="spellStart"/>
      <w:r w:rsidR="006E7DB7" w:rsidRPr="00DF5070">
        <w:rPr>
          <w:rFonts w:ascii="Times New Roman" w:hAnsi="Times New Roman"/>
        </w:rPr>
        <w:t>contraven</w:t>
      </w:r>
      <w:r w:rsidR="007E6925" w:rsidRPr="00DF5070">
        <w:rPr>
          <w:rFonts w:ascii="Times New Roman" w:hAnsi="Times New Roman"/>
        </w:rPr>
        <w:t>o</w:t>
      </w:r>
      <w:r w:rsidR="006E7DB7" w:rsidRPr="00DF5070">
        <w:rPr>
          <w:rFonts w:ascii="Times New Roman" w:hAnsi="Times New Roman"/>
        </w:rPr>
        <w:t>r</w:t>
      </w:r>
      <w:proofErr w:type="spellEnd"/>
      <w:r w:rsidR="009579D3" w:rsidRPr="00DF5070">
        <w:rPr>
          <w:rFonts w:ascii="Times New Roman" w:hAnsi="Times New Roman"/>
        </w:rPr>
        <w:t xml:space="preserve"> and by others</w:t>
      </w:r>
      <w:r w:rsidR="00E935C8" w:rsidRPr="00DF5070">
        <w:rPr>
          <w:rStyle w:val="FootnoteReference"/>
          <w:rFonts w:ascii="Times New Roman" w:hAnsi="Times New Roman"/>
          <w:sz w:val="24"/>
        </w:rPr>
        <w:footnoteReference w:id="11"/>
      </w:r>
      <w:r w:rsidR="00023E95" w:rsidRPr="00DF5070">
        <w:rPr>
          <w:rFonts w:ascii="Times New Roman" w:hAnsi="Times New Roman"/>
        </w:rPr>
        <w:t>.</w:t>
      </w:r>
    </w:p>
    <w:p w14:paraId="5E919AA0" w14:textId="3F085672" w:rsidR="009C5B06" w:rsidRPr="00DF5070" w:rsidRDefault="00663D69"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9C5B06" w:rsidRPr="00DF5070">
        <w:rPr>
          <w:rFonts w:ascii="Times New Roman" w:hAnsi="Times New Roman"/>
        </w:rPr>
        <w:t xml:space="preserve">Before turning to </w:t>
      </w:r>
      <w:r w:rsidR="00E16D7F" w:rsidRPr="00DF5070">
        <w:rPr>
          <w:rFonts w:ascii="Times New Roman" w:hAnsi="Times New Roman"/>
        </w:rPr>
        <w:t xml:space="preserve">discuss </w:t>
      </w:r>
      <w:r w:rsidR="009466DB" w:rsidRPr="00DF5070">
        <w:rPr>
          <w:rFonts w:ascii="Times New Roman" w:hAnsi="Times New Roman"/>
        </w:rPr>
        <w:t>the reasons of the primary judge and the Full Court</w:t>
      </w:r>
      <w:r w:rsidR="00E16D7F" w:rsidRPr="00DF5070">
        <w:rPr>
          <w:rFonts w:ascii="Times New Roman" w:hAnsi="Times New Roman"/>
        </w:rPr>
        <w:t xml:space="preserve"> in more detail,</w:t>
      </w:r>
      <w:r w:rsidR="009C5B06" w:rsidRPr="00DF5070">
        <w:rPr>
          <w:rFonts w:ascii="Times New Roman" w:hAnsi="Times New Roman"/>
        </w:rPr>
        <w:t xml:space="preserve"> it is desirable first to </w:t>
      </w:r>
      <w:r w:rsidR="00184579" w:rsidRPr="00DF5070">
        <w:rPr>
          <w:rFonts w:ascii="Times New Roman" w:hAnsi="Times New Roman"/>
        </w:rPr>
        <w:t>set out</w:t>
      </w:r>
      <w:r w:rsidR="009C5B06" w:rsidRPr="00DF5070">
        <w:rPr>
          <w:rFonts w:ascii="Times New Roman" w:hAnsi="Times New Roman"/>
        </w:rPr>
        <w:t xml:space="preserve"> the civil penalty provisions of the Act</w:t>
      </w:r>
      <w:r w:rsidR="009579D3" w:rsidRPr="00DF5070">
        <w:rPr>
          <w:rFonts w:ascii="Times New Roman" w:hAnsi="Times New Roman"/>
        </w:rPr>
        <w:t>,</w:t>
      </w:r>
      <w:r w:rsidR="00043E4B" w:rsidRPr="00DF5070">
        <w:rPr>
          <w:rFonts w:ascii="Times New Roman" w:hAnsi="Times New Roman"/>
        </w:rPr>
        <w:t xml:space="preserve"> and</w:t>
      </w:r>
      <w:r w:rsidR="00184579" w:rsidRPr="00DF5070">
        <w:rPr>
          <w:rFonts w:ascii="Times New Roman" w:hAnsi="Times New Roman"/>
        </w:rPr>
        <w:t xml:space="preserve"> to </w:t>
      </w:r>
      <w:r w:rsidR="00063A08" w:rsidRPr="00DF5070">
        <w:rPr>
          <w:rFonts w:ascii="Times New Roman" w:hAnsi="Times New Roman"/>
        </w:rPr>
        <w:t>refer to</w:t>
      </w:r>
      <w:r w:rsidR="00043E4B" w:rsidRPr="00DF5070">
        <w:rPr>
          <w:rFonts w:ascii="Times New Roman" w:hAnsi="Times New Roman"/>
        </w:rPr>
        <w:t xml:space="preserve"> the</w:t>
      </w:r>
      <w:r w:rsidR="00036D0B" w:rsidRPr="00DF5070">
        <w:rPr>
          <w:rFonts w:ascii="Times New Roman" w:hAnsi="Times New Roman"/>
        </w:rPr>
        <w:t xml:space="preserve"> autho</w:t>
      </w:r>
      <w:r w:rsidR="0053252A" w:rsidRPr="00DF5070">
        <w:rPr>
          <w:rFonts w:ascii="Times New Roman" w:hAnsi="Times New Roman"/>
        </w:rPr>
        <w:t>ritative and</w:t>
      </w:r>
      <w:r w:rsidR="00184579" w:rsidRPr="00DF5070">
        <w:rPr>
          <w:rFonts w:ascii="Times New Roman" w:hAnsi="Times New Roman"/>
        </w:rPr>
        <w:t xml:space="preserve"> uncontroversial</w:t>
      </w:r>
      <w:r w:rsidR="00043E4B" w:rsidRPr="00DF5070">
        <w:rPr>
          <w:rFonts w:ascii="Times New Roman" w:hAnsi="Times New Roman"/>
        </w:rPr>
        <w:t xml:space="preserve"> judicial exegesis of those</w:t>
      </w:r>
      <w:r w:rsidR="00063A08" w:rsidRPr="00DF5070">
        <w:rPr>
          <w:rFonts w:ascii="Times New Roman" w:hAnsi="Times New Roman"/>
        </w:rPr>
        <w:t xml:space="preserve"> provisions</w:t>
      </w:r>
      <w:r w:rsidR="009A7C81" w:rsidRPr="00DF5070">
        <w:rPr>
          <w:rFonts w:ascii="Times New Roman" w:hAnsi="Times New Roman"/>
        </w:rPr>
        <w:t xml:space="preserve"> </w:t>
      </w:r>
      <w:r w:rsidR="00C1015C" w:rsidRPr="00DF5070">
        <w:rPr>
          <w:rFonts w:ascii="Times New Roman" w:hAnsi="Times New Roman"/>
        </w:rPr>
        <w:t xml:space="preserve">and </w:t>
      </w:r>
      <w:r w:rsidR="009A7C81" w:rsidRPr="00DF5070">
        <w:rPr>
          <w:rFonts w:ascii="Times New Roman" w:hAnsi="Times New Roman"/>
        </w:rPr>
        <w:t xml:space="preserve">analogous </w:t>
      </w:r>
      <w:r w:rsidR="003D0C7B" w:rsidRPr="00DF5070">
        <w:rPr>
          <w:rFonts w:ascii="Times New Roman" w:hAnsi="Times New Roman"/>
        </w:rPr>
        <w:t xml:space="preserve">civil penalty </w:t>
      </w:r>
      <w:r w:rsidR="009A7C81" w:rsidRPr="00DF5070">
        <w:rPr>
          <w:rFonts w:ascii="Times New Roman" w:hAnsi="Times New Roman"/>
        </w:rPr>
        <w:t>provisions in other Commonwealth legislation.</w:t>
      </w:r>
    </w:p>
    <w:p w14:paraId="32D98AEF" w14:textId="364DDF01" w:rsidR="009C5B06" w:rsidRPr="00DF5070" w:rsidRDefault="00F50D11" w:rsidP="00DF5070">
      <w:pPr>
        <w:pStyle w:val="HeadingL1"/>
        <w:spacing w:after="260" w:line="280" w:lineRule="exact"/>
        <w:ind w:right="0"/>
        <w:jc w:val="both"/>
        <w:rPr>
          <w:rFonts w:ascii="Times New Roman" w:hAnsi="Times New Roman"/>
        </w:rPr>
      </w:pPr>
      <w:r w:rsidRPr="00DF5070">
        <w:rPr>
          <w:rFonts w:ascii="Times New Roman" w:hAnsi="Times New Roman"/>
        </w:rPr>
        <w:t>Civil penalties pursuant to s </w:t>
      </w:r>
      <w:r w:rsidR="009C5B06" w:rsidRPr="00DF5070">
        <w:rPr>
          <w:rFonts w:ascii="Times New Roman" w:hAnsi="Times New Roman"/>
        </w:rPr>
        <w:t>546 of the Act</w:t>
      </w:r>
    </w:p>
    <w:p w14:paraId="2B423A47" w14:textId="0AD17CCC" w:rsidR="00D3638C" w:rsidRPr="00DF5070" w:rsidRDefault="00D62D78" w:rsidP="00DF5070">
      <w:pPr>
        <w:pStyle w:val="FixListStyle"/>
        <w:spacing w:after="260" w:line="280" w:lineRule="exact"/>
        <w:ind w:right="0"/>
        <w:jc w:val="both"/>
        <w:rPr>
          <w:rFonts w:ascii="Times New Roman" w:hAnsi="Times New Roman"/>
        </w:rPr>
      </w:pPr>
      <w:r w:rsidRPr="00DF5070">
        <w:rPr>
          <w:rFonts w:ascii="Times New Roman" w:hAnsi="Times New Roman"/>
        </w:rPr>
        <w:tab/>
        <w:t>Section</w:t>
      </w:r>
      <w:r w:rsidR="00912646" w:rsidRPr="00DF5070">
        <w:rPr>
          <w:rFonts w:ascii="Times New Roman" w:hAnsi="Times New Roman"/>
        </w:rPr>
        <w:t> </w:t>
      </w:r>
      <w:r w:rsidRPr="00DF5070">
        <w:rPr>
          <w:rFonts w:ascii="Times New Roman" w:hAnsi="Times New Roman"/>
        </w:rPr>
        <w:t>546</w:t>
      </w:r>
      <w:r w:rsidR="00751532" w:rsidRPr="00DF5070">
        <w:rPr>
          <w:rFonts w:ascii="Times New Roman" w:hAnsi="Times New Roman"/>
        </w:rPr>
        <w:t>(1)</w:t>
      </w:r>
      <w:r w:rsidRPr="00DF5070">
        <w:rPr>
          <w:rFonts w:ascii="Times New Roman" w:hAnsi="Times New Roman"/>
        </w:rPr>
        <w:t xml:space="preserve"> of the Act </w:t>
      </w:r>
      <w:r w:rsidR="004143AE" w:rsidRPr="00DF5070">
        <w:rPr>
          <w:rFonts w:ascii="Times New Roman" w:hAnsi="Times New Roman"/>
        </w:rPr>
        <w:t xml:space="preserve">empowers the Federal Court to order a person to pay a pecuniary penalty that the </w:t>
      </w:r>
      <w:r w:rsidR="00F13182" w:rsidRPr="00DF5070">
        <w:rPr>
          <w:rFonts w:ascii="Times New Roman" w:hAnsi="Times New Roman"/>
        </w:rPr>
        <w:t>c</w:t>
      </w:r>
      <w:r w:rsidR="004143AE" w:rsidRPr="00DF5070">
        <w:rPr>
          <w:rFonts w:ascii="Times New Roman" w:hAnsi="Times New Roman"/>
        </w:rPr>
        <w:t>ourt considers is "appropriate" in respect of a contravention of a civil remedy provision.</w:t>
      </w:r>
      <w:r w:rsidR="00D3638C" w:rsidRPr="00DF5070">
        <w:rPr>
          <w:rFonts w:ascii="Times New Roman" w:hAnsi="Times New Roman"/>
        </w:rPr>
        <w:t xml:space="preserve"> Section</w:t>
      </w:r>
      <w:r w:rsidR="00912646" w:rsidRPr="00DF5070">
        <w:rPr>
          <w:rFonts w:ascii="Times New Roman" w:hAnsi="Times New Roman"/>
        </w:rPr>
        <w:t> </w:t>
      </w:r>
      <w:r w:rsidR="00D3638C" w:rsidRPr="00DF5070">
        <w:rPr>
          <w:rFonts w:ascii="Times New Roman" w:hAnsi="Times New Roman"/>
        </w:rPr>
        <w:t>349(1) i</w:t>
      </w:r>
      <w:r w:rsidR="00E30E36" w:rsidRPr="00DF5070">
        <w:rPr>
          <w:rFonts w:ascii="Times New Roman" w:hAnsi="Times New Roman"/>
        </w:rPr>
        <w:t xml:space="preserve">s </w:t>
      </w:r>
      <w:r w:rsidR="009579D3" w:rsidRPr="00DF5070">
        <w:rPr>
          <w:rFonts w:ascii="Times New Roman" w:hAnsi="Times New Roman"/>
        </w:rPr>
        <w:t>one such</w:t>
      </w:r>
      <w:r w:rsidR="00D3638C" w:rsidRPr="00DF5070">
        <w:rPr>
          <w:rFonts w:ascii="Times New Roman" w:hAnsi="Times New Roman"/>
        </w:rPr>
        <w:t xml:space="preserve"> civil remedy provision.</w:t>
      </w:r>
      <w:r w:rsidR="009579D3" w:rsidRPr="00DF5070">
        <w:rPr>
          <w:rFonts w:ascii="Times New Roman" w:hAnsi="Times New Roman"/>
        </w:rPr>
        <w:t xml:space="preserve"> It provides:</w:t>
      </w:r>
    </w:p>
    <w:p w14:paraId="261C4FDB" w14:textId="42EF7AA4" w:rsidR="00FE4B06" w:rsidRPr="00DF5070" w:rsidRDefault="000924CB" w:rsidP="00DF5070">
      <w:pPr>
        <w:pStyle w:val="LeftrightafterHC"/>
        <w:spacing w:before="0" w:after="260" w:line="280" w:lineRule="exact"/>
        <w:ind w:right="0"/>
        <w:jc w:val="both"/>
        <w:rPr>
          <w:rFonts w:ascii="Times New Roman" w:hAnsi="Times New Roman"/>
        </w:rPr>
      </w:pPr>
      <w:r w:rsidRPr="00DF5070">
        <w:rPr>
          <w:rFonts w:ascii="Times New Roman" w:hAnsi="Times New Roman"/>
        </w:rPr>
        <w:t>"</w:t>
      </w:r>
      <w:r w:rsidR="00FE4B06" w:rsidRPr="00DF5070">
        <w:rPr>
          <w:rFonts w:ascii="Times New Roman" w:hAnsi="Times New Roman"/>
        </w:rPr>
        <w:t>A person must not knowingly or recklessly make a false or misleading representation about either of the following:</w:t>
      </w:r>
    </w:p>
    <w:p w14:paraId="27304D8A" w14:textId="411F289B" w:rsidR="00FE4B06" w:rsidRPr="00DF5070" w:rsidRDefault="00FE4B06" w:rsidP="00DF5070">
      <w:pPr>
        <w:pStyle w:val="LeftrightHanging"/>
        <w:spacing w:before="0" w:after="260" w:line="280" w:lineRule="exact"/>
        <w:ind w:right="0"/>
        <w:jc w:val="both"/>
        <w:rPr>
          <w:rFonts w:ascii="Times New Roman" w:hAnsi="Times New Roman"/>
        </w:rPr>
      </w:pPr>
      <w:r w:rsidRPr="00DF5070">
        <w:rPr>
          <w:rFonts w:ascii="Times New Roman" w:hAnsi="Times New Roman"/>
        </w:rPr>
        <w:t>(a)</w:t>
      </w:r>
      <w:r w:rsidRPr="00DF5070">
        <w:rPr>
          <w:rFonts w:ascii="Times New Roman" w:hAnsi="Times New Roman"/>
        </w:rPr>
        <w:tab/>
        <w:t>another person</w:t>
      </w:r>
      <w:r w:rsidR="000924CB" w:rsidRPr="00DF5070">
        <w:rPr>
          <w:rFonts w:ascii="Times New Roman" w:hAnsi="Times New Roman"/>
        </w:rPr>
        <w:t>'</w:t>
      </w:r>
      <w:r w:rsidRPr="00DF5070">
        <w:rPr>
          <w:rFonts w:ascii="Times New Roman" w:hAnsi="Times New Roman"/>
        </w:rPr>
        <w:t>s obligation to engage in industrial activity;</w:t>
      </w:r>
    </w:p>
    <w:p w14:paraId="50B6E78F" w14:textId="63659926" w:rsidR="00FE4B06" w:rsidRPr="00DF5070" w:rsidRDefault="00FE4B06" w:rsidP="00DF5070">
      <w:pPr>
        <w:pStyle w:val="LeftrightHanging"/>
        <w:spacing w:before="0" w:after="260" w:line="280" w:lineRule="exact"/>
        <w:ind w:right="0"/>
        <w:jc w:val="both"/>
        <w:rPr>
          <w:rFonts w:ascii="Times New Roman" w:hAnsi="Times New Roman"/>
        </w:rPr>
      </w:pPr>
      <w:r w:rsidRPr="00DF5070">
        <w:rPr>
          <w:rFonts w:ascii="Times New Roman" w:hAnsi="Times New Roman"/>
        </w:rPr>
        <w:t>(b)</w:t>
      </w:r>
      <w:r w:rsidRPr="00DF5070">
        <w:rPr>
          <w:rFonts w:ascii="Times New Roman" w:hAnsi="Times New Roman"/>
        </w:rPr>
        <w:tab/>
        <w:t>another person</w:t>
      </w:r>
      <w:r w:rsidR="000924CB" w:rsidRPr="00DF5070">
        <w:rPr>
          <w:rFonts w:ascii="Times New Roman" w:hAnsi="Times New Roman"/>
        </w:rPr>
        <w:t>'</w:t>
      </w:r>
      <w:r w:rsidRPr="00DF5070">
        <w:rPr>
          <w:rFonts w:ascii="Times New Roman" w:hAnsi="Times New Roman"/>
        </w:rPr>
        <w:t>s obligation to disclose whether he or she, or a third person:</w:t>
      </w:r>
    </w:p>
    <w:p w14:paraId="512F36F3" w14:textId="730E1666" w:rsidR="00FE4B06" w:rsidRPr="00DF5070" w:rsidRDefault="00FE4B06" w:rsidP="00DF5070">
      <w:pPr>
        <w:pStyle w:val="LRHangingMore"/>
        <w:spacing w:before="0" w:after="260" w:line="280" w:lineRule="exact"/>
        <w:ind w:right="0"/>
        <w:jc w:val="both"/>
        <w:rPr>
          <w:rFonts w:ascii="Times New Roman" w:hAnsi="Times New Roman"/>
        </w:rPr>
      </w:pPr>
      <w:r w:rsidRPr="00DF5070">
        <w:rPr>
          <w:rFonts w:ascii="Times New Roman" w:hAnsi="Times New Roman"/>
        </w:rPr>
        <w:lastRenderedPageBreak/>
        <w:t>(</w:t>
      </w:r>
      <w:proofErr w:type="spellStart"/>
      <w:r w:rsidRPr="00DF5070">
        <w:rPr>
          <w:rFonts w:ascii="Times New Roman" w:hAnsi="Times New Roman"/>
        </w:rPr>
        <w:t>i</w:t>
      </w:r>
      <w:proofErr w:type="spellEnd"/>
      <w:r w:rsidRPr="00DF5070">
        <w:rPr>
          <w:rFonts w:ascii="Times New Roman" w:hAnsi="Times New Roman"/>
        </w:rPr>
        <w:t>)</w:t>
      </w:r>
      <w:r w:rsidRPr="00DF5070">
        <w:rPr>
          <w:rFonts w:ascii="Times New Roman" w:hAnsi="Times New Roman"/>
        </w:rPr>
        <w:tab/>
        <w:t>is or is not, or was or was not, an officer or member of an industrial association; or</w:t>
      </w:r>
    </w:p>
    <w:p w14:paraId="6D2392EF" w14:textId="77777777" w:rsidR="00DF5070" w:rsidRDefault="00FE4B06" w:rsidP="00DF5070">
      <w:pPr>
        <w:pStyle w:val="LRHangingMore"/>
        <w:spacing w:before="0" w:after="260" w:line="280" w:lineRule="exact"/>
        <w:ind w:right="0"/>
        <w:jc w:val="both"/>
        <w:rPr>
          <w:rFonts w:ascii="Times New Roman" w:hAnsi="Times New Roman"/>
        </w:rPr>
      </w:pPr>
      <w:r w:rsidRPr="00DF5070">
        <w:rPr>
          <w:rFonts w:ascii="Times New Roman" w:hAnsi="Times New Roman"/>
        </w:rPr>
        <w:t>(ii)</w:t>
      </w:r>
      <w:r w:rsidRPr="00DF5070">
        <w:rPr>
          <w:rFonts w:ascii="Times New Roman" w:hAnsi="Times New Roman"/>
        </w:rPr>
        <w:tab/>
        <w:t>is or is not engaging, or has or has not engaged, in industrial activity.</w:t>
      </w:r>
      <w:r w:rsidR="00DC4208" w:rsidRPr="00DF5070">
        <w:rPr>
          <w:rFonts w:ascii="Times New Roman" w:hAnsi="Times New Roman"/>
        </w:rPr>
        <w:t>"</w:t>
      </w:r>
    </w:p>
    <w:p w14:paraId="2FE431A1" w14:textId="466D60B3" w:rsidR="009C5B06" w:rsidRPr="00DF5070" w:rsidRDefault="00225740"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AD15C4" w:rsidRPr="00DF5070">
        <w:rPr>
          <w:rFonts w:ascii="Times New Roman" w:hAnsi="Times New Roman"/>
        </w:rPr>
        <w:t>By reason of</w:t>
      </w:r>
      <w:r w:rsidRPr="00DF5070">
        <w:rPr>
          <w:rFonts w:ascii="Times New Roman" w:hAnsi="Times New Roman"/>
        </w:rPr>
        <w:t xml:space="preserve"> s 546(2), </w:t>
      </w:r>
      <w:r w:rsidR="00FE4B06" w:rsidRPr="00DF5070">
        <w:rPr>
          <w:rFonts w:ascii="Times New Roman" w:hAnsi="Times New Roman"/>
        </w:rPr>
        <w:t xml:space="preserve">a </w:t>
      </w:r>
      <w:r w:rsidRPr="00DF5070">
        <w:rPr>
          <w:rFonts w:ascii="Times New Roman" w:hAnsi="Times New Roman"/>
        </w:rPr>
        <w:t xml:space="preserve">pecuniary penalty must not </w:t>
      </w:r>
      <w:r w:rsidR="00DC4208" w:rsidRPr="00DF5070">
        <w:rPr>
          <w:rFonts w:ascii="Times New Roman" w:hAnsi="Times New Roman"/>
        </w:rPr>
        <w:t>exceed</w:t>
      </w:r>
      <w:r w:rsidRPr="00DF5070">
        <w:rPr>
          <w:rFonts w:ascii="Times New Roman" w:hAnsi="Times New Roman"/>
        </w:rPr>
        <w:t xml:space="preserve"> the relevant "maximum penalty" specified by s 539(2).</w:t>
      </w:r>
      <w:r w:rsidR="002E25E9" w:rsidRPr="00DF5070">
        <w:rPr>
          <w:rFonts w:ascii="Times New Roman" w:hAnsi="Times New Roman"/>
        </w:rPr>
        <w:t xml:space="preserve"> The maximum penalties for a contravention of s 349(1) are 60</w:t>
      </w:r>
      <w:r w:rsidR="00912646" w:rsidRPr="00DF5070">
        <w:rPr>
          <w:rFonts w:ascii="Times New Roman" w:hAnsi="Times New Roman"/>
        </w:rPr>
        <w:t> </w:t>
      </w:r>
      <w:r w:rsidR="002E25E9" w:rsidRPr="00DF5070">
        <w:rPr>
          <w:rFonts w:ascii="Times New Roman" w:hAnsi="Times New Roman"/>
        </w:rPr>
        <w:t xml:space="preserve">penalty units </w:t>
      </w:r>
      <w:r w:rsidR="003D0ABC" w:rsidRPr="00DF5070">
        <w:rPr>
          <w:rFonts w:ascii="Times New Roman" w:hAnsi="Times New Roman"/>
        </w:rPr>
        <w:t>for an individual and 300</w:t>
      </w:r>
      <w:r w:rsidR="00912646" w:rsidRPr="00DF5070">
        <w:rPr>
          <w:rFonts w:ascii="Times New Roman" w:hAnsi="Times New Roman"/>
        </w:rPr>
        <w:t> </w:t>
      </w:r>
      <w:r w:rsidR="003D0ABC" w:rsidRPr="00DF5070">
        <w:rPr>
          <w:rFonts w:ascii="Times New Roman" w:hAnsi="Times New Roman"/>
        </w:rPr>
        <w:t>penalty units for a body corporate</w:t>
      </w:r>
      <w:r w:rsidR="00DC4208" w:rsidRPr="00DF5070">
        <w:rPr>
          <w:rStyle w:val="FootnoteReference"/>
          <w:rFonts w:ascii="Times New Roman" w:hAnsi="Times New Roman"/>
          <w:sz w:val="24"/>
        </w:rPr>
        <w:footnoteReference w:id="12"/>
      </w:r>
      <w:r w:rsidR="003D0ABC" w:rsidRPr="00DF5070">
        <w:rPr>
          <w:rFonts w:ascii="Times New Roman" w:hAnsi="Times New Roman"/>
        </w:rPr>
        <w:t xml:space="preserve">. </w:t>
      </w:r>
      <w:r w:rsidR="00F92546" w:rsidRPr="00DF5070">
        <w:rPr>
          <w:rFonts w:ascii="Times New Roman" w:hAnsi="Times New Roman"/>
        </w:rPr>
        <w:t>At the time of the contraventions, a penalty unit was $210</w:t>
      </w:r>
      <w:r w:rsidR="00F92546" w:rsidRPr="00DF5070">
        <w:rPr>
          <w:rStyle w:val="FootnoteReference"/>
          <w:rFonts w:ascii="Times New Roman" w:hAnsi="Times New Roman"/>
          <w:sz w:val="24"/>
        </w:rPr>
        <w:footnoteReference w:id="13"/>
      </w:r>
      <w:r w:rsidR="00F92546" w:rsidRPr="00DF5070">
        <w:rPr>
          <w:rFonts w:ascii="Times New Roman" w:hAnsi="Times New Roman"/>
        </w:rPr>
        <w:t xml:space="preserve">. </w:t>
      </w:r>
      <w:r w:rsidR="0007773B" w:rsidRPr="00DF5070">
        <w:rPr>
          <w:rFonts w:ascii="Times New Roman" w:hAnsi="Times New Roman"/>
        </w:rPr>
        <w:t>Accordingly</w:t>
      </w:r>
      <w:r w:rsidR="00F92546" w:rsidRPr="00DF5070">
        <w:rPr>
          <w:rFonts w:ascii="Times New Roman" w:hAnsi="Times New Roman"/>
        </w:rPr>
        <w:t xml:space="preserve">, the maximum penalties that </w:t>
      </w:r>
      <w:r w:rsidR="00980190" w:rsidRPr="00DF5070">
        <w:rPr>
          <w:rFonts w:ascii="Times New Roman" w:hAnsi="Times New Roman"/>
        </w:rPr>
        <w:t>could</w:t>
      </w:r>
      <w:r w:rsidR="00F92546" w:rsidRPr="00DF5070">
        <w:rPr>
          <w:rFonts w:ascii="Times New Roman" w:hAnsi="Times New Roman"/>
        </w:rPr>
        <w:t xml:space="preserve"> </w:t>
      </w:r>
      <w:r w:rsidR="0007773B" w:rsidRPr="00DF5070">
        <w:rPr>
          <w:rFonts w:ascii="Times New Roman" w:hAnsi="Times New Roman"/>
        </w:rPr>
        <w:t xml:space="preserve">have </w:t>
      </w:r>
      <w:r w:rsidR="00F92546" w:rsidRPr="00DF5070">
        <w:rPr>
          <w:rFonts w:ascii="Times New Roman" w:hAnsi="Times New Roman"/>
        </w:rPr>
        <w:t>be</w:t>
      </w:r>
      <w:r w:rsidR="0007773B" w:rsidRPr="00DF5070">
        <w:rPr>
          <w:rFonts w:ascii="Times New Roman" w:hAnsi="Times New Roman"/>
        </w:rPr>
        <w:t>en</w:t>
      </w:r>
      <w:r w:rsidR="00F92546" w:rsidRPr="00DF5070">
        <w:rPr>
          <w:rFonts w:ascii="Times New Roman" w:hAnsi="Times New Roman"/>
        </w:rPr>
        <w:t xml:space="preserve"> imposed </w:t>
      </w:r>
      <w:r w:rsidR="0007773B" w:rsidRPr="00DF5070">
        <w:rPr>
          <w:rFonts w:ascii="Times New Roman" w:hAnsi="Times New Roman"/>
        </w:rPr>
        <w:t xml:space="preserve">in the present case </w:t>
      </w:r>
      <w:r w:rsidR="00980190" w:rsidRPr="00DF5070">
        <w:rPr>
          <w:rFonts w:ascii="Times New Roman" w:hAnsi="Times New Roman"/>
        </w:rPr>
        <w:t>were</w:t>
      </w:r>
      <w:r w:rsidR="00F92546" w:rsidRPr="00DF5070">
        <w:rPr>
          <w:rFonts w:ascii="Times New Roman" w:hAnsi="Times New Roman"/>
        </w:rPr>
        <w:t xml:space="preserve"> </w:t>
      </w:r>
      <w:r w:rsidR="002068B5" w:rsidRPr="00DF5070">
        <w:rPr>
          <w:rFonts w:ascii="Times New Roman" w:hAnsi="Times New Roman"/>
        </w:rPr>
        <w:t>$25,200</w:t>
      </w:r>
      <w:r w:rsidR="00980190" w:rsidRPr="00DF5070">
        <w:rPr>
          <w:rFonts w:ascii="Times New Roman" w:hAnsi="Times New Roman"/>
        </w:rPr>
        <w:t xml:space="preserve"> </w:t>
      </w:r>
      <w:r w:rsidR="00E87BB8" w:rsidRPr="00DF5070">
        <w:rPr>
          <w:rFonts w:ascii="Times New Roman" w:hAnsi="Times New Roman"/>
        </w:rPr>
        <w:t xml:space="preserve">in respect of Mr Pattinson </w:t>
      </w:r>
      <w:r w:rsidR="002068B5" w:rsidRPr="00DF5070">
        <w:rPr>
          <w:rFonts w:ascii="Times New Roman" w:hAnsi="Times New Roman"/>
        </w:rPr>
        <w:t xml:space="preserve">($12,600 for each contravention) </w:t>
      </w:r>
      <w:r w:rsidR="00E87BB8" w:rsidRPr="00DF5070">
        <w:rPr>
          <w:rFonts w:ascii="Times New Roman" w:hAnsi="Times New Roman"/>
        </w:rPr>
        <w:t xml:space="preserve">and </w:t>
      </w:r>
      <w:r w:rsidR="002068B5" w:rsidRPr="00DF5070">
        <w:rPr>
          <w:rFonts w:ascii="Times New Roman" w:hAnsi="Times New Roman"/>
        </w:rPr>
        <w:t>$126,000</w:t>
      </w:r>
      <w:r w:rsidR="00E87BB8" w:rsidRPr="00DF5070">
        <w:rPr>
          <w:rFonts w:ascii="Times New Roman" w:hAnsi="Times New Roman"/>
        </w:rPr>
        <w:t xml:space="preserve"> in respect of the CFMMEU</w:t>
      </w:r>
      <w:r w:rsidR="002068B5" w:rsidRPr="00DF5070">
        <w:rPr>
          <w:rFonts w:ascii="Times New Roman" w:hAnsi="Times New Roman"/>
        </w:rPr>
        <w:t xml:space="preserve"> ($63,000 for each contravention)</w:t>
      </w:r>
      <w:r w:rsidR="00E87BB8" w:rsidRPr="00DF5070">
        <w:rPr>
          <w:rFonts w:ascii="Times New Roman" w:hAnsi="Times New Roman"/>
        </w:rPr>
        <w:t>.</w:t>
      </w:r>
    </w:p>
    <w:p w14:paraId="673BA05B" w14:textId="31E04031" w:rsidR="00A369FF" w:rsidRPr="00DF5070" w:rsidRDefault="0079198D"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C00F37" w:rsidRPr="00DF5070">
        <w:rPr>
          <w:rFonts w:ascii="Times New Roman" w:hAnsi="Times New Roman"/>
        </w:rPr>
        <w:t xml:space="preserve">In </w:t>
      </w:r>
      <w:proofErr w:type="gramStart"/>
      <w:r w:rsidR="00AA5353" w:rsidRPr="00DF5070">
        <w:rPr>
          <w:rFonts w:ascii="Times New Roman" w:hAnsi="Times New Roman"/>
          <w:i/>
        </w:rPr>
        <w:t>The</w:t>
      </w:r>
      <w:proofErr w:type="gramEnd"/>
      <w:r w:rsidR="00AA5353" w:rsidRPr="00DF5070">
        <w:rPr>
          <w:rFonts w:ascii="Times New Roman" w:hAnsi="Times New Roman"/>
          <w:i/>
        </w:rPr>
        <w:t xml:space="preserve"> </w:t>
      </w:r>
      <w:r w:rsidR="00C00F37" w:rsidRPr="00DF5070">
        <w:rPr>
          <w:rFonts w:ascii="Times New Roman" w:hAnsi="Times New Roman"/>
          <w:i/>
        </w:rPr>
        <w:t xml:space="preserve">Commonwealth v Director, Fair Work Building Industry Inspectorate </w:t>
      </w:r>
      <w:r w:rsidR="00C00F37" w:rsidRPr="00DF5070">
        <w:rPr>
          <w:rFonts w:ascii="Times New Roman" w:hAnsi="Times New Roman"/>
        </w:rPr>
        <w:t>(</w:t>
      </w:r>
      <w:r w:rsidR="00C06790" w:rsidRPr="00DF5070">
        <w:rPr>
          <w:rFonts w:ascii="Times New Roman" w:hAnsi="Times New Roman"/>
        </w:rPr>
        <w:t>"</w:t>
      </w:r>
      <w:r w:rsidR="00C00F37" w:rsidRPr="00DF5070">
        <w:rPr>
          <w:rFonts w:ascii="Times New Roman" w:hAnsi="Times New Roman"/>
        </w:rPr>
        <w:t>the</w:t>
      </w:r>
      <w:r w:rsidR="00C00F37" w:rsidRPr="00DF5070">
        <w:rPr>
          <w:rFonts w:ascii="Times New Roman" w:hAnsi="Times New Roman"/>
          <w:i/>
        </w:rPr>
        <w:t xml:space="preserve"> Agreed Penalties Case</w:t>
      </w:r>
      <w:r w:rsidR="00C00F37" w:rsidRPr="00DF5070">
        <w:rPr>
          <w:rFonts w:ascii="Times New Roman" w:hAnsi="Times New Roman"/>
        </w:rPr>
        <w:t>")</w:t>
      </w:r>
      <w:r w:rsidR="00891F29" w:rsidRPr="00DF5070">
        <w:rPr>
          <w:rStyle w:val="FootnoteReference"/>
          <w:rFonts w:ascii="Times New Roman" w:hAnsi="Times New Roman"/>
          <w:sz w:val="24"/>
        </w:rPr>
        <w:footnoteReference w:id="14"/>
      </w:r>
      <w:r w:rsidR="00C00F37" w:rsidRPr="00DF5070">
        <w:rPr>
          <w:rFonts w:ascii="Times New Roman" w:hAnsi="Times New Roman"/>
        </w:rPr>
        <w:t xml:space="preserve">, French CJ, Kiefel, Bell, Nettle and Gordon JJ </w:t>
      </w:r>
      <w:r w:rsidR="007609CC" w:rsidRPr="00DF5070">
        <w:rPr>
          <w:rFonts w:ascii="Times New Roman" w:hAnsi="Times New Roman"/>
        </w:rPr>
        <w:t>said that c</w:t>
      </w:r>
      <w:r w:rsidRPr="00DF5070">
        <w:rPr>
          <w:rFonts w:ascii="Times New Roman" w:hAnsi="Times New Roman"/>
        </w:rPr>
        <w:t xml:space="preserve">ivil penalty provisions </w:t>
      </w:r>
      <w:r w:rsidR="007609CC" w:rsidRPr="00DF5070">
        <w:rPr>
          <w:rFonts w:ascii="Times New Roman" w:hAnsi="Times New Roman"/>
        </w:rPr>
        <w:t xml:space="preserve">of the kind </w:t>
      </w:r>
      <w:r w:rsidR="00BF55FF" w:rsidRPr="00DF5070">
        <w:rPr>
          <w:rFonts w:ascii="Times New Roman" w:hAnsi="Times New Roman"/>
        </w:rPr>
        <w:t xml:space="preserve">enacted </w:t>
      </w:r>
      <w:r w:rsidR="007609CC" w:rsidRPr="00DF5070">
        <w:rPr>
          <w:rFonts w:ascii="Times New Roman" w:hAnsi="Times New Roman"/>
        </w:rPr>
        <w:t xml:space="preserve">in </w:t>
      </w:r>
      <w:r w:rsidR="003317E0" w:rsidRPr="00DF5070">
        <w:rPr>
          <w:rFonts w:ascii="Times New Roman" w:hAnsi="Times New Roman"/>
        </w:rPr>
        <w:t xml:space="preserve">s 546 </w:t>
      </w:r>
      <w:r w:rsidR="00E902D3" w:rsidRPr="00DF5070">
        <w:rPr>
          <w:rFonts w:ascii="Times New Roman" w:hAnsi="Times New Roman"/>
        </w:rPr>
        <w:t>have a "statutory function of securing compliance with provisions of the [statutory] regime".</w:t>
      </w:r>
      <w:r w:rsidR="007609CC" w:rsidRPr="00DF5070">
        <w:rPr>
          <w:rFonts w:ascii="Times New Roman" w:hAnsi="Times New Roman"/>
        </w:rPr>
        <w:t xml:space="preserve"> </w:t>
      </w:r>
      <w:r w:rsidR="00C00F37" w:rsidRPr="00DF5070">
        <w:rPr>
          <w:rFonts w:ascii="Times New Roman" w:hAnsi="Times New Roman"/>
        </w:rPr>
        <w:t xml:space="preserve">Although it </w:t>
      </w:r>
      <w:r w:rsidR="00CB59FE" w:rsidRPr="00DF5070">
        <w:rPr>
          <w:rFonts w:ascii="Times New Roman" w:hAnsi="Times New Roman"/>
        </w:rPr>
        <w:t xml:space="preserve">is </w:t>
      </w:r>
      <w:r w:rsidR="006E5E2C" w:rsidRPr="00DF5070">
        <w:rPr>
          <w:rFonts w:ascii="Times New Roman" w:hAnsi="Times New Roman"/>
        </w:rPr>
        <w:t>accepted</w:t>
      </w:r>
      <w:r w:rsidR="00CB59FE" w:rsidRPr="00DF5070">
        <w:rPr>
          <w:rFonts w:ascii="Times New Roman" w:hAnsi="Times New Roman"/>
        </w:rPr>
        <w:t xml:space="preserve"> in the authorities </w:t>
      </w:r>
      <w:r w:rsidR="006E5E2C" w:rsidRPr="00DF5070">
        <w:rPr>
          <w:rFonts w:ascii="Times New Roman" w:hAnsi="Times New Roman"/>
        </w:rPr>
        <w:t>that the</w:t>
      </w:r>
      <w:r w:rsidR="00CB59FE" w:rsidRPr="00DF5070">
        <w:rPr>
          <w:rFonts w:ascii="Times New Roman" w:hAnsi="Times New Roman"/>
        </w:rPr>
        <w:t xml:space="preserve"> courts </w:t>
      </w:r>
      <w:r w:rsidR="006E5E2C" w:rsidRPr="00DF5070">
        <w:rPr>
          <w:rFonts w:ascii="Times New Roman" w:hAnsi="Times New Roman"/>
        </w:rPr>
        <w:t>may</w:t>
      </w:r>
      <w:r w:rsidR="00CB59FE" w:rsidRPr="00DF5070">
        <w:rPr>
          <w:rFonts w:ascii="Times New Roman" w:hAnsi="Times New Roman"/>
        </w:rPr>
        <w:t xml:space="preserve"> </w:t>
      </w:r>
      <w:r w:rsidR="00F30573" w:rsidRPr="00DF5070">
        <w:rPr>
          <w:rFonts w:ascii="Times New Roman" w:hAnsi="Times New Roman"/>
        </w:rPr>
        <w:t xml:space="preserve">adapt </w:t>
      </w:r>
      <w:r w:rsidR="00CB59FE" w:rsidRPr="00DF5070">
        <w:rPr>
          <w:rFonts w:ascii="Times New Roman" w:hAnsi="Times New Roman"/>
        </w:rPr>
        <w:t xml:space="preserve">principles </w:t>
      </w:r>
      <w:r w:rsidR="007F37F6" w:rsidRPr="00DF5070">
        <w:rPr>
          <w:rFonts w:ascii="Times New Roman" w:hAnsi="Times New Roman"/>
        </w:rPr>
        <w:t xml:space="preserve">which govern </w:t>
      </w:r>
      <w:r w:rsidR="00CB59FE" w:rsidRPr="00DF5070">
        <w:rPr>
          <w:rFonts w:ascii="Times New Roman" w:hAnsi="Times New Roman"/>
        </w:rPr>
        <w:t xml:space="preserve">criminal sentencing </w:t>
      </w:r>
      <w:r w:rsidR="00F30573" w:rsidRPr="00DF5070">
        <w:rPr>
          <w:rFonts w:ascii="Times New Roman" w:hAnsi="Times New Roman"/>
        </w:rPr>
        <w:t xml:space="preserve">to civil penalty regimes, </w:t>
      </w:r>
      <w:r w:rsidR="0001125D" w:rsidRPr="00DF5070">
        <w:rPr>
          <w:rFonts w:ascii="Times New Roman" w:hAnsi="Times New Roman"/>
        </w:rPr>
        <w:t>"basic differences"</w:t>
      </w:r>
      <w:r w:rsidR="00C76FB7" w:rsidRPr="00DF5070">
        <w:rPr>
          <w:rStyle w:val="FootnoteReference"/>
          <w:rFonts w:ascii="Times New Roman" w:hAnsi="Times New Roman"/>
          <w:sz w:val="24"/>
        </w:rPr>
        <w:footnoteReference w:id="15"/>
      </w:r>
      <w:r w:rsidR="0001125D" w:rsidRPr="00DF5070">
        <w:rPr>
          <w:rFonts w:ascii="Times New Roman" w:hAnsi="Times New Roman"/>
        </w:rPr>
        <w:t xml:space="preserve"> between criminal prosecutions and civil </w:t>
      </w:r>
      <w:r w:rsidR="006479A2" w:rsidRPr="00DF5070">
        <w:rPr>
          <w:rFonts w:ascii="Times New Roman" w:hAnsi="Times New Roman"/>
        </w:rPr>
        <w:t xml:space="preserve">penalty </w:t>
      </w:r>
      <w:r w:rsidR="0001125D" w:rsidRPr="00DF5070">
        <w:rPr>
          <w:rFonts w:ascii="Times New Roman" w:hAnsi="Times New Roman"/>
        </w:rPr>
        <w:t>proceedings</w:t>
      </w:r>
      <w:r w:rsidR="00C76FB7" w:rsidRPr="00DF5070">
        <w:rPr>
          <w:rFonts w:ascii="Times New Roman" w:hAnsi="Times New Roman"/>
        </w:rPr>
        <w:t xml:space="preserve"> mean there are limits to the transplantation of principles from the former context to the latter. </w:t>
      </w:r>
      <w:r w:rsidR="0007773B" w:rsidRPr="00DF5070">
        <w:rPr>
          <w:rFonts w:ascii="Times New Roman" w:hAnsi="Times New Roman"/>
        </w:rPr>
        <w:t xml:space="preserve">Indeed, the Act is emphatic in </w:t>
      </w:r>
      <w:r w:rsidR="00837347" w:rsidRPr="00DF5070">
        <w:rPr>
          <w:rFonts w:ascii="Times New Roman" w:hAnsi="Times New Roman"/>
        </w:rPr>
        <w:t>drawing a</w:t>
      </w:r>
      <w:r w:rsidR="0007773B" w:rsidRPr="00DF5070">
        <w:rPr>
          <w:rFonts w:ascii="Times New Roman" w:hAnsi="Times New Roman"/>
        </w:rPr>
        <w:t xml:space="preserve"> distinction between its civil penalty regime and criminal proceedings. </w:t>
      </w:r>
      <w:r w:rsidR="006910C5" w:rsidRPr="00DF5070">
        <w:rPr>
          <w:rFonts w:ascii="Times New Roman" w:hAnsi="Times New Roman"/>
        </w:rPr>
        <w:t xml:space="preserve">For example: a </w:t>
      </w:r>
      <w:r w:rsidR="0007773B" w:rsidRPr="00DF5070">
        <w:rPr>
          <w:rFonts w:ascii="Times New Roman" w:hAnsi="Times New Roman"/>
        </w:rPr>
        <w:t>contravention of a civil remedy provision is not an offence</w:t>
      </w:r>
      <w:r w:rsidR="0007773B" w:rsidRPr="00DF5070">
        <w:rPr>
          <w:rStyle w:val="FootnoteReference"/>
          <w:rFonts w:ascii="Times New Roman" w:hAnsi="Times New Roman"/>
          <w:sz w:val="24"/>
        </w:rPr>
        <w:footnoteReference w:id="16"/>
      </w:r>
      <w:r w:rsidR="006910C5" w:rsidRPr="00DF5070">
        <w:rPr>
          <w:rFonts w:ascii="Times New Roman" w:hAnsi="Times New Roman"/>
        </w:rPr>
        <w:t>;</w:t>
      </w:r>
      <w:r w:rsidR="0007773B" w:rsidRPr="00DF5070">
        <w:rPr>
          <w:rFonts w:ascii="Times New Roman" w:hAnsi="Times New Roman"/>
        </w:rPr>
        <w:t xml:space="preserve"> </w:t>
      </w:r>
      <w:r w:rsidR="006910C5" w:rsidRPr="00DF5070">
        <w:rPr>
          <w:rFonts w:ascii="Times New Roman" w:hAnsi="Times New Roman"/>
        </w:rPr>
        <w:t>t</w:t>
      </w:r>
      <w:r w:rsidR="0007773B" w:rsidRPr="00DF5070">
        <w:rPr>
          <w:rFonts w:ascii="Times New Roman" w:hAnsi="Times New Roman"/>
        </w:rPr>
        <w:t xml:space="preserve">he rules of evidence and procedure for civil matters are applicable to proceedings relating to a contravention of a civil remedy </w:t>
      </w:r>
      <w:r w:rsidR="0007773B" w:rsidRPr="00DF5070">
        <w:rPr>
          <w:rFonts w:ascii="Times New Roman" w:hAnsi="Times New Roman"/>
        </w:rPr>
        <w:lastRenderedPageBreak/>
        <w:t>provision</w:t>
      </w:r>
      <w:r w:rsidR="0007773B" w:rsidRPr="00DF5070">
        <w:rPr>
          <w:rStyle w:val="FootnoteReference"/>
          <w:rFonts w:ascii="Times New Roman" w:hAnsi="Times New Roman"/>
          <w:sz w:val="24"/>
        </w:rPr>
        <w:footnoteReference w:id="17"/>
      </w:r>
      <w:r w:rsidR="006910C5" w:rsidRPr="00DF5070">
        <w:rPr>
          <w:rFonts w:ascii="Times New Roman" w:hAnsi="Times New Roman"/>
        </w:rPr>
        <w:t xml:space="preserve">; and a </w:t>
      </w:r>
      <w:r w:rsidR="0007773B" w:rsidRPr="00DF5070">
        <w:rPr>
          <w:rFonts w:ascii="Times New Roman" w:hAnsi="Times New Roman"/>
        </w:rPr>
        <w:t>court must not make a pecuniary penalty order for a contravention of a civil remedy provision against a person who has already been convicted of an offence for substantially the same conduct</w:t>
      </w:r>
      <w:r w:rsidR="0007773B" w:rsidRPr="00DF5070">
        <w:rPr>
          <w:rStyle w:val="FootnoteReference"/>
          <w:rFonts w:ascii="Times New Roman" w:hAnsi="Times New Roman"/>
          <w:sz w:val="24"/>
        </w:rPr>
        <w:footnoteReference w:id="18"/>
      </w:r>
      <w:r w:rsidR="0007773B" w:rsidRPr="00DF5070">
        <w:rPr>
          <w:rFonts w:ascii="Times New Roman" w:hAnsi="Times New Roman"/>
        </w:rPr>
        <w:t xml:space="preserve">. </w:t>
      </w:r>
    </w:p>
    <w:p w14:paraId="5EBA489E" w14:textId="70325FDB" w:rsidR="007417E5" w:rsidRPr="00DF5070" w:rsidRDefault="0007773B"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73693D" w:rsidRPr="00DF5070">
        <w:rPr>
          <w:rFonts w:ascii="Times New Roman" w:hAnsi="Times New Roman"/>
        </w:rPr>
        <w:t xml:space="preserve">Most importantly, it </w:t>
      </w:r>
      <w:r w:rsidRPr="00DF5070">
        <w:rPr>
          <w:rFonts w:ascii="Times New Roman" w:hAnsi="Times New Roman"/>
        </w:rPr>
        <w:t xml:space="preserve">has long been </w:t>
      </w:r>
      <w:r w:rsidR="0073693D" w:rsidRPr="00DF5070">
        <w:rPr>
          <w:rFonts w:ascii="Times New Roman" w:hAnsi="Times New Roman"/>
        </w:rPr>
        <w:t>recognised that</w:t>
      </w:r>
      <w:r w:rsidR="009813D5" w:rsidRPr="00DF5070">
        <w:rPr>
          <w:rFonts w:ascii="Times New Roman" w:hAnsi="Times New Roman"/>
        </w:rPr>
        <w:t>,</w:t>
      </w:r>
      <w:r w:rsidR="007A0231" w:rsidRPr="00DF5070">
        <w:rPr>
          <w:rFonts w:ascii="Times New Roman" w:hAnsi="Times New Roman"/>
        </w:rPr>
        <w:t xml:space="preserve"> unlike criminal sentences,</w:t>
      </w:r>
      <w:r w:rsidR="00517977" w:rsidRPr="00DF5070">
        <w:rPr>
          <w:rFonts w:ascii="Times New Roman" w:hAnsi="Times New Roman"/>
        </w:rPr>
        <w:t xml:space="preserve"> </w:t>
      </w:r>
      <w:r w:rsidR="00700BB6" w:rsidRPr="00DF5070">
        <w:rPr>
          <w:rFonts w:ascii="Times New Roman" w:hAnsi="Times New Roman"/>
        </w:rPr>
        <w:t xml:space="preserve">civil penalties are imposed </w:t>
      </w:r>
      <w:r w:rsidR="00766C16" w:rsidRPr="00DF5070">
        <w:rPr>
          <w:rFonts w:ascii="Times New Roman" w:hAnsi="Times New Roman"/>
        </w:rPr>
        <w:t>primarily, if not</w:t>
      </w:r>
      <w:r w:rsidR="00E40703" w:rsidRPr="00DF5070">
        <w:rPr>
          <w:rFonts w:ascii="Times New Roman" w:hAnsi="Times New Roman"/>
        </w:rPr>
        <w:t xml:space="preserve"> </w:t>
      </w:r>
      <w:r w:rsidR="00700BB6" w:rsidRPr="00DF5070">
        <w:rPr>
          <w:rFonts w:ascii="Times New Roman" w:hAnsi="Times New Roman"/>
        </w:rPr>
        <w:t>solely</w:t>
      </w:r>
      <w:r w:rsidR="00E40703" w:rsidRPr="00DF5070">
        <w:rPr>
          <w:rFonts w:ascii="Times New Roman" w:hAnsi="Times New Roman"/>
        </w:rPr>
        <w:t>,</w:t>
      </w:r>
      <w:r w:rsidR="00700BB6" w:rsidRPr="00DF5070">
        <w:rPr>
          <w:rFonts w:ascii="Times New Roman" w:hAnsi="Times New Roman"/>
        </w:rPr>
        <w:t xml:space="preserve"> for the purpose of deterrence</w:t>
      </w:r>
      <w:r w:rsidR="00D1547F" w:rsidRPr="00DF5070">
        <w:rPr>
          <w:rFonts w:ascii="Times New Roman" w:hAnsi="Times New Roman"/>
        </w:rPr>
        <w:t xml:space="preserve">. The plurality in the </w:t>
      </w:r>
      <w:r w:rsidR="00D1547F" w:rsidRPr="00DF5070">
        <w:rPr>
          <w:rFonts w:ascii="Times New Roman" w:hAnsi="Times New Roman"/>
          <w:i/>
          <w:iCs/>
        </w:rPr>
        <w:t>Agreed Penalties Case</w:t>
      </w:r>
      <w:r w:rsidR="00D1547F" w:rsidRPr="00DF5070">
        <w:rPr>
          <w:rFonts w:ascii="Times New Roman" w:hAnsi="Times New Roman"/>
        </w:rPr>
        <w:t xml:space="preserve"> said</w:t>
      </w:r>
      <w:r w:rsidR="009813D5" w:rsidRPr="00DF5070">
        <w:rPr>
          <w:rStyle w:val="FootnoteReference"/>
          <w:rFonts w:ascii="Times New Roman" w:hAnsi="Times New Roman"/>
          <w:sz w:val="24"/>
        </w:rPr>
        <w:footnoteReference w:id="19"/>
      </w:r>
      <w:r w:rsidR="00700BB6" w:rsidRPr="00DF5070">
        <w:rPr>
          <w:rFonts w:ascii="Times New Roman" w:hAnsi="Times New Roman"/>
        </w:rPr>
        <w:t>:</w:t>
      </w:r>
    </w:p>
    <w:p w14:paraId="3DCF1EBF" w14:textId="602E95F0" w:rsidR="007D42D1" w:rsidRPr="00DF5070" w:rsidRDefault="00F56549" w:rsidP="00DF5070">
      <w:pPr>
        <w:pStyle w:val="leftright"/>
        <w:spacing w:before="0" w:after="260" w:line="280" w:lineRule="exact"/>
        <w:ind w:right="0"/>
        <w:jc w:val="both"/>
        <w:rPr>
          <w:rFonts w:ascii="Times New Roman" w:hAnsi="Times New Roman"/>
        </w:rPr>
      </w:pPr>
      <w:r w:rsidRPr="00DF5070">
        <w:rPr>
          <w:rFonts w:ascii="Times New Roman" w:hAnsi="Times New Roman"/>
        </w:rPr>
        <w:t>"</w:t>
      </w:r>
      <w:r w:rsidR="001B69F7" w:rsidRPr="00DF5070">
        <w:rPr>
          <w:rFonts w:ascii="Times New Roman" w:hAnsi="Times New Roman"/>
        </w:rPr>
        <w:t>[W]</w:t>
      </w:r>
      <w:proofErr w:type="spellStart"/>
      <w:r w:rsidR="007D42D1" w:rsidRPr="00DF5070">
        <w:rPr>
          <w:rFonts w:ascii="Times New Roman" w:hAnsi="Times New Roman"/>
        </w:rPr>
        <w:t>hereas</w:t>
      </w:r>
      <w:proofErr w:type="spellEnd"/>
      <w:r w:rsidR="007D42D1" w:rsidRPr="00DF5070">
        <w:rPr>
          <w:rFonts w:ascii="Times New Roman" w:hAnsi="Times New Roman"/>
        </w:rPr>
        <w:t xml:space="preserve"> criminal penalties import notions of retribution</w:t>
      </w:r>
      <w:r w:rsidRPr="00DF5070">
        <w:rPr>
          <w:rStyle w:val="FootnoteReference"/>
          <w:rFonts w:ascii="Times New Roman" w:hAnsi="Times New Roman"/>
          <w:sz w:val="24"/>
        </w:rPr>
        <w:footnoteReference w:id="20"/>
      </w:r>
      <w:r w:rsidR="007D42D1" w:rsidRPr="00DF5070">
        <w:rPr>
          <w:rFonts w:ascii="Times New Roman" w:hAnsi="Times New Roman"/>
        </w:rPr>
        <w:t xml:space="preserve"> and rehabilitation, the purpose of a civil penalty, as French</w:t>
      </w:r>
      <w:r w:rsidR="00D57C29" w:rsidRPr="00DF5070">
        <w:rPr>
          <w:rFonts w:ascii="Times New Roman" w:hAnsi="Times New Roman"/>
        </w:rPr>
        <w:t> </w:t>
      </w:r>
      <w:r w:rsidR="007D42D1" w:rsidRPr="00DF5070">
        <w:rPr>
          <w:rFonts w:ascii="Times New Roman" w:hAnsi="Times New Roman"/>
        </w:rPr>
        <w:t xml:space="preserve">J explained in </w:t>
      </w:r>
      <w:r w:rsidR="007D42D1" w:rsidRPr="00DF5070">
        <w:rPr>
          <w:rFonts w:ascii="Times New Roman" w:hAnsi="Times New Roman"/>
          <w:i/>
        </w:rPr>
        <w:t>Trade Practices Commission v CSR Ltd</w:t>
      </w:r>
      <w:r w:rsidR="007D42D1" w:rsidRPr="00DF5070">
        <w:rPr>
          <w:rFonts w:ascii="Times New Roman" w:hAnsi="Times New Roman"/>
        </w:rPr>
        <w:t>, is primarily if not wholly protective in promoting the public interest in compliance</w:t>
      </w:r>
      <w:r w:rsidRPr="00DF5070">
        <w:rPr>
          <w:rStyle w:val="FootnoteReference"/>
          <w:rFonts w:ascii="Times New Roman" w:hAnsi="Times New Roman"/>
          <w:sz w:val="24"/>
        </w:rPr>
        <w:footnoteReference w:id="21"/>
      </w:r>
      <w:r w:rsidR="007D42D1" w:rsidRPr="00DF5070">
        <w:rPr>
          <w:rFonts w:ascii="Times New Roman" w:hAnsi="Times New Roman"/>
        </w:rPr>
        <w:t>:</w:t>
      </w:r>
    </w:p>
    <w:p w14:paraId="4647CDCE" w14:textId="77777777" w:rsidR="00DF5070" w:rsidRDefault="00F56549" w:rsidP="00DF5070">
      <w:pPr>
        <w:pStyle w:val="LeftrightHanging"/>
        <w:spacing w:before="0" w:after="260" w:line="280" w:lineRule="exact"/>
        <w:ind w:right="0"/>
        <w:jc w:val="both"/>
        <w:rPr>
          <w:rFonts w:ascii="Times New Roman" w:hAnsi="Times New Roman"/>
        </w:rPr>
      </w:pPr>
      <w:r w:rsidRPr="00DF5070">
        <w:rPr>
          <w:rFonts w:ascii="Times New Roman" w:hAnsi="Times New Roman"/>
        </w:rPr>
        <w:tab/>
      </w:r>
      <w:r w:rsidRPr="00DF5070">
        <w:rPr>
          <w:rFonts w:ascii="Times New Roman" w:hAnsi="Times New Roman"/>
        </w:rPr>
        <w:tab/>
      </w:r>
      <w:r w:rsidR="000678BD" w:rsidRPr="00DF5070">
        <w:rPr>
          <w:rFonts w:ascii="Times New Roman" w:hAnsi="Times New Roman"/>
        </w:rPr>
        <w:t>'</w:t>
      </w:r>
      <w:r w:rsidR="007D42D1" w:rsidRPr="00DF5070">
        <w:rPr>
          <w:rFonts w:ascii="Times New Roman" w:hAnsi="Times New Roman"/>
        </w:rPr>
        <w:t>Punishment for breaches of the criminal law traditionally involves three elements: deterrence, both general and individual, retribution and rehabilitation. Neither retribution nor rehabilitation, within the sense of the Old and New Testament moralities that imbue much of our criminal law, have any part to play in economic regulation of the kind contemplated by Pt</w:t>
      </w:r>
      <w:r w:rsidR="00D57C29" w:rsidRPr="00DF5070">
        <w:rPr>
          <w:rFonts w:ascii="Times New Roman" w:hAnsi="Times New Roman"/>
        </w:rPr>
        <w:t> </w:t>
      </w:r>
      <w:r w:rsidR="007D42D1" w:rsidRPr="00DF5070">
        <w:rPr>
          <w:rFonts w:ascii="Times New Roman" w:hAnsi="Times New Roman"/>
        </w:rPr>
        <w:t xml:space="preserve">IV [of the </w:t>
      </w:r>
      <w:r w:rsidR="007D42D1" w:rsidRPr="00DF5070">
        <w:rPr>
          <w:rFonts w:ascii="Times New Roman" w:hAnsi="Times New Roman"/>
          <w:i/>
        </w:rPr>
        <w:t>Trade Practices Act</w:t>
      </w:r>
      <w:r w:rsidR="007D42D1" w:rsidRPr="00DF5070">
        <w:rPr>
          <w:rFonts w:ascii="Times New Roman" w:hAnsi="Times New Roman"/>
        </w:rPr>
        <w:t>] … The principal, and I think probably the only, object of the penalties imposed by s</w:t>
      </w:r>
      <w:r w:rsidR="00D57C29" w:rsidRPr="00DF5070">
        <w:rPr>
          <w:rFonts w:ascii="Times New Roman" w:hAnsi="Times New Roman"/>
        </w:rPr>
        <w:t> </w:t>
      </w:r>
      <w:r w:rsidR="007D42D1" w:rsidRPr="00DF5070">
        <w:rPr>
          <w:rFonts w:ascii="Times New Roman" w:hAnsi="Times New Roman"/>
        </w:rPr>
        <w:t xml:space="preserve">76 is to attempt to put a price on contravention that is sufficiently high to deter repetition by the </w:t>
      </w:r>
      <w:proofErr w:type="spellStart"/>
      <w:r w:rsidR="007D42D1" w:rsidRPr="00DF5070">
        <w:rPr>
          <w:rFonts w:ascii="Times New Roman" w:hAnsi="Times New Roman"/>
        </w:rPr>
        <w:t>contravenor</w:t>
      </w:r>
      <w:proofErr w:type="spellEnd"/>
      <w:r w:rsidR="007D42D1" w:rsidRPr="00DF5070">
        <w:rPr>
          <w:rFonts w:ascii="Times New Roman" w:hAnsi="Times New Roman"/>
        </w:rPr>
        <w:t xml:space="preserve"> and by others who might be tempted to contravene the Act.</w:t>
      </w:r>
      <w:r w:rsidR="000678BD" w:rsidRPr="00DF5070">
        <w:rPr>
          <w:rFonts w:ascii="Times New Roman" w:hAnsi="Times New Roman"/>
        </w:rPr>
        <w:t>'</w:t>
      </w:r>
      <w:r w:rsidRPr="00DF5070">
        <w:rPr>
          <w:rFonts w:ascii="Times New Roman" w:hAnsi="Times New Roman"/>
        </w:rPr>
        <w:t>"</w:t>
      </w:r>
    </w:p>
    <w:p w14:paraId="38759A41" w14:textId="0B43E228" w:rsidR="00164C35" w:rsidRPr="00DF5070" w:rsidRDefault="00CA606A" w:rsidP="00DF5070">
      <w:pPr>
        <w:pStyle w:val="FixListStyle"/>
        <w:spacing w:after="260" w:line="280" w:lineRule="exact"/>
        <w:ind w:right="0"/>
        <w:jc w:val="both"/>
        <w:rPr>
          <w:rFonts w:ascii="Times New Roman" w:hAnsi="Times New Roman"/>
        </w:rPr>
      </w:pPr>
      <w:r w:rsidRPr="00DF5070">
        <w:rPr>
          <w:rFonts w:ascii="Times New Roman" w:hAnsi="Times New Roman"/>
        </w:rPr>
        <w:lastRenderedPageBreak/>
        <w:tab/>
      </w:r>
      <w:r w:rsidR="00394970" w:rsidRPr="00DF5070">
        <w:rPr>
          <w:rFonts w:ascii="Times New Roman" w:hAnsi="Times New Roman"/>
        </w:rPr>
        <w:t xml:space="preserve">In </w:t>
      </w:r>
      <w:r w:rsidR="0007773B" w:rsidRPr="00DF5070">
        <w:rPr>
          <w:rFonts w:ascii="Times New Roman" w:hAnsi="Times New Roman"/>
        </w:rPr>
        <w:t xml:space="preserve">a similar vein, in </w:t>
      </w:r>
      <w:r w:rsidR="00394970" w:rsidRPr="00DF5070">
        <w:rPr>
          <w:rFonts w:ascii="Times New Roman" w:hAnsi="Times New Roman"/>
          <w:i/>
        </w:rPr>
        <w:t>Construction, Forestry, Maritime, Mining and Energy Union v Australian Building and Construction Commissioner</w:t>
      </w:r>
      <w:r w:rsidR="003D757A" w:rsidRPr="00DF5070">
        <w:rPr>
          <w:rStyle w:val="FootnoteReference"/>
          <w:rFonts w:ascii="Times New Roman" w:hAnsi="Times New Roman"/>
          <w:sz w:val="24"/>
        </w:rPr>
        <w:footnoteReference w:id="22"/>
      </w:r>
      <w:r w:rsidR="008D0492" w:rsidRPr="00DF5070">
        <w:rPr>
          <w:rFonts w:ascii="Times New Roman" w:hAnsi="Times New Roman"/>
        </w:rPr>
        <w:t>, the Full Court</w:t>
      </w:r>
      <w:r w:rsidR="005939F1" w:rsidRPr="00DF5070">
        <w:rPr>
          <w:rFonts w:ascii="Times New Roman" w:hAnsi="Times New Roman"/>
        </w:rPr>
        <w:t xml:space="preserve"> of the Federal Court </w:t>
      </w:r>
      <w:r w:rsidR="008D0492" w:rsidRPr="00DF5070">
        <w:rPr>
          <w:rFonts w:ascii="Times New Roman" w:hAnsi="Times New Roman"/>
        </w:rPr>
        <w:t>cit</w:t>
      </w:r>
      <w:r w:rsidR="00717065" w:rsidRPr="00DF5070">
        <w:rPr>
          <w:rFonts w:ascii="Times New Roman" w:hAnsi="Times New Roman"/>
        </w:rPr>
        <w:t>ed</w:t>
      </w:r>
      <w:r w:rsidR="00E02837" w:rsidRPr="00DF5070">
        <w:rPr>
          <w:rFonts w:ascii="Times New Roman" w:hAnsi="Times New Roman"/>
        </w:rPr>
        <w:t xml:space="preserve"> the decision of French J in</w:t>
      </w:r>
      <w:r w:rsidR="008D0492" w:rsidRPr="00DF5070">
        <w:rPr>
          <w:rFonts w:ascii="Times New Roman" w:hAnsi="Times New Roman"/>
        </w:rPr>
        <w:t xml:space="preserve"> </w:t>
      </w:r>
      <w:r w:rsidR="008D0492" w:rsidRPr="00DF5070">
        <w:rPr>
          <w:rFonts w:ascii="Times New Roman" w:hAnsi="Times New Roman"/>
          <w:i/>
        </w:rPr>
        <w:t xml:space="preserve">Trade Practices Commission v CSR </w:t>
      </w:r>
      <w:r w:rsidR="00F65A0D" w:rsidRPr="00DF5070">
        <w:rPr>
          <w:rFonts w:ascii="Times New Roman" w:hAnsi="Times New Roman"/>
          <w:i/>
        </w:rPr>
        <w:t>Ltd</w:t>
      </w:r>
      <w:r w:rsidR="002B43CF" w:rsidRPr="00DF5070">
        <w:rPr>
          <w:rStyle w:val="FootnoteReference"/>
          <w:rFonts w:ascii="Times New Roman" w:hAnsi="Times New Roman"/>
          <w:sz w:val="24"/>
        </w:rPr>
        <w:footnoteReference w:id="23"/>
      </w:r>
      <w:r w:rsidR="002B43CF" w:rsidRPr="00DF5070">
        <w:rPr>
          <w:rFonts w:ascii="Times New Roman" w:hAnsi="Times New Roman"/>
        </w:rPr>
        <w:t xml:space="preserve"> </w:t>
      </w:r>
      <w:r w:rsidR="008D0492" w:rsidRPr="00DF5070">
        <w:rPr>
          <w:rFonts w:ascii="Times New Roman" w:hAnsi="Times New Roman"/>
        </w:rPr>
        <w:t>and the</w:t>
      </w:r>
      <w:r w:rsidR="00E02837" w:rsidRPr="00DF5070">
        <w:rPr>
          <w:rFonts w:ascii="Times New Roman" w:hAnsi="Times New Roman"/>
        </w:rPr>
        <w:t xml:space="preserve"> reasons of the plurality in the</w:t>
      </w:r>
      <w:r w:rsidR="008D0492" w:rsidRPr="00DF5070">
        <w:rPr>
          <w:rFonts w:ascii="Times New Roman" w:hAnsi="Times New Roman"/>
        </w:rPr>
        <w:t xml:space="preserve"> </w:t>
      </w:r>
      <w:r w:rsidR="008D0492" w:rsidRPr="00DF5070">
        <w:rPr>
          <w:rFonts w:ascii="Times New Roman" w:hAnsi="Times New Roman"/>
          <w:i/>
        </w:rPr>
        <w:t>Agreed Penalties Case</w:t>
      </w:r>
      <w:r w:rsidR="00717065" w:rsidRPr="00DF5070">
        <w:rPr>
          <w:rFonts w:ascii="Times New Roman" w:hAnsi="Times New Roman"/>
        </w:rPr>
        <w:t xml:space="preserve"> as </w:t>
      </w:r>
      <w:r w:rsidR="00164C35" w:rsidRPr="00DF5070">
        <w:rPr>
          <w:rFonts w:ascii="Times New Roman" w:hAnsi="Times New Roman"/>
        </w:rPr>
        <w:t>establishing</w:t>
      </w:r>
      <w:r w:rsidR="00717065" w:rsidRPr="00DF5070">
        <w:rPr>
          <w:rFonts w:ascii="Times New Roman" w:hAnsi="Times New Roman"/>
        </w:rPr>
        <w:t xml:space="preserve"> that deterrence is the "principal and indeed only object" of the imposition of a civil penalty</w:t>
      </w:r>
      <w:r w:rsidR="00D70628" w:rsidRPr="00DF5070">
        <w:rPr>
          <w:rFonts w:ascii="Times New Roman" w:hAnsi="Times New Roman"/>
        </w:rPr>
        <w:t xml:space="preserve">: </w:t>
      </w:r>
      <w:r w:rsidR="00C928D4" w:rsidRPr="00DF5070">
        <w:rPr>
          <w:rFonts w:ascii="Times New Roman" w:hAnsi="Times New Roman"/>
        </w:rPr>
        <w:t>"</w:t>
      </w:r>
      <w:r w:rsidR="00FA723D" w:rsidRPr="00DF5070">
        <w:rPr>
          <w:rFonts w:ascii="Times New Roman" w:hAnsi="Times New Roman"/>
        </w:rPr>
        <w:t>[r]</w:t>
      </w:r>
      <w:proofErr w:type="spellStart"/>
      <w:r w:rsidR="00C928D4" w:rsidRPr="00DF5070">
        <w:rPr>
          <w:rFonts w:ascii="Times New Roman" w:hAnsi="Times New Roman"/>
        </w:rPr>
        <w:t>etribution</w:t>
      </w:r>
      <w:proofErr w:type="spellEnd"/>
      <w:r w:rsidR="00C928D4" w:rsidRPr="00DF5070">
        <w:rPr>
          <w:rFonts w:ascii="Times New Roman" w:hAnsi="Times New Roman"/>
        </w:rPr>
        <w:t xml:space="preserve">, denunciation and rehabilitation have no part to play". </w:t>
      </w:r>
    </w:p>
    <w:p w14:paraId="1FD833A8" w14:textId="31A6A8C7" w:rsidR="00D61B5D" w:rsidRPr="00DF5070" w:rsidRDefault="00D61B5D"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In </w:t>
      </w:r>
      <w:r w:rsidR="0007773B" w:rsidRPr="00DF5070">
        <w:rPr>
          <w:rFonts w:ascii="Times New Roman" w:hAnsi="Times New Roman"/>
        </w:rPr>
        <w:t xml:space="preserve">explaining the deterrent object of civil penalty regimes such as that found in the Act, </w:t>
      </w:r>
      <w:r w:rsidR="00C92CF8" w:rsidRPr="00DF5070">
        <w:rPr>
          <w:rFonts w:ascii="Times New Roman" w:hAnsi="Times New Roman"/>
        </w:rPr>
        <w:t>the</w:t>
      </w:r>
      <w:r w:rsidR="0007773B" w:rsidRPr="00DF5070">
        <w:rPr>
          <w:rFonts w:ascii="Times New Roman" w:hAnsi="Times New Roman"/>
        </w:rPr>
        <w:t xml:space="preserve"> </w:t>
      </w:r>
      <w:r w:rsidR="00013E5D" w:rsidRPr="00DF5070">
        <w:rPr>
          <w:rFonts w:ascii="Times New Roman" w:hAnsi="Times New Roman"/>
        </w:rPr>
        <w:t xml:space="preserve">majority </w:t>
      </w:r>
      <w:r w:rsidR="0007773B" w:rsidRPr="00DF5070">
        <w:rPr>
          <w:rFonts w:ascii="Times New Roman" w:hAnsi="Times New Roman"/>
        </w:rPr>
        <w:t xml:space="preserve">of this Court in </w:t>
      </w:r>
      <w:r w:rsidRPr="00DF5070">
        <w:rPr>
          <w:rFonts w:ascii="Times New Roman" w:hAnsi="Times New Roman"/>
          <w:i/>
          <w:iCs/>
        </w:rPr>
        <w:t>Australian Competition and Consumer Commission v TPG Internet Pty Ltd</w:t>
      </w:r>
      <w:r w:rsidRPr="00DF5070">
        <w:rPr>
          <w:rStyle w:val="FootnoteReference"/>
          <w:rFonts w:ascii="Times New Roman" w:hAnsi="Times New Roman"/>
          <w:iCs/>
          <w:sz w:val="24"/>
        </w:rPr>
        <w:footnoteReference w:id="24"/>
      </w:r>
      <w:r w:rsidRPr="00DF5070">
        <w:rPr>
          <w:rFonts w:ascii="Times New Roman" w:hAnsi="Times New Roman"/>
        </w:rPr>
        <w:t xml:space="preserve"> approved the statement by the Full Court of the Federal Court in </w:t>
      </w:r>
      <w:r w:rsidRPr="00DF5070">
        <w:rPr>
          <w:rFonts w:ascii="Times New Roman" w:hAnsi="Times New Roman"/>
          <w:i/>
          <w:iCs/>
        </w:rPr>
        <w:t>Singtel Optus Pty Ltd v Australian Competition and Consumer Commission</w:t>
      </w:r>
      <w:r w:rsidRPr="00DF5070">
        <w:rPr>
          <w:rStyle w:val="FootnoteReference"/>
          <w:rFonts w:ascii="Times New Roman" w:hAnsi="Times New Roman"/>
          <w:iCs/>
          <w:sz w:val="24"/>
        </w:rPr>
        <w:footnoteReference w:id="25"/>
      </w:r>
      <w:r w:rsidRPr="00DF5070">
        <w:rPr>
          <w:rFonts w:ascii="Times New Roman" w:hAnsi="Times New Roman"/>
        </w:rPr>
        <w:t xml:space="preserve"> that a civil penalty: </w:t>
      </w:r>
    </w:p>
    <w:p w14:paraId="7D939825" w14:textId="77777777" w:rsidR="00DF5070" w:rsidRDefault="00D61B5D" w:rsidP="00DF5070">
      <w:pPr>
        <w:pStyle w:val="LeftrightafterHC"/>
        <w:spacing w:before="0" w:after="260" w:line="280" w:lineRule="exact"/>
        <w:ind w:right="0"/>
        <w:jc w:val="both"/>
        <w:rPr>
          <w:rFonts w:ascii="Times New Roman" w:hAnsi="Times New Roman"/>
        </w:rPr>
      </w:pPr>
      <w:r w:rsidRPr="00DF5070">
        <w:rPr>
          <w:rFonts w:ascii="Times New Roman" w:hAnsi="Times New Roman"/>
        </w:rPr>
        <w:t>"must be fixed with a view to ensuring that the penalty is not such as to be regarded by [the] offender or others as an acceptable cost of doing business"</w:t>
      </w:r>
      <w:r w:rsidR="00130C3C" w:rsidRPr="00DF5070">
        <w:rPr>
          <w:rFonts w:ascii="Times New Roman" w:hAnsi="Times New Roman"/>
        </w:rPr>
        <w:t>.</w:t>
      </w:r>
    </w:p>
    <w:p w14:paraId="59B7949B" w14:textId="1C97909D" w:rsidR="008B2779" w:rsidRPr="00DF5070" w:rsidRDefault="00FF4213" w:rsidP="00DF5070">
      <w:pPr>
        <w:pStyle w:val="FixListStyle"/>
        <w:spacing w:after="260" w:line="280" w:lineRule="exact"/>
        <w:ind w:right="0"/>
        <w:jc w:val="both"/>
        <w:rPr>
          <w:rFonts w:ascii="Times New Roman" w:hAnsi="Times New Roman"/>
        </w:rPr>
      </w:pPr>
      <w:r w:rsidRPr="00DF5070">
        <w:rPr>
          <w:rFonts w:ascii="Times New Roman" w:hAnsi="Times New Roman"/>
        </w:rPr>
        <w:tab/>
        <w:t>In</w:t>
      </w:r>
      <w:r w:rsidR="008B2779" w:rsidRPr="00DF5070">
        <w:rPr>
          <w:rFonts w:ascii="Times New Roman" w:hAnsi="Times New Roman"/>
          <w:i/>
        </w:rPr>
        <w:t xml:space="preserve"> CSR</w:t>
      </w:r>
      <w:r w:rsidR="002B43CF" w:rsidRPr="00DF5070">
        <w:rPr>
          <w:rStyle w:val="FootnoteReference"/>
          <w:rFonts w:ascii="Times New Roman" w:hAnsi="Times New Roman"/>
          <w:sz w:val="24"/>
        </w:rPr>
        <w:footnoteReference w:id="26"/>
      </w:r>
      <w:r w:rsidRPr="00DF5070">
        <w:rPr>
          <w:rFonts w:ascii="Times New Roman" w:hAnsi="Times New Roman"/>
        </w:rPr>
        <w:t xml:space="preserve">, </w:t>
      </w:r>
      <w:r w:rsidR="008B2779" w:rsidRPr="00DF5070">
        <w:rPr>
          <w:rFonts w:ascii="Times New Roman" w:hAnsi="Times New Roman"/>
        </w:rPr>
        <w:t>French</w:t>
      </w:r>
      <w:r w:rsidR="00EB1FB2" w:rsidRPr="00DF5070">
        <w:rPr>
          <w:rFonts w:ascii="Times New Roman" w:hAnsi="Times New Roman"/>
        </w:rPr>
        <w:t> </w:t>
      </w:r>
      <w:r w:rsidR="008B2779" w:rsidRPr="00DF5070">
        <w:rPr>
          <w:rFonts w:ascii="Times New Roman" w:hAnsi="Times New Roman"/>
        </w:rPr>
        <w:t xml:space="preserve">J </w:t>
      </w:r>
      <w:r w:rsidRPr="00DF5070">
        <w:rPr>
          <w:rFonts w:ascii="Times New Roman" w:hAnsi="Times New Roman"/>
        </w:rPr>
        <w:t xml:space="preserve">listed several </w:t>
      </w:r>
      <w:r w:rsidR="008B2779" w:rsidRPr="00DF5070">
        <w:rPr>
          <w:rFonts w:ascii="Times New Roman" w:hAnsi="Times New Roman"/>
        </w:rPr>
        <w:t>factors</w:t>
      </w:r>
      <w:r w:rsidRPr="00DF5070">
        <w:rPr>
          <w:rFonts w:ascii="Times New Roman" w:hAnsi="Times New Roman"/>
        </w:rPr>
        <w:t xml:space="preserve"> which </w:t>
      </w:r>
      <w:r w:rsidR="00E0494F" w:rsidRPr="00DF5070">
        <w:rPr>
          <w:rFonts w:ascii="Times New Roman" w:hAnsi="Times New Roman"/>
        </w:rPr>
        <w:t xml:space="preserve">informed the assessment </w:t>
      </w:r>
      <w:r w:rsidR="00543E92" w:rsidRPr="00DF5070">
        <w:rPr>
          <w:rFonts w:ascii="Times New Roman" w:hAnsi="Times New Roman"/>
        </w:rPr>
        <w:t xml:space="preserve">under the </w:t>
      </w:r>
      <w:r w:rsidR="00543E92" w:rsidRPr="00DF5070">
        <w:rPr>
          <w:rFonts w:ascii="Times New Roman" w:hAnsi="Times New Roman"/>
          <w:i/>
          <w:iCs/>
        </w:rPr>
        <w:t>Trade Practices Act 1974 </w:t>
      </w:r>
      <w:r w:rsidR="00463003" w:rsidRPr="00DF5070">
        <w:rPr>
          <w:rFonts w:ascii="Times New Roman" w:hAnsi="Times New Roman"/>
        </w:rPr>
        <w:t>(</w:t>
      </w:r>
      <w:proofErr w:type="spellStart"/>
      <w:r w:rsidR="00463003" w:rsidRPr="00DF5070">
        <w:rPr>
          <w:rFonts w:ascii="Times New Roman" w:hAnsi="Times New Roman"/>
        </w:rPr>
        <w:t>Cth</w:t>
      </w:r>
      <w:proofErr w:type="spellEnd"/>
      <w:r w:rsidR="00463003" w:rsidRPr="00DF5070">
        <w:rPr>
          <w:rFonts w:ascii="Times New Roman" w:hAnsi="Times New Roman"/>
        </w:rPr>
        <w:t>)</w:t>
      </w:r>
      <w:r w:rsidR="003714E0" w:rsidRPr="00DF5070">
        <w:rPr>
          <w:rFonts w:ascii="Times New Roman" w:hAnsi="Times New Roman"/>
        </w:rPr>
        <w:t xml:space="preserve"> </w:t>
      </w:r>
      <w:r w:rsidR="00E0494F" w:rsidRPr="00DF5070">
        <w:rPr>
          <w:rFonts w:ascii="Times New Roman" w:hAnsi="Times New Roman"/>
        </w:rPr>
        <w:t>of a penalty of appropriate deterrent value:</w:t>
      </w:r>
    </w:p>
    <w:p w14:paraId="40B14744" w14:textId="3FACDF7F" w:rsidR="00E0494F" w:rsidRPr="00DF5070" w:rsidRDefault="000F7F84" w:rsidP="00DF5070">
      <w:pPr>
        <w:pStyle w:val="leftright"/>
        <w:spacing w:before="0" w:after="260" w:line="280" w:lineRule="exact"/>
        <w:ind w:right="0"/>
        <w:jc w:val="both"/>
        <w:rPr>
          <w:rFonts w:ascii="Times New Roman" w:hAnsi="Times New Roman"/>
        </w:rPr>
      </w:pPr>
      <w:r w:rsidRPr="00DF5070">
        <w:rPr>
          <w:rFonts w:ascii="Times New Roman" w:hAnsi="Times New Roman"/>
        </w:rPr>
        <w:tab/>
      </w:r>
      <w:r w:rsidR="00E0494F" w:rsidRPr="00DF5070">
        <w:rPr>
          <w:rFonts w:ascii="Times New Roman" w:hAnsi="Times New Roman"/>
        </w:rPr>
        <w:t>"The assessment of a penalty of appropriate deterrent value will have regard to a number of factors which have been canvassed in the cases. These include the following:</w:t>
      </w:r>
    </w:p>
    <w:p w14:paraId="5BE4B54A" w14:textId="68027DAD" w:rsidR="00E0494F" w:rsidRPr="00DF5070" w:rsidRDefault="00E0494F" w:rsidP="00DF5070">
      <w:pPr>
        <w:pStyle w:val="LeftrightHanging"/>
        <w:spacing w:before="0" w:after="260" w:line="280" w:lineRule="exact"/>
        <w:ind w:left="2160" w:right="0"/>
        <w:jc w:val="both"/>
        <w:rPr>
          <w:rFonts w:ascii="Times New Roman" w:hAnsi="Times New Roman"/>
        </w:rPr>
      </w:pPr>
      <w:r w:rsidRPr="00DF5070">
        <w:rPr>
          <w:rFonts w:ascii="Times New Roman" w:hAnsi="Times New Roman"/>
        </w:rPr>
        <w:t>1.</w:t>
      </w:r>
      <w:r w:rsidRPr="00DF5070">
        <w:rPr>
          <w:rFonts w:ascii="Times New Roman" w:hAnsi="Times New Roman"/>
        </w:rPr>
        <w:tab/>
        <w:t>The nature and extent of the contravening conduct.</w:t>
      </w:r>
    </w:p>
    <w:p w14:paraId="429C330F" w14:textId="5570A4C9" w:rsidR="00E0494F" w:rsidRPr="00DF5070" w:rsidRDefault="00E0494F" w:rsidP="00DF5070">
      <w:pPr>
        <w:pStyle w:val="LeftrightHanging"/>
        <w:spacing w:before="0" w:after="260" w:line="280" w:lineRule="exact"/>
        <w:ind w:left="2160" w:right="0"/>
        <w:jc w:val="both"/>
        <w:rPr>
          <w:rFonts w:ascii="Times New Roman" w:hAnsi="Times New Roman"/>
        </w:rPr>
      </w:pPr>
      <w:r w:rsidRPr="00DF5070">
        <w:rPr>
          <w:rFonts w:ascii="Times New Roman" w:hAnsi="Times New Roman"/>
        </w:rPr>
        <w:t>2.</w:t>
      </w:r>
      <w:r w:rsidRPr="00DF5070">
        <w:rPr>
          <w:rFonts w:ascii="Times New Roman" w:hAnsi="Times New Roman"/>
        </w:rPr>
        <w:tab/>
        <w:t>The amount of loss or damage caused.</w:t>
      </w:r>
    </w:p>
    <w:p w14:paraId="5D6E8344" w14:textId="7A445164" w:rsidR="00E0494F" w:rsidRPr="00DF5070" w:rsidRDefault="00E0494F" w:rsidP="00DF5070">
      <w:pPr>
        <w:pStyle w:val="LeftrightHanging"/>
        <w:spacing w:before="0" w:after="260" w:line="280" w:lineRule="exact"/>
        <w:ind w:left="2160" w:right="0"/>
        <w:jc w:val="both"/>
        <w:rPr>
          <w:rFonts w:ascii="Times New Roman" w:hAnsi="Times New Roman"/>
        </w:rPr>
      </w:pPr>
      <w:r w:rsidRPr="00DF5070">
        <w:rPr>
          <w:rFonts w:ascii="Times New Roman" w:hAnsi="Times New Roman"/>
        </w:rPr>
        <w:lastRenderedPageBreak/>
        <w:t>3.</w:t>
      </w:r>
      <w:r w:rsidRPr="00DF5070">
        <w:rPr>
          <w:rFonts w:ascii="Times New Roman" w:hAnsi="Times New Roman"/>
        </w:rPr>
        <w:tab/>
        <w:t>The circumstances in which the conduct took place.</w:t>
      </w:r>
    </w:p>
    <w:p w14:paraId="29F3518E" w14:textId="5EA107D8" w:rsidR="00E0494F" w:rsidRPr="00DF5070" w:rsidRDefault="00E0494F" w:rsidP="00DF5070">
      <w:pPr>
        <w:pStyle w:val="LeftrightHanging"/>
        <w:spacing w:before="0" w:after="260" w:line="280" w:lineRule="exact"/>
        <w:ind w:left="2160" w:right="0"/>
        <w:jc w:val="both"/>
        <w:rPr>
          <w:rFonts w:ascii="Times New Roman" w:hAnsi="Times New Roman"/>
        </w:rPr>
      </w:pPr>
      <w:r w:rsidRPr="00DF5070">
        <w:rPr>
          <w:rFonts w:ascii="Times New Roman" w:hAnsi="Times New Roman"/>
        </w:rPr>
        <w:t>4.</w:t>
      </w:r>
      <w:r w:rsidRPr="00DF5070">
        <w:rPr>
          <w:rFonts w:ascii="Times New Roman" w:hAnsi="Times New Roman"/>
        </w:rPr>
        <w:tab/>
        <w:t>The size of the contravening company.</w:t>
      </w:r>
    </w:p>
    <w:p w14:paraId="62B6D297" w14:textId="1C7DCC75" w:rsidR="00E0494F" w:rsidRPr="00DF5070" w:rsidRDefault="00E0494F" w:rsidP="00DF5070">
      <w:pPr>
        <w:pStyle w:val="LeftrightHanging"/>
        <w:spacing w:before="0" w:after="260" w:line="280" w:lineRule="exact"/>
        <w:ind w:left="2160" w:right="0"/>
        <w:jc w:val="both"/>
        <w:rPr>
          <w:rFonts w:ascii="Times New Roman" w:hAnsi="Times New Roman"/>
        </w:rPr>
      </w:pPr>
      <w:r w:rsidRPr="00DF5070">
        <w:rPr>
          <w:rFonts w:ascii="Times New Roman" w:hAnsi="Times New Roman"/>
        </w:rPr>
        <w:t>5.</w:t>
      </w:r>
      <w:r w:rsidRPr="00DF5070">
        <w:rPr>
          <w:rFonts w:ascii="Times New Roman" w:hAnsi="Times New Roman"/>
        </w:rPr>
        <w:tab/>
        <w:t>The degree of power it has, as evidenced by its market share and ease of entry into the market.</w:t>
      </w:r>
    </w:p>
    <w:p w14:paraId="21196698" w14:textId="4CE6FD59" w:rsidR="00E0494F" w:rsidRPr="00DF5070" w:rsidRDefault="00E0494F" w:rsidP="00DF5070">
      <w:pPr>
        <w:pStyle w:val="LeftrightHanging"/>
        <w:spacing w:before="0" w:after="260" w:line="280" w:lineRule="exact"/>
        <w:ind w:left="2160" w:right="0"/>
        <w:jc w:val="both"/>
        <w:rPr>
          <w:rFonts w:ascii="Times New Roman" w:hAnsi="Times New Roman"/>
        </w:rPr>
      </w:pPr>
      <w:r w:rsidRPr="00DF5070">
        <w:rPr>
          <w:rFonts w:ascii="Times New Roman" w:hAnsi="Times New Roman"/>
        </w:rPr>
        <w:t>6.</w:t>
      </w:r>
      <w:r w:rsidRPr="00DF5070">
        <w:rPr>
          <w:rFonts w:ascii="Times New Roman" w:hAnsi="Times New Roman"/>
        </w:rPr>
        <w:tab/>
        <w:t>The deliberateness of the contravention and the period over which it extended.</w:t>
      </w:r>
    </w:p>
    <w:p w14:paraId="549211FA" w14:textId="6AF9C50D" w:rsidR="00E0494F" w:rsidRPr="00DF5070" w:rsidRDefault="00E0494F" w:rsidP="00DF5070">
      <w:pPr>
        <w:pStyle w:val="LeftrightHanging"/>
        <w:spacing w:before="0" w:after="260" w:line="280" w:lineRule="exact"/>
        <w:ind w:left="2160" w:right="0"/>
        <w:jc w:val="both"/>
        <w:rPr>
          <w:rFonts w:ascii="Times New Roman" w:hAnsi="Times New Roman"/>
        </w:rPr>
      </w:pPr>
      <w:r w:rsidRPr="00DF5070">
        <w:rPr>
          <w:rFonts w:ascii="Times New Roman" w:hAnsi="Times New Roman"/>
        </w:rPr>
        <w:t>7.</w:t>
      </w:r>
      <w:r w:rsidRPr="00DF5070">
        <w:rPr>
          <w:rFonts w:ascii="Times New Roman" w:hAnsi="Times New Roman"/>
        </w:rPr>
        <w:tab/>
        <w:t>Whether the contravention arose out of the conduct of senior management or at a lower level.</w:t>
      </w:r>
    </w:p>
    <w:p w14:paraId="0B097445" w14:textId="13EA54A3" w:rsidR="00E0494F" w:rsidRPr="00DF5070" w:rsidRDefault="00E0494F" w:rsidP="00DF5070">
      <w:pPr>
        <w:pStyle w:val="LeftrightHanging"/>
        <w:spacing w:before="0" w:after="260" w:line="280" w:lineRule="exact"/>
        <w:ind w:left="2160" w:right="0"/>
        <w:jc w:val="both"/>
        <w:rPr>
          <w:rFonts w:ascii="Times New Roman" w:hAnsi="Times New Roman"/>
        </w:rPr>
      </w:pPr>
      <w:r w:rsidRPr="00DF5070">
        <w:rPr>
          <w:rFonts w:ascii="Times New Roman" w:hAnsi="Times New Roman"/>
        </w:rPr>
        <w:t>8.</w:t>
      </w:r>
      <w:r w:rsidRPr="00DF5070">
        <w:rPr>
          <w:rFonts w:ascii="Times New Roman" w:hAnsi="Times New Roman"/>
        </w:rPr>
        <w:tab/>
        <w:t>Whether the company has a corporate culture conducive to compliance with the Act, as evidenced by educational programs and disciplinary or other corrective measures in response to an acknowledged contravention.</w:t>
      </w:r>
    </w:p>
    <w:p w14:paraId="2A959B27" w14:textId="77777777" w:rsidR="00DF5070" w:rsidRDefault="00E0494F" w:rsidP="00DF5070">
      <w:pPr>
        <w:pStyle w:val="LeftrightHanging"/>
        <w:spacing w:before="0" w:after="260" w:line="280" w:lineRule="exact"/>
        <w:ind w:left="2160" w:right="0"/>
        <w:jc w:val="both"/>
        <w:rPr>
          <w:rFonts w:ascii="Times New Roman" w:hAnsi="Times New Roman"/>
        </w:rPr>
      </w:pPr>
      <w:r w:rsidRPr="00DF5070">
        <w:rPr>
          <w:rFonts w:ascii="Times New Roman" w:hAnsi="Times New Roman"/>
        </w:rPr>
        <w:t>9.</w:t>
      </w:r>
      <w:r w:rsidRPr="00DF5070">
        <w:rPr>
          <w:rFonts w:ascii="Times New Roman" w:hAnsi="Times New Roman"/>
        </w:rPr>
        <w:tab/>
        <w:t>Whether the company has shown a disposition to co</w:t>
      </w:r>
      <w:r w:rsidRPr="00DF5070">
        <w:rPr>
          <w:rFonts w:ascii="Times New Roman" w:hAnsi="Times New Roman"/>
        </w:rPr>
        <w:noBreakHyphen/>
        <w:t>operate with the authorities responsible for the enforcement of the Act in relation to the contravention."</w:t>
      </w:r>
    </w:p>
    <w:p w14:paraId="0A0986FE" w14:textId="5968F541" w:rsidR="00D42260" w:rsidRPr="00DF5070" w:rsidRDefault="003275D3"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07773B" w:rsidRPr="00DF5070">
        <w:rPr>
          <w:rFonts w:ascii="Times New Roman" w:hAnsi="Times New Roman"/>
        </w:rPr>
        <w:t xml:space="preserve">It may </w:t>
      </w:r>
      <w:r w:rsidR="004E7A37" w:rsidRPr="00DF5070">
        <w:rPr>
          <w:rFonts w:ascii="Times New Roman" w:hAnsi="Times New Roman"/>
        </w:rPr>
        <w:t>readily be seen</w:t>
      </w:r>
      <w:r w:rsidR="0007773B" w:rsidRPr="00DF5070">
        <w:rPr>
          <w:rFonts w:ascii="Times New Roman" w:hAnsi="Times New Roman"/>
        </w:rPr>
        <w:t xml:space="preserve"> that this list of factors includes matters pertaining both to the character of the contravening conduct (such as factors 1 to 3) and to the character of the </w:t>
      </w:r>
      <w:proofErr w:type="spellStart"/>
      <w:r w:rsidR="0007773B" w:rsidRPr="00DF5070">
        <w:rPr>
          <w:rFonts w:ascii="Times New Roman" w:hAnsi="Times New Roman"/>
        </w:rPr>
        <w:t>contravenor</w:t>
      </w:r>
      <w:proofErr w:type="spellEnd"/>
      <w:r w:rsidR="0007773B" w:rsidRPr="00DF5070">
        <w:rPr>
          <w:rFonts w:ascii="Times New Roman" w:hAnsi="Times New Roman"/>
        </w:rPr>
        <w:t xml:space="preserve"> (such as factors 4, 5, 8 and 9). It is important, however, not to regard </w:t>
      </w:r>
      <w:r w:rsidR="007923DD" w:rsidRPr="00DF5070">
        <w:rPr>
          <w:rFonts w:ascii="Times New Roman" w:hAnsi="Times New Roman"/>
        </w:rPr>
        <w:t>t</w:t>
      </w:r>
      <w:r w:rsidR="00BE41E5" w:rsidRPr="00DF5070">
        <w:rPr>
          <w:rFonts w:ascii="Times New Roman" w:hAnsi="Times New Roman"/>
        </w:rPr>
        <w:t xml:space="preserve">he </w:t>
      </w:r>
      <w:r w:rsidRPr="00DF5070">
        <w:rPr>
          <w:rFonts w:ascii="Times New Roman" w:hAnsi="Times New Roman"/>
        </w:rPr>
        <w:t>list of possible relevant considerations</w:t>
      </w:r>
      <w:r w:rsidRPr="00DF5070">
        <w:rPr>
          <w:rStyle w:val="FootnoteReference"/>
          <w:rFonts w:ascii="Times New Roman" w:hAnsi="Times New Roman"/>
          <w:sz w:val="24"/>
        </w:rPr>
        <w:footnoteReference w:id="27"/>
      </w:r>
      <w:r w:rsidRPr="00DF5070">
        <w:rPr>
          <w:rFonts w:ascii="Times New Roman" w:hAnsi="Times New Roman"/>
        </w:rPr>
        <w:t xml:space="preserve"> </w:t>
      </w:r>
      <w:r w:rsidR="003C7F9A" w:rsidRPr="00DF5070">
        <w:rPr>
          <w:rFonts w:ascii="Times New Roman" w:hAnsi="Times New Roman"/>
        </w:rPr>
        <w:t>as</w:t>
      </w:r>
      <w:r w:rsidR="00327EC7" w:rsidRPr="00DF5070">
        <w:rPr>
          <w:rFonts w:ascii="Times New Roman" w:hAnsi="Times New Roman"/>
        </w:rPr>
        <w:t xml:space="preserve"> a "rigid catalogue of matters for attention"</w:t>
      </w:r>
      <w:r w:rsidR="00327EC7" w:rsidRPr="00DF5070">
        <w:rPr>
          <w:rStyle w:val="FootnoteReference"/>
          <w:rFonts w:ascii="Times New Roman" w:hAnsi="Times New Roman"/>
          <w:sz w:val="24"/>
        </w:rPr>
        <w:footnoteReference w:id="28"/>
      </w:r>
      <w:r w:rsidR="00327EC7" w:rsidRPr="00DF5070">
        <w:rPr>
          <w:rFonts w:ascii="Times New Roman" w:hAnsi="Times New Roman"/>
        </w:rPr>
        <w:t xml:space="preserve"> </w:t>
      </w:r>
      <w:r w:rsidR="00BE41E5" w:rsidRPr="00DF5070">
        <w:rPr>
          <w:rFonts w:ascii="Times New Roman" w:hAnsi="Times New Roman"/>
        </w:rPr>
        <w:t xml:space="preserve">as if it were </w:t>
      </w:r>
      <w:r w:rsidR="00327EC7" w:rsidRPr="00DF5070">
        <w:rPr>
          <w:rFonts w:ascii="Times New Roman" w:hAnsi="Times New Roman"/>
        </w:rPr>
        <w:t xml:space="preserve">a legal checklist. The </w:t>
      </w:r>
      <w:r w:rsidR="0007773B" w:rsidRPr="00DF5070">
        <w:rPr>
          <w:rFonts w:ascii="Times New Roman" w:hAnsi="Times New Roman"/>
        </w:rPr>
        <w:t xml:space="preserve">court's </w:t>
      </w:r>
      <w:r w:rsidR="00327EC7" w:rsidRPr="00DF5070">
        <w:rPr>
          <w:rFonts w:ascii="Times New Roman" w:hAnsi="Times New Roman"/>
        </w:rPr>
        <w:t xml:space="preserve">task </w:t>
      </w:r>
      <w:r w:rsidR="00A26C82" w:rsidRPr="00DF5070">
        <w:rPr>
          <w:rFonts w:ascii="Times New Roman" w:hAnsi="Times New Roman"/>
        </w:rPr>
        <w:t>remains</w:t>
      </w:r>
      <w:r w:rsidR="00327EC7" w:rsidRPr="00DF5070">
        <w:rPr>
          <w:rFonts w:ascii="Times New Roman" w:hAnsi="Times New Roman"/>
        </w:rPr>
        <w:t xml:space="preserve"> </w:t>
      </w:r>
      <w:r w:rsidR="0007773B" w:rsidRPr="00DF5070">
        <w:rPr>
          <w:rFonts w:ascii="Times New Roman" w:hAnsi="Times New Roman"/>
        </w:rPr>
        <w:t xml:space="preserve">to determine </w:t>
      </w:r>
      <w:r w:rsidR="00A26C82" w:rsidRPr="00DF5070">
        <w:rPr>
          <w:rFonts w:ascii="Times New Roman" w:hAnsi="Times New Roman"/>
        </w:rPr>
        <w:t xml:space="preserve">what is an "appropriate" penalty in the circumstances of the </w:t>
      </w:r>
      <w:proofErr w:type="gramStart"/>
      <w:r w:rsidR="00EF04B9" w:rsidRPr="00DF5070">
        <w:rPr>
          <w:rFonts w:ascii="Times New Roman" w:hAnsi="Times New Roman"/>
        </w:rPr>
        <w:t>particular</w:t>
      </w:r>
      <w:r w:rsidR="00A26C82" w:rsidRPr="00DF5070">
        <w:rPr>
          <w:rFonts w:ascii="Times New Roman" w:hAnsi="Times New Roman"/>
        </w:rPr>
        <w:t xml:space="preserve"> case</w:t>
      </w:r>
      <w:proofErr w:type="gramEnd"/>
      <w:r w:rsidR="00A26C82" w:rsidRPr="00DF5070">
        <w:rPr>
          <w:rFonts w:ascii="Times New Roman" w:hAnsi="Times New Roman"/>
        </w:rPr>
        <w:t>.</w:t>
      </w:r>
    </w:p>
    <w:p w14:paraId="236C7FE7" w14:textId="2DC654FB" w:rsidR="008B2779" w:rsidRPr="00DF5070" w:rsidRDefault="008B2779" w:rsidP="00DF5070">
      <w:pPr>
        <w:pStyle w:val="HeadingL1"/>
        <w:spacing w:after="260" w:line="280" w:lineRule="exact"/>
        <w:ind w:right="0"/>
        <w:jc w:val="both"/>
        <w:rPr>
          <w:rFonts w:ascii="Times New Roman" w:hAnsi="Times New Roman"/>
        </w:rPr>
      </w:pPr>
      <w:r w:rsidRPr="00DF5070">
        <w:rPr>
          <w:rFonts w:ascii="Times New Roman" w:hAnsi="Times New Roman"/>
        </w:rPr>
        <w:lastRenderedPageBreak/>
        <w:t>The reasons of the primary judge</w:t>
      </w:r>
    </w:p>
    <w:p w14:paraId="16877B4B" w14:textId="10AB4A4F" w:rsidR="00302749" w:rsidRPr="00DF5070" w:rsidRDefault="008B2779"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C4332C" w:rsidRPr="00DF5070">
        <w:rPr>
          <w:rFonts w:ascii="Times New Roman" w:hAnsi="Times New Roman"/>
        </w:rPr>
        <w:t xml:space="preserve">The material </w:t>
      </w:r>
      <w:r w:rsidR="00C16840" w:rsidRPr="00DF5070">
        <w:rPr>
          <w:rFonts w:ascii="Times New Roman" w:hAnsi="Times New Roman"/>
        </w:rPr>
        <w:t xml:space="preserve">put </w:t>
      </w:r>
      <w:r w:rsidR="00C4332C" w:rsidRPr="00DF5070">
        <w:rPr>
          <w:rFonts w:ascii="Times New Roman" w:hAnsi="Times New Roman"/>
        </w:rPr>
        <w:t xml:space="preserve">before the primary judge </w:t>
      </w:r>
      <w:r w:rsidR="00C16840" w:rsidRPr="00DF5070">
        <w:rPr>
          <w:rFonts w:ascii="Times New Roman" w:hAnsi="Times New Roman"/>
        </w:rPr>
        <w:t xml:space="preserve">by the Commissioner </w:t>
      </w:r>
      <w:r w:rsidR="00C4332C" w:rsidRPr="00DF5070">
        <w:rPr>
          <w:rFonts w:ascii="Times New Roman" w:hAnsi="Times New Roman"/>
        </w:rPr>
        <w:t>included information as to the revenue and assets of the CFMMEU</w:t>
      </w:r>
      <w:r w:rsidR="00F95153" w:rsidRPr="00DF5070">
        <w:rPr>
          <w:rFonts w:ascii="Times New Roman" w:hAnsi="Times New Roman"/>
        </w:rPr>
        <w:t>. This material</w:t>
      </w:r>
      <w:r w:rsidR="00C4332C" w:rsidRPr="00DF5070">
        <w:rPr>
          <w:rFonts w:ascii="Times New Roman" w:hAnsi="Times New Roman"/>
        </w:rPr>
        <w:t xml:space="preserve"> showed that the </w:t>
      </w:r>
      <w:r w:rsidR="006204D9" w:rsidRPr="00DF5070">
        <w:rPr>
          <w:rFonts w:ascii="Times New Roman" w:hAnsi="Times New Roman"/>
        </w:rPr>
        <w:t>CFMMEU</w:t>
      </w:r>
      <w:r w:rsidR="00F95153" w:rsidRPr="00DF5070">
        <w:rPr>
          <w:rFonts w:ascii="Times New Roman" w:hAnsi="Times New Roman"/>
        </w:rPr>
        <w:t xml:space="preserve"> </w:t>
      </w:r>
      <w:r w:rsidR="0007460C" w:rsidRPr="00DF5070">
        <w:rPr>
          <w:rFonts w:ascii="Times New Roman" w:hAnsi="Times New Roman"/>
        </w:rPr>
        <w:t xml:space="preserve">was </w:t>
      </w:r>
      <w:r w:rsidR="001A63DF" w:rsidRPr="00DF5070">
        <w:rPr>
          <w:rFonts w:ascii="Times New Roman" w:hAnsi="Times New Roman"/>
        </w:rPr>
        <w:t>well</w:t>
      </w:r>
      <w:r w:rsidR="001A63DF" w:rsidRPr="00DF5070">
        <w:rPr>
          <w:rFonts w:ascii="Times New Roman" w:hAnsi="Times New Roman"/>
        </w:rPr>
        <w:noBreakHyphen/>
        <w:t>resourced</w:t>
      </w:r>
      <w:r w:rsidR="00C4332C" w:rsidRPr="00DF5070">
        <w:rPr>
          <w:rFonts w:ascii="Times New Roman" w:hAnsi="Times New Roman"/>
        </w:rPr>
        <w:t xml:space="preserve">, having more than </w:t>
      </w:r>
      <w:proofErr w:type="gramStart"/>
      <w:r w:rsidR="00C4332C" w:rsidRPr="00DF5070">
        <w:rPr>
          <w:rFonts w:ascii="Times New Roman" w:hAnsi="Times New Roman"/>
        </w:rPr>
        <w:t>sufficient</w:t>
      </w:r>
      <w:proofErr w:type="gramEnd"/>
      <w:r w:rsidR="00C4332C" w:rsidRPr="00DF5070">
        <w:rPr>
          <w:rFonts w:ascii="Times New Roman" w:hAnsi="Times New Roman"/>
        </w:rPr>
        <w:t xml:space="preserve"> means to pay any penalty</w:t>
      </w:r>
      <w:r w:rsidR="00605B9B" w:rsidRPr="00DF5070">
        <w:rPr>
          <w:rFonts w:ascii="Times New Roman" w:hAnsi="Times New Roman"/>
        </w:rPr>
        <w:t xml:space="preserve"> that the court might have been disposed to impose</w:t>
      </w:r>
      <w:r w:rsidR="00B42164" w:rsidRPr="00DF5070">
        <w:rPr>
          <w:rFonts w:ascii="Times New Roman" w:hAnsi="Times New Roman"/>
        </w:rPr>
        <w:t xml:space="preserve">. </w:t>
      </w:r>
      <w:r w:rsidR="00FF39E7" w:rsidRPr="00DF5070">
        <w:rPr>
          <w:rFonts w:ascii="Times New Roman" w:hAnsi="Times New Roman"/>
        </w:rPr>
        <w:t>Th</w:t>
      </w:r>
      <w:r w:rsidR="000B0F2A" w:rsidRPr="00DF5070">
        <w:rPr>
          <w:rFonts w:ascii="Times New Roman" w:hAnsi="Times New Roman"/>
        </w:rPr>
        <w:t>e</w:t>
      </w:r>
      <w:r w:rsidR="00FF39E7" w:rsidRPr="00DF5070">
        <w:rPr>
          <w:rFonts w:ascii="Times New Roman" w:hAnsi="Times New Roman"/>
        </w:rPr>
        <w:t xml:space="preserve"> material also showed that </w:t>
      </w:r>
      <w:r w:rsidR="006204D9" w:rsidRPr="00DF5070">
        <w:rPr>
          <w:rFonts w:ascii="Times New Roman" w:hAnsi="Times New Roman"/>
        </w:rPr>
        <w:t>it</w:t>
      </w:r>
      <w:r w:rsidR="00FF39E7" w:rsidRPr="00DF5070">
        <w:rPr>
          <w:rFonts w:ascii="Times New Roman" w:hAnsi="Times New Roman"/>
        </w:rPr>
        <w:t xml:space="preserve"> </w:t>
      </w:r>
      <w:r w:rsidR="0007460C" w:rsidRPr="00DF5070">
        <w:rPr>
          <w:rFonts w:ascii="Times New Roman" w:hAnsi="Times New Roman"/>
        </w:rPr>
        <w:t xml:space="preserve">had </w:t>
      </w:r>
      <w:r w:rsidR="00FF39E7" w:rsidRPr="00DF5070">
        <w:rPr>
          <w:rFonts w:ascii="Times New Roman" w:hAnsi="Times New Roman"/>
        </w:rPr>
        <w:t xml:space="preserve">a </w:t>
      </w:r>
      <w:r w:rsidR="00D94013" w:rsidRPr="00DF5070">
        <w:rPr>
          <w:rFonts w:ascii="Times New Roman" w:hAnsi="Times New Roman"/>
        </w:rPr>
        <w:t>troubling</w:t>
      </w:r>
      <w:r w:rsidR="00FF39E7" w:rsidRPr="00DF5070">
        <w:rPr>
          <w:rFonts w:ascii="Times New Roman" w:hAnsi="Times New Roman"/>
        </w:rPr>
        <w:t xml:space="preserve"> history of contraventions of the Act</w:t>
      </w:r>
      <w:r w:rsidR="0007460C" w:rsidRPr="00DF5070">
        <w:rPr>
          <w:rFonts w:ascii="Times New Roman" w:hAnsi="Times New Roman"/>
        </w:rPr>
        <w:t>, including</w:t>
      </w:r>
      <w:r w:rsidR="00FF39E7" w:rsidRPr="00DF5070">
        <w:rPr>
          <w:rFonts w:ascii="Times New Roman" w:hAnsi="Times New Roman"/>
        </w:rPr>
        <w:t xml:space="preserve"> s 349</w:t>
      </w:r>
      <w:r w:rsidR="00004162" w:rsidRPr="00DF5070">
        <w:rPr>
          <w:rFonts w:ascii="Times New Roman" w:hAnsi="Times New Roman"/>
        </w:rPr>
        <w:t>(1)</w:t>
      </w:r>
      <w:r w:rsidR="00FF39E7" w:rsidRPr="00DF5070">
        <w:rPr>
          <w:rFonts w:ascii="Times New Roman" w:hAnsi="Times New Roman"/>
        </w:rPr>
        <w:t>.</w:t>
      </w:r>
    </w:p>
    <w:p w14:paraId="7DFA6520" w14:textId="5218102A" w:rsidR="001C0798" w:rsidRPr="00DF5070" w:rsidRDefault="00302749"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D94013" w:rsidRPr="00DF5070">
        <w:rPr>
          <w:rFonts w:ascii="Times New Roman" w:hAnsi="Times New Roman"/>
        </w:rPr>
        <w:t>In this latter regard, t</w:t>
      </w:r>
      <w:r w:rsidR="00954477" w:rsidRPr="00DF5070">
        <w:rPr>
          <w:rFonts w:ascii="Times New Roman" w:hAnsi="Times New Roman"/>
        </w:rPr>
        <w:t>he primary judge noted that the CFMMEU</w:t>
      </w:r>
      <w:r w:rsidR="006204D9" w:rsidRPr="00DF5070">
        <w:rPr>
          <w:rFonts w:ascii="Times New Roman" w:hAnsi="Times New Roman"/>
        </w:rPr>
        <w:t xml:space="preserve">, </w:t>
      </w:r>
      <w:r w:rsidR="00954477" w:rsidRPr="00DF5070">
        <w:rPr>
          <w:rFonts w:ascii="Times New Roman" w:hAnsi="Times New Roman"/>
        </w:rPr>
        <w:t xml:space="preserve">since </w:t>
      </w:r>
      <w:r w:rsidR="00C44D4B" w:rsidRPr="00DF5070">
        <w:rPr>
          <w:rFonts w:ascii="Times New Roman" w:hAnsi="Times New Roman"/>
        </w:rPr>
        <w:t>around the year</w:t>
      </w:r>
      <w:r w:rsidR="00954477" w:rsidRPr="00DF5070">
        <w:rPr>
          <w:rFonts w:ascii="Times New Roman" w:hAnsi="Times New Roman"/>
        </w:rPr>
        <w:t xml:space="preserve"> 2000</w:t>
      </w:r>
      <w:r w:rsidR="006204D9" w:rsidRPr="00DF5070">
        <w:rPr>
          <w:rFonts w:ascii="Times New Roman" w:hAnsi="Times New Roman"/>
        </w:rPr>
        <w:t>, had</w:t>
      </w:r>
      <w:r w:rsidR="00954477" w:rsidRPr="00DF5070">
        <w:rPr>
          <w:rFonts w:ascii="Times New Roman" w:hAnsi="Times New Roman"/>
        </w:rPr>
        <w:t xml:space="preserve"> </w:t>
      </w:r>
      <w:r w:rsidR="00C44D4B" w:rsidRPr="00DF5070">
        <w:rPr>
          <w:rFonts w:ascii="Times New Roman" w:hAnsi="Times New Roman"/>
        </w:rPr>
        <w:t>contravened</w:t>
      </w:r>
      <w:r w:rsidR="00954477" w:rsidRPr="00DF5070">
        <w:rPr>
          <w:rFonts w:ascii="Times New Roman" w:hAnsi="Times New Roman"/>
        </w:rPr>
        <w:t xml:space="preserve"> </w:t>
      </w:r>
      <w:r w:rsidR="0007460C" w:rsidRPr="00DF5070">
        <w:rPr>
          <w:rFonts w:ascii="Times New Roman" w:hAnsi="Times New Roman"/>
        </w:rPr>
        <w:t>civil remedy</w:t>
      </w:r>
      <w:r w:rsidR="00954477" w:rsidRPr="00DF5070">
        <w:rPr>
          <w:rFonts w:ascii="Times New Roman" w:hAnsi="Times New Roman"/>
        </w:rPr>
        <w:t xml:space="preserve"> provisions of the Act</w:t>
      </w:r>
      <w:r w:rsidR="00A617E1">
        <w:rPr>
          <w:rFonts w:ascii="Times New Roman" w:hAnsi="Times New Roman"/>
        </w:rPr>
        <w:t xml:space="preserve"> or its predecessor</w:t>
      </w:r>
      <w:r w:rsidR="00954477" w:rsidRPr="00DF5070">
        <w:rPr>
          <w:rFonts w:ascii="Times New Roman" w:hAnsi="Times New Roman"/>
        </w:rPr>
        <w:t xml:space="preserve"> on approximately </w:t>
      </w:r>
      <w:r w:rsidR="00C110CB" w:rsidRPr="00DF5070">
        <w:rPr>
          <w:rFonts w:ascii="Times New Roman" w:hAnsi="Times New Roman"/>
        </w:rPr>
        <w:t>150</w:t>
      </w:r>
      <w:r w:rsidR="00453709" w:rsidRPr="00DF5070">
        <w:rPr>
          <w:rFonts w:ascii="Times New Roman" w:hAnsi="Times New Roman"/>
        </w:rPr>
        <w:t> </w:t>
      </w:r>
      <w:r w:rsidR="00C110CB" w:rsidRPr="00DF5070">
        <w:rPr>
          <w:rFonts w:ascii="Times New Roman" w:hAnsi="Times New Roman"/>
        </w:rPr>
        <w:t>occasions, and s 349</w:t>
      </w:r>
      <w:r w:rsidR="00004162" w:rsidRPr="00DF5070">
        <w:rPr>
          <w:rFonts w:ascii="Times New Roman" w:hAnsi="Times New Roman"/>
        </w:rPr>
        <w:t>(1)</w:t>
      </w:r>
      <w:r w:rsidR="00C110CB" w:rsidRPr="00DF5070">
        <w:rPr>
          <w:rFonts w:ascii="Times New Roman" w:hAnsi="Times New Roman"/>
        </w:rPr>
        <w:t xml:space="preserve"> on at lea</w:t>
      </w:r>
      <w:r w:rsidR="003C6372" w:rsidRPr="00DF5070">
        <w:rPr>
          <w:rFonts w:ascii="Times New Roman" w:hAnsi="Times New Roman"/>
        </w:rPr>
        <w:t>st seven occasions</w:t>
      </w:r>
      <w:r w:rsidR="002C7548" w:rsidRPr="00DF5070">
        <w:rPr>
          <w:rStyle w:val="FootnoteReference"/>
          <w:rFonts w:ascii="Times New Roman" w:hAnsi="Times New Roman"/>
          <w:sz w:val="24"/>
        </w:rPr>
        <w:footnoteReference w:id="29"/>
      </w:r>
      <w:r w:rsidR="002C7548" w:rsidRPr="00DF5070">
        <w:rPr>
          <w:rFonts w:ascii="Times New Roman" w:hAnsi="Times New Roman"/>
        </w:rPr>
        <w:t xml:space="preserve">. </w:t>
      </w:r>
      <w:r w:rsidR="00832A02" w:rsidRPr="00DF5070">
        <w:rPr>
          <w:rFonts w:ascii="Times New Roman" w:hAnsi="Times New Roman"/>
        </w:rPr>
        <w:t>The primary judge observed that</w:t>
      </w:r>
      <w:r w:rsidR="00282F6D" w:rsidRPr="00DF5070">
        <w:rPr>
          <w:rFonts w:ascii="Times New Roman" w:hAnsi="Times New Roman"/>
        </w:rPr>
        <w:t xml:space="preserve"> </w:t>
      </w:r>
      <w:r w:rsidR="00832A02" w:rsidRPr="00DF5070">
        <w:rPr>
          <w:rFonts w:ascii="Times New Roman" w:hAnsi="Times New Roman"/>
        </w:rPr>
        <w:t>the CFMMEU was</w:t>
      </w:r>
      <w:r w:rsidR="00212C63" w:rsidRPr="00DF5070">
        <w:rPr>
          <w:rFonts w:ascii="Times New Roman" w:hAnsi="Times New Roman"/>
        </w:rPr>
        <w:t>,</w:t>
      </w:r>
      <w:r w:rsidR="00832A02" w:rsidRPr="00DF5070">
        <w:rPr>
          <w:rFonts w:ascii="Times New Roman" w:hAnsi="Times New Roman"/>
        </w:rPr>
        <w:t xml:space="preserve"> notoriously</w:t>
      </w:r>
      <w:r w:rsidR="00212C63" w:rsidRPr="00DF5070">
        <w:rPr>
          <w:rFonts w:ascii="Times New Roman" w:hAnsi="Times New Roman"/>
        </w:rPr>
        <w:t>, a</w:t>
      </w:r>
      <w:r w:rsidR="00832A02" w:rsidRPr="00DF5070">
        <w:rPr>
          <w:rFonts w:ascii="Times New Roman" w:hAnsi="Times New Roman"/>
        </w:rPr>
        <w:t xml:space="preserve"> "serial offender"</w:t>
      </w:r>
      <w:r w:rsidR="00E93A0D" w:rsidRPr="00DF5070">
        <w:rPr>
          <w:rFonts w:ascii="Times New Roman" w:hAnsi="Times New Roman"/>
        </w:rPr>
        <w:t xml:space="preserve"> in that it had historically acted in disregard of </w:t>
      </w:r>
      <w:r w:rsidR="0035539D" w:rsidRPr="00DF5070">
        <w:rPr>
          <w:rFonts w:ascii="Times New Roman" w:hAnsi="Times New Roman"/>
        </w:rPr>
        <w:t>the law and appeared to treat the imposition of pecuniary penalties in respect of those contraventions as "little more than the cost of its preferred business model"</w:t>
      </w:r>
      <w:r w:rsidR="00E93A0D" w:rsidRPr="00DF5070">
        <w:rPr>
          <w:rStyle w:val="FootnoteReference"/>
          <w:rFonts w:ascii="Times New Roman" w:hAnsi="Times New Roman"/>
          <w:sz w:val="24"/>
        </w:rPr>
        <w:footnoteReference w:id="30"/>
      </w:r>
      <w:r w:rsidR="0035539D" w:rsidRPr="00DF5070">
        <w:rPr>
          <w:rFonts w:ascii="Times New Roman" w:hAnsi="Times New Roman"/>
        </w:rPr>
        <w:t>.</w:t>
      </w:r>
      <w:r w:rsidR="002C60B7" w:rsidRPr="00DF5070">
        <w:rPr>
          <w:rFonts w:ascii="Times New Roman" w:hAnsi="Times New Roman"/>
        </w:rPr>
        <w:t xml:space="preserve"> </w:t>
      </w:r>
      <w:r w:rsidR="0001777C" w:rsidRPr="00DF5070">
        <w:rPr>
          <w:rFonts w:ascii="Times New Roman" w:hAnsi="Times New Roman"/>
        </w:rPr>
        <w:t>The primary judge found</w:t>
      </w:r>
      <w:r w:rsidR="004F5022" w:rsidRPr="00DF5070">
        <w:rPr>
          <w:rFonts w:ascii="Times New Roman" w:hAnsi="Times New Roman"/>
        </w:rPr>
        <w:t xml:space="preserve"> that the CFMMEU "favours a policy of 'no ticket, no start' </w:t>
      </w:r>
      <w:r w:rsidR="00916AD2" w:rsidRPr="00DF5070">
        <w:rPr>
          <w:rFonts w:ascii="Times New Roman" w:hAnsi="Times New Roman"/>
        </w:rPr>
        <w:t xml:space="preserve">and holds that philosophy ... as preferable to the law of the land" and that "the misconduct in this case is but the latest example of the Union's strategy </w:t>
      </w:r>
      <w:r w:rsidR="00B543BA" w:rsidRPr="00DF5070">
        <w:rPr>
          <w:rFonts w:ascii="Times New Roman" w:hAnsi="Times New Roman"/>
        </w:rPr>
        <w:t>'</w:t>
      </w:r>
      <w:r w:rsidR="00916AD2" w:rsidRPr="00DF5070">
        <w:rPr>
          <w:rFonts w:ascii="Times New Roman" w:hAnsi="Times New Roman"/>
        </w:rPr>
        <w:t xml:space="preserve">... to engage in whatever action, and make whatever threats, it wishes, without regard to the </w:t>
      </w:r>
      <w:r w:rsidR="009B2AE0" w:rsidRPr="00DF5070">
        <w:rPr>
          <w:rFonts w:ascii="Times New Roman" w:hAnsi="Times New Roman"/>
        </w:rPr>
        <w:t>law</w:t>
      </w:r>
      <w:r w:rsidR="0012511D" w:rsidRPr="00DF5070">
        <w:rPr>
          <w:rFonts w:ascii="Times New Roman" w:hAnsi="Times New Roman"/>
        </w:rPr>
        <w:t xml:space="preserve"> ...</w:t>
      </w:r>
      <w:r w:rsidR="007E3234" w:rsidRPr="00DF5070">
        <w:rPr>
          <w:rFonts w:ascii="Times New Roman" w:hAnsi="Times New Roman"/>
        </w:rPr>
        <w:t>'</w:t>
      </w:r>
      <w:r w:rsidR="00851C81" w:rsidRPr="00DF5070">
        <w:rPr>
          <w:rFonts w:ascii="Times New Roman" w:hAnsi="Times New Roman"/>
        </w:rPr>
        <w:t>"</w:t>
      </w:r>
      <w:r w:rsidR="00DA549F" w:rsidRPr="00DF5070">
        <w:rPr>
          <w:rStyle w:val="FootnoteReference"/>
          <w:rFonts w:ascii="Times New Roman" w:hAnsi="Times New Roman"/>
          <w:sz w:val="24"/>
        </w:rPr>
        <w:footnoteReference w:id="31"/>
      </w:r>
      <w:r w:rsidR="00F9707F" w:rsidRPr="00DF5070">
        <w:rPr>
          <w:rFonts w:ascii="Times New Roman" w:hAnsi="Times New Roman"/>
        </w:rPr>
        <w:t>.</w:t>
      </w:r>
    </w:p>
    <w:p w14:paraId="45087135" w14:textId="4B9A2FB4" w:rsidR="008B2779" w:rsidRPr="00DF5070" w:rsidRDefault="001C0798"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2C60B7" w:rsidRPr="00DF5070">
        <w:rPr>
          <w:rFonts w:ascii="Times New Roman" w:hAnsi="Times New Roman"/>
        </w:rPr>
        <w:t>O</w:t>
      </w:r>
      <w:r w:rsidR="00282F6D" w:rsidRPr="00DF5070">
        <w:rPr>
          <w:rFonts w:ascii="Times New Roman" w:hAnsi="Times New Roman"/>
        </w:rPr>
        <w:t>n appeal</w:t>
      </w:r>
      <w:r w:rsidR="007E65C8" w:rsidRPr="00DF5070">
        <w:rPr>
          <w:rFonts w:ascii="Times New Roman" w:hAnsi="Times New Roman"/>
        </w:rPr>
        <w:t xml:space="preserve"> to the Full Court</w:t>
      </w:r>
      <w:r w:rsidR="00282F6D" w:rsidRPr="00DF5070">
        <w:rPr>
          <w:rFonts w:ascii="Times New Roman" w:hAnsi="Times New Roman"/>
        </w:rPr>
        <w:t xml:space="preserve">, </w:t>
      </w:r>
      <w:r w:rsidR="00EF080D" w:rsidRPr="00DF5070">
        <w:rPr>
          <w:rFonts w:ascii="Times New Roman" w:hAnsi="Times New Roman"/>
        </w:rPr>
        <w:t>the CFMMEU did not dispute</w:t>
      </w:r>
      <w:r w:rsidR="00820818" w:rsidRPr="00DF5070">
        <w:rPr>
          <w:rFonts w:ascii="Times New Roman" w:hAnsi="Times New Roman"/>
        </w:rPr>
        <w:t xml:space="preserve">, and the Full Court did not </w:t>
      </w:r>
      <w:r w:rsidR="00DE7CB0" w:rsidRPr="00DF5070">
        <w:rPr>
          <w:rFonts w:ascii="Times New Roman" w:hAnsi="Times New Roman"/>
        </w:rPr>
        <w:t>disturb</w:t>
      </w:r>
      <w:r w:rsidR="00820818" w:rsidRPr="00DF5070">
        <w:rPr>
          <w:rFonts w:ascii="Times New Roman" w:hAnsi="Times New Roman"/>
        </w:rPr>
        <w:t>, these findings</w:t>
      </w:r>
      <w:r w:rsidR="000B0F2A" w:rsidRPr="00DF5070">
        <w:rPr>
          <w:rStyle w:val="FootnoteReference"/>
          <w:rFonts w:ascii="Times New Roman" w:hAnsi="Times New Roman"/>
          <w:sz w:val="24"/>
        </w:rPr>
        <w:footnoteReference w:id="32"/>
      </w:r>
      <w:r w:rsidR="00820818" w:rsidRPr="00DF5070">
        <w:rPr>
          <w:rFonts w:ascii="Times New Roman" w:hAnsi="Times New Roman"/>
        </w:rPr>
        <w:t>.</w:t>
      </w:r>
      <w:r w:rsidR="007E65C8" w:rsidRPr="00DF5070">
        <w:rPr>
          <w:rFonts w:ascii="Times New Roman" w:hAnsi="Times New Roman"/>
        </w:rPr>
        <w:t xml:space="preserve"> In this Court, the C</w:t>
      </w:r>
      <w:r w:rsidR="00A341AB" w:rsidRPr="00DF5070">
        <w:rPr>
          <w:rFonts w:ascii="Times New Roman" w:hAnsi="Times New Roman"/>
        </w:rPr>
        <w:t>FMMEU did seek to cavil with these findings, but identified no basis on which this Court might properly ignore them.</w:t>
      </w:r>
      <w:r w:rsidR="0053139A" w:rsidRPr="00DF5070">
        <w:rPr>
          <w:rFonts w:ascii="Times New Roman" w:hAnsi="Times New Roman"/>
        </w:rPr>
        <w:t xml:space="preserve"> It was also argued for the CFMMEU that the gravamen of the contraventions of s 349</w:t>
      </w:r>
      <w:r w:rsidR="008262FD" w:rsidRPr="00DF5070">
        <w:rPr>
          <w:rFonts w:ascii="Times New Roman" w:hAnsi="Times New Roman"/>
        </w:rPr>
        <w:t>(1)</w:t>
      </w:r>
      <w:r w:rsidR="0053139A" w:rsidRPr="00DF5070">
        <w:rPr>
          <w:rFonts w:ascii="Times New Roman" w:hAnsi="Times New Roman"/>
        </w:rPr>
        <w:t xml:space="preserve"> of concern here was not the </w:t>
      </w:r>
      <w:r w:rsidR="006F038E" w:rsidRPr="00DF5070">
        <w:rPr>
          <w:rFonts w:ascii="Times New Roman" w:hAnsi="Times New Roman"/>
        </w:rPr>
        <w:t xml:space="preserve">furtherance of the </w:t>
      </w:r>
      <w:r w:rsidR="008262FD" w:rsidRPr="00DF5070">
        <w:rPr>
          <w:rFonts w:ascii="Times New Roman" w:hAnsi="Times New Roman"/>
        </w:rPr>
        <w:t>CFMMEU's</w:t>
      </w:r>
      <w:r w:rsidR="006F038E" w:rsidRPr="00DF5070">
        <w:rPr>
          <w:rFonts w:ascii="Times New Roman" w:hAnsi="Times New Roman"/>
        </w:rPr>
        <w:t xml:space="preserve"> </w:t>
      </w:r>
      <w:r w:rsidR="006031DE" w:rsidRPr="00DF5070">
        <w:rPr>
          <w:rFonts w:ascii="Times New Roman" w:hAnsi="Times New Roman"/>
        </w:rPr>
        <w:t>"no ticket, no start"</w:t>
      </w:r>
      <w:r w:rsidR="006F038E" w:rsidRPr="00DF5070">
        <w:rPr>
          <w:rFonts w:ascii="Times New Roman" w:hAnsi="Times New Roman"/>
        </w:rPr>
        <w:t xml:space="preserve"> policy</w:t>
      </w:r>
      <w:r w:rsidR="00E3337A" w:rsidRPr="00DF5070">
        <w:rPr>
          <w:rFonts w:ascii="Times New Roman" w:hAnsi="Times New Roman"/>
        </w:rPr>
        <w:t xml:space="preserve"> but</w:t>
      </w:r>
      <w:r w:rsidR="00101009" w:rsidRPr="00DF5070">
        <w:rPr>
          <w:rFonts w:ascii="Times New Roman" w:hAnsi="Times New Roman"/>
        </w:rPr>
        <w:t xml:space="preserve"> </w:t>
      </w:r>
      <w:r w:rsidR="006B0D06" w:rsidRPr="00DF5070">
        <w:rPr>
          <w:rFonts w:ascii="Times New Roman" w:hAnsi="Times New Roman"/>
        </w:rPr>
        <w:t>rather</w:t>
      </w:r>
      <w:r w:rsidR="00391FFE" w:rsidRPr="00DF5070">
        <w:rPr>
          <w:rFonts w:ascii="Times New Roman" w:hAnsi="Times New Roman"/>
        </w:rPr>
        <w:t xml:space="preserve"> misrepresentations about the existence and effect of such a policy. </w:t>
      </w:r>
      <w:r w:rsidR="005F0C7E" w:rsidRPr="00DF5070">
        <w:rPr>
          <w:rFonts w:ascii="Times New Roman" w:hAnsi="Times New Roman"/>
        </w:rPr>
        <w:t xml:space="preserve">But </w:t>
      </w:r>
      <w:r w:rsidR="00155D7C" w:rsidRPr="00DF5070">
        <w:rPr>
          <w:rFonts w:ascii="Times New Roman" w:hAnsi="Times New Roman"/>
        </w:rPr>
        <w:t xml:space="preserve">the point is that </w:t>
      </w:r>
      <w:r w:rsidR="005F0C7E" w:rsidRPr="00DF5070">
        <w:rPr>
          <w:rFonts w:ascii="Times New Roman" w:hAnsi="Times New Roman"/>
        </w:rPr>
        <w:t>t</w:t>
      </w:r>
      <w:r w:rsidR="00391FFE" w:rsidRPr="00DF5070">
        <w:rPr>
          <w:rFonts w:ascii="Times New Roman" w:hAnsi="Times New Roman"/>
        </w:rPr>
        <w:t xml:space="preserve">he misrepresentations </w:t>
      </w:r>
      <w:r w:rsidR="00635896" w:rsidRPr="00DF5070">
        <w:rPr>
          <w:rFonts w:ascii="Times New Roman" w:hAnsi="Times New Roman"/>
        </w:rPr>
        <w:lastRenderedPageBreak/>
        <w:t xml:space="preserve">were made with the evident intention of ensuring </w:t>
      </w:r>
      <w:r w:rsidR="00133E25" w:rsidRPr="00DF5070">
        <w:rPr>
          <w:rFonts w:ascii="Times New Roman" w:hAnsi="Times New Roman"/>
        </w:rPr>
        <w:t xml:space="preserve">the de facto implementation of the </w:t>
      </w:r>
      <w:r w:rsidR="005C4B8F" w:rsidRPr="00DF5070">
        <w:rPr>
          <w:rFonts w:ascii="Times New Roman" w:hAnsi="Times New Roman"/>
        </w:rPr>
        <w:t>CFMMEU's</w:t>
      </w:r>
      <w:r w:rsidR="00635896" w:rsidRPr="00DF5070">
        <w:rPr>
          <w:rFonts w:ascii="Times New Roman" w:hAnsi="Times New Roman"/>
        </w:rPr>
        <w:t xml:space="preserve"> "no ticket, no start" </w:t>
      </w:r>
      <w:r w:rsidR="00133E25" w:rsidRPr="00DF5070">
        <w:rPr>
          <w:rFonts w:ascii="Times New Roman" w:hAnsi="Times New Roman"/>
        </w:rPr>
        <w:t xml:space="preserve">policy on site. It is distinctly </w:t>
      </w:r>
      <w:r w:rsidR="00CA0467" w:rsidRPr="00DF5070">
        <w:rPr>
          <w:rFonts w:ascii="Times New Roman" w:hAnsi="Times New Roman"/>
        </w:rPr>
        <w:t xml:space="preserve">jejune to suggest that the contraventions were not in furtherance of the CFMMEU's </w:t>
      </w:r>
      <w:r w:rsidR="00E6295B" w:rsidRPr="00DF5070">
        <w:rPr>
          <w:rFonts w:ascii="Times New Roman" w:hAnsi="Times New Roman"/>
        </w:rPr>
        <w:t>policy.</w:t>
      </w:r>
    </w:p>
    <w:p w14:paraId="3EB1EE3B" w14:textId="68E3F3D1" w:rsidR="00FB3D40" w:rsidRPr="00DF5070" w:rsidRDefault="00D46317"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53139A" w:rsidRPr="00DF5070">
        <w:rPr>
          <w:rFonts w:ascii="Times New Roman" w:hAnsi="Times New Roman"/>
        </w:rPr>
        <w:t>As to the law, t</w:t>
      </w:r>
      <w:r w:rsidR="00706222" w:rsidRPr="00DF5070">
        <w:rPr>
          <w:rFonts w:ascii="Times New Roman" w:hAnsi="Times New Roman"/>
        </w:rPr>
        <w:t>he primary judge</w:t>
      </w:r>
      <w:r w:rsidR="00687D78" w:rsidRPr="00DF5070">
        <w:rPr>
          <w:rFonts w:ascii="Times New Roman" w:hAnsi="Times New Roman"/>
        </w:rPr>
        <w:t xml:space="preserve"> </w:t>
      </w:r>
      <w:r w:rsidR="00A8500C" w:rsidRPr="00DF5070">
        <w:rPr>
          <w:rFonts w:ascii="Times New Roman" w:hAnsi="Times New Roman"/>
        </w:rPr>
        <w:t>noted</w:t>
      </w:r>
      <w:r w:rsidR="00687D78" w:rsidRPr="00DF5070">
        <w:rPr>
          <w:rFonts w:ascii="Times New Roman" w:hAnsi="Times New Roman"/>
        </w:rPr>
        <w:t xml:space="preserve"> a tension in </w:t>
      </w:r>
      <w:r w:rsidR="00946DDA" w:rsidRPr="00DF5070">
        <w:rPr>
          <w:rFonts w:ascii="Times New Roman" w:hAnsi="Times New Roman"/>
        </w:rPr>
        <w:t xml:space="preserve">recent </w:t>
      </w:r>
      <w:r w:rsidR="00687D78" w:rsidRPr="00DF5070">
        <w:rPr>
          <w:rFonts w:ascii="Times New Roman" w:hAnsi="Times New Roman"/>
        </w:rPr>
        <w:t xml:space="preserve">decisions of the </w:t>
      </w:r>
      <w:r w:rsidR="00946DDA" w:rsidRPr="00DF5070">
        <w:rPr>
          <w:rFonts w:ascii="Times New Roman" w:hAnsi="Times New Roman"/>
        </w:rPr>
        <w:t>Full Court</w:t>
      </w:r>
      <w:r w:rsidR="00DA45D8" w:rsidRPr="00DF5070">
        <w:rPr>
          <w:rFonts w:ascii="Times New Roman" w:hAnsi="Times New Roman"/>
        </w:rPr>
        <w:t xml:space="preserve"> of the Federal Court</w:t>
      </w:r>
      <w:r w:rsidR="00946DDA" w:rsidRPr="00DF5070">
        <w:rPr>
          <w:rStyle w:val="FootnoteReference"/>
          <w:rFonts w:ascii="Times New Roman" w:hAnsi="Times New Roman"/>
          <w:sz w:val="24"/>
        </w:rPr>
        <w:footnoteReference w:id="33"/>
      </w:r>
      <w:r w:rsidR="000E05B1" w:rsidRPr="00DF5070">
        <w:rPr>
          <w:rFonts w:ascii="Times New Roman" w:hAnsi="Times New Roman"/>
        </w:rPr>
        <w:t xml:space="preserve">. On the one hand, there was the </w:t>
      </w:r>
      <w:r w:rsidR="007F4B85" w:rsidRPr="00DF5070">
        <w:rPr>
          <w:rFonts w:ascii="Times New Roman" w:hAnsi="Times New Roman"/>
        </w:rPr>
        <w:t xml:space="preserve">reasoning </w:t>
      </w:r>
      <w:r w:rsidR="000E05B1" w:rsidRPr="00DF5070">
        <w:rPr>
          <w:rFonts w:ascii="Times New Roman" w:hAnsi="Times New Roman"/>
        </w:rPr>
        <w:t xml:space="preserve">of the majority </w:t>
      </w:r>
      <w:r w:rsidR="007F4B85" w:rsidRPr="00DF5070">
        <w:rPr>
          <w:rFonts w:ascii="Times New Roman" w:hAnsi="Times New Roman"/>
        </w:rPr>
        <w:t xml:space="preserve">of the Full Court (Tracey and Logan JJ) in </w:t>
      </w:r>
      <w:r w:rsidR="007F4B85" w:rsidRPr="00DF5070">
        <w:rPr>
          <w:rFonts w:ascii="Times New Roman" w:hAnsi="Times New Roman"/>
          <w:i/>
        </w:rPr>
        <w:t>Construction, Forestry, Maritime, Mining and Energy Union v Australian Building and Construction Commissioner</w:t>
      </w:r>
      <w:r w:rsidR="007F4B85" w:rsidRPr="00DF5070">
        <w:rPr>
          <w:rFonts w:ascii="Times New Roman" w:hAnsi="Times New Roman"/>
        </w:rPr>
        <w:t xml:space="preserve"> ("</w:t>
      </w:r>
      <w:r w:rsidR="007F4B85" w:rsidRPr="00DF5070">
        <w:rPr>
          <w:rFonts w:ascii="Times New Roman" w:hAnsi="Times New Roman"/>
          <w:i/>
        </w:rPr>
        <w:t>Broadway on Ann</w:t>
      </w:r>
      <w:r w:rsidR="007F4B85" w:rsidRPr="00DF5070">
        <w:rPr>
          <w:rFonts w:ascii="Times New Roman" w:hAnsi="Times New Roman"/>
        </w:rPr>
        <w:t>")</w:t>
      </w:r>
      <w:r w:rsidR="008F2CC6" w:rsidRPr="00DF5070">
        <w:rPr>
          <w:rStyle w:val="FootnoteReference"/>
          <w:rFonts w:ascii="Times New Roman" w:hAnsi="Times New Roman"/>
          <w:sz w:val="24"/>
        </w:rPr>
        <w:footnoteReference w:id="34"/>
      </w:r>
      <w:r w:rsidR="0073317E" w:rsidRPr="00DF5070">
        <w:rPr>
          <w:rFonts w:ascii="Times New Roman" w:hAnsi="Times New Roman"/>
        </w:rPr>
        <w:t>. In that case, Tracey and Logan JJ</w:t>
      </w:r>
      <w:r w:rsidR="00801CC4" w:rsidRPr="00DF5070">
        <w:rPr>
          <w:rFonts w:ascii="Times New Roman" w:hAnsi="Times New Roman"/>
        </w:rPr>
        <w:t xml:space="preserve"> held that, although the</w:t>
      </w:r>
      <w:r w:rsidR="00523705" w:rsidRPr="00DF5070">
        <w:rPr>
          <w:rFonts w:ascii="Times New Roman" w:hAnsi="Times New Roman"/>
        </w:rPr>
        <w:t xml:space="preserve"> </w:t>
      </w:r>
      <w:r w:rsidR="00801CC4" w:rsidRPr="00DF5070">
        <w:rPr>
          <w:rFonts w:ascii="Times New Roman" w:hAnsi="Times New Roman"/>
        </w:rPr>
        <w:t>contraventions in</w:t>
      </w:r>
      <w:r w:rsidR="0064322A" w:rsidRPr="00DF5070">
        <w:rPr>
          <w:rFonts w:ascii="Times New Roman" w:hAnsi="Times New Roman"/>
        </w:rPr>
        <w:t xml:space="preserve"> question </w:t>
      </w:r>
      <w:r w:rsidR="00801CC4" w:rsidRPr="00DF5070">
        <w:rPr>
          <w:rFonts w:ascii="Times New Roman" w:hAnsi="Times New Roman"/>
        </w:rPr>
        <w:t>were not</w:t>
      </w:r>
      <w:r w:rsidR="00CB3F6C" w:rsidRPr="00DF5070">
        <w:rPr>
          <w:rFonts w:ascii="Times New Roman" w:hAnsi="Times New Roman"/>
        </w:rPr>
        <w:t xml:space="preserve"> of themselves at the most serious end of the spectrum, the imposition of the maximum penalty </w:t>
      </w:r>
      <w:r w:rsidR="00523705" w:rsidRPr="00DF5070">
        <w:rPr>
          <w:rFonts w:ascii="Times New Roman" w:hAnsi="Times New Roman"/>
        </w:rPr>
        <w:t xml:space="preserve">for each contravention </w:t>
      </w:r>
      <w:r w:rsidR="00CB3F6C" w:rsidRPr="00DF5070">
        <w:rPr>
          <w:rFonts w:ascii="Times New Roman" w:hAnsi="Times New Roman"/>
        </w:rPr>
        <w:t>was justified</w:t>
      </w:r>
      <w:r w:rsidR="00F3170C" w:rsidRPr="00DF5070">
        <w:rPr>
          <w:rFonts w:ascii="Times New Roman" w:hAnsi="Times New Roman"/>
        </w:rPr>
        <w:t xml:space="preserve"> when viewed in the context of the CFMMEU's long history of prior contraventions</w:t>
      </w:r>
      <w:r w:rsidR="00C12B2E" w:rsidRPr="00DF5070">
        <w:rPr>
          <w:rStyle w:val="FootnoteReference"/>
          <w:rFonts w:ascii="Times New Roman" w:hAnsi="Times New Roman"/>
          <w:sz w:val="24"/>
        </w:rPr>
        <w:footnoteReference w:id="35"/>
      </w:r>
      <w:r w:rsidR="00C12B2E" w:rsidRPr="00DF5070">
        <w:rPr>
          <w:rFonts w:ascii="Times New Roman" w:hAnsi="Times New Roman"/>
        </w:rPr>
        <w:t>.</w:t>
      </w:r>
      <w:r w:rsidR="004547AB" w:rsidRPr="00DF5070">
        <w:rPr>
          <w:rFonts w:ascii="Times New Roman" w:hAnsi="Times New Roman"/>
        </w:rPr>
        <w:t xml:space="preserve"> On the other hand</w:t>
      </w:r>
      <w:r w:rsidR="001E7E51" w:rsidRPr="00DF5070">
        <w:rPr>
          <w:rFonts w:ascii="Times New Roman" w:hAnsi="Times New Roman"/>
        </w:rPr>
        <w:t>,</w:t>
      </w:r>
      <w:r w:rsidR="00E029B2" w:rsidRPr="00DF5070">
        <w:rPr>
          <w:rFonts w:ascii="Times New Roman" w:hAnsi="Times New Roman"/>
        </w:rPr>
        <w:t xml:space="preserve"> </w:t>
      </w:r>
      <w:r w:rsidR="00C87958" w:rsidRPr="00DF5070">
        <w:rPr>
          <w:rFonts w:ascii="Times New Roman" w:hAnsi="Times New Roman"/>
        </w:rPr>
        <w:t xml:space="preserve">the reasoning of Bromwich J in dissent in </w:t>
      </w:r>
      <w:r w:rsidR="00C87958" w:rsidRPr="00DF5070">
        <w:rPr>
          <w:rFonts w:ascii="Times New Roman" w:hAnsi="Times New Roman"/>
          <w:i/>
        </w:rPr>
        <w:t>Broadway on Ann</w:t>
      </w:r>
      <w:r w:rsidR="00101E7F" w:rsidRPr="00DF5070">
        <w:rPr>
          <w:rFonts w:ascii="Times New Roman" w:hAnsi="Times New Roman"/>
          <w:iCs/>
        </w:rPr>
        <w:t>,</w:t>
      </w:r>
      <w:r w:rsidR="0035423D" w:rsidRPr="00DF5070">
        <w:rPr>
          <w:rFonts w:ascii="Times New Roman" w:hAnsi="Times New Roman"/>
        </w:rPr>
        <w:t xml:space="preserve"> and the reasoning of the Full Court in </w:t>
      </w:r>
      <w:r w:rsidR="000226E3" w:rsidRPr="00DF5070">
        <w:rPr>
          <w:rFonts w:ascii="Times New Roman" w:hAnsi="Times New Roman"/>
          <w:i/>
        </w:rPr>
        <w:t>Parker v Australian Building and Construction Commissioner</w:t>
      </w:r>
      <w:r w:rsidR="000226E3" w:rsidRPr="00DF5070">
        <w:rPr>
          <w:rStyle w:val="FootnoteReference"/>
          <w:rFonts w:ascii="Times New Roman" w:hAnsi="Times New Roman"/>
          <w:sz w:val="24"/>
        </w:rPr>
        <w:footnoteReference w:id="36"/>
      </w:r>
      <w:r w:rsidR="00490910" w:rsidRPr="00DF5070">
        <w:rPr>
          <w:rFonts w:ascii="Times New Roman" w:hAnsi="Times New Roman"/>
        </w:rPr>
        <w:t>,</w:t>
      </w:r>
      <w:r w:rsidR="00FB3D40" w:rsidRPr="00DF5070">
        <w:rPr>
          <w:rFonts w:ascii="Times New Roman" w:hAnsi="Times New Roman"/>
        </w:rPr>
        <w:t xml:space="preserve"> emphasised the central importance of the seriousness of the offending conduct</w:t>
      </w:r>
      <w:r w:rsidR="000977DA" w:rsidRPr="00DF5070">
        <w:rPr>
          <w:rFonts w:ascii="Times New Roman" w:hAnsi="Times New Roman"/>
        </w:rPr>
        <w:t xml:space="preserve"> as a constraint upon an appropriate penalty</w:t>
      </w:r>
      <w:r w:rsidR="00FB3D40" w:rsidRPr="00DF5070">
        <w:rPr>
          <w:rFonts w:ascii="Times New Roman" w:hAnsi="Times New Roman"/>
        </w:rPr>
        <w:t>.</w:t>
      </w:r>
      <w:r w:rsidR="00DE7CB0" w:rsidRPr="00DF5070">
        <w:rPr>
          <w:rFonts w:ascii="Times New Roman" w:hAnsi="Times New Roman"/>
        </w:rPr>
        <w:t xml:space="preserve"> In those </w:t>
      </w:r>
      <w:r w:rsidR="00F0513C" w:rsidRPr="00DF5070">
        <w:rPr>
          <w:rFonts w:ascii="Times New Roman" w:hAnsi="Times New Roman"/>
        </w:rPr>
        <w:t>judgments</w:t>
      </w:r>
      <w:r w:rsidR="00DE7CB0" w:rsidRPr="00DF5070">
        <w:rPr>
          <w:rFonts w:ascii="Times New Roman" w:hAnsi="Times New Roman"/>
        </w:rPr>
        <w:t>, it was said that a history of prior contraventions, while relevant, could not lead to the imposition of a penalty that was disproportionate to the gravity of the instant contraventions</w:t>
      </w:r>
      <w:r w:rsidR="00DE7CB0" w:rsidRPr="00DF5070">
        <w:rPr>
          <w:rStyle w:val="FootnoteReference"/>
          <w:rFonts w:ascii="Times New Roman" w:hAnsi="Times New Roman"/>
          <w:sz w:val="24"/>
        </w:rPr>
        <w:footnoteReference w:id="37"/>
      </w:r>
      <w:r w:rsidR="00DE7CB0" w:rsidRPr="00DF5070">
        <w:rPr>
          <w:rFonts w:ascii="Times New Roman" w:hAnsi="Times New Roman"/>
        </w:rPr>
        <w:t>.</w:t>
      </w:r>
    </w:p>
    <w:p w14:paraId="4A97DCC0" w14:textId="13E3FE00" w:rsidR="007E7F31" w:rsidRPr="00DF5070" w:rsidRDefault="00FB3D40"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EA6B7C" w:rsidRPr="00DF5070">
        <w:rPr>
          <w:rFonts w:ascii="Times New Roman" w:hAnsi="Times New Roman"/>
        </w:rPr>
        <w:t xml:space="preserve">The primary judge </w:t>
      </w:r>
      <w:r w:rsidR="004F6FAC" w:rsidRPr="00DF5070">
        <w:rPr>
          <w:rFonts w:ascii="Times New Roman" w:hAnsi="Times New Roman"/>
        </w:rPr>
        <w:t xml:space="preserve">preferred the reasoning of Tracey and Logan JJ in </w:t>
      </w:r>
      <w:r w:rsidR="004F6FAC" w:rsidRPr="00DF5070">
        <w:rPr>
          <w:rFonts w:ascii="Times New Roman" w:hAnsi="Times New Roman"/>
          <w:i/>
        </w:rPr>
        <w:t>Broadway on Ann</w:t>
      </w:r>
      <w:r w:rsidR="00EB5BB9" w:rsidRPr="00DF5070">
        <w:rPr>
          <w:rFonts w:ascii="Times New Roman" w:hAnsi="Times New Roman"/>
          <w:i/>
        </w:rPr>
        <w:t xml:space="preserve"> </w:t>
      </w:r>
      <w:r w:rsidR="00EB5BB9" w:rsidRPr="00DF5070">
        <w:rPr>
          <w:rFonts w:ascii="Times New Roman" w:hAnsi="Times New Roman"/>
        </w:rPr>
        <w:t xml:space="preserve">over that of Bromwich J </w:t>
      </w:r>
      <w:r w:rsidR="00A76C08" w:rsidRPr="00DF5070">
        <w:rPr>
          <w:rFonts w:ascii="Times New Roman" w:hAnsi="Times New Roman"/>
        </w:rPr>
        <w:t>and</w:t>
      </w:r>
      <w:r w:rsidR="00EB5BB9" w:rsidRPr="00DF5070">
        <w:rPr>
          <w:rFonts w:ascii="Times New Roman" w:hAnsi="Times New Roman"/>
        </w:rPr>
        <w:t xml:space="preserve"> of the Full Court in </w:t>
      </w:r>
      <w:r w:rsidR="00EB5BB9" w:rsidRPr="00DF5070">
        <w:rPr>
          <w:rFonts w:ascii="Times New Roman" w:hAnsi="Times New Roman"/>
          <w:i/>
        </w:rPr>
        <w:t>Parker</w:t>
      </w:r>
      <w:r w:rsidR="00EB5BB9" w:rsidRPr="00DF5070">
        <w:rPr>
          <w:rFonts w:ascii="Times New Roman" w:hAnsi="Times New Roman"/>
        </w:rPr>
        <w:t>.</w:t>
      </w:r>
      <w:r w:rsidR="004F6FAC" w:rsidRPr="00DF5070">
        <w:rPr>
          <w:rFonts w:ascii="Times New Roman" w:hAnsi="Times New Roman"/>
        </w:rPr>
        <w:t xml:space="preserve"> </w:t>
      </w:r>
      <w:r w:rsidR="00EB5BB9" w:rsidRPr="00DF5070">
        <w:rPr>
          <w:rFonts w:ascii="Times New Roman" w:hAnsi="Times New Roman"/>
        </w:rPr>
        <w:t>His Honour observed</w:t>
      </w:r>
      <w:r w:rsidR="004F6FAC" w:rsidRPr="00DF5070">
        <w:rPr>
          <w:rFonts w:ascii="Times New Roman" w:hAnsi="Times New Roman"/>
        </w:rPr>
        <w:t xml:space="preserve"> that </w:t>
      </w:r>
      <w:r w:rsidR="008B45C3" w:rsidRPr="00DF5070">
        <w:rPr>
          <w:rFonts w:ascii="Times New Roman" w:hAnsi="Times New Roman"/>
          <w:i/>
        </w:rPr>
        <w:t>Parker</w:t>
      </w:r>
      <w:r w:rsidR="00B74C6C" w:rsidRPr="00DF5070">
        <w:rPr>
          <w:rFonts w:ascii="Times New Roman" w:hAnsi="Times New Roman"/>
          <w:i/>
        </w:rPr>
        <w:t> </w:t>
      </w:r>
      <w:r w:rsidR="008B45C3" w:rsidRPr="00DF5070">
        <w:rPr>
          <w:rFonts w:ascii="Times New Roman" w:hAnsi="Times New Roman"/>
        </w:rPr>
        <w:t xml:space="preserve">– </w:t>
      </w:r>
      <w:r w:rsidR="00A62062" w:rsidRPr="00DF5070">
        <w:rPr>
          <w:rFonts w:ascii="Times New Roman" w:hAnsi="Times New Roman"/>
        </w:rPr>
        <w:t xml:space="preserve">which was </w:t>
      </w:r>
      <w:r w:rsidR="008B45C3" w:rsidRPr="00DF5070">
        <w:rPr>
          <w:rFonts w:ascii="Times New Roman" w:hAnsi="Times New Roman"/>
        </w:rPr>
        <w:t xml:space="preserve">delivered after </w:t>
      </w:r>
      <w:r w:rsidR="008B45C3" w:rsidRPr="00DF5070">
        <w:rPr>
          <w:rFonts w:ascii="Times New Roman" w:hAnsi="Times New Roman"/>
          <w:i/>
        </w:rPr>
        <w:t>Broadway on Ann</w:t>
      </w:r>
      <w:r w:rsidR="00C607FE" w:rsidRPr="00DF5070">
        <w:rPr>
          <w:rFonts w:ascii="Times New Roman" w:hAnsi="Times New Roman"/>
          <w:i/>
        </w:rPr>
        <w:t> </w:t>
      </w:r>
      <w:r w:rsidR="008B45C3" w:rsidRPr="00DF5070">
        <w:rPr>
          <w:rFonts w:ascii="Times New Roman" w:hAnsi="Times New Roman"/>
        </w:rPr>
        <w:t>–</w:t>
      </w:r>
      <w:r w:rsidR="00C607FE" w:rsidRPr="00DF5070">
        <w:rPr>
          <w:rFonts w:ascii="Times New Roman" w:hAnsi="Times New Roman"/>
        </w:rPr>
        <w:t xml:space="preserve"> </w:t>
      </w:r>
      <w:r w:rsidR="008B45C3" w:rsidRPr="00DF5070">
        <w:rPr>
          <w:rFonts w:ascii="Times New Roman" w:hAnsi="Times New Roman"/>
        </w:rPr>
        <w:t xml:space="preserve">did not explain how </w:t>
      </w:r>
      <w:r w:rsidR="00A84262" w:rsidRPr="00DF5070">
        <w:rPr>
          <w:rFonts w:ascii="Times New Roman" w:hAnsi="Times New Roman"/>
        </w:rPr>
        <w:t xml:space="preserve">the reasoning of the majority in </w:t>
      </w:r>
      <w:r w:rsidR="008B45C3" w:rsidRPr="00DF5070">
        <w:rPr>
          <w:rFonts w:ascii="Times New Roman" w:hAnsi="Times New Roman"/>
          <w:i/>
        </w:rPr>
        <w:t xml:space="preserve">Broadway on Ann </w:t>
      </w:r>
      <w:r w:rsidR="008B45C3" w:rsidRPr="00DF5070">
        <w:rPr>
          <w:rFonts w:ascii="Times New Roman" w:hAnsi="Times New Roman"/>
        </w:rPr>
        <w:t>was plainly wrong</w:t>
      </w:r>
      <w:r w:rsidR="008B45C3" w:rsidRPr="00DF5070">
        <w:rPr>
          <w:rStyle w:val="FootnoteReference"/>
          <w:rFonts w:ascii="Times New Roman" w:hAnsi="Times New Roman"/>
          <w:sz w:val="24"/>
        </w:rPr>
        <w:footnoteReference w:id="38"/>
      </w:r>
      <w:r w:rsidR="008B45C3" w:rsidRPr="00DF5070">
        <w:rPr>
          <w:rFonts w:ascii="Times New Roman" w:hAnsi="Times New Roman"/>
        </w:rPr>
        <w:t>.</w:t>
      </w:r>
      <w:r w:rsidR="00EB5BB9" w:rsidRPr="00DF5070">
        <w:rPr>
          <w:rFonts w:ascii="Times New Roman" w:hAnsi="Times New Roman"/>
        </w:rPr>
        <w:t xml:space="preserve"> </w:t>
      </w:r>
    </w:p>
    <w:p w14:paraId="567ABA16" w14:textId="3624807C" w:rsidR="00EA6B7C" w:rsidRPr="00DF5070" w:rsidRDefault="007E7F31" w:rsidP="00DF5070">
      <w:pPr>
        <w:pStyle w:val="FixListStyle"/>
        <w:spacing w:after="260" w:line="280" w:lineRule="exact"/>
        <w:ind w:right="0"/>
        <w:jc w:val="both"/>
        <w:rPr>
          <w:rFonts w:ascii="Times New Roman" w:hAnsi="Times New Roman"/>
        </w:rPr>
      </w:pPr>
      <w:r w:rsidRPr="00DF5070">
        <w:rPr>
          <w:rFonts w:ascii="Times New Roman" w:hAnsi="Times New Roman"/>
        </w:rPr>
        <w:lastRenderedPageBreak/>
        <w:tab/>
      </w:r>
      <w:r w:rsidR="009E6FA7" w:rsidRPr="00DF5070">
        <w:rPr>
          <w:rFonts w:ascii="Times New Roman" w:hAnsi="Times New Roman"/>
        </w:rPr>
        <w:t>T</w:t>
      </w:r>
      <w:r w:rsidR="00EB5BB9" w:rsidRPr="00DF5070">
        <w:rPr>
          <w:rFonts w:ascii="Times New Roman" w:hAnsi="Times New Roman"/>
        </w:rPr>
        <w:t>he primary judge explained his preference for the</w:t>
      </w:r>
      <w:r w:rsidR="00A30234" w:rsidRPr="00DF5070">
        <w:rPr>
          <w:rFonts w:ascii="Times New Roman" w:hAnsi="Times New Roman"/>
        </w:rPr>
        <w:t xml:space="preserve"> approach</w:t>
      </w:r>
      <w:r w:rsidR="004B255B" w:rsidRPr="00DF5070">
        <w:rPr>
          <w:rFonts w:ascii="Times New Roman" w:hAnsi="Times New Roman"/>
        </w:rPr>
        <w:t xml:space="preserve"> of the majority</w:t>
      </w:r>
      <w:r w:rsidR="00A30234" w:rsidRPr="00DF5070">
        <w:rPr>
          <w:rFonts w:ascii="Times New Roman" w:hAnsi="Times New Roman"/>
        </w:rPr>
        <w:t xml:space="preserve"> in</w:t>
      </w:r>
      <w:r w:rsidR="00EB5BB9" w:rsidRPr="00DF5070">
        <w:rPr>
          <w:rFonts w:ascii="Times New Roman" w:hAnsi="Times New Roman"/>
        </w:rPr>
        <w:t xml:space="preserve"> </w:t>
      </w:r>
      <w:r w:rsidR="00EB5BB9" w:rsidRPr="00DF5070">
        <w:rPr>
          <w:rFonts w:ascii="Times New Roman" w:hAnsi="Times New Roman"/>
          <w:i/>
        </w:rPr>
        <w:t>Broadway on Ann</w:t>
      </w:r>
      <w:r w:rsidR="00CF2663" w:rsidRPr="00DF5070">
        <w:rPr>
          <w:rStyle w:val="FootnoteReference"/>
          <w:rFonts w:ascii="Times New Roman" w:hAnsi="Times New Roman"/>
          <w:sz w:val="24"/>
        </w:rPr>
        <w:footnoteReference w:id="39"/>
      </w:r>
      <w:r w:rsidR="00EB5BB9" w:rsidRPr="00DF5070">
        <w:rPr>
          <w:rFonts w:ascii="Times New Roman" w:hAnsi="Times New Roman"/>
        </w:rPr>
        <w:t>:</w:t>
      </w:r>
    </w:p>
    <w:p w14:paraId="093BD06D" w14:textId="1D69869B" w:rsidR="00EB5BB9" w:rsidRPr="00DF5070" w:rsidRDefault="00B64313" w:rsidP="00DF5070">
      <w:pPr>
        <w:pStyle w:val="leftright"/>
        <w:spacing w:before="0" w:after="260" w:line="280" w:lineRule="exact"/>
        <w:ind w:right="0"/>
        <w:jc w:val="both"/>
        <w:rPr>
          <w:rFonts w:ascii="Times New Roman" w:hAnsi="Times New Roman"/>
        </w:rPr>
      </w:pPr>
      <w:r w:rsidRPr="00DF5070">
        <w:rPr>
          <w:rFonts w:ascii="Times New Roman" w:hAnsi="Times New Roman"/>
        </w:rPr>
        <w:tab/>
        <w:t>"</w:t>
      </w:r>
      <w:r w:rsidR="00EB5BB9" w:rsidRPr="00DF5070">
        <w:rPr>
          <w:rFonts w:ascii="Times New Roman" w:hAnsi="Times New Roman"/>
        </w:rPr>
        <w:t>Civil penalties have only one objective: deterrence. The court is charged, simply enough, with fashioning a penalty that serves to deter, both generally and specifically, the conduct in respect of which it is levelled.</w:t>
      </w:r>
    </w:p>
    <w:p w14:paraId="537C3122" w14:textId="77777777" w:rsidR="00DF5070" w:rsidRDefault="00B64313" w:rsidP="00DF5070">
      <w:pPr>
        <w:pStyle w:val="leftright"/>
        <w:spacing w:before="0" w:after="260" w:line="280" w:lineRule="exact"/>
        <w:ind w:right="0"/>
        <w:jc w:val="both"/>
        <w:rPr>
          <w:rFonts w:ascii="Times New Roman" w:hAnsi="Times New Roman"/>
        </w:rPr>
      </w:pPr>
      <w:r w:rsidRPr="00DF5070">
        <w:rPr>
          <w:rFonts w:ascii="Times New Roman" w:hAnsi="Times New Roman"/>
        </w:rPr>
        <w:tab/>
      </w:r>
      <w:r w:rsidR="00EB5BB9" w:rsidRPr="00DF5070">
        <w:rPr>
          <w:rFonts w:ascii="Times New Roman" w:hAnsi="Times New Roman"/>
        </w:rPr>
        <w:t xml:space="preserve">If the only way to deter even the most objectively inoffensive conduct (so assessed without reference to historical context) is to impose a penalty at or approaching the maximum amount available, then the imposition of anything less would necessarily result in a failure to achieve the only object to which the imposition of civil penalties is directed. That acknowledged, it is not apparent to me how a civil penalty that is fashioned at (and not beyond) a level that is necessary in order to deter the repetition of </w:t>
      </w:r>
      <w:proofErr w:type="gramStart"/>
      <w:r w:rsidR="00EB5BB9" w:rsidRPr="00DF5070">
        <w:rPr>
          <w:rFonts w:ascii="Times New Roman" w:hAnsi="Times New Roman"/>
        </w:rPr>
        <w:t>particular conduct</w:t>
      </w:r>
      <w:proofErr w:type="gramEnd"/>
      <w:r w:rsidR="00EB5BB9" w:rsidRPr="00DF5070">
        <w:rPr>
          <w:rFonts w:ascii="Times New Roman" w:hAnsi="Times New Roman"/>
        </w:rPr>
        <w:t xml:space="preserve"> might ever be impugned as disproportionate to its nature or gravity (or seriousness or character). To phrase that proposition as a question: how can a penalty be disproportionate to the nature or gravity of the conduct in respect of which it is imposed if it is no more than what is necessary to achieve the only objective that its imposition is meant to achieve?</w:t>
      </w:r>
      <w:r w:rsidRPr="00DF5070">
        <w:rPr>
          <w:rFonts w:ascii="Times New Roman" w:hAnsi="Times New Roman"/>
        </w:rPr>
        <w:t>"</w:t>
      </w:r>
    </w:p>
    <w:p w14:paraId="45C2A006" w14:textId="6708B106" w:rsidR="00EB5BB9" w:rsidRPr="00DF5070" w:rsidRDefault="006B02F3" w:rsidP="00DF5070">
      <w:pPr>
        <w:pStyle w:val="FixListStyle"/>
        <w:spacing w:after="260" w:line="280" w:lineRule="exact"/>
        <w:ind w:right="0"/>
        <w:jc w:val="both"/>
        <w:rPr>
          <w:rFonts w:ascii="Times New Roman" w:hAnsi="Times New Roman"/>
        </w:rPr>
      </w:pPr>
      <w:r w:rsidRPr="00DF5070">
        <w:rPr>
          <w:rFonts w:ascii="Times New Roman" w:hAnsi="Times New Roman"/>
        </w:rPr>
        <w:tab/>
        <w:t>The primary judge adopted</w:t>
      </w:r>
      <w:r w:rsidR="00A94240" w:rsidRPr="00DF5070">
        <w:rPr>
          <w:rStyle w:val="FootnoteReference"/>
          <w:rFonts w:ascii="Times New Roman" w:hAnsi="Times New Roman"/>
          <w:sz w:val="24"/>
        </w:rPr>
        <w:footnoteReference w:id="40"/>
      </w:r>
      <w:r w:rsidRPr="00DF5070">
        <w:rPr>
          <w:rFonts w:ascii="Times New Roman" w:hAnsi="Times New Roman"/>
        </w:rPr>
        <w:t xml:space="preserve"> the </w:t>
      </w:r>
      <w:r w:rsidR="000F3C11" w:rsidRPr="00DF5070">
        <w:rPr>
          <w:rFonts w:ascii="Times New Roman" w:hAnsi="Times New Roman"/>
        </w:rPr>
        <w:t>approach</w:t>
      </w:r>
      <w:r w:rsidRPr="00DF5070">
        <w:rPr>
          <w:rFonts w:ascii="Times New Roman" w:hAnsi="Times New Roman"/>
        </w:rPr>
        <w:t xml:space="preserve"> of Tracey J in </w:t>
      </w:r>
      <w:r w:rsidR="00343BD1" w:rsidRPr="00DF5070">
        <w:rPr>
          <w:rFonts w:ascii="Times New Roman" w:hAnsi="Times New Roman"/>
          <w:i/>
        </w:rPr>
        <w:t>Australian Building and Construction Commissioner v Construction, Forestry, Maritime, Mining and Energy Union</w:t>
      </w:r>
      <w:r w:rsidR="0056485B" w:rsidRPr="00DF5070">
        <w:rPr>
          <w:rFonts w:ascii="Times New Roman" w:hAnsi="Times New Roman"/>
          <w:i/>
        </w:rPr>
        <w:t xml:space="preserve"> [No 2]</w:t>
      </w:r>
      <w:r w:rsidR="00343BD1" w:rsidRPr="00DF5070">
        <w:rPr>
          <w:rFonts w:ascii="Times New Roman" w:hAnsi="Times New Roman"/>
          <w:i/>
        </w:rPr>
        <w:t xml:space="preserve"> </w:t>
      </w:r>
      <w:r w:rsidR="0025584A" w:rsidRPr="00DF5070">
        <w:rPr>
          <w:rFonts w:ascii="Times New Roman" w:hAnsi="Times New Roman"/>
        </w:rPr>
        <w:t>(</w:t>
      </w:r>
      <w:r w:rsidR="001D63B8" w:rsidRPr="00DF5070">
        <w:rPr>
          <w:rFonts w:ascii="Times New Roman" w:hAnsi="Times New Roman"/>
        </w:rPr>
        <w:t>"</w:t>
      </w:r>
      <w:r w:rsidR="00025720" w:rsidRPr="00DF5070">
        <w:rPr>
          <w:rFonts w:ascii="Times New Roman" w:hAnsi="Times New Roman"/>
        </w:rPr>
        <w:t>t</w:t>
      </w:r>
      <w:r w:rsidR="0025584A" w:rsidRPr="00DF5070">
        <w:rPr>
          <w:rFonts w:ascii="Times New Roman" w:hAnsi="Times New Roman"/>
        </w:rPr>
        <w:t>he</w:t>
      </w:r>
      <w:r w:rsidR="0025584A" w:rsidRPr="00DF5070">
        <w:rPr>
          <w:rFonts w:ascii="Times New Roman" w:hAnsi="Times New Roman"/>
          <w:i/>
        </w:rPr>
        <w:t xml:space="preserve"> Bendigo Theatre Case</w:t>
      </w:r>
      <w:r w:rsidR="00136447" w:rsidRPr="00DF5070">
        <w:rPr>
          <w:rFonts w:ascii="Times New Roman" w:hAnsi="Times New Roman"/>
          <w:i/>
        </w:rPr>
        <w:t xml:space="preserve"> [No 2]</w:t>
      </w:r>
      <w:r w:rsidR="0025584A" w:rsidRPr="00DF5070">
        <w:rPr>
          <w:rFonts w:ascii="Times New Roman" w:hAnsi="Times New Roman"/>
        </w:rPr>
        <w:t>")</w:t>
      </w:r>
      <w:r w:rsidR="00301121" w:rsidRPr="00DF5070">
        <w:rPr>
          <w:rStyle w:val="FootnoteReference"/>
          <w:rFonts w:ascii="Times New Roman" w:hAnsi="Times New Roman"/>
          <w:sz w:val="24"/>
        </w:rPr>
        <w:footnoteReference w:id="41"/>
      </w:r>
      <w:r w:rsidR="00301121" w:rsidRPr="00DF5070">
        <w:rPr>
          <w:rFonts w:ascii="Times New Roman" w:hAnsi="Times New Roman"/>
        </w:rPr>
        <w:t>. In that case, Tracey J</w:t>
      </w:r>
      <w:r w:rsidR="00FD7A3F" w:rsidRPr="00DF5070">
        <w:rPr>
          <w:rFonts w:ascii="Times New Roman" w:hAnsi="Times New Roman"/>
        </w:rPr>
        <w:t xml:space="preserve"> </w:t>
      </w:r>
      <w:r w:rsidR="007B08D4" w:rsidRPr="00DF5070">
        <w:rPr>
          <w:rFonts w:ascii="Times New Roman" w:hAnsi="Times New Roman"/>
        </w:rPr>
        <w:t>said that if</w:t>
      </w:r>
      <w:r w:rsidR="00FD7A3F" w:rsidRPr="00DF5070">
        <w:rPr>
          <w:rFonts w:ascii="Times New Roman" w:hAnsi="Times New Roman"/>
        </w:rPr>
        <w:t xml:space="preserve"> "the maximum penalty prescribed for an offence is intended for cases falling within the worst category of cases for which that penalty </w:t>
      </w:r>
      <w:r w:rsidR="00FD7A3F" w:rsidRPr="00DF5070">
        <w:rPr>
          <w:rFonts w:ascii="Times New Roman" w:hAnsi="Times New Roman"/>
        </w:rPr>
        <w:lastRenderedPageBreak/>
        <w:t xml:space="preserve">is </w:t>
      </w:r>
      <w:r w:rsidR="005D04D0" w:rsidRPr="00DF5070">
        <w:rPr>
          <w:rFonts w:ascii="Times New Roman" w:hAnsi="Times New Roman"/>
        </w:rPr>
        <w:t>[</w:t>
      </w:r>
      <w:r w:rsidR="00FD7A3F" w:rsidRPr="00DF5070">
        <w:rPr>
          <w:rFonts w:ascii="Times New Roman" w:hAnsi="Times New Roman"/>
        </w:rPr>
        <w:t>pr</w:t>
      </w:r>
      <w:r w:rsidR="005D04D0" w:rsidRPr="00DF5070">
        <w:rPr>
          <w:rFonts w:ascii="Times New Roman" w:hAnsi="Times New Roman"/>
        </w:rPr>
        <w:t>e</w:t>
      </w:r>
      <w:r w:rsidR="00FD7A3F" w:rsidRPr="00DF5070">
        <w:rPr>
          <w:rFonts w:ascii="Times New Roman" w:hAnsi="Times New Roman"/>
        </w:rPr>
        <w:t>scribed</w:t>
      </w:r>
      <w:r w:rsidR="005D04D0" w:rsidRPr="00DF5070">
        <w:rPr>
          <w:rFonts w:ascii="Times New Roman" w:hAnsi="Times New Roman"/>
        </w:rPr>
        <w:t>]</w:t>
      </w:r>
      <w:r w:rsidR="00FD7A3F" w:rsidRPr="00DF5070">
        <w:rPr>
          <w:rFonts w:ascii="Times New Roman" w:hAnsi="Times New Roman"/>
        </w:rPr>
        <w:t>"</w:t>
      </w:r>
      <w:r w:rsidR="009F3FE8" w:rsidRPr="00DF5070">
        <w:rPr>
          <w:rStyle w:val="FootnoteReference"/>
          <w:rFonts w:ascii="Times New Roman" w:hAnsi="Times New Roman"/>
          <w:sz w:val="24"/>
        </w:rPr>
        <w:footnoteReference w:id="42"/>
      </w:r>
      <w:r w:rsidR="007B08D4" w:rsidRPr="00DF5070">
        <w:rPr>
          <w:rFonts w:ascii="Times New Roman" w:hAnsi="Times New Roman"/>
        </w:rPr>
        <w:t xml:space="preserve">, then in the context of </w:t>
      </w:r>
      <w:r w:rsidR="0038432F" w:rsidRPr="00DF5070">
        <w:rPr>
          <w:rFonts w:ascii="Times New Roman" w:hAnsi="Times New Roman"/>
        </w:rPr>
        <w:t xml:space="preserve">a </w:t>
      </w:r>
      <w:r w:rsidR="007B08D4" w:rsidRPr="00DF5070">
        <w:rPr>
          <w:rFonts w:ascii="Times New Roman" w:hAnsi="Times New Roman"/>
        </w:rPr>
        <w:t>civil penalty regime, with its</w:t>
      </w:r>
      <w:r w:rsidR="00F63BA7" w:rsidRPr="00DF5070">
        <w:rPr>
          <w:rFonts w:ascii="Times New Roman" w:hAnsi="Times New Roman"/>
        </w:rPr>
        <w:t xml:space="preserve"> strong </w:t>
      </w:r>
      <w:r w:rsidR="007B08D4" w:rsidRPr="00DF5070">
        <w:rPr>
          <w:rFonts w:ascii="Times New Roman" w:hAnsi="Times New Roman"/>
        </w:rPr>
        <w:t>focus</w:t>
      </w:r>
      <w:r w:rsidR="00F63BA7" w:rsidRPr="00DF5070">
        <w:rPr>
          <w:rFonts w:ascii="Times New Roman" w:hAnsi="Times New Roman"/>
        </w:rPr>
        <w:t xml:space="preserve"> on deterrence</w:t>
      </w:r>
      <w:r w:rsidR="0029695D" w:rsidRPr="00DF5070">
        <w:rPr>
          <w:rStyle w:val="FootnoteReference"/>
          <w:rFonts w:ascii="Times New Roman" w:hAnsi="Times New Roman"/>
          <w:sz w:val="24"/>
        </w:rPr>
        <w:footnoteReference w:id="43"/>
      </w:r>
      <w:r w:rsidR="00011E67" w:rsidRPr="00DF5070">
        <w:rPr>
          <w:rFonts w:ascii="Times New Roman" w:hAnsi="Times New Roman"/>
        </w:rPr>
        <w:t>:</w:t>
      </w:r>
    </w:p>
    <w:p w14:paraId="1A2F282F" w14:textId="77777777" w:rsidR="00DF5070" w:rsidRDefault="00087DF4" w:rsidP="00DF5070">
      <w:pPr>
        <w:pStyle w:val="LeftrightafterHC"/>
        <w:spacing w:before="0" w:after="260" w:line="280" w:lineRule="exact"/>
        <w:ind w:right="0"/>
        <w:jc w:val="both"/>
        <w:rPr>
          <w:rFonts w:ascii="Times New Roman" w:hAnsi="Times New Roman"/>
        </w:rPr>
      </w:pPr>
      <w:r w:rsidRPr="00DF5070">
        <w:rPr>
          <w:rFonts w:ascii="Times New Roman" w:hAnsi="Times New Roman"/>
        </w:rPr>
        <w:t xml:space="preserve">"the maximum penalty may be appropriate for a person who has repeatedly contravened the same or similar legislative provisions despite having been penalised regularly over </w:t>
      </w:r>
      <w:proofErr w:type="gramStart"/>
      <w:r w:rsidRPr="00DF5070">
        <w:rPr>
          <w:rFonts w:ascii="Times New Roman" w:hAnsi="Times New Roman"/>
        </w:rPr>
        <w:t>a period of time</w:t>
      </w:r>
      <w:proofErr w:type="gramEnd"/>
      <w:r w:rsidRPr="00DF5070">
        <w:rPr>
          <w:rFonts w:ascii="Times New Roman" w:hAnsi="Times New Roman"/>
        </w:rPr>
        <w:t xml:space="preserve"> for such misconduct. </w:t>
      </w:r>
      <w:r w:rsidRPr="00DF5070">
        <w:rPr>
          <w:rFonts w:ascii="Times New Roman" w:hAnsi="Times New Roman"/>
          <w:i/>
        </w:rPr>
        <w:t>The gravity of the offending, in such cases, is to be assessed by reference to the nature and the quality of the recidivism rather than by comparison of individual instances of offending</w:t>
      </w:r>
      <w:r w:rsidR="0038432F" w:rsidRPr="00DF5070">
        <w:rPr>
          <w:rStyle w:val="FootnoteReference"/>
          <w:rFonts w:ascii="Times New Roman" w:hAnsi="Times New Roman"/>
          <w:sz w:val="24"/>
        </w:rPr>
        <w:footnoteReference w:id="44"/>
      </w:r>
      <w:r w:rsidRPr="00DF5070">
        <w:rPr>
          <w:rFonts w:ascii="Times New Roman" w:hAnsi="Times New Roman"/>
        </w:rPr>
        <w:t xml:space="preserve">. Relevant matters will include the number of contraventions which have occurred over a period, whether the ongoing misconduct is the result of conscious decisions, whether the repeated </w:t>
      </w:r>
      <w:proofErr w:type="spellStart"/>
      <w:r w:rsidRPr="00DF5070">
        <w:rPr>
          <w:rFonts w:ascii="Times New Roman" w:hAnsi="Times New Roman"/>
        </w:rPr>
        <w:t>contravenor</w:t>
      </w:r>
      <w:proofErr w:type="spellEnd"/>
      <w:r w:rsidRPr="00DF5070">
        <w:rPr>
          <w:rFonts w:ascii="Times New Roman" w:hAnsi="Times New Roman"/>
        </w:rPr>
        <w:t xml:space="preserve"> has treated the payment of penalties as a cost of doing business and whether any attempt has been made to comply with the law as declared by the Court."</w:t>
      </w:r>
      <w:r w:rsidR="00F3554B" w:rsidRPr="00DF5070">
        <w:rPr>
          <w:rFonts w:ascii="Times New Roman" w:hAnsi="Times New Roman"/>
        </w:rPr>
        <w:t xml:space="preserve"> (emphasis added)</w:t>
      </w:r>
    </w:p>
    <w:p w14:paraId="4107AC76" w14:textId="2FB3A78A" w:rsidR="00C92627" w:rsidRPr="00DF5070" w:rsidRDefault="008E4D25"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C25B9F" w:rsidRPr="00DF5070">
        <w:rPr>
          <w:rFonts w:ascii="Times New Roman" w:hAnsi="Times New Roman"/>
        </w:rPr>
        <w:t>T</w:t>
      </w:r>
      <w:r w:rsidRPr="00DF5070">
        <w:rPr>
          <w:rFonts w:ascii="Times New Roman" w:hAnsi="Times New Roman"/>
        </w:rPr>
        <w:t xml:space="preserve">he primary judge </w:t>
      </w:r>
      <w:r w:rsidR="00264EE4" w:rsidRPr="00DF5070">
        <w:rPr>
          <w:rFonts w:ascii="Times New Roman" w:hAnsi="Times New Roman"/>
        </w:rPr>
        <w:t xml:space="preserve">considered that </w:t>
      </w:r>
      <w:r w:rsidR="00C25B9F" w:rsidRPr="00DF5070">
        <w:rPr>
          <w:rFonts w:ascii="Times New Roman" w:hAnsi="Times New Roman"/>
        </w:rPr>
        <w:t xml:space="preserve">to </w:t>
      </w:r>
      <w:proofErr w:type="gramStart"/>
      <w:r w:rsidR="00C25B9F" w:rsidRPr="00DF5070">
        <w:rPr>
          <w:rFonts w:ascii="Times New Roman" w:hAnsi="Times New Roman"/>
        </w:rPr>
        <w:t>take</w:t>
      </w:r>
      <w:r w:rsidR="00264EE4" w:rsidRPr="00DF5070">
        <w:rPr>
          <w:rFonts w:ascii="Times New Roman" w:hAnsi="Times New Roman"/>
        </w:rPr>
        <w:t xml:space="preserve"> into account</w:t>
      </w:r>
      <w:proofErr w:type="gramEnd"/>
      <w:r w:rsidR="00264EE4" w:rsidRPr="00DF5070">
        <w:rPr>
          <w:rFonts w:ascii="Times New Roman" w:hAnsi="Times New Roman"/>
        </w:rPr>
        <w:t xml:space="preserve"> </w:t>
      </w:r>
      <w:r w:rsidR="006C535D" w:rsidRPr="00DF5070">
        <w:rPr>
          <w:rFonts w:ascii="Times New Roman" w:hAnsi="Times New Roman"/>
        </w:rPr>
        <w:t>a history of similar contraventions in order to assess the gravity, seriousness, nature or character of a</w:t>
      </w:r>
      <w:r w:rsidR="0030776C" w:rsidRPr="00DF5070">
        <w:rPr>
          <w:rFonts w:ascii="Times New Roman" w:hAnsi="Times New Roman"/>
        </w:rPr>
        <w:t>n instant</w:t>
      </w:r>
      <w:r w:rsidR="00C25B9F" w:rsidRPr="00DF5070">
        <w:rPr>
          <w:rFonts w:ascii="Times New Roman" w:hAnsi="Times New Roman"/>
        </w:rPr>
        <w:t xml:space="preserve"> contravention</w:t>
      </w:r>
      <w:r w:rsidR="009C744C" w:rsidRPr="00DF5070">
        <w:rPr>
          <w:rFonts w:ascii="Times New Roman" w:hAnsi="Times New Roman"/>
        </w:rPr>
        <w:t xml:space="preserve"> would not be to impose a fresh penalty for past offence</w:t>
      </w:r>
      <w:r w:rsidR="008678BD" w:rsidRPr="00DF5070">
        <w:rPr>
          <w:rFonts w:ascii="Times New Roman" w:hAnsi="Times New Roman"/>
        </w:rPr>
        <w:t>s</w:t>
      </w:r>
      <w:r w:rsidR="009C744C" w:rsidRPr="00DF5070">
        <w:rPr>
          <w:rFonts w:ascii="Times New Roman" w:hAnsi="Times New Roman"/>
        </w:rPr>
        <w:t xml:space="preserve"> or </w:t>
      </w:r>
      <w:r w:rsidR="001F412D" w:rsidRPr="00DF5070">
        <w:rPr>
          <w:rFonts w:ascii="Times New Roman" w:hAnsi="Times New Roman"/>
        </w:rPr>
        <w:t xml:space="preserve">to impose a penalty that was disproportionate. Rather, it would "merely </w:t>
      </w:r>
      <w:proofErr w:type="gramStart"/>
      <w:r w:rsidR="001F412D" w:rsidRPr="00DF5070">
        <w:rPr>
          <w:rFonts w:ascii="Times New Roman" w:hAnsi="Times New Roman"/>
        </w:rPr>
        <w:t>inform</w:t>
      </w:r>
      <w:r w:rsidR="00E54054" w:rsidRPr="00DF5070">
        <w:rPr>
          <w:rFonts w:ascii="Times New Roman" w:hAnsi="Times New Roman"/>
        </w:rPr>
        <w:t>[</w:t>
      </w:r>
      <w:proofErr w:type="gramEnd"/>
      <w:r w:rsidR="00E54054" w:rsidRPr="00DF5070">
        <w:rPr>
          <w:rFonts w:ascii="Times New Roman" w:hAnsi="Times New Roman"/>
        </w:rPr>
        <w:t>]</w:t>
      </w:r>
      <w:r w:rsidR="001F412D" w:rsidRPr="00DF5070">
        <w:rPr>
          <w:rFonts w:ascii="Times New Roman" w:hAnsi="Times New Roman"/>
        </w:rPr>
        <w:t xml:space="preserve"> what </w:t>
      </w:r>
      <w:r w:rsidR="001F412D" w:rsidRPr="00DF5070">
        <w:rPr>
          <w:rFonts w:ascii="Times New Roman" w:hAnsi="Times New Roman"/>
          <w:i/>
        </w:rPr>
        <w:t xml:space="preserve">is </w:t>
      </w:r>
      <w:r w:rsidR="001F412D" w:rsidRPr="00DF5070">
        <w:rPr>
          <w:rFonts w:ascii="Times New Roman" w:hAnsi="Times New Roman"/>
        </w:rPr>
        <w:t>proportionate; that is to say, how serious or grave the instant contravention is"</w:t>
      </w:r>
      <w:r w:rsidR="001F412D" w:rsidRPr="00DF5070">
        <w:rPr>
          <w:rStyle w:val="FootnoteReference"/>
          <w:rFonts w:ascii="Times New Roman" w:hAnsi="Times New Roman"/>
          <w:sz w:val="24"/>
        </w:rPr>
        <w:footnoteReference w:id="45"/>
      </w:r>
      <w:r w:rsidR="001F412D" w:rsidRPr="00DF5070">
        <w:rPr>
          <w:rFonts w:ascii="Times New Roman" w:hAnsi="Times New Roman"/>
        </w:rPr>
        <w:t>.</w:t>
      </w:r>
      <w:r w:rsidR="00C92627" w:rsidRPr="00DF5070">
        <w:rPr>
          <w:rFonts w:ascii="Times New Roman" w:hAnsi="Times New Roman"/>
        </w:rPr>
        <w:t xml:space="preserve"> </w:t>
      </w:r>
      <w:r w:rsidR="008B7493" w:rsidRPr="00DF5070">
        <w:rPr>
          <w:rFonts w:ascii="Times New Roman" w:hAnsi="Times New Roman"/>
        </w:rPr>
        <w:t xml:space="preserve">Applying this approach, the primary judge </w:t>
      </w:r>
      <w:r w:rsidR="003D6F15" w:rsidRPr="00DF5070">
        <w:rPr>
          <w:rFonts w:ascii="Times New Roman" w:hAnsi="Times New Roman"/>
        </w:rPr>
        <w:t xml:space="preserve">considered that, </w:t>
      </w:r>
      <w:r w:rsidR="008678BD" w:rsidRPr="00DF5070">
        <w:rPr>
          <w:rFonts w:ascii="Times New Roman" w:hAnsi="Times New Roman"/>
        </w:rPr>
        <w:t xml:space="preserve">when </w:t>
      </w:r>
      <w:r w:rsidR="003D6F15" w:rsidRPr="00DF5070">
        <w:rPr>
          <w:rFonts w:ascii="Times New Roman" w:hAnsi="Times New Roman"/>
        </w:rPr>
        <w:t>viewed against the backdrop of the CFMMEU's "sorry record of statutory contravention", the contraventions in the present case were "very much of the gravest, most serious kind"</w:t>
      </w:r>
      <w:r w:rsidR="003D6F15" w:rsidRPr="00DF5070">
        <w:rPr>
          <w:rStyle w:val="FootnoteReference"/>
          <w:rFonts w:ascii="Times New Roman" w:hAnsi="Times New Roman"/>
          <w:sz w:val="24"/>
        </w:rPr>
        <w:footnoteReference w:id="46"/>
      </w:r>
      <w:r w:rsidR="003D6F15" w:rsidRPr="00DF5070">
        <w:rPr>
          <w:rFonts w:ascii="Times New Roman" w:hAnsi="Times New Roman"/>
        </w:rPr>
        <w:t>.</w:t>
      </w:r>
      <w:r w:rsidR="00421514" w:rsidRPr="00DF5070">
        <w:rPr>
          <w:rFonts w:ascii="Times New Roman" w:hAnsi="Times New Roman"/>
        </w:rPr>
        <w:t xml:space="preserve"> </w:t>
      </w:r>
    </w:p>
    <w:p w14:paraId="07C276DD" w14:textId="5715A766" w:rsidR="008B7493" w:rsidRPr="00DF5070" w:rsidRDefault="00C92627"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F21C88" w:rsidRPr="00DF5070">
        <w:rPr>
          <w:rFonts w:ascii="Times New Roman" w:hAnsi="Times New Roman"/>
        </w:rPr>
        <w:t>On that basis, the</w:t>
      </w:r>
      <w:r w:rsidR="00421514" w:rsidRPr="00DF5070">
        <w:rPr>
          <w:rFonts w:ascii="Times New Roman" w:hAnsi="Times New Roman"/>
        </w:rPr>
        <w:t xml:space="preserve"> primary judge </w:t>
      </w:r>
      <w:r w:rsidR="00111A27" w:rsidRPr="00DF5070">
        <w:rPr>
          <w:rFonts w:ascii="Times New Roman" w:hAnsi="Times New Roman"/>
        </w:rPr>
        <w:t>held that it was</w:t>
      </w:r>
      <w:r w:rsidR="00421514" w:rsidRPr="00DF5070">
        <w:rPr>
          <w:rFonts w:ascii="Times New Roman" w:hAnsi="Times New Roman"/>
        </w:rPr>
        <w:t xml:space="preserve"> appropriate to impose </w:t>
      </w:r>
      <w:r w:rsidR="00E617AB" w:rsidRPr="00DF5070">
        <w:rPr>
          <w:rFonts w:ascii="Times New Roman" w:hAnsi="Times New Roman"/>
        </w:rPr>
        <w:t xml:space="preserve">on the CFMMEU </w:t>
      </w:r>
      <w:r w:rsidR="00421514" w:rsidRPr="00DF5070">
        <w:rPr>
          <w:rFonts w:ascii="Times New Roman" w:hAnsi="Times New Roman"/>
        </w:rPr>
        <w:t xml:space="preserve">penalties </w:t>
      </w:r>
      <w:r w:rsidR="00E617AB" w:rsidRPr="00DF5070">
        <w:rPr>
          <w:rFonts w:ascii="Times New Roman" w:hAnsi="Times New Roman"/>
        </w:rPr>
        <w:t xml:space="preserve">set </w:t>
      </w:r>
      <w:r w:rsidR="00421514" w:rsidRPr="00DF5070">
        <w:rPr>
          <w:rFonts w:ascii="Times New Roman" w:hAnsi="Times New Roman"/>
        </w:rPr>
        <w:t>at the maximum amount, $63,000</w:t>
      </w:r>
      <w:r w:rsidR="00E617AB" w:rsidRPr="00DF5070">
        <w:rPr>
          <w:rFonts w:ascii="Times New Roman" w:hAnsi="Times New Roman"/>
        </w:rPr>
        <w:t xml:space="preserve">, although reduced </w:t>
      </w:r>
      <w:r w:rsidR="007F34B9" w:rsidRPr="00DF5070">
        <w:rPr>
          <w:rFonts w:ascii="Times New Roman" w:hAnsi="Times New Roman"/>
        </w:rPr>
        <w:lastRenderedPageBreak/>
        <w:t xml:space="preserve">by half to reflect that the two contraventions arose from the same course of conduct. In the result, the primary judge </w:t>
      </w:r>
      <w:r w:rsidR="00BD6B29" w:rsidRPr="00DF5070">
        <w:rPr>
          <w:rFonts w:ascii="Times New Roman" w:hAnsi="Times New Roman"/>
        </w:rPr>
        <w:t xml:space="preserve">imposed </w:t>
      </w:r>
      <w:r w:rsidR="005517FB" w:rsidRPr="00DF5070">
        <w:rPr>
          <w:rFonts w:ascii="Times New Roman" w:hAnsi="Times New Roman"/>
        </w:rPr>
        <w:t xml:space="preserve">on the CFMMEU </w:t>
      </w:r>
      <w:r w:rsidR="009944E1" w:rsidRPr="00DF5070">
        <w:rPr>
          <w:rFonts w:ascii="Times New Roman" w:hAnsi="Times New Roman"/>
        </w:rPr>
        <w:t>a</w:t>
      </w:r>
      <w:r w:rsidR="00BD6B29" w:rsidRPr="00DF5070">
        <w:rPr>
          <w:rFonts w:ascii="Times New Roman" w:hAnsi="Times New Roman"/>
        </w:rPr>
        <w:t xml:space="preserve"> penalt</w:t>
      </w:r>
      <w:r w:rsidR="009944E1" w:rsidRPr="00DF5070">
        <w:rPr>
          <w:rFonts w:ascii="Times New Roman" w:hAnsi="Times New Roman"/>
        </w:rPr>
        <w:t>y</w:t>
      </w:r>
      <w:r w:rsidR="00BD6B29" w:rsidRPr="00DF5070">
        <w:rPr>
          <w:rFonts w:ascii="Times New Roman" w:hAnsi="Times New Roman"/>
        </w:rPr>
        <w:t xml:space="preserve"> of $31,500 for </w:t>
      </w:r>
      <w:r w:rsidR="009944E1" w:rsidRPr="00DF5070">
        <w:rPr>
          <w:rFonts w:ascii="Times New Roman" w:hAnsi="Times New Roman"/>
        </w:rPr>
        <w:t xml:space="preserve">each of </w:t>
      </w:r>
      <w:r w:rsidR="00BD6B29" w:rsidRPr="00DF5070">
        <w:rPr>
          <w:rFonts w:ascii="Times New Roman" w:hAnsi="Times New Roman"/>
        </w:rPr>
        <w:t>the two contraventions</w:t>
      </w:r>
      <w:r w:rsidR="005517FB" w:rsidRPr="00DF5070">
        <w:rPr>
          <w:rStyle w:val="FootnoteReference"/>
          <w:rFonts w:ascii="Times New Roman" w:hAnsi="Times New Roman"/>
          <w:sz w:val="24"/>
        </w:rPr>
        <w:footnoteReference w:id="47"/>
      </w:r>
      <w:r w:rsidR="005517FB" w:rsidRPr="00DF5070">
        <w:rPr>
          <w:rFonts w:ascii="Times New Roman" w:hAnsi="Times New Roman"/>
        </w:rPr>
        <w:t>.</w:t>
      </w:r>
      <w:r w:rsidR="000B4C42" w:rsidRPr="00DF5070">
        <w:rPr>
          <w:rFonts w:ascii="Times New Roman" w:hAnsi="Times New Roman"/>
        </w:rPr>
        <w:t xml:space="preserve"> His Honour was satisfied that a total penalty of $63,000 </w:t>
      </w:r>
      <w:r w:rsidR="00A479F4" w:rsidRPr="00DF5070">
        <w:rPr>
          <w:rFonts w:ascii="Times New Roman" w:hAnsi="Times New Roman"/>
        </w:rPr>
        <w:t>in respect of</w:t>
      </w:r>
      <w:r w:rsidR="000B4C42" w:rsidRPr="00DF5070">
        <w:rPr>
          <w:rFonts w:ascii="Times New Roman" w:hAnsi="Times New Roman"/>
        </w:rPr>
        <w:t xml:space="preserve"> the CFMMEU was "a proportionate response to the Union's wrongdoing and represent[ed] the best prospect that the court ha</w:t>
      </w:r>
      <w:r w:rsidR="00A479F4" w:rsidRPr="00DF5070">
        <w:rPr>
          <w:rFonts w:ascii="Times New Roman" w:hAnsi="Times New Roman"/>
        </w:rPr>
        <w:t>[d]</w:t>
      </w:r>
      <w:r w:rsidR="000B4C42" w:rsidRPr="00DF5070">
        <w:rPr>
          <w:rFonts w:ascii="Times New Roman" w:hAnsi="Times New Roman"/>
        </w:rPr>
        <w:t xml:space="preserve"> of deterring its repetition"</w:t>
      </w:r>
      <w:r w:rsidR="000B4C42" w:rsidRPr="00DF5070">
        <w:rPr>
          <w:rStyle w:val="FootnoteReference"/>
          <w:rFonts w:ascii="Times New Roman" w:hAnsi="Times New Roman"/>
          <w:sz w:val="24"/>
        </w:rPr>
        <w:footnoteReference w:id="48"/>
      </w:r>
      <w:r w:rsidR="000B4C42" w:rsidRPr="00DF5070">
        <w:rPr>
          <w:rFonts w:ascii="Times New Roman" w:hAnsi="Times New Roman"/>
        </w:rPr>
        <w:t>.</w:t>
      </w:r>
    </w:p>
    <w:p w14:paraId="2DE678DB" w14:textId="6235FB5E" w:rsidR="008B65B9" w:rsidRPr="00DF5070" w:rsidRDefault="008B65B9" w:rsidP="00DF5070">
      <w:pPr>
        <w:pStyle w:val="FixListStyle"/>
        <w:spacing w:after="260" w:line="280" w:lineRule="exact"/>
        <w:ind w:right="0"/>
        <w:jc w:val="both"/>
        <w:rPr>
          <w:rFonts w:ascii="Times New Roman" w:hAnsi="Times New Roman"/>
        </w:rPr>
      </w:pPr>
      <w:r w:rsidRPr="00DF5070">
        <w:rPr>
          <w:rFonts w:ascii="Times New Roman" w:hAnsi="Times New Roman"/>
        </w:rPr>
        <w:tab/>
        <w:t>In re</w:t>
      </w:r>
      <w:r w:rsidR="00C64F0C" w:rsidRPr="00DF5070">
        <w:rPr>
          <w:rFonts w:ascii="Times New Roman" w:hAnsi="Times New Roman"/>
        </w:rPr>
        <w:t>lation to</w:t>
      </w:r>
      <w:r w:rsidRPr="00DF5070">
        <w:rPr>
          <w:rFonts w:ascii="Times New Roman" w:hAnsi="Times New Roman"/>
        </w:rPr>
        <w:t xml:space="preserve"> Mr Pattinson, the primary judge </w:t>
      </w:r>
      <w:r w:rsidR="009556F0" w:rsidRPr="00DF5070">
        <w:rPr>
          <w:rFonts w:ascii="Times New Roman" w:hAnsi="Times New Roman"/>
        </w:rPr>
        <w:t xml:space="preserve">considered that although </w:t>
      </w:r>
      <w:r w:rsidR="00111A27" w:rsidRPr="00DF5070">
        <w:rPr>
          <w:rFonts w:ascii="Times New Roman" w:hAnsi="Times New Roman"/>
        </w:rPr>
        <w:t>Mr Pattinson</w:t>
      </w:r>
      <w:r w:rsidR="009556F0" w:rsidRPr="00DF5070">
        <w:rPr>
          <w:rFonts w:ascii="Times New Roman" w:hAnsi="Times New Roman"/>
        </w:rPr>
        <w:t xml:space="preserve"> did not have a prior history of contraventions, it </w:t>
      </w:r>
      <w:r w:rsidR="00404CD5" w:rsidRPr="00DF5070">
        <w:rPr>
          <w:rFonts w:ascii="Times New Roman" w:hAnsi="Times New Roman"/>
        </w:rPr>
        <w:t>reflected poorly on him that he enforced the CFMMEU's "no ticket, no start" policy</w:t>
      </w:r>
      <w:r w:rsidR="003E38DA" w:rsidRPr="00DF5070">
        <w:rPr>
          <w:rFonts w:ascii="Times New Roman" w:hAnsi="Times New Roman"/>
        </w:rPr>
        <w:t xml:space="preserve"> at the site</w:t>
      </w:r>
      <w:r w:rsidR="00404CD5" w:rsidRPr="00DF5070">
        <w:rPr>
          <w:rFonts w:ascii="Times New Roman" w:hAnsi="Times New Roman"/>
        </w:rPr>
        <w:t>.</w:t>
      </w:r>
      <w:r w:rsidR="003E38DA" w:rsidRPr="00DF5070">
        <w:rPr>
          <w:rFonts w:ascii="Times New Roman" w:hAnsi="Times New Roman"/>
        </w:rPr>
        <w:t xml:space="preserve"> </w:t>
      </w:r>
      <w:r w:rsidR="00682D9A" w:rsidRPr="00DF5070">
        <w:rPr>
          <w:rFonts w:ascii="Times New Roman" w:hAnsi="Times New Roman"/>
        </w:rPr>
        <w:t xml:space="preserve">The primary judge considered that it was important that </w:t>
      </w:r>
      <w:r w:rsidR="00F77F8C" w:rsidRPr="00DF5070">
        <w:rPr>
          <w:rFonts w:ascii="Times New Roman" w:hAnsi="Times New Roman"/>
        </w:rPr>
        <w:t xml:space="preserve">the </w:t>
      </w:r>
      <w:r w:rsidR="00682D9A" w:rsidRPr="00DF5070">
        <w:rPr>
          <w:rFonts w:ascii="Times New Roman" w:hAnsi="Times New Roman"/>
        </w:rPr>
        <w:t>penalty imposed on Mr Pattinson</w:t>
      </w:r>
      <w:r w:rsidR="008678BD" w:rsidRPr="00DF5070">
        <w:rPr>
          <w:rFonts w:ascii="Times New Roman" w:hAnsi="Times New Roman"/>
        </w:rPr>
        <w:t xml:space="preserve"> be</w:t>
      </w:r>
      <w:r w:rsidR="00682D9A" w:rsidRPr="00DF5070">
        <w:rPr>
          <w:rFonts w:ascii="Times New Roman" w:hAnsi="Times New Roman"/>
        </w:rPr>
        <w:t xml:space="preserve"> </w:t>
      </w:r>
      <w:proofErr w:type="gramStart"/>
      <w:r w:rsidR="00682D9A" w:rsidRPr="00DF5070">
        <w:rPr>
          <w:rFonts w:ascii="Times New Roman" w:hAnsi="Times New Roman"/>
        </w:rPr>
        <w:t>sufficient</w:t>
      </w:r>
      <w:proofErr w:type="gramEnd"/>
      <w:r w:rsidR="00682D9A" w:rsidRPr="00DF5070">
        <w:rPr>
          <w:rFonts w:ascii="Times New Roman" w:hAnsi="Times New Roman"/>
        </w:rPr>
        <w:t xml:space="preserve"> to deter repetition of the conduct not only by Mr Pattinson himself, but also by other delegates and officers of the CFMMEU</w:t>
      </w:r>
      <w:r w:rsidR="00682D9A" w:rsidRPr="00DF5070">
        <w:rPr>
          <w:rStyle w:val="FootnoteReference"/>
          <w:rFonts w:ascii="Times New Roman" w:hAnsi="Times New Roman"/>
          <w:sz w:val="24"/>
        </w:rPr>
        <w:footnoteReference w:id="49"/>
      </w:r>
      <w:r w:rsidR="00682D9A" w:rsidRPr="00DF5070">
        <w:rPr>
          <w:rFonts w:ascii="Times New Roman" w:hAnsi="Times New Roman"/>
        </w:rPr>
        <w:t>.</w:t>
      </w:r>
      <w:r w:rsidR="00577B6F" w:rsidRPr="00DF5070">
        <w:rPr>
          <w:rFonts w:ascii="Times New Roman" w:hAnsi="Times New Roman"/>
        </w:rPr>
        <w:t xml:space="preserve"> The primary judge imposed </w:t>
      </w:r>
      <w:r w:rsidR="008D1A43" w:rsidRPr="00DF5070">
        <w:rPr>
          <w:rFonts w:ascii="Times New Roman" w:hAnsi="Times New Roman"/>
        </w:rPr>
        <w:t>on Mr Pattinson a penalty of $3,</w:t>
      </w:r>
      <w:r w:rsidR="00C825E7" w:rsidRPr="00DF5070">
        <w:rPr>
          <w:rFonts w:ascii="Times New Roman" w:hAnsi="Times New Roman"/>
        </w:rPr>
        <w:t>000</w:t>
      </w:r>
      <w:r w:rsidR="008D1A43" w:rsidRPr="00DF5070">
        <w:rPr>
          <w:rFonts w:ascii="Times New Roman" w:hAnsi="Times New Roman"/>
        </w:rPr>
        <w:t xml:space="preserve"> for each of the two contraventions</w:t>
      </w:r>
      <w:r w:rsidR="008D1A43" w:rsidRPr="00DF5070">
        <w:rPr>
          <w:rStyle w:val="FootnoteReference"/>
          <w:rFonts w:ascii="Times New Roman" w:hAnsi="Times New Roman"/>
          <w:sz w:val="24"/>
        </w:rPr>
        <w:footnoteReference w:id="50"/>
      </w:r>
      <w:r w:rsidR="008D1A43" w:rsidRPr="00DF5070">
        <w:rPr>
          <w:rFonts w:ascii="Times New Roman" w:hAnsi="Times New Roman"/>
        </w:rPr>
        <w:t>.</w:t>
      </w:r>
    </w:p>
    <w:p w14:paraId="45C83A92" w14:textId="038D5B4B" w:rsidR="00B0746E" w:rsidRPr="00DF5070" w:rsidRDefault="00B0746E" w:rsidP="00DF5070">
      <w:pPr>
        <w:pStyle w:val="HeadingL1"/>
        <w:spacing w:after="260" w:line="280" w:lineRule="exact"/>
        <w:ind w:right="0"/>
        <w:jc w:val="both"/>
        <w:rPr>
          <w:rFonts w:ascii="Times New Roman" w:hAnsi="Times New Roman"/>
        </w:rPr>
      </w:pPr>
      <w:r w:rsidRPr="00DF5070">
        <w:rPr>
          <w:rFonts w:ascii="Times New Roman" w:hAnsi="Times New Roman"/>
        </w:rPr>
        <w:t>The reasons of the Full Court</w:t>
      </w:r>
    </w:p>
    <w:p w14:paraId="65A07B1B" w14:textId="6FC4D04A" w:rsidR="00175153" w:rsidRPr="00DF5070" w:rsidRDefault="00B0746E"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74618D" w:rsidRPr="00DF5070">
        <w:rPr>
          <w:rFonts w:ascii="Times New Roman" w:hAnsi="Times New Roman"/>
        </w:rPr>
        <w:t>The</w:t>
      </w:r>
      <w:r w:rsidR="00B5541E" w:rsidRPr="00DF5070">
        <w:rPr>
          <w:rFonts w:ascii="Times New Roman" w:hAnsi="Times New Roman"/>
        </w:rPr>
        <w:t xml:space="preserve"> Full Court allowed the appeal</w:t>
      </w:r>
      <w:r w:rsidR="00352FBF" w:rsidRPr="00DF5070">
        <w:rPr>
          <w:rFonts w:ascii="Times New Roman" w:hAnsi="Times New Roman"/>
        </w:rPr>
        <w:t xml:space="preserve"> by </w:t>
      </w:r>
      <w:r w:rsidR="00710516" w:rsidRPr="00DF5070">
        <w:rPr>
          <w:rFonts w:ascii="Times New Roman" w:hAnsi="Times New Roman"/>
        </w:rPr>
        <w:t xml:space="preserve">Mr Pattinson and </w:t>
      </w:r>
      <w:r w:rsidR="00352FBF" w:rsidRPr="00DF5070">
        <w:rPr>
          <w:rFonts w:ascii="Times New Roman" w:hAnsi="Times New Roman"/>
        </w:rPr>
        <w:t>the CFMMEU</w:t>
      </w:r>
      <w:r w:rsidR="00B5541E" w:rsidRPr="00DF5070">
        <w:rPr>
          <w:rFonts w:ascii="Times New Roman" w:hAnsi="Times New Roman"/>
        </w:rPr>
        <w:t xml:space="preserve">. </w:t>
      </w:r>
      <w:proofErr w:type="spellStart"/>
      <w:r w:rsidR="00347DD1" w:rsidRPr="00DF5070">
        <w:rPr>
          <w:rFonts w:ascii="Times New Roman" w:hAnsi="Times New Roman"/>
        </w:rPr>
        <w:t>Allsop</w:t>
      </w:r>
      <w:proofErr w:type="spellEnd"/>
      <w:r w:rsidR="00347DD1" w:rsidRPr="00DF5070">
        <w:rPr>
          <w:rFonts w:ascii="Times New Roman" w:hAnsi="Times New Roman"/>
        </w:rPr>
        <w:t xml:space="preserve"> CJ, White and </w:t>
      </w:r>
      <w:proofErr w:type="spellStart"/>
      <w:r w:rsidR="00347DD1" w:rsidRPr="00DF5070">
        <w:rPr>
          <w:rFonts w:ascii="Times New Roman" w:hAnsi="Times New Roman"/>
        </w:rPr>
        <w:t>Wigney</w:t>
      </w:r>
      <w:proofErr w:type="spellEnd"/>
      <w:r w:rsidR="00347DD1" w:rsidRPr="00DF5070">
        <w:rPr>
          <w:rFonts w:ascii="Times New Roman" w:hAnsi="Times New Roman"/>
        </w:rPr>
        <w:t xml:space="preserve"> JJ delivered the leading judgment, with which </w:t>
      </w:r>
      <w:proofErr w:type="spellStart"/>
      <w:r w:rsidR="00347DD1" w:rsidRPr="00DF5070">
        <w:rPr>
          <w:rFonts w:ascii="Times New Roman" w:hAnsi="Times New Roman"/>
        </w:rPr>
        <w:t>Besanko</w:t>
      </w:r>
      <w:proofErr w:type="spellEnd"/>
      <w:r w:rsidR="00347DD1" w:rsidRPr="00DF5070">
        <w:rPr>
          <w:rFonts w:ascii="Times New Roman" w:hAnsi="Times New Roman"/>
        </w:rPr>
        <w:t xml:space="preserve"> and Bromwich JJ agreed.</w:t>
      </w:r>
      <w:r w:rsidR="00830EE0" w:rsidRPr="00DF5070">
        <w:rPr>
          <w:rFonts w:ascii="Times New Roman" w:hAnsi="Times New Roman"/>
        </w:rPr>
        <w:t xml:space="preserve"> </w:t>
      </w:r>
    </w:p>
    <w:p w14:paraId="4B52B31F" w14:textId="60072391" w:rsidR="006D5C2A" w:rsidRPr="00DF5070" w:rsidRDefault="00B63A6D"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447DF3" w:rsidRPr="00DF5070">
        <w:rPr>
          <w:rFonts w:ascii="Times New Roman" w:hAnsi="Times New Roman"/>
        </w:rPr>
        <w:t>The Full Court</w:t>
      </w:r>
      <w:r w:rsidR="000C2EE2" w:rsidRPr="00DF5070">
        <w:rPr>
          <w:rFonts w:ascii="Times New Roman" w:hAnsi="Times New Roman"/>
        </w:rPr>
        <w:t xml:space="preserve"> </w:t>
      </w:r>
      <w:r w:rsidR="006E2D79" w:rsidRPr="00DF5070">
        <w:rPr>
          <w:rFonts w:ascii="Times New Roman" w:hAnsi="Times New Roman"/>
        </w:rPr>
        <w:t xml:space="preserve">recognised </w:t>
      </w:r>
      <w:r w:rsidR="00BF0A92" w:rsidRPr="00DF5070">
        <w:rPr>
          <w:rFonts w:ascii="Times New Roman" w:hAnsi="Times New Roman"/>
        </w:rPr>
        <w:t xml:space="preserve">that the object of civil penalties </w:t>
      </w:r>
      <w:r w:rsidR="006E7EDC" w:rsidRPr="00DF5070">
        <w:rPr>
          <w:rFonts w:ascii="Times New Roman" w:hAnsi="Times New Roman"/>
        </w:rPr>
        <w:t>is</w:t>
      </w:r>
      <w:r w:rsidR="006E2D79" w:rsidRPr="00DF5070">
        <w:rPr>
          <w:rFonts w:ascii="Times New Roman" w:hAnsi="Times New Roman"/>
        </w:rPr>
        <w:t xml:space="preserve"> </w:t>
      </w:r>
      <w:r w:rsidR="00BF0A92" w:rsidRPr="00DF5070">
        <w:rPr>
          <w:rFonts w:ascii="Times New Roman" w:hAnsi="Times New Roman"/>
        </w:rPr>
        <w:t>entirely protective</w:t>
      </w:r>
      <w:r w:rsidR="006E2D79" w:rsidRPr="00DF5070">
        <w:rPr>
          <w:rFonts w:ascii="Times New Roman" w:hAnsi="Times New Roman"/>
        </w:rPr>
        <w:t>,</w:t>
      </w:r>
      <w:r w:rsidR="00BF0A92" w:rsidRPr="00DF5070">
        <w:rPr>
          <w:rFonts w:ascii="Times New Roman" w:hAnsi="Times New Roman"/>
        </w:rPr>
        <w:t xml:space="preserve"> in </w:t>
      </w:r>
      <w:r w:rsidR="00E54BEA" w:rsidRPr="00DF5070">
        <w:rPr>
          <w:rFonts w:ascii="Times New Roman" w:hAnsi="Times New Roman"/>
        </w:rPr>
        <w:t xml:space="preserve">that </w:t>
      </w:r>
      <w:r w:rsidR="006E7EDC" w:rsidRPr="00DF5070">
        <w:rPr>
          <w:rFonts w:ascii="Times New Roman" w:hAnsi="Times New Roman"/>
        </w:rPr>
        <w:t>they</w:t>
      </w:r>
      <w:r w:rsidR="00E54BEA" w:rsidRPr="00DF5070">
        <w:rPr>
          <w:rFonts w:ascii="Times New Roman" w:hAnsi="Times New Roman"/>
        </w:rPr>
        <w:t xml:space="preserve"> </w:t>
      </w:r>
      <w:r w:rsidR="006E7EDC" w:rsidRPr="00DF5070">
        <w:rPr>
          <w:rFonts w:ascii="Times New Roman" w:hAnsi="Times New Roman"/>
        </w:rPr>
        <w:t>are</w:t>
      </w:r>
      <w:r w:rsidR="006E2D79" w:rsidRPr="00DF5070">
        <w:rPr>
          <w:rFonts w:ascii="Times New Roman" w:hAnsi="Times New Roman"/>
        </w:rPr>
        <w:t xml:space="preserve"> </w:t>
      </w:r>
      <w:r w:rsidR="00E54BEA" w:rsidRPr="00DF5070">
        <w:rPr>
          <w:rFonts w:ascii="Times New Roman" w:hAnsi="Times New Roman"/>
        </w:rPr>
        <w:t xml:space="preserve">aimed at </w:t>
      </w:r>
      <w:r w:rsidR="00BF0A92" w:rsidRPr="00DF5070">
        <w:rPr>
          <w:rFonts w:ascii="Times New Roman" w:hAnsi="Times New Roman"/>
        </w:rPr>
        <w:t xml:space="preserve">promoting compliance through general and specific deterrence, and </w:t>
      </w:r>
      <w:r w:rsidR="00174850" w:rsidRPr="00DF5070">
        <w:rPr>
          <w:rFonts w:ascii="Times New Roman" w:hAnsi="Times New Roman"/>
        </w:rPr>
        <w:t>concepts</w:t>
      </w:r>
      <w:r w:rsidR="00BF0A92" w:rsidRPr="00DF5070">
        <w:rPr>
          <w:rFonts w:ascii="Times New Roman" w:hAnsi="Times New Roman"/>
        </w:rPr>
        <w:t xml:space="preserve"> of punishment</w:t>
      </w:r>
      <w:r w:rsidR="006E7EDC" w:rsidRPr="00DF5070">
        <w:rPr>
          <w:rFonts w:ascii="Times New Roman" w:hAnsi="Times New Roman"/>
        </w:rPr>
        <w:t xml:space="preserve">, </w:t>
      </w:r>
      <w:r w:rsidR="00BF0A92" w:rsidRPr="00DF5070">
        <w:rPr>
          <w:rFonts w:ascii="Times New Roman" w:hAnsi="Times New Roman"/>
        </w:rPr>
        <w:t>retribution</w:t>
      </w:r>
      <w:r w:rsidR="006E7EDC" w:rsidRPr="00DF5070">
        <w:rPr>
          <w:rFonts w:ascii="Times New Roman" w:hAnsi="Times New Roman"/>
        </w:rPr>
        <w:t xml:space="preserve"> and rehabilitation</w:t>
      </w:r>
      <w:r w:rsidR="00BF0A92" w:rsidRPr="00DF5070">
        <w:rPr>
          <w:rFonts w:ascii="Times New Roman" w:hAnsi="Times New Roman"/>
        </w:rPr>
        <w:t xml:space="preserve"> from the criminal law </w:t>
      </w:r>
      <w:r w:rsidR="00E127DA" w:rsidRPr="00DF5070">
        <w:rPr>
          <w:rFonts w:ascii="Times New Roman" w:hAnsi="Times New Roman"/>
        </w:rPr>
        <w:t>have</w:t>
      </w:r>
      <w:r w:rsidR="00BF0A92" w:rsidRPr="00DF5070">
        <w:rPr>
          <w:rFonts w:ascii="Times New Roman" w:hAnsi="Times New Roman"/>
        </w:rPr>
        <w:t xml:space="preserve"> no role to play</w:t>
      </w:r>
      <w:r w:rsidR="00BF0A92" w:rsidRPr="00DF5070">
        <w:rPr>
          <w:rStyle w:val="FootnoteReference"/>
          <w:rFonts w:ascii="Times New Roman" w:hAnsi="Times New Roman"/>
          <w:sz w:val="24"/>
        </w:rPr>
        <w:footnoteReference w:id="51"/>
      </w:r>
      <w:r w:rsidR="00BF0A92" w:rsidRPr="00DF5070">
        <w:rPr>
          <w:rFonts w:ascii="Times New Roman" w:hAnsi="Times New Roman"/>
        </w:rPr>
        <w:t xml:space="preserve">. </w:t>
      </w:r>
      <w:r w:rsidR="007E650E" w:rsidRPr="00DF5070">
        <w:rPr>
          <w:rFonts w:ascii="Times New Roman" w:hAnsi="Times New Roman"/>
        </w:rPr>
        <w:t>Having said that,</w:t>
      </w:r>
      <w:r w:rsidR="00C57ED9" w:rsidRPr="00DF5070">
        <w:rPr>
          <w:rFonts w:ascii="Times New Roman" w:hAnsi="Times New Roman"/>
        </w:rPr>
        <w:t xml:space="preserve"> however</w:t>
      </w:r>
      <w:r w:rsidR="00925228" w:rsidRPr="00DF5070">
        <w:rPr>
          <w:rFonts w:ascii="Times New Roman" w:hAnsi="Times New Roman"/>
        </w:rPr>
        <w:t>,</w:t>
      </w:r>
      <w:r w:rsidR="007E650E" w:rsidRPr="00DF5070">
        <w:rPr>
          <w:rFonts w:ascii="Times New Roman" w:hAnsi="Times New Roman"/>
        </w:rPr>
        <w:t xml:space="preserve"> their</w:t>
      </w:r>
      <w:r w:rsidR="00E127DA" w:rsidRPr="00DF5070">
        <w:rPr>
          <w:rFonts w:ascii="Times New Roman" w:hAnsi="Times New Roman"/>
        </w:rPr>
        <w:t> </w:t>
      </w:r>
      <w:r w:rsidR="007E650E" w:rsidRPr="00DF5070">
        <w:rPr>
          <w:rFonts w:ascii="Times New Roman" w:hAnsi="Times New Roman"/>
        </w:rPr>
        <w:t xml:space="preserve">Honours went on </w:t>
      </w:r>
      <w:r w:rsidR="001642B8" w:rsidRPr="00DF5070">
        <w:rPr>
          <w:rFonts w:ascii="Times New Roman" w:hAnsi="Times New Roman"/>
        </w:rPr>
        <w:t xml:space="preserve">explicitly </w:t>
      </w:r>
      <w:r w:rsidR="007E650E" w:rsidRPr="00DF5070">
        <w:rPr>
          <w:rFonts w:ascii="Times New Roman" w:hAnsi="Times New Roman"/>
        </w:rPr>
        <w:t>to</w:t>
      </w:r>
      <w:r w:rsidR="00925228" w:rsidRPr="00DF5070">
        <w:rPr>
          <w:rFonts w:ascii="Times New Roman" w:hAnsi="Times New Roman"/>
        </w:rPr>
        <w:t xml:space="preserve"> confine the </w:t>
      </w:r>
      <w:r w:rsidR="004A7A8C" w:rsidRPr="00DF5070">
        <w:rPr>
          <w:rFonts w:ascii="Times New Roman" w:hAnsi="Times New Roman"/>
        </w:rPr>
        <w:t xml:space="preserve">exercise of the </w:t>
      </w:r>
      <w:r w:rsidR="00925228" w:rsidRPr="00DF5070">
        <w:rPr>
          <w:rFonts w:ascii="Times New Roman" w:hAnsi="Times New Roman"/>
        </w:rPr>
        <w:t xml:space="preserve">discretion conferred </w:t>
      </w:r>
      <w:r w:rsidR="00925228" w:rsidRPr="00DF5070">
        <w:rPr>
          <w:rFonts w:ascii="Times New Roman" w:hAnsi="Times New Roman"/>
        </w:rPr>
        <w:lastRenderedPageBreak/>
        <w:t>by s 54</w:t>
      </w:r>
      <w:r w:rsidR="00DD3E75" w:rsidRPr="00DF5070">
        <w:rPr>
          <w:rFonts w:ascii="Times New Roman" w:hAnsi="Times New Roman"/>
        </w:rPr>
        <w:t>6</w:t>
      </w:r>
      <w:r w:rsidR="00E127DA" w:rsidRPr="00DF5070">
        <w:rPr>
          <w:rFonts w:ascii="Times New Roman" w:hAnsi="Times New Roman"/>
        </w:rPr>
        <w:t xml:space="preserve"> of the Act</w:t>
      </w:r>
      <w:r w:rsidR="00925228" w:rsidRPr="00DF5070">
        <w:rPr>
          <w:rFonts w:ascii="Times New Roman" w:hAnsi="Times New Roman"/>
        </w:rPr>
        <w:t xml:space="preserve"> by reference to</w:t>
      </w:r>
      <w:r w:rsidR="007E650E" w:rsidRPr="00DF5070">
        <w:rPr>
          <w:rFonts w:ascii="Times New Roman" w:hAnsi="Times New Roman"/>
        </w:rPr>
        <w:t xml:space="preserve"> considerations relating to </w:t>
      </w:r>
      <w:r w:rsidR="003D5141" w:rsidRPr="00DF5070">
        <w:rPr>
          <w:rFonts w:ascii="Times New Roman" w:hAnsi="Times New Roman"/>
        </w:rPr>
        <w:t xml:space="preserve">the importance of </w:t>
      </w:r>
      <w:r w:rsidR="007E650E" w:rsidRPr="00DF5070">
        <w:rPr>
          <w:rFonts w:ascii="Times New Roman" w:hAnsi="Times New Roman"/>
        </w:rPr>
        <w:t xml:space="preserve">retribution in sentencing for breaches of the criminal law. </w:t>
      </w:r>
    </w:p>
    <w:p w14:paraId="62428A56" w14:textId="6002D9A8" w:rsidR="00B20591" w:rsidRPr="00DF5070" w:rsidRDefault="006D5C2A"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1642B8" w:rsidRPr="00DF5070">
        <w:rPr>
          <w:rFonts w:ascii="Times New Roman" w:hAnsi="Times New Roman"/>
        </w:rPr>
        <w:t xml:space="preserve">The constraint that </w:t>
      </w:r>
      <w:r w:rsidR="00710516" w:rsidRPr="00DF5070">
        <w:rPr>
          <w:rFonts w:ascii="Times New Roman" w:hAnsi="Times New Roman"/>
        </w:rPr>
        <w:t>the Full Court</w:t>
      </w:r>
      <w:r w:rsidR="001642B8" w:rsidRPr="00DF5070">
        <w:rPr>
          <w:rFonts w:ascii="Times New Roman" w:hAnsi="Times New Roman"/>
        </w:rPr>
        <w:t xml:space="preserve"> applied </w:t>
      </w:r>
      <w:r w:rsidR="00FD3AE2" w:rsidRPr="00DF5070">
        <w:rPr>
          <w:rFonts w:ascii="Times New Roman" w:hAnsi="Times New Roman"/>
        </w:rPr>
        <w:t xml:space="preserve">took </w:t>
      </w:r>
      <w:r w:rsidR="001642B8" w:rsidRPr="00DF5070">
        <w:rPr>
          <w:rFonts w:ascii="Times New Roman" w:hAnsi="Times New Roman"/>
        </w:rPr>
        <w:t>the form of</w:t>
      </w:r>
      <w:r w:rsidR="00522968" w:rsidRPr="00DF5070">
        <w:rPr>
          <w:rFonts w:ascii="Times New Roman" w:hAnsi="Times New Roman"/>
        </w:rPr>
        <w:t xml:space="preserve"> a </w:t>
      </w:r>
      <w:r w:rsidR="00103EF1" w:rsidRPr="00DF5070">
        <w:rPr>
          <w:rFonts w:ascii="Times New Roman" w:hAnsi="Times New Roman"/>
        </w:rPr>
        <w:t>"</w:t>
      </w:r>
      <w:r w:rsidR="00203A47" w:rsidRPr="00DF5070">
        <w:rPr>
          <w:rFonts w:ascii="Times New Roman" w:hAnsi="Times New Roman"/>
        </w:rPr>
        <w:t xml:space="preserve">notion </w:t>
      </w:r>
      <w:r w:rsidR="00E53BFE" w:rsidRPr="00DF5070">
        <w:rPr>
          <w:rFonts w:ascii="Times New Roman" w:hAnsi="Times New Roman"/>
        </w:rPr>
        <w:t>of proportionality</w:t>
      </w:r>
      <w:r w:rsidR="00103EF1" w:rsidRPr="00DF5070">
        <w:rPr>
          <w:rFonts w:ascii="Times New Roman" w:hAnsi="Times New Roman"/>
        </w:rPr>
        <w:t>"</w:t>
      </w:r>
      <w:r w:rsidR="00710516" w:rsidRPr="00DF5070">
        <w:rPr>
          <w:rFonts w:ascii="Times New Roman" w:hAnsi="Times New Roman"/>
        </w:rPr>
        <w:t>. Their Honours</w:t>
      </w:r>
      <w:r w:rsidR="00522968" w:rsidRPr="00DF5070">
        <w:rPr>
          <w:rFonts w:ascii="Times New Roman" w:hAnsi="Times New Roman"/>
        </w:rPr>
        <w:t xml:space="preserve"> </w:t>
      </w:r>
      <w:r w:rsidR="00EA2535" w:rsidRPr="00DF5070">
        <w:rPr>
          <w:rFonts w:ascii="Times New Roman" w:hAnsi="Times New Roman"/>
        </w:rPr>
        <w:t>derived</w:t>
      </w:r>
      <w:r w:rsidR="00D93DFE" w:rsidRPr="00DF5070">
        <w:rPr>
          <w:rStyle w:val="FootnoteReference"/>
          <w:rFonts w:ascii="Times New Roman" w:hAnsi="Times New Roman"/>
          <w:sz w:val="24"/>
        </w:rPr>
        <w:footnoteReference w:id="52"/>
      </w:r>
      <w:r w:rsidR="00EA2535" w:rsidRPr="00DF5070">
        <w:rPr>
          <w:rFonts w:ascii="Times New Roman" w:hAnsi="Times New Roman"/>
        </w:rPr>
        <w:t xml:space="preserve"> </w:t>
      </w:r>
      <w:r w:rsidR="00710516" w:rsidRPr="00DF5070">
        <w:rPr>
          <w:rFonts w:ascii="Times New Roman" w:hAnsi="Times New Roman"/>
        </w:rPr>
        <w:t xml:space="preserve">this "notion" of proportionality </w:t>
      </w:r>
      <w:r w:rsidR="00EA2535" w:rsidRPr="00DF5070">
        <w:rPr>
          <w:rFonts w:ascii="Times New Roman" w:hAnsi="Times New Roman"/>
        </w:rPr>
        <w:t xml:space="preserve">from </w:t>
      </w:r>
      <w:r w:rsidR="001E5C19" w:rsidRPr="00DF5070">
        <w:rPr>
          <w:rFonts w:ascii="Times New Roman" w:hAnsi="Times New Roman"/>
        </w:rPr>
        <w:t xml:space="preserve">the </w:t>
      </w:r>
      <w:r w:rsidR="00710516" w:rsidRPr="00DF5070">
        <w:rPr>
          <w:rFonts w:ascii="Times New Roman" w:hAnsi="Times New Roman"/>
        </w:rPr>
        <w:t>"</w:t>
      </w:r>
      <w:r w:rsidR="001E5C19" w:rsidRPr="00DF5070">
        <w:rPr>
          <w:rFonts w:ascii="Times New Roman" w:hAnsi="Times New Roman"/>
        </w:rPr>
        <w:t>principle</w:t>
      </w:r>
      <w:r w:rsidR="00710516" w:rsidRPr="00DF5070">
        <w:rPr>
          <w:rFonts w:ascii="Times New Roman" w:hAnsi="Times New Roman"/>
        </w:rPr>
        <w:t>"</w:t>
      </w:r>
      <w:r w:rsidR="001E5C19" w:rsidRPr="00DF5070">
        <w:rPr>
          <w:rFonts w:ascii="Times New Roman" w:hAnsi="Times New Roman"/>
        </w:rPr>
        <w:t xml:space="preserve"> of proportionality discussed in </w:t>
      </w:r>
      <w:r w:rsidR="00EA2535" w:rsidRPr="00DF5070">
        <w:rPr>
          <w:rFonts w:ascii="Times New Roman" w:hAnsi="Times New Roman"/>
          <w:i/>
        </w:rPr>
        <w:t xml:space="preserve">Veen </w:t>
      </w:r>
      <w:r w:rsidR="00036006" w:rsidRPr="00DF5070">
        <w:rPr>
          <w:rFonts w:ascii="Times New Roman" w:hAnsi="Times New Roman"/>
          <w:i/>
        </w:rPr>
        <w:t>v The Queen [</w:t>
      </w:r>
      <w:r w:rsidR="00EA2535" w:rsidRPr="00DF5070">
        <w:rPr>
          <w:rFonts w:ascii="Times New Roman" w:hAnsi="Times New Roman"/>
          <w:i/>
        </w:rPr>
        <w:t>No 2</w:t>
      </w:r>
      <w:r w:rsidR="00036006" w:rsidRPr="00DF5070">
        <w:rPr>
          <w:rFonts w:ascii="Times New Roman" w:hAnsi="Times New Roman"/>
          <w:i/>
        </w:rPr>
        <w:t>]</w:t>
      </w:r>
      <w:r w:rsidR="00F94EEC" w:rsidRPr="00DF5070">
        <w:rPr>
          <w:rStyle w:val="FootnoteReference"/>
          <w:rFonts w:ascii="Times New Roman" w:hAnsi="Times New Roman"/>
          <w:sz w:val="24"/>
        </w:rPr>
        <w:footnoteReference w:id="53"/>
      </w:r>
      <w:r w:rsidR="00174850" w:rsidRPr="00DF5070">
        <w:rPr>
          <w:rFonts w:ascii="Times New Roman" w:hAnsi="Times New Roman"/>
        </w:rPr>
        <w:t>.</w:t>
      </w:r>
      <w:r w:rsidR="009677C8" w:rsidRPr="00DF5070">
        <w:rPr>
          <w:rFonts w:ascii="Times New Roman" w:hAnsi="Times New Roman"/>
        </w:rPr>
        <w:t xml:space="preserve"> </w:t>
      </w:r>
      <w:r w:rsidR="0061787E" w:rsidRPr="00DF5070">
        <w:rPr>
          <w:rFonts w:ascii="Times New Roman" w:hAnsi="Times New Roman"/>
        </w:rPr>
        <w:t>Their</w:t>
      </w:r>
      <w:r w:rsidR="00E127DA" w:rsidRPr="00DF5070">
        <w:rPr>
          <w:rFonts w:ascii="Times New Roman" w:hAnsi="Times New Roman"/>
        </w:rPr>
        <w:t> </w:t>
      </w:r>
      <w:r w:rsidR="0061787E" w:rsidRPr="00DF5070">
        <w:rPr>
          <w:rFonts w:ascii="Times New Roman" w:hAnsi="Times New Roman"/>
        </w:rPr>
        <w:t>Honours proceeded on the basis that</w:t>
      </w:r>
      <w:r w:rsidR="00D93DFE" w:rsidRPr="00DF5070">
        <w:rPr>
          <w:rFonts w:ascii="Times New Roman" w:hAnsi="Times New Roman"/>
        </w:rPr>
        <w:t>,</w:t>
      </w:r>
      <w:r w:rsidR="003611A7" w:rsidRPr="00DF5070">
        <w:rPr>
          <w:rFonts w:ascii="Times New Roman" w:hAnsi="Times New Roman"/>
        </w:rPr>
        <w:t xml:space="preserve"> </w:t>
      </w:r>
      <w:r w:rsidR="0076047C" w:rsidRPr="00DF5070">
        <w:rPr>
          <w:rFonts w:ascii="Times New Roman" w:hAnsi="Times New Roman"/>
        </w:rPr>
        <w:t xml:space="preserve">although </w:t>
      </w:r>
      <w:r w:rsidR="004A5B9A" w:rsidRPr="00DF5070">
        <w:rPr>
          <w:rFonts w:ascii="Times New Roman" w:hAnsi="Times New Roman"/>
        </w:rPr>
        <w:t xml:space="preserve">the </w:t>
      </w:r>
      <w:r w:rsidR="0076047C" w:rsidRPr="00DF5070">
        <w:rPr>
          <w:rFonts w:ascii="Times New Roman" w:hAnsi="Times New Roman"/>
        </w:rPr>
        <w:t xml:space="preserve">principle </w:t>
      </w:r>
      <w:r w:rsidR="004A5B9A" w:rsidRPr="00DF5070">
        <w:rPr>
          <w:rFonts w:ascii="Times New Roman" w:hAnsi="Times New Roman"/>
        </w:rPr>
        <w:t>of proportionality</w:t>
      </w:r>
      <w:r w:rsidR="000260F8" w:rsidRPr="00DF5070">
        <w:rPr>
          <w:rFonts w:ascii="Times New Roman" w:hAnsi="Times New Roman"/>
        </w:rPr>
        <w:t xml:space="preserve"> </w:t>
      </w:r>
      <w:r w:rsidR="002F0292" w:rsidRPr="00DF5070">
        <w:rPr>
          <w:rFonts w:ascii="Times New Roman" w:hAnsi="Times New Roman"/>
        </w:rPr>
        <w:t xml:space="preserve">discussed in </w:t>
      </w:r>
      <w:r w:rsidR="002F0292" w:rsidRPr="00DF5070">
        <w:rPr>
          <w:rFonts w:ascii="Times New Roman" w:hAnsi="Times New Roman"/>
          <w:i/>
        </w:rPr>
        <w:t xml:space="preserve">Veen </w:t>
      </w:r>
      <w:r w:rsidR="00A90B77" w:rsidRPr="00DF5070">
        <w:rPr>
          <w:rFonts w:ascii="Times New Roman" w:hAnsi="Times New Roman"/>
          <w:i/>
        </w:rPr>
        <w:t>[</w:t>
      </w:r>
      <w:r w:rsidR="002F0292" w:rsidRPr="00DF5070">
        <w:rPr>
          <w:rFonts w:ascii="Times New Roman" w:hAnsi="Times New Roman"/>
          <w:i/>
        </w:rPr>
        <w:t>No 2</w:t>
      </w:r>
      <w:r w:rsidR="00A90B77" w:rsidRPr="00DF5070">
        <w:rPr>
          <w:rFonts w:ascii="Times New Roman" w:hAnsi="Times New Roman"/>
          <w:i/>
        </w:rPr>
        <w:t>]</w:t>
      </w:r>
      <w:r w:rsidR="00D93DFE" w:rsidRPr="00DF5070">
        <w:rPr>
          <w:rFonts w:ascii="Times New Roman" w:hAnsi="Times New Roman"/>
          <w:i/>
        </w:rPr>
        <w:t xml:space="preserve"> </w:t>
      </w:r>
      <w:r w:rsidR="00D93DFE" w:rsidRPr="00DF5070">
        <w:rPr>
          <w:rFonts w:ascii="Times New Roman" w:hAnsi="Times New Roman"/>
        </w:rPr>
        <w:t>was itself rooted in the central significance of the purpose of retribution in criminal sentencing and the need for the punishment to fit the crime</w:t>
      </w:r>
      <w:r w:rsidR="002F0292" w:rsidRPr="00DF5070">
        <w:rPr>
          <w:rFonts w:ascii="Times New Roman" w:hAnsi="Times New Roman"/>
        </w:rPr>
        <w:t xml:space="preserve">, that </w:t>
      </w:r>
      <w:r w:rsidR="004A5B9A" w:rsidRPr="00DF5070">
        <w:rPr>
          <w:rFonts w:ascii="Times New Roman" w:hAnsi="Times New Roman"/>
        </w:rPr>
        <w:t xml:space="preserve">did </w:t>
      </w:r>
      <w:r w:rsidR="004703B7" w:rsidRPr="00DF5070">
        <w:rPr>
          <w:rFonts w:ascii="Times New Roman" w:hAnsi="Times New Roman"/>
        </w:rPr>
        <w:t>not mean that</w:t>
      </w:r>
      <w:r w:rsidR="000260F8" w:rsidRPr="00DF5070">
        <w:rPr>
          <w:rFonts w:ascii="Times New Roman" w:hAnsi="Times New Roman"/>
        </w:rPr>
        <w:t xml:space="preserve"> </w:t>
      </w:r>
      <w:r w:rsidR="002F0292" w:rsidRPr="00DF5070">
        <w:rPr>
          <w:rFonts w:ascii="Times New Roman" w:hAnsi="Times New Roman"/>
        </w:rPr>
        <w:t xml:space="preserve">a </w:t>
      </w:r>
      <w:r w:rsidR="000260F8" w:rsidRPr="00DF5070">
        <w:rPr>
          <w:rFonts w:ascii="Times New Roman" w:hAnsi="Times New Roman"/>
        </w:rPr>
        <w:t>"</w:t>
      </w:r>
      <w:r w:rsidR="002F0292" w:rsidRPr="00DF5070">
        <w:rPr>
          <w:rFonts w:ascii="Times New Roman" w:hAnsi="Times New Roman"/>
        </w:rPr>
        <w:t>notion</w:t>
      </w:r>
      <w:r w:rsidR="000260F8" w:rsidRPr="00DF5070">
        <w:rPr>
          <w:rFonts w:ascii="Times New Roman" w:hAnsi="Times New Roman"/>
        </w:rPr>
        <w:t>"</w:t>
      </w:r>
      <w:r w:rsidR="00914D89" w:rsidRPr="00DF5070">
        <w:rPr>
          <w:rFonts w:ascii="Times New Roman" w:hAnsi="Times New Roman"/>
        </w:rPr>
        <w:t xml:space="preserve"> </w:t>
      </w:r>
      <w:r w:rsidR="002F0292" w:rsidRPr="00DF5070">
        <w:rPr>
          <w:rFonts w:ascii="Times New Roman" w:hAnsi="Times New Roman"/>
        </w:rPr>
        <w:t xml:space="preserve">of proportionality </w:t>
      </w:r>
      <w:r w:rsidR="004703B7" w:rsidRPr="00DF5070">
        <w:rPr>
          <w:rFonts w:ascii="Times New Roman" w:hAnsi="Times New Roman"/>
        </w:rPr>
        <w:t>had no place in civil penalty regime</w:t>
      </w:r>
      <w:r w:rsidR="007D1F3C" w:rsidRPr="00DF5070">
        <w:rPr>
          <w:rFonts w:ascii="Times New Roman" w:hAnsi="Times New Roman"/>
        </w:rPr>
        <w:t xml:space="preserve">s </w:t>
      </w:r>
      <w:r w:rsidR="00E9674E" w:rsidRPr="00DF5070">
        <w:rPr>
          <w:rFonts w:ascii="Times New Roman" w:hAnsi="Times New Roman"/>
        </w:rPr>
        <w:t xml:space="preserve">that had </w:t>
      </w:r>
      <w:r w:rsidR="007D1F3C" w:rsidRPr="00DF5070">
        <w:rPr>
          <w:rFonts w:ascii="Times New Roman" w:hAnsi="Times New Roman"/>
        </w:rPr>
        <w:t>deterrence as their sole purpose</w:t>
      </w:r>
      <w:r w:rsidR="004703B7" w:rsidRPr="00DF5070">
        <w:rPr>
          <w:rStyle w:val="FootnoteReference"/>
          <w:rFonts w:ascii="Times New Roman" w:hAnsi="Times New Roman"/>
          <w:sz w:val="24"/>
        </w:rPr>
        <w:footnoteReference w:id="54"/>
      </w:r>
      <w:r w:rsidR="004703B7" w:rsidRPr="00DF5070">
        <w:rPr>
          <w:rFonts w:ascii="Times New Roman" w:hAnsi="Times New Roman"/>
        </w:rPr>
        <w:t>.</w:t>
      </w:r>
      <w:r w:rsidR="00EA3146" w:rsidRPr="00DF5070">
        <w:rPr>
          <w:rFonts w:ascii="Times New Roman" w:hAnsi="Times New Roman"/>
        </w:rPr>
        <w:t xml:space="preserve"> </w:t>
      </w:r>
      <w:r w:rsidR="00B20591" w:rsidRPr="00DF5070">
        <w:rPr>
          <w:rFonts w:ascii="Times New Roman" w:hAnsi="Times New Roman"/>
        </w:rPr>
        <w:t xml:space="preserve">Rather, their Honours anchored their "notion" of proportionality in the civil penalty context by regarding that notion as </w:t>
      </w:r>
      <w:r w:rsidR="00E9674E" w:rsidRPr="00DF5070">
        <w:rPr>
          <w:rFonts w:ascii="Times New Roman" w:hAnsi="Times New Roman"/>
        </w:rPr>
        <w:t xml:space="preserve">inhering </w:t>
      </w:r>
      <w:r w:rsidR="00B20591" w:rsidRPr="00DF5070">
        <w:rPr>
          <w:rFonts w:ascii="Times New Roman" w:hAnsi="Times New Roman"/>
        </w:rPr>
        <w:t>in the task, in s 546, of setting a penalty at a level that is "appropriate"</w:t>
      </w:r>
      <w:r w:rsidR="00B20591" w:rsidRPr="00DF5070">
        <w:rPr>
          <w:rStyle w:val="FootnoteReference"/>
          <w:rFonts w:ascii="Times New Roman" w:hAnsi="Times New Roman"/>
          <w:sz w:val="24"/>
        </w:rPr>
        <w:footnoteReference w:id="55"/>
      </w:r>
      <w:r w:rsidR="00B20591" w:rsidRPr="00DF5070">
        <w:rPr>
          <w:rFonts w:ascii="Times New Roman" w:hAnsi="Times New Roman"/>
        </w:rPr>
        <w:t xml:space="preserve">.  </w:t>
      </w:r>
    </w:p>
    <w:p w14:paraId="4A2FD7CD" w14:textId="1AA38D23" w:rsidR="000E570C" w:rsidRPr="00DF5070" w:rsidRDefault="00B20591"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0468D7" w:rsidRPr="00DF5070">
        <w:rPr>
          <w:rFonts w:ascii="Times New Roman" w:hAnsi="Times New Roman"/>
        </w:rPr>
        <w:t xml:space="preserve">An important aspect of this "notion" of proportionality </w:t>
      </w:r>
      <w:r w:rsidR="00E9674E" w:rsidRPr="00DF5070">
        <w:rPr>
          <w:rFonts w:ascii="Times New Roman" w:hAnsi="Times New Roman"/>
        </w:rPr>
        <w:t xml:space="preserve">that was </w:t>
      </w:r>
      <w:r w:rsidR="00083BCE" w:rsidRPr="00DF5070">
        <w:rPr>
          <w:rFonts w:ascii="Times New Roman" w:hAnsi="Times New Roman"/>
        </w:rPr>
        <w:t>said</w:t>
      </w:r>
      <w:r w:rsidR="000468D7" w:rsidRPr="00DF5070">
        <w:rPr>
          <w:rFonts w:ascii="Times New Roman" w:hAnsi="Times New Roman"/>
        </w:rPr>
        <w:t xml:space="preserve"> to have "survive</w:t>
      </w:r>
      <w:r w:rsidR="008C69D2" w:rsidRPr="00DF5070">
        <w:rPr>
          <w:rFonts w:ascii="Times New Roman" w:hAnsi="Times New Roman"/>
        </w:rPr>
        <w:t>[</w:t>
      </w:r>
      <w:r w:rsidR="000468D7" w:rsidRPr="00DF5070">
        <w:rPr>
          <w:rFonts w:ascii="Times New Roman" w:hAnsi="Times New Roman"/>
        </w:rPr>
        <w:t>d</w:t>
      </w:r>
      <w:r w:rsidR="008C69D2" w:rsidRPr="00DF5070">
        <w:rPr>
          <w:rFonts w:ascii="Times New Roman" w:hAnsi="Times New Roman"/>
        </w:rPr>
        <w:t>]</w:t>
      </w:r>
      <w:r w:rsidR="000468D7" w:rsidRPr="00DF5070">
        <w:rPr>
          <w:rFonts w:ascii="Times New Roman" w:hAnsi="Times New Roman"/>
        </w:rPr>
        <w:t xml:space="preserve">" </w:t>
      </w:r>
      <w:r w:rsidR="00B86E3D" w:rsidRPr="00DF5070">
        <w:rPr>
          <w:rFonts w:ascii="Times New Roman" w:hAnsi="Times New Roman"/>
        </w:rPr>
        <w:t>the rejection of retributive considerations in the imposition of civil penalties was</w:t>
      </w:r>
      <w:r w:rsidR="008C69D2" w:rsidRPr="00DF5070">
        <w:rPr>
          <w:rFonts w:ascii="Times New Roman" w:hAnsi="Times New Roman"/>
        </w:rPr>
        <w:t xml:space="preserve"> </w:t>
      </w:r>
      <w:r w:rsidR="00526968" w:rsidRPr="00DF5070">
        <w:rPr>
          <w:rFonts w:ascii="Times New Roman" w:hAnsi="Times New Roman"/>
        </w:rPr>
        <w:t xml:space="preserve">the </w:t>
      </w:r>
      <w:r w:rsidR="00C92BFA" w:rsidRPr="00DF5070">
        <w:rPr>
          <w:rFonts w:ascii="Times New Roman" w:hAnsi="Times New Roman"/>
        </w:rPr>
        <w:t xml:space="preserve">Full Court's understanding of the </w:t>
      </w:r>
      <w:r w:rsidR="00526968" w:rsidRPr="00DF5070">
        <w:rPr>
          <w:rFonts w:ascii="Times New Roman" w:hAnsi="Times New Roman"/>
        </w:rPr>
        <w:t>role of the statutory maximum penalty in "</w:t>
      </w:r>
      <w:proofErr w:type="spellStart"/>
      <w:r w:rsidR="00526968" w:rsidRPr="00DF5070">
        <w:rPr>
          <w:rFonts w:ascii="Times New Roman" w:hAnsi="Times New Roman"/>
        </w:rPr>
        <w:t>shap</w:t>
      </w:r>
      <w:proofErr w:type="spellEnd"/>
      <w:r w:rsidR="00526968" w:rsidRPr="00DF5070">
        <w:rPr>
          <w:rFonts w:ascii="Times New Roman" w:hAnsi="Times New Roman"/>
        </w:rPr>
        <w:t>[</w:t>
      </w:r>
      <w:proofErr w:type="spellStart"/>
      <w:r w:rsidR="00526968" w:rsidRPr="00DF5070">
        <w:rPr>
          <w:rFonts w:ascii="Times New Roman" w:hAnsi="Times New Roman"/>
        </w:rPr>
        <w:t>ing</w:t>
      </w:r>
      <w:proofErr w:type="spellEnd"/>
      <w:r w:rsidR="00526968" w:rsidRPr="00DF5070">
        <w:rPr>
          <w:rFonts w:ascii="Times New Roman" w:hAnsi="Times New Roman"/>
        </w:rPr>
        <w:t xml:space="preserve">]" the appropriate punishment for </w:t>
      </w:r>
      <w:r w:rsidR="002D741A" w:rsidRPr="00DF5070">
        <w:rPr>
          <w:rFonts w:ascii="Times New Roman" w:hAnsi="Times New Roman"/>
        </w:rPr>
        <w:t>offending of the relevant kind</w:t>
      </w:r>
      <w:r w:rsidR="00954C9C" w:rsidRPr="00DF5070">
        <w:rPr>
          <w:rStyle w:val="FootnoteReference"/>
          <w:rFonts w:ascii="Times New Roman" w:hAnsi="Times New Roman"/>
          <w:sz w:val="24"/>
        </w:rPr>
        <w:footnoteReference w:id="56"/>
      </w:r>
      <w:r w:rsidR="00C93F21" w:rsidRPr="00DF5070">
        <w:rPr>
          <w:rFonts w:ascii="Times New Roman" w:hAnsi="Times New Roman"/>
        </w:rPr>
        <w:t>.</w:t>
      </w:r>
      <w:r w:rsidR="000E570C" w:rsidRPr="00DF5070">
        <w:rPr>
          <w:rFonts w:ascii="Times New Roman" w:hAnsi="Times New Roman"/>
        </w:rPr>
        <w:t xml:space="preserve"> </w:t>
      </w:r>
      <w:r w:rsidR="005062E4" w:rsidRPr="00DF5070">
        <w:rPr>
          <w:rFonts w:ascii="Times New Roman" w:hAnsi="Times New Roman"/>
        </w:rPr>
        <w:t>In this regard, t</w:t>
      </w:r>
      <w:r w:rsidR="005711B9" w:rsidRPr="00DF5070">
        <w:rPr>
          <w:rFonts w:ascii="Times New Roman" w:hAnsi="Times New Roman"/>
        </w:rPr>
        <w:t xml:space="preserve">he Full Court </w:t>
      </w:r>
      <w:r w:rsidR="00930C7D" w:rsidRPr="00DF5070">
        <w:rPr>
          <w:rFonts w:ascii="Times New Roman" w:hAnsi="Times New Roman"/>
        </w:rPr>
        <w:t xml:space="preserve">considered </w:t>
      </w:r>
      <w:r w:rsidR="005711B9" w:rsidRPr="00DF5070">
        <w:rPr>
          <w:rFonts w:ascii="Times New Roman" w:hAnsi="Times New Roman"/>
        </w:rPr>
        <w:t>that a statutory maximum penalty was intended to be reserved for cases in which the "circumstances, including the nature and gravity of the contravention, ... warrant or call for the highest possible level of deterrence as reasonably appropriate"</w:t>
      </w:r>
      <w:r w:rsidR="005711B9" w:rsidRPr="00DF5070">
        <w:rPr>
          <w:rStyle w:val="FootnoteReference"/>
          <w:rFonts w:ascii="Times New Roman" w:hAnsi="Times New Roman"/>
          <w:sz w:val="24"/>
        </w:rPr>
        <w:footnoteReference w:id="57"/>
      </w:r>
      <w:r w:rsidR="005711B9" w:rsidRPr="00DF5070">
        <w:rPr>
          <w:rFonts w:ascii="Times New Roman" w:hAnsi="Times New Roman"/>
        </w:rPr>
        <w:t xml:space="preserve">. </w:t>
      </w:r>
    </w:p>
    <w:p w14:paraId="686EECAA" w14:textId="734861EE" w:rsidR="005711B9" w:rsidRPr="00DF5070" w:rsidRDefault="000E570C" w:rsidP="00DF5070">
      <w:pPr>
        <w:pStyle w:val="FixListStyle"/>
        <w:spacing w:after="260" w:line="280" w:lineRule="exact"/>
        <w:ind w:right="0"/>
        <w:jc w:val="both"/>
        <w:rPr>
          <w:rFonts w:ascii="Times New Roman" w:hAnsi="Times New Roman"/>
        </w:rPr>
      </w:pPr>
      <w:r w:rsidRPr="00DF5070">
        <w:rPr>
          <w:rFonts w:ascii="Times New Roman" w:hAnsi="Times New Roman"/>
        </w:rPr>
        <w:lastRenderedPageBreak/>
        <w:tab/>
      </w:r>
      <w:r w:rsidR="005711B9" w:rsidRPr="00DF5070">
        <w:rPr>
          <w:rFonts w:ascii="Times New Roman" w:hAnsi="Times New Roman"/>
        </w:rPr>
        <w:t xml:space="preserve">In the Full Court's view, a case could not be in the worst category merely by reason of the </w:t>
      </w:r>
      <w:proofErr w:type="spellStart"/>
      <w:r w:rsidR="005711B9" w:rsidRPr="00DF5070">
        <w:rPr>
          <w:rFonts w:ascii="Times New Roman" w:hAnsi="Times New Roman"/>
        </w:rPr>
        <w:t>contraven</w:t>
      </w:r>
      <w:r w:rsidR="007E6925" w:rsidRPr="00DF5070">
        <w:rPr>
          <w:rFonts w:ascii="Times New Roman" w:hAnsi="Times New Roman"/>
        </w:rPr>
        <w:t>o</w:t>
      </w:r>
      <w:r w:rsidR="005711B9" w:rsidRPr="00DF5070">
        <w:rPr>
          <w:rFonts w:ascii="Times New Roman" w:hAnsi="Times New Roman"/>
        </w:rPr>
        <w:t>r</w:t>
      </w:r>
      <w:proofErr w:type="spellEnd"/>
      <w:r w:rsidR="005711B9" w:rsidRPr="00DF5070">
        <w:rPr>
          <w:rFonts w:ascii="Times New Roman" w:hAnsi="Times New Roman"/>
        </w:rPr>
        <w:t xml:space="preserve"> having a history of prior contraventions</w:t>
      </w:r>
      <w:r w:rsidR="008D6396" w:rsidRPr="00DF5070">
        <w:rPr>
          <w:rFonts w:ascii="Times New Roman" w:hAnsi="Times New Roman"/>
        </w:rPr>
        <w:t>:</w:t>
      </w:r>
      <w:r w:rsidR="005711B9" w:rsidRPr="00DF5070">
        <w:rPr>
          <w:rFonts w:ascii="Times New Roman" w:hAnsi="Times New Roman"/>
        </w:rPr>
        <w:t xml:space="preserve"> </w:t>
      </w:r>
      <w:r w:rsidR="00E621A2" w:rsidRPr="00DF5070">
        <w:rPr>
          <w:rFonts w:ascii="Times New Roman" w:hAnsi="Times New Roman"/>
        </w:rPr>
        <w:t>to</w:t>
      </w:r>
      <w:r w:rsidR="005711B9" w:rsidRPr="00DF5070">
        <w:rPr>
          <w:rFonts w:ascii="Times New Roman" w:hAnsi="Times New Roman"/>
        </w:rPr>
        <w:t xml:space="preserve"> impose the maximum penalty in such a case would be to impose a penalty disproportionate to the nature, gravity and seriousness of the instant contravention</w:t>
      </w:r>
      <w:r w:rsidR="005711B9" w:rsidRPr="00DF5070">
        <w:rPr>
          <w:rStyle w:val="FootnoteReference"/>
          <w:rFonts w:ascii="Times New Roman" w:hAnsi="Times New Roman"/>
          <w:sz w:val="24"/>
        </w:rPr>
        <w:footnoteReference w:id="58"/>
      </w:r>
      <w:r w:rsidR="005711B9" w:rsidRPr="00DF5070">
        <w:rPr>
          <w:rFonts w:ascii="Times New Roman" w:hAnsi="Times New Roman"/>
        </w:rPr>
        <w:t xml:space="preserve">. </w:t>
      </w:r>
      <w:r w:rsidR="00E621A2" w:rsidRPr="00DF5070">
        <w:rPr>
          <w:rFonts w:ascii="Times New Roman" w:hAnsi="Times New Roman"/>
        </w:rPr>
        <w:t>Because</w:t>
      </w:r>
      <w:r w:rsidR="005711B9" w:rsidRPr="00DF5070">
        <w:rPr>
          <w:rFonts w:ascii="Times New Roman" w:hAnsi="Times New Roman"/>
        </w:rPr>
        <w:t xml:space="preserve"> the setting of statutory maxima </w:t>
      </w:r>
      <w:r w:rsidR="00463DE5" w:rsidRPr="00DF5070">
        <w:rPr>
          <w:rFonts w:ascii="Times New Roman" w:hAnsi="Times New Roman"/>
        </w:rPr>
        <w:t>is</w:t>
      </w:r>
      <w:r w:rsidR="005711B9" w:rsidRPr="00DF5070">
        <w:rPr>
          <w:rFonts w:ascii="Times New Roman" w:hAnsi="Times New Roman"/>
        </w:rPr>
        <w:t xml:space="preserve"> a matter for Parliament, any perceived inadequacy of those maxima to deter contraventions could not be a reason for imposing a maximum penalty in circumstances where it would not otherwise be warranted</w:t>
      </w:r>
      <w:r w:rsidR="005711B9" w:rsidRPr="00DF5070">
        <w:rPr>
          <w:rStyle w:val="FootnoteReference"/>
          <w:rFonts w:ascii="Times New Roman" w:hAnsi="Times New Roman"/>
          <w:sz w:val="24"/>
        </w:rPr>
        <w:footnoteReference w:id="59"/>
      </w:r>
      <w:r w:rsidR="005711B9" w:rsidRPr="00DF5070">
        <w:rPr>
          <w:rFonts w:ascii="Times New Roman" w:hAnsi="Times New Roman"/>
        </w:rPr>
        <w:t>.</w:t>
      </w:r>
    </w:p>
    <w:p w14:paraId="21437EE1" w14:textId="5A41E313" w:rsidR="005736A3" w:rsidRPr="00DF5070" w:rsidRDefault="003D0562"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F70B13" w:rsidRPr="00DF5070">
        <w:rPr>
          <w:rFonts w:ascii="Times New Roman" w:hAnsi="Times New Roman"/>
        </w:rPr>
        <w:t>T</w:t>
      </w:r>
      <w:r w:rsidR="008A5920" w:rsidRPr="00DF5070">
        <w:rPr>
          <w:rFonts w:ascii="Times New Roman" w:hAnsi="Times New Roman"/>
        </w:rPr>
        <w:t>he</w:t>
      </w:r>
      <w:r w:rsidR="00E07445" w:rsidRPr="00DF5070">
        <w:rPr>
          <w:rFonts w:ascii="Times New Roman" w:hAnsi="Times New Roman"/>
        </w:rPr>
        <w:t xml:space="preserve"> </w:t>
      </w:r>
      <w:r w:rsidR="00D9260B" w:rsidRPr="00DF5070">
        <w:rPr>
          <w:rFonts w:ascii="Times New Roman" w:hAnsi="Times New Roman"/>
        </w:rPr>
        <w:t>Full Court</w:t>
      </w:r>
      <w:r w:rsidR="008A5920" w:rsidRPr="00DF5070">
        <w:rPr>
          <w:rFonts w:ascii="Times New Roman" w:hAnsi="Times New Roman"/>
        </w:rPr>
        <w:t xml:space="preserve"> </w:t>
      </w:r>
      <w:r w:rsidR="00B8004A" w:rsidRPr="00DF5070">
        <w:rPr>
          <w:rFonts w:ascii="Times New Roman" w:hAnsi="Times New Roman"/>
        </w:rPr>
        <w:t xml:space="preserve">considered </w:t>
      </w:r>
      <w:r w:rsidR="006242CF" w:rsidRPr="00DF5070">
        <w:rPr>
          <w:rFonts w:ascii="Times New Roman" w:hAnsi="Times New Roman"/>
        </w:rPr>
        <w:t>that</w:t>
      </w:r>
      <w:r w:rsidR="00B8004A" w:rsidRPr="00DF5070">
        <w:rPr>
          <w:rFonts w:ascii="Times New Roman" w:hAnsi="Times New Roman"/>
        </w:rPr>
        <w:t xml:space="preserve"> </w:t>
      </w:r>
      <w:r w:rsidR="00A54007" w:rsidRPr="00DF5070">
        <w:rPr>
          <w:rFonts w:ascii="Times New Roman" w:hAnsi="Times New Roman"/>
        </w:rPr>
        <w:t>courts may have regard to wilful recidivism and intentional disobedience of the law</w:t>
      </w:r>
      <w:r w:rsidR="00A54007" w:rsidRPr="00DF5070">
        <w:rPr>
          <w:rStyle w:val="FootnoteReference"/>
          <w:rFonts w:ascii="Times New Roman" w:hAnsi="Times New Roman"/>
          <w:sz w:val="24"/>
        </w:rPr>
        <w:footnoteReference w:id="60"/>
      </w:r>
      <w:r w:rsidR="00A54007" w:rsidRPr="00DF5070">
        <w:rPr>
          <w:rFonts w:ascii="Times New Roman" w:hAnsi="Times New Roman"/>
        </w:rPr>
        <w:t>.</w:t>
      </w:r>
      <w:r w:rsidR="00463DE5" w:rsidRPr="00DF5070">
        <w:rPr>
          <w:rFonts w:ascii="Times New Roman" w:hAnsi="Times New Roman"/>
        </w:rPr>
        <w:t xml:space="preserve"> T</w:t>
      </w:r>
      <w:r w:rsidR="00000329" w:rsidRPr="00DF5070">
        <w:rPr>
          <w:rFonts w:ascii="Times New Roman" w:hAnsi="Times New Roman"/>
        </w:rPr>
        <w:t>he Full Court emphasised</w:t>
      </w:r>
      <w:r w:rsidR="00463DE5" w:rsidRPr="00DF5070">
        <w:rPr>
          <w:rFonts w:ascii="Times New Roman" w:hAnsi="Times New Roman"/>
        </w:rPr>
        <w:t>, however,</w:t>
      </w:r>
      <w:r w:rsidR="00000329" w:rsidRPr="00DF5070">
        <w:rPr>
          <w:rFonts w:ascii="Times New Roman" w:hAnsi="Times New Roman"/>
        </w:rPr>
        <w:t xml:space="preserve"> that any demonstrated attitude of non</w:t>
      </w:r>
      <w:r w:rsidR="00000329" w:rsidRPr="00DF5070">
        <w:rPr>
          <w:rFonts w:ascii="Times New Roman" w:hAnsi="Times New Roman"/>
        </w:rPr>
        <w:noBreakHyphen/>
        <w:t xml:space="preserve">compliance of a </w:t>
      </w:r>
      <w:proofErr w:type="spellStart"/>
      <w:r w:rsidR="00000329" w:rsidRPr="00DF5070">
        <w:rPr>
          <w:rFonts w:ascii="Times New Roman" w:hAnsi="Times New Roman"/>
        </w:rPr>
        <w:t>contravenor</w:t>
      </w:r>
      <w:proofErr w:type="spellEnd"/>
      <w:r w:rsidR="00000329" w:rsidRPr="00DF5070">
        <w:rPr>
          <w:rFonts w:ascii="Times New Roman" w:hAnsi="Times New Roman"/>
        </w:rPr>
        <w:t xml:space="preserve"> was </w:t>
      </w:r>
      <w:r w:rsidR="0043193D" w:rsidRPr="00DF5070">
        <w:rPr>
          <w:rFonts w:ascii="Times New Roman" w:hAnsi="Times New Roman"/>
        </w:rPr>
        <w:t>relevant only to the extent that it coloured the nature, gravity and seriousness of the contravention</w:t>
      </w:r>
      <w:r w:rsidR="0043193D" w:rsidRPr="00DF5070">
        <w:rPr>
          <w:rStyle w:val="FootnoteReference"/>
          <w:rFonts w:ascii="Times New Roman" w:hAnsi="Times New Roman"/>
          <w:sz w:val="24"/>
        </w:rPr>
        <w:footnoteReference w:id="61"/>
      </w:r>
      <w:r w:rsidR="0043193D" w:rsidRPr="00DF5070">
        <w:rPr>
          <w:rFonts w:ascii="Times New Roman" w:hAnsi="Times New Roman"/>
        </w:rPr>
        <w:t xml:space="preserve">, the focus remaining always on </w:t>
      </w:r>
      <w:r w:rsidR="005A2F08" w:rsidRPr="00DF5070">
        <w:rPr>
          <w:rFonts w:ascii="Times New Roman" w:hAnsi="Times New Roman"/>
        </w:rPr>
        <w:t>"</w:t>
      </w:r>
      <w:r w:rsidR="0043193D" w:rsidRPr="00DF5070">
        <w:rPr>
          <w:rFonts w:ascii="Times New Roman" w:hAnsi="Times New Roman"/>
        </w:rPr>
        <w:t xml:space="preserve">the nature and </w:t>
      </w:r>
      <w:r w:rsidR="005A2F08" w:rsidRPr="00DF5070">
        <w:rPr>
          <w:rFonts w:ascii="Times New Roman" w:hAnsi="Times New Roman"/>
        </w:rPr>
        <w:t xml:space="preserve">the </w:t>
      </w:r>
      <w:r w:rsidR="0043193D" w:rsidRPr="00DF5070">
        <w:rPr>
          <w:rFonts w:ascii="Times New Roman" w:hAnsi="Times New Roman"/>
        </w:rPr>
        <w:t>character of the human conduct that constituted the contravention in question"</w:t>
      </w:r>
      <w:r w:rsidR="007859CB" w:rsidRPr="00DF5070">
        <w:rPr>
          <w:rStyle w:val="FootnoteReference"/>
          <w:rFonts w:ascii="Times New Roman" w:hAnsi="Times New Roman"/>
          <w:sz w:val="24"/>
        </w:rPr>
        <w:footnoteReference w:id="62"/>
      </w:r>
      <w:r w:rsidR="0043193D" w:rsidRPr="00DF5070">
        <w:rPr>
          <w:rFonts w:ascii="Times New Roman" w:hAnsi="Times New Roman"/>
        </w:rPr>
        <w:t xml:space="preserve">. </w:t>
      </w:r>
      <w:proofErr w:type="spellStart"/>
      <w:r w:rsidR="005A2F08" w:rsidRPr="00DF5070">
        <w:rPr>
          <w:rFonts w:ascii="Times New Roman" w:hAnsi="Times New Roman"/>
        </w:rPr>
        <w:t>Allsop</w:t>
      </w:r>
      <w:proofErr w:type="spellEnd"/>
      <w:r w:rsidR="005A2F08" w:rsidRPr="00DF5070">
        <w:rPr>
          <w:rFonts w:ascii="Times New Roman" w:hAnsi="Times New Roman"/>
        </w:rPr>
        <w:t xml:space="preserve"> CJ, White and </w:t>
      </w:r>
      <w:proofErr w:type="spellStart"/>
      <w:r w:rsidR="005A2F08" w:rsidRPr="00DF5070">
        <w:rPr>
          <w:rFonts w:ascii="Times New Roman" w:hAnsi="Times New Roman"/>
        </w:rPr>
        <w:t>Wigney</w:t>
      </w:r>
      <w:proofErr w:type="spellEnd"/>
      <w:r w:rsidR="005A2F08" w:rsidRPr="00DF5070">
        <w:rPr>
          <w:rFonts w:ascii="Times New Roman" w:hAnsi="Times New Roman"/>
        </w:rPr>
        <w:t> JJ observed</w:t>
      </w:r>
      <w:r w:rsidR="00FB3891" w:rsidRPr="00DF5070">
        <w:rPr>
          <w:rStyle w:val="FootnoteReference"/>
          <w:rFonts w:ascii="Times New Roman" w:hAnsi="Times New Roman"/>
          <w:sz w:val="24"/>
        </w:rPr>
        <w:footnoteReference w:id="63"/>
      </w:r>
      <w:r w:rsidR="005736A3" w:rsidRPr="00DF5070">
        <w:rPr>
          <w:rFonts w:ascii="Times New Roman" w:hAnsi="Times New Roman"/>
        </w:rPr>
        <w:t>:</w:t>
      </w:r>
    </w:p>
    <w:p w14:paraId="2A90E33B" w14:textId="77777777" w:rsidR="00AD4DA4" w:rsidRPr="00DF5070" w:rsidRDefault="00FB3891" w:rsidP="00DF5070">
      <w:pPr>
        <w:pStyle w:val="LeftrightafterHC"/>
        <w:spacing w:before="0" w:after="260" w:line="280" w:lineRule="exact"/>
        <w:ind w:right="0"/>
        <w:jc w:val="both"/>
        <w:rPr>
          <w:rFonts w:ascii="Times New Roman" w:hAnsi="Times New Roman"/>
        </w:rPr>
      </w:pPr>
      <w:r w:rsidRPr="00DF5070">
        <w:rPr>
          <w:rFonts w:ascii="Times New Roman" w:hAnsi="Times New Roman"/>
        </w:rPr>
        <w:t>"What is not permitted in the name of deterrence is to untether the penal response from the nature and character of the instant contravention such that the penalty imposed can be seen to be undifferentiated between grades of conduct assessed and characterised on a principled basis.</w:t>
      </w:r>
    </w:p>
    <w:p w14:paraId="3F8A3C78" w14:textId="77777777" w:rsidR="00DF5070" w:rsidRDefault="008E004B" w:rsidP="00DF5070">
      <w:pPr>
        <w:pStyle w:val="leftright"/>
        <w:spacing w:before="0" w:after="260" w:line="280" w:lineRule="exact"/>
        <w:ind w:right="0"/>
        <w:jc w:val="both"/>
        <w:rPr>
          <w:rFonts w:ascii="Times New Roman" w:hAnsi="Times New Roman"/>
        </w:rPr>
      </w:pPr>
      <w:r w:rsidRPr="00DF5070">
        <w:rPr>
          <w:rFonts w:ascii="Times New Roman" w:hAnsi="Times New Roman"/>
        </w:rPr>
        <w:tab/>
        <w:t>... to remove proportionality from the assessment of an appropriate penal response to a contravention or to make it a subsidiary consideration, would lead to an interpretation of a statutory power to inflict a penal consequence untethered to the nature and seriousness of the contravention. In such circumstances one i</w:t>
      </w:r>
      <w:r w:rsidR="00FE51B6" w:rsidRPr="00DF5070">
        <w:rPr>
          <w:rFonts w:ascii="Times New Roman" w:hAnsi="Times New Roman"/>
        </w:rPr>
        <w:t xml:space="preserve">s no longer penalising for an instant </w:t>
      </w:r>
      <w:r w:rsidR="00FE51B6" w:rsidRPr="00DF5070">
        <w:rPr>
          <w:rFonts w:ascii="Times New Roman" w:hAnsi="Times New Roman"/>
        </w:rPr>
        <w:lastRenderedPageBreak/>
        <w:t xml:space="preserve">contravention, rather </w:t>
      </w:r>
      <w:r w:rsidR="00FE51B6" w:rsidRPr="00DF5070">
        <w:rPr>
          <w:rFonts w:ascii="Times New Roman" w:hAnsi="Times New Roman"/>
          <w:i/>
        </w:rPr>
        <w:t>one is imposing penalties to bring about compliance generally by, in effect, saying the maximum penalty is always available against the recidivist for any contravention since the penalty will always conform with the object of deterrence</w:t>
      </w:r>
      <w:r w:rsidR="00FE51B6" w:rsidRPr="00DF5070">
        <w:rPr>
          <w:rFonts w:ascii="Times New Roman" w:hAnsi="Times New Roman"/>
        </w:rPr>
        <w:t>.</w:t>
      </w:r>
      <w:r w:rsidR="00FB3891" w:rsidRPr="00DF5070">
        <w:rPr>
          <w:rFonts w:ascii="Times New Roman" w:hAnsi="Times New Roman"/>
        </w:rPr>
        <w:t>"</w:t>
      </w:r>
      <w:r w:rsidR="00C03252" w:rsidRPr="00DF5070">
        <w:rPr>
          <w:rFonts w:ascii="Times New Roman" w:hAnsi="Times New Roman"/>
        </w:rPr>
        <w:t xml:space="preserve"> (emphasis added)</w:t>
      </w:r>
    </w:p>
    <w:p w14:paraId="65B39EC6" w14:textId="69355EFF" w:rsidR="007747E6" w:rsidRPr="00DF5070" w:rsidRDefault="00D9260B"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465328" w:rsidRPr="00DF5070">
        <w:rPr>
          <w:rFonts w:ascii="Times New Roman" w:hAnsi="Times New Roman"/>
        </w:rPr>
        <w:t>To si</w:t>
      </w:r>
      <w:r w:rsidR="00F36691" w:rsidRPr="00DF5070">
        <w:rPr>
          <w:rFonts w:ascii="Times New Roman" w:hAnsi="Times New Roman"/>
        </w:rPr>
        <w:t xml:space="preserve">milar effect, </w:t>
      </w:r>
      <w:proofErr w:type="spellStart"/>
      <w:r w:rsidRPr="00DF5070">
        <w:rPr>
          <w:rFonts w:ascii="Times New Roman" w:hAnsi="Times New Roman"/>
        </w:rPr>
        <w:t>Besanko</w:t>
      </w:r>
      <w:proofErr w:type="spellEnd"/>
      <w:r w:rsidRPr="00DF5070">
        <w:rPr>
          <w:rFonts w:ascii="Times New Roman" w:hAnsi="Times New Roman"/>
        </w:rPr>
        <w:t xml:space="preserve"> and Bromwich JJ </w:t>
      </w:r>
      <w:r w:rsidR="00F36691" w:rsidRPr="00DF5070">
        <w:rPr>
          <w:rFonts w:ascii="Times New Roman" w:hAnsi="Times New Roman"/>
        </w:rPr>
        <w:t xml:space="preserve">said </w:t>
      </w:r>
      <w:r w:rsidR="000C6439" w:rsidRPr="00DF5070">
        <w:rPr>
          <w:rFonts w:ascii="Times New Roman" w:hAnsi="Times New Roman"/>
        </w:rPr>
        <w:t>th</w:t>
      </w:r>
      <w:r w:rsidR="007747E6" w:rsidRPr="00DF5070">
        <w:rPr>
          <w:rFonts w:ascii="Times New Roman" w:hAnsi="Times New Roman"/>
        </w:rPr>
        <w:t>at</w:t>
      </w:r>
      <w:r w:rsidR="000C6439" w:rsidRPr="00DF5070">
        <w:rPr>
          <w:rFonts w:ascii="Times New Roman" w:hAnsi="Times New Roman"/>
        </w:rPr>
        <w:t xml:space="preserve"> it was important to recognise</w:t>
      </w:r>
      <w:r w:rsidR="007747E6" w:rsidRPr="00DF5070">
        <w:rPr>
          <w:rStyle w:val="FootnoteReference"/>
          <w:rFonts w:ascii="Times New Roman" w:hAnsi="Times New Roman"/>
          <w:sz w:val="24"/>
        </w:rPr>
        <w:footnoteReference w:id="64"/>
      </w:r>
      <w:r w:rsidR="007747E6" w:rsidRPr="00DF5070">
        <w:rPr>
          <w:rFonts w:ascii="Times New Roman" w:hAnsi="Times New Roman"/>
        </w:rPr>
        <w:t>:</w:t>
      </w:r>
    </w:p>
    <w:p w14:paraId="28738685" w14:textId="77777777" w:rsidR="00DF5070" w:rsidRDefault="007747E6" w:rsidP="00DF5070">
      <w:pPr>
        <w:pStyle w:val="LeftrightafterHC"/>
        <w:spacing w:before="0" w:after="260" w:line="280" w:lineRule="exact"/>
        <w:ind w:right="0"/>
        <w:jc w:val="both"/>
        <w:rPr>
          <w:rFonts w:ascii="Times New Roman" w:hAnsi="Times New Roman"/>
        </w:rPr>
      </w:pPr>
      <w:r w:rsidRPr="00DF5070">
        <w:rPr>
          <w:rFonts w:ascii="Times New Roman" w:hAnsi="Times New Roman"/>
        </w:rPr>
        <w:t>"</w:t>
      </w:r>
      <w:r w:rsidR="000C6439" w:rsidRPr="00DF5070">
        <w:rPr>
          <w:rFonts w:ascii="Times New Roman" w:hAnsi="Times New Roman"/>
        </w:rPr>
        <w:t xml:space="preserve">the </w:t>
      </w:r>
      <w:r w:rsidRPr="00DF5070">
        <w:rPr>
          <w:rFonts w:ascii="Times New Roman" w:hAnsi="Times New Roman"/>
        </w:rPr>
        <w:t xml:space="preserve">subtle but </w:t>
      </w:r>
      <w:r w:rsidR="000C6439" w:rsidRPr="00DF5070">
        <w:rPr>
          <w:rFonts w:ascii="Times New Roman" w:hAnsi="Times New Roman"/>
        </w:rPr>
        <w:t xml:space="preserve">fundamental difference between characterising what has happened, which is conventional and permissible, and changing the character of what has happened, which is impermissible </w:t>
      </w:r>
      <w:r w:rsidRPr="00DF5070">
        <w:rPr>
          <w:rFonts w:ascii="Times New Roman" w:hAnsi="Times New Roman"/>
        </w:rPr>
        <w:t xml:space="preserve">because it has the effect of at least in part imposing a penalty for what has been sanctioned previously. It is the injustice of the latter approach that is precluded by the principle of proportionality identified in </w:t>
      </w:r>
      <w:r w:rsidRPr="00DF5070">
        <w:rPr>
          <w:rFonts w:ascii="Times New Roman" w:hAnsi="Times New Roman"/>
          <w:i/>
        </w:rPr>
        <w:t>Veen No 2</w:t>
      </w:r>
      <w:r w:rsidRPr="00DF5070">
        <w:rPr>
          <w:rFonts w:ascii="Times New Roman" w:hAnsi="Times New Roman"/>
        </w:rPr>
        <w:t>.</w:t>
      </w:r>
      <w:r w:rsidR="000C6439" w:rsidRPr="00DF5070">
        <w:rPr>
          <w:rFonts w:ascii="Times New Roman" w:hAnsi="Times New Roman"/>
        </w:rPr>
        <w:t>"</w:t>
      </w:r>
    </w:p>
    <w:p w14:paraId="3D9BE0A0" w14:textId="5132E477" w:rsidR="009867DB" w:rsidRPr="00DF5070" w:rsidRDefault="004A3DBB" w:rsidP="00DF5070">
      <w:pPr>
        <w:pStyle w:val="FixListStyle"/>
        <w:spacing w:after="260" w:line="280" w:lineRule="exact"/>
        <w:ind w:right="0"/>
        <w:jc w:val="both"/>
        <w:rPr>
          <w:rFonts w:ascii="Times New Roman" w:hAnsi="Times New Roman"/>
        </w:rPr>
      </w:pPr>
      <w:r w:rsidRPr="00DF5070">
        <w:rPr>
          <w:rFonts w:ascii="Times New Roman" w:hAnsi="Times New Roman"/>
        </w:rPr>
        <w:tab/>
        <w:t>The Full Court concluded that the primary judge had committed such an error. While it was permissible for the primary judge to take into account the demonstrated unwillingness of the CFMMEU to obey the law as a factor bearing upon the seriousness of the instant contraventions, the Full Court considered that the CFMMEU's history of contraventions overwhelmed the primary judge's analysis such that his Honour did not make any real evaluation of the features of the instant contraventions. In effect, the primary judge was said to have determined that, because the CFMMEU's recidivism had reached some threshold level, future contraventions could be treated as being of the worst category and deserving of the maximum penalty</w:t>
      </w:r>
      <w:r w:rsidR="00A1064C" w:rsidRPr="00DF5070">
        <w:rPr>
          <w:rFonts w:ascii="Times New Roman" w:hAnsi="Times New Roman"/>
        </w:rPr>
        <w:t>, irrespective of the circumstances of the conduct that comprised the contraventions</w:t>
      </w:r>
      <w:r w:rsidRPr="00DF5070">
        <w:rPr>
          <w:rFonts w:ascii="Times New Roman" w:hAnsi="Times New Roman"/>
        </w:rPr>
        <w:t>.</w:t>
      </w:r>
      <w:r w:rsidR="0039088F" w:rsidRPr="00DF5070">
        <w:rPr>
          <w:rFonts w:ascii="Times New Roman" w:hAnsi="Times New Roman"/>
        </w:rPr>
        <w:t xml:space="preserve"> Such a conclusion was said to </w:t>
      </w:r>
      <w:r w:rsidR="00C41F69" w:rsidRPr="00DF5070">
        <w:rPr>
          <w:rFonts w:ascii="Times New Roman" w:hAnsi="Times New Roman"/>
        </w:rPr>
        <w:t xml:space="preserve">be </w:t>
      </w:r>
      <w:r w:rsidR="00B20591" w:rsidRPr="00DF5070">
        <w:rPr>
          <w:rFonts w:ascii="Times New Roman" w:hAnsi="Times New Roman"/>
        </w:rPr>
        <w:t>erroneous</w:t>
      </w:r>
      <w:r w:rsidR="00C41F69" w:rsidRPr="00DF5070">
        <w:rPr>
          <w:rFonts w:ascii="Times New Roman" w:hAnsi="Times New Roman"/>
        </w:rPr>
        <w:t xml:space="preserve">, since it would </w:t>
      </w:r>
      <w:r w:rsidR="00166CBC" w:rsidRPr="00DF5070">
        <w:rPr>
          <w:rFonts w:ascii="Times New Roman" w:hAnsi="Times New Roman"/>
        </w:rPr>
        <w:t xml:space="preserve">"jettison" the </w:t>
      </w:r>
      <w:r w:rsidR="005C392C" w:rsidRPr="00DF5070">
        <w:rPr>
          <w:rFonts w:ascii="Times New Roman" w:hAnsi="Times New Roman"/>
        </w:rPr>
        <w:t>"</w:t>
      </w:r>
      <w:r w:rsidR="00166CBC" w:rsidRPr="00DF5070">
        <w:rPr>
          <w:rFonts w:ascii="Times New Roman" w:hAnsi="Times New Roman"/>
        </w:rPr>
        <w:t>notion of proportionality</w:t>
      </w:r>
      <w:r w:rsidR="005C392C" w:rsidRPr="00DF5070">
        <w:rPr>
          <w:rFonts w:ascii="Times New Roman" w:hAnsi="Times New Roman"/>
        </w:rPr>
        <w:t>"</w:t>
      </w:r>
      <w:r w:rsidR="00166CBC" w:rsidRPr="00DF5070">
        <w:rPr>
          <w:rFonts w:ascii="Times New Roman" w:hAnsi="Times New Roman"/>
        </w:rPr>
        <w:t xml:space="preserve"> their Honours </w:t>
      </w:r>
      <w:r w:rsidR="00A1064C" w:rsidRPr="00DF5070">
        <w:rPr>
          <w:rFonts w:ascii="Times New Roman" w:hAnsi="Times New Roman"/>
        </w:rPr>
        <w:t xml:space="preserve">regarded as </w:t>
      </w:r>
      <w:r w:rsidR="00166CBC" w:rsidRPr="00DF5070">
        <w:rPr>
          <w:rFonts w:ascii="Times New Roman" w:hAnsi="Times New Roman"/>
        </w:rPr>
        <w:t>inhere</w:t>
      </w:r>
      <w:r w:rsidR="00A1064C" w:rsidRPr="00DF5070">
        <w:rPr>
          <w:rFonts w:ascii="Times New Roman" w:hAnsi="Times New Roman"/>
        </w:rPr>
        <w:t>nt</w:t>
      </w:r>
      <w:r w:rsidR="00166CBC" w:rsidRPr="00DF5070">
        <w:rPr>
          <w:rFonts w:ascii="Times New Roman" w:hAnsi="Times New Roman"/>
        </w:rPr>
        <w:t xml:space="preserve"> in the task </w:t>
      </w:r>
      <w:r w:rsidR="00125E23" w:rsidRPr="00DF5070">
        <w:rPr>
          <w:rFonts w:ascii="Times New Roman" w:hAnsi="Times New Roman"/>
        </w:rPr>
        <w:t>required by</w:t>
      </w:r>
      <w:r w:rsidR="00166CBC" w:rsidRPr="00DF5070">
        <w:rPr>
          <w:rFonts w:ascii="Times New Roman" w:hAnsi="Times New Roman"/>
        </w:rPr>
        <w:t xml:space="preserve"> s 546 to determine a</w:t>
      </w:r>
      <w:r w:rsidR="00F01CEB" w:rsidRPr="00DF5070">
        <w:rPr>
          <w:rFonts w:ascii="Times New Roman" w:hAnsi="Times New Roman"/>
        </w:rPr>
        <w:t>n appropriate penalty for a contravention</w:t>
      </w:r>
      <w:r w:rsidR="00F01CEB" w:rsidRPr="00DF5070">
        <w:rPr>
          <w:rStyle w:val="FootnoteReference"/>
          <w:rFonts w:ascii="Times New Roman" w:hAnsi="Times New Roman"/>
          <w:sz w:val="24"/>
        </w:rPr>
        <w:footnoteReference w:id="65"/>
      </w:r>
      <w:r w:rsidR="00F01CEB" w:rsidRPr="00DF5070">
        <w:rPr>
          <w:rFonts w:ascii="Times New Roman" w:hAnsi="Times New Roman"/>
        </w:rPr>
        <w:t>.</w:t>
      </w:r>
    </w:p>
    <w:p w14:paraId="59BBE5F0" w14:textId="11C66FE5" w:rsidR="00965EC6" w:rsidRPr="00DF5070" w:rsidRDefault="00965EC6" w:rsidP="00DF5070">
      <w:pPr>
        <w:pStyle w:val="HeadingL1"/>
        <w:spacing w:after="260" w:line="280" w:lineRule="exact"/>
        <w:ind w:right="0"/>
        <w:jc w:val="both"/>
        <w:rPr>
          <w:rFonts w:ascii="Times New Roman" w:hAnsi="Times New Roman"/>
        </w:rPr>
      </w:pPr>
      <w:r w:rsidRPr="00DF5070">
        <w:rPr>
          <w:rFonts w:ascii="Times New Roman" w:hAnsi="Times New Roman"/>
        </w:rPr>
        <w:t>Section 54</w:t>
      </w:r>
      <w:r w:rsidR="00746D3A" w:rsidRPr="00DF5070">
        <w:rPr>
          <w:rFonts w:ascii="Times New Roman" w:hAnsi="Times New Roman"/>
        </w:rPr>
        <w:t>6</w:t>
      </w:r>
      <w:r w:rsidRPr="00DF5070">
        <w:rPr>
          <w:rFonts w:ascii="Times New Roman" w:hAnsi="Times New Roman"/>
        </w:rPr>
        <w:t xml:space="preserve"> and </w:t>
      </w:r>
      <w:r w:rsidR="00FC4C7F" w:rsidRPr="00DF5070">
        <w:rPr>
          <w:rFonts w:ascii="Times New Roman" w:hAnsi="Times New Roman"/>
        </w:rPr>
        <w:t>the</w:t>
      </w:r>
      <w:r w:rsidR="002C78A9" w:rsidRPr="00DF5070">
        <w:rPr>
          <w:rFonts w:ascii="Times New Roman" w:hAnsi="Times New Roman"/>
        </w:rPr>
        <w:t xml:space="preserve"> </w:t>
      </w:r>
      <w:r w:rsidR="004E40DD" w:rsidRPr="00DF5070">
        <w:rPr>
          <w:rFonts w:ascii="Times New Roman" w:hAnsi="Times New Roman"/>
        </w:rPr>
        <w:t>"</w:t>
      </w:r>
      <w:r w:rsidR="002C78A9" w:rsidRPr="00DF5070">
        <w:rPr>
          <w:rFonts w:ascii="Times New Roman" w:hAnsi="Times New Roman"/>
        </w:rPr>
        <w:t xml:space="preserve">notion of </w:t>
      </w:r>
      <w:r w:rsidRPr="00DF5070">
        <w:rPr>
          <w:rFonts w:ascii="Times New Roman" w:hAnsi="Times New Roman"/>
        </w:rPr>
        <w:t>proportionality"</w:t>
      </w:r>
    </w:p>
    <w:p w14:paraId="06A6E677" w14:textId="4B35DEB0" w:rsidR="00C56C54" w:rsidRPr="00DF5070" w:rsidRDefault="00965EC6"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1B6E8B" w:rsidRPr="00DF5070">
        <w:rPr>
          <w:rFonts w:ascii="Times New Roman" w:hAnsi="Times New Roman"/>
        </w:rPr>
        <w:t xml:space="preserve">The </w:t>
      </w:r>
      <w:r w:rsidR="00114A18" w:rsidRPr="00DF5070">
        <w:rPr>
          <w:rFonts w:ascii="Times New Roman" w:hAnsi="Times New Roman"/>
        </w:rPr>
        <w:t>"</w:t>
      </w:r>
      <w:r w:rsidR="001B6E8B" w:rsidRPr="00DF5070">
        <w:rPr>
          <w:rFonts w:ascii="Times New Roman" w:hAnsi="Times New Roman"/>
        </w:rPr>
        <w:t>notion of proportionality</w:t>
      </w:r>
      <w:r w:rsidR="00114A18" w:rsidRPr="00DF5070">
        <w:rPr>
          <w:rFonts w:ascii="Times New Roman" w:hAnsi="Times New Roman"/>
        </w:rPr>
        <w:t>"</w:t>
      </w:r>
      <w:r w:rsidR="001B6E8B" w:rsidRPr="00DF5070">
        <w:rPr>
          <w:rFonts w:ascii="Times New Roman" w:hAnsi="Times New Roman"/>
        </w:rPr>
        <w:t xml:space="preserve"> derived by the Full Court from </w:t>
      </w:r>
      <w:r w:rsidR="001B6E8B" w:rsidRPr="00DF5070">
        <w:rPr>
          <w:rFonts w:ascii="Times New Roman" w:hAnsi="Times New Roman"/>
          <w:i/>
        </w:rPr>
        <w:t xml:space="preserve">Veen </w:t>
      </w:r>
      <w:r w:rsidR="00A90B77" w:rsidRPr="00DF5070">
        <w:rPr>
          <w:rFonts w:ascii="Times New Roman" w:hAnsi="Times New Roman"/>
          <w:i/>
        </w:rPr>
        <w:t>[</w:t>
      </w:r>
      <w:r w:rsidR="001B6E8B" w:rsidRPr="00DF5070">
        <w:rPr>
          <w:rFonts w:ascii="Times New Roman" w:hAnsi="Times New Roman"/>
          <w:i/>
        </w:rPr>
        <w:t>No 2</w:t>
      </w:r>
      <w:r w:rsidR="00A90B77" w:rsidRPr="00DF5070">
        <w:rPr>
          <w:rFonts w:ascii="Times New Roman" w:hAnsi="Times New Roman"/>
          <w:i/>
        </w:rPr>
        <w:t>]</w:t>
      </w:r>
      <w:r w:rsidR="001B6E8B" w:rsidRPr="00DF5070">
        <w:rPr>
          <w:rFonts w:ascii="Times New Roman" w:hAnsi="Times New Roman"/>
          <w:i/>
        </w:rPr>
        <w:t xml:space="preserve"> </w:t>
      </w:r>
      <w:r w:rsidR="001B6E8B" w:rsidRPr="00DF5070">
        <w:rPr>
          <w:rFonts w:ascii="Times New Roman" w:hAnsi="Times New Roman"/>
        </w:rPr>
        <w:t xml:space="preserve">is </w:t>
      </w:r>
      <w:r w:rsidR="00BE3970" w:rsidRPr="00DF5070">
        <w:rPr>
          <w:rFonts w:ascii="Times New Roman" w:hAnsi="Times New Roman"/>
        </w:rPr>
        <w:t xml:space="preserve">so </w:t>
      </w:r>
      <w:r w:rsidR="001B6E8B" w:rsidRPr="00DF5070">
        <w:rPr>
          <w:rFonts w:ascii="Times New Roman" w:hAnsi="Times New Roman"/>
        </w:rPr>
        <w:t>closely connected to the central role of retribution in criminal sentencing</w:t>
      </w:r>
      <w:r w:rsidR="00BE3970" w:rsidRPr="00DF5070">
        <w:rPr>
          <w:rFonts w:ascii="Times New Roman" w:hAnsi="Times New Roman"/>
        </w:rPr>
        <w:t xml:space="preserve"> that</w:t>
      </w:r>
      <w:r w:rsidR="003438CA" w:rsidRPr="00DF5070">
        <w:rPr>
          <w:rFonts w:ascii="Times New Roman" w:hAnsi="Times New Roman"/>
        </w:rPr>
        <w:t xml:space="preserve"> </w:t>
      </w:r>
      <w:r w:rsidR="002D6FEB" w:rsidRPr="00DF5070">
        <w:rPr>
          <w:rFonts w:ascii="Times New Roman" w:hAnsi="Times New Roman"/>
        </w:rPr>
        <w:t>it</w:t>
      </w:r>
      <w:r w:rsidR="001B6E8B" w:rsidRPr="00DF5070">
        <w:rPr>
          <w:rFonts w:ascii="Times New Roman" w:hAnsi="Times New Roman"/>
        </w:rPr>
        <w:t xml:space="preserve"> cannot be translated coherently into the civil penalty context of the Act. </w:t>
      </w:r>
    </w:p>
    <w:p w14:paraId="55616D6C" w14:textId="6D6B9CA6" w:rsidR="00354540" w:rsidRPr="00DF5070" w:rsidRDefault="00C56C54" w:rsidP="00DF5070">
      <w:pPr>
        <w:pStyle w:val="FixListStyle"/>
        <w:spacing w:after="260" w:line="280" w:lineRule="exact"/>
        <w:ind w:right="0"/>
        <w:jc w:val="both"/>
        <w:rPr>
          <w:rFonts w:ascii="Times New Roman" w:hAnsi="Times New Roman"/>
        </w:rPr>
      </w:pPr>
      <w:r w:rsidRPr="00DF5070">
        <w:rPr>
          <w:rFonts w:ascii="Times New Roman" w:hAnsi="Times New Roman"/>
        </w:rPr>
        <w:lastRenderedPageBreak/>
        <w:tab/>
      </w:r>
      <w:r w:rsidR="00580603" w:rsidRPr="00DF5070">
        <w:rPr>
          <w:rFonts w:ascii="Times New Roman" w:hAnsi="Times New Roman"/>
        </w:rPr>
        <w:t xml:space="preserve">The proposition for which </w:t>
      </w:r>
      <w:r w:rsidR="00580603" w:rsidRPr="00DF5070">
        <w:rPr>
          <w:rFonts w:ascii="Times New Roman" w:hAnsi="Times New Roman"/>
          <w:i/>
          <w:iCs/>
        </w:rPr>
        <w:t xml:space="preserve">Veen </w:t>
      </w:r>
      <w:r w:rsidR="00A90B77" w:rsidRPr="00DF5070">
        <w:rPr>
          <w:rFonts w:ascii="Times New Roman" w:hAnsi="Times New Roman"/>
          <w:i/>
          <w:iCs/>
        </w:rPr>
        <w:t>[</w:t>
      </w:r>
      <w:r w:rsidR="00580603" w:rsidRPr="00DF5070">
        <w:rPr>
          <w:rFonts w:ascii="Times New Roman" w:hAnsi="Times New Roman"/>
          <w:i/>
          <w:iCs/>
        </w:rPr>
        <w:t>No</w:t>
      </w:r>
      <w:r w:rsidR="00682084" w:rsidRPr="00DF5070">
        <w:rPr>
          <w:rFonts w:ascii="Times New Roman" w:hAnsi="Times New Roman"/>
          <w:i/>
          <w:iCs/>
        </w:rPr>
        <w:t> </w:t>
      </w:r>
      <w:r w:rsidR="00580603" w:rsidRPr="00DF5070">
        <w:rPr>
          <w:rFonts w:ascii="Times New Roman" w:hAnsi="Times New Roman"/>
          <w:i/>
          <w:iCs/>
        </w:rPr>
        <w:t>2</w:t>
      </w:r>
      <w:r w:rsidR="00A90B77" w:rsidRPr="00DF5070">
        <w:rPr>
          <w:rFonts w:ascii="Times New Roman" w:hAnsi="Times New Roman"/>
          <w:i/>
          <w:iCs/>
        </w:rPr>
        <w:t>]</w:t>
      </w:r>
      <w:r w:rsidR="00580603" w:rsidRPr="00DF5070">
        <w:rPr>
          <w:rFonts w:ascii="Times New Roman" w:hAnsi="Times New Roman"/>
          <w:i/>
          <w:iCs/>
        </w:rPr>
        <w:t xml:space="preserve"> </w:t>
      </w:r>
      <w:r w:rsidR="00580603" w:rsidRPr="00DF5070">
        <w:rPr>
          <w:rFonts w:ascii="Times New Roman" w:hAnsi="Times New Roman"/>
        </w:rPr>
        <w:t>stands in the criminal law is that</w:t>
      </w:r>
      <w:r w:rsidR="009C642A" w:rsidRPr="00DF5070">
        <w:rPr>
          <w:rFonts w:ascii="Times New Roman" w:hAnsi="Times New Roman"/>
        </w:rPr>
        <w:t xml:space="preserve"> a sentence that is imposed with a view to protecting</w:t>
      </w:r>
      <w:r w:rsidR="00580603" w:rsidRPr="00DF5070">
        <w:rPr>
          <w:rFonts w:ascii="Times New Roman" w:hAnsi="Times New Roman"/>
        </w:rPr>
        <w:t xml:space="preserve"> the community from a criminal offender must not be disproportionate to the seriousness of the offending for which the offender is being sentenced</w:t>
      </w:r>
      <w:r w:rsidR="00580603" w:rsidRPr="00DF5070">
        <w:rPr>
          <w:rStyle w:val="FootnoteReference"/>
          <w:rFonts w:ascii="Times New Roman" w:hAnsi="Times New Roman"/>
          <w:sz w:val="24"/>
        </w:rPr>
        <w:footnoteReference w:id="66"/>
      </w:r>
      <w:r w:rsidR="00580603" w:rsidRPr="00DF5070">
        <w:rPr>
          <w:rFonts w:ascii="Times New Roman" w:hAnsi="Times New Roman"/>
        </w:rPr>
        <w:t>. That is because, in the criminal law, the purpose of retribution</w:t>
      </w:r>
      <w:r w:rsidR="0069193B" w:rsidRPr="00DF5070">
        <w:rPr>
          <w:rFonts w:ascii="Times New Roman" w:hAnsi="Times New Roman"/>
        </w:rPr>
        <w:t> </w:t>
      </w:r>
      <w:r w:rsidR="001769B2" w:rsidRPr="00DF5070">
        <w:rPr>
          <w:rFonts w:ascii="Times New Roman" w:hAnsi="Times New Roman"/>
        </w:rPr>
        <w:t>–</w:t>
      </w:r>
      <w:r w:rsidR="00580603" w:rsidRPr="00DF5070">
        <w:rPr>
          <w:rFonts w:ascii="Times New Roman" w:hAnsi="Times New Roman"/>
        </w:rPr>
        <w:t xml:space="preserve"> that is, imposing a punishment that fits the crime </w:t>
      </w:r>
      <w:r w:rsidR="001769B2" w:rsidRPr="00DF5070">
        <w:rPr>
          <w:rFonts w:ascii="Times New Roman" w:hAnsi="Times New Roman"/>
        </w:rPr>
        <w:t>and</w:t>
      </w:r>
      <w:r w:rsidR="00580603" w:rsidRPr="00DF5070">
        <w:rPr>
          <w:rFonts w:ascii="Times New Roman" w:hAnsi="Times New Roman"/>
        </w:rPr>
        <w:t xml:space="preserve"> is proper because it is what the offender deserves</w:t>
      </w:r>
      <w:r w:rsidR="0069193B" w:rsidRPr="00DF5070">
        <w:rPr>
          <w:rFonts w:ascii="Times New Roman" w:hAnsi="Times New Roman"/>
        </w:rPr>
        <w:t> </w:t>
      </w:r>
      <w:r w:rsidR="00580603" w:rsidRPr="00DF5070">
        <w:rPr>
          <w:rFonts w:ascii="Times New Roman" w:hAnsi="Times New Roman"/>
        </w:rPr>
        <w:t>– constrains the sentencing discretion</w:t>
      </w:r>
      <w:r w:rsidR="001769B2" w:rsidRPr="00DF5070">
        <w:rPr>
          <w:rStyle w:val="FootnoteReference"/>
          <w:rFonts w:ascii="Times New Roman" w:hAnsi="Times New Roman"/>
          <w:sz w:val="24"/>
        </w:rPr>
        <w:footnoteReference w:id="67"/>
      </w:r>
      <w:r w:rsidR="00580603" w:rsidRPr="00DF5070">
        <w:rPr>
          <w:rFonts w:ascii="Times New Roman" w:hAnsi="Times New Roman"/>
        </w:rPr>
        <w:t xml:space="preserve">. </w:t>
      </w:r>
      <w:r w:rsidR="00D003C3" w:rsidRPr="00DF5070">
        <w:rPr>
          <w:rFonts w:ascii="Times New Roman" w:hAnsi="Times New Roman"/>
        </w:rPr>
        <w:t xml:space="preserve">As noted above, it is </w:t>
      </w:r>
      <w:r w:rsidR="00EF2436" w:rsidRPr="00DF5070">
        <w:rPr>
          <w:rFonts w:ascii="Times New Roman" w:hAnsi="Times New Roman"/>
        </w:rPr>
        <w:t>well</w:t>
      </w:r>
      <w:r w:rsidR="00EF2436" w:rsidRPr="00DF5070">
        <w:rPr>
          <w:rFonts w:ascii="Times New Roman" w:hAnsi="Times New Roman"/>
        </w:rPr>
        <w:noBreakHyphen/>
        <w:t xml:space="preserve">settled that, in the civil penalty regime of the Act, </w:t>
      </w:r>
      <w:r w:rsidR="00E52874" w:rsidRPr="00DF5070">
        <w:rPr>
          <w:rFonts w:ascii="Times New Roman" w:hAnsi="Times New Roman"/>
        </w:rPr>
        <w:t xml:space="preserve">retribution has no </w:t>
      </w:r>
      <w:r w:rsidR="009C04D6" w:rsidRPr="00DF5070">
        <w:rPr>
          <w:rFonts w:ascii="Times New Roman" w:hAnsi="Times New Roman"/>
        </w:rPr>
        <w:t>part</w:t>
      </w:r>
      <w:r w:rsidR="00E52874" w:rsidRPr="00DF5070">
        <w:rPr>
          <w:rFonts w:ascii="Times New Roman" w:hAnsi="Times New Roman"/>
        </w:rPr>
        <w:t xml:space="preserve"> to play.</w:t>
      </w:r>
    </w:p>
    <w:p w14:paraId="335FFD11" w14:textId="5DD58C4D" w:rsidR="00B53AC9" w:rsidRPr="00DF5070" w:rsidRDefault="007A54E6"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D003C3" w:rsidRPr="00DF5070">
        <w:rPr>
          <w:rFonts w:ascii="Times New Roman" w:hAnsi="Times New Roman"/>
        </w:rPr>
        <w:t>Nothing</w:t>
      </w:r>
      <w:r w:rsidR="0036277F" w:rsidRPr="00DF5070">
        <w:rPr>
          <w:rFonts w:ascii="Times New Roman" w:hAnsi="Times New Roman"/>
        </w:rPr>
        <w:t xml:space="preserve"> in the text</w:t>
      </w:r>
      <w:r w:rsidR="00CB32CC" w:rsidRPr="00DF5070">
        <w:rPr>
          <w:rFonts w:ascii="Times New Roman" w:hAnsi="Times New Roman"/>
        </w:rPr>
        <w:t>,</w:t>
      </w:r>
      <w:r w:rsidR="0036277F" w:rsidRPr="00DF5070">
        <w:rPr>
          <w:rFonts w:ascii="Times New Roman" w:hAnsi="Times New Roman"/>
        </w:rPr>
        <w:t xml:space="preserve"> context or purpose of s 546 of the Act suggests that </w:t>
      </w:r>
      <w:r w:rsidR="00D003C3" w:rsidRPr="00DF5070">
        <w:rPr>
          <w:rFonts w:ascii="Times New Roman" w:hAnsi="Times New Roman"/>
        </w:rPr>
        <w:t>the Full Court's</w:t>
      </w:r>
      <w:r w:rsidR="00CB32CC" w:rsidRPr="00DF5070">
        <w:rPr>
          <w:rFonts w:ascii="Times New Roman" w:hAnsi="Times New Roman"/>
        </w:rPr>
        <w:t xml:space="preserve"> </w:t>
      </w:r>
      <w:r w:rsidR="0036277F" w:rsidRPr="00DF5070">
        <w:rPr>
          <w:rFonts w:ascii="Times New Roman" w:hAnsi="Times New Roman"/>
        </w:rPr>
        <w:t xml:space="preserve">"notion of proportionality" </w:t>
      </w:r>
      <w:r w:rsidR="00CB32CC" w:rsidRPr="00DF5070">
        <w:rPr>
          <w:rFonts w:ascii="Times New Roman" w:hAnsi="Times New Roman"/>
        </w:rPr>
        <w:t xml:space="preserve">inheres </w:t>
      </w:r>
      <w:r w:rsidR="00153C2D" w:rsidRPr="00DF5070">
        <w:rPr>
          <w:rFonts w:ascii="Times New Roman" w:hAnsi="Times New Roman"/>
        </w:rPr>
        <w:t xml:space="preserve">in the </w:t>
      </w:r>
      <w:r w:rsidR="00F13182" w:rsidRPr="00DF5070">
        <w:rPr>
          <w:rFonts w:ascii="Times New Roman" w:hAnsi="Times New Roman"/>
        </w:rPr>
        <w:t>c</w:t>
      </w:r>
      <w:r w:rsidR="00153C2D" w:rsidRPr="00DF5070">
        <w:rPr>
          <w:rFonts w:ascii="Times New Roman" w:hAnsi="Times New Roman"/>
        </w:rPr>
        <w:t xml:space="preserve">ourt's task, pursuant to s 546, </w:t>
      </w:r>
      <w:r w:rsidR="0036277F" w:rsidRPr="00DF5070">
        <w:rPr>
          <w:rFonts w:ascii="Times New Roman" w:hAnsi="Times New Roman"/>
        </w:rPr>
        <w:t xml:space="preserve">to fix </w:t>
      </w:r>
      <w:r w:rsidR="00153C2D" w:rsidRPr="00DF5070">
        <w:rPr>
          <w:rFonts w:ascii="Times New Roman" w:hAnsi="Times New Roman"/>
        </w:rPr>
        <w:t xml:space="preserve">a penalty which it considers to be </w:t>
      </w:r>
      <w:r w:rsidR="0036277F" w:rsidRPr="00DF5070">
        <w:rPr>
          <w:rFonts w:ascii="Times New Roman" w:hAnsi="Times New Roman"/>
        </w:rPr>
        <w:t xml:space="preserve">an </w:t>
      </w:r>
      <w:r w:rsidR="00153C2D" w:rsidRPr="00DF5070">
        <w:rPr>
          <w:rFonts w:ascii="Times New Roman" w:hAnsi="Times New Roman"/>
        </w:rPr>
        <w:t>"</w:t>
      </w:r>
      <w:r w:rsidR="0036277F" w:rsidRPr="00DF5070">
        <w:rPr>
          <w:rFonts w:ascii="Times New Roman" w:hAnsi="Times New Roman"/>
        </w:rPr>
        <w:t>appropriate</w:t>
      </w:r>
      <w:r w:rsidR="00153C2D" w:rsidRPr="00DF5070">
        <w:rPr>
          <w:rFonts w:ascii="Times New Roman" w:hAnsi="Times New Roman"/>
        </w:rPr>
        <w:t>"</w:t>
      </w:r>
      <w:r w:rsidR="0036277F" w:rsidRPr="00DF5070">
        <w:rPr>
          <w:rFonts w:ascii="Times New Roman" w:hAnsi="Times New Roman"/>
        </w:rPr>
        <w:t xml:space="preserve"> penalty. </w:t>
      </w:r>
      <w:r w:rsidR="00B53AC9" w:rsidRPr="00DF5070">
        <w:rPr>
          <w:rFonts w:ascii="Times New Roman" w:hAnsi="Times New Roman"/>
        </w:rPr>
        <w:t>The discretion conferred by s 546 is, like any discretionary power conferred by statute on a court, to be exercised judicially</w:t>
      </w:r>
      <w:r w:rsidR="00066DDA" w:rsidRPr="00DF5070">
        <w:rPr>
          <w:rFonts w:ascii="Times New Roman" w:hAnsi="Times New Roman"/>
        </w:rPr>
        <w:t xml:space="preserve">, that is, </w:t>
      </w:r>
      <w:r w:rsidR="00B53AC9" w:rsidRPr="00DF5070">
        <w:rPr>
          <w:rFonts w:ascii="Times New Roman" w:hAnsi="Times New Roman"/>
        </w:rPr>
        <w:t>fairly and reasonably</w:t>
      </w:r>
      <w:r w:rsidR="00B53AC9" w:rsidRPr="00DF5070">
        <w:rPr>
          <w:rStyle w:val="FootnoteReference"/>
          <w:rFonts w:ascii="Times New Roman" w:hAnsi="Times New Roman"/>
          <w:sz w:val="24"/>
        </w:rPr>
        <w:footnoteReference w:id="68"/>
      </w:r>
      <w:r w:rsidR="00B53AC9" w:rsidRPr="00DF5070">
        <w:rPr>
          <w:rFonts w:ascii="Times New Roman" w:hAnsi="Times New Roman"/>
        </w:rPr>
        <w:t xml:space="preserve"> having regard to the subject matter, scope and purpose of the legislation</w:t>
      </w:r>
      <w:r w:rsidR="00B53AC9" w:rsidRPr="00DF5070">
        <w:rPr>
          <w:rStyle w:val="FootnoteReference"/>
          <w:rFonts w:ascii="Times New Roman" w:hAnsi="Times New Roman"/>
          <w:sz w:val="24"/>
        </w:rPr>
        <w:footnoteReference w:id="69"/>
      </w:r>
      <w:r w:rsidR="00B53AC9" w:rsidRPr="00DF5070">
        <w:rPr>
          <w:rFonts w:ascii="Times New Roman" w:hAnsi="Times New Roman"/>
        </w:rPr>
        <w:t xml:space="preserve">. In </w:t>
      </w:r>
      <w:r w:rsidR="00234C5A" w:rsidRPr="00DF5070">
        <w:rPr>
          <w:rFonts w:ascii="Times New Roman" w:hAnsi="Times New Roman"/>
        </w:rPr>
        <w:t>a civil penalty context, Burchett and Kiefel JJ</w:t>
      </w:r>
      <w:r w:rsidR="00B53AC9" w:rsidRPr="00DF5070">
        <w:rPr>
          <w:rFonts w:ascii="Times New Roman" w:hAnsi="Times New Roman"/>
        </w:rPr>
        <w:t xml:space="preserve"> in </w:t>
      </w:r>
      <w:r w:rsidR="00B53AC9" w:rsidRPr="00DF5070">
        <w:rPr>
          <w:rFonts w:ascii="Times New Roman" w:hAnsi="Times New Roman"/>
          <w:i/>
          <w:iCs/>
        </w:rPr>
        <w:t>NW Frozen Foods Pty Ltd v Australian Competition and Consumer Commission</w:t>
      </w:r>
      <w:r w:rsidR="00B53AC9" w:rsidRPr="00DF5070">
        <w:rPr>
          <w:rStyle w:val="FootnoteReference"/>
          <w:rFonts w:ascii="Times New Roman" w:hAnsi="Times New Roman"/>
          <w:iCs/>
          <w:sz w:val="24"/>
        </w:rPr>
        <w:footnoteReference w:id="70"/>
      </w:r>
      <w:r w:rsidR="00B53AC9" w:rsidRPr="00DF5070">
        <w:rPr>
          <w:rFonts w:ascii="Times New Roman" w:hAnsi="Times New Roman"/>
        </w:rPr>
        <w:t xml:space="preserve"> said:</w:t>
      </w:r>
    </w:p>
    <w:p w14:paraId="0AFA4C64" w14:textId="77777777" w:rsidR="00DF5070" w:rsidRDefault="00B53AC9" w:rsidP="00DF5070">
      <w:pPr>
        <w:pStyle w:val="LeftrightafterHC"/>
        <w:spacing w:before="0" w:after="260" w:line="280" w:lineRule="exact"/>
        <w:ind w:right="0"/>
        <w:jc w:val="both"/>
        <w:rPr>
          <w:rFonts w:ascii="Times New Roman" w:hAnsi="Times New Roman"/>
        </w:rPr>
      </w:pPr>
      <w:r w:rsidRPr="00DF5070">
        <w:rPr>
          <w:rFonts w:ascii="Times New Roman" w:hAnsi="Times New Roman"/>
        </w:rPr>
        <w:t>"[I]</w:t>
      </w:r>
      <w:proofErr w:type="spellStart"/>
      <w:r w:rsidR="003869FC" w:rsidRPr="00DF5070">
        <w:rPr>
          <w:rFonts w:ascii="Times New Roman" w:hAnsi="Times New Roman"/>
        </w:rPr>
        <w:t>n</w:t>
      </w:r>
      <w:r w:rsidRPr="00DF5070">
        <w:rPr>
          <w:rFonts w:ascii="Times New Roman" w:hAnsi="Times New Roman"/>
        </w:rPr>
        <w:t>sistence</w:t>
      </w:r>
      <w:proofErr w:type="spellEnd"/>
      <w:r w:rsidRPr="00DF5070">
        <w:rPr>
          <w:rFonts w:ascii="Times New Roman" w:hAnsi="Times New Roman"/>
        </w:rPr>
        <w:t xml:space="preserve"> upon the deterrent quality of a penalty should be balanced by insistence that it 'not be so high as to be oppressive'. Plainly</w:t>
      </w:r>
      <w:r w:rsidR="00234C5A" w:rsidRPr="00DF5070">
        <w:rPr>
          <w:rFonts w:ascii="Times New Roman" w:hAnsi="Times New Roman"/>
        </w:rPr>
        <w:t>,</w:t>
      </w:r>
      <w:r w:rsidRPr="00DF5070">
        <w:rPr>
          <w:rFonts w:ascii="Times New Roman" w:hAnsi="Times New Roman"/>
        </w:rPr>
        <w:t xml:space="preserve"> if deterrence is the object, the penalty should not be greater than is necessary to achieve this object; severity beyond that would be oppression."</w:t>
      </w:r>
    </w:p>
    <w:p w14:paraId="04667ABC" w14:textId="3D6FF442" w:rsidR="00B53AC9" w:rsidRPr="00DF5070" w:rsidRDefault="00B53AC9"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8F2F9B" w:rsidRPr="00DF5070">
        <w:rPr>
          <w:rFonts w:ascii="Times New Roman" w:hAnsi="Times New Roman"/>
        </w:rPr>
        <w:t xml:space="preserve">It may </w:t>
      </w:r>
      <w:r w:rsidR="00091DB4" w:rsidRPr="00DF5070">
        <w:rPr>
          <w:rFonts w:ascii="Times New Roman" w:hAnsi="Times New Roman"/>
        </w:rPr>
        <w:t xml:space="preserve">therefore </w:t>
      </w:r>
      <w:r w:rsidR="008F2F9B" w:rsidRPr="00DF5070">
        <w:rPr>
          <w:rFonts w:ascii="Times New Roman" w:hAnsi="Times New Roman"/>
        </w:rPr>
        <w:t xml:space="preserve">be accepted that s 546 requires the court to ensure that the penalty it imposes is </w:t>
      </w:r>
      <w:r w:rsidRPr="00DF5070">
        <w:rPr>
          <w:rFonts w:ascii="Times New Roman" w:hAnsi="Times New Roman"/>
        </w:rPr>
        <w:t>"proportionate"</w:t>
      </w:r>
      <w:r w:rsidR="009C04D6" w:rsidRPr="00DF5070">
        <w:rPr>
          <w:rFonts w:ascii="Times New Roman" w:hAnsi="Times New Roman"/>
        </w:rPr>
        <w:t>,</w:t>
      </w:r>
      <w:r w:rsidRPr="00DF5070">
        <w:rPr>
          <w:rFonts w:ascii="Times New Roman" w:hAnsi="Times New Roman"/>
        </w:rPr>
        <w:t xml:space="preserve"> </w:t>
      </w:r>
      <w:r w:rsidR="008F2F9B" w:rsidRPr="00DF5070">
        <w:rPr>
          <w:rFonts w:ascii="Times New Roman" w:hAnsi="Times New Roman"/>
        </w:rPr>
        <w:t>where that term is understood to refer to</w:t>
      </w:r>
      <w:r w:rsidRPr="00DF5070">
        <w:rPr>
          <w:rFonts w:ascii="Times New Roman" w:hAnsi="Times New Roman"/>
        </w:rPr>
        <w:t xml:space="preserve"> a penalty that </w:t>
      </w:r>
      <w:r w:rsidR="008F2F9B" w:rsidRPr="00DF5070">
        <w:rPr>
          <w:rFonts w:ascii="Times New Roman" w:hAnsi="Times New Roman"/>
        </w:rPr>
        <w:t>strikes</w:t>
      </w:r>
      <w:r w:rsidRPr="00DF5070">
        <w:rPr>
          <w:rFonts w:ascii="Times New Roman" w:hAnsi="Times New Roman"/>
        </w:rPr>
        <w:t xml:space="preserve"> a reasonable balance between deterrence and oppressive severity. </w:t>
      </w:r>
      <w:r w:rsidR="00DD5C82" w:rsidRPr="00DF5070">
        <w:rPr>
          <w:rFonts w:ascii="Times New Roman" w:hAnsi="Times New Roman"/>
        </w:rPr>
        <w:t xml:space="preserve">It is in this sense that the Full Court </w:t>
      </w:r>
      <w:r w:rsidRPr="00DF5070">
        <w:rPr>
          <w:rFonts w:ascii="Times New Roman" w:hAnsi="Times New Roman"/>
        </w:rPr>
        <w:t xml:space="preserve">in </w:t>
      </w:r>
      <w:r w:rsidRPr="00DF5070">
        <w:rPr>
          <w:rFonts w:ascii="Times New Roman" w:hAnsi="Times New Roman"/>
          <w:i/>
          <w:iCs/>
        </w:rPr>
        <w:t xml:space="preserve">Australian Competition and </w:t>
      </w:r>
      <w:r w:rsidRPr="00DF5070">
        <w:rPr>
          <w:rFonts w:ascii="Times New Roman" w:hAnsi="Times New Roman"/>
          <w:i/>
          <w:iCs/>
        </w:rPr>
        <w:lastRenderedPageBreak/>
        <w:t>Consumer Commission v Reckitt Benckiser (Australia) Pty Ltd</w:t>
      </w:r>
      <w:r w:rsidRPr="00DF5070">
        <w:rPr>
          <w:rStyle w:val="FootnoteReference"/>
          <w:rFonts w:ascii="Times New Roman" w:hAnsi="Times New Roman"/>
          <w:iCs/>
          <w:sz w:val="24"/>
        </w:rPr>
        <w:footnoteReference w:id="71"/>
      </w:r>
      <w:r w:rsidRPr="00DF5070">
        <w:rPr>
          <w:rFonts w:ascii="Times New Roman" w:hAnsi="Times New Roman"/>
        </w:rPr>
        <w:t xml:space="preserve"> </w:t>
      </w:r>
      <w:r w:rsidR="00DD5C82" w:rsidRPr="00DF5070">
        <w:rPr>
          <w:rFonts w:ascii="Times New Roman" w:hAnsi="Times New Roman"/>
        </w:rPr>
        <w:t xml:space="preserve">used the term "proportionality", when their Honours </w:t>
      </w:r>
      <w:r w:rsidRPr="00DF5070">
        <w:rPr>
          <w:rFonts w:ascii="Times New Roman" w:hAnsi="Times New Roman"/>
        </w:rPr>
        <w:t>said:</w:t>
      </w:r>
    </w:p>
    <w:p w14:paraId="0A26B97C" w14:textId="77777777" w:rsidR="00DF5070" w:rsidRDefault="00B53AC9" w:rsidP="00DF5070">
      <w:pPr>
        <w:pStyle w:val="LeftrightafterHC"/>
        <w:spacing w:before="0" w:after="260" w:line="280" w:lineRule="exact"/>
        <w:ind w:right="0"/>
        <w:jc w:val="both"/>
        <w:rPr>
          <w:rFonts w:ascii="Times New Roman" w:hAnsi="Times New Roman"/>
        </w:rPr>
      </w:pPr>
      <w:r w:rsidRPr="00DF5070">
        <w:rPr>
          <w:rFonts w:ascii="Times New Roman" w:hAnsi="Times New Roman"/>
        </w:rPr>
        <w:t>"</w:t>
      </w:r>
      <w:r w:rsidR="00DD5C82" w:rsidRPr="00DF5070">
        <w:rPr>
          <w:rFonts w:ascii="Times New Roman" w:hAnsi="Times New Roman"/>
        </w:rPr>
        <w:t>I</w:t>
      </w:r>
      <w:r w:rsidRPr="00DF5070">
        <w:rPr>
          <w:rFonts w:ascii="Times New Roman" w:hAnsi="Times New Roman"/>
        </w:rPr>
        <w:t xml:space="preserve">f it costs more to obey the law than to breach it, a failure to sanction contraventions adequately de facto punishes all who do the right thing. It is therefore important that those who do comply see that those who do not are dealt with appropriately. This is, in a sense, the other side of deterrence, being a dimension of the general deterrence equation. </w:t>
      </w:r>
      <w:r w:rsidRPr="00DF5070">
        <w:rPr>
          <w:rFonts w:ascii="Times New Roman" w:hAnsi="Times New Roman"/>
          <w:i/>
        </w:rPr>
        <w:t>This is not to give licence to impose a disproportionate or oppressive penalty, which cannot be done, but rather to recognise that proportionality of penalty is measured in the wider context of the demands of effective deterrence and encouraging the corresponding virtue of voluntary compliance</w:t>
      </w:r>
      <w:r w:rsidRPr="00DF5070">
        <w:rPr>
          <w:rFonts w:ascii="Times New Roman" w:hAnsi="Times New Roman"/>
        </w:rPr>
        <w:t>."</w:t>
      </w:r>
      <w:r w:rsidR="00DD5C82" w:rsidRPr="00DF5070">
        <w:rPr>
          <w:rFonts w:ascii="Times New Roman" w:hAnsi="Times New Roman"/>
        </w:rPr>
        <w:t xml:space="preserve"> (emphasis added)</w:t>
      </w:r>
    </w:p>
    <w:p w14:paraId="7C3776B4" w14:textId="11CD4041" w:rsidR="00E27476" w:rsidRPr="00DF5070" w:rsidRDefault="008F2F9B"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However, </w:t>
      </w:r>
      <w:r w:rsidR="00C84774" w:rsidRPr="00DF5070">
        <w:rPr>
          <w:rFonts w:ascii="Times New Roman" w:hAnsi="Times New Roman"/>
        </w:rPr>
        <w:t xml:space="preserve">the Full Court's "notion of proportionality" derived from </w:t>
      </w:r>
      <w:r w:rsidR="00925E85" w:rsidRPr="00DF5070">
        <w:rPr>
          <w:rFonts w:ascii="Times New Roman" w:hAnsi="Times New Roman"/>
          <w:i/>
        </w:rPr>
        <w:t>Veen </w:t>
      </w:r>
      <w:r w:rsidR="00A90B77" w:rsidRPr="00DF5070">
        <w:rPr>
          <w:rFonts w:ascii="Times New Roman" w:hAnsi="Times New Roman"/>
          <w:i/>
        </w:rPr>
        <w:t>[</w:t>
      </w:r>
      <w:r w:rsidR="00925E85" w:rsidRPr="00DF5070">
        <w:rPr>
          <w:rFonts w:ascii="Times New Roman" w:hAnsi="Times New Roman"/>
          <w:i/>
        </w:rPr>
        <w:t>No 2</w:t>
      </w:r>
      <w:r w:rsidR="00A90B77" w:rsidRPr="00DF5070">
        <w:rPr>
          <w:rFonts w:ascii="Times New Roman" w:hAnsi="Times New Roman"/>
          <w:i/>
        </w:rPr>
        <w:t>]</w:t>
      </w:r>
      <w:r w:rsidR="00925E85" w:rsidRPr="00DF5070">
        <w:rPr>
          <w:rFonts w:ascii="Times New Roman" w:hAnsi="Times New Roman"/>
        </w:rPr>
        <w:t xml:space="preserve"> </w:t>
      </w:r>
      <w:r w:rsidR="00CE3758" w:rsidRPr="00DF5070">
        <w:rPr>
          <w:rFonts w:ascii="Times New Roman" w:hAnsi="Times New Roman"/>
        </w:rPr>
        <w:t>is something quite different</w:t>
      </w:r>
      <w:r w:rsidR="00DD5C82" w:rsidRPr="00DF5070">
        <w:rPr>
          <w:rFonts w:ascii="Times New Roman" w:hAnsi="Times New Roman"/>
        </w:rPr>
        <w:t>.</w:t>
      </w:r>
      <w:r w:rsidR="00153DD4" w:rsidRPr="00DF5070">
        <w:rPr>
          <w:rFonts w:ascii="Times New Roman" w:hAnsi="Times New Roman"/>
        </w:rPr>
        <w:t xml:space="preserve"> </w:t>
      </w:r>
      <w:r w:rsidR="00DD5C82" w:rsidRPr="00DF5070">
        <w:rPr>
          <w:rFonts w:ascii="Times New Roman" w:hAnsi="Times New Roman"/>
        </w:rPr>
        <w:t xml:space="preserve">That notion </w:t>
      </w:r>
      <w:r w:rsidR="0036277F" w:rsidRPr="00DF5070">
        <w:rPr>
          <w:rFonts w:ascii="Times New Roman" w:hAnsi="Times New Roman"/>
        </w:rPr>
        <w:t xml:space="preserve">cannot be reconciled with the decisive </w:t>
      </w:r>
      <w:r w:rsidR="00370A74" w:rsidRPr="00DF5070">
        <w:rPr>
          <w:rFonts w:ascii="Times New Roman" w:hAnsi="Times New Roman"/>
        </w:rPr>
        <w:t xml:space="preserve">statements </w:t>
      </w:r>
      <w:r w:rsidR="0036277F" w:rsidRPr="00DF5070">
        <w:rPr>
          <w:rFonts w:ascii="Times New Roman" w:hAnsi="Times New Roman"/>
        </w:rPr>
        <w:t xml:space="preserve">in the </w:t>
      </w:r>
      <w:r w:rsidR="0036277F" w:rsidRPr="00DF5070">
        <w:rPr>
          <w:rFonts w:ascii="Times New Roman" w:hAnsi="Times New Roman"/>
          <w:i/>
        </w:rPr>
        <w:t xml:space="preserve">Agreed Penalties Case </w:t>
      </w:r>
      <w:r w:rsidR="00370A74" w:rsidRPr="00DF5070">
        <w:rPr>
          <w:rFonts w:ascii="Times New Roman" w:hAnsi="Times New Roman"/>
        </w:rPr>
        <w:t xml:space="preserve">that civil penalties are not retributive, but rather are protective of the </w:t>
      </w:r>
      <w:r w:rsidR="009C04D6" w:rsidRPr="00DF5070">
        <w:rPr>
          <w:rFonts w:ascii="Times New Roman" w:hAnsi="Times New Roman"/>
        </w:rPr>
        <w:t>public interest</w:t>
      </w:r>
      <w:r w:rsidR="00370A74" w:rsidRPr="00DF5070">
        <w:rPr>
          <w:rFonts w:ascii="Times New Roman" w:hAnsi="Times New Roman"/>
        </w:rPr>
        <w:t xml:space="preserve"> in that they aim to secure compliance by deterring repeat contraventions</w:t>
      </w:r>
      <w:r w:rsidR="00370A74" w:rsidRPr="00DF5070">
        <w:rPr>
          <w:rStyle w:val="FootnoteReference"/>
          <w:rFonts w:ascii="Times New Roman" w:hAnsi="Times New Roman"/>
          <w:sz w:val="24"/>
        </w:rPr>
        <w:footnoteReference w:id="72"/>
      </w:r>
      <w:r w:rsidR="0036277F" w:rsidRPr="00DF5070">
        <w:rPr>
          <w:rFonts w:ascii="Times New Roman" w:hAnsi="Times New Roman"/>
        </w:rPr>
        <w:t xml:space="preserve">. </w:t>
      </w:r>
      <w:r w:rsidR="00E57BB0" w:rsidRPr="00DF5070">
        <w:rPr>
          <w:rFonts w:ascii="Times New Roman" w:hAnsi="Times New Roman"/>
        </w:rPr>
        <w:t xml:space="preserve">To introduce considerations </w:t>
      </w:r>
      <w:r w:rsidR="001B5760" w:rsidRPr="00DF5070">
        <w:rPr>
          <w:rFonts w:ascii="Times New Roman" w:hAnsi="Times New Roman"/>
        </w:rPr>
        <w:t xml:space="preserve">drawn from theories of retributive justice </w:t>
      </w:r>
      <w:r w:rsidR="00E57BB0" w:rsidRPr="00DF5070">
        <w:rPr>
          <w:rFonts w:ascii="Times New Roman" w:hAnsi="Times New Roman"/>
        </w:rPr>
        <w:t xml:space="preserve">into the application of s 546 of the Act undermines the primary significance of deterrence. </w:t>
      </w:r>
    </w:p>
    <w:p w14:paraId="680159BA" w14:textId="06899967" w:rsidR="00E27476" w:rsidRPr="00DF5070" w:rsidRDefault="00E27476"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That the Full Court's approach in this case </w:t>
      </w:r>
      <w:r w:rsidR="00E13460" w:rsidRPr="00DF5070">
        <w:rPr>
          <w:rFonts w:ascii="Times New Roman" w:hAnsi="Times New Roman"/>
        </w:rPr>
        <w:t>is</w:t>
      </w:r>
      <w:r w:rsidRPr="00DF5070">
        <w:rPr>
          <w:rFonts w:ascii="Times New Roman" w:hAnsi="Times New Roman"/>
        </w:rPr>
        <w:t xml:space="preserve"> apt to undermine the primacy of deterrence as the objective of</w:t>
      </w:r>
      <w:r w:rsidR="00E13460" w:rsidRPr="00DF5070">
        <w:rPr>
          <w:rFonts w:ascii="Times New Roman" w:hAnsi="Times New Roman"/>
        </w:rPr>
        <w:t xml:space="preserve"> the</w:t>
      </w:r>
      <w:r w:rsidRPr="00DF5070">
        <w:rPr>
          <w:rFonts w:ascii="Times New Roman" w:hAnsi="Times New Roman"/>
        </w:rPr>
        <w:t xml:space="preserve"> civil penalty regime</w:t>
      </w:r>
      <w:r w:rsidR="006158A6" w:rsidRPr="00DF5070">
        <w:rPr>
          <w:rFonts w:ascii="Times New Roman" w:hAnsi="Times New Roman"/>
        </w:rPr>
        <w:t xml:space="preserve"> in the Act</w:t>
      </w:r>
      <w:r w:rsidRPr="00DF5070">
        <w:rPr>
          <w:rFonts w:ascii="Times New Roman" w:hAnsi="Times New Roman"/>
        </w:rPr>
        <w:t xml:space="preserve"> is amply demonstrated once regard is had to the failure of previous penalties to have any deterrent effect on the CFMMEU's repeated contraventions of s 349</w:t>
      </w:r>
      <w:r w:rsidR="007159ED" w:rsidRPr="00DF5070">
        <w:rPr>
          <w:rFonts w:ascii="Times New Roman" w:hAnsi="Times New Roman"/>
        </w:rPr>
        <w:t>(1)</w:t>
      </w:r>
      <w:r w:rsidR="00034760" w:rsidRPr="00DF5070">
        <w:rPr>
          <w:rFonts w:ascii="Times New Roman" w:hAnsi="Times New Roman"/>
        </w:rPr>
        <w:t xml:space="preserve"> of the Act</w:t>
      </w:r>
      <w:r w:rsidRPr="00DF5070">
        <w:rPr>
          <w:rFonts w:ascii="Times New Roman" w:hAnsi="Times New Roman"/>
        </w:rPr>
        <w:t xml:space="preserve">. </w:t>
      </w:r>
      <w:r w:rsidR="00034760" w:rsidRPr="00DF5070">
        <w:rPr>
          <w:rFonts w:ascii="Times New Roman" w:hAnsi="Times New Roman"/>
        </w:rPr>
        <w:t xml:space="preserve">The circumstance that the CFMMEU has continued to breach </w:t>
      </w:r>
      <w:r w:rsidRPr="00DF5070">
        <w:rPr>
          <w:rFonts w:ascii="Times New Roman" w:hAnsi="Times New Roman"/>
        </w:rPr>
        <w:t>s 349</w:t>
      </w:r>
      <w:r w:rsidR="007159ED" w:rsidRPr="00DF5070">
        <w:rPr>
          <w:rFonts w:ascii="Times New Roman" w:hAnsi="Times New Roman"/>
        </w:rPr>
        <w:t>(1)</w:t>
      </w:r>
      <w:r w:rsidR="00034760" w:rsidRPr="00DF5070">
        <w:rPr>
          <w:rFonts w:ascii="Times New Roman" w:hAnsi="Times New Roman"/>
        </w:rPr>
        <w:t xml:space="preserve">, </w:t>
      </w:r>
      <w:r w:rsidRPr="00DF5070">
        <w:rPr>
          <w:rFonts w:ascii="Times New Roman" w:hAnsi="Times New Roman"/>
        </w:rPr>
        <w:t xml:space="preserve">steadfastly resistant to </w:t>
      </w:r>
      <w:r w:rsidR="00034760" w:rsidRPr="00DF5070">
        <w:rPr>
          <w:rFonts w:ascii="Times New Roman" w:hAnsi="Times New Roman"/>
        </w:rPr>
        <w:t xml:space="preserve">previous </w:t>
      </w:r>
      <w:r w:rsidRPr="00DF5070">
        <w:rPr>
          <w:rFonts w:ascii="Times New Roman" w:hAnsi="Times New Roman"/>
        </w:rPr>
        <w:t>attempts to enforce compliance by civil penalties fixed at less than the permitted maximum</w:t>
      </w:r>
      <w:r w:rsidR="00034760" w:rsidRPr="00DF5070">
        <w:rPr>
          <w:rFonts w:ascii="Times New Roman" w:hAnsi="Times New Roman"/>
        </w:rPr>
        <w:t>,</w:t>
      </w:r>
      <w:r w:rsidRPr="00DF5070">
        <w:rPr>
          <w:rFonts w:ascii="Times New Roman" w:hAnsi="Times New Roman"/>
        </w:rPr>
        <w:t xml:space="preserve"> </w:t>
      </w:r>
      <w:r w:rsidR="00034760" w:rsidRPr="00DF5070">
        <w:rPr>
          <w:rFonts w:ascii="Times New Roman" w:hAnsi="Times New Roman"/>
        </w:rPr>
        <w:t xml:space="preserve">is </w:t>
      </w:r>
      <w:r w:rsidRPr="00DF5070">
        <w:rPr>
          <w:rFonts w:ascii="Times New Roman" w:hAnsi="Times New Roman"/>
        </w:rPr>
        <w:t xml:space="preserve">a compelling indication that the penalties previously imposed have not been taken seriously because they were insufficient to outweigh the benefits flowing </w:t>
      </w:r>
      <w:r w:rsidR="00FC5739" w:rsidRPr="00DF5070">
        <w:rPr>
          <w:rFonts w:ascii="Times New Roman" w:hAnsi="Times New Roman"/>
        </w:rPr>
        <w:t xml:space="preserve">unlawfully to the </w:t>
      </w:r>
      <w:proofErr w:type="spellStart"/>
      <w:r w:rsidR="00FC5739" w:rsidRPr="00DF5070">
        <w:rPr>
          <w:rFonts w:ascii="Times New Roman" w:hAnsi="Times New Roman"/>
        </w:rPr>
        <w:t>contravenor</w:t>
      </w:r>
      <w:proofErr w:type="spellEnd"/>
      <w:r w:rsidR="00FC5739" w:rsidRPr="00DF5070">
        <w:rPr>
          <w:rFonts w:ascii="Times New Roman" w:hAnsi="Times New Roman"/>
        </w:rPr>
        <w:t xml:space="preserve"> </w:t>
      </w:r>
      <w:r w:rsidRPr="00DF5070">
        <w:rPr>
          <w:rFonts w:ascii="Times New Roman" w:hAnsi="Times New Roman"/>
        </w:rPr>
        <w:t xml:space="preserve">from adherence to the </w:t>
      </w:r>
      <w:r w:rsidR="00694CCB" w:rsidRPr="00DF5070">
        <w:rPr>
          <w:rFonts w:ascii="Times New Roman" w:hAnsi="Times New Roman"/>
        </w:rPr>
        <w:t>"no ticket</w:t>
      </w:r>
      <w:r w:rsidR="001C1519" w:rsidRPr="00DF5070">
        <w:rPr>
          <w:rFonts w:ascii="Times New Roman" w:hAnsi="Times New Roman"/>
        </w:rPr>
        <w:t>,</w:t>
      </w:r>
      <w:r w:rsidR="00694CCB" w:rsidRPr="00DF5070">
        <w:rPr>
          <w:rFonts w:ascii="Times New Roman" w:hAnsi="Times New Roman"/>
        </w:rPr>
        <w:t xml:space="preserve"> no start" </w:t>
      </w:r>
      <w:r w:rsidRPr="00DF5070">
        <w:rPr>
          <w:rFonts w:ascii="Times New Roman" w:hAnsi="Times New Roman"/>
        </w:rPr>
        <w:t xml:space="preserve">policy. </w:t>
      </w:r>
      <w:r w:rsidR="00034760" w:rsidRPr="00DF5070">
        <w:rPr>
          <w:rFonts w:ascii="Times New Roman" w:hAnsi="Times New Roman"/>
        </w:rPr>
        <w:t xml:space="preserve">To the contrary, the </w:t>
      </w:r>
      <w:r w:rsidRPr="00DF5070">
        <w:rPr>
          <w:rFonts w:ascii="Times New Roman" w:hAnsi="Times New Roman"/>
        </w:rPr>
        <w:t xml:space="preserve">CFMMEU's continuing </w:t>
      </w:r>
      <w:r w:rsidRPr="00DF5070">
        <w:rPr>
          <w:rFonts w:ascii="Times New Roman" w:hAnsi="Times New Roman"/>
        </w:rPr>
        <w:lastRenderedPageBreak/>
        <w:t xml:space="preserve">defiance of s 349(1) indicates that </w:t>
      </w:r>
      <w:r w:rsidR="004B07C1" w:rsidRPr="00DF5070">
        <w:rPr>
          <w:rFonts w:ascii="Times New Roman" w:hAnsi="Times New Roman"/>
        </w:rPr>
        <w:t>it</w:t>
      </w:r>
      <w:r w:rsidRPr="00DF5070">
        <w:rPr>
          <w:rFonts w:ascii="Times New Roman" w:hAnsi="Times New Roman"/>
        </w:rPr>
        <w:t xml:space="preserve"> regards the penalties previously imposed as an "acceptable cost of doing business"</w:t>
      </w:r>
      <w:r w:rsidRPr="00DF5070">
        <w:rPr>
          <w:rStyle w:val="FootnoteReference"/>
          <w:rFonts w:ascii="Times New Roman" w:hAnsi="Times New Roman"/>
          <w:sz w:val="24"/>
        </w:rPr>
        <w:footnoteReference w:id="73"/>
      </w:r>
      <w:r w:rsidRPr="00DF5070">
        <w:rPr>
          <w:rFonts w:ascii="Times New Roman" w:hAnsi="Times New Roman"/>
        </w:rPr>
        <w:t>.</w:t>
      </w:r>
    </w:p>
    <w:p w14:paraId="4555AFC2" w14:textId="1CC85548" w:rsidR="002450C0" w:rsidRPr="00DF5070" w:rsidRDefault="002450C0" w:rsidP="00DF5070">
      <w:pPr>
        <w:pStyle w:val="HeadingL2"/>
        <w:spacing w:after="260" w:line="280" w:lineRule="exact"/>
        <w:ind w:right="0"/>
        <w:jc w:val="both"/>
        <w:rPr>
          <w:rFonts w:ascii="Times New Roman" w:hAnsi="Times New Roman"/>
        </w:rPr>
      </w:pPr>
      <w:r w:rsidRPr="00DF5070">
        <w:rPr>
          <w:rFonts w:ascii="Times New Roman" w:hAnsi="Times New Roman"/>
        </w:rPr>
        <w:t>Adoption of factors from criminal sentencing</w:t>
      </w:r>
    </w:p>
    <w:p w14:paraId="27CEECC5" w14:textId="4372E1FF" w:rsidR="000F100C" w:rsidRPr="00DF5070" w:rsidRDefault="000F100C" w:rsidP="00DF5070">
      <w:pPr>
        <w:pStyle w:val="FixListStyle"/>
        <w:spacing w:after="260" w:line="280" w:lineRule="exact"/>
        <w:ind w:right="0"/>
        <w:jc w:val="both"/>
        <w:rPr>
          <w:rFonts w:ascii="Times New Roman" w:hAnsi="Times New Roman"/>
        </w:rPr>
      </w:pPr>
      <w:r w:rsidRPr="00DF5070">
        <w:rPr>
          <w:rFonts w:ascii="Times New Roman" w:hAnsi="Times New Roman"/>
        </w:rPr>
        <w:tab/>
        <w:t>The CFMMEU submitted that although this Court</w:t>
      </w:r>
      <w:r w:rsidR="006158A6" w:rsidRPr="00DF5070">
        <w:rPr>
          <w:rFonts w:ascii="Times New Roman" w:hAnsi="Times New Roman"/>
        </w:rPr>
        <w:t>'s reasons</w:t>
      </w:r>
      <w:r w:rsidRPr="00DF5070">
        <w:rPr>
          <w:rFonts w:ascii="Times New Roman" w:hAnsi="Times New Roman"/>
        </w:rPr>
        <w:t xml:space="preserve"> in the </w:t>
      </w:r>
      <w:r w:rsidRPr="00DF5070">
        <w:rPr>
          <w:rFonts w:ascii="Times New Roman" w:hAnsi="Times New Roman"/>
          <w:i/>
          <w:iCs/>
        </w:rPr>
        <w:t>Agreed Penalties Case</w:t>
      </w:r>
      <w:r w:rsidRPr="00DF5070">
        <w:rPr>
          <w:rStyle w:val="FootnoteReference"/>
          <w:rFonts w:ascii="Times New Roman" w:hAnsi="Times New Roman"/>
          <w:iCs/>
          <w:sz w:val="24"/>
        </w:rPr>
        <w:footnoteReference w:id="74"/>
      </w:r>
      <w:r w:rsidRPr="00DF5070">
        <w:rPr>
          <w:rFonts w:ascii="Times New Roman" w:hAnsi="Times New Roman"/>
        </w:rPr>
        <w:t xml:space="preserve"> and </w:t>
      </w:r>
      <w:r w:rsidR="002450C0" w:rsidRPr="00DF5070">
        <w:rPr>
          <w:rFonts w:ascii="Times New Roman" w:hAnsi="Times New Roman"/>
          <w:i/>
          <w:iCs/>
        </w:rPr>
        <w:t>Australian Building and Construction Commissioner v Construction, Forestry, Mining and Energy Union</w:t>
      </w:r>
      <w:r w:rsidRPr="00DF5070">
        <w:rPr>
          <w:rStyle w:val="FootnoteReference"/>
          <w:rFonts w:ascii="Times New Roman" w:hAnsi="Times New Roman"/>
          <w:iCs/>
          <w:sz w:val="24"/>
        </w:rPr>
        <w:footnoteReference w:id="75"/>
      </w:r>
      <w:r w:rsidRPr="00DF5070">
        <w:rPr>
          <w:rFonts w:ascii="Times New Roman" w:hAnsi="Times New Roman"/>
          <w:iCs/>
        </w:rPr>
        <w:t xml:space="preserve"> </w:t>
      </w:r>
      <w:r w:rsidR="00047A47" w:rsidRPr="00DF5070">
        <w:rPr>
          <w:rFonts w:ascii="Times New Roman" w:hAnsi="Times New Roman"/>
          <w:iCs/>
        </w:rPr>
        <w:t>were</w:t>
      </w:r>
      <w:r w:rsidRPr="00DF5070">
        <w:rPr>
          <w:rFonts w:ascii="Times New Roman" w:hAnsi="Times New Roman"/>
          <w:iCs/>
        </w:rPr>
        <w:t xml:space="preserve"> decisive in </w:t>
      </w:r>
      <w:r w:rsidR="000E7374" w:rsidRPr="00DF5070">
        <w:rPr>
          <w:rFonts w:ascii="Times New Roman" w:hAnsi="Times New Roman"/>
          <w:iCs/>
        </w:rPr>
        <w:t>emphasising the primacy of deterrence as the objective of civil penalty regimes</w:t>
      </w:r>
      <w:r w:rsidRPr="00DF5070">
        <w:rPr>
          <w:rFonts w:ascii="Times New Roman" w:hAnsi="Times New Roman"/>
        </w:rPr>
        <w:t>,</w:t>
      </w:r>
      <w:r w:rsidRPr="00DF5070">
        <w:rPr>
          <w:rFonts w:ascii="Times New Roman" w:hAnsi="Times New Roman"/>
          <w:i/>
          <w:iCs/>
        </w:rPr>
        <w:t xml:space="preserve"> </w:t>
      </w:r>
      <w:r w:rsidRPr="00DF5070">
        <w:rPr>
          <w:rFonts w:ascii="Times New Roman" w:hAnsi="Times New Roman"/>
        </w:rPr>
        <w:t xml:space="preserve">this Court did not decide that factors </w:t>
      </w:r>
      <w:r w:rsidR="000E7374" w:rsidRPr="00DF5070">
        <w:rPr>
          <w:rFonts w:ascii="Times New Roman" w:hAnsi="Times New Roman"/>
        </w:rPr>
        <w:t xml:space="preserve">which were traditionally seen to be </w:t>
      </w:r>
      <w:r w:rsidRPr="00DF5070">
        <w:rPr>
          <w:rFonts w:ascii="Times New Roman" w:hAnsi="Times New Roman"/>
        </w:rPr>
        <w:t xml:space="preserve">grounded in retributive analysis – including proportionality – </w:t>
      </w:r>
      <w:r w:rsidR="000E7374" w:rsidRPr="00DF5070">
        <w:rPr>
          <w:rFonts w:ascii="Times New Roman" w:hAnsi="Times New Roman"/>
        </w:rPr>
        <w:t>could never be</w:t>
      </w:r>
      <w:r w:rsidRPr="00DF5070">
        <w:rPr>
          <w:rFonts w:ascii="Times New Roman" w:hAnsi="Times New Roman"/>
        </w:rPr>
        <w:t xml:space="preserve"> relevant to the fixing of an appropriate civil penalty. The answer to this submission is that the reasoning in those decisions of this Court proceeds, unmistakably, on the basis that considerations of retribution are</w:t>
      </w:r>
      <w:r w:rsidR="00047A47" w:rsidRPr="00DF5070">
        <w:rPr>
          <w:rFonts w:ascii="Times New Roman" w:hAnsi="Times New Roman"/>
        </w:rPr>
        <w:t xml:space="preserve"> indeed</w:t>
      </w:r>
      <w:r w:rsidRPr="00DF5070">
        <w:rPr>
          <w:rFonts w:ascii="Times New Roman" w:hAnsi="Times New Roman"/>
        </w:rPr>
        <w:t xml:space="preserve"> immaterial to the application of s 546, save insofar as they are also material to deterrence, specific and general. </w:t>
      </w:r>
      <w:r w:rsidR="000E7374" w:rsidRPr="00DF5070">
        <w:rPr>
          <w:rFonts w:ascii="Times New Roman" w:hAnsi="Times New Roman"/>
        </w:rPr>
        <w:t xml:space="preserve">And, to the extent that some of the factors listed by French J in </w:t>
      </w:r>
      <w:r w:rsidR="000E7374" w:rsidRPr="00DF5070">
        <w:rPr>
          <w:rFonts w:ascii="Times New Roman" w:hAnsi="Times New Roman"/>
          <w:i/>
        </w:rPr>
        <w:t xml:space="preserve">CSR </w:t>
      </w:r>
      <w:r w:rsidR="000E7374" w:rsidRPr="00DF5070">
        <w:rPr>
          <w:rFonts w:ascii="Times New Roman" w:hAnsi="Times New Roman"/>
        </w:rPr>
        <w:t xml:space="preserve">might be said to </w:t>
      </w:r>
      <w:r w:rsidR="009A65D1" w:rsidRPr="00DF5070">
        <w:rPr>
          <w:rFonts w:ascii="Times New Roman" w:hAnsi="Times New Roman"/>
        </w:rPr>
        <w:t>echo</w:t>
      </w:r>
      <w:r w:rsidR="000E7374" w:rsidRPr="00DF5070">
        <w:rPr>
          <w:rFonts w:ascii="Times New Roman" w:hAnsi="Times New Roman"/>
        </w:rPr>
        <w:t xml:space="preserve"> retributive theories, his Honour </w:t>
      </w:r>
      <w:r w:rsidR="00047A47" w:rsidRPr="00DF5070">
        <w:rPr>
          <w:rFonts w:ascii="Times New Roman" w:hAnsi="Times New Roman"/>
        </w:rPr>
        <w:t xml:space="preserve">also </w:t>
      </w:r>
      <w:r w:rsidR="000E7374" w:rsidRPr="00DF5070">
        <w:rPr>
          <w:rFonts w:ascii="Times New Roman" w:hAnsi="Times New Roman"/>
        </w:rPr>
        <w:t xml:space="preserve">made clear that those factors were relevant only to the extent they related to deterrence. </w:t>
      </w:r>
      <w:r w:rsidRPr="00DF5070">
        <w:rPr>
          <w:rFonts w:ascii="Times New Roman" w:hAnsi="Times New Roman"/>
        </w:rPr>
        <w:t xml:space="preserve">It is therefore idle to observe, as the CFMMEU does, that nothing in the discussion in this Court's decisions expressly denies the possibility that the Full Court's </w:t>
      </w:r>
      <w:r w:rsidR="00C73EA4" w:rsidRPr="00DF5070">
        <w:rPr>
          <w:rFonts w:ascii="Times New Roman" w:hAnsi="Times New Roman"/>
        </w:rPr>
        <w:t>"</w:t>
      </w:r>
      <w:r w:rsidRPr="00DF5070">
        <w:rPr>
          <w:rFonts w:ascii="Times New Roman" w:hAnsi="Times New Roman"/>
        </w:rPr>
        <w:t>notion of proportionality</w:t>
      </w:r>
      <w:r w:rsidR="00C73EA4" w:rsidRPr="00DF5070">
        <w:rPr>
          <w:rFonts w:ascii="Times New Roman" w:hAnsi="Times New Roman"/>
        </w:rPr>
        <w:t>"</w:t>
      </w:r>
      <w:r w:rsidRPr="00DF5070">
        <w:rPr>
          <w:rFonts w:ascii="Times New Roman" w:hAnsi="Times New Roman"/>
        </w:rPr>
        <w:t xml:space="preserve"> </w:t>
      </w:r>
      <w:r w:rsidR="006C5264" w:rsidRPr="00DF5070">
        <w:rPr>
          <w:rFonts w:ascii="Times New Roman" w:hAnsi="Times New Roman"/>
        </w:rPr>
        <w:t xml:space="preserve">could </w:t>
      </w:r>
      <w:r w:rsidRPr="00DF5070">
        <w:rPr>
          <w:rFonts w:ascii="Times New Roman" w:hAnsi="Times New Roman"/>
        </w:rPr>
        <w:t>"survive the rejection of retribution" as a relevant consideration</w:t>
      </w:r>
      <w:r w:rsidR="006C5264" w:rsidRPr="00DF5070">
        <w:rPr>
          <w:rFonts w:ascii="Times New Roman" w:hAnsi="Times New Roman"/>
        </w:rPr>
        <w:t xml:space="preserve"> – that notion is </w:t>
      </w:r>
      <w:r w:rsidR="00CB1284" w:rsidRPr="00DF5070">
        <w:rPr>
          <w:rFonts w:ascii="Times New Roman" w:hAnsi="Times New Roman"/>
        </w:rPr>
        <w:t>denied by</w:t>
      </w:r>
      <w:r w:rsidR="006C5264" w:rsidRPr="00DF5070">
        <w:rPr>
          <w:rFonts w:ascii="Times New Roman" w:hAnsi="Times New Roman"/>
        </w:rPr>
        <w:t xml:space="preserve"> the fundamental premise of th</w:t>
      </w:r>
      <w:r w:rsidR="007773E5" w:rsidRPr="00DF5070">
        <w:rPr>
          <w:rFonts w:ascii="Times New Roman" w:hAnsi="Times New Roman"/>
        </w:rPr>
        <w:t>is Court's de</w:t>
      </w:r>
      <w:r w:rsidR="006C5264" w:rsidRPr="00DF5070">
        <w:rPr>
          <w:rFonts w:ascii="Times New Roman" w:hAnsi="Times New Roman"/>
        </w:rPr>
        <w:t>cisions</w:t>
      </w:r>
      <w:r w:rsidRPr="00DF5070">
        <w:rPr>
          <w:rFonts w:ascii="Times New Roman" w:hAnsi="Times New Roman"/>
        </w:rPr>
        <w:t xml:space="preserve">. </w:t>
      </w:r>
    </w:p>
    <w:p w14:paraId="1C2E8F1C" w14:textId="77092B35" w:rsidR="000E7374" w:rsidRPr="00DF5070" w:rsidRDefault="000E7374" w:rsidP="00DF5070">
      <w:pPr>
        <w:pStyle w:val="FixListStyle"/>
        <w:spacing w:after="260" w:line="280" w:lineRule="exact"/>
        <w:ind w:right="0"/>
        <w:jc w:val="both"/>
        <w:rPr>
          <w:rFonts w:ascii="Times New Roman" w:hAnsi="Times New Roman"/>
        </w:rPr>
      </w:pPr>
      <w:r w:rsidRPr="00DF5070">
        <w:rPr>
          <w:rFonts w:ascii="Times New Roman" w:hAnsi="Times New Roman"/>
        </w:rPr>
        <w:tab/>
        <w:t>It may be recognised that some c</w:t>
      </w:r>
      <w:r w:rsidRPr="00DF5070" w:rsidDel="00975FE1">
        <w:rPr>
          <w:rFonts w:ascii="Times New Roman" w:hAnsi="Times New Roman"/>
        </w:rPr>
        <w:t>oncepts familiar from criminal sentencing may usefully be deployed in the enforcement of the civil penalty regime. In this regard, concepts such as totality</w:t>
      </w:r>
      <w:r w:rsidR="00F03920" w:rsidRPr="00DF5070">
        <w:rPr>
          <w:rFonts w:ascii="Times New Roman" w:hAnsi="Times New Roman"/>
        </w:rPr>
        <w:t>,</w:t>
      </w:r>
      <w:r w:rsidRPr="00DF5070" w:rsidDel="00975FE1">
        <w:rPr>
          <w:rFonts w:ascii="Times New Roman" w:hAnsi="Times New Roman"/>
        </w:rPr>
        <w:t xml:space="preserve"> parity and course of conduct may assist in the assessment of what may be considered reasonably necessary to deter further contraventions of the Act.</w:t>
      </w:r>
      <w:r w:rsidRPr="00DF5070">
        <w:rPr>
          <w:rFonts w:ascii="Times New Roman" w:hAnsi="Times New Roman"/>
        </w:rPr>
        <w:t xml:space="preserve"> </w:t>
      </w:r>
      <w:r w:rsidRPr="00DF5070" w:rsidDel="00975FE1">
        <w:rPr>
          <w:rFonts w:ascii="Times New Roman" w:hAnsi="Times New Roman"/>
        </w:rPr>
        <w:t xml:space="preserve">On behalf of the </w:t>
      </w:r>
      <w:r w:rsidR="00C73EA4" w:rsidRPr="00DF5070">
        <w:rPr>
          <w:rFonts w:ascii="Times New Roman" w:hAnsi="Times New Roman"/>
        </w:rPr>
        <w:t>CFMMEU</w:t>
      </w:r>
      <w:r w:rsidRPr="00DF5070" w:rsidDel="00975FE1">
        <w:rPr>
          <w:rFonts w:ascii="Times New Roman" w:hAnsi="Times New Roman"/>
        </w:rPr>
        <w:t xml:space="preserve">, the rhetorical question was asked, on several occasions, how it was that proportionality as a principle of sentencing did not translate to the civil penalty regime when other concepts </w:t>
      </w:r>
      <w:r w:rsidRPr="00DF5070" w:rsidDel="00975FE1">
        <w:rPr>
          <w:rFonts w:ascii="Times New Roman" w:hAnsi="Times New Roman"/>
        </w:rPr>
        <w:lastRenderedPageBreak/>
        <w:t xml:space="preserve">familiar in criminal sentencing such as totality, parity and course of conduct have been accepted as relevant. </w:t>
      </w:r>
      <w:r w:rsidR="009A65D1" w:rsidRPr="00DF5070">
        <w:rPr>
          <w:rFonts w:ascii="Times New Roman" w:hAnsi="Times New Roman"/>
        </w:rPr>
        <w:t>A</w:t>
      </w:r>
      <w:r w:rsidRPr="00DF5070" w:rsidDel="00975FE1">
        <w:rPr>
          <w:rFonts w:ascii="Times New Roman" w:hAnsi="Times New Roman"/>
        </w:rPr>
        <w:t xml:space="preserve"> compelling answer </w:t>
      </w:r>
      <w:r w:rsidRPr="00DF5070">
        <w:rPr>
          <w:rFonts w:ascii="Times New Roman" w:hAnsi="Times New Roman"/>
        </w:rPr>
        <w:t>to that rhetorical question</w:t>
      </w:r>
      <w:r w:rsidR="009A65D1" w:rsidRPr="00DF5070">
        <w:rPr>
          <w:rFonts w:ascii="Times New Roman" w:hAnsi="Times New Roman"/>
        </w:rPr>
        <w:t xml:space="preserve"> was</w:t>
      </w:r>
      <w:r w:rsidRPr="00DF5070">
        <w:rPr>
          <w:rFonts w:ascii="Times New Roman" w:hAnsi="Times New Roman"/>
        </w:rPr>
        <w:t xml:space="preserve"> </w:t>
      </w:r>
      <w:r w:rsidRPr="00DF5070" w:rsidDel="00975FE1">
        <w:rPr>
          <w:rFonts w:ascii="Times New Roman" w:hAnsi="Times New Roman"/>
        </w:rPr>
        <w:t>provided by the Commissioner's counsel</w:t>
      </w:r>
      <w:r w:rsidR="009A65D1" w:rsidRPr="00DF5070">
        <w:rPr>
          <w:rFonts w:ascii="Times New Roman" w:hAnsi="Times New Roman"/>
        </w:rPr>
        <w:t>. P</w:t>
      </w:r>
      <w:r w:rsidRPr="00DF5070" w:rsidDel="00975FE1">
        <w:rPr>
          <w:rFonts w:ascii="Times New Roman" w:hAnsi="Times New Roman"/>
        </w:rPr>
        <w:t xml:space="preserve">roportionality </w:t>
      </w:r>
      <w:r w:rsidR="004235A7" w:rsidRPr="00DF5070">
        <w:rPr>
          <w:rFonts w:ascii="Times New Roman" w:hAnsi="Times New Roman"/>
        </w:rPr>
        <w:t>in this context has a normative character foreign to the purpose of the power</w:t>
      </w:r>
      <w:r w:rsidRPr="00DF5070" w:rsidDel="00975FE1">
        <w:rPr>
          <w:rFonts w:ascii="Times New Roman" w:hAnsi="Times New Roman"/>
        </w:rPr>
        <w:t>, whereas concepts such as totality, parity and course of conduct are analytical tools</w:t>
      </w:r>
      <w:r w:rsidR="00F03920" w:rsidRPr="00DF5070">
        <w:rPr>
          <w:rStyle w:val="FootnoteReference"/>
          <w:rFonts w:ascii="Times New Roman" w:hAnsi="Times New Roman"/>
          <w:sz w:val="24"/>
        </w:rPr>
        <w:footnoteReference w:id="76"/>
      </w:r>
      <w:r w:rsidRPr="00DF5070" w:rsidDel="00975FE1">
        <w:rPr>
          <w:rFonts w:ascii="Times New Roman" w:hAnsi="Times New Roman"/>
        </w:rPr>
        <w:t xml:space="preserve"> which assist in the determination of a reasonable application of the law. </w:t>
      </w:r>
      <w:r w:rsidR="004235A7" w:rsidRPr="00DF5070">
        <w:rPr>
          <w:rFonts w:ascii="Times New Roman" w:hAnsi="Times New Roman"/>
        </w:rPr>
        <w:t>A</w:t>
      </w:r>
      <w:r w:rsidR="005F1E0E" w:rsidRPr="00DF5070">
        <w:rPr>
          <w:rFonts w:ascii="Times New Roman" w:hAnsi="Times New Roman"/>
        </w:rPr>
        <w:t xml:space="preserve">lthough </w:t>
      </w:r>
      <w:r w:rsidR="005D0537" w:rsidRPr="00DF5070">
        <w:rPr>
          <w:rFonts w:ascii="Times New Roman" w:hAnsi="Times New Roman"/>
        </w:rPr>
        <w:t xml:space="preserve">these </w:t>
      </w:r>
      <w:r w:rsidR="000B360A" w:rsidRPr="00DF5070">
        <w:rPr>
          <w:rFonts w:ascii="Times New Roman" w:hAnsi="Times New Roman"/>
        </w:rPr>
        <w:t xml:space="preserve">analytical </w:t>
      </w:r>
      <w:r w:rsidR="005D0537" w:rsidRPr="00DF5070">
        <w:rPr>
          <w:rFonts w:ascii="Times New Roman" w:hAnsi="Times New Roman"/>
        </w:rPr>
        <w:t>concepts</w:t>
      </w:r>
      <w:r w:rsidR="000B360A" w:rsidRPr="00DF5070">
        <w:rPr>
          <w:rFonts w:ascii="Times New Roman" w:hAnsi="Times New Roman"/>
        </w:rPr>
        <w:t xml:space="preserve"> have been developed in the context of the punishment of crime</w:t>
      </w:r>
      <w:r w:rsidR="005D0537" w:rsidRPr="00DF5070">
        <w:rPr>
          <w:rFonts w:ascii="Times New Roman" w:hAnsi="Times New Roman"/>
        </w:rPr>
        <w:t xml:space="preserve">, unlike proportionality, </w:t>
      </w:r>
      <w:r w:rsidR="000B360A" w:rsidRPr="00DF5070">
        <w:rPr>
          <w:rFonts w:ascii="Times New Roman" w:hAnsi="Times New Roman"/>
        </w:rPr>
        <w:t xml:space="preserve">they </w:t>
      </w:r>
      <w:r w:rsidR="005F1E0E" w:rsidRPr="00DF5070">
        <w:rPr>
          <w:rFonts w:ascii="Times New Roman" w:hAnsi="Times New Roman"/>
        </w:rPr>
        <w:t xml:space="preserve">are not </w:t>
      </w:r>
      <w:r w:rsidR="006A1373" w:rsidRPr="00DF5070">
        <w:rPr>
          <w:rFonts w:ascii="Times New Roman" w:hAnsi="Times New Roman"/>
        </w:rPr>
        <w:t xml:space="preserve">so closely tied to retribution </w:t>
      </w:r>
      <w:r w:rsidR="005D0537" w:rsidRPr="00DF5070">
        <w:rPr>
          <w:rFonts w:ascii="Times New Roman" w:hAnsi="Times New Roman"/>
        </w:rPr>
        <w:t xml:space="preserve">as to be </w:t>
      </w:r>
      <w:r w:rsidR="00E31028" w:rsidRPr="00DF5070">
        <w:rPr>
          <w:rFonts w:ascii="Times New Roman" w:hAnsi="Times New Roman"/>
        </w:rPr>
        <w:t>incompatible with a civil penalty regime focussed on deterrence.</w:t>
      </w:r>
    </w:p>
    <w:p w14:paraId="17E07E09" w14:textId="124B630B" w:rsidR="00E31028" w:rsidRPr="00DF5070" w:rsidRDefault="009E3214" w:rsidP="00DF5070">
      <w:pPr>
        <w:pStyle w:val="HeadingL2"/>
        <w:spacing w:after="260" w:line="280" w:lineRule="exact"/>
        <w:ind w:right="0"/>
        <w:jc w:val="both"/>
        <w:rPr>
          <w:rFonts w:ascii="Times New Roman" w:hAnsi="Times New Roman"/>
        </w:rPr>
      </w:pPr>
      <w:r w:rsidRPr="00DF5070">
        <w:rPr>
          <w:rFonts w:ascii="Times New Roman" w:hAnsi="Times New Roman"/>
        </w:rPr>
        <w:t>The end of discretion</w:t>
      </w:r>
      <w:r w:rsidR="00E31028" w:rsidRPr="00DF5070">
        <w:rPr>
          <w:rFonts w:ascii="Times New Roman" w:hAnsi="Times New Roman"/>
        </w:rPr>
        <w:t>?</w:t>
      </w:r>
    </w:p>
    <w:p w14:paraId="6648CD66" w14:textId="7BE1397F" w:rsidR="006913FA" w:rsidRPr="00DF5070" w:rsidRDefault="0036277F"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24799F" w:rsidRPr="00DF5070">
        <w:rPr>
          <w:rFonts w:ascii="Times New Roman" w:hAnsi="Times New Roman"/>
        </w:rPr>
        <w:t xml:space="preserve">It does not </w:t>
      </w:r>
      <w:r w:rsidR="00607475" w:rsidRPr="00DF5070">
        <w:rPr>
          <w:rFonts w:ascii="Times New Roman" w:hAnsi="Times New Roman"/>
        </w:rPr>
        <w:t>follow, as the Full Court suggested</w:t>
      </w:r>
      <w:r w:rsidR="00B311CF" w:rsidRPr="00DF5070">
        <w:rPr>
          <w:rStyle w:val="FootnoteReference"/>
          <w:rFonts w:ascii="Times New Roman" w:hAnsi="Times New Roman"/>
          <w:sz w:val="24"/>
        </w:rPr>
        <w:footnoteReference w:id="77"/>
      </w:r>
      <w:r w:rsidR="00607475" w:rsidRPr="00DF5070">
        <w:rPr>
          <w:rFonts w:ascii="Times New Roman" w:hAnsi="Times New Roman"/>
        </w:rPr>
        <w:t xml:space="preserve"> and </w:t>
      </w:r>
      <w:r w:rsidR="004B15F1" w:rsidRPr="00DF5070">
        <w:rPr>
          <w:rFonts w:ascii="Times New Roman" w:hAnsi="Times New Roman"/>
        </w:rPr>
        <w:t xml:space="preserve">as </w:t>
      </w:r>
      <w:r w:rsidR="00607475" w:rsidRPr="00DF5070">
        <w:rPr>
          <w:rFonts w:ascii="Times New Roman" w:hAnsi="Times New Roman"/>
        </w:rPr>
        <w:t xml:space="preserve">the CFMMEU argued </w:t>
      </w:r>
      <w:r w:rsidR="00A60F69" w:rsidRPr="00DF5070">
        <w:rPr>
          <w:rFonts w:ascii="Times New Roman" w:hAnsi="Times New Roman"/>
        </w:rPr>
        <w:t>in this Court</w:t>
      </w:r>
      <w:r w:rsidR="00607475" w:rsidRPr="00DF5070">
        <w:rPr>
          <w:rFonts w:ascii="Times New Roman" w:hAnsi="Times New Roman"/>
        </w:rPr>
        <w:t xml:space="preserve">, from the rejection of </w:t>
      </w:r>
      <w:r w:rsidR="00A60F69" w:rsidRPr="00DF5070">
        <w:rPr>
          <w:rFonts w:ascii="Times New Roman" w:hAnsi="Times New Roman"/>
        </w:rPr>
        <w:t>the Full Court'</w:t>
      </w:r>
      <w:r w:rsidR="004B15F1" w:rsidRPr="00DF5070">
        <w:rPr>
          <w:rFonts w:ascii="Times New Roman" w:hAnsi="Times New Roman"/>
        </w:rPr>
        <w:t>s</w:t>
      </w:r>
      <w:r w:rsidR="00A60F69" w:rsidRPr="00DF5070">
        <w:rPr>
          <w:rFonts w:ascii="Times New Roman" w:hAnsi="Times New Roman"/>
        </w:rPr>
        <w:t xml:space="preserve"> </w:t>
      </w:r>
      <w:r w:rsidR="00607475" w:rsidRPr="00DF5070">
        <w:rPr>
          <w:rFonts w:ascii="Times New Roman" w:hAnsi="Times New Roman"/>
        </w:rPr>
        <w:t>"notion of proportionality"</w:t>
      </w:r>
      <w:r w:rsidR="00607475" w:rsidRPr="00DF5070">
        <w:rPr>
          <w:rFonts w:ascii="Times New Roman" w:hAnsi="Times New Roman"/>
          <w:i/>
          <w:iCs/>
        </w:rPr>
        <w:t xml:space="preserve"> </w:t>
      </w:r>
      <w:r w:rsidR="00607475" w:rsidRPr="00DF5070">
        <w:rPr>
          <w:rFonts w:ascii="Times New Roman" w:hAnsi="Times New Roman"/>
        </w:rPr>
        <w:t xml:space="preserve">that s 546 </w:t>
      </w:r>
      <w:r w:rsidR="00BE7C64" w:rsidRPr="00DF5070">
        <w:rPr>
          <w:rFonts w:ascii="Times New Roman" w:hAnsi="Times New Roman"/>
        </w:rPr>
        <w:t>must be taken to require</w:t>
      </w:r>
      <w:r w:rsidR="00607475" w:rsidRPr="00DF5070">
        <w:rPr>
          <w:rFonts w:ascii="Times New Roman" w:hAnsi="Times New Roman"/>
        </w:rPr>
        <w:t xml:space="preserve"> the imposition of a penalty approaching the maximum in relation to any and every contravention by a recidivist offender. </w:t>
      </w:r>
      <w:r w:rsidR="00373F08" w:rsidRPr="00DF5070">
        <w:rPr>
          <w:rFonts w:ascii="Times New Roman" w:hAnsi="Times New Roman"/>
        </w:rPr>
        <w:t xml:space="preserve">It is important to recall that an "appropriate" penalty is one that strikes a reasonable balance between oppressive severity and the need for deterrence in respect of the </w:t>
      </w:r>
      <w:proofErr w:type="gramStart"/>
      <w:r w:rsidR="00373F08" w:rsidRPr="00DF5070">
        <w:rPr>
          <w:rFonts w:ascii="Times New Roman" w:hAnsi="Times New Roman"/>
        </w:rPr>
        <w:t>particular case</w:t>
      </w:r>
      <w:proofErr w:type="gramEnd"/>
      <w:r w:rsidR="00373F08" w:rsidRPr="00DF5070">
        <w:rPr>
          <w:rFonts w:ascii="Times New Roman" w:hAnsi="Times New Roman"/>
        </w:rPr>
        <w:t xml:space="preserve">. A </w:t>
      </w:r>
      <w:r w:rsidR="00607475" w:rsidRPr="00DF5070">
        <w:rPr>
          <w:rFonts w:ascii="Times New Roman" w:hAnsi="Times New Roman"/>
        </w:rPr>
        <w:t>contravention may be a "one</w:t>
      </w:r>
      <w:r w:rsidR="00607475" w:rsidRPr="00DF5070">
        <w:rPr>
          <w:rFonts w:ascii="Times New Roman" w:hAnsi="Times New Roman"/>
        </w:rPr>
        <w:noBreakHyphen/>
        <w:t xml:space="preserve">off" result of inadvertence </w:t>
      </w:r>
      <w:r w:rsidR="001F7843" w:rsidRPr="00DF5070">
        <w:rPr>
          <w:rFonts w:ascii="Times New Roman" w:hAnsi="Times New Roman"/>
        </w:rPr>
        <w:t xml:space="preserve">by the </w:t>
      </w:r>
      <w:proofErr w:type="spellStart"/>
      <w:r w:rsidR="001F7843" w:rsidRPr="00DF5070">
        <w:rPr>
          <w:rFonts w:ascii="Times New Roman" w:hAnsi="Times New Roman"/>
        </w:rPr>
        <w:t>contravenor</w:t>
      </w:r>
      <w:proofErr w:type="spellEnd"/>
      <w:r w:rsidR="001F7843" w:rsidRPr="00DF5070">
        <w:rPr>
          <w:rFonts w:ascii="Times New Roman" w:hAnsi="Times New Roman"/>
        </w:rPr>
        <w:t xml:space="preserve"> </w:t>
      </w:r>
      <w:r w:rsidR="00607475" w:rsidRPr="00DF5070">
        <w:rPr>
          <w:rFonts w:ascii="Times New Roman" w:hAnsi="Times New Roman"/>
        </w:rPr>
        <w:t xml:space="preserve">rather than </w:t>
      </w:r>
      <w:r w:rsidR="00C54024" w:rsidRPr="00DF5070">
        <w:rPr>
          <w:rFonts w:ascii="Times New Roman" w:hAnsi="Times New Roman"/>
        </w:rPr>
        <w:t>the latest instance</w:t>
      </w:r>
      <w:r w:rsidR="00607475" w:rsidRPr="00DF5070">
        <w:rPr>
          <w:rFonts w:ascii="Times New Roman" w:hAnsi="Times New Roman"/>
        </w:rPr>
        <w:t xml:space="preserve"> of the </w:t>
      </w:r>
      <w:proofErr w:type="spellStart"/>
      <w:r w:rsidR="00A46B32" w:rsidRPr="00DF5070">
        <w:rPr>
          <w:rFonts w:ascii="Times New Roman" w:hAnsi="Times New Roman"/>
        </w:rPr>
        <w:t>contravenor's</w:t>
      </w:r>
      <w:proofErr w:type="spellEnd"/>
      <w:r w:rsidR="00A46B32" w:rsidRPr="00DF5070">
        <w:rPr>
          <w:rFonts w:ascii="Times New Roman" w:hAnsi="Times New Roman"/>
        </w:rPr>
        <w:t xml:space="preserve"> </w:t>
      </w:r>
      <w:r w:rsidR="00607475" w:rsidRPr="00DF5070">
        <w:rPr>
          <w:rFonts w:ascii="Times New Roman" w:hAnsi="Times New Roman"/>
        </w:rPr>
        <w:t xml:space="preserve">pursuit of a </w:t>
      </w:r>
      <w:r w:rsidR="009E3214" w:rsidRPr="00DF5070">
        <w:rPr>
          <w:rFonts w:ascii="Times New Roman" w:hAnsi="Times New Roman"/>
        </w:rPr>
        <w:t>strategy</w:t>
      </w:r>
      <w:r w:rsidR="00607475" w:rsidRPr="00DF5070">
        <w:rPr>
          <w:rFonts w:ascii="Times New Roman" w:hAnsi="Times New Roman"/>
        </w:rPr>
        <w:t xml:space="preserve"> of deliberate recalcitrance</w:t>
      </w:r>
      <w:r w:rsidR="00126F02" w:rsidRPr="00DF5070">
        <w:rPr>
          <w:rFonts w:ascii="Times New Roman" w:hAnsi="Times New Roman"/>
        </w:rPr>
        <w:t xml:space="preserve"> in order to have its way</w:t>
      </w:r>
      <w:r w:rsidR="00607475" w:rsidRPr="00DF5070">
        <w:rPr>
          <w:rFonts w:ascii="Times New Roman" w:hAnsi="Times New Roman"/>
        </w:rPr>
        <w:t>. There may also be cases, for example, where a contravention has occurred through ignorance of the law on the part of a union official</w:t>
      </w:r>
      <w:r w:rsidR="0043140B" w:rsidRPr="00DF5070">
        <w:rPr>
          <w:rFonts w:ascii="Times New Roman" w:hAnsi="Times New Roman"/>
        </w:rPr>
        <w:t>,</w:t>
      </w:r>
      <w:r w:rsidR="00607475" w:rsidRPr="00DF5070">
        <w:rPr>
          <w:rFonts w:ascii="Times New Roman" w:hAnsi="Times New Roman"/>
        </w:rPr>
        <w:t xml:space="preserve"> or where the official responsible for a deliberate breach has been disciplined by the union. In such cases</w:t>
      </w:r>
      <w:r w:rsidR="000E7374" w:rsidRPr="00DF5070">
        <w:rPr>
          <w:rFonts w:ascii="Times New Roman" w:hAnsi="Times New Roman"/>
        </w:rPr>
        <w:t>,</w:t>
      </w:r>
      <w:r w:rsidR="00607475" w:rsidRPr="00DF5070">
        <w:rPr>
          <w:rFonts w:ascii="Times New Roman" w:hAnsi="Times New Roman"/>
        </w:rPr>
        <w:t xml:space="preserve"> a modest penalty, if any, may reasonably be thought to be </w:t>
      </w:r>
      <w:proofErr w:type="gramStart"/>
      <w:r w:rsidR="00607475" w:rsidRPr="00DF5070">
        <w:rPr>
          <w:rFonts w:ascii="Times New Roman" w:hAnsi="Times New Roman"/>
        </w:rPr>
        <w:t>sufficient</w:t>
      </w:r>
      <w:proofErr w:type="gramEnd"/>
      <w:r w:rsidR="00607475" w:rsidRPr="00DF5070">
        <w:rPr>
          <w:rFonts w:ascii="Times New Roman" w:hAnsi="Times New Roman"/>
        </w:rPr>
        <w:t xml:space="preserve"> to provide effective deterrence </w:t>
      </w:r>
      <w:r w:rsidR="000E7374" w:rsidRPr="00DF5070">
        <w:rPr>
          <w:rFonts w:ascii="Times New Roman" w:hAnsi="Times New Roman"/>
        </w:rPr>
        <w:t xml:space="preserve">against </w:t>
      </w:r>
      <w:r w:rsidR="00607475" w:rsidRPr="00DF5070">
        <w:rPr>
          <w:rFonts w:ascii="Times New Roman" w:hAnsi="Times New Roman"/>
        </w:rPr>
        <w:t xml:space="preserve">further contraventions. </w:t>
      </w:r>
    </w:p>
    <w:p w14:paraId="09ED4A0B" w14:textId="1B3A7EA9" w:rsidR="006913FA" w:rsidRPr="00DF5070" w:rsidRDefault="006913FA"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43140B" w:rsidRPr="00DF5070">
        <w:rPr>
          <w:rFonts w:ascii="Times New Roman" w:hAnsi="Times New Roman"/>
        </w:rPr>
        <w:t>The</w:t>
      </w:r>
      <w:r w:rsidR="00607475" w:rsidRPr="00DF5070">
        <w:rPr>
          <w:rFonts w:ascii="Times New Roman" w:hAnsi="Times New Roman"/>
        </w:rPr>
        <w:t xml:space="preserve"> penalty that is appropriate to protect the </w:t>
      </w:r>
      <w:r w:rsidR="008241CE" w:rsidRPr="00DF5070">
        <w:rPr>
          <w:rFonts w:ascii="Times New Roman" w:hAnsi="Times New Roman"/>
        </w:rPr>
        <w:t>public interest</w:t>
      </w:r>
      <w:r w:rsidR="00607475" w:rsidRPr="00DF5070">
        <w:rPr>
          <w:rFonts w:ascii="Times New Roman" w:hAnsi="Times New Roman"/>
        </w:rPr>
        <w:t xml:space="preserve"> </w:t>
      </w:r>
      <w:r w:rsidR="0043140B" w:rsidRPr="00DF5070">
        <w:rPr>
          <w:rFonts w:ascii="Times New Roman" w:hAnsi="Times New Roman"/>
        </w:rPr>
        <w:t xml:space="preserve">by deterring </w:t>
      </w:r>
      <w:r w:rsidR="00607475" w:rsidRPr="00DF5070">
        <w:rPr>
          <w:rFonts w:ascii="Times New Roman" w:hAnsi="Times New Roman"/>
        </w:rPr>
        <w:t xml:space="preserve">future contraventions of the Act </w:t>
      </w:r>
      <w:r w:rsidR="0043140B" w:rsidRPr="00DF5070">
        <w:rPr>
          <w:rFonts w:ascii="Times New Roman" w:hAnsi="Times New Roman"/>
        </w:rPr>
        <w:t xml:space="preserve">may also </w:t>
      </w:r>
      <w:r w:rsidR="00607475" w:rsidRPr="00DF5070">
        <w:rPr>
          <w:rFonts w:ascii="Times New Roman" w:hAnsi="Times New Roman"/>
        </w:rPr>
        <w:t xml:space="preserve">be moderated by </w:t>
      </w:r>
      <w:proofErr w:type="gramStart"/>
      <w:r w:rsidR="00E02705" w:rsidRPr="00DF5070">
        <w:rPr>
          <w:rFonts w:ascii="Times New Roman" w:hAnsi="Times New Roman"/>
        </w:rPr>
        <w:t>taking into account</w:t>
      </w:r>
      <w:proofErr w:type="gramEnd"/>
      <w:r w:rsidR="00E02705" w:rsidRPr="00DF5070">
        <w:rPr>
          <w:rFonts w:ascii="Times New Roman" w:hAnsi="Times New Roman"/>
        </w:rPr>
        <w:t xml:space="preserve"> </w:t>
      </w:r>
      <w:r w:rsidR="00607475" w:rsidRPr="00DF5070">
        <w:rPr>
          <w:rFonts w:ascii="Times New Roman" w:hAnsi="Times New Roman"/>
        </w:rPr>
        <w:t xml:space="preserve">other factors of the kind adverted to by French J in </w:t>
      </w:r>
      <w:r w:rsidR="00607475" w:rsidRPr="00DF5070">
        <w:rPr>
          <w:rFonts w:ascii="Times New Roman" w:hAnsi="Times New Roman"/>
          <w:i/>
          <w:iCs/>
        </w:rPr>
        <w:t>CSR</w:t>
      </w:r>
      <w:r w:rsidR="00607475" w:rsidRPr="00DF5070">
        <w:rPr>
          <w:rFonts w:ascii="Times New Roman" w:hAnsi="Times New Roman"/>
        </w:rPr>
        <w:t xml:space="preserve">. For example, where those responsible for a contravention of the Act express genuine remorse for the contravention, </w:t>
      </w:r>
      <w:r w:rsidR="0043140B" w:rsidRPr="00DF5070">
        <w:rPr>
          <w:rFonts w:ascii="Times New Roman" w:hAnsi="Times New Roman"/>
        </w:rPr>
        <w:t xml:space="preserve">it might be considered </w:t>
      </w:r>
      <w:r w:rsidR="00607475" w:rsidRPr="00DF5070">
        <w:rPr>
          <w:rFonts w:ascii="Times New Roman" w:hAnsi="Times New Roman"/>
        </w:rPr>
        <w:t xml:space="preserve">appropriate to impose </w:t>
      </w:r>
      <w:r w:rsidR="0043140B" w:rsidRPr="00DF5070">
        <w:rPr>
          <w:rFonts w:ascii="Times New Roman" w:hAnsi="Times New Roman"/>
        </w:rPr>
        <w:t>only</w:t>
      </w:r>
      <w:r w:rsidR="00607475" w:rsidRPr="00DF5070">
        <w:rPr>
          <w:rFonts w:ascii="Times New Roman" w:hAnsi="Times New Roman"/>
        </w:rPr>
        <w:t xml:space="preserve"> a moderate penalty because no more would be necessary to incentivise the </w:t>
      </w:r>
      <w:proofErr w:type="spellStart"/>
      <w:r w:rsidR="00607475" w:rsidRPr="00DF5070">
        <w:rPr>
          <w:rFonts w:ascii="Times New Roman" w:hAnsi="Times New Roman"/>
        </w:rPr>
        <w:t>contraven</w:t>
      </w:r>
      <w:r w:rsidR="007E6925" w:rsidRPr="00DF5070">
        <w:rPr>
          <w:rFonts w:ascii="Times New Roman" w:hAnsi="Times New Roman"/>
        </w:rPr>
        <w:t>o</w:t>
      </w:r>
      <w:r w:rsidR="00607475" w:rsidRPr="00DF5070">
        <w:rPr>
          <w:rFonts w:ascii="Times New Roman" w:hAnsi="Times New Roman"/>
        </w:rPr>
        <w:t>rs</w:t>
      </w:r>
      <w:proofErr w:type="spellEnd"/>
      <w:r w:rsidR="00607475" w:rsidRPr="00DF5070">
        <w:rPr>
          <w:rFonts w:ascii="Times New Roman" w:hAnsi="Times New Roman"/>
        </w:rPr>
        <w:t xml:space="preserve"> to remain mindful of their remorse and their public expressions of that remorse to the </w:t>
      </w:r>
      <w:r w:rsidR="00607475" w:rsidRPr="00DF5070">
        <w:rPr>
          <w:rFonts w:ascii="Times New Roman" w:hAnsi="Times New Roman"/>
        </w:rPr>
        <w:lastRenderedPageBreak/>
        <w:t xml:space="preserve">court. Similarly, where the occasion in which a contravention occurred is unlikely to arise in the future because of changes in the membership of an industrial organisation, a modest penalty </w:t>
      </w:r>
      <w:r w:rsidR="0043140B" w:rsidRPr="00DF5070">
        <w:rPr>
          <w:rFonts w:ascii="Times New Roman" w:hAnsi="Times New Roman"/>
        </w:rPr>
        <w:t xml:space="preserve">may </w:t>
      </w:r>
      <w:r w:rsidR="00607475" w:rsidRPr="00DF5070">
        <w:rPr>
          <w:rFonts w:ascii="Times New Roman" w:hAnsi="Times New Roman"/>
        </w:rPr>
        <w:t>be appropriate having regard to the reduced risk of future contravention</w:t>
      </w:r>
      <w:r w:rsidR="0043140B" w:rsidRPr="00DF5070">
        <w:rPr>
          <w:rFonts w:ascii="Times New Roman" w:hAnsi="Times New Roman"/>
        </w:rPr>
        <w:t>s</w:t>
      </w:r>
      <w:r w:rsidR="00607475" w:rsidRPr="00DF5070">
        <w:rPr>
          <w:rFonts w:ascii="Times New Roman" w:hAnsi="Times New Roman"/>
        </w:rPr>
        <w:t xml:space="preserve">. </w:t>
      </w:r>
    </w:p>
    <w:p w14:paraId="68B34B32" w14:textId="405EE1AD" w:rsidR="00DE3802" w:rsidRPr="00DF5070" w:rsidRDefault="006913FA"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607475" w:rsidRPr="00DF5070">
        <w:rPr>
          <w:rFonts w:ascii="Times New Roman" w:hAnsi="Times New Roman"/>
        </w:rPr>
        <w:t xml:space="preserve">It is not necessary to multiply examples further. It is </w:t>
      </w:r>
      <w:proofErr w:type="gramStart"/>
      <w:r w:rsidR="00607475" w:rsidRPr="00DF5070">
        <w:rPr>
          <w:rFonts w:ascii="Times New Roman" w:hAnsi="Times New Roman"/>
        </w:rPr>
        <w:t>sufficient</w:t>
      </w:r>
      <w:proofErr w:type="gramEnd"/>
      <w:r w:rsidR="00607475" w:rsidRPr="00DF5070">
        <w:rPr>
          <w:rFonts w:ascii="Times New Roman" w:hAnsi="Times New Roman"/>
        </w:rPr>
        <w:t xml:space="preserve"> to say that a </w:t>
      </w:r>
      <w:r w:rsidR="000E7374" w:rsidRPr="00DF5070">
        <w:rPr>
          <w:rFonts w:ascii="Times New Roman" w:hAnsi="Times New Roman"/>
        </w:rPr>
        <w:t xml:space="preserve">court </w:t>
      </w:r>
      <w:r w:rsidR="00607475" w:rsidRPr="00DF5070">
        <w:rPr>
          <w:rFonts w:ascii="Times New Roman" w:hAnsi="Times New Roman"/>
        </w:rPr>
        <w:t>empowered by s 546 to impose a</w:t>
      </w:r>
      <w:r w:rsidR="0043140B" w:rsidRPr="00DF5070">
        <w:rPr>
          <w:rFonts w:ascii="Times New Roman" w:hAnsi="Times New Roman"/>
        </w:rPr>
        <w:t>n "appropriate"</w:t>
      </w:r>
      <w:r w:rsidR="00607475" w:rsidRPr="00DF5070">
        <w:rPr>
          <w:rFonts w:ascii="Times New Roman" w:hAnsi="Times New Roman"/>
        </w:rPr>
        <w:t xml:space="preserve"> penalty must act fairly and reasonably for the purpose of protecting the </w:t>
      </w:r>
      <w:r w:rsidR="000A4454" w:rsidRPr="00DF5070">
        <w:rPr>
          <w:rFonts w:ascii="Times New Roman" w:hAnsi="Times New Roman"/>
        </w:rPr>
        <w:t>public interest</w:t>
      </w:r>
      <w:r w:rsidR="00607475" w:rsidRPr="00DF5070">
        <w:rPr>
          <w:rFonts w:ascii="Times New Roman" w:hAnsi="Times New Roman"/>
        </w:rPr>
        <w:t xml:space="preserve"> </w:t>
      </w:r>
      <w:r w:rsidR="0043140B" w:rsidRPr="00DF5070">
        <w:rPr>
          <w:rFonts w:ascii="Times New Roman" w:hAnsi="Times New Roman"/>
        </w:rPr>
        <w:t xml:space="preserve">by deterring </w:t>
      </w:r>
      <w:r w:rsidR="00607475" w:rsidRPr="00DF5070">
        <w:rPr>
          <w:rFonts w:ascii="Times New Roman" w:hAnsi="Times New Roman"/>
        </w:rPr>
        <w:t>future contraventions of the Act.</w:t>
      </w:r>
    </w:p>
    <w:p w14:paraId="2F2C6A56" w14:textId="3968B539" w:rsidR="003553E4" w:rsidRPr="00DF5070" w:rsidRDefault="003553E4" w:rsidP="00DF5070">
      <w:pPr>
        <w:pStyle w:val="HeadingL1"/>
        <w:spacing w:after="260" w:line="280" w:lineRule="exact"/>
        <w:ind w:right="0"/>
        <w:jc w:val="both"/>
        <w:rPr>
          <w:rFonts w:ascii="Times New Roman" w:hAnsi="Times New Roman"/>
        </w:rPr>
      </w:pPr>
      <w:r w:rsidRPr="00DF5070">
        <w:rPr>
          <w:rFonts w:ascii="Times New Roman" w:hAnsi="Times New Roman"/>
        </w:rPr>
        <w:t>Not the "worst case"</w:t>
      </w:r>
    </w:p>
    <w:p w14:paraId="144EBF48" w14:textId="2C236C4E" w:rsidR="004B15F1" w:rsidRPr="00DF5070" w:rsidRDefault="003553E4"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244452" w:rsidRPr="00DF5070">
        <w:rPr>
          <w:rFonts w:ascii="Times New Roman" w:hAnsi="Times New Roman"/>
        </w:rPr>
        <w:t xml:space="preserve">The Full Court erred in treating the statutory maximum as </w:t>
      </w:r>
      <w:r w:rsidR="00B13EDA" w:rsidRPr="00DF5070">
        <w:rPr>
          <w:rFonts w:ascii="Times New Roman" w:hAnsi="Times New Roman"/>
        </w:rPr>
        <w:t xml:space="preserve">implicitly requiring </w:t>
      </w:r>
      <w:r w:rsidR="00244452" w:rsidRPr="00DF5070">
        <w:rPr>
          <w:rFonts w:ascii="Times New Roman" w:hAnsi="Times New Roman"/>
        </w:rPr>
        <w:t xml:space="preserve">that contraventions be graded on a scale of increasing seriousness, with the maximum to be reserved </w:t>
      </w:r>
      <w:r w:rsidR="00BB286C" w:rsidRPr="00DF5070">
        <w:rPr>
          <w:rFonts w:ascii="Times New Roman" w:hAnsi="Times New Roman"/>
        </w:rPr>
        <w:t xml:space="preserve">exclusively </w:t>
      </w:r>
      <w:r w:rsidR="00244452" w:rsidRPr="00DF5070">
        <w:rPr>
          <w:rFonts w:ascii="Times New Roman" w:hAnsi="Times New Roman"/>
        </w:rPr>
        <w:t>for the worst category of contravening conduct.</w:t>
      </w:r>
      <w:r w:rsidR="00BB286C" w:rsidRPr="00DF5070">
        <w:rPr>
          <w:rFonts w:ascii="Times New Roman" w:hAnsi="Times New Roman"/>
        </w:rPr>
        <w:t xml:space="preserve"> </w:t>
      </w:r>
      <w:r w:rsidR="00244452" w:rsidRPr="00DF5070">
        <w:rPr>
          <w:rFonts w:ascii="Times New Roman" w:hAnsi="Times New Roman"/>
        </w:rPr>
        <w:t>Nothing in the text of s 546</w:t>
      </w:r>
      <w:r w:rsidR="000A4454" w:rsidRPr="00DF5070">
        <w:rPr>
          <w:rFonts w:ascii="Times New Roman" w:hAnsi="Times New Roman"/>
        </w:rPr>
        <w:t>,</w:t>
      </w:r>
      <w:r w:rsidR="00244452" w:rsidRPr="00DF5070">
        <w:rPr>
          <w:rFonts w:ascii="Times New Roman" w:hAnsi="Times New Roman"/>
        </w:rPr>
        <w:t xml:space="preserve"> or its broader context</w:t>
      </w:r>
      <w:r w:rsidR="000A4454" w:rsidRPr="00DF5070">
        <w:rPr>
          <w:rFonts w:ascii="Times New Roman" w:hAnsi="Times New Roman"/>
        </w:rPr>
        <w:t>,</w:t>
      </w:r>
      <w:r w:rsidR="00244452" w:rsidRPr="00DF5070">
        <w:rPr>
          <w:rFonts w:ascii="Times New Roman" w:hAnsi="Times New Roman"/>
        </w:rPr>
        <w:t xml:space="preserve"> requires that the maximum </w:t>
      </w:r>
      <w:r w:rsidR="00247285" w:rsidRPr="00DF5070">
        <w:rPr>
          <w:rFonts w:ascii="Times New Roman" w:hAnsi="Times New Roman"/>
        </w:rPr>
        <w:t>constrain the statutory discretion in this way</w:t>
      </w:r>
      <w:r w:rsidR="00244452" w:rsidRPr="00DF5070">
        <w:rPr>
          <w:rFonts w:ascii="Times New Roman" w:hAnsi="Times New Roman"/>
        </w:rPr>
        <w:t xml:space="preserve">. </w:t>
      </w:r>
    </w:p>
    <w:p w14:paraId="7E4711B7" w14:textId="1992BCDC" w:rsidR="006E24F9" w:rsidRPr="00DF5070" w:rsidRDefault="006E24F9"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This Court's </w:t>
      </w:r>
      <w:r w:rsidR="00247285" w:rsidRPr="00DF5070">
        <w:rPr>
          <w:rFonts w:ascii="Times New Roman" w:hAnsi="Times New Roman"/>
        </w:rPr>
        <w:t>reasoning</w:t>
      </w:r>
      <w:r w:rsidRPr="00DF5070">
        <w:rPr>
          <w:rFonts w:ascii="Times New Roman" w:hAnsi="Times New Roman"/>
        </w:rPr>
        <w:t xml:space="preserve"> in the </w:t>
      </w:r>
      <w:r w:rsidRPr="00DF5070">
        <w:rPr>
          <w:rFonts w:ascii="Times New Roman" w:hAnsi="Times New Roman"/>
          <w:i/>
          <w:iCs/>
        </w:rPr>
        <w:t>Agreed Penalties Case</w:t>
      </w:r>
      <w:r w:rsidRPr="00DF5070">
        <w:rPr>
          <w:rFonts w:ascii="Times New Roman" w:hAnsi="Times New Roman"/>
        </w:rPr>
        <w:t xml:space="preserve"> is distinctly inconsistent with the notion that the maximum penalty may only be imposed in respect of contravening conduct of the most serious kind. Considerations of deterrence, and the protection of the public interest, justify the imposition of the maximum penalty where it is apparent that no lesser penalty will be an effective deterrent</w:t>
      </w:r>
      <w:r w:rsidR="00247285" w:rsidRPr="00DF5070">
        <w:rPr>
          <w:rFonts w:ascii="Times New Roman" w:hAnsi="Times New Roman"/>
        </w:rPr>
        <w:t xml:space="preserve"> against further contraventions</w:t>
      </w:r>
      <w:r w:rsidR="00F3554B" w:rsidRPr="00DF5070">
        <w:rPr>
          <w:rFonts w:ascii="Times New Roman" w:hAnsi="Times New Roman"/>
        </w:rPr>
        <w:t xml:space="preserve"> of a like kind</w:t>
      </w:r>
      <w:r w:rsidRPr="00DF5070">
        <w:rPr>
          <w:rFonts w:ascii="Times New Roman" w:hAnsi="Times New Roman"/>
        </w:rPr>
        <w:t xml:space="preserve">. Where a contravention is an example of adherence to a </w:t>
      </w:r>
      <w:r w:rsidR="00247285" w:rsidRPr="00DF5070">
        <w:rPr>
          <w:rFonts w:ascii="Times New Roman" w:hAnsi="Times New Roman"/>
        </w:rPr>
        <w:t>strategy</w:t>
      </w:r>
      <w:r w:rsidRPr="00DF5070">
        <w:rPr>
          <w:rFonts w:ascii="Times New Roman" w:hAnsi="Times New Roman"/>
        </w:rPr>
        <w:t xml:space="preserve"> of choosing to pay a penalty in preference to obeying the law, the court may reasonably fix a penalty at the maximum set by statute with a view to making continued adherence to that </w:t>
      </w:r>
      <w:r w:rsidR="00247285" w:rsidRPr="00DF5070">
        <w:rPr>
          <w:rFonts w:ascii="Times New Roman" w:hAnsi="Times New Roman"/>
        </w:rPr>
        <w:t>strategy</w:t>
      </w:r>
      <w:r w:rsidRPr="00DF5070">
        <w:rPr>
          <w:rFonts w:ascii="Times New Roman" w:hAnsi="Times New Roman"/>
        </w:rPr>
        <w:t xml:space="preserve"> in the ongoing </w:t>
      </w:r>
      <w:r w:rsidR="00247285" w:rsidRPr="00DF5070">
        <w:rPr>
          <w:rFonts w:ascii="Times New Roman" w:hAnsi="Times New Roman"/>
        </w:rPr>
        <w:t>conduct</w:t>
      </w:r>
      <w:r w:rsidRPr="00DF5070">
        <w:rPr>
          <w:rFonts w:ascii="Times New Roman" w:hAnsi="Times New Roman"/>
        </w:rPr>
        <w:t xml:space="preserve"> of </w:t>
      </w:r>
      <w:r w:rsidR="00247285" w:rsidRPr="00DF5070">
        <w:rPr>
          <w:rFonts w:ascii="Times New Roman" w:hAnsi="Times New Roman"/>
        </w:rPr>
        <w:t xml:space="preserve">the </w:t>
      </w:r>
      <w:proofErr w:type="spellStart"/>
      <w:r w:rsidR="00247285" w:rsidRPr="00DF5070">
        <w:rPr>
          <w:rFonts w:ascii="Times New Roman" w:hAnsi="Times New Roman"/>
        </w:rPr>
        <w:t>contravenor's</w:t>
      </w:r>
      <w:proofErr w:type="spellEnd"/>
      <w:r w:rsidR="00247285" w:rsidRPr="00DF5070">
        <w:rPr>
          <w:rFonts w:ascii="Times New Roman" w:hAnsi="Times New Roman"/>
        </w:rPr>
        <w:t xml:space="preserve"> affairs </w:t>
      </w:r>
      <w:r w:rsidRPr="00DF5070">
        <w:rPr>
          <w:rFonts w:ascii="Times New Roman" w:hAnsi="Times New Roman"/>
        </w:rPr>
        <w:t>as unattractive as it is open to the court reasonably to do.</w:t>
      </w:r>
    </w:p>
    <w:p w14:paraId="06152CE3" w14:textId="2DFF8C1C" w:rsidR="004B15F1" w:rsidRPr="00DF5070" w:rsidRDefault="004B15F1"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247285" w:rsidRPr="00DF5070">
        <w:rPr>
          <w:rFonts w:ascii="Times New Roman" w:hAnsi="Times New Roman"/>
        </w:rPr>
        <w:t>I</w:t>
      </w:r>
      <w:r w:rsidRPr="00DF5070">
        <w:rPr>
          <w:rFonts w:ascii="Times New Roman" w:hAnsi="Times New Roman"/>
        </w:rPr>
        <w:t xml:space="preserve">n regarding the statutory maximum penalty as having a role </w:t>
      </w:r>
      <w:r w:rsidR="00AB7084" w:rsidRPr="00DF5070">
        <w:rPr>
          <w:rFonts w:ascii="Times New Roman" w:hAnsi="Times New Roman"/>
        </w:rPr>
        <w:t xml:space="preserve">in a civil penalty context </w:t>
      </w:r>
      <w:r w:rsidRPr="00DF5070">
        <w:rPr>
          <w:rFonts w:ascii="Times New Roman" w:hAnsi="Times New Roman"/>
        </w:rPr>
        <w:t>as some kind of grad</w:t>
      </w:r>
      <w:r w:rsidR="00FC5739" w:rsidRPr="00DF5070">
        <w:rPr>
          <w:rFonts w:ascii="Times New Roman" w:hAnsi="Times New Roman"/>
        </w:rPr>
        <w:t>u</w:t>
      </w:r>
      <w:r w:rsidRPr="00DF5070">
        <w:rPr>
          <w:rFonts w:ascii="Times New Roman" w:hAnsi="Times New Roman"/>
        </w:rPr>
        <w:t xml:space="preserve">ated scale by which </w:t>
      </w:r>
      <w:r w:rsidR="00AB7084" w:rsidRPr="00DF5070">
        <w:rPr>
          <w:rFonts w:ascii="Times New Roman" w:hAnsi="Times New Roman"/>
        </w:rPr>
        <w:t xml:space="preserve">contraventions are to be categorised in order of seriousness and corresponding penalty, the Full Court attempted to transplant a </w:t>
      </w:r>
      <w:r w:rsidR="00EC0A15" w:rsidRPr="00DF5070">
        <w:rPr>
          <w:rFonts w:ascii="Times New Roman" w:hAnsi="Times New Roman"/>
        </w:rPr>
        <w:t>concept of retributive justice, the</w:t>
      </w:r>
      <w:r w:rsidR="00AB7084" w:rsidRPr="00DF5070">
        <w:rPr>
          <w:rFonts w:ascii="Times New Roman" w:hAnsi="Times New Roman"/>
        </w:rPr>
        <w:t xml:space="preserve"> origins </w:t>
      </w:r>
      <w:r w:rsidR="00EC0A15" w:rsidRPr="00DF5070">
        <w:rPr>
          <w:rFonts w:ascii="Times New Roman" w:hAnsi="Times New Roman"/>
        </w:rPr>
        <w:t xml:space="preserve">of which are to be found </w:t>
      </w:r>
      <w:r w:rsidR="00AB7084" w:rsidRPr="00DF5070">
        <w:rPr>
          <w:rFonts w:ascii="Times New Roman" w:hAnsi="Times New Roman"/>
        </w:rPr>
        <w:t>in the criminal law</w:t>
      </w:r>
      <w:r w:rsidR="00EC0A15" w:rsidRPr="00DF5070">
        <w:rPr>
          <w:rFonts w:ascii="Times New Roman" w:hAnsi="Times New Roman"/>
        </w:rPr>
        <w:t xml:space="preserve">, </w:t>
      </w:r>
      <w:r w:rsidR="00AB7084" w:rsidRPr="00DF5070">
        <w:rPr>
          <w:rFonts w:ascii="Times New Roman" w:hAnsi="Times New Roman"/>
        </w:rPr>
        <w:t xml:space="preserve">into a civil penalty regime in which retribution has no role to play. This "yardstick" </w:t>
      </w:r>
      <w:r w:rsidR="00F77B75" w:rsidRPr="00DF5070">
        <w:rPr>
          <w:rFonts w:ascii="Times New Roman" w:hAnsi="Times New Roman"/>
        </w:rPr>
        <w:t>understanding</w:t>
      </w:r>
      <w:r w:rsidR="00AB7084" w:rsidRPr="00DF5070">
        <w:rPr>
          <w:rFonts w:ascii="Times New Roman" w:hAnsi="Times New Roman"/>
        </w:rPr>
        <w:t xml:space="preserve"> of the maximum penalty, with its focus on the objective seriousness or gravity of a contravention, is reminiscent of </w:t>
      </w:r>
      <w:r w:rsidR="00F77B75" w:rsidRPr="00DF5070">
        <w:rPr>
          <w:rFonts w:ascii="Times New Roman" w:hAnsi="Times New Roman"/>
        </w:rPr>
        <w:lastRenderedPageBreak/>
        <w:t xml:space="preserve">retributive </w:t>
      </w:r>
      <w:r w:rsidR="00AB7084" w:rsidRPr="00DF5070">
        <w:rPr>
          <w:rFonts w:ascii="Times New Roman" w:hAnsi="Times New Roman"/>
        </w:rPr>
        <w:t xml:space="preserve">notions of </w:t>
      </w:r>
      <w:r w:rsidR="000A4454" w:rsidRPr="00DF5070">
        <w:rPr>
          <w:rFonts w:ascii="Times New Roman" w:hAnsi="Times New Roman"/>
        </w:rPr>
        <w:t>"</w:t>
      </w:r>
      <w:r w:rsidR="00AB7084" w:rsidRPr="00DF5070">
        <w:rPr>
          <w:rFonts w:ascii="Times New Roman" w:hAnsi="Times New Roman"/>
        </w:rPr>
        <w:t>just deserts</w:t>
      </w:r>
      <w:r w:rsidR="000A4454" w:rsidRPr="00DF5070">
        <w:rPr>
          <w:rFonts w:ascii="Times New Roman" w:hAnsi="Times New Roman"/>
        </w:rPr>
        <w:t>"</w:t>
      </w:r>
      <w:r w:rsidR="007055E8" w:rsidRPr="00DF5070">
        <w:rPr>
          <w:rStyle w:val="FootnoteReference"/>
          <w:rFonts w:ascii="Times New Roman" w:hAnsi="Times New Roman"/>
          <w:sz w:val="24"/>
        </w:rPr>
        <w:footnoteReference w:id="78"/>
      </w:r>
      <w:r w:rsidR="00AB7084" w:rsidRPr="00DF5070">
        <w:rPr>
          <w:rFonts w:ascii="Times New Roman" w:hAnsi="Times New Roman"/>
        </w:rPr>
        <w:t xml:space="preserve"> and the adage that the punishment </w:t>
      </w:r>
      <w:r w:rsidR="005D2CAD" w:rsidRPr="00DF5070">
        <w:rPr>
          <w:rFonts w:ascii="Times New Roman" w:hAnsi="Times New Roman"/>
        </w:rPr>
        <w:t xml:space="preserve">should </w:t>
      </w:r>
      <w:r w:rsidR="00AB7084" w:rsidRPr="00DF5070">
        <w:rPr>
          <w:rFonts w:ascii="Times New Roman" w:hAnsi="Times New Roman"/>
        </w:rPr>
        <w:t xml:space="preserve">fit the crime. </w:t>
      </w:r>
    </w:p>
    <w:p w14:paraId="6E9F4DB0" w14:textId="31251980" w:rsidR="00D31852" w:rsidRPr="00DF5070" w:rsidRDefault="00AB7084" w:rsidP="00DF5070">
      <w:pPr>
        <w:pStyle w:val="FixListStyle"/>
        <w:spacing w:after="260" w:line="280" w:lineRule="exact"/>
        <w:ind w:right="0"/>
        <w:jc w:val="both"/>
        <w:rPr>
          <w:rFonts w:ascii="Times New Roman" w:hAnsi="Times New Roman"/>
        </w:rPr>
      </w:pPr>
      <w:r w:rsidRPr="00DF5070">
        <w:rPr>
          <w:rFonts w:ascii="Times New Roman" w:hAnsi="Times New Roman"/>
        </w:rPr>
        <w:tab/>
        <w:t>It is</w:t>
      </w:r>
      <w:r w:rsidR="00730C8E" w:rsidRPr="00DF5070">
        <w:rPr>
          <w:rFonts w:ascii="Times New Roman" w:hAnsi="Times New Roman"/>
        </w:rPr>
        <w:t xml:space="preserve"> also</w:t>
      </w:r>
      <w:r w:rsidRPr="00DF5070">
        <w:rPr>
          <w:rFonts w:ascii="Times New Roman" w:hAnsi="Times New Roman"/>
        </w:rPr>
        <w:t xml:space="preserve"> instructive to note that, even in the criminal law, the role of the maximum penalty as a yardstick is not </w:t>
      </w:r>
      <w:proofErr w:type="gramStart"/>
      <w:r w:rsidRPr="00DF5070">
        <w:rPr>
          <w:rFonts w:ascii="Times New Roman" w:hAnsi="Times New Roman"/>
        </w:rPr>
        <w:t>controlling, and</w:t>
      </w:r>
      <w:proofErr w:type="gramEnd"/>
      <w:r w:rsidRPr="00DF5070">
        <w:rPr>
          <w:rFonts w:ascii="Times New Roman" w:hAnsi="Times New Roman"/>
        </w:rPr>
        <w:t xml:space="preserve"> must instead be balanced with all other relevant factors. </w:t>
      </w:r>
      <w:r w:rsidR="00D31852" w:rsidRPr="00DF5070">
        <w:rPr>
          <w:rFonts w:ascii="Times New Roman" w:hAnsi="Times New Roman"/>
        </w:rPr>
        <w:t xml:space="preserve">In </w:t>
      </w:r>
      <w:r w:rsidR="00D31852" w:rsidRPr="00DF5070">
        <w:rPr>
          <w:rFonts w:ascii="Times New Roman" w:hAnsi="Times New Roman"/>
          <w:i/>
          <w:iCs/>
        </w:rPr>
        <w:t>Markarian v The Queen</w:t>
      </w:r>
      <w:r w:rsidR="00D31852" w:rsidRPr="00DF5070">
        <w:rPr>
          <w:rStyle w:val="FootnoteReference"/>
          <w:rFonts w:ascii="Times New Roman" w:hAnsi="Times New Roman"/>
          <w:iCs/>
          <w:sz w:val="24"/>
        </w:rPr>
        <w:footnoteReference w:id="79"/>
      </w:r>
      <w:r w:rsidR="00D31852" w:rsidRPr="00DF5070">
        <w:rPr>
          <w:rFonts w:ascii="Times New Roman" w:hAnsi="Times New Roman"/>
        </w:rPr>
        <w:t xml:space="preserve">, Gleeson CJ, </w:t>
      </w:r>
      <w:proofErr w:type="spellStart"/>
      <w:r w:rsidR="00D31852" w:rsidRPr="00DF5070">
        <w:rPr>
          <w:rFonts w:ascii="Times New Roman" w:hAnsi="Times New Roman"/>
        </w:rPr>
        <w:t>Gummow</w:t>
      </w:r>
      <w:proofErr w:type="spellEnd"/>
      <w:r w:rsidR="00D31852" w:rsidRPr="00DF5070">
        <w:rPr>
          <w:rFonts w:ascii="Times New Roman" w:hAnsi="Times New Roman"/>
        </w:rPr>
        <w:t xml:space="preserve">, Hayne and </w:t>
      </w:r>
      <w:proofErr w:type="spellStart"/>
      <w:r w:rsidR="00D31852" w:rsidRPr="00DF5070">
        <w:rPr>
          <w:rFonts w:ascii="Times New Roman" w:hAnsi="Times New Roman"/>
        </w:rPr>
        <w:t>Callinan</w:t>
      </w:r>
      <w:proofErr w:type="spellEnd"/>
      <w:r w:rsidR="00D31852" w:rsidRPr="00DF5070">
        <w:rPr>
          <w:rFonts w:ascii="Times New Roman" w:hAnsi="Times New Roman"/>
        </w:rPr>
        <w:t> JJ said:</w:t>
      </w:r>
    </w:p>
    <w:p w14:paraId="478414CA" w14:textId="77777777" w:rsidR="00DF5070" w:rsidRDefault="00D31852" w:rsidP="00DF5070">
      <w:pPr>
        <w:pStyle w:val="LeftrightafterHC"/>
        <w:spacing w:before="0" w:after="260" w:line="280" w:lineRule="exact"/>
        <w:ind w:right="0"/>
        <w:jc w:val="both"/>
        <w:rPr>
          <w:rFonts w:ascii="Times New Roman" w:hAnsi="Times New Roman"/>
        </w:rPr>
      </w:pPr>
      <w:r w:rsidRPr="00DF5070">
        <w:rPr>
          <w:rFonts w:ascii="Times New Roman" w:hAnsi="Times New Roman"/>
        </w:rPr>
        <w:t>"</w:t>
      </w:r>
      <w:r w:rsidR="004C6338" w:rsidRPr="00DF5070">
        <w:rPr>
          <w:rFonts w:ascii="Times New Roman" w:hAnsi="Times New Roman"/>
        </w:rPr>
        <w:t>[</w:t>
      </w:r>
      <w:r w:rsidRPr="00DF5070">
        <w:rPr>
          <w:rFonts w:ascii="Times New Roman" w:hAnsi="Times New Roman"/>
        </w:rPr>
        <w:t>C</w:t>
      </w:r>
      <w:r w:rsidR="004C6338" w:rsidRPr="00DF5070">
        <w:rPr>
          <w:rFonts w:ascii="Times New Roman" w:hAnsi="Times New Roman"/>
        </w:rPr>
        <w:t>]</w:t>
      </w:r>
      <w:proofErr w:type="spellStart"/>
      <w:r w:rsidRPr="00DF5070">
        <w:rPr>
          <w:rFonts w:ascii="Times New Roman" w:hAnsi="Times New Roman"/>
        </w:rPr>
        <w:t>areful</w:t>
      </w:r>
      <w:proofErr w:type="spellEnd"/>
      <w:r w:rsidRPr="00DF5070">
        <w:rPr>
          <w:rFonts w:ascii="Times New Roman" w:hAnsi="Times New Roman"/>
        </w:rPr>
        <w:t xml:space="preserve"> attention to maximum penalties will almost always be required, first because the legislature has legislated for them; secondly, because they invite comparison between the worst possible case </w:t>
      </w:r>
      <w:r w:rsidR="000002DB" w:rsidRPr="00DF5070">
        <w:rPr>
          <w:rFonts w:ascii="Times New Roman" w:hAnsi="Times New Roman"/>
        </w:rPr>
        <w:t xml:space="preserve">and the case </w:t>
      </w:r>
      <w:r w:rsidRPr="00DF5070">
        <w:rPr>
          <w:rFonts w:ascii="Times New Roman" w:hAnsi="Times New Roman"/>
        </w:rPr>
        <w:t xml:space="preserve">before the court at the time; and thirdly, because in that regard they do provide, </w:t>
      </w:r>
      <w:r w:rsidRPr="00DF5070">
        <w:rPr>
          <w:rFonts w:ascii="Times New Roman" w:hAnsi="Times New Roman"/>
          <w:i/>
        </w:rPr>
        <w:t>taken and balanced with all of the other relevant factors</w:t>
      </w:r>
      <w:r w:rsidRPr="00DF5070">
        <w:rPr>
          <w:rFonts w:ascii="Times New Roman" w:hAnsi="Times New Roman"/>
        </w:rPr>
        <w:t>, a yardstick."</w:t>
      </w:r>
      <w:r w:rsidR="000002DB" w:rsidRPr="00DF5070">
        <w:rPr>
          <w:rFonts w:ascii="Times New Roman" w:hAnsi="Times New Roman"/>
        </w:rPr>
        <w:t xml:space="preserve"> (emphasis added)</w:t>
      </w:r>
    </w:p>
    <w:p w14:paraId="0B9DD618" w14:textId="0E9A10D3" w:rsidR="00D31852" w:rsidRPr="00DF5070" w:rsidRDefault="00D31852"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In a civil penalty context, the relevance of </w:t>
      </w:r>
      <w:r w:rsidR="003418BC" w:rsidRPr="00DF5070">
        <w:rPr>
          <w:rFonts w:ascii="Times New Roman" w:hAnsi="Times New Roman"/>
        </w:rPr>
        <w:t xml:space="preserve">a </w:t>
      </w:r>
      <w:r w:rsidRPr="00DF5070">
        <w:rPr>
          <w:rFonts w:ascii="Times New Roman" w:hAnsi="Times New Roman"/>
        </w:rPr>
        <w:t>prescribed maximum penalt</w:t>
      </w:r>
      <w:r w:rsidR="003418BC" w:rsidRPr="00DF5070">
        <w:rPr>
          <w:rFonts w:ascii="Times New Roman" w:hAnsi="Times New Roman"/>
        </w:rPr>
        <w:t>y</w:t>
      </w:r>
      <w:r w:rsidRPr="00DF5070">
        <w:rPr>
          <w:rFonts w:ascii="Times New Roman" w:hAnsi="Times New Roman"/>
        </w:rPr>
        <w:t xml:space="preserve"> as a yardstick was explained by the Full Court of the Federal Court in </w:t>
      </w:r>
      <w:r w:rsidRPr="00DF5070">
        <w:rPr>
          <w:rFonts w:ascii="Times New Roman" w:hAnsi="Times New Roman"/>
          <w:i/>
          <w:iCs/>
        </w:rPr>
        <w:t>Reckitt Benckiser</w:t>
      </w:r>
      <w:r w:rsidRPr="00DF5070">
        <w:rPr>
          <w:rStyle w:val="FootnoteReference"/>
          <w:rFonts w:ascii="Times New Roman" w:hAnsi="Times New Roman"/>
          <w:iCs/>
          <w:sz w:val="24"/>
        </w:rPr>
        <w:footnoteReference w:id="80"/>
      </w:r>
      <w:r w:rsidRPr="00DF5070">
        <w:rPr>
          <w:rFonts w:ascii="Times New Roman" w:hAnsi="Times New Roman"/>
        </w:rPr>
        <w:t xml:space="preserve">, where their Honours, citing </w:t>
      </w:r>
      <w:r w:rsidRPr="00DF5070">
        <w:rPr>
          <w:rFonts w:ascii="Times New Roman" w:hAnsi="Times New Roman"/>
          <w:i/>
        </w:rPr>
        <w:t>Markarian</w:t>
      </w:r>
      <w:r w:rsidRPr="00DF5070">
        <w:rPr>
          <w:rFonts w:ascii="Times New Roman" w:hAnsi="Times New Roman"/>
        </w:rPr>
        <w:t>, said:</w:t>
      </w:r>
    </w:p>
    <w:p w14:paraId="412B052D" w14:textId="299CD454" w:rsidR="00D31852" w:rsidRPr="00DF5070" w:rsidRDefault="00D31852" w:rsidP="00DF5070">
      <w:pPr>
        <w:pStyle w:val="LeftrightafterHC"/>
        <w:spacing w:before="0" w:after="260" w:line="280" w:lineRule="exact"/>
        <w:ind w:right="0"/>
        <w:jc w:val="both"/>
        <w:rPr>
          <w:rFonts w:ascii="Times New Roman" w:hAnsi="Times New Roman"/>
        </w:rPr>
      </w:pPr>
      <w:r w:rsidRPr="00DF5070">
        <w:rPr>
          <w:rFonts w:ascii="Times New Roman" w:hAnsi="Times New Roman"/>
        </w:rPr>
        <w:tab/>
        <w:t xml:space="preserve">"The reasoning in </w:t>
      </w:r>
      <w:r w:rsidRPr="00DF5070">
        <w:rPr>
          <w:rFonts w:ascii="Times New Roman" w:hAnsi="Times New Roman"/>
          <w:i/>
          <w:iCs/>
        </w:rPr>
        <w:t xml:space="preserve">Markarian </w:t>
      </w:r>
      <w:r w:rsidRPr="00DF5070">
        <w:rPr>
          <w:rFonts w:ascii="Times New Roman" w:hAnsi="Times New Roman"/>
        </w:rPr>
        <w:t>about the need to have regard to the maximum penalty when considering the quantum of a penalty has been accepted to apply to civil penalties in numerous decisions of this Court both at first instance and on appeal</w:t>
      </w:r>
      <w:r w:rsidR="006E24F9" w:rsidRPr="00DF5070">
        <w:rPr>
          <w:rFonts w:ascii="Times New Roman" w:hAnsi="Times New Roman"/>
        </w:rPr>
        <w:t>.</w:t>
      </w:r>
      <w:r w:rsidRPr="00DF5070">
        <w:rPr>
          <w:rFonts w:ascii="Times New Roman" w:hAnsi="Times New Roman"/>
        </w:rPr>
        <w:t xml:space="preserve"> As </w:t>
      </w:r>
      <w:r w:rsidRPr="00DF5070">
        <w:rPr>
          <w:rFonts w:ascii="Times New Roman" w:hAnsi="Times New Roman"/>
          <w:i/>
          <w:iCs/>
        </w:rPr>
        <w:t xml:space="preserve">Markarian </w:t>
      </w:r>
      <w:r w:rsidRPr="00DF5070">
        <w:rPr>
          <w:rFonts w:ascii="Times New Roman" w:hAnsi="Times New Roman"/>
        </w:rPr>
        <w:t>makes clear, the maximum penalty, while important, is but one yardstick that ordinarily must be applied.</w:t>
      </w:r>
    </w:p>
    <w:p w14:paraId="52B965E8" w14:textId="77777777" w:rsidR="00DF5070" w:rsidRDefault="00D31852" w:rsidP="00DF5070">
      <w:pPr>
        <w:pStyle w:val="leftright"/>
        <w:spacing w:before="0" w:after="260" w:line="280" w:lineRule="exact"/>
        <w:ind w:right="0"/>
        <w:jc w:val="both"/>
        <w:rPr>
          <w:rFonts w:ascii="Times New Roman" w:hAnsi="Times New Roman"/>
        </w:rPr>
      </w:pPr>
      <w:r w:rsidRPr="00DF5070">
        <w:rPr>
          <w:rFonts w:ascii="Times New Roman" w:hAnsi="Times New Roman"/>
        </w:rPr>
        <w:tab/>
        <w:t xml:space="preserve">Care must be taken to ensure that the maximum penalty is not applied mechanically, instead of it being treated as one of </w:t>
      </w:r>
      <w:proofErr w:type="gramStart"/>
      <w:r w:rsidRPr="00DF5070">
        <w:rPr>
          <w:rFonts w:ascii="Times New Roman" w:hAnsi="Times New Roman"/>
        </w:rPr>
        <w:t>a number of</w:t>
      </w:r>
      <w:proofErr w:type="gramEnd"/>
      <w:r w:rsidRPr="00DF5070">
        <w:rPr>
          <w:rFonts w:ascii="Times New Roman" w:hAnsi="Times New Roman"/>
        </w:rPr>
        <w:t xml:space="preserve"> relevant factors, albeit an important one. Put another way, a contravention that is objectively in the mid</w:t>
      </w:r>
      <w:r w:rsidRPr="00DF5070">
        <w:rPr>
          <w:rFonts w:ascii="Times New Roman" w:hAnsi="Times New Roman"/>
        </w:rPr>
        <w:noBreakHyphen/>
        <w:t xml:space="preserve">range of objective seriousness may not, for that reason alone, transpose into a penalty range somewhere in the middle between zero and the maximum penalty. Similarly, just because a contravention is towards either end of the spectrum of contraventions of its kind does not mean that the penalty must be towards the bottom or top of </w:t>
      </w:r>
      <w:r w:rsidRPr="00DF5070">
        <w:rPr>
          <w:rFonts w:ascii="Times New Roman" w:hAnsi="Times New Roman"/>
        </w:rPr>
        <w:lastRenderedPageBreak/>
        <w:t>the range respectively. However, ordinarily there must be some reasonable relationship between the theoretical maximum and the final penalty imposed."</w:t>
      </w:r>
      <w:r w:rsidR="00AD2494" w:rsidRPr="00DF5070">
        <w:rPr>
          <w:rFonts w:ascii="Times New Roman" w:hAnsi="Times New Roman"/>
        </w:rPr>
        <w:t xml:space="preserve"> (citations omitted)</w:t>
      </w:r>
    </w:p>
    <w:p w14:paraId="25200B3E" w14:textId="581903F3" w:rsidR="00D31852" w:rsidRPr="00DF5070" w:rsidRDefault="00D31852"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Two </w:t>
      </w:r>
      <w:r w:rsidR="00AD2494" w:rsidRPr="00DF5070">
        <w:rPr>
          <w:rFonts w:ascii="Times New Roman" w:hAnsi="Times New Roman"/>
        </w:rPr>
        <w:t>aspects of the Full Court's reasoning in</w:t>
      </w:r>
      <w:r w:rsidRPr="00DF5070">
        <w:rPr>
          <w:rFonts w:ascii="Times New Roman" w:hAnsi="Times New Roman"/>
        </w:rPr>
        <w:t xml:space="preserve"> this passage from </w:t>
      </w:r>
      <w:r w:rsidRPr="00DF5070">
        <w:rPr>
          <w:rFonts w:ascii="Times New Roman" w:hAnsi="Times New Roman"/>
          <w:i/>
        </w:rPr>
        <w:t>Reckitt Benckiser</w:t>
      </w:r>
      <w:r w:rsidR="00AD2494" w:rsidRPr="00DF5070">
        <w:rPr>
          <w:rFonts w:ascii="Times New Roman" w:hAnsi="Times New Roman"/>
          <w:i/>
        </w:rPr>
        <w:t xml:space="preserve"> </w:t>
      </w:r>
      <w:r w:rsidR="00AD2494" w:rsidRPr="00DF5070">
        <w:rPr>
          <w:rFonts w:ascii="Times New Roman" w:hAnsi="Times New Roman"/>
        </w:rPr>
        <w:t xml:space="preserve">deserve </w:t>
      </w:r>
      <w:proofErr w:type="gramStart"/>
      <w:r w:rsidR="00AD2494" w:rsidRPr="00DF5070">
        <w:rPr>
          <w:rFonts w:ascii="Times New Roman" w:hAnsi="Times New Roman"/>
        </w:rPr>
        <w:t>particular emphasis</w:t>
      </w:r>
      <w:proofErr w:type="gramEnd"/>
      <w:r w:rsidR="004C6338" w:rsidRPr="00DF5070">
        <w:rPr>
          <w:rFonts w:ascii="Times New Roman" w:hAnsi="Times New Roman"/>
        </w:rPr>
        <w:t xml:space="preserve"> here</w:t>
      </w:r>
      <w:r w:rsidRPr="00DF5070">
        <w:rPr>
          <w:rFonts w:ascii="Times New Roman" w:hAnsi="Times New Roman"/>
        </w:rPr>
        <w:t xml:space="preserve">. The first is their Honours' recognition that the maximum penalty is "but one yardstick that ordinarily must be applied" and must be treated "as one of a number of relevant factors". As has already been seen, </w:t>
      </w:r>
      <w:r w:rsidR="00AD2494" w:rsidRPr="00DF5070">
        <w:rPr>
          <w:rFonts w:ascii="Times New Roman" w:hAnsi="Times New Roman"/>
        </w:rPr>
        <w:t>o</w:t>
      </w:r>
      <w:r w:rsidRPr="00DF5070">
        <w:rPr>
          <w:rFonts w:ascii="Times New Roman" w:hAnsi="Times New Roman"/>
        </w:rPr>
        <w:t>the</w:t>
      </w:r>
      <w:r w:rsidR="00AD2494" w:rsidRPr="00DF5070">
        <w:rPr>
          <w:rFonts w:ascii="Times New Roman" w:hAnsi="Times New Roman"/>
        </w:rPr>
        <w:t>r</w:t>
      </w:r>
      <w:r w:rsidRPr="00DF5070">
        <w:rPr>
          <w:rFonts w:ascii="Times New Roman" w:hAnsi="Times New Roman"/>
        </w:rPr>
        <w:t xml:space="preserve"> factors </w:t>
      </w:r>
      <w:r w:rsidR="00557851" w:rsidRPr="00DF5070">
        <w:rPr>
          <w:rFonts w:ascii="Times New Roman" w:hAnsi="Times New Roman"/>
        </w:rPr>
        <w:t xml:space="preserve">relevant </w:t>
      </w:r>
      <w:r w:rsidRPr="00DF5070">
        <w:rPr>
          <w:rFonts w:ascii="Times New Roman" w:hAnsi="Times New Roman"/>
        </w:rPr>
        <w:t xml:space="preserve">for the purposes of the civil penalty regime include those identified by French J in </w:t>
      </w:r>
      <w:r w:rsidRPr="00DF5070">
        <w:rPr>
          <w:rFonts w:ascii="Times New Roman" w:hAnsi="Times New Roman"/>
          <w:i/>
          <w:iCs/>
        </w:rPr>
        <w:t>CSR</w:t>
      </w:r>
      <w:r w:rsidRPr="00DF5070">
        <w:rPr>
          <w:rFonts w:ascii="Times New Roman" w:hAnsi="Times New Roman"/>
        </w:rPr>
        <w:t xml:space="preserve">. </w:t>
      </w:r>
    </w:p>
    <w:p w14:paraId="2559601F" w14:textId="0C60BEF1" w:rsidR="00AB7084" w:rsidRPr="00DF5070" w:rsidRDefault="00D31852"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FD52BE" w:rsidRPr="00DF5070">
        <w:rPr>
          <w:rFonts w:ascii="Times New Roman" w:hAnsi="Times New Roman"/>
        </w:rPr>
        <w:t xml:space="preserve">The second </w:t>
      </w:r>
      <w:r w:rsidRPr="00DF5070">
        <w:rPr>
          <w:rFonts w:ascii="Times New Roman" w:hAnsi="Times New Roman"/>
        </w:rPr>
        <w:t xml:space="preserve">point </w:t>
      </w:r>
      <w:r w:rsidR="00730C8E" w:rsidRPr="00DF5070">
        <w:rPr>
          <w:rFonts w:ascii="Times New Roman" w:hAnsi="Times New Roman"/>
        </w:rPr>
        <w:t xml:space="preserve">is </w:t>
      </w:r>
      <w:r w:rsidRPr="00DF5070">
        <w:rPr>
          <w:rFonts w:ascii="Times New Roman" w:hAnsi="Times New Roman"/>
        </w:rPr>
        <w:t xml:space="preserve">that the maximum penalty does not </w:t>
      </w:r>
      <w:r w:rsidR="004A5868" w:rsidRPr="00DF5070">
        <w:rPr>
          <w:rFonts w:ascii="Times New Roman" w:hAnsi="Times New Roman"/>
        </w:rPr>
        <w:t>constrain</w:t>
      </w:r>
      <w:r w:rsidRPr="00DF5070">
        <w:rPr>
          <w:rFonts w:ascii="Times New Roman" w:hAnsi="Times New Roman"/>
        </w:rPr>
        <w:t xml:space="preserve"> the exercise of the discretion under s 546 (or its analogues in other Commonwealth legislation)</w:t>
      </w:r>
      <w:r w:rsidR="00FD52BE" w:rsidRPr="00DF5070">
        <w:rPr>
          <w:rFonts w:ascii="Times New Roman" w:hAnsi="Times New Roman"/>
        </w:rPr>
        <w:t>,</w:t>
      </w:r>
      <w:r w:rsidRPr="00DF5070">
        <w:rPr>
          <w:rFonts w:ascii="Times New Roman" w:hAnsi="Times New Roman"/>
        </w:rPr>
        <w:t xml:space="preserve"> beyond requiring "some reasonable relationship between the theoretical maximum and the final penalty imposed"</w:t>
      </w:r>
      <w:r w:rsidR="00FD52BE" w:rsidRPr="00DF5070">
        <w:rPr>
          <w:rFonts w:ascii="Times New Roman" w:hAnsi="Times New Roman"/>
        </w:rPr>
        <w:t>.</w:t>
      </w:r>
      <w:r w:rsidRPr="00DF5070">
        <w:rPr>
          <w:rFonts w:ascii="Times New Roman" w:hAnsi="Times New Roman"/>
        </w:rPr>
        <w:t xml:space="preserve"> This relationship of "reasonableness" may be established by reference to the circumstances of the </w:t>
      </w:r>
      <w:proofErr w:type="spellStart"/>
      <w:r w:rsidRPr="00DF5070">
        <w:rPr>
          <w:rFonts w:ascii="Times New Roman" w:hAnsi="Times New Roman"/>
        </w:rPr>
        <w:t>contravenor</w:t>
      </w:r>
      <w:proofErr w:type="spellEnd"/>
      <w:r w:rsidRPr="00DF5070">
        <w:rPr>
          <w:rFonts w:ascii="Times New Roman" w:hAnsi="Times New Roman"/>
        </w:rPr>
        <w:t xml:space="preserve"> as well as by the circumstances of the conduct involved in the contravention. That is so because either set of circumstances may have a bearing upon the extent of the need for deterrence in the penalty to be imposed. And these categories of circumstances may overlap.</w:t>
      </w:r>
    </w:p>
    <w:p w14:paraId="32136B3D" w14:textId="17838493" w:rsidR="00346917" w:rsidRPr="00DF5070" w:rsidRDefault="00346917" w:rsidP="00DF5070">
      <w:pPr>
        <w:pStyle w:val="HeadingL2"/>
        <w:spacing w:after="260" w:line="280" w:lineRule="exact"/>
        <w:ind w:right="0"/>
        <w:jc w:val="both"/>
        <w:rPr>
          <w:rFonts w:ascii="Times New Roman" w:hAnsi="Times New Roman"/>
        </w:rPr>
      </w:pPr>
      <w:r w:rsidRPr="00DF5070">
        <w:rPr>
          <w:rFonts w:ascii="Times New Roman" w:hAnsi="Times New Roman"/>
        </w:rPr>
        <w:t xml:space="preserve">Contravention vs </w:t>
      </w:r>
      <w:proofErr w:type="spellStart"/>
      <w:r w:rsidRPr="00DF5070">
        <w:rPr>
          <w:rFonts w:ascii="Times New Roman" w:hAnsi="Times New Roman"/>
        </w:rPr>
        <w:t>contravenor</w:t>
      </w:r>
      <w:proofErr w:type="spellEnd"/>
    </w:p>
    <w:p w14:paraId="454F461C" w14:textId="30024E6A" w:rsidR="00C41E78" w:rsidRPr="00DF5070" w:rsidRDefault="0011503F"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4235A7" w:rsidRPr="00DF5070">
        <w:rPr>
          <w:rFonts w:ascii="Times New Roman" w:hAnsi="Times New Roman"/>
        </w:rPr>
        <w:t>One way of characterising</w:t>
      </w:r>
      <w:r w:rsidR="008359FA" w:rsidRPr="00DF5070">
        <w:rPr>
          <w:rFonts w:ascii="Times New Roman" w:hAnsi="Times New Roman"/>
        </w:rPr>
        <w:t xml:space="preserve"> the error of the</w:t>
      </w:r>
      <w:r w:rsidR="002B71B0" w:rsidRPr="00DF5070">
        <w:rPr>
          <w:rFonts w:ascii="Times New Roman" w:hAnsi="Times New Roman"/>
        </w:rPr>
        <w:t xml:space="preserve"> Full Court was that, in reasoning to the conclusion that the </w:t>
      </w:r>
      <w:r w:rsidR="00705A64" w:rsidRPr="00DF5070">
        <w:rPr>
          <w:rFonts w:ascii="Times New Roman" w:hAnsi="Times New Roman"/>
        </w:rPr>
        <w:t xml:space="preserve">CFMMEU's </w:t>
      </w:r>
      <w:r w:rsidR="002B71B0" w:rsidRPr="00DF5070">
        <w:rPr>
          <w:rFonts w:ascii="Times New Roman" w:hAnsi="Times New Roman"/>
        </w:rPr>
        <w:t xml:space="preserve">contraventions were not deserving of the maximum penalty, it </w:t>
      </w:r>
      <w:r w:rsidR="008B5112" w:rsidRPr="00DF5070">
        <w:rPr>
          <w:rFonts w:ascii="Times New Roman" w:hAnsi="Times New Roman"/>
        </w:rPr>
        <w:t>sought to draw a sharp distinction</w:t>
      </w:r>
      <w:r w:rsidR="00196519" w:rsidRPr="00DF5070">
        <w:rPr>
          <w:rFonts w:ascii="Times New Roman" w:hAnsi="Times New Roman"/>
        </w:rPr>
        <w:t xml:space="preserve"> between the circumstances of the contr</w:t>
      </w:r>
      <w:r w:rsidR="002246B3" w:rsidRPr="00DF5070">
        <w:rPr>
          <w:rFonts w:ascii="Times New Roman" w:hAnsi="Times New Roman"/>
        </w:rPr>
        <w:t>a</w:t>
      </w:r>
      <w:r w:rsidR="00196519" w:rsidRPr="00DF5070">
        <w:rPr>
          <w:rFonts w:ascii="Times New Roman" w:hAnsi="Times New Roman"/>
        </w:rPr>
        <w:t>vention</w:t>
      </w:r>
      <w:r w:rsidR="002B71B0" w:rsidRPr="00DF5070">
        <w:rPr>
          <w:rFonts w:ascii="Times New Roman" w:hAnsi="Times New Roman"/>
        </w:rPr>
        <w:t>s</w:t>
      </w:r>
      <w:r w:rsidR="00196519" w:rsidRPr="00DF5070">
        <w:rPr>
          <w:rFonts w:ascii="Times New Roman" w:hAnsi="Times New Roman"/>
        </w:rPr>
        <w:t xml:space="preserve"> and the circumst</w:t>
      </w:r>
      <w:r w:rsidR="002246B3" w:rsidRPr="00DF5070">
        <w:rPr>
          <w:rFonts w:ascii="Times New Roman" w:hAnsi="Times New Roman"/>
        </w:rPr>
        <w:t>a</w:t>
      </w:r>
      <w:r w:rsidR="00196519" w:rsidRPr="00DF5070">
        <w:rPr>
          <w:rFonts w:ascii="Times New Roman" w:hAnsi="Times New Roman"/>
        </w:rPr>
        <w:t xml:space="preserve">nces of the </w:t>
      </w:r>
      <w:proofErr w:type="spellStart"/>
      <w:r w:rsidR="00196519" w:rsidRPr="00DF5070">
        <w:rPr>
          <w:rFonts w:ascii="Times New Roman" w:hAnsi="Times New Roman"/>
        </w:rPr>
        <w:t>contraven</w:t>
      </w:r>
      <w:r w:rsidR="00B64C9E" w:rsidRPr="00DF5070">
        <w:rPr>
          <w:rFonts w:ascii="Times New Roman" w:hAnsi="Times New Roman"/>
        </w:rPr>
        <w:t>o</w:t>
      </w:r>
      <w:r w:rsidR="00196519" w:rsidRPr="00DF5070">
        <w:rPr>
          <w:rFonts w:ascii="Times New Roman" w:hAnsi="Times New Roman"/>
        </w:rPr>
        <w:t>r</w:t>
      </w:r>
      <w:proofErr w:type="spellEnd"/>
      <w:r w:rsidR="00196519" w:rsidRPr="00DF5070">
        <w:rPr>
          <w:rFonts w:ascii="Times New Roman" w:hAnsi="Times New Roman"/>
        </w:rPr>
        <w:t xml:space="preserve">. </w:t>
      </w:r>
      <w:r w:rsidR="008B5112" w:rsidRPr="00DF5070">
        <w:rPr>
          <w:rFonts w:ascii="Times New Roman" w:hAnsi="Times New Roman"/>
        </w:rPr>
        <w:t>In focussing upon this distinction, the Full Court conclude</w:t>
      </w:r>
      <w:r w:rsidR="00200816" w:rsidRPr="00DF5070">
        <w:rPr>
          <w:rFonts w:ascii="Times New Roman" w:hAnsi="Times New Roman"/>
        </w:rPr>
        <w:t xml:space="preserve">d </w:t>
      </w:r>
      <w:r w:rsidR="00196519" w:rsidRPr="00DF5070">
        <w:rPr>
          <w:rFonts w:ascii="Times New Roman" w:hAnsi="Times New Roman"/>
        </w:rPr>
        <w:t>that</w:t>
      </w:r>
      <w:r w:rsidR="00410151" w:rsidRPr="00DF5070">
        <w:rPr>
          <w:rFonts w:ascii="Times New Roman" w:hAnsi="Times New Roman"/>
        </w:rPr>
        <w:t>, having regard to the circumstances of the contraventions,</w:t>
      </w:r>
      <w:r w:rsidR="00196519" w:rsidRPr="00DF5070">
        <w:rPr>
          <w:rFonts w:ascii="Times New Roman" w:hAnsi="Times New Roman"/>
        </w:rPr>
        <w:t xml:space="preserve"> </w:t>
      </w:r>
      <w:r w:rsidR="000F2474" w:rsidRPr="00DF5070">
        <w:rPr>
          <w:rFonts w:ascii="Times New Roman" w:hAnsi="Times New Roman"/>
        </w:rPr>
        <w:t>which</w:t>
      </w:r>
      <w:r w:rsidR="00196519" w:rsidRPr="00DF5070">
        <w:rPr>
          <w:rFonts w:ascii="Times New Roman" w:hAnsi="Times New Roman"/>
        </w:rPr>
        <w:t xml:space="preserve"> were not examples of the worst sort of conduct comprehended by s 349(1)</w:t>
      </w:r>
      <w:r w:rsidR="000F2474" w:rsidRPr="00DF5070">
        <w:rPr>
          <w:rFonts w:ascii="Times New Roman" w:hAnsi="Times New Roman"/>
        </w:rPr>
        <w:t>, the primary judge erred in imposing the maximum penalty</w:t>
      </w:r>
      <w:r w:rsidR="002923EE" w:rsidRPr="00DF5070">
        <w:rPr>
          <w:rStyle w:val="FootnoteReference"/>
          <w:rFonts w:ascii="Times New Roman" w:hAnsi="Times New Roman"/>
          <w:sz w:val="24"/>
        </w:rPr>
        <w:footnoteReference w:id="81"/>
      </w:r>
      <w:r w:rsidR="00196519" w:rsidRPr="00DF5070">
        <w:rPr>
          <w:rFonts w:ascii="Times New Roman" w:hAnsi="Times New Roman"/>
        </w:rPr>
        <w:t xml:space="preserve">. </w:t>
      </w:r>
    </w:p>
    <w:p w14:paraId="3A05094D" w14:textId="17117458" w:rsidR="006E24F9" w:rsidRPr="00DF5070" w:rsidRDefault="00C41E78"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196519" w:rsidRPr="00DF5070">
        <w:rPr>
          <w:rFonts w:ascii="Times New Roman" w:hAnsi="Times New Roman"/>
        </w:rPr>
        <w:t>B</w:t>
      </w:r>
      <w:r w:rsidR="00D661DA" w:rsidRPr="00DF5070">
        <w:rPr>
          <w:rFonts w:ascii="Times New Roman" w:hAnsi="Times New Roman"/>
        </w:rPr>
        <w:t>ut</w:t>
      </w:r>
      <w:r w:rsidR="00196519" w:rsidRPr="00DF5070">
        <w:rPr>
          <w:rFonts w:ascii="Times New Roman" w:hAnsi="Times New Roman"/>
        </w:rPr>
        <w:t xml:space="preserve"> on the approach in </w:t>
      </w:r>
      <w:r w:rsidR="00196519" w:rsidRPr="00DF5070">
        <w:rPr>
          <w:rFonts w:ascii="Times New Roman" w:hAnsi="Times New Roman"/>
          <w:i/>
          <w:iCs/>
        </w:rPr>
        <w:t>CSR</w:t>
      </w:r>
      <w:r w:rsidR="00410151" w:rsidRPr="00DF5070">
        <w:rPr>
          <w:rFonts w:ascii="Times New Roman" w:hAnsi="Times New Roman"/>
          <w:i/>
          <w:iCs/>
        </w:rPr>
        <w:t xml:space="preserve"> </w:t>
      </w:r>
      <w:r w:rsidR="00705A64" w:rsidRPr="00DF5070">
        <w:rPr>
          <w:rFonts w:ascii="Times New Roman" w:hAnsi="Times New Roman"/>
        </w:rPr>
        <w:t>and</w:t>
      </w:r>
      <w:r w:rsidR="003B500E" w:rsidRPr="00DF5070">
        <w:rPr>
          <w:rFonts w:ascii="Times New Roman" w:hAnsi="Times New Roman"/>
        </w:rPr>
        <w:t xml:space="preserve"> affirmed in </w:t>
      </w:r>
      <w:r w:rsidR="00882AB5" w:rsidRPr="00DF5070">
        <w:rPr>
          <w:rFonts w:ascii="Times New Roman" w:hAnsi="Times New Roman"/>
        </w:rPr>
        <w:t xml:space="preserve">the </w:t>
      </w:r>
      <w:r w:rsidR="003B500E" w:rsidRPr="00DF5070">
        <w:rPr>
          <w:rFonts w:ascii="Times New Roman" w:hAnsi="Times New Roman"/>
        </w:rPr>
        <w:t>decisions of this Court</w:t>
      </w:r>
      <w:r w:rsidR="00882AB5" w:rsidRPr="00DF5070">
        <w:rPr>
          <w:rFonts w:ascii="Times New Roman" w:hAnsi="Times New Roman"/>
        </w:rPr>
        <w:t xml:space="preserve"> referred to above</w:t>
      </w:r>
      <w:r w:rsidR="006F2462" w:rsidRPr="00DF5070">
        <w:rPr>
          <w:rFonts w:ascii="Times New Roman" w:hAnsi="Times New Roman"/>
        </w:rPr>
        <w:t>,</w:t>
      </w:r>
      <w:r w:rsidR="00196519" w:rsidRPr="00DF5070">
        <w:rPr>
          <w:rFonts w:ascii="Times New Roman" w:hAnsi="Times New Roman"/>
        </w:rPr>
        <w:t xml:space="preserve"> </w:t>
      </w:r>
      <w:r w:rsidR="00705A64" w:rsidRPr="00DF5070">
        <w:rPr>
          <w:rFonts w:ascii="Times New Roman" w:hAnsi="Times New Roman"/>
        </w:rPr>
        <w:t xml:space="preserve">both </w:t>
      </w:r>
      <w:r w:rsidR="00196519" w:rsidRPr="00DF5070">
        <w:rPr>
          <w:rFonts w:ascii="Times New Roman" w:hAnsi="Times New Roman"/>
        </w:rPr>
        <w:t>the circumst</w:t>
      </w:r>
      <w:r w:rsidR="00D661DA" w:rsidRPr="00DF5070">
        <w:rPr>
          <w:rFonts w:ascii="Times New Roman" w:hAnsi="Times New Roman"/>
        </w:rPr>
        <w:t>ances</w:t>
      </w:r>
      <w:r w:rsidR="00196519" w:rsidRPr="00DF5070">
        <w:rPr>
          <w:rFonts w:ascii="Times New Roman" w:hAnsi="Times New Roman"/>
        </w:rPr>
        <w:t xml:space="preserve"> of the </w:t>
      </w:r>
      <w:proofErr w:type="spellStart"/>
      <w:r w:rsidR="00196519" w:rsidRPr="00DF5070">
        <w:rPr>
          <w:rFonts w:ascii="Times New Roman" w:hAnsi="Times New Roman"/>
        </w:rPr>
        <w:t>contraven</w:t>
      </w:r>
      <w:r w:rsidR="00B64C9E" w:rsidRPr="00DF5070">
        <w:rPr>
          <w:rFonts w:ascii="Times New Roman" w:hAnsi="Times New Roman"/>
        </w:rPr>
        <w:t>o</w:t>
      </w:r>
      <w:r w:rsidR="00196519" w:rsidRPr="00DF5070">
        <w:rPr>
          <w:rFonts w:ascii="Times New Roman" w:hAnsi="Times New Roman"/>
        </w:rPr>
        <w:t>r</w:t>
      </w:r>
      <w:proofErr w:type="spellEnd"/>
      <w:r w:rsidR="00D661DA" w:rsidRPr="00DF5070">
        <w:rPr>
          <w:rFonts w:ascii="Times New Roman" w:hAnsi="Times New Roman"/>
        </w:rPr>
        <w:t xml:space="preserve"> </w:t>
      </w:r>
      <w:r w:rsidR="00705A64" w:rsidRPr="00DF5070">
        <w:rPr>
          <w:rFonts w:ascii="Times New Roman" w:hAnsi="Times New Roman"/>
        </w:rPr>
        <w:t xml:space="preserve">and </w:t>
      </w:r>
      <w:r w:rsidR="00196519" w:rsidRPr="00DF5070">
        <w:rPr>
          <w:rFonts w:ascii="Times New Roman" w:hAnsi="Times New Roman"/>
        </w:rPr>
        <w:t>the circumst</w:t>
      </w:r>
      <w:r w:rsidR="00D661DA" w:rsidRPr="00DF5070">
        <w:rPr>
          <w:rFonts w:ascii="Times New Roman" w:hAnsi="Times New Roman"/>
        </w:rPr>
        <w:t>ances</w:t>
      </w:r>
      <w:r w:rsidR="00196519" w:rsidRPr="00DF5070">
        <w:rPr>
          <w:rFonts w:ascii="Times New Roman" w:hAnsi="Times New Roman"/>
        </w:rPr>
        <w:t xml:space="preserve"> of the contravention </w:t>
      </w:r>
      <w:r w:rsidR="00705A64" w:rsidRPr="00DF5070">
        <w:rPr>
          <w:rFonts w:ascii="Times New Roman" w:hAnsi="Times New Roman"/>
        </w:rPr>
        <w:t>may be relevant to the assessment of</w:t>
      </w:r>
      <w:r w:rsidR="00196519" w:rsidRPr="00DF5070">
        <w:rPr>
          <w:rFonts w:ascii="Times New Roman" w:hAnsi="Times New Roman"/>
        </w:rPr>
        <w:t xml:space="preserve"> whether the maximum level of deterrence is call</w:t>
      </w:r>
      <w:r w:rsidR="00410151" w:rsidRPr="00DF5070">
        <w:rPr>
          <w:rFonts w:ascii="Times New Roman" w:hAnsi="Times New Roman"/>
        </w:rPr>
        <w:t>ed</w:t>
      </w:r>
      <w:r w:rsidR="00196519" w:rsidRPr="00DF5070">
        <w:rPr>
          <w:rFonts w:ascii="Times New Roman" w:hAnsi="Times New Roman"/>
        </w:rPr>
        <w:t xml:space="preserve"> for.</w:t>
      </w:r>
      <w:r w:rsidR="007F687C" w:rsidRPr="00DF5070">
        <w:rPr>
          <w:rFonts w:ascii="Times New Roman" w:hAnsi="Times New Roman"/>
        </w:rPr>
        <w:t xml:space="preserve"> </w:t>
      </w:r>
      <w:r w:rsidR="006E24F9" w:rsidRPr="00DF5070">
        <w:rPr>
          <w:rFonts w:ascii="Times New Roman" w:hAnsi="Times New Roman"/>
        </w:rPr>
        <w:t xml:space="preserve">Indeed, as long ago as </w:t>
      </w:r>
      <w:r w:rsidR="006E24F9" w:rsidRPr="00DF5070">
        <w:rPr>
          <w:rFonts w:ascii="Times New Roman" w:hAnsi="Times New Roman"/>
          <w:i/>
          <w:iCs/>
        </w:rPr>
        <w:t xml:space="preserve">Trade Practices </w:t>
      </w:r>
      <w:r w:rsidR="006E24F9" w:rsidRPr="00DF5070">
        <w:rPr>
          <w:rFonts w:ascii="Times New Roman" w:hAnsi="Times New Roman"/>
          <w:i/>
          <w:iCs/>
        </w:rPr>
        <w:lastRenderedPageBreak/>
        <w:t>Commission v Stihl Chain Saws (Aust) Pty Ltd</w:t>
      </w:r>
      <w:r w:rsidR="006E24F9" w:rsidRPr="00DF5070">
        <w:rPr>
          <w:rStyle w:val="FootnoteReference"/>
          <w:rFonts w:ascii="Times New Roman" w:hAnsi="Times New Roman"/>
          <w:iCs/>
          <w:sz w:val="24"/>
        </w:rPr>
        <w:footnoteReference w:id="82"/>
      </w:r>
      <w:r w:rsidR="006E24F9" w:rsidRPr="00DF5070">
        <w:rPr>
          <w:rFonts w:ascii="Times New Roman" w:hAnsi="Times New Roman"/>
        </w:rPr>
        <w:t xml:space="preserve">, in a passage referred to with evident approval by French J in </w:t>
      </w:r>
      <w:r w:rsidR="006E24F9" w:rsidRPr="00DF5070">
        <w:rPr>
          <w:rFonts w:ascii="Times New Roman" w:hAnsi="Times New Roman"/>
          <w:i/>
          <w:iCs/>
        </w:rPr>
        <w:t>CSR</w:t>
      </w:r>
      <w:r w:rsidR="006E24F9" w:rsidRPr="00DF5070">
        <w:rPr>
          <w:rStyle w:val="FootnoteReference"/>
          <w:rFonts w:ascii="Times New Roman" w:hAnsi="Times New Roman"/>
          <w:iCs/>
          <w:sz w:val="24"/>
        </w:rPr>
        <w:footnoteReference w:id="83"/>
      </w:r>
      <w:r w:rsidR="006E24F9" w:rsidRPr="00DF5070">
        <w:rPr>
          <w:rFonts w:ascii="Times New Roman" w:hAnsi="Times New Roman"/>
        </w:rPr>
        <w:t>,</w:t>
      </w:r>
      <w:r w:rsidR="006E24F9" w:rsidRPr="00DF5070">
        <w:rPr>
          <w:rFonts w:ascii="Times New Roman" w:hAnsi="Times New Roman"/>
          <w:i/>
          <w:iCs/>
        </w:rPr>
        <w:t xml:space="preserve"> </w:t>
      </w:r>
      <w:r w:rsidR="006E24F9" w:rsidRPr="00DF5070">
        <w:rPr>
          <w:rFonts w:ascii="Times New Roman" w:hAnsi="Times New Roman"/>
        </w:rPr>
        <w:t>Smithers J said that a civil penalty "should constitute a real punishment proportionate to the deliberation with which the defendant contravened the provisions of the Act".</w:t>
      </w:r>
      <w:r w:rsidRPr="00DF5070">
        <w:rPr>
          <w:rFonts w:ascii="Times New Roman" w:hAnsi="Times New Roman"/>
        </w:rPr>
        <w:t xml:space="preserve"> </w:t>
      </w:r>
    </w:p>
    <w:p w14:paraId="0A846D47" w14:textId="381C99CD" w:rsidR="003702F0" w:rsidRPr="00DF5070" w:rsidRDefault="006E24F9"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705A64" w:rsidRPr="00DF5070">
        <w:rPr>
          <w:rFonts w:ascii="Times New Roman" w:hAnsi="Times New Roman"/>
        </w:rPr>
        <w:t>T</w:t>
      </w:r>
      <w:r w:rsidR="00593AD0" w:rsidRPr="00DF5070">
        <w:rPr>
          <w:rFonts w:ascii="Times New Roman" w:hAnsi="Times New Roman"/>
        </w:rPr>
        <w:t>he distinct</w:t>
      </w:r>
      <w:r w:rsidR="00D661DA" w:rsidRPr="00DF5070">
        <w:rPr>
          <w:rFonts w:ascii="Times New Roman" w:hAnsi="Times New Roman"/>
        </w:rPr>
        <w:t>i</w:t>
      </w:r>
      <w:r w:rsidR="00593AD0" w:rsidRPr="00DF5070">
        <w:rPr>
          <w:rFonts w:ascii="Times New Roman" w:hAnsi="Times New Roman"/>
        </w:rPr>
        <w:t xml:space="preserve">on upon which the Full Court </w:t>
      </w:r>
      <w:r w:rsidR="00193AD1" w:rsidRPr="00DF5070">
        <w:rPr>
          <w:rFonts w:ascii="Times New Roman" w:hAnsi="Times New Roman"/>
        </w:rPr>
        <w:t>sought to insist</w:t>
      </w:r>
      <w:r w:rsidR="00526A30" w:rsidRPr="00DF5070">
        <w:rPr>
          <w:rFonts w:ascii="Times New Roman" w:hAnsi="Times New Roman"/>
        </w:rPr>
        <w:t xml:space="preserve"> cannot control the balancing exercise required by s 546. Indeed, it is difficult to see how this distinction serves any useful purpose</w:t>
      </w:r>
      <w:r w:rsidR="00557851" w:rsidRPr="00DF5070">
        <w:rPr>
          <w:rFonts w:ascii="Times New Roman" w:hAnsi="Times New Roman"/>
        </w:rPr>
        <w:t xml:space="preserve"> in this context</w:t>
      </w:r>
      <w:r w:rsidR="00AB7E8E" w:rsidRPr="00DF5070">
        <w:rPr>
          <w:rFonts w:ascii="Times New Roman" w:hAnsi="Times New Roman"/>
        </w:rPr>
        <w:t>.</w:t>
      </w:r>
      <w:r w:rsidR="002E142C" w:rsidRPr="00DF5070">
        <w:rPr>
          <w:rFonts w:ascii="Times New Roman" w:hAnsi="Times New Roman"/>
        </w:rPr>
        <w:t xml:space="preserve"> </w:t>
      </w:r>
      <w:r w:rsidRPr="00DF5070">
        <w:rPr>
          <w:rFonts w:ascii="Times New Roman" w:hAnsi="Times New Roman"/>
        </w:rPr>
        <w:t xml:space="preserve">Once it is accepted, as it must be, that the maximum penalty is intended by the Act to be imposed in respect of a contravention warranting the strongest deterrence within the prescribed cap, </w:t>
      </w:r>
      <w:r w:rsidR="00D8758A" w:rsidRPr="00DF5070">
        <w:rPr>
          <w:rFonts w:ascii="Times New Roman" w:hAnsi="Times New Roman"/>
        </w:rPr>
        <w:t xml:space="preserve">there is no </w:t>
      </w:r>
      <w:r w:rsidR="00BA4601" w:rsidRPr="00DF5070">
        <w:rPr>
          <w:rFonts w:ascii="Times New Roman" w:hAnsi="Times New Roman"/>
        </w:rPr>
        <w:t xml:space="preserve">warrant for the court to </w:t>
      </w:r>
      <w:r w:rsidR="00E22CFC" w:rsidRPr="00DF5070">
        <w:rPr>
          <w:rFonts w:ascii="Times New Roman" w:hAnsi="Times New Roman"/>
        </w:rPr>
        <w:t xml:space="preserve">ascertain the </w:t>
      </w:r>
      <w:r w:rsidR="00CD6486" w:rsidRPr="00DF5070">
        <w:rPr>
          <w:rFonts w:ascii="Times New Roman" w:hAnsi="Times New Roman"/>
        </w:rPr>
        <w:t xml:space="preserve">extent of the </w:t>
      </w:r>
      <w:r w:rsidR="00E22CFC" w:rsidRPr="00DF5070">
        <w:rPr>
          <w:rFonts w:ascii="Times New Roman" w:hAnsi="Times New Roman"/>
        </w:rPr>
        <w:t xml:space="preserve">necessity </w:t>
      </w:r>
      <w:r w:rsidR="00CD6486" w:rsidRPr="00DF5070">
        <w:rPr>
          <w:rFonts w:ascii="Times New Roman" w:hAnsi="Times New Roman"/>
        </w:rPr>
        <w:t xml:space="preserve">for </w:t>
      </w:r>
      <w:r w:rsidR="00E22CFC" w:rsidRPr="00DF5070">
        <w:rPr>
          <w:rFonts w:ascii="Times New Roman" w:hAnsi="Times New Roman"/>
        </w:rPr>
        <w:t xml:space="preserve">deterrence by reference exclusively to </w:t>
      </w:r>
      <w:r w:rsidRPr="00DF5070">
        <w:rPr>
          <w:rFonts w:ascii="Times New Roman" w:hAnsi="Times New Roman"/>
        </w:rPr>
        <w:t>the circumstances of the contravention</w:t>
      </w:r>
      <w:r w:rsidR="00193AD1" w:rsidRPr="00DF5070">
        <w:rPr>
          <w:rFonts w:ascii="Times New Roman" w:hAnsi="Times New Roman"/>
        </w:rPr>
        <w:t xml:space="preserve">. The </w:t>
      </w:r>
      <w:r w:rsidR="00E40D34" w:rsidRPr="00DF5070">
        <w:rPr>
          <w:rFonts w:ascii="Times New Roman" w:hAnsi="Times New Roman"/>
        </w:rPr>
        <w:t xml:space="preserve">categories of </w:t>
      </w:r>
      <w:r w:rsidR="00193AD1" w:rsidRPr="00DF5070">
        <w:rPr>
          <w:rFonts w:ascii="Times New Roman" w:hAnsi="Times New Roman"/>
        </w:rPr>
        <w:t>circumstances may overlap</w:t>
      </w:r>
      <w:r w:rsidR="002538F4" w:rsidRPr="00DF5070">
        <w:rPr>
          <w:rFonts w:ascii="Times New Roman" w:hAnsi="Times New Roman"/>
        </w:rPr>
        <w:t>,</w:t>
      </w:r>
      <w:r w:rsidR="00193AD1" w:rsidRPr="00DF5070">
        <w:rPr>
          <w:rFonts w:ascii="Times New Roman" w:hAnsi="Times New Roman"/>
        </w:rPr>
        <w:t xml:space="preserve"> in that </w:t>
      </w:r>
      <w:r w:rsidR="00E40D34" w:rsidRPr="00DF5070">
        <w:rPr>
          <w:rFonts w:ascii="Times New Roman" w:hAnsi="Times New Roman"/>
        </w:rPr>
        <w:t xml:space="preserve">matters may </w:t>
      </w:r>
      <w:r w:rsidR="00193AD1" w:rsidRPr="00DF5070">
        <w:rPr>
          <w:rFonts w:ascii="Times New Roman" w:hAnsi="Times New Roman"/>
        </w:rPr>
        <w:t xml:space="preserve">bear upon </w:t>
      </w:r>
      <w:r w:rsidR="00E40D34" w:rsidRPr="00DF5070">
        <w:rPr>
          <w:rFonts w:ascii="Times New Roman" w:hAnsi="Times New Roman"/>
        </w:rPr>
        <w:t xml:space="preserve">both </w:t>
      </w:r>
      <w:r w:rsidR="00193AD1" w:rsidRPr="00DF5070">
        <w:rPr>
          <w:rFonts w:ascii="Times New Roman" w:hAnsi="Times New Roman"/>
        </w:rPr>
        <w:t xml:space="preserve">the seriousness of the contravention and the intransigence of the </w:t>
      </w:r>
      <w:proofErr w:type="spellStart"/>
      <w:r w:rsidR="00193AD1" w:rsidRPr="00DF5070">
        <w:rPr>
          <w:rFonts w:ascii="Times New Roman" w:hAnsi="Times New Roman"/>
        </w:rPr>
        <w:t>contravenor</w:t>
      </w:r>
      <w:proofErr w:type="spellEnd"/>
      <w:r w:rsidR="00193AD1" w:rsidRPr="00DF5070">
        <w:rPr>
          <w:rFonts w:ascii="Times New Roman" w:hAnsi="Times New Roman"/>
        </w:rPr>
        <w:t>. Further, circ</w:t>
      </w:r>
      <w:r w:rsidR="00CC6A20" w:rsidRPr="00DF5070">
        <w:rPr>
          <w:rFonts w:ascii="Times New Roman" w:hAnsi="Times New Roman"/>
        </w:rPr>
        <w:t>u</w:t>
      </w:r>
      <w:r w:rsidR="00193AD1" w:rsidRPr="00DF5070">
        <w:rPr>
          <w:rFonts w:ascii="Times New Roman" w:hAnsi="Times New Roman"/>
        </w:rPr>
        <w:t xml:space="preserve">mstances which can be said to relate exclusively to the </w:t>
      </w:r>
      <w:proofErr w:type="spellStart"/>
      <w:r w:rsidR="00E22CFC" w:rsidRPr="00DF5070">
        <w:rPr>
          <w:rFonts w:ascii="Times New Roman" w:hAnsi="Times New Roman"/>
        </w:rPr>
        <w:t>contravenor</w:t>
      </w:r>
      <w:proofErr w:type="spellEnd"/>
      <w:r w:rsidR="00E22CFC" w:rsidRPr="00DF5070">
        <w:rPr>
          <w:rFonts w:ascii="Times New Roman" w:hAnsi="Times New Roman"/>
        </w:rPr>
        <w:t xml:space="preserve"> may</w:t>
      </w:r>
      <w:r w:rsidR="003819D4" w:rsidRPr="00DF5070">
        <w:rPr>
          <w:rFonts w:ascii="Times New Roman" w:hAnsi="Times New Roman"/>
        </w:rPr>
        <w:t xml:space="preserve"> bear </w:t>
      </w:r>
      <w:r w:rsidR="00193AD1" w:rsidRPr="00DF5070">
        <w:rPr>
          <w:rFonts w:ascii="Times New Roman" w:hAnsi="Times New Roman"/>
        </w:rPr>
        <w:t xml:space="preserve">strongly </w:t>
      </w:r>
      <w:r w:rsidR="003819D4" w:rsidRPr="00DF5070">
        <w:rPr>
          <w:rFonts w:ascii="Times New Roman" w:hAnsi="Times New Roman"/>
        </w:rPr>
        <w:t>on what level of deterrence will be "appropriate"</w:t>
      </w:r>
      <w:r w:rsidRPr="00DF5070">
        <w:rPr>
          <w:rFonts w:ascii="Times New Roman" w:hAnsi="Times New Roman"/>
        </w:rPr>
        <w:t xml:space="preserve">. </w:t>
      </w:r>
    </w:p>
    <w:p w14:paraId="4EC54B30" w14:textId="599FBB57" w:rsidR="003819D4" w:rsidRPr="00DF5070" w:rsidRDefault="003702F0"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The majority in </w:t>
      </w:r>
      <w:r w:rsidRPr="00DF5070">
        <w:rPr>
          <w:rFonts w:ascii="Times New Roman" w:hAnsi="Times New Roman"/>
          <w:i/>
        </w:rPr>
        <w:t>Broadway on Ann</w:t>
      </w:r>
      <w:r w:rsidRPr="00DF5070">
        <w:rPr>
          <w:rFonts w:ascii="Times New Roman" w:hAnsi="Times New Roman"/>
        </w:rPr>
        <w:t xml:space="preserve"> and the primary judge </w:t>
      </w:r>
      <w:r w:rsidR="00F652D1" w:rsidRPr="00DF5070">
        <w:rPr>
          <w:rFonts w:ascii="Times New Roman" w:hAnsi="Times New Roman"/>
        </w:rPr>
        <w:t xml:space="preserve">in this case </w:t>
      </w:r>
      <w:r w:rsidR="00310FAE" w:rsidRPr="00DF5070">
        <w:rPr>
          <w:rFonts w:ascii="Times New Roman" w:hAnsi="Times New Roman"/>
        </w:rPr>
        <w:t>were</w:t>
      </w:r>
      <w:r w:rsidRPr="00DF5070">
        <w:rPr>
          <w:rFonts w:ascii="Times New Roman" w:hAnsi="Times New Roman"/>
        </w:rPr>
        <w:t xml:space="preserve"> correct </w:t>
      </w:r>
      <w:r w:rsidR="00210D76" w:rsidRPr="00DF5070">
        <w:rPr>
          <w:rFonts w:ascii="Times New Roman" w:hAnsi="Times New Roman"/>
        </w:rPr>
        <w:t xml:space="preserve">in concluding that the need for deterrence in each case, demonstrated by </w:t>
      </w:r>
      <w:r w:rsidR="00C77F3A" w:rsidRPr="00DF5070">
        <w:rPr>
          <w:rFonts w:ascii="Times New Roman" w:hAnsi="Times New Roman"/>
        </w:rPr>
        <w:t xml:space="preserve">a persistent adherence to a </w:t>
      </w:r>
      <w:r w:rsidR="004C3737" w:rsidRPr="00DF5070">
        <w:rPr>
          <w:rFonts w:ascii="Times New Roman" w:hAnsi="Times New Roman"/>
        </w:rPr>
        <w:t>strategy</w:t>
      </w:r>
      <w:r w:rsidR="00C77F3A" w:rsidRPr="00DF5070">
        <w:rPr>
          <w:rFonts w:ascii="Times New Roman" w:hAnsi="Times New Roman"/>
        </w:rPr>
        <w:t xml:space="preserve"> of non</w:t>
      </w:r>
      <w:r w:rsidR="00C77F3A" w:rsidRPr="00DF5070">
        <w:rPr>
          <w:rFonts w:ascii="Times New Roman" w:hAnsi="Times New Roman"/>
        </w:rPr>
        <w:noBreakHyphen/>
        <w:t>compliance,</w:t>
      </w:r>
      <w:r w:rsidR="00210D76" w:rsidRPr="00DF5070">
        <w:rPr>
          <w:rFonts w:ascii="Times New Roman" w:hAnsi="Times New Roman"/>
        </w:rPr>
        <w:t xml:space="preserve"> warranted </w:t>
      </w:r>
      <w:r w:rsidR="00C77F3A" w:rsidRPr="00DF5070">
        <w:rPr>
          <w:rFonts w:ascii="Times New Roman" w:hAnsi="Times New Roman"/>
        </w:rPr>
        <w:t>the imposition of the maximum penalty</w:t>
      </w:r>
      <w:r w:rsidR="00AB1427" w:rsidRPr="00DF5070">
        <w:rPr>
          <w:rFonts w:ascii="Times New Roman" w:hAnsi="Times New Roman"/>
        </w:rPr>
        <w:t xml:space="preserve">. They were also correct </w:t>
      </w:r>
      <w:r w:rsidR="003A76DA" w:rsidRPr="00DF5070">
        <w:rPr>
          <w:rFonts w:ascii="Times New Roman" w:hAnsi="Times New Roman"/>
        </w:rPr>
        <w:t>to reject</w:t>
      </w:r>
      <w:r w:rsidRPr="00DF5070">
        <w:rPr>
          <w:rFonts w:ascii="Times New Roman" w:hAnsi="Times New Roman"/>
        </w:rPr>
        <w:t xml:space="preserve"> the proposition that the court's assessment of what </w:t>
      </w:r>
      <w:r w:rsidR="003A76DA" w:rsidRPr="00DF5070">
        <w:rPr>
          <w:rFonts w:ascii="Times New Roman" w:hAnsi="Times New Roman"/>
        </w:rPr>
        <w:t xml:space="preserve">was </w:t>
      </w:r>
      <w:r w:rsidRPr="00DF5070">
        <w:rPr>
          <w:rFonts w:ascii="Times New Roman" w:hAnsi="Times New Roman"/>
        </w:rPr>
        <w:t xml:space="preserve">reasonably necessary for deterrence </w:t>
      </w:r>
      <w:r w:rsidR="00AB1427" w:rsidRPr="00DF5070">
        <w:rPr>
          <w:rFonts w:ascii="Times New Roman" w:hAnsi="Times New Roman"/>
        </w:rPr>
        <w:t>was</w:t>
      </w:r>
      <w:r w:rsidRPr="00DF5070">
        <w:rPr>
          <w:rFonts w:ascii="Times New Roman" w:hAnsi="Times New Roman"/>
        </w:rPr>
        <w:t xml:space="preserve"> </w:t>
      </w:r>
      <w:r w:rsidR="003A76DA" w:rsidRPr="00DF5070">
        <w:rPr>
          <w:rFonts w:ascii="Times New Roman" w:hAnsi="Times New Roman"/>
        </w:rPr>
        <w:t xml:space="preserve">subject to the constraint </w:t>
      </w:r>
      <w:r w:rsidRPr="00DF5070">
        <w:rPr>
          <w:rFonts w:ascii="Times New Roman" w:hAnsi="Times New Roman"/>
        </w:rPr>
        <w:t xml:space="preserve">that the maximum penalty </w:t>
      </w:r>
      <w:r w:rsidR="00BC2C80" w:rsidRPr="00DF5070">
        <w:rPr>
          <w:rFonts w:ascii="Times New Roman" w:hAnsi="Times New Roman"/>
        </w:rPr>
        <w:t xml:space="preserve">could </w:t>
      </w:r>
      <w:r w:rsidRPr="00DF5070">
        <w:rPr>
          <w:rFonts w:ascii="Times New Roman" w:hAnsi="Times New Roman"/>
        </w:rPr>
        <w:t xml:space="preserve">not be imposed in any case where the contravening conduct </w:t>
      </w:r>
      <w:r w:rsidR="00875527" w:rsidRPr="00DF5070">
        <w:rPr>
          <w:rFonts w:ascii="Times New Roman" w:hAnsi="Times New Roman"/>
        </w:rPr>
        <w:t>was</w:t>
      </w:r>
      <w:r w:rsidRPr="00DF5070">
        <w:rPr>
          <w:rFonts w:ascii="Times New Roman" w:hAnsi="Times New Roman"/>
        </w:rPr>
        <w:t xml:space="preserve"> not the worst example of contravening conduct.</w:t>
      </w:r>
      <w:r w:rsidR="004C3737" w:rsidRPr="00DF5070">
        <w:rPr>
          <w:rFonts w:ascii="Times New Roman" w:hAnsi="Times New Roman"/>
        </w:rPr>
        <w:t xml:space="preserve"> But</w:t>
      </w:r>
      <w:r w:rsidR="00310FAE" w:rsidRPr="00DF5070">
        <w:rPr>
          <w:rFonts w:ascii="Times New Roman" w:hAnsi="Times New Roman"/>
        </w:rPr>
        <w:t xml:space="preserve"> to the extent that </w:t>
      </w:r>
      <w:r w:rsidR="00200BF3" w:rsidRPr="00DF5070">
        <w:rPr>
          <w:rFonts w:ascii="Times New Roman" w:hAnsi="Times New Roman"/>
        </w:rPr>
        <w:t xml:space="preserve">the majority in </w:t>
      </w:r>
      <w:r w:rsidR="00200BF3" w:rsidRPr="00DF5070">
        <w:rPr>
          <w:rFonts w:ascii="Times New Roman" w:hAnsi="Times New Roman"/>
          <w:i/>
        </w:rPr>
        <w:t>Broadway on Ann</w:t>
      </w:r>
      <w:r w:rsidR="00200BF3" w:rsidRPr="00DF5070">
        <w:rPr>
          <w:rFonts w:ascii="Times New Roman" w:hAnsi="Times New Roman"/>
        </w:rPr>
        <w:t xml:space="preserve"> and the primary judge </w:t>
      </w:r>
      <w:r w:rsidR="00AB1427" w:rsidRPr="00DF5070">
        <w:rPr>
          <w:rFonts w:ascii="Times New Roman" w:hAnsi="Times New Roman"/>
        </w:rPr>
        <w:t xml:space="preserve">reached these conclusions </w:t>
      </w:r>
      <w:r w:rsidR="00DB4DD6" w:rsidRPr="00DF5070">
        <w:rPr>
          <w:rFonts w:ascii="Times New Roman" w:hAnsi="Times New Roman"/>
        </w:rPr>
        <w:t xml:space="preserve">by reasoning that the </w:t>
      </w:r>
      <w:proofErr w:type="spellStart"/>
      <w:r w:rsidR="004C3737" w:rsidRPr="00DF5070">
        <w:rPr>
          <w:rFonts w:ascii="Times New Roman" w:hAnsi="Times New Roman"/>
        </w:rPr>
        <w:t>contravenor's</w:t>
      </w:r>
      <w:proofErr w:type="spellEnd"/>
      <w:r w:rsidR="00DB4DD6" w:rsidRPr="00DF5070">
        <w:rPr>
          <w:rFonts w:ascii="Times New Roman" w:hAnsi="Times New Roman"/>
        </w:rPr>
        <w:t xml:space="preserve"> history of contraventions was </w:t>
      </w:r>
      <w:r w:rsidR="00BC2C80" w:rsidRPr="00DF5070">
        <w:rPr>
          <w:rFonts w:ascii="Times New Roman" w:hAnsi="Times New Roman"/>
        </w:rPr>
        <w:t xml:space="preserve">relevant only because it was </w:t>
      </w:r>
      <w:r w:rsidR="00DB4DD6" w:rsidRPr="00DF5070">
        <w:rPr>
          <w:rFonts w:ascii="Times New Roman" w:hAnsi="Times New Roman"/>
        </w:rPr>
        <w:t xml:space="preserve">a factor that </w:t>
      </w:r>
      <w:r w:rsidR="00F43F22" w:rsidRPr="00DF5070">
        <w:rPr>
          <w:rFonts w:ascii="Times New Roman" w:hAnsi="Times New Roman"/>
        </w:rPr>
        <w:t>made the circumstances of the contraventions of the most serious kind</w:t>
      </w:r>
      <w:r w:rsidR="00E71126" w:rsidRPr="00DF5070">
        <w:rPr>
          <w:rFonts w:ascii="Times New Roman" w:hAnsi="Times New Roman"/>
        </w:rPr>
        <w:t xml:space="preserve">, their Honours </w:t>
      </w:r>
      <w:r w:rsidR="00200BF3" w:rsidRPr="00DF5070">
        <w:rPr>
          <w:rFonts w:ascii="Times New Roman" w:hAnsi="Times New Roman"/>
        </w:rPr>
        <w:t xml:space="preserve">might be said to </w:t>
      </w:r>
      <w:r w:rsidR="00E71126" w:rsidRPr="00DF5070">
        <w:rPr>
          <w:rFonts w:ascii="Times New Roman" w:hAnsi="Times New Roman"/>
        </w:rPr>
        <w:t xml:space="preserve">have </w:t>
      </w:r>
      <w:r w:rsidR="004C3737" w:rsidRPr="00DF5070">
        <w:rPr>
          <w:rFonts w:ascii="Times New Roman" w:hAnsi="Times New Roman"/>
        </w:rPr>
        <w:t>adopted</w:t>
      </w:r>
      <w:r w:rsidR="00BC2C80" w:rsidRPr="00DF5070">
        <w:rPr>
          <w:rFonts w:ascii="Times New Roman" w:hAnsi="Times New Roman"/>
        </w:rPr>
        <w:t xml:space="preserve"> an </w:t>
      </w:r>
      <w:r w:rsidR="00200BF3" w:rsidRPr="00DF5070">
        <w:rPr>
          <w:rFonts w:ascii="Times New Roman" w:hAnsi="Times New Roman"/>
        </w:rPr>
        <w:t xml:space="preserve">unnecessarily </w:t>
      </w:r>
      <w:r w:rsidR="00BC2C80" w:rsidRPr="00DF5070">
        <w:rPr>
          <w:rFonts w:ascii="Times New Roman" w:hAnsi="Times New Roman"/>
        </w:rPr>
        <w:t>strict focus on</w:t>
      </w:r>
      <w:r w:rsidR="00200BF3" w:rsidRPr="00DF5070">
        <w:rPr>
          <w:rFonts w:ascii="Times New Roman" w:hAnsi="Times New Roman"/>
        </w:rPr>
        <w:t xml:space="preserve"> the seriousness of the contravening conduct as distinct from the circumstances of the </w:t>
      </w:r>
      <w:proofErr w:type="spellStart"/>
      <w:r w:rsidR="00200BF3" w:rsidRPr="00DF5070">
        <w:rPr>
          <w:rFonts w:ascii="Times New Roman" w:hAnsi="Times New Roman"/>
        </w:rPr>
        <w:t>contravenor</w:t>
      </w:r>
      <w:proofErr w:type="spellEnd"/>
      <w:r w:rsidR="00200BF3" w:rsidRPr="00DF5070">
        <w:rPr>
          <w:rFonts w:ascii="Times New Roman" w:hAnsi="Times New Roman"/>
        </w:rPr>
        <w:t xml:space="preserve">. It is not necessary that the </w:t>
      </w:r>
      <w:r w:rsidR="00BE12D2" w:rsidRPr="00DF5070">
        <w:rPr>
          <w:rFonts w:ascii="Times New Roman" w:hAnsi="Times New Roman"/>
        </w:rPr>
        <w:t>task of setting a penalty that is "appropriate"</w:t>
      </w:r>
      <w:r w:rsidR="00D02DE0" w:rsidRPr="00DF5070">
        <w:rPr>
          <w:rFonts w:ascii="Times New Roman" w:hAnsi="Times New Roman"/>
        </w:rPr>
        <w:t xml:space="preserve"> to deter further contraventions </w:t>
      </w:r>
      <w:r w:rsidR="00200BF3" w:rsidRPr="00DF5070">
        <w:rPr>
          <w:rFonts w:ascii="Times New Roman" w:hAnsi="Times New Roman"/>
        </w:rPr>
        <w:t xml:space="preserve">should proceed by considering characteristics of the </w:t>
      </w:r>
      <w:proofErr w:type="spellStart"/>
      <w:r w:rsidR="00200BF3" w:rsidRPr="00DF5070">
        <w:rPr>
          <w:rFonts w:ascii="Times New Roman" w:hAnsi="Times New Roman"/>
        </w:rPr>
        <w:t>contravenor</w:t>
      </w:r>
      <w:proofErr w:type="spellEnd"/>
      <w:r w:rsidR="00200BF3" w:rsidRPr="00DF5070">
        <w:rPr>
          <w:rFonts w:ascii="Times New Roman" w:hAnsi="Times New Roman"/>
        </w:rPr>
        <w:t xml:space="preserve"> only to the extent that they can be said to bear upon the seriousness of the contravening conduct.</w:t>
      </w:r>
    </w:p>
    <w:p w14:paraId="5CFF3114" w14:textId="0F5E1529" w:rsidR="00931D60" w:rsidRPr="00DF5070" w:rsidRDefault="004C3737" w:rsidP="00DF5070">
      <w:pPr>
        <w:pStyle w:val="HeadingL2"/>
        <w:spacing w:after="260" w:line="280" w:lineRule="exact"/>
        <w:ind w:right="0"/>
        <w:jc w:val="both"/>
        <w:rPr>
          <w:rFonts w:ascii="Times New Roman" w:hAnsi="Times New Roman"/>
        </w:rPr>
      </w:pPr>
      <w:r w:rsidRPr="00DF5070">
        <w:rPr>
          <w:rFonts w:ascii="Times New Roman" w:hAnsi="Times New Roman"/>
        </w:rPr>
        <w:lastRenderedPageBreak/>
        <w:t>The c</w:t>
      </w:r>
      <w:r w:rsidR="00931D60" w:rsidRPr="00DF5070">
        <w:rPr>
          <w:rFonts w:ascii="Times New Roman" w:hAnsi="Times New Roman"/>
        </w:rPr>
        <w:t xml:space="preserve">ircumstances of the </w:t>
      </w:r>
      <w:proofErr w:type="spellStart"/>
      <w:r w:rsidR="00931D60" w:rsidRPr="00DF5070">
        <w:rPr>
          <w:rFonts w:ascii="Times New Roman" w:hAnsi="Times New Roman"/>
        </w:rPr>
        <w:t>contravenor</w:t>
      </w:r>
      <w:proofErr w:type="spellEnd"/>
    </w:p>
    <w:p w14:paraId="12CE1D79" w14:textId="25EFD7FE" w:rsidR="00FA19D5" w:rsidRPr="00DF5070" w:rsidRDefault="003819D4"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6E24F9" w:rsidRPr="00DF5070">
        <w:rPr>
          <w:rFonts w:ascii="Times New Roman" w:hAnsi="Times New Roman"/>
        </w:rPr>
        <w:t xml:space="preserve">Indeed, in </w:t>
      </w:r>
      <w:r w:rsidR="00BE12D2" w:rsidRPr="00DF5070">
        <w:rPr>
          <w:rFonts w:ascii="Times New Roman" w:hAnsi="Times New Roman"/>
        </w:rPr>
        <w:t xml:space="preserve">some </w:t>
      </w:r>
      <w:r w:rsidR="006E24F9" w:rsidRPr="00DF5070">
        <w:rPr>
          <w:rFonts w:ascii="Times New Roman" w:hAnsi="Times New Roman"/>
        </w:rPr>
        <w:t>cases,</w:t>
      </w:r>
      <w:r w:rsidR="00193BF9" w:rsidRPr="00DF5070">
        <w:rPr>
          <w:rFonts w:ascii="Times New Roman" w:hAnsi="Times New Roman"/>
        </w:rPr>
        <w:t xml:space="preserve"> the circumstances of the </w:t>
      </w:r>
      <w:proofErr w:type="spellStart"/>
      <w:r w:rsidR="00193BF9" w:rsidRPr="00DF5070">
        <w:rPr>
          <w:rFonts w:ascii="Times New Roman" w:hAnsi="Times New Roman"/>
        </w:rPr>
        <w:t>contravenor</w:t>
      </w:r>
      <w:proofErr w:type="spellEnd"/>
      <w:r w:rsidR="00193BF9" w:rsidRPr="00DF5070">
        <w:rPr>
          <w:rFonts w:ascii="Times New Roman" w:hAnsi="Times New Roman"/>
        </w:rPr>
        <w:t xml:space="preserve"> may be more significant in </w:t>
      </w:r>
      <w:r w:rsidR="00BE12D2" w:rsidRPr="00DF5070">
        <w:rPr>
          <w:rFonts w:ascii="Times New Roman" w:hAnsi="Times New Roman"/>
        </w:rPr>
        <w:t>terms of the extent of the necessity for</w:t>
      </w:r>
      <w:r w:rsidR="00193BF9" w:rsidRPr="00DF5070">
        <w:rPr>
          <w:rFonts w:ascii="Times New Roman" w:hAnsi="Times New Roman"/>
        </w:rPr>
        <w:t xml:space="preserve"> deterrence than </w:t>
      </w:r>
      <w:r w:rsidR="00F652D1" w:rsidRPr="00DF5070">
        <w:rPr>
          <w:rFonts w:ascii="Times New Roman" w:hAnsi="Times New Roman"/>
        </w:rPr>
        <w:t xml:space="preserve">the </w:t>
      </w:r>
      <w:r w:rsidR="00193BF9" w:rsidRPr="00DF5070">
        <w:rPr>
          <w:rFonts w:ascii="Times New Roman" w:hAnsi="Times New Roman"/>
        </w:rPr>
        <w:t>circumstances of the contravention.</w:t>
      </w:r>
      <w:r w:rsidR="00766CC5" w:rsidRPr="00DF5070">
        <w:rPr>
          <w:rFonts w:ascii="Times New Roman" w:hAnsi="Times New Roman"/>
        </w:rPr>
        <w:t xml:space="preserve"> </w:t>
      </w:r>
      <w:r w:rsidR="00D41979" w:rsidRPr="00DF5070">
        <w:rPr>
          <w:rFonts w:ascii="Times New Roman" w:hAnsi="Times New Roman"/>
        </w:rPr>
        <w:t xml:space="preserve">In this regard, it </w:t>
      </w:r>
      <w:r w:rsidR="009E097C" w:rsidRPr="00DF5070">
        <w:rPr>
          <w:rFonts w:ascii="Times New Roman" w:hAnsi="Times New Roman"/>
        </w:rPr>
        <w:t xml:space="preserve">is </w:t>
      </w:r>
      <w:r w:rsidR="007E395B" w:rsidRPr="00DF5070">
        <w:rPr>
          <w:rFonts w:ascii="Times New Roman" w:hAnsi="Times New Roman"/>
        </w:rPr>
        <w:t xml:space="preserve">simply undeniable </w:t>
      </w:r>
      <w:r w:rsidR="009E097C" w:rsidRPr="00DF5070">
        <w:rPr>
          <w:rFonts w:ascii="Times New Roman" w:hAnsi="Times New Roman"/>
        </w:rPr>
        <w:t>that</w:t>
      </w:r>
      <w:r w:rsidR="00D41979" w:rsidRPr="00DF5070">
        <w:rPr>
          <w:rFonts w:ascii="Times New Roman" w:hAnsi="Times New Roman"/>
        </w:rPr>
        <w:t>,</w:t>
      </w:r>
      <w:r w:rsidR="001F46C5" w:rsidRPr="00DF5070">
        <w:rPr>
          <w:rFonts w:ascii="Times New Roman" w:hAnsi="Times New Roman"/>
        </w:rPr>
        <w:t xml:space="preserve"> all </w:t>
      </w:r>
      <w:r w:rsidR="00D41979" w:rsidRPr="00DF5070">
        <w:rPr>
          <w:rFonts w:ascii="Times New Roman" w:hAnsi="Times New Roman"/>
        </w:rPr>
        <w:t xml:space="preserve">other </w:t>
      </w:r>
      <w:r w:rsidR="001F46C5" w:rsidRPr="00DF5070">
        <w:rPr>
          <w:rFonts w:ascii="Times New Roman" w:hAnsi="Times New Roman"/>
        </w:rPr>
        <w:t xml:space="preserve">things being equal, a greater financial incentive will be necessary to </w:t>
      </w:r>
      <w:r w:rsidR="00190C0F" w:rsidRPr="00DF5070">
        <w:rPr>
          <w:rFonts w:ascii="Times New Roman" w:hAnsi="Times New Roman"/>
        </w:rPr>
        <w:t xml:space="preserve">persuade </w:t>
      </w:r>
      <w:r w:rsidR="001F46C5" w:rsidRPr="00DF5070">
        <w:rPr>
          <w:rFonts w:ascii="Times New Roman" w:hAnsi="Times New Roman"/>
        </w:rPr>
        <w:t>a well</w:t>
      </w:r>
      <w:r w:rsidR="001F46C5" w:rsidRPr="00DF5070">
        <w:rPr>
          <w:rFonts w:ascii="Times New Roman" w:hAnsi="Times New Roman"/>
        </w:rPr>
        <w:noBreakHyphen/>
        <w:t xml:space="preserve">resourced </w:t>
      </w:r>
      <w:proofErr w:type="spellStart"/>
      <w:r w:rsidR="001F46C5" w:rsidRPr="00DF5070">
        <w:rPr>
          <w:rFonts w:ascii="Times New Roman" w:hAnsi="Times New Roman"/>
        </w:rPr>
        <w:t>contravenor</w:t>
      </w:r>
      <w:proofErr w:type="spellEnd"/>
      <w:r w:rsidR="001F46C5" w:rsidRPr="00DF5070">
        <w:rPr>
          <w:rFonts w:ascii="Times New Roman" w:hAnsi="Times New Roman"/>
        </w:rPr>
        <w:t xml:space="preserve"> </w:t>
      </w:r>
      <w:r w:rsidR="00190C0F" w:rsidRPr="00DF5070">
        <w:rPr>
          <w:rFonts w:ascii="Times New Roman" w:hAnsi="Times New Roman"/>
        </w:rPr>
        <w:t xml:space="preserve">to abide by the law rather than to adhere to </w:t>
      </w:r>
      <w:r w:rsidR="003C679C" w:rsidRPr="00DF5070">
        <w:rPr>
          <w:rFonts w:ascii="Times New Roman" w:hAnsi="Times New Roman"/>
        </w:rPr>
        <w:t xml:space="preserve">its preferred policy than will be necessary to persuade a poorly resourced </w:t>
      </w:r>
      <w:proofErr w:type="spellStart"/>
      <w:r w:rsidR="003C679C" w:rsidRPr="00DF5070">
        <w:rPr>
          <w:rFonts w:ascii="Times New Roman" w:hAnsi="Times New Roman"/>
        </w:rPr>
        <w:t>contravenor</w:t>
      </w:r>
      <w:proofErr w:type="spellEnd"/>
      <w:r w:rsidR="003C679C" w:rsidRPr="00DF5070">
        <w:rPr>
          <w:rFonts w:ascii="Times New Roman" w:hAnsi="Times New Roman"/>
        </w:rPr>
        <w:t xml:space="preserve"> that i</w:t>
      </w:r>
      <w:r w:rsidR="009E3347" w:rsidRPr="00DF5070">
        <w:rPr>
          <w:rFonts w:ascii="Times New Roman" w:hAnsi="Times New Roman"/>
        </w:rPr>
        <w:t>t</w:t>
      </w:r>
      <w:r w:rsidR="003C679C" w:rsidRPr="00DF5070">
        <w:rPr>
          <w:rFonts w:ascii="Times New Roman" w:hAnsi="Times New Roman"/>
        </w:rPr>
        <w:t xml:space="preserve">s </w:t>
      </w:r>
      <w:r w:rsidR="007B173C" w:rsidRPr="00DF5070">
        <w:rPr>
          <w:rFonts w:ascii="Times New Roman" w:hAnsi="Times New Roman"/>
        </w:rPr>
        <w:t xml:space="preserve">unlawful </w:t>
      </w:r>
      <w:r w:rsidR="003C679C" w:rsidRPr="00DF5070">
        <w:rPr>
          <w:rFonts w:ascii="Times New Roman" w:hAnsi="Times New Roman"/>
        </w:rPr>
        <w:t>policy preference is not</w:t>
      </w:r>
      <w:r w:rsidR="007B173C" w:rsidRPr="00DF5070">
        <w:rPr>
          <w:rFonts w:ascii="Times New Roman" w:hAnsi="Times New Roman"/>
        </w:rPr>
        <w:t xml:space="preserve"> sustainable</w:t>
      </w:r>
      <w:r w:rsidR="003C679C" w:rsidRPr="00DF5070">
        <w:rPr>
          <w:rFonts w:ascii="Times New Roman" w:hAnsi="Times New Roman"/>
        </w:rPr>
        <w:t>.</w:t>
      </w:r>
      <w:r w:rsidR="0043768B" w:rsidRPr="00DF5070">
        <w:rPr>
          <w:rFonts w:ascii="Times New Roman" w:hAnsi="Times New Roman"/>
        </w:rPr>
        <w:t xml:space="preserve"> It is equally obvious that</w:t>
      </w:r>
      <w:r w:rsidR="00766CC5" w:rsidRPr="00DF5070">
        <w:rPr>
          <w:rFonts w:ascii="Times New Roman" w:hAnsi="Times New Roman"/>
        </w:rPr>
        <w:t>,</w:t>
      </w:r>
      <w:r w:rsidR="0043768B" w:rsidRPr="00DF5070">
        <w:rPr>
          <w:rFonts w:ascii="Times New Roman" w:hAnsi="Times New Roman"/>
        </w:rPr>
        <w:t xml:space="preserve"> the more determined a </w:t>
      </w:r>
      <w:proofErr w:type="spellStart"/>
      <w:r w:rsidR="00E90342" w:rsidRPr="00DF5070">
        <w:rPr>
          <w:rFonts w:ascii="Times New Roman" w:hAnsi="Times New Roman"/>
        </w:rPr>
        <w:t>contravenor</w:t>
      </w:r>
      <w:proofErr w:type="spellEnd"/>
      <w:r w:rsidR="00E90342" w:rsidRPr="00DF5070">
        <w:rPr>
          <w:rFonts w:ascii="Times New Roman" w:hAnsi="Times New Roman"/>
        </w:rPr>
        <w:t xml:space="preserve"> is to have its way in the workplace and the more deliberate its contravention </w:t>
      </w:r>
      <w:r w:rsidR="00324545" w:rsidRPr="00DF5070">
        <w:rPr>
          <w:rFonts w:ascii="Times New Roman" w:hAnsi="Times New Roman"/>
        </w:rPr>
        <w:t>is</w:t>
      </w:r>
      <w:r w:rsidR="00E90342" w:rsidRPr="00DF5070">
        <w:rPr>
          <w:rFonts w:ascii="Times New Roman" w:hAnsi="Times New Roman"/>
        </w:rPr>
        <w:t xml:space="preserve">, the greater will be the financial incentive necessary to make the </w:t>
      </w:r>
      <w:proofErr w:type="spellStart"/>
      <w:r w:rsidR="00E90342" w:rsidRPr="00DF5070">
        <w:rPr>
          <w:rFonts w:ascii="Times New Roman" w:hAnsi="Times New Roman"/>
        </w:rPr>
        <w:t>contravenor</w:t>
      </w:r>
      <w:proofErr w:type="spellEnd"/>
      <w:r w:rsidR="00E90342" w:rsidRPr="00DF5070">
        <w:rPr>
          <w:rFonts w:ascii="Times New Roman" w:hAnsi="Times New Roman"/>
        </w:rPr>
        <w:t xml:space="preserve"> accept that the price of having its way is not sustainable</w:t>
      </w:r>
      <w:r w:rsidR="00324545" w:rsidRPr="00DF5070">
        <w:rPr>
          <w:rStyle w:val="FootnoteReference"/>
          <w:rFonts w:ascii="Times New Roman" w:hAnsi="Times New Roman"/>
          <w:sz w:val="24"/>
        </w:rPr>
        <w:footnoteReference w:id="84"/>
      </w:r>
      <w:r w:rsidR="00E90342" w:rsidRPr="00DF5070">
        <w:rPr>
          <w:rFonts w:ascii="Times New Roman" w:hAnsi="Times New Roman"/>
        </w:rPr>
        <w:t>.</w:t>
      </w:r>
    </w:p>
    <w:p w14:paraId="6E3ED533" w14:textId="4E1D7612" w:rsidR="003937F4" w:rsidRPr="00DF5070" w:rsidRDefault="003937F4"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931D60" w:rsidRPr="00DF5070">
        <w:rPr>
          <w:rFonts w:ascii="Times New Roman" w:hAnsi="Times New Roman"/>
        </w:rPr>
        <w:t>In</w:t>
      </w:r>
      <w:r w:rsidRPr="00DF5070">
        <w:rPr>
          <w:rFonts w:ascii="Times New Roman" w:hAnsi="Times New Roman"/>
        </w:rPr>
        <w:t xml:space="preserve"> the present case, the CFMMEU's determination and financial ability to adhere to its "no ticket, no start" policy in defiance of the law are </w:t>
      </w:r>
      <w:r w:rsidR="00931D60" w:rsidRPr="00DF5070">
        <w:rPr>
          <w:rFonts w:ascii="Times New Roman" w:hAnsi="Times New Roman"/>
        </w:rPr>
        <w:t xml:space="preserve">indisputably </w:t>
      </w:r>
      <w:r w:rsidRPr="00DF5070">
        <w:rPr>
          <w:rFonts w:ascii="Times New Roman" w:hAnsi="Times New Roman"/>
        </w:rPr>
        <w:t xml:space="preserve">the most significant considerations in the assessment </w:t>
      </w:r>
      <w:r w:rsidR="00931D60" w:rsidRPr="00DF5070">
        <w:rPr>
          <w:rFonts w:ascii="Times New Roman" w:hAnsi="Times New Roman"/>
        </w:rPr>
        <w:t xml:space="preserve">pursuant to s 546 </w:t>
      </w:r>
      <w:r w:rsidRPr="00DF5070">
        <w:rPr>
          <w:rFonts w:ascii="Times New Roman" w:hAnsi="Times New Roman"/>
        </w:rPr>
        <w:t xml:space="preserve">of what </w:t>
      </w:r>
      <w:r w:rsidR="00766CC5" w:rsidRPr="00DF5070">
        <w:rPr>
          <w:rFonts w:ascii="Times New Roman" w:hAnsi="Times New Roman"/>
        </w:rPr>
        <w:t>is reasonably</w:t>
      </w:r>
      <w:r w:rsidRPr="00DF5070">
        <w:rPr>
          <w:rFonts w:ascii="Times New Roman" w:hAnsi="Times New Roman"/>
        </w:rPr>
        <w:t xml:space="preserve"> necessary to deter further contraventions</w:t>
      </w:r>
      <w:r w:rsidR="00F3554B" w:rsidRPr="00DF5070">
        <w:rPr>
          <w:rFonts w:ascii="Times New Roman" w:hAnsi="Times New Roman"/>
        </w:rPr>
        <w:t xml:space="preserve"> of a like kind</w:t>
      </w:r>
      <w:r w:rsidRPr="00DF5070">
        <w:rPr>
          <w:rFonts w:ascii="Times New Roman" w:hAnsi="Times New Roman"/>
        </w:rPr>
        <w:t>.</w:t>
      </w:r>
    </w:p>
    <w:p w14:paraId="3B18EB0D" w14:textId="13CE4E78" w:rsidR="00F733FA" w:rsidRPr="00DF5070" w:rsidRDefault="00CC6A20" w:rsidP="00DF5070">
      <w:pPr>
        <w:pStyle w:val="HeadingL2"/>
        <w:spacing w:after="260" w:line="280" w:lineRule="exact"/>
        <w:ind w:right="0"/>
        <w:jc w:val="both"/>
        <w:rPr>
          <w:rFonts w:ascii="Times New Roman" w:hAnsi="Times New Roman"/>
        </w:rPr>
      </w:pPr>
      <w:r w:rsidRPr="00DF5070">
        <w:rPr>
          <w:rFonts w:ascii="Times New Roman" w:hAnsi="Times New Roman"/>
        </w:rPr>
        <w:t>The c</w:t>
      </w:r>
      <w:r w:rsidR="00F733FA" w:rsidRPr="00DF5070">
        <w:rPr>
          <w:rFonts w:ascii="Times New Roman" w:hAnsi="Times New Roman"/>
        </w:rPr>
        <w:t>ircumstances of the contravention</w:t>
      </w:r>
      <w:r w:rsidR="00113146" w:rsidRPr="00DF5070">
        <w:rPr>
          <w:rFonts w:ascii="Times New Roman" w:hAnsi="Times New Roman"/>
        </w:rPr>
        <w:t>s</w:t>
      </w:r>
    </w:p>
    <w:p w14:paraId="452C24C9" w14:textId="47D96C03" w:rsidR="00724337" w:rsidRPr="00DF5070" w:rsidRDefault="004E53F1"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766CC5" w:rsidRPr="00DF5070">
        <w:rPr>
          <w:rFonts w:ascii="Times New Roman" w:hAnsi="Times New Roman"/>
        </w:rPr>
        <w:t>A</w:t>
      </w:r>
      <w:r w:rsidR="00724337" w:rsidRPr="00DF5070">
        <w:rPr>
          <w:rFonts w:ascii="Times New Roman" w:hAnsi="Times New Roman"/>
        </w:rPr>
        <w:t xml:space="preserve">s to the </w:t>
      </w:r>
      <w:r w:rsidR="00AD5B8F" w:rsidRPr="00DF5070">
        <w:rPr>
          <w:rFonts w:ascii="Times New Roman" w:hAnsi="Times New Roman"/>
        </w:rPr>
        <w:t>circumstances of the contraventions of concern here, too much should not be made of the fact that the contraventions were not attended by violent or intimidatory behaviour that might have made the contraventions appear</w:t>
      </w:r>
      <w:r w:rsidR="00C85DA8" w:rsidRPr="00DF5070">
        <w:rPr>
          <w:rFonts w:ascii="Times New Roman" w:hAnsi="Times New Roman"/>
        </w:rPr>
        <w:t xml:space="preserve"> more serious. The public interest directly protected by s 349(1) of the Act lies in ensuring the maintenance of rights of association in the workplace. </w:t>
      </w:r>
      <w:r w:rsidR="00766CC5" w:rsidRPr="00DF5070">
        <w:rPr>
          <w:rFonts w:ascii="Times New Roman" w:hAnsi="Times New Roman"/>
        </w:rPr>
        <w:t xml:space="preserve">It is the interference with those rights by the making of false or misleading representations that is the gravamen of a contravention of s 349(1). </w:t>
      </w:r>
      <w:r w:rsidR="00C85DA8" w:rsidRPr="00DF5070">
        <w:rPr>
          <w:rFonts w:ascii="Times New Roman" w:hAnsi="Times New Roman"/>
        </w:rPr>
        <w:t xml:space="preserve">To the extent that circumstances of aggravation such as violent or </w:t>
      </w:r>
      <w:r w:rsidR="00CB2C4D" w:rsidRPr="00DF5070">
        <w:rPr>
          <w:rFonts w:ascii="Times New Roman" w:hAnsi="Times New Roman"/>
        </w:rPr>
        <w:t>intimidatory behaviour might attend contraventions of s 349(1), those aggravating circumstances might well engage other laws concerned to protect peace and good order.</w:t>
      </w:r>
    </w:p>
    <w:p w14:paraId="5E59B6A9" w14:textId="7B8DAE49" w:rsidR="00F90697" w:rsidRPr="00DF5070" w:rsidRDefault="00F90697" w:rsidP="00DF5070">
      <w:pPr>
        <w:pStyle w:val="HeadingL1"/>
        <w:spacing w:after="260" w:line="280" w:lineRule="exact"/>
        <w:ind w:right="0"/>
        <w:jc w:val="both"/>
        <w:rPr>
          <w:rFonts w:ascii="Times New Roman" w:hAnsi="Times New Roman"/>
        </w:rPr>
      </w:pPr>
      <w:r w:rsidRPr="00DF5070">
        <w:rPr>
          <w:rFonts w:ascii="Times New Roman" w:hAnsi="Times New Roman"/>
        </w:rPr>
        <w:t>Mr Pattinson's position</w:t>
      </w:r>
    </w:p>
    <w:p w14:paraId="7E3BD669" w14:textId="5797041C" w:rsidR="00F90697" w:rsidRPr="00DF5070" w:rsidRDefault="00F90697"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It was argued </w:t>
      </w:r>
      <w:r w:rsidR="00716333" w:rsidRPr="00DF5070">
        <w:rPr>
          <w:rFonts w:ascii="Times New Roman" w:hAnsi="Times New Roman"/>
        </w:rPr>
        <w:t>on behalf of Mr</w:t>
      </w:r>
      <w:r w:rsidR="00576AE3" w:rsidRPr="00DF5070">
        <w:rPr>
          <w:rFonts w:ascii="Times New Roman" w:hAnsi="Times New Roman"/>
        </w:rPr>
        <w:t> </w:t>
      </w:r>
      <w:r w:rsidR="00716333" w:rsidRPr="00DF5070">
        <w:rPr>
          <w:rFonts w:ascii="Times New Roman" w:hAnsi="Times New Roman"/>
        </w:rPr>
        <w:t>Pattinson</w:t>
      </w:r>
      <w:r w:rsidR="005513C5" w:rsidRPr="00DF5070">
        <w:rPr>
          <w:rFonts w:ascii="Times New Roman" w:hAnsi="Times New Roman"/>
        </w:rPr>
        <w:t xml:space="preserve"> </w:t>
      </w:r>
      <w:r w:rsidRPr="00DF5070">
        <w:rPr>
          <w:rFonts w:ascii="Times New Roman" w:hAnsi="Times New Roman"/>
        </w:rPr>
        <w:t>that</w:t>
      </w:r>
      <w:r w:rsidR="006A6C7B" w:rsidRPr="00DF5070">
        <w:rPr>
          <w:rFonts w:ascii="Times New Roman" w:hAnsi="Times New Roman"/>
        </w:rPr>
        <w:t>, even if the Commissioner's appeal were otherwise successful,</w:t>
      </w:r>
      <w:r w:rsidRPr="00DF5070">
        <w:rPr>
          <w:rFonts w:ascii="Times New Roman" w:hAnsi="Times New Roman"/>
        </w:rPr>
        <w:t xml:space="preserve"> </w:t>
      </w:r>
      <w:r w:rsidR="00D90DA9" w:rsidRPr="00DF5070">
        <w:rPr>
          <w:rFonts w:ascii="Times New Roman" w:hAnsi="Times New Roman"/>
        </w:rPr>
        <w:t xml:space="preserve">this Court should not set aside </w:t>
      </w:r>
      <w:r w:rsidRPr="00DF5070">
        <w:rPr>
          <w:rFonts w:ascii="Times New Roman" w:hAnsi="Times New Roman"/>
        </w:rPr>
        <w:t xml:space="preserve">the penalty fixed by the Full Court in respect of Mr Pattinson </w:t>
      </w:r>
      <w:r w:rsidR="00D90DA9" w:rsidRPr="00DF5070">
        <w:rPr>
          <w:rFonts w:ascii="Times New Roman" w:hAnsi="Times New Roman"/>
        </w:rPr>
        <w:t xml:space="preserve">and restore </w:t>
      </w:r>
      <w:r w:rsidR="00CC7F5C" w:rsidRPr="00DF5070">
        <w:rPr>
          <w:rFonts w:ascii="Times New Roman" w:hAnsi="Times New Roman"/>
        </w:rPr>
        <w:t xml:space="preserve">the penalty fixed by the primary judge. </w:t>
      </w:r>
      <w:r w:rsidR="00FB1E49" w:rsidRPr="00DF5070">
        <w:rPr>
          <w:rFonts w:ascii="Times New Roman" w:hAnsi="Times New Roman"/>
        </w:rPr>
        <w:t>It</w:t>
      </w:r>
      <w:r w:rsidR="00CC7F5C" w:rsidRPr="00DF5070">
        <w:rPr>
          <w:rFonts w:ascii="Times New Roman" w:hAnsi="Times New Roman"/>
        </w:rPr>
        <w:t xml:space="preserve"> was said that since the determination of the primary judge, </w:t>
      </w:r>
      <w:r w:rsidR="00CC7F5C" w:rsidRPr="00DF5070">
        <w:rPr>
          <w:rFonts w:ascii="Times New Roman" w:hAnsi="Times New Roman"/>
        </w:rPr>
        <w:lastRenderedPageBreak/>
        <w:t xml:space="preserve">Mr Pattinson has retired. </w:t>
      </w:r>
      <w:r w:rsidR="00FB1E49" w:rsidRPr="00DF5070">
        <w:rPr>
          <w:rFonts w:ascii="Times New Roman" w:hAnsi="Times New Roman"/>
        </w:rPr>
        <w:t>It</w:t>
      </w:r>
      <w:r w:rsidR="00CC7F5C" w:rsidRPr="00DF5070">
        <w:rPr>
          <w:rFonts w:ascii="Times New Roman" w:hAnsi="Times New Roman"/>
        </w:rPr>
        <w:t xml:space="preserve"> was also said that he was merely a </w:t>
      </w:r>
      <w:r w:rsidR="00C50809" w:rsidRPr="00DF5070">
        <w:rPr>
          <w:rFonts w:ascii="Times New Roman" w:hAnsi="Times New Roman"/>
        </w:rPr>
        <w:t xml:space="preserve">site </w:t>
      </w:r>
      <w:r w:rsidR="00CC7F5C" w:rsidRPr="00DF5070">
        <w:rPr>
          <w:rFonts w:ascii="Times New Roman" w:hAnsi="Times New Roman"/>
        </w:rPr>
        <w:t xml:space="preserve">delegate, </w:t>
      </w:r>
      <w:r w:rsidR="00FB1E49" w:rsidRPr="00DF5070">
        <w:rPr>
          <w:rFonts w:ascii="Times New Roman" w:hAnsi="Times New Roman"/>
        </w:rPr>
        <w:t>n</w:t>
      </w:r>
      <w:r w:rsidR="00CC7F5C" w:rsidRPr="00DF5070">
        <w:rPr>
          <w:rFonts w:ascii="Times New Roman" w:hAnsi="Times New Roman"/>
        </w:rPr>
        <w:t>ot a</w:t>
      </w:r>
      <w:r w:rsidR="00C96A10" w:rsidRPr="00DF5070">
        <w:rPr>
          <w:rFonts w:ascii="Times New Roman" w:hAnsi="Times New Roman"/>
        </w:rPr>
        <w:t xml:space="preserve"> senior</w:t>
      </w:r>
      <w:r w:rsidR="00CC7F5C" w:rsidRPr="00DF5070">
        <w:rPr>
          <w:rFonts w:ascii="Times New Roman" w:hAnsi="Times New Roman"/>
        </w:rPr>
        <w:t xml:space="preserve"> </w:t>
      </w:r>
      <w:r w:rsidR="00AE3FD3" w:rsidRPr="00DF5070">
        <w:rPr>
          <w:rFonts w:ascii="Times New Roman" w:hAnsi="Times New Roman"/>
        </w:rPr>
        <w:t xml:space="preserve">official </w:t>
      </w:r>
      <w:r w:rsidR="00CC7F5C" w:rsidRPr="00DF5070">
        <w:rPr>
          <w:rFonts w:ascii="Times New Roman" w:hAnsi="Times New Roman"/>
        </w:rPr>
        <w:t>of the CFMMEU respons</w:t>
      </w:r>
      <w:r w:rsidR="00FB1E49" w:rsidRPr="00DF5070">
        <w:rPr>
          <w:rFonts w:ascii="Times New Roman" w:hAnsi="Times New Roman"/>
        </w:rPr>
        <w:t>i</w:t>
      </w:r>
      <w:r w:rsidR="00CC7F5C" w:rsidRPr="00DF5070">
        <w:rPr>
          <w:rFonts w:ascii="Times New Roman" w:hAnsi="Times New Roman"/>
        </w:rPr>
        <w:t xml:space="preserve">ble for its policy </w:t>
      </w:r>
      <w:r w:rsidR="00703B35" w:rsidRPr="00DF5070">
        <w:rPr>
          <w:rFonts w:ascii="Times New Roman" w:hAnsi="Times New Roman"/>
        </w:rPr>
        <w:t>and strategies. On that footing, it was said that considerations of specific deterrence did not support the penalty fixed by the primary judge</w:t>
      </w:r>
      <w:r w:rsidRPr="00DF5070">
        <w:rPr>
          <w:rFonts w:ascii="Times New Roman" w:hAnsi="Times New Roman"/>
        </w:rPr>
        <w:t>.</w:t>
      </w:r>
    </w:p>
    <w:p w14:paraId="18ABC86C" w14:textId="054A817D" w:rsidR="007E2C2D" w:rsidRPr="00DF5070" w:rsidRDefault="007E2C2D"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This argument should be rejected. </w:t>
      </w:r>
      <w:r w:rsidR="00162BE5" w:rsidRPr="00DF5070">
        <w:rPr>
          <w:rFonts w:ascii="Times New Roman" w:hAnsi="Times New Roman"/>
        </w:rPr>
        <w:t xml:space="preserve">The circumstance that </w:t>
      </w:r>
      <w:r w:rsidRPr="00DF5070">
        <w:rPr>
          <w:rFonts w:ascii="Times New Roman" w:hAnsi="Times New Roman"/>
        </w:rPr>
        <w:t xml:space="preserve">Mr Pattinson has retired since the judgment of the primary judge says nothing </w:t>
      </w:r>
      <w:r w:rsidR="005513C5" w:rsidRPr="00DF5070">
        <w:rPr>
          <w:rFonts w:ascii="Times New Roman" w:hAnsi="Times New Roman"/>
        </w:rPr>
        <w:t>against</w:t>
      </w:r>
      <w:r w:rsidRPr="00DF5070">
        <w:rPr>
          <w:rFonts w:ascii="Times New Roman" w:hAnsi="Times New Roman"/>
        </w:rPr>
        <w:t xml:space="preserve"> the appropriateness</w:t>
      </w:r>
      <w:r w:rsidR="005E3B27" w:rsidRPr="00DF5070">
        <w:rPr>
          <w:rFonts w:ascii="Times New Roman" w:hAnsi="Times New Roman"/>
        </w:rPr>
        <w:t xml:space="preserve">, as a matter of specific deterrence, </w:t>
      </w:r>
      <w:r w:rsidRPr="00DF5070">
        <w:rPr>
          <w:rFonts w:ascii="Times New Roman" w:hAnsi="Times New Roman"/>
        </w:rPr>
        <w:t xml:space="preserve">of the penalty fixed by the primary judge. </w:t>
      </w:r>
      <w:r w:rsidR="00F138A6" w:rsidRPr="00DF5070">
        <w:rPr>
          <w:rFonts w:ascii="Times New Roman" w:hAnsi="Times New Roman"/>
        </w:rPr>
        <w:t>In addition</w:t>
      </w:r>
      <w:r w:rsidRPr="00DF5070">
        <w:rPr>
          <w:rFonts w:ascii="Times New Roman" w:hAnsi="Times New Roman"/>
        </w:rPr>
        <w:t xml:space="preserve">, </w:t>
      </w:r>
      <w:r w:rsidR="00C35FBF" w:rsidRPr="00DF5070">
        <w:rPr>
          <w:rFonts w:ascii="Times New Roman" w:hAnsi="Times New Roman"/>
        </w:rPr>
        <w:t xml:space="preserve">as is apparent from the primary judge's reasons, </w:t>
      </w:r>
      <w:r w:rsidRPr="00DF5070">
        <w:rPr>
          <w:rFonts w:ascii="Times New Roman" w:hAnsi="Times New Roman"/>
        </w:rPr>
        <w:t>that penalty reflected consi</w:t>
      </w:r>
      <w:r w:rsidR="00BB0E2F" w:rsidRPr="00DF5070">
        <w:rPr>
          <w:rFonts w:ascii="Times New Roman" w:hAnsi="Times New Roman"/>
        </w:rPr>
        <w:t>d</w:t>
      </w:r>
      <w:r w:rsidRPr="00DF5070">
        <w:rPr>
          <w:rFonts w:ascii="Times New Roman" w:hAnsi="Times New Roman"/>
        </w:rPr>
        <w:t>erat</w:t>
      </w:r>
      <w:r w:rsidR="00BB0E2F" w:rsidRPr="00DF5070">
        <w:rPr>
          <w:rFonts w:ascii="Times New Roman" w:hAnsi="Times New Roman"/>
        </w:rPr>
        <w:t>i</w:t>
      </w:r>
      <w:r w:rsidRPr="00DF5070">
        <w:rPr>
          <w:rFonts w:ascii="Times New Roman" w:hAnsi="Times New Roman"/>
        </w:rPr>
        <w:t xml:space="preserve">ons of general deterrence relevant to </w:t>
      </w:r>
      <w:r w:rsidR="005825AC" w:rsidRPr="00DF5070">
        <w:rPr>
          <w:rFonts w:ascii="Times New Roman" w:hAnsi="Times New Roman"/>
        </w:rPr>
        <w:t>other delegates and officers of</w:t>
      </w:r>
      <w:r w:rsidRPr="00DF5070">
        <w:rPr>
          <w:rFonts w:ascii="Times New Roman" w:hAnsi="Times New Roman"/>
        </w:rPr>
        <w:t xml:space="preserve"> the CFMMEU.</w:t>
      </w:r>
    </w:p>
    <w:p w14:paraId="165646F2" w14:textId="7444898C" w:rsidR="00F138A6" w:rsidRPr="00DF5070" w:rsidRDefault="00F138A6"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The reasons of the Full Court identify no reason for reducing </w:t>
      </w:r>
      <w:r w:rsidR="00325C52" w:rsidRPr="00DF5070">
        <w:rPr>
          <w:rFonts w:ascii="Times New Roman" w:hAnsi="Times New Roman"/>
        </w:rPr>
        <w:t>the</w:t>
      </w:r>
      <w:r w:rsidRPr="00DF5070">
        <w:rPr>
          <w:rFonts w:ascii="Times New Roman" w:hAnsi="Times New Roman"/>
        </w:rPr>
        <w:t xml:space="preserve"> penalty</w:t>
      </w:r>
      <w:r w:rsidR="00325C52" w:rsidRPr="00DF5070">
        <w:rPr>
          <w:rFonts w:ascii="Times New Roman" w:hAnsi="Times New Roman"/>
        </w:rPr>
        <w:t xml:space="preserve"> fixed by the primary judge in relation to Mr Pattinson. It is noteworthy that the primary judge did not impose on Mr Pattinson anything like the maximum penalty that might have been imposed upon him. </w:t>
      </w:r>
      <w:r w:rsidR="00DF7561" w:rsidRPr="00DF5070">
        <w:rPr>
          <w:rFonts w:ascii="Times New Roman" w:hAnsi="Times New Roman"/>
        </w:rPr>
        <w:t>If the Full Court's</w:t>
      </w:r>
      <w:r w:rsidR="0053545B" w:rsidRPr="00DF5070">
        <w:rPr>
          <w:rFonts w:ascii="Times New Roman" w:hAnsi="Times New Roman"/>
        </w:rPr>
        <w:t xml:space="preserve"> interference with the primary judge's exercise of discretion in relation to Mr Pattinson</w:t>
      </w:r>
      <w:r w:rsidRPr="00DF5070">
        <w:rPr>
          <w:rFonts w:ascii="Times New Roman" w:hAnsi="Times New Roman"/>
        </w:rPr>
        <w:t xml:space="preserve"> </w:t>
      </w:r>
      <w:r w:rsidR="00AE25E3" w:rsidRPr="00DF5070">
        <w:rPr>
          <w:rFonts w:ascii="Times New Roman" w:hAnsi="Times New Roman"/>
        </w:rPr>
        <w:t>is</w:t>
      </w:r>
      <w:r w:rsidRPr="00DF5070">
        <w:rPr>
          <w:rFonts w:ascii="Times New Roman" w:hAnsi="Times New Roman"/>
        </w:rPr>
        <w:t xml:space="preserve"> explicable on the same basis as </w:t>
      </w:r>
      <w:r w:rsidR="0053545B" w:rsidRPr="00DF5070">
        <w:rPr>
          <w:rFonts w:ascii="Times New Roman" w:hAnsi="Times New Roman"/>
        </w:rPr>
        <w:t xml:space="preserve">that which </w:t>
      </w:r>
      <w:r w:rsidRPr="00DF5070">
        <w:rPr>
          <w:rFonts w:ascii="Times New Roman" w:hAnsi="Times New Roman"/>
        </w:rPr>
        <w:t xml:space="preserve">led to the Full Court's interference with the penalty </w:t>
      </w:r>
      <w:r w:rsidR="00F77D89" w:rsidRPr="00DF5070">
        <w:rPr>
          <w:rFonts w:ascii="Times New Roman" w:hAnsi="Times New Roman"/>
        </w:rPr>
        <w:t>imposed on the CFMMEU</w:t>
      </w:r>
      <w:r w:rsidR="008F69EB" w:rsidRPr="00DF5070">
        <w:rPr>
          <w:rFonts w:ascii="Times New Roman" w:hAnsi="Times New Roman"/>
        </w:rPr>
        <w:t>, then, for the reasons set out above, t</w:t>
      </w:r>
      <w:r w:rsidR="00AE25E3" w:rsidRPr="00DF5070">
        <w:rPr>
          <w:rFonts w:ascii="Times New Roman" w:hAnsi="Times New Roman"/>
        </w:rPr>
        <w:t>here was no basis for that course</w:t>
      </w:r>
      <w:r w:rsidR="008F69EB" w:rsidRPr="00DF5070">
        <w:rPr>
          <w:rFonts w:ascii="Times New Roman" w:hAnsi="Times New Roman"/>
        </w:rPr>
        <w:t>.</w:t>
      </w:r>
      <w:r w:rsidR="00AE25E3" w:rsidRPr="00DF5070">
        <w:rPr>
          <w:rFonts w:ascii="Times New Roman" w:hAnsi="Times New Roman"/>
        </w:rPr>
        <w:t xml:space="preserve"> </w:t>
      </w:r>
      <w:r w:rsidR="008F69EB" w:rsidRPr="00DF5070">
        <w:rPr>
          <w:rFonts w:ascii="Times New Roman" w:hAnsi="Times New Roman"/>
        </w:rPr>
        <w:t>T</w:t>
      </w:r>
      <w:r w:rsidR="00F77D89" w:rsidRPr="00DF5070">
        <w:rPr>
          <w:rFonts w:ascii="Times New Roman" w:hAnsi="Times New Roman"/>
        </w:rPr>
        <w:t>he penalty imposed by the primary judge</w:t>
      </w:r>
      <w:r w:rsidR="00DF1921" w:rsidRPr="00DF5070">
        <w:rPr>
          <w:rFonts w:ascii="Times New Roman" w:hAnsi="Times New Roman"/>
        </w:rPr>
        <w:t xml:space="preserve"> in relation to Mr Pattinson</w:t>
      </w:r>
      <w:r w:rsidR="00F77D89" w:rsidRPr="00DF5070">
        <w:rPr>
          <w:rFonts w:ascii="Times New Roman" w:hAnsi="Times New Roman"/>
        </w:rPr>
        <w:t xml:space="preserve"> should be restored.</w:t>
      </w:r>
    </w:p>
    <w:p w14:paraId="3B8B64D4" w14:textId="3E4E825F" w:rsidR="00AF49E4" w:rsidRPr="00DF5070" w:rsidRDefault="00AF49E4" w:rsidP="00DF5070">
      <w:pPr>
        <w:pStyle w:val="HeadingL1"/>
        <w:spacing w:after="260" w:line="280" w:lineRule="exact"/>
        <w:ind w:right="0"/>
        <w:jc w:val="both"/>
        <w:rPr>
          <w:rFonts w:ascii="Times New Roman" w:hAnsi="Times New Roman"/>
        </w:rPr>
      </w:pPr>
      <w:r w:rsidRPr="00DF5070">
        <w:rPr>
          <w:rFonts w:ascii="Times New Roman" w:hAnsi="Times New Roman"/>
        </w:rPr>
        <w:t>Conclusion</w:t>
      </w:r>
    </w:p>
    <w:p w14:paraId="57D6D9E7" w14:textId="3F3B51E5" w:rsidR="00E258CD" w:rsidRPr="00DF5070" w:rsidRDefault="00AD0E8A"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E258CD" w:rsidRPr="00DF5070">
        <w:rPr>
          <w:rFonts w:ascii="Times New Roman" w:hAnsi="Times New Roman"/>
        </w:rPr>
        <w:t xml:space="preserve">The theory of </w:t>
      </w:r>
      <w:r w:rsidR="00AE25E3" w:rsidRPr="00DF5070">
        <w:rPr>
          <w:rFonts w:ascii="Times New Roman" w:hAnsi="Times New Roman"/>
        </w:rPr>
        <w:t xml:space="preserve">s 546 of </w:t>
      </w:r>
      <w:r w:rsidR="00E258CD" w:rsidRPr="00DF5070">
        <w:rPr>
          <w:rFonts w:ascii="Times New Roman" w:hAnsi="Times New Roman"/>
        </w:rPr>
        <w:t xml:space="preserve">the Act is that the financial disincentive involved in the imposition of a pecuniary penalty will encourage compliance with the law by ensuring that contraventions are viewed by the </w:t>
      </w:r>
      <w:proofErr w:type="spellStart"/>
      <w:r w:rsidR="00E258CD" w:rsidRPr="00DF5070">
        <w:rPr>
          <w:rFonts w:ascii="Times New Roman" w:hAnsi="Times New Roman"/>
        </w:rPr>
        <w:t>contravenor</w:t>
      </w:r>
      <w:proofErr w:type="spellEnd"/>
      <w:r w:rsidR="00E258CD" w:rsidRPr="00DF5070">
        <w:rPr>
          <w:rFonts w:ascii="Times New Roman" w:hAnsi="Times New Roman"/>
        </w:rPr>
        <w:t xml:space="preserve"> and others as an economically irrational choice. </w:t>
      </w:r>
      <w:r w:rsidR="00AE25E3" w:rsidRPr="00DF5070">
        <w:rPr>
          <w:rFonts w:ascii="Times New Roman" w:hAnsi="Times New Roman"/>
        </w:rPr>
        <w:t xml:space="preserve">Whether or not experience vindicates the theory of the Act is a matter for Parliament. </w:t>
      </w:r>
      <w:r w:rsidR="00E258CD" w:rsidRPr="00DF5070">
        <w:rPr>
          <w:rFonts w:ascii="Times New Roman" w:hAnsi="Times New Roman"/>
        </w:rPr>
        <w:t xml:space="preserve">The court's function is to give effect to the intention of the Act. </w:t>
      </w:r>
      <w:r w:rsidR="006D43F6" w:rsidRPr="00DF5070">
        <w:rPr>
          <w:rFonts w:ascii="Times New Roman" w:hAnsi="Times New Roman"/>
        </w:rPr>
        <w:t>In this regard</w:t>
      </w:r>
      <w:r w:rsidR="00E258CD" w:rsidRPr="00DF5070">
        <w:rPr>
          <w:rFonts w:ascii="Times New Roman" w:hAnsi="Times New Roman"/>
        </w:rPr>
        <w:t xml:space="preserve">, the court must do what it can to deter </w:t>
      </w:r>
      <w:r w:rsidR="006D43F6" w:rsidRPr="00DF5070">
        <w:rPr>
          <w:rFonts w:ascii="Times New Roman" w:hAnsi="Times New Roman"/>
        </w:rPr>
        <w:t>non</w:t>
      </w:r>
      <w:r w:rsidR="006D43F6" w:rsidRPr="00DF5070">
        <w:rPr>
          <w:rFonts w:ascii="Times New Roman" w:hAnsi="Times New Roman"/>
        </w:rPr>
        <w:noBreakHyphen/>
        <w:t xml:space="preserve">compliance with </w:t>
      </w:r>
      <w:r w:rsidR="00E258CD" w:rsidRPr="00DF5070">
        <w:rPr>
          <w:rFonts w:ascii="Times New Roman" w:hAnsi="Times New Roman"/>
        </w:rPr>
        <w:t xml:space="preserve">the Act. </w:t>
      </w:r>
    </w:p>
    <w:p w14:paraId="14785A90" w14:textId="045DBB92" w:rsidR="005A1698" w:rsidRPr="00DF5070" w:rsidRDefault="005A1698" w:rsidP="00DF5070">
      <w:pPr>
        <w:pStyle w:val="FixListStyle"/>
        <w:spacing w:after="260" w:line="280" w:lineRule="exact"/>
        <w:ind w:right="0"/>
        <w:jc w:val="both"/>
        <w:rPr>
          <w:rFonts w:ascii="Times New Roman" w:hAnsi="Times New Roman"/>
        </w:rPr>
      </w:pPr>
      <w:r w:rsidRPr="00DF5070">
        <w:rPr>
          <w:rFonts w:ascii="Times New Roman" w:hAnsi="Times New Roman"/>
        </w:rPr>
        <w:tab/>
        <w:t xml:space="preserve">Where it is evident that </w:t>
      </w:r>
      <w:r w:rsidR="00DF7099" w:rsidRPr="00DF5070">
        <w:rPr>
          <w:rFonts w:ascii="Times New Roman" w:hAnsi="Times New Roman"/>
        </w:rPr>
        <w:t>a</w:t>
      </w:r>
      <w:r w:rsidRPr="00DF5070">
        <w:rPr>
          <w:rFonts w:ascii="Times New Roman" w:hAnsi="Times New Roman"/>
        </w:rPr>
        <w:t xml:space="preserve"> contravention has occurred as a matter of </w:t>
      </w:r>
      <w:r w:rsidR="00DF7099" w:rsidRPr="00DF5070">
        <w:rPr>
          <w:rFonts w:ascii="Times New Roman" w:hAnsi="Times New Roman"/>
        </w:rPr>
        <w:t>industrial strategy</w:t>
      </w:r>
      <w:r w:rsidRPr="00DF5070">
        <w:rPr>
          <w:rFonts w:ascii="Times New Roman" w:hAnsi="Times New Roman"/>
        </w:rPr>
        <w:t xml:space="preserve"> pursued without regard for the law, it is open to a court acting under s 546 reasonably to conclude that no penalty short of the maximum </w:t>
      </w:r>
      <w:r w:rsidR="00DF7099" w:rsidRPr="00DF5070">
        <w:rPr>
          <w:rFonts w:ascii="Times New Roman" w:hAnsi="Times New Roman"/>
        </w:rPr>
        <w:t>would</w:t>
      </w:r>
      <w:r w:rsidRPr="00DF5070">
        <w:rPr>
          <w:rFonts w:ascii="Times New Roman" w:hAnsi="Times New Roman"/>
        </w:rPr>
        <w:t xml:space="preserve"> be appropriate. The circumstance that the imposition of the maximum penalty might not prove in fact to be effective to deter further contraventions is not a reason to impose a lesser penalty or no penalty at all.</w:t>
      </w:r>
    </w:p>
    <w:p w14:paraId="2DE525B4" w14:textId="57C6FCC1" w:rsidR="00264DD5" w:rsidRPr="00DF5070" w:rsidRDefault="00E258CD"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264DD5" w:rsidRPr="00DF5070">
        <w:rPr>
          <w:rFonts w:ascii="Times New Roman" w:hAnsi="Times New Roman"/>
        </w:rPr>
        <w:t>The judicial task of setting an "appropriate" penalty under s 546</w:t>
      </w:r>
      <w:r w:rsidR="00F96260" w:rsidRPr="00DF5070">
        <w:rPr>
          <w:rFonts w:ascii="Times New Roman" w:hAnsi="Times New Roman"/>
        </w:rPr>
        <w:t xml:space="preserve"> of the Act</w:t>
      </w:r>
      <w:r w:rsidR="00264DD5" w:rsidRPr="00DF5070">
        <w:rPr>
          <w:rFonts w:ascii="Times New Roman" w:hAnsi="Times New Roman"/>
        </w:rPr>
        <w:t xml:space="preserve"> is informed by well</w:t>
      </w:r>
      <w:r w:rsidR="00264DD5" w:rsidRPr="00DF5070">
        <w:rPr>
          <w:rFonts w:ascii="Times New Roman" w:hAnsi="Times New Roman"/>
        </w:rPr>
        <w:noBreakHyphen/>
        <w:t xml:space="preserve">settled principles that have been applied without difficulty, </w:t>
      </w:r>
      <w:r w:rsidR="00264DD5" w:rsidRPr="00DF5070">
        <w:rPr>
          <w:rFonts w:ascii="Times New Roman" w:hAnsi="Times New Roman"/>
        </w:rPr>
        <w:lastRenderedPageBreak/>
        <w:t xml:space="preserve">and which require no supplementation by the Full Court's "notion of proportionality", drawn from </w:t>
      </w:r>
      <w:r w:rsidR="00F96260" w:rsidRPr="00DF5070">
        <w:rPr>
          <w:rFonts w:ascii="Times New Roman" w:hAnsi="Times New Roman"/>
        </w:rPr>
        <w:t xml:space="preserve">the criminal </w:t>
      </w:r>
      <w:r w:rsidR="006D43F6" w:rsidRPr="00DF5070">
        <w:rPr>
          <w:rFonts w:ascii="Times New Roman" w:hAnsi="Times New Roman"/>
        </w:rPr>
        <w:t xml:space="preserve">law </w:t>
      </w:r>
      <w:r w:rsidR="00F96260" w:rsidRPr="00DF5070">
        <w:rPr>
          <w:rFonts w:ascii="Times New Roman" w:hAnsi="Times New Roman"/>
        </w:rPr>
        <w:t xml:space="preserve">context of </w:t>
      </w:r>
      <w:r w:rsidR="00264DD5" w:rsidRPr="00DF5070">
        <w:rPr>
          <w:rFonts w:ascii="Times New Roman" w:hAnsi="Times New Roman"/>
          <w:i/>
          <w:iCs/>
        </w:rPr>
        <w:t xml:space="preserve">Veen </w:t>
      </w:r>
      <w:r w:rsidR="00A90B77" w:rsidRPr="00DF5070">
        <w:rPr>
          <w:rFonts w:ascii="Times New Roman" w:hAnsi="Times New Roman"/>
          <w:i/>
          <w:iCs/>
        </w:rPr>
        <w:t>[</w:t>
      </w:r>
      <w:r w:rsidR="00264DD5" w:rsidRPr="00DF5070">
        <w:rPr>
          <w:rFonts w:ascii="Times New Roman" w:hAnsi="Times New Roman"/>
          <w:i/>
          <w:iCs/>
        </w:rPr>
        <w:t>No 2</w:t>
      </w:r>
      <w:r w:rsidR="00A90B77" w:rsidRPr="00DF5070">
        <w:rPr>
          <w:rFonts w:ascii="Times New Roman" w:hAnsi="Times New Roman"/>
          <w:i/>
          <w:iCs/>
        </w:rPr>
        <w:t>]</w:t>
      </w:r>
      <w:r w:rsidR="00264DD5" w:rsidRPr="00DF5070">
        <w:rPr>
          <w:rFonts w:ascii="Times New Roman" w:hAnsi="Times New Roman"/>
        </w:rPr>
        <w:t>.</w:t>
      </w:r>
    </w:p>
    <w:p w14:paraId="09796D95" w14:textId="68BE61D2" w:rsidR="00370108" w:rsidRPr="00DF5070" w:rsidRDefault="00264DD5"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370108" w:rsidRPr="00DF5070">
        <w:rPr>
          <w:rFonts w:ascii="Times New Roman" w:hAnsi="Times New Roman"/>
        </w:rPr>
        <w:t>The Full Court expressly acknowledged that "we are not in the domain of crime" and that "</w:t>
      </w:r>
      <w:r w:rsidR="00C13A67" w:rsidRPr="00DF5070">
        <w:rPr>
          <w:rFonts w:ascii="Times New Roman" w:hAnsi="Times New Roman"/>
        </w:rPr>
        <w:t>[</w:t>
      </w:r>
      <w:r w:rsidR="00370108" w:rsidRPr="00DF5070">
        <w:rPr>
          <w:rFonts w:ascii="Times New Roman" w:hAnsi="Times New Roman"/>
        </w:rPr>
        <w:t>t</w:t>
      </w:r>
      <w:r w:rsidR="00C13A67" w:rsidRPr="00DF5070">
        <w:rPr>
          <w:rFonts w:ascii="Times New Roman" w:hAnsi="Times New Roman"/>
        </w:rPr>
        <w:t>]</w:t>
      </w:r>
      <w:r w:rsidR="00370108" w:rsidRPr="00DF5070">
        <w:rPr>
          <w:rFonts w:ascii="Times New Roman" w:hAnsi="Times New Roman"/>
        </w:rPr>
        <w:t xml:space="preserve">he imposition of civil penalties is free from notions of retribution and </w:t>
      </w:r>
      <w:proofErr w:type="gramStart"/>
      <w:r w:rsidR="00370108" w:rsidRPr="00DF5070">
        <w:rPr>
          <w:rFonts w:ascii="Times New Roman" w:hAnsi="Times New Roman"/>
        </w:rPr>
        <w:t>denunciation,</w:t>
      </w:r>
      <w:proofErr w:type="gramEnd"/>
      <w:r w:rsidR="00370108" w:rsidRPr="00DF5070">
        <w:rPr>
          <w:rFonts w:ascii="Times New Roman" w:hAnsi="Times New Roman"/>
        </w:rPr>
        <w:t xml:space="preserve"> its object is deterrence"</w:t>
      </w:r>
      <w:r w:rsidR="00370108" w:rsidRPr="00DF5070">
        <w:rPr>
          <w:rStyle w:val="FootnoteReference"/>
          <w:rFonts w:ascii="Times New Roman" w:hAnsi="Times New Roman"/>
          <w:sz w:val="24"/>
        </w:rPr>
        <w:footnoteReference w:id="85"/>
      </w:r>
      <w:r w:rsidR="00370108" w:rsidRPr="00DF5070">
        <w:rPr>
          <w:rFonts w:ascii="Times New Roman" w:hAnsi="Times New Roman"/>
        </w:rPr>
        <w:t xml:space="preserve">. But it is impossible to square </w:t>
      </w:r>
      <w:r w:rsidR="003037FE" w:rsidRPr="00DF5070">
        <w:rPr>
          <w:rFonts w:ascii="Times New Roman" w:hAnsi="Times New Roman"/>
        </w:rPr>
        <w:t>these</w:t>
      </w:r>
      <w:r w:rsidR="00EE2B30" w:rsidRPr="00DF5070">
        <w:rPr>
          <w:rFonts w:ascii="Times New Roman" w:hAnsi="Times New Roman"/>
        </w:rPr>
        <w:t xml:space="preserve"> </w:t>
      </w:r>
      <w:r w:rsidR="00370108" w:rsidRPr="00DF5070">
        <w:rPr>
          <w:rFonts w:ascii="Times New Roman" w:hAnsi="Times New Roman"/>
        </w:rPr>
        <w:t>acknowledgement</w:t>
      </w:r>
      <w:r w:rsidR="00EE2B30" w:rsidRPr="00DF5070">
        <w:rPr>
          <w:rFonts w:ascii="Times New Roman" w:hAnsi="Times New Roman"/>
        </w:rPr>
        <w:t>s</w:t>
      </w:r>
      <w:r w:rsidR="00370108" w:rsidRPr="00DF5070">
        <w:rPr>
          <w:rFonts w:ascii="Times New Roman" w:hAnsi="Times New Roman"/>
        </w:rPr>
        <w:t xml:space="preserve"> with </w:t>
      </w:r>
      <w:r w:rsidR="003037FE" w:rsidRPr="00DF5070">
        <w:rPr>
          <w:rFonts w:ascii="Times New Roman" w:hAnsi="Times New Roman"/>
        </w:rPr>
        <w:t>their</w:t>
      </w:r>
      <w:r w:rsidR="00DF1921" w:rsidRPr="00DF5070">
        <w:rPr>
          <w:rFonts w:ascii="Times New Roman" w:hAnsi="Times New Roman"/>
        </w:rPr>
        <w:t> </w:t>
      </w:r>
      <w:r w:rsidR="003037FE" w:rsidRPr="00DF5070">
        <w:rPr>
          <w:rFonts w:ascii="Times New Roman" w:hAnsi="Times New Roman"/>
        </w:rPr>
        <w:t>Honours' conclusions</w:t>
      </w:r>
      <w:r w:rsidR="004515B9" w:rsidRPr="00DF5070">
        <w:rPr>
          <w:rFonts w:ascii="Times New Roman" w:hAnsi="Times New Roman"/>
        </w:rPr>
        <w:t>, from which it is apparent that their</w:t>
      </w:r>
      <w:r w:rsidR="00DF1921" w:rsidRPr="00DF5070">
        <w:rPr>
          <w:rFonts w:ascii="Times New Roman" w:hAnsi="Times New Roman"/>
        </w:rPr>
        <w:t> </w:t>
      </w:r>
      <w:r w:rsidR="004515B9" w:rsidRPr="00DF5070">
        <w:rPr>
          <w:rFonts w:ascii="Times New Roman" w:hAnsi="Times New Roman"/>
        </w:rPr>
        <w:t xml:space="preserve">Honours were distracted </w:t>
      </w:r>
      <w:r w:rsidR="00A74D4C" w:rsidRPr="00DF5070">
        <w:rPr>
          <w:rFonts w:ascii="Times New Roman" w:hAnsi="Times New Roman"/>
        </w:rPr>
        <w:t xml:space="preserve">by their </w:t>
      </w:r>
      <w:r w:rsidR="003037FE" w:rsidRPr="00DF5070">
        <w:rPr>
          <w:rFonts w:ascii="Times New Roman" w:hAnsi="Times New Roman"/>
        </w:rPr>
        <w:t>"</w:t>
      </w:r>
      <w:r w:rsidR="00A74D4C" w:rsidRPr="00DF5070">
        <w:rPr>
          <w:rFonts w:ascii="Times New Roman" w:hAnsi="Times New Roman"/>
        </w:rPr>
        <w:t>notion of proportionality</w:t>
      </w:r>
      <w:r w:rsidR="003037FE" w:rsidRPr="00DF5070">
        <w:rPr>
          <w:rFonts w:ascii="Times New Roman" w:hAnsi="Times New Roman"/>
        </w:rPr>
        <w:t>"</w:t>
      </w:r>
      <w:r w:rsidR="00A74D4C" w:rsidRPr="00DF5070">
        <w:rPr>
          <w:rFonts w:ascii="Times New Roman" w:hAnsi="Times New Roman"/>
        </w:rPr>
        <w:t xml:space="preserve"> </w:t>
      </w:r>
      <w:r w:rsidR="004515B9" w:rsidRPr="00DF5070">
        <w:rPr>
          <w:rFonts w:ascii="Times New Roman" w:hAnsi="Times New Roman"/>
        </w:rPr>
        <w:t xml:space="preserve">from coming to grips with the central question: whether, in light of the CFMMEU's </w:t>
      </w:r>
      <w:r w:rsidR="007E7B0C" w:rsidRPr="00DF5070">
        <w:rPr>
          <w:rFonts w:ascii="Times New Roman" w:hAnsi="Times New Roman"/>
        </w:rPr>
        <w:t>strategy</w:t>
      </w:r>
      <w:r w:rsidR="004515B9" w:rsidRPr="00DF5070">
        <w:rPr>
          <w:rFonts w:ascii="Times New Roman" w:hAnsi="Times New Roman"/>
        </w:rPr>
        <w:t xml:space="preserve"> of non</w:t>
      </w:r>
      <w:r w:rsidR="004515B9" w:rsidRPr="00DF5070">
        <w:rPr>
          <w:rFonts w:ascii="Times New Roman" w:hAnsi="Times New Roman"/>
        </w:rPr>
        <w:noBreakHyphen/>
        <w:t xml:space="preserve">compliance with the law, the penalties imposed by the primary judge were reasonably necessary to deter further contraventions. </w:t>
      </w:r>
    </w:p>
    <w:p w14:paraId="126DA674" w14:textId="019B48CA" w:rsidR="00370108" w:rsidRPr="00DF5070" w:rsidRDefault="00370108"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793ECF" w:rsidRPr="00DF5070">
        <w:rPr>
          <w:rFonts w:ascii="Times New Roman" w:hAnsi="Times New Roman"/>
        </w:rPr>
        <w:t xml:space="preserve">To </w:t>
      </w:r>
      <w:r w:rsidRPr="00DF5070">
        <w:rPr>
          <w:rFonts w:ascii="Times New Roman" w:hAnsi="Times New Roman"/>
        </w:rPr>
        <w:t>say</w:t>
      </w:r>
      <w:r w:rsidR="00A74D4C" w:rsidRPr="00DF5070">
        <w:rPr>
          <w:rFonts w:ascii="Times New Roman" w:hAnsi="Times New Roman"/>
        </w:rPr>
        <w:t>,</w:t>
      </w:r>
      <w:r w:rsidRPr="00DF5070">
        <w:rPr>
          <w:rFonts w:ascii="Times New Roman" w:hAnsi="Times New Roman"/>
        </w:rPr>
        <w:t xml:space="preserve"> as the Full</w:t>
      </w:r>
      <w:r w:rsidR="00E273DD" w:rsidRPr="00DF5070">
        <w:rPr>
          <w:rFonts w:ascii="Times New Roman" w:hAnsi="Times New Roman"/>
        </w:rPr>
        <w:t> </w:t>
      </w:r>
      <w:r w:rsidRPr="00DF5070">
        <w:rPr>
          <w:rFonts w:ascii="Times New Roman" w:hAnsi="Times New Roman"/>
        </w:rPr>
        <w:t>Court did</w:t>
      </w:r>
      <w:r w:rsidR="00A74D4C" w:rsidRPr="00DF5070">
        <w:rPr>
          <w:rFonts w:ascii="Times New Roman" w:hAnsi="Times New Roman"/>
        </w:rPr>
        <w:t>,</w:t>
      </w:r>
      <w:r w:rsidRPr="00DF5070">
        <w:rPr>
          <w:rFonts w:ascii="Times New Roman" w:hAnsi="Times New Roman"/>
        </w:rPr>
        <w:t xml:space="preserve"> that on the approach taken by the primary judge "</w:t>
      </w:r>
      <w:r w:rsidR="005D5B95" w:rsidRPr="00DF5070">
        <w:rPr>
          <w:rFonts w:ascii="Times New Roman" w:hAnsi="Times New Roman"/>
        </w:rPr>
        <w:t>[</w:t>
      </w:r>
      <w:r w:rsidRPr="00DF5070">
        <w:rPr>
          <w:rFonts w:ascii="Times New Roman" w:hAnsi="Times New Roman"/>
        </w:rPr>
        <w:t>t</w:t>
      </w:r>
      <w:r w:rsidR="005D5B95" w:rsidRPr="00DF5070">
        <w:rPr>
          <w:rFonts w:ascii="Times New Roman" w:hAnsi="Times New Roman"/>
        </w:rPr>
        <w:t>]</w:t>
      </w:r>
      <w:r w:rsidRPr="00DF5070">
        <w:rPr>
          <w:rFonts w:ascii="Times New Roman" w:hAnsi="Times New Roman"/>
        </w:rPr>
        <w:t>he penalty becomes imposed not for the instant contravention but, to some degree, for the past</w:t>
      </w:r>
      <w:r w:rsidR="005D5B95" w:rsidRPr="00DF5070">
        <w:rPr>
          <w:rFonts w:ascii="Times New Roman" w:hAnsi="Times New Roman"/>
        </w:rPr>
        <w:t>,</w:t>
      </w:r>
      <w:r w:rsidRPr="00DF5070">
        <w:rPr>
          <w:rFonts w:ascii="Times New Roman" w:hAnsi="Times New Roman"/>
        </w:rPr>
        <w:t xml:space="preserve"> again"</w:t>
      </w:r>
      <w:r w:rsidRPr="00DF5070">
        <w:rPr>
          <w:rStyle w:val="FootnoteReference"/>
          <w:rFonts w:ascii="Times New Roman" w:hAnsi="Times New Roman"/>
          <w:sz w:val="24"/>
        </w:rPr>
        <w:footnoteReference w:id="86"/>
      </w:r>
      <w:r w:rsidRPr="00DF5070">
        <w:rPr>
          <w:rFonts w:ascii="Times New Roman" w:hAnsi="Times New Roman"/>
        </w:rPr>
        <w:t xml:space="preserve"> is to fail to appreciate that the significance of the CFMMEU's past offending </w:t>
      </w:r>
      <w:r w:rsidR="005D5B95" w:rsidRPr="00DF5070">
        <w:rPr>
          <w:rFonts w:ascii="Times New Roman" w:hAnsi="Times New Roman"/>
        </w:rPr>
        <w:t xml:space="preserve">is </w:t>
      </w:r>
      <w:r w:rsidRPr="00DF5070">
        <w:rPr>
          <w:rFonts w:ascii="Times New Roman" w:hAnsi="Times New Roman"/>
        </w:rPr>
        <w:t xml:space="preserve">that it </w:t>
      </w:r>
      <w:r w:rsidR="005D5B95" w:rsidRPr="00DF5070">
        <w:rPr>
          <w:rFonts w:ascii="Times New Roman" w:hAnsi="Times New Roman"/>
        </w:rPr>
        <w:t xml:space="preserve">demonstrates </w:t>
      </w:r>
      <w:r w:rsidRPr="00DF5070">
        <w:rPr>
          <w:rFonts w:ascii="Times New Roman" w:hAnsi="Times New Roman"/>
        </w:rPr>
        <w:t>a fixed "intention of promoting a no</w:t>
      </w:r>
      <w:r w:rsidRPr="00DF5070">
        <w:rPr>
          <w:rFonts w:ascii="Times New Roman" w:hAnsi="Times New Roman"/>
        </w:rPr>
        <w:noBreakHyphen/>
        <w:t>ticket no</w:t>
      </w:r>
      <w:r w:rsidRPr="00DF5070">
        <w:rPr>
          <w:rFonts w:ascii="Times New Roman" w:hAnsi="Times New Roman"/>
        </w:rPr>
        <w:noBreakHyphen/>
        <w:t>start policy"</w:t>
      </w:r>
      <w:r w:rsidRPr="00DF5070">
        <w:rPr>
          <w:rStyle w:val="FootnoteReference"/>
          <w:rFonts w:ascii="Times New Roman" w:hAnsi="Times New Roman"/>
          <w:sz w:val="24"/>
        </w:rPr>
        <w:footnoteReference w:id="87"/>
      </w:r>
      <w:r w:rsidR="003037FE" w:rsidRPr="00DF5070">
        <w:rPr>
          <w:rFonts w:ascii="Times New Roman" w:hAnsi="Times New Roman"/>
        </w:rPr>
        <w:t>. It is to fail to appreciate</w:t>
      </w:r>
      <w:r w:rsidRPr="00DF5070">
        <w:rPr>
          <w:rFonts w:ascii="Times New Roman" w:hAnsi="Times New Roman"/>
        </w:rPr>
        <w:t xml:space="preserve"> that the </w:t>
      </w:r>
      <w:r w:rsidR="00F37205" w:rsidRPr="00DF5070">
        <w:rPr>
          <w:rFonts w:ascii="Times New Roman" w:hAnsi="Times New Roman"/>
        </w:rPr>
        <w:t xml:space="preserve">CFMMEU's </w:t>
      </w:r>
      <w:r w:rsidRPr="00DF5070">
        <w:rPr>
          <w:rFonts w:ascii="Times New Roman" w:hAnsi="Times New Roman"/>
        </w:rPr>
        <w:t xml:space="preserve">tenacity in adhering to that policy reflects a calculation on its part that the industrial benefits from that adherence are such that the lesser penalties previously imposed are a price worth </w:t>
      </w:r>
      <w:r w:rsidR="000D2492" w:rsidRPr="00DF5070">
        <w:rPr>
          <w:rFonts w:ascii="Times New Roman" w:hAnsi="Times New Roman"/>
        </w:rPr>
        <w:t xml:space="preserve">paying </w:t>
      </w:r>
      <w:r w:rsidRPr="00DF5070">
        <w:rPr>
          <w:rFonts w:ascii="Times New Roman" w:hAnsi="Times New Roman"/>
        </w:rPr>
        <w:t xml:space="preserve">so that it can </w:t>
      </w:r>
      <w:r w:rsidR="000D2492" w:rsidRPr="00DF5070">
        <w:rPr>
          <w:rFonts w:ascii="Times New Roman" w:hAnsi="Times New Roman"/>
        </w:rPr>
        <w:t xml:space="preserve">continue to </w:t>
      </w:r>
      <w:r w:rsidRPr="00DF5070">
        <w:rPr>
          <w:rFonts w:ascii="Times New Roman" w:hAnsi="Times New Roman"/>
        </w:rPr>
        <w:t>have its way.</w:t>
      </w:r>
    </w:p>
    <w:p w14:paraId="196F636A" w14:textId="6B98AA77" w:rsidR="004002E3" w:rsidRPr="00DF5070" w:rsidRDefault="004002E3" w:rsidP="00DF5070">
      <w:pPr>
        <w:pStyle w:val="FixListStyle"/>
        <w:spacing w:after="260" w:line="280" w:lineRule="exact"/>
        <w:ind w:right="0"/>
        <w:jc w:val="both"/>
        <w:rPr>
          <w:rFonts w:ascii="Times New Roman" w:hAnsi="Times New Roman"/>
        </w:rPr>
      </w:pPr>
      <w:r w:rsidRPr="00DF5070">
        <w:rPr>
          <w:rFonts w:ascii="Times New Roman" w:hAnsi="Times New Roman"/>
        </w:rPr>
        <w:tab/>
        <w:t>The Full</w:t>
      </w:r>
      <w:r w:rsidR="00D61BE8" w:rsidRPr="00DF5070">
        <w:rPr>
          <w:rFonts w:ascii="Times New Roman" w:hAnsi="Times New Roman"/>
        </w:rPr>
        <w:t> </w:t>
      </w:r>
      <w:r w:rsidRPr="00DF5070">
        <w:rPr>
          <w:rFonts w:ascii="Times New Roman" w:hAnsi="Times New Roman"/>
        </w:rPr>
        <w:t xml:space="preserve">Court's unwarranted complication of the </w:t>
      </w:r>
      <w:r w:rsidR="000D2492" w:rsidRPr="00DF5070">
        <w:rPr>
          <w:rFonts w:ascii="Times New Roman" w:hAnsi="Times New Roman"/>
        </w:rPr>
        <w:t xml:space="preserve">court's </w:t>
      </w:r>
      <w:r w:rsidRPr="00DF5070">
        <w:rPr>
          <w:rFonts w:ascii="Times New Roman" w:hAnsi="Times New Roman"/>
        </w:rPr>
        <w:t xml:space="preserve">task </w:t>
      </w:r>
      <w:r w:rsidR="000D2492" w:rsidRPr="00DF5070">
        <w:rPr>
          <w:rFonts w:ascii="Times New Roman" w:hAnsi="Times New Roman"/>
        </w:rPr>
        <w:t xml:space="preserve">pursuant to </w:t>
      </w:r>
      <w:r w:rsidRPr="00DF5070">
        <w:rPr>
          <w:rFonts w:ascii="Times New Roman" w:hAnsi="Times New Roman"/>
        </w:rPr>
        <w:t>s 546</w:t>
      </w:r>
      <w:r w:rsidR="000D2492" w:rsidRPr="00DF5070">
        <w:rPr>
          <w:rFonts w:ascii="Times New Roman" w:hAnsi="Times New Roman"/>
        </w:rPr>
        <w:t>,</w:t>
      </w:r>
      <w:r w:rsidRPr="00DF5070">
        <w:rPr>
          <w:rFonts w:ascii="Times New Roman" w:hAnsi="Times New Roman"/>
        </w:rPr>
        <w:t xml:space="preserve"> by </w:t>
      </w:r>
      <w:r w:rsidR="00A1350C" w:rsidRPr="00DF5070">
        <w:rPr>
          <w:rFonts w:ascii="Times New Roman" w:hAnsi="Times New Roman"/>
        </w:rPr>
        <w:t xml:space="preserve">introducing a "notion of proportionality" as a control on that discretion and by reserving the statutory maximum for </w:t>
      </w:r>
      <w:r w:rsidRPr="00DF5070">
        <w:rPr>
          <w:rFonts w:ascii="Times New Roman" w:hAnsi="Times New Roman"/>
        </w:rPr>
        <w:t>an imagined "worst case"</w:t>
      </w:r>
      <w:r w:rsidR="00A1350C" w:rsidRPr="00DF5070">
        <w:rPr>
          <w:rFonts w:ascii="Times New Roman" w:hAnsi="Times New Roman"/>
        </w:rPr>
        <w:t xml:space="preserve">, </w:t>
      </w:r>
      <w:r w:rsidRPr="00DF5070">
        <w:rPr>
          <w:rFonts w:ascii="Times New Roman" w:hAnsi="Times New Roman"/>
        </w:rPr>
        <w:t>is apt to</w:t>
      </w:r>
      <w:r w:rsidR="004C2685" w:rsidRPr="00DF5070">
        <w:rPr>
          <w:rFonts w:ascii="Times New Roman" w:hAnsi="Times New Roman"/>
        </w:rPr>
        <w:t xml:space="preserve"> </w:t>
      </w:r>
      <w:r w:rsidRPr="00DF5070">
        <w:rPr>
          <w:rFonts w:ascii="Times New Roman" w:hAnsi="Times New Roman"/>
        </w:rPr>
        <w:t xml:space="preserve">divert </w:t>
      </w:r>
      <w:r w:rsidR="004C2685" w:rsidRPr="00DF5070">
        <w:rPr>
          <w:rFonts w:ascii="Times New Roman" w:hAnsi="Times New Roman"/>
        </w:rPr>
        <w:t>a</w:t>
      </w:r>
      <w:r w:rsidRPr="00DF5070">
        <w:rPr>
          <w:rFonts w:ascii="Times New Roman" w:hAnsi="Times New Roman"/>
        </w:rPr>
        <w:t xml:space="preserve"> </w:t>
      </w:r>
      <w:r w:rsidR="00A1350C" w:rsidRPr="00DF5070">
        <w:rPr>
          <w:rFonts w:ascii="Times New Roman" w:hAnsi="Times New Roman"/>
        </w:rPr>
        <w:t xml:space="preserve">court </w:t>
      </w:r>
      <w:r w:rsidRPr="00DF5070">
        <w:rPr>
          <w:rFonts w:ascii="Times New Roman" w:hAnsi="Times New Roman"/>
        </w:rPr>
        <w:t xml:space="preserve">from </w:t>
      </w:r>
      <w:r w:rsidR="004C2685" w:rsidRPr="00DF5070">
        <w:rPr>
          <w:rFonts w:ascii="Times New Roman" w:hAnsi="Times New Roman"/>
        </w:rPr>
        <w:t>its</w:t>
      </w:r>
      <w:r w:rsidRPr="00DF5070">
        <w:rPr>
          <w:rFonts w:ascii="Times New Roman" w:hAnsi="Times New Roman"/>
        </w:rPr>
        <w:t xml:space="preserve"> real task </w:t>
      </w:r>
      <w:r w:rsidR="004C2685" w:rsidRPr="00DF5070">
        <w:rPr>
          <w:rFonts w:ascii="Times New Roman" w:hAnsi="Times New Roman"/>
        </w:rPr>
        <w:t xml:space="preserve">under s 546 </w:t>
      </w:r>
      <w:r w:rsidRPr="00DF5070">
        <w:rPr>
          <w:rFonts w:ascii="Times New Roman" w:hAnsi="Times New Roman"/>
        </w:rPr>
        <w:t xml:space="preserve">of fixing the penalty which </w:t>
      </w:r>
      <w:r w:rsidR="00906A2A" w:rsidRPr="00DF5070">
        <w:rPr>
          <w:rFonts w:ascii="Times New Roman" w:hAnsi="Times New Roman"/>
        </w:rPr>
        <w:t>it considers</w:t>
      </w:r>
      <w:r w:rsidRPr="00DF5070">
        <w:rPr>
          <w:rFonts w:ascii="Times New Roman" w:hAnsi="Times New Roman"/>
        </w:rPr>
        <w:t xml:space="preserve"> fairly and reasonably to be appropriate to protect the </w:t>
      </w:r>
      <w:r w:rsidR="001C03B4" w:rsidRPr="00DF5070">
        <w:rPr>
          <w:rFonts w:ascii="Times New Roman" w:hAnsi="Times New Roman"/>
        </w:rPr>
        <w:t>public interest</w:t>
      </w:r>
      <w:r w:rsidRPr="00DF5070">
        <w:rPr>
          <w:rFonts w:ascii="Times New Roman" w:hAnsi="Times New Roman"/>
        </w:rPr>
        <w:t xml:space="preserve"> from future contraventions of the Act. </w:t>
      </w:r>
    </w:p>
    <w:p w14:paraId="3B0EB6E9" w14:textId="5B07F1E8" w:rsidR="002634F2" w:rsidRPr="00DF5070" w:rsidRDefault="00370108"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624278" w:rsidRPr="00DF5070">
        <w:rPr>
          <w:rFonts w:ascii="Times New Roman" w:hAnsi="Times New Roman"/>
        </w:rPr>
        <w:t xml:space="preserve">In the circumstances of this case, </w:t>
      </w:r>
      <w:r w:rsidR="00AA6F89" w:rsidRPr="00DF5070">
        <w:rPr>
          <w:rFonts w:ascii="Times New Roman" w:hAnsi="Times New Roman"/>
        </w:rPr>
        <w:t xml:space="preserve">it was open to the primary judge reasonably to conclude that the maximum penalty was necessary to deter the CFMMEU from further contravening </w:t>
      </w:r>
      <w:r w:rsidR="00782221" w:rsidRPr="00DF5070">
        <w:rPr>
          <w:rFonts w:ascii="Times New Roman" w:hAnsi="Times New Roman"/>
        </w:rPr>
        <w:t>conduct of the kind in which it ha</w:t>
      </w:r>
      <w:r w:rsidR="00C44041" w:rsidRPr="00DF5070">
        <w:rPr>
          <w:rFonts w:ascii="Times New Roman" w:hAnsi="Times New Roman"/>
        </w:rPr>
        <w:t>d</w:t>
      </w:r>
      <w:r w:rsidR="00782221" w:rsidRPr="00DF5070">
        <w:rPr>
          <w:rFonts w:ascii="Times New Roman" w:hAnsi="Times New Roman"/>
        </w:rPr>
        <w:t xml:space="preserve"> engaged. The Full Court erred in holding otherwise. </w:t>
      </w:r>
    </w:p>
    <w:p w14:paraId="20A8BFB7" w14:textId="667CACA9" w:rsidR="003705CA" w:rsidRPr="00DF5070" w:rsidRDefault="003705CA" w:rsidP="00DF5070">
      <w:pPr>
        <w:pStyle w:val="HeadingL1"/>
        <w:spacing w:after="260" w:line="280" w:lineRule="exact"/>
        <w:ind w:right="0"/>
        <w:jc w:val="both"/>
        <w:rPr>
          <w:rFonts w:ascii="Times New Roman" w:hAnsi="Times New Roman"/>
        </w:rPr>
      </w:pPr>
      <w:r w:rsidRPr="00DF5070">
        <w:rPr>
          <w:rFonts w:ascii="Times New Roman" w:hAnsi="Times New Roman"/>
        </w:rPr>
        <w:lastRenderedPageBreak/>
        <w:t>Orders</w:t>
      </w:r>
    </w:p>
    <w:p w14:paraId="43F9BD73" w14:textId="785DB988" w:rsidR="00930CC9" w:rsidRPr="00DF5070" w:rsidRDefault="003705CA"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930CC9" w:rsidRPr="00DF5070">
        <w:rPr>
          <w:rFonts w:ascii="Times New Roman" w:hAnsi="Times New Roman"/>
        </w:rPr>
        <w:t>The appeal must be allowed.</w:t>
      </w:r>
    </w:p>
    <w:p w14:paraId="3059F6C2" w14:textId="77777777" w:rsidR="00CE2E11" w:rsidRDefault="00930CC9" w:rsidP="00DF5070">
      <w:pPr>
        <w:pStyle w:val="FixListStyle"/>
        <w:spacing w:after="260" w:line="280" w:lineRule="exact"/>
        <w:ind w:right="0"/>
        <w:jc w:val="both"/>
        <w:rPr>
          <w:rFonts w:ascii="Times New Roman" w:hAnsi="Times New Roman"/>
        </w:rPr>
      </w:pPr>
      <w:r w:rsidRPr="00DF5070">
        <w:rPr>
          <w:rFonts w:ascii="Times New Roman" w:hAnsi="Times New Roman"/>
        </w:rPr>
        <w:tab/>
      </w:r>
      <w:r w:rsidR="00765911" w:rsidRPr="00DF5070">
        <w:rPr>
          <w:rFonts w:ascii="Times New Roman" w:hAnsi="Times New Roman"/>
        </w:rPr>
        <w:t>The orders of the Full Court should be set aside and</w:t>
      </w:r>
      <w:r w:rsidR="00255074" w:rsidRPr="00DF5070">
        <w:rPr>
          <w:rFonts w:ascii="Times New Roman" w:hAnsi="Times New Roman"/>
        </w:rPr>
        <w:t>,</w:t>
      </w:r>
      <w:r w:rsidR="00765911" w:rsidRPr="00DF5070">
        <w:rPr>
          <w:rFonts w:ascii="Times New Roman" w:hAnsi="Times New Roman"/>
        </w:rPr>
        <w:t xml:space="preserve"> in their place, the appeal to the Full Court should be dismissed.</w:t>
      </w:r>
    </w:p>
    <w:p w14:paraId="659FE46D" w14:textId="77777777" w:rsidR="00CE2E11" w:rsidRDefault="00CE2E11" w:rsidP="00DF5070">
      <w:pPr>
        <w:pStyle w:val="FixListStyle"/>
        <w:spacing w:after="260" w:line="280" w:lineRule="exact"/>
        <w:ind w:right="0"/>
        <w:jc w:val="both"/>
        <w:rPr>
          <w:rFonts w:ascii="Times New Roman" w:hAnsi="Times New Roman"/>
        </w:rPr>
        <w:sectPr w:rsidR="00CE2E11" w:rsidSect="009C2BE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A887706" w14:textId="77777777" w:rsidR="00CE2E11" w:rsidRPr="00E12AF4" w:rsidRDefault="00CE2E11" w:rsidP="00E12AF4">
      <w:pPr>
        <w:pStyle w:val="NormalBody"/>
        <w:tabs>
          <w:tab w:val="clear" w:pos="720"/>
          <w:tab w:val="left" w:pos="0"/>
        </w:tabs>
        <w:spacing w:after="260" w:line="280" w:lineRule="exact"/>
        <w:ind w:right="0"/>
        <w:jc w:val="both"/>
        <w:rPr>
          <w:rFonts w:ascii="Times New Roman" w:hAnsi="Times New Roman"/>
        </w:rPr>
      </w:pPr>
      <w:r w:rsidRPr="00E12AF4">
        <w:rPr>
          <w:rFonts w:ascii="Times New Roman" w:hAnsi="Times New Roman"/>
        </w:rPr>
        <w:lastRenderedPageBreak/>
        <w:t xml:space="preserve">EDELMAN J.   </w:t>
      </w:r>
    </w:p>
    <w:p w14:paraId="004AD4CF" w14:textId="77777777" w:rsidR="00CE2E11" w:rsidRPr="00E12AF4" w:rsidRDefault="00CE2E11" w:rsidP="00E12AF4">
      <w:pPr>
        <w:pStyle w:val="HeadingL1"/>
        <w:spacing w:after="260" w:line="280" w:lineRule="exact"/>
        <w:ind w:right="0"/>
        <w:jc w:val="both"/>
        <w:rPr>
          <w:rFonts w:ascii="Times New Roman" w:hAnsi="Times New Roman"/>
        </w:rPr>
      </w:pPr>
      <w:r w:rsidRPr="00E12AF4">
        <w:rPr>
          <w:rFonts w:ascii="Times New Roman" w:hAnsi="Times New Roman"/>
        </w:rPr>
        <w:t>The problem with deterrence</w:t>
      </w:r>
    </w:p>
    <w:p w14:paraId="51D2C272"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It is "sometimes just to hang an innocent" person</w:t>
      </w:r>
      <w:r w:rsidRPr="00E12AF4">
        <w:rPr>
          <w:rStyle w:val="FootnoteReference"/>
          <w:rFonts w:ascii="Times New Roman" w:hAnsi="Times New Roman"/>
          <w:sz w:val="24"/>
        </w:rPr>
        <w:footnoteReference w:id="88"/>
      </w:r>
      <w:r w:rsidRPr="00E12AF4">
        <w:rPr>
          <w:rFonts w:ascii="Times New Roman" w:hAnsi="Times New Roman"/>
        </w:rPr>
        <w:t>. That is where the logic of general deterrence leads. The logic of specific deterrence can also lead to gross injustice. It can create a legal position where, as Professor </w:t>
      </w:r>
      <w:proofErr w:type="spellStart"/>
      <w:r w:rsidRPr="00E12AF4">
        <w:rPr>
          <w:rFonts w:ascii="Times New Roman" w:hAnsi="Times New Roman"/>
        </w:rPr>
        <w:t>Zedner</w:t>
      </w:r>
      <w:proofErr w:type="spellEnd"/>
      <w:r w:rsidRPr="00E12AF4">
        <w:rPr>
          <w:rFonts w:ascii="Times New Roman" w:hAnsi="Times New Roman"/>
        </w:rPr>
        <w:t xml:space="preserve"> has observed, the "utterly repentant offender, unlikely to repeat their crime, would not need to be punished however serious the offence for which they stand convicted, whereas the unrepentant offender who appears unlikely to change might attract a penalty greatly disproportionate to the present offence"</w:t>
      </w:r>
      <w:r w:rsidRPr="00E12AF4">
        <w:rPr>
          <w:rStyle w:val="FootnoteReference"/>
          <w:rFonts w:ascii="Times New Roman" w:hAnsi="Times New Roman"/>
          <w:sz w:val="24"/>
        </w:rPr>
        <w:footnoteReference w:id="89"/>
      </w:r>
      <w:r w:rsidRPr="00E12AF4">
        <w:rPr>
          <w:rFonts w:ascii="Times New Roman" w:hAnsi="Times New Roman"/>
        </w:rPr>
        <w:t>.</w:t>
      </w:r>
    </w:p>
    <w:p w14:paraId="1D7A6091"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Consider two hypothetical examples. First, a billion</w:t>
      </w:r>
      <w:r w:rsidRPr="00E12AF4">
        <w:rPr>
          <w:rFonts w:ascii="Times New Roman" w:hAnsi="Times New Roman"/>
        </w:rPr>
        <w:noBreakHyphen/>
        <w:t>dollar corporation commits multiple related contraventions of a civil remedy provision over a lengthy period. The contraventions are extremely serious. Although the contraventions are unknown, unintended, and undesired by any person in the company, they result in many millions of dollars of losses to the general public and they threaten public health and safety. The extreme disapprobation from the general public leads the corporation, and others like it, to put systems in place to ensure that there is almost no likelihood that the corporation, or any others like it, will commit any contravention of that general nature again. The maximum penalty for a single infringement by the civil penalty provision for a corporation is $63,000 but the effect of the multiple contraventions is that the maximum penalty is in the region of many millions of dollars. The court concludes that very little, if any, penalty is needed to ensure that the corporation or others in a similar position do not commit a contravention of this nature again.</w:t>
      </w:r>
    </w:p>
    <w:p w14:paraId="7AD751AB"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Secondly, an individual of modest means commits a single contravention of the same civil remedy provision. The contravention is extremely minor and results in no losses to anyone and no threat to anyone's health or safety. The maximum penalty for a single infringement by the civil penalty provision for an individual is $12,600. There is evidence that many other individuals exhibit an attitude of extreme defiance of the civil remedy provision and the court concludes that, unless the penalty imposed upon the individual is set at a level close to the maximum of $12,600, many others will contravene the provision.</w:t>
      </w:r>
    </w:p>
    <w:p w14:paraId="316519C3"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The contraventions by the corporation deserve a substantial penalty. The contravention by the individual does not. But, if the principal purpose of imposing civil penalties for a breach of this provision were deterrence then, as the </w:t>
      </w:r>
      <w:r w:rsidRPr="00E12AF4">
        <w:rPr>
          <w:rFonts w:ascii="Times New Roman" w:hAnsi="Times New Roman"/>
        </w:rPr>
        <w:lastRenderedPageBreak/>
        <w:t>Solicitor</w:t>
      </w:r>
      <w:r w:rsidRPr="00E12AF4">
        <w:rPr>
          <w:rFonts w:ascii="Times New Roman" w:hAnsi="Times New Roman"/>
        </w:rPr>
        <w:noBreakHyphen/>
        <w:t>General of the Commonwealth submitted in oral argument on this appeal, only a token penalty should be imposed on the hypothetical corporation. It would be hard to justify even a penalty of $1,000 if no specific or general deterrence were thought to be required. But a focus principally upon the purpose of deterrence might be thought to justify a penalty of around $10,000 upon the individual for the purpose of general deterrence.</w:t>
      </w:r>
    </w:p>
    <w:p w14:paraId="0E9A256F"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Something is wrong with the law if, solely due to the future propensity of action by others, the law could tolerate a penalty of ten times </w:t>
      </w:r>
      <w:r w:rsidRPr="00E12AF4">
        <w:rPr>
          <w:rFonts w:ascii="Times New Roman" w:hAnsi="Times New Roman"/>
          <w:i/>
          <w:iCs/>
        </w:rPr>
        <w:t xml:space="preserve">more </w:t>
      </w:r>
      <w:r w:rsidRPr="00E12AF4">
        <w:rPr>
          <w:rFonts w:ascii="Times New Roman" w:hAnsi="Times New Roman"/>
        </w:rPr>
        <w:t>for (</w:t>
      </w:r>
      <w:proofErr w:type="spellStart"/>
      <w:r w:rsidRPr="00E12AF4">
        <w:rPr>
          <w:rFonts w:ascii="Times New Roman" w:hAnsi="Times New Roman"/>
        </w:rPr>
        <w:t>i</w:t>
      </w:r>
      <w:proofErr w:type="spellEnd"/>
      <w:r w:rsidRPr="00E12AF4">
        <w:rPr>
          <w:rFonts w:ascii="Times New Roman" w:hAnsi="Times New Roman"/>
        </w:rPr>
        <w:t>) an individual who commits a single, minor contravention of a civil remedy provision than (ii) a billion</w:t>
      </w:r>
      <w:r w:rsidRPr="00E12AF4">
        <w:rPr>
          <w:rFonts w:ascii="Times New Roman" w:hAnsi="Times New Roman"/>
        </w:rPr>
        <w:noBreakHyphen/>
        <w:t>dollar corporation which commits far more serious contraventions on multiple occasions.</w:t>
      </w:r>
    </w:p>
    <w:p w14:paraId="4A9AD3C3"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force of the reasons of the Full Court of the Federal Court of Australia in this case lies in that Court's valiant attempt to reconcile (</w:t>
      </w:r>
      <w:proofErr w:type="spellStart"/>
      <w:r w:rsidRPr="00E12AF4">
        <w:rPr>
          <w:rFonts w:ascii="Times New Roman" w:hAnsi="Times New Roman"/>
        </w:rPr>
        <w:t>i</w:t>
      </w:r>
      <w:proofErr w:type="spellEnd"/>
      <w:r w:rsidRPr="00E12AF4">
        <w:rPr>
          <w:rFonts w:ascii="Times New Roman" w:hAnsi="Times New Roman"/>
        </w:rPr>
        <w:t xml:space="preserve">) the difficult requirement that the principal focus </w:t>
      </w:r>
      <w:r w:rsidRPr="00E12AF4" w:rsidDel="00326514">
        <w:rPr>
          <w:rFonts w:ascii="Times New Roman" w:hAnsi="Times New Roman"/>
        </w:rPr>
        <w:t xml:space="preserve">of </w:t>
      </w:r>
      <w:r w:rsidRPr="00E12AF4">
        <w:rPr>
          <w:rFonts w:ascii="Times New Roman" w:hAnsi="Times New Roman"/>
        </w:rPr>
        <w:t>a</w:t>
      </w:r>
      <w:r w:rsidRPr="00E12AF4" w:rsidDel="00326514">
        <w:rPr>
          <w:rFonts w:ascii="Times New Roman" w:hAnsi="Times New Roman"/>
        </w:rPr>
        <w:t xml:space="preserve"> court </w:t>
      </w:r>
      <w:r w:rsidRPr="00E12AF4">
        <w:rPr>
          <w:rFonts w:ascii="Times New Roman" w:hAnsi="Times New Roman"/>
        </w:rPr>
        <w:t xml:space="preserve">be upon deterrence with (ii) ordering a penalty which a contravener, in justice, deserves for their past conduct. The latter has a powerful claim to be the principal focus required of a court exercising its power under s 546(1) of the </w:t>
      </w:r>
      <w:r w:rsidRPr="00E12AF4">
        <w:rPr>
          <w:rFonts w:ascii="Times New Roman" w:hAnsi="Times New Roman"/>
          <w:i/>
          <w:iCs/>
        </w:rPr>
        <w:t xml:space="preserve">Fair Work Act </w:t>
      </w:r>
      <w:r w:rsidRPr="00E12AF4">
        <w:rPr>
          <w:rFonts w:ascii="Times New Roman" w:hAnsi="Times New Roman"/>
          <w:i/>
        </w:rPr>
        <w:t>2009</w:t>
      </w:r>
      <w:r w:rsidRPr="00E12AF4">
        <w:rPr>
          <w:rFonts w:ascii="Times New Roman" w:hAnsi="Times New Roman"/>
        </w:rPr>
        <w:t> (</w:t>
      </w:r>
      <w:proofErr w:type="spellStart"/>
      <w:r w:rsidRPr="00E12AF4">
        <w:rPr>
          <w:rFonts w:ascii="Times New Roman" w:hAnsi="Times New Roman"/>
        </w:rPr>
        <w:t>Cth</w:t>
      </w:r>
      <w:proofErr w:type="spellEnd"/>
      <w:r w:rsidRPr="00E12AF4">
        <w:rPr>
          <w:rFonts w:ascii="Times New Roman" w:hAnsi="Times New Roman"/>
          <w:iCs/>
        </w:rPr>
        <w:t>)</w:t>
      </w:r>
      <w:r w:rsidRPr="00E12AF4">
        <w:rPr>
          <w:rFonts w:ascii="Times New Roman" w:hAnsi="Times New Roman"/>
        </w:rPr>
        <w:t xml:space="preserve">, upon finding a contravention of that Act, to "order a person to pay a pecuniary penalty that the court considers is appropriate". It is hard to imagine that Parliament intended, by that reference to "appropriate", to set the foundations of punishment by civil penalties in utilitarian notions of deterrence, rather than </w:t>
      </w:r>
      <w:r w:rsidRPr="00E12AF4" w:rsidDel="00B61D44">
        <w:rPr>
          <w:rFonts w:ascii="Times New Roman" w:hAnsi="Times New Roman"/>
        </w:rPr>
        <w:t xml:space="preserve">in the </w:t>
      </w:r>
      <w:r w:rsidRPr="00E12AF4">
        <w:rPr>
          <w:rFonts w:ascii="Times New Roman" w:hAnsi="Times New Roman"/>
        </w:rPr>
        <w:t>principle of just desert that has</w:t>
      </w:r>
      <w:r w:rsidRPr="00E12AF4" w:rsidDel="00D76655">
        <w:rPr>
          <w:rFonts w:ascii="Times New Roman" w:hAnsi="Times New Roman"/>
        </w:rPr>
        <w:t xml:space="preserve"> for so long</w:t>
      </w:r>
      <w:r w:rsidRPr="00E12AF4">
        <w:rPr>
          <w:rFonts w:ascii="Times New Roman" w:hAnsi="Times New Roman"/>
        </w:rPr>
        <w:t xml:space="preserve"> formed the foundations of the approach to punishment in the criminal law. Nevertheless, the present doctrine of this Court is that the principal object of civil penalties is not desert but deterrence, the latter being an economic approach to punishment that uses the offender as an instrument of social policy and has been described even by its defenders as one that has not been favoured for the last hundred years</w:t>
      </w:r>
      <w:r w:rsidRPr="00E12AF4">
        <w:rPr>
          <w:rStyle w:val="FootnoteReference"/>
          <w:rFonts w:ascii="Times New Roman" w:hAnsi="Times New Roman"/>
          <w:sz w:val="24"/>
        </w:rPr>
        <w:footnoteReference w:id="90"/>
      </w:r>
      <w:r w:rsidRPr="00E12AF4">
        <w:rPr>
          <w:rFonts w:ascii="Times New Roman" w:hAnsi="Times New Roman"/>
        </w:rPr>
        <w:t>.</w:t>
      </w:r>
    </w:p>
    <w:p w14:paraId="30BAC1C6"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conduct of the second respondent union ("the CFMMEU") does not expose the problems with a principal focus upon deterrence in the way that the above hypothetical examples do. The conduct of the CFMMEU would have required a very substantial penalty on a view of the law based on either desert or deterrence. The circumstances of the CFMMEU's breaches were serious (</w:t>
      </w:r>
      <w:proofErr w:type="gramStart"/>
      <w:r w:rsidRPr="00E12AF4">
        <w:rPr>
          <w:rFonts w:ascii="Times New Roman" w:hAnsi="Times New Roman"/>
        </w:rPr>
        <w:t>for the reason that</w:t>
      </w:r>
      <w:proofErr w:type="gramEnd"/>
      <w:r w:rsidRPr="00E12AF4">
        <w:rPr>
          <w:rFonts w:ascii="Times New Roman" w:hAnsi="Times New Roman"/>
        </w:rPr>
        <w:t xml:space="preserve"> they were committed in wilful defiance of the law and preceded by 150 previous </w:t>
      </w:r>
      <w:r w:rsidRPr="00E12AF4" w:rsidDel="00EB411A">
        <w:rPr>
          <w:rFonts w:ascii="Times New Roman" w:hAnsi="Times New Roman"/>
        </w:rPr>
        <w:t xml:space="preserve">findings of </w:t>
      </w:r>
      <w:r w:rsidRPr="00E12AF4">
        <w:rPr>
          <w:rFonts w:ascii="Times New Roman" w:hAnsi="Times New Roman"/>
        </w:rPr>
        <w:t xml:space="preserve">contravention). The CFMMEU is also very likely to continue to commit these or similar contraventions of the </w:t>
      </w:r>
      <w:r w:rsidRPr="00E12AF4">
        <w:rPr>
          <w:rFonts w:ascii="Times New Roman" w:hAnsi="Times New Roman"/>
          <w:i/>
          <w:iCs/>
        </w:rPr>
        <w:t>Fair Work Act</w:t>
      </w:r>
      <w:r w:rsidRPr="00E12AF4">
        <w:rPr>
          <w:rFonts w:ascii="Times New Roman" w:hAnsi="Times New Roman"/>
        </w:rPr>
        <w:t xml:space="preserve">. As the CFMMEU has significant resources, a small penalty would have little or no effect. The primary judge imposed a substantial penalty: for the two contraventions </w:t>
      </w:r>
      <w:r w:rsidRPr="00E12AF4">
        <w:rPr>
          <w:rFonts w:ascii="Times New Roman" w:hAnsi="Times New Roman"/>
        </w:rPr>
        <w:lastRenderedPageBreak/>
        <w:t>together, the CFMMEU was ordered to pay the maximum penalty for a single contravention, $63,000.</w:t>
      </w:r>
    </w:p>
    <w:p w14:paraId="07A88BEB"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By contrast, the circumstances of the first respondent in this case, Mr Pattinson, point to anomalies with the application of a primary criterion of deterrence. Mr Pattinson is a 70</w:t>
      </w:r>
      <w:r w:rsidRPr="00E12AF4">
        <w:rPr>
          <w:rFonts w:ascii="Times New Roman" w:hAnsi="Times New Roman"/>
        </w:rPr>
        <w:noBreakHyphen/>
        <w:t>year</w:t>
      </w:r>
      <w:r w:rsidRPr="00E12AF4">
        <w:rPr>
          <w:rFonts w:ascii="Times New Roman" w:hAnsi="Times New Roman"/>
        </w:rPr>
        <w:noBreakHyphen/>
        <w:t>old, now retired</w:t>
      </w:r>
      <w:r w:rsidRPr="00E12AF4" w:rsidDel="009A5ECE">
        <w:rPr>
          <w:rFonts w:ascii="Times New Roman" w:hAnsi="Times New Roman"/>
        </w:rPr>
        <w:t>,</w:t>
      </w:r>
      <w:r w:rsidRPr="00E12AF4">
        <w:rPr>
          <w:rFonts w:ascii="Times New Roman" w:hAnsi="Times New Roman"/>
        </w:rPr>
        <w:t xml:space="preserve"> builder with more than two decades' experience as a site delegate whose reckless misrepresentation to two people, depriving each of them of a single day of work, was his first contravention of the </w:t>
      </w:r>
      <w:r w:rsidRPr="00E12AF4">
        <w:rPr>
          <w:rFonts w:ascii="Times New Roman" w:hAnsi="Times New Roman"/>
          <w:i/>
          <w:iCs/>
        </w:rPr>
        <w:t>Fair Work Act</w:t>
      </w:r>
      <w:r w:rsidRPr="00E12AF4">
        <w:rPr>
          <w:rFonts w:ascii="Times New Roman" w:hAnsi="Times New Roman"/>
        </w:rPr>
        <w:t>. On any view of the law, he did not deserve a substantial penalty. And yet, with the application of a principal purpose of deterrence, and without any evidence of his assets or income, Mr Pattinson was ordered by the primary judge to pay a substantial penalty of $6,000, around half of the maximum amount for a single contravention by an individual.</w:t>
      </w:r>
    </w:p>
    <w:p w14:paraId="680C78AE"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The Full Court of the Federal Court followed the longstanding and basic principle of justice that focuses upon just desert – that penalty which, in justice, is no more than is deserved – </w:t>
      </w:r>
      <w:r w:rsidRPr="00E12AF4" w:rsidDel="00104F64">
        <w:rPr>
          <w:rFonts w:ascii="Times New Roman" w:hAnsi="Times New Roman"/>
        </w:rPr>
        <w:t xml:space="preserve">and reduced </w:t>
      </w:r>
      <w:r w:rsidRPr="00E12AF4">
        <w:rPr>
          <w:rFonts w:ascii="Times New Roman" w:hAnsi="Times New Roman"/>
        </w:rPr>
        <w:t>the penalties imposed on both the CFMMEU and Mr Pattinson. Despite the injustice and anomalies in the application of deterrence rather than desert as a principal object of punishment, and despite the inconsistencies in the present state of the law, the Full Court should have applied deterrence as the principal object at the expense of desert. If deterrence, rather than desert, had been applied as a primary principle, the penalty imposed upon the CFMMEU by the primary judge should not have been reduced. Nevertheless, on any view, the Full Court was correct to reduce the penalty imposed upon Mr Pattinson.</w:t>
      </w:r>
    </w:p>
    <w:p w14:paraId="417EA1E6" w14:textId="77777777" w:rsidR="00CE2E11" w:rsidRPr="00E12AF4" w:rsidRDefault="00CE2E11" w:rsidP="00E12AF4">
      <w:pPr>
        <w:pStyle w:val="HeadingL1"/>
        <w:spacing w:after="260" w:line="280" w:lineRule="exact"/>
        <w:ind w:right="0"/>
        <w:jc w:val="both"/>
        <w:rPr>
          <w:rFonts w:ascii="Times New Roman" w:hAnsi="Times New Roman"/>
        </w:rPr>
      </w:pPr>
      <w:r w:rsidRPr="00E12AF4">
        <w:rPr>
          <w:rFonts w:ascii="Times New Roman" w:hAnsi="Times New Roman"/>
        </w:rPr>
        <w:t>The circumstances of this case</w:t>
      </w:r>
    </w:p>
    <w:p w14:paraId="3215C39B"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facts and background to this case are fully set out in the joint judgment. In short, the two contraventions by each of the respondents, Mr Pattinson and the CFMMEU, involved a brief incident in September 2018. Mr Pattinson was an officer of the CFMMEU, in the sense that he was a worker who was an elected representative of the workers on the site at which his employer was contracted to perform work.</w:t>
      </w:r>
    </w:p>
    <w:p w14:paraId="07FDDCFD"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The contraventions of the </w:t>
      </w:r>
      <w:r w:rsidRPr="00E12AF4">
        <w:rPr>
          <w:rFonts w:ascii="Times New Roman" w:hAnsi="Times New Roman"/>
          <w:i/>
          <w:iCs/>
        </w:rPr>
        <w:t>Fair Work Act</w:t>
      </w:r>
      <w:r w:rsidRPr="00E12AF4">
        <w:rPr>
          <w:rFonts w:ascii="Times New Roman" w:hAnsi="Times New Roman"/>
        </w:rPr>
        <w:t xml:space="preserve"> were committed by Mr Pattinson and attributed to the CFMMEU</w:t>
      </w:r>
      <w:r w:rsidRPr="00E12AF4">
        <w:rPr>
          <w:rStyle w:val="FootnoteReference"/>
          <w:rFonts w:ascii="Times New Roman" w:hAnsi="Times New Roman"/>
          <w:sz w:val="24"/>
        </w:rPr>
        <w:footnoteReference w:id="91"/>
      </w:r>
      <w:r w:rsidRPr="00E12AF4">
        <w:rPr>
          <w:rFonts w:ascii="Times New Roman" w:hAnsi="Times New Roman"/>
        </w:rPr>
        <w:t xml:space="preserve">. The contraventions involved a misrepresentation made by Mr Pattinson to two employees of a subcontractor engaged by Mr Pattinson's employer. Mr Pattinson represented to the two employees that, in order to perform their contracted work under the subcontract, they were required to be members of an industrial organisation. It was admitted by the respondents that this misrepresentation was made knowingly or recklessly and was a contravention of s 349(1) of the </w:t>
      </w:r>
      <w:r w:rsidRPr="00E12AF4">
        <w:rPr>
          <w:rFonts w:ascii="Times New Roman" w:hAnsi="Times New Roman"/>
          <w:i/>
          <w:iCs/>
        </w:rPr>
        <w:t>Fair Work Act</w:t>
      </w:r>
      <w:r w:rsidRPr="00E12AF4">
        <w:rPr>
          <w:rFonts w:ascii="Times New Roman" w:hAnsi="Times New Roman"/>
        </w:rPr>
        <w:t xml:space="preserve">. Since the misrepresentation was </w:t>
      </w:r>
      <w:r w:rsidRPr="00E12AF4">
        <w:rPr>
          <w:rFonts w:ascii="Times New Roman" w:hAnsi="Times New Roman"/>
        </w:rPr>
        <w:lastRenderedPageBreak/>
        <w:t>made to two employees, Mr Pattinson and the CFMMEU committed two contraventions each.</w:t>
      </w:r>
    </w:p>
    <w:p w14:paraId="31139AEC"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During more than 20 years of work as a site delegate, Mr Pattinson had never previously contravened the </w:t>
      </w:r>
      <w:r w:rsidRPr="00E12AF4">
        <w:rPr>
          <w:rFonts w:ascii="Times New Roman" w:hAnsi="Times New Roman"/>
          <w:i/>
          <w:iCs/>
        </w:rPr>
        <w:t>Fair Work Act</w:t>
      </w:r>
      <w:r w:rsidRPr="00E12AF4">
        <w:rPr>
          <w:rFonts w:ascii="Times New Roman" w:hAnsi="Times New Roman"/>
        </w:rPr>
        <w:t xml:space="preserve"> or its predecessor. There was no evidence of Mr Pattinson's income or assets but there was no suggestion that he was a man of any considerable wealth. Nor was there any evidence of his ability to pay any penalty.</w:t>
      </w:r>
    </w:p>
    <w:p w14:paraId="582B0E60"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By contrast, since 2000 the CFMMEU had contravened civil remedy provisions of the </w:t>
      </w:r>
      <w:r w:rsidRPr="00E12AF4">
        <w:rPr>
          <w:rFonts w:ascii="Times New Roman" w:hAnsi="Times New Roman"/>
          <w:i/>
          <w:iCs/>
        </w:rPr>
        <w:t>Fair Work Act</w:t>
      </w:r>
      <w:r w:rsidRPr="00E12AF4">
        <w:rPr>
          <w:rFonts w:ascii="Times New Roman" w:hAnsi="Times New Roman"/>
        </w:rPr>
        <w:t xml:space="preserve"> or its predecessor on at least 150 occasions and had contravened s 349(1) on at least seven occasions</w:t>
      </w:r>
      <w:r w:rsidRPr="00E12AF4">
        <w:rPr>
          <w:rStyle w:val="FootnoteReference"/>
          <w:rFonts w:ascii="Times New Roman" w:hAnsi="Times New Roman"/>
          <w:sz w:val="24"/>
        </w:rPr>
        <w:footnoteReference w:id="92"/>
      </w:r>
      <w:r w:rsidRPr="00E12AF4">
        <w:rPr>
          <w:rFonts w:ascii="Times New Roman" w:hAnsi="Times New Roman"/>
        </w:rPr>
        <w:t>. For reasons explained below, the primary judge correctly reasoned that, "in assessing the nature, character and seriousness (and/or gravity) of the Union's Agreed Contraventions, regard may properly be had to its history of contravening conduct"</w:t>
      </w:r>
      <w:r w:rsidRPr="00E12AF4">
        <w:rPr>
          <w:rStyle w:val="FootnoteReference"/>
          <w:rFonts w:ascii="Times New Roman" w:hAnsi="Times New Roman"/>
          <w:sz w:val="24"/>
        </w:rPr>
        <w:footnoteReference w:id="93"/>
      </w:r>
      <w:r w:rsidRPr="00E12AF4">
        <w:rPr>
          <w:rFonts w:ascii="Times New Roman" w:hAnsi="Times New Roman"/>
        </w:rPr>
        <w:t>. That history, as his Honour held, established the contraventions as "very much of the gravest, most serious kind"</w:t>
      </w:r>
      <w:r w:rsidRPr="00E12AF4">
        <w:rPr>
          <w:rStyle w:val="FootnoteReference"/>
          <w:rFonts w:ascii="Times New Roman" w:hAnsi="Times New Roman"/>
          <w:sz w:val="24"/>
        </w:rPr>
        <w:footnoteReference w:id="94"/>
      </w:r>
      <w:r w:rsidRPr="00E12AF4">
        <w:rPr>
          <w:rFonts w:ascii="Times New Roman" w:hAnsi="Times New Roman"/>
        </w:rPr>
        <w:t>. The primary judge also observed that the CFMMEU is extremely well resourced</w:t>
      </w:r>
      <w:r w:rsidRPr="00E12AF4">
        <w:rPr>
          <w:rStyle w:val="FootnoteReference"/>
          <w:rFonts w:ascii="Times New Roman" w:hAnsi="Times New Roman"/>
          <w:sz w:val="24"/>
        </w:rPr>
        <w:footnoteReference w:id="95"/>
      </w:r>
      <w:r w:rsidRPr="00E12AF4">
        <w:rPr>
          <w:rFonts w:ascii="Times New Roman" w:hAnsi="Times New Roman"/>
        </w:rPr>
        <w:t>.</w:t>
      </w:r>
    </w:p>
    <w:p w14:paraId="06D34D06" w14:textId="77777777" w:rsidR="00CE2E11" w:rsidRPr="00E12AF4" w:rsidRDefault="00CE2E11" w:rsidP="00E12AF4">
      <w:pPr>
        <w:pStyle w:val="HeadingL1"/>
        <w:spacing w:after="260" w:line="280" w:lineRule="exact"/>
        <w:ind w:right="0"/>
        <w:jc w:val="both"/>
        <w:rPr>
          <w:rFonts w:ascii="Times New Roman" w:hAnsi="Times New Roman"/>
        </w:rPr>
      </w:pPr>
      <w:r w:rsidRPr="00E12AF4">
        <w:rPr>
          <w:rFonts w:ascii="Times New Roman" w:hAnsi="Times New Roman"/>
        </w:rPr>
        <w:t>Desert and deterrence: primary and secondary criteria of justice</w:t>
      </w:r>
    </w:p>
    <w:p w14:paraId="733E91FA" w14:textId="77777777" w:rsidR="00CE2E11" w:rsidRPr="00E12AF4" w:rsidRDefault="00CE2E11" w:rsidP="00E12AF4">
      <w:pPr>
        <w:pStyle w:val="HeadingL2"/>
        <w:spacing w:after="260" w:line="280" w:lineRule="exact"/>
        <w:ind w:right="0"/>
        <w:jc w:val="both"/>
        <w:rPr>
          <w:rFonts w:ascii="Times New Roman" w:hAnsi="Times New Roman"/>
        </w:rPr>
      </w:pPr>
      <w:r w:rsidRPr="00E12AF4">
        <w:rPr>
          <w:rFonts w:ascii="Times New Roman" w:hAnsi="Times New Roman"/>
        </w:rPr>
        <w:t>Primary and secondary criteria of justice</w:t>
      </w:r>
    </w:p>
    <w:p w14:paraId="427329DE"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There is a fundamental difference between (</w:t>
      </w:r>
      <w:proofErr w:type="spellStart"/>
      <w:r w:rsidRPr="00E12AF4">
        <w:rPr>
          <w:rFonts w:ascii="Times New Roman" w:hAnsi="Times New Roman"/>
        </w:rPr>
        <w:t>i</w:t>
      </w:r>
      <w:proofErr w:type="spellEnd"/>
      <w:r w:rsidRPr="00E12AF4">
        <w:rPr>
          <w:rFonts w:ascii="Times New Roman" w:hAnsi="Times New Roman"/>
        </w:rPr>
        <w:t xml:space="preserve">) a penalty that focuses upon "just desert", that is, the penalty that, in justice, is no more than the law treats as deserved by a defendant for their past conduct, and (ii) a penalty that focuses upon deterrence, that is, the penalty that is necessary to prevent a defendant or others in a similar position from contravening in the future. The former is concerned with the seriousness of what the defendant </w:t>
      </w:r>
      <w:r w:rsidRPr="00E12AF4">
        <w:rPr>
          <w:rFonts w:ascii="Times New Roman" w:hAnsi="Times New Roman"/>
          <w:i/>
          <w:iCs/>
        </w:rPr>
        <w:t>has done</w:t>
      </w:r>
      <w:r w:rsidRPr="00E12AF4">
        <w:rPr>
          <w:rFonts w:ascii="Times New Roman" w:hAnsi="Times New Roman"/>
        </w:rPr>
        <w:t xml:space="preserve">. The latter is concerned with what the defendant or others in a similar position </w:t>
      </w:r>
      <w:r w:rsidRPr="00E12AF4">
        <w:rPr>
          <w:rFonts w:ascii="Times New Roman" w:hAnsi="Times New Roman"/>
          <w:i/>
          <w:iCs/>
        </w:rPr>
        <w:t>might do</w:t>
      </w:r>
      <w:r w:rsidRPr="00E12AF4">
        <w:rPr>
          <w:rFonts w:ascii="Times New Roman" w:hAnsi="Times New Roman"/>
        </w:rPr>
        <w:t xml:space="preserve">. For so long as penalising and punishing are seen as a necessary response to breaches of legal rules, basic notions of justice, which recognise the dignity and moral worth of individuals, </w:t>
      </w:r>
      <w:r w:rsidRPr="00E12AF4">
        <w:rPr>
          <w:rFonts w:ascii="Times New Roman" w:hAnsi="Times New Roman"/>
        </w:rPr>
        <w:lastRenderedPageBreak/>
        <w:t>usually require that the range of available penalties should be primarily set by reference to what a person has done rather than what the person or others might do in the future. As H L A Hart observed, "[l]</w:t>
      </w:r>
      <w:proofErr w:type="spellStart"/>
      <w:r w:rsidRPr="00E12AF4">
        <w:rPr>
          <w:rFonts w:ascii="Times New Roman" w:hAnsi="Times New Roman"/>
        </w:rPr>
        <w:t>ong</w:t>
      </w:r>
      <w:proofErr w:type="spellEnd"/>
      <w:r w:rsidRPr="00E12AF4">
        <w:rPr>
          <w:rFonts w:ascii="Times New Roman" w:hAnsi="Times New Roman"/>
        </w:rPr>
        <w:t xml:space="preserve"> sentences of imprisonment might effectually stamp out car parking offences, yet we think it wrong to employ them"</w:t>
      </w:r>
      <w:r w:rsidRPr="00E12AF4">
        <w:rPr>
          <w:rStyle w:val="FootnoteReference"/>
          <w:rFonts w:ascii="Times New Roman" w:hAnsi="Times New Roman"/>
          <w:sz w:val="24"/>
        </w:rPr>
        <w:footnoteReference w:id="96"/>
      </w:r>
      <w:r w:rsidRPr="00E12AF4">
        <w:rPr>
          <w:rFonts w:ascii="Times New Roman" w:hAnsi="Times New Roman"/>
        </w:rPr>
        <w:t>. Nevertheless, as a secondary criterion, an assessment of what the person, or others like them, might do in the future might assist in setting the appropriate penalty within the range of what the person justly deserves for their past conduct</w:t>
      </w:r>
      <w:r w:rsidRPr="00E12AF4">
        <w:rPr>
          <w:rStyle w:val="FootnoteReference"/>
          <w:rFonts w:ascii="Times New Roman" w:hAnsi="Times New Roman"/>
          <w:sz w:val="24"/>
        </w:rPr>
        <w:footnoteReference w:id="97"/>
      </w:r>
      <w:r w:rsidRPr="00E12AF4">
        <w:rPr>
          <w:rFonts w:ascii="Times New Roman" w:hAnsi="Times New Roman"/>
        </w:rPr>
        <w:t>.</w:t>
      </w:r>
    </w:p>
    <w:p w14:paraId="571A01D7"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The primary criterion of justice in penalising should therefore be desert. In other words, in penalising a person, the primary focus should be upon ensuring that they are not punished any more than what the law requires that they deserve based on the seriousness of their past conduct, considered </w:t>
      </w:r>
      <w:proofErr w:type="gramStart"/>
      <w:r w:rsidRPr="00E12AF4">
        <w:rPr>
          <w:rFonts w:ascii="Times New Roman" w:hAnsi="Times New Roman"/>
        </w:rPr>
        <w:t>in light of</w:t>
      </w:r>
      <w:proofErr w:type="gramEnd"/>
      <w:r w:rsidRPr="00E12AF4">
        <w:rPr>
          <w:rFonts w:ascii="Times New Roman" w:hAnsi="Times New Roman"/>
        </w:rPr>
        <w:t xml:space="preserve"> all of the circumstances. In criminal law, this fundamental principle is sometimes expressed as a principle of "reasonableness", "appropriateness", or "proportionality". As Mason CJ, Deane, Dawson, Toohey and McHugh JJ said in </w:t>
      </w:r>
      <w:r w:rsidRPr="00E12AF4">
        <w:rPr>
          <w:rFonts w:ascii="Times New Roman" w:hAnsi="Times New Roman"/>
          <w:i/>
        </w:rPr>
        <w:t>Hoare v The Queen</w:t>
      </w:r>
      <w:r w:rsidRPr="00E12AF4">
        <w:rPr>
          <w:rStyle w:val="FootnoteReference"/>
          <w:rFonts w:ascii="Times New Roman" w:hAnsi="Times New Roman"/>
          <w:iCs/>
          <w:sz w:val="24"/>
        </w:rPr>
        <w:footnoteReference w:id="98"/>
      </w:r>
      <w:r w:rsidRPr="00E12AF4">
        <w:rPr>
          <w:rFonts w:ascii="Times New Roman" w:hAnsi="Times New Roman"/>
        </w:rPr>
        <w:t xml:space="preserve">, "a basic principle of sentencing law is that a sentence of imprisonment imposed by a court should never exceed that which can be justified as appropriate or proportionate to the gravity of the crime considered in the light of its </w:t>
      </w:r>
      <w:r w:rsidRPr="00E12AF4">
        <w:rPr>
          <w:rFonts w:ascii="Times New Roman" w:hAnsi="Times New Roman"/>
          <w:i/>
        </w:rPr>
        <w:t>objective</w:t>
      </w:r>
      <w:r w:rsidRPr="00E12AF4">
        <w:rPr>
          <w:rFonts w:ascii="Times New Roman" w:hAnsi="Times New Roman"/>
        </w:rPr>
        <w:t xml:space="preserve"> circumstances". Or, as expressed by the Australian Law Reform Commission, "[t]he principle of proportionality requires courts to impose sentences that bear a reasonable, or proportionate, relationship to the criminal conduct in question ... considered in light of its objective circumstances"</w:t>
      </w:r>
      <w:r w:rsidRPr="00E12AF4">
        <w:rPr>
          <w:rStyle w:val="FootnoteReference"/>
          <w:rFonts w:ascii="Times New Roman" w:hAnsi="Times New Roman"/>
          <w:sz w:val="24"/>
        </w:rPr>
        <w:footnoteReference w:id="99"/>
      </w:r>
      <w:r w:rsidRPr="00E12AF4">
        <w:rPr>
          <w:rFonts w:ascii="Times New Roman" w:hAnsi="Times New Roman"/>
        </w:rPr>
        <w:t>.</w:t>
      </w:r>
    </w:p>
    <w:p w14:paraId="1BC566EE"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label "proportionality", which is described as "one of the fundamental principles of sentencing law", is nothing more than the basic principle that a court must, by focusing upon what the law requires that a person deserves, "make a judgment concerning the relationship of the penalty to the facts ... after taking into account all the facts and circumstances of the case"</w:t>
      </w:r>
      <w:r w:rsidRPr="00E12AF4">
        <w:rPr>
          <w:rStyle w:val="FootnoteReference"/>
          <w:rFonts w:ascii="Times New Roman" w:hAnsi="Times New Roman"/>
          <w:sz w:val="24"/>
        </w:rPr>
        <w:footnoteReference w:id="100"/>
      </w:r>
      <w:r w:rsidRPr="00E12AF4">
        <w:rPr>
          <w:rFonts w:ascii="Times New Roman" w:hAnsi="Times New Roman"/>
        </w:rPr>
        <w:t xml:space="preserve">. Stripped of a requirement of proportionality, a court would be free to order a penalty which is outside the range of what a person deserves for what they have done. Even without language </w:t>
      </w:r>
      <w:r w:rsidRPr="00E12AF4">
        <w:rPr>
          <w:rFonts w:ascii="Times New Roman" w:hAnsi="Times New Roman"/>
        </w:rPr>
        <w:lastRenderedPageBreak/>
        <w:t>requiring a "reasonable", "appropriate", or "proportionate" punishment, the principle is so basic that it is ordinarily implied in the grant of a judicial discretion to punish</w:t>
      </w:r>
      <w:r w:rsidRPr="00E12AF4">
        <w:rPr>
          <w:rStyle w:val="FootnoteReference"/>
          <w:rFonts w:ascii="Times New Roman" w:hAnsi="Times New Roman"/>
          <w:sz w:val="24"/>
        </w:rPr>
        <w:footnoteReference w:id="101"/>
      </w:r>
      <w:r w:rsidRPr="00E12AF4">
        <w:rPr>
          <w:rFonts w:ascii="Times New Roman" w:hAnsi="Times New Roman"/>
        </w:rPr>
        <w:t>.</w:t>
      </w:r>
    </w:p>
    <w:p w14:paraId="7F0A796C" w14:textId="77777777" w:rsidR="00CE2E11" w:rsidRPr="00E12AF4" w:rsidRDefault="00CE2E11" w:rsidP="00E12AF4">
      <w:pPr>
        <w:pStyle w:val="HeadingL2"/>
        <w:spacing w:after="260" w:line="280" w:lineRule="exact"/>
        <w:ind w:right="0"/>
        <w:jc w:val="both"/>
        <w:rPr>
          <w:rFonts w:ascii="Times New Roman" w:hAnsi="Times New Roman"/>
        </w:rPr>
      </w:pPr>
      <w:r w:rsidRPr="00E12AF4">
        <w:rPr>
          <w:rFonts w:ascii="Times New Roman" w:hAnsi="Times New Roman"/>
        </w:rPr>
        <w:t>Desert in criminal law and civil law</w:t>
      </w:r>
    </w:p>
    <w:p w14:paraId="4FE11094"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Civil punishment usually requires an application of the same notions of proportionality as in the criminal law. For instance, an award of punitive damages to punish for civil wrongdoing must not be "disproportionate" to the seriousness of the wrong</w:t>
      </w:r>
      <w:r w:rsidRPr="00E12AF4">
        <w:rPr>
          <w:rStyle w:val="FootnoteReference"/>
          <w:rFonts w:ascii="Times New Roman" w:hAnsi="Times New Roman"/>
          <w:sz w:val="24"/>
        </w:rPr>
        <w:footnoteReference w:id="102"/>
      </w:r>
      <w:r w:rsidRPr="00E12AF4">
        <w:rPr>
          <w:rFonts w:ascii="Times New Roman" w:hAnsi="Times New Roman"/>
        </w:rPr>
        <w:t xml:space="preserve">. As Stevens J, for the Supreme Court of the United States, said in </w:t>
      </w:r>
      <w:r w:rsidRPr="00E12AF4">
        <w:rPr>
          <w:rFonts w:ascii="Times New Roman" w:hAnsi="Times New Roman"/>
          <w:i/>
          <w:iCs/>
        </w:rPr>
        <w:t>BMW of North America Inc v Gore</w:t>
      </w:r>
      <w:r w:rsidRPr="00E12AF4">
        <w:rPr>
          <w:rStyle w:val="FootnoteReference"/>
          <w:rFonts w:ascii="Times New Roman" w:hAnsi="Times New Roman"/>
          <w:sz w:val="24"/>
        </w:rPr>
        <w:footnoteReference w:id="103"/>
      </w:r>
      <w:r w:rsidRPr="00E12AF4">
        <w:rPr>
          <w:rFonts w:ascii="Times New Roman" w:hAnsi="Times New Roman"/>
        </w:rPr>
        <w:t>, "[p]</w:t>
      </w:r>
      <w:proofErr w:type="spellStart"/>
      <w:r w:rsidRPr="00E12AF4">
        <w:rPr>
          <w:rFonts w:ascii="Times New Roman" w:hAnsi="Times New Roman"/>
        </w:rPr>
        <w:t>erhaps</w:t>
      </w:r>
      <w:proofErr w:type="spellEnd"/>
      <w:r w:rsidRPr="00E12AF4">
        <w:rPr>
          <w:rFonts w:ascii="Times New Roman" w:hAnsi="Times New Roman"/>
        </w:rPr>
        <w:t xml:space="preserve"> the most important indicium of the reasonableness of a punitive damages award is the degree of reprehensibility of the defendant's conduct". The award must not be "wholly disproportioned to the offense"</w:t>
      </w:r>
      <w:r w:rsidRPr="00E12AF4">
        <w:rPr>
          <w:rStyle w:val="FootnoteReference"/>
          <w:rFonts w:ascii="Times New Roman" w:hAnsi="Times New Roman"/>
          <w:sz w:val="24"/>
        </w:rPr>
        <w:footnoteReference w:id="104"/>
      </w:r>
      <w:r w:rsidRPr="00E12AF4">
        <w:rPr>
          <w:rFonts w:ascii="Times New Roman" w:hAnsi="Times New Roman"/>
        </w:rPr>
        <w:t>.</w:t>
      </w:r>
    </w:p>
    <w:p w14:paraId="0845F0C9"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In </w:t>
      </w:r>
      <w:r w:rsidRPr="00E12AF4">
        <w:rPr>
          <w:rFonts w:ascii="Times New Roman" w:hAnsi="Times New Roman"/>
          <w:i/>
          <w:iCs/>
        </w:rPr>
        <w:t>Comcare v Banerji</w:t>
      </w:r>
      <w:r w:rsidRPr="00E12AF4">
        <w:rPr>
          <w:rStyle w:val="FootnoteReference"/>
          <w:rFonts w:ascii="Times New Roman" w:hAnsi="Times New Roman"/>
          <w:sz w:val="24"/>
        </w:rPr>
        <w:footnoteReference w:id="105"/>
      </w:r>
      <w:r w:rsidRPr="00E12AF4">
        <w:rPr>
          <w:rFonts w:ascii="Times New Roman" w:hAnsi="Times New Roman"/>
          <w:iCs/>
        </w:rPr>
        <w:t>,</w:t>
      </w:r>
      <w:r w:rsidRPr="00E12AF4">
        <w:rPr>
          <w:rFonts w:ascii="Times New Roman" w:hAnsi="Times New Roman"/>
          <w:i/>
          <w:iCs/>
        </w:rPr>
        <w:t xml:space="preserve"> </w:t>
      </w:r>
      <w:r w:rsidRPr="00E12AF4">
        <w:rPr>
          <w:rFonts w:ascii="Times New Roman" w:hAnsi="Times New Roman"/>
        </w:rPr>
        <w:t xml:space="preserve">in discussing the operation of s 15 of the </w:t>
      </w:r>
      <w:r w:rsidRPr="00E12AF4">
        <w:rPr>
          <w:rFonts w:ascii="Times New Roman" w:hAnsi="Times New Roman"/>
          <w:i/>
          <w:iCs/>
        </w:rPr>
        <w:t>Public Service Act 1999</w:t>
      </w:r>
      <w:r w:rsidRPr="00E12AF4">
        <w:rPr>
          <w:rFonts w:ascii="Times New Roman" w:hAnsi="Times New Roman"/>
          <w:iCs/>
        </w:rPr>
        <w:t> </w:t>
      </w:r>
      <w:r w:rsidRPr="00E12AF4">
        <w:rPr>
          <w:rFonts w:ascii="Times New Roman" w:hAnsi="Times New Roman"/>
        </w:rPr>
        <w:t>(</w:t>
      </w:r>
      <w:proofErr w:type="spellStart"/>
      <w:r w:rsidRPr="00E12AF4">
        <w:rPr>
          <w:rFonts w:ascii="Times New Roman" w:hAnsi="Times New Roman"/>
        </w:rPr>
        <w:t>Cth</w:t>
      </w:r>
      <w:proofErr w:type="spellEnd"/>
      <w:r w:rsidRPr="00E12AF4">
        <w:rPr>
          <w:rFonts w:ascii="Times New Roman" w:hAnsi="Times New Roman"/>
        </w:rPr>
        <w:t xml:space="preserve">), which permits the imposition by an employer of penalties including fines on an Australian Public Service employee, Kiefel CJ, Bell, Keane and Nettle JJ said that s 15 requires a "lawful, proportionate response to the nature and gravity of [the] misconduct" governed by a principle that a "[b]reach of the impugned provisions renders an employee of the APS liable to no greater penalty than is proportionate to the nature and gravity of the employee's misconduct". It is difficult to see why a civil penalty provision imposing only monetary penalties should be treated any differently. As Gleeson CJ, McHugh, </w:t>
      </w:r>
      <w:proofErr w:type="spellStart"/>
      <w:r w:rsidRPr="00E12AF4">
        <w:rPr>
          <w:rFonts w:ascii="Times New Roman" w:hAnsi="Times New Roman"/>
        </w:rPr>
        <w:t>Gummow</w:t>
      </w:r>
      <w:proofErr w:type="spellEnd"/>
      <w:r w:rsidRPr="00E12AF4">
        <w:rPr>
          <w:rFonts w:ascii="Times New Roman" w:hAnsi="Times New Roman"/>
        </w:rPr>
        <w:t xml:space="preserve"> and Hayne JJ said in </w:t>
      </w:r>
      <w:proofErr w:type="spellStart"/>
      <w:r w:rsidRPr="00E12AF4">
        <w:rPr>
          <w:rFonts w:ascii="Times New Roman" w:hAnsi="Times New Roman"/>
          <w:i/>
          <w:iCs/>
        </w:rPr>
        <w:t>Gray</w:t>
      </w:r>
      <w:proofErr w:type="spellEnd"/>
      <w:r w:rsidRPr="00E12AF4">
        <w:rPr>
          <w:rFonts w:ascii="Times New Roman" w:hAnsi="Times New Roman"/>
          <w:i/>
          <w:iCs/>
        </w:rPr>
        <w:t xml:space="preserve"> v Motor Accident Commission</w:t>
      </w:r>
      <w:r w:rsidRPr="00E12AF4">
        <w:rPr>
          <w:rStyle w:val="FootnoteReference"/>
          <w:rFonts w:ascii="Times New Roman" w:hAnsi="Times New Roman"/>
          <w:sz w:val="24"/>
        </w:rPr>
        <w:footnoteReference w:id="106"/>
      </w:r>
      <w:r w:rsidRPr="00E12AF4">
        <w:rPr>
          <w:rFonts w:ascii="Times New Roman" w:hAnsi="Times New Roman"/>
        </w:rPr>
        <w:t xml:space="preserve">, after referring to matters including "[t]he </w:t>
      </w:r>
      <w:proofErr w:type="gramStart"/>
      <w:r w:rsidRPr="00E12AF4">
        <w:rPr>
          <w:rFonts w:ascii="Times New Roman" w:hAnsi="Times New Roman"/>
        </w:rPr>
        <w:t>increasing</w:t>
      </w:r>
      <w:proofErr w:type="gramEnd"/>
      <w:r w:rsidRPr="00E12AF4">
        <w:rPr>
          <w:rFonts w:ascii="Times New Roman" w:hAnsi="Times New Roman"/>
        </w:rPr>
        <w:t xml:space="preserve"> frequency with which civil penalty provisions are enacted", such matters "deny the existence of any 'sharp cleavage' between the criminal and the civil law".</w:t>
      </w:r>
    </w:p>
    <w:p w14:paraId="7E32FB86"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lastRenderedPageBreak/>
        <w:tab/>
        <w:t>In lucid and cogent submissions, senior counsel for the CFMMEU and Mr Pattinson pointed to three instances where the law concerning civil penalties replicates the approach of the criminal law in ensuring that a penalty does not exceed what the law requires that an offender deserves. Each of these instances ensures that the penalty imposed is what the law requires that a contravener deserves, whether described as reasonableness, appropriateness, or proportionality.</w:t>
      </w:r>
    </w:p>
    <w:p w14:paraId="04E83FD7"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first instance is the totality principle. In criminal law, an aspect of that principle is to prevent an outcome where "the imposition of a cumulative sentence [is] incommensurate with the gravity of the whole of [the offender's] proven criminal conduct or ... due deserts"</w:t>
      </w:r>
      <w:r w:rsidRPr="00E12AF4">
        <w:rPr>
          <w:rStyle w:val="FootnoteReference"/>
          <w:rFonts w:ascii="Times New Roman" w:hAnsi="Times New Roman"/>
          <w:sz w:val="24"/>
        </w:rPr>
        <w:footnoteReference w:id="107"/>
      </w:r>
      <w:r w:rsidRPr="00E12AF4">
        <w:rPr>
          <w:rFonts w:ascii="Times New Roman" w:hAnsi="Times New Roman"/>
        </w:rPr>
        <w:t xml:space="preserve">. A second aspect of the totality principle in criminal law is that the penalty should not be "crushing" </w:t>
      </w:r>
      <w:proofErr w:type="gramStart"/>
      <w:r w:rsidRPr="00E12AF4">
        <w:rPr>
          <w:rFonts w:ascii="Times New Roman" w:hAnsi="Times New Roman"/>
        </w:rPr>
        <w:t>in light of</w:t>
      </w:r>
      <w:proofErr w:type="gramEnd"/>
      <w:r w:rsidRPr="00E12AF4">
        <w:rPr>
          <w:rFonts w:ascii="Times New Roman" w:hAnsi="Times New Roman"/>
        </w:rPr>
        <w:t xml:space="preserve"> the offender's record and prospects</w:t>
      </w:r>
      <w:r w:rsidRPr="00E12AF4">
        <w:rPr>
          <w:rStyle w:val="FootnoteReference"/>
          <w:rFonts w:ascii="Times New Roman" w:hAnsi="Times New Roman"/>
          <w:sz w:val="24"/>
        </w:rPr>
        <w:footnoteReference w:id="108"/>
      </w:r>
      <w:r w:rsidRPr="00E12AF4">
        <w:rPr>
          <w:rFonts w:ascii="Times New Roman" w:hAnsi="Times New Roman"/>
        </w:rPr>
        <w:t>. Both aspects of this principle have been repeatedly applied in relation to civil penalties to ensure that the penalty is "proportionate to the gravity of the [contraventions]"</w:t>
      </w:r>
      <w:r w:rsidRPr="00E12AF4">
        <w:rPr>
          <w:rStyle w:val="FootnoteReference"/>
          <w:rFonts w:ascii="Times New Roman" w:hAnsi="Times New Roman"/>
          <w:sz w:val="24"/>
        </w:rPr>
        <w:footnoteReference w:id="109"/>
      </w:r>
      <w:r w:rsidRPr="00E12AF4">
        <w:rPr>
          <w:rFonts w:ascii="Times New Roman" w:hAnsi="Times New Roman"/>
        </w:rPr>
        <w:t xml:space="preserve"> or, put differently, to ensure that the penalty is not "out of proportion to the overall misconduct"</w:t>
      </w:r>
      <w:r w:rsidRPr="00E12AF4">
        <w:rPr>
          <w:rStyle w:val="FootnoteReference"/>
          <w:rFonts w:ascii="Times New Roman" w:hAnsi="Times New Roman"/>
          <w:sz w:val="24"/>
        </w:rPr>
        <w:footnoteReference w:id="110"/>
      </w:r>
      <w:r w:rsidRPr="00E12AF4">
        <w:rPr>
          <w:rFonts w:ascii="Times New Roman" w:hAnsi="Times New Roman"/>
        </w:rPr>
        <w:t xml:space="preserve"> and is "just and appropriate"</w:t>
      </w:r>
      <w:r w:rsidRPr="00E12AF4">
        <w:rPr>
          <w:rStyle w:val="FootnoteReference"/>
          <w:rFonts w:ascii="Times New Roman" w:hAnsi="Times New Roman"/>
          <w:sz w:val="24"/>
        </w:rPr>
        <w:footnoteReference w:id="111"/>
      </w:r>
      <w:r w:rsidRPr="00E12AF4">
        <w:rPr>
          <w:rFonts w:ascii="Times New Roman" w:hAnsi="Times New Roman"/>
        </w:rPr>
        <w:t>.</w:t>
      </w:r>
    </w:p>
    <w:p w14:paraId="5CE5CDD5"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second instance is the principle of consistency of punishment. In criminal law, the principle of consistency exists because an assessment of the penalty that an offender deserves includes systemic considerations: the administration of criminal justice "should be systematically fair, and that involves, amongst other things, reasonable consistency"</w:t>
      </w:r>
      <w:r w:rsidRPr="00E12AF4">
        <w:rPr>
          <w:rStyle w:val="FootnoteReference"/>
          <w:rFonts w:ascii="Times New Roman" w:hAnsi="Times New Roman"/>
          <w:sz w:val="24"/>
        </w:rPr>
        <w:footnoteReference w:id="112"/>
      </w:r>
      <w:r w:rsidRPr="00E12AF4">
        <w:rPr>
          <w:rFonts w:ascii="Times New Roman" w:hAnsi="Times New Roman"/>
        </w:rPr>
        <w:t xml:space="preserve">. One aspect of the principle of </w:t>
      </w:r>
      <w:r w:rsidRPr="00E12AF4">
        <w:rPr>
          <w:rFonts w:ascii="Times New Roman" w:hAnsi="Times New Roman"/>
        </w:rPr>
        <w:lastRenderedPageBreak/>
        <w:t>consistency is that "careful attention to maximum penalties will almost always be required"</w:t>
      </w:r>
      <w:r w:rsidRPr="00E12AF4">
        <w:rPr>
          <w:rStyle w:val="FootnoteReference"/>
          <w:rFonts w:ascii="Times New Roman" w:hAnsi="Times New Roman"/>
          <w:sz w:val="24"/>
        </w:rPr>
        <w:footnoteReference w:id="113"/>
      </w:r>
      <w:r w:rsidRPr="00E12AF4">
        <w:rPr>
          <w:rFonts w:ascii="Times New Roman" w:hAnsi="Times New Roman"/>
        </w:rPr>
        <w:t xml:space="preserve">. This involves consideration of whether a person's past conduct, when viewed </w:t>
      </w:r>
      <w:proofErr w:type="gramStart"/>
      <w:r w:rsidRPr="00E12AF4">
        <w:rPr>
          <w:rFonts w:ascii="Times New Roman" w:hAnsi="Times New Roman"/>
        </w:rPr>
        <w:t>in light of</w:t>
      </w:r>
      <w:proofErr w:type="gramEnd"/>
      <w:r w:rsidRPr="00E12AF4">
        <w:rPr>
          <w:rFonts w:ascii="Times New Roman" w:hAnsi="Times New Roman"/>
        </w:rPr>
        <w:t xml:space="preserve"> all the circumstances, including the person's past contraventions, can be regarded as in the most serious category. Broadly the same approach has been taken to civil penalties, with the principle applied so that the imposition of "a maximum penalty offends the principle only if the case is recognisably outside the worst category"</w:t>
      </w:r>
      <w:r w:rsidRPr="00E12AF4">
        <w:rPr>
          <w:rStyle w:val="FootnoteReference"/>
          <w:rFonts w:ascii="Times New Roman" w:hAnsi="Times New Roman"/>
          <w:sz w:val="24"/>
        </w:rPr>
        <w:footnoteReference w:id="114"/>
      </w:r>
      <w:r w:rsidRPr="00E12AF4">
        <w:rPr>
          <w:rFonts w:ascii="Times New Roman" w:hAnsi="Times New Roman"/>
        </w:rPr>
        <w:t>.</w:t>
      </w:r>
    </w:p>
    <w:p w14:paraId="77163D17"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third instance is the course of conduct principle, which applies in two circumstances: first, where multiple offences are founded on the same facts "it is necessary to ensure that the appropriate penalty for the same act or omission is not imposed twice"; and, secondly, where the offences are part of a series it is necessary to ensure that the punishment is for "the entirety of the criminal conduct of the same or similar character, rather than the several acts or omissions constituting the separate offences"</w:t>
      </w:r>
      <w:r w:rsidRPr="00E12AF4">
        <w:rPr>
          <w:rStyle w:val="FootnoteReference"/>
          <w:rFonts w:ascii="Times New Roman" w:hAnsi="Times New Roman"/>
          <w:sz w:val="24"/>
        </w:rPr>
        <w:footnoteReference w:id="115"/>
      </w:r>
      <w:r w:rsidRPr="00E12AF4">
        <w:rPr>
          <w:rFonts w:ascii="Times New Roman" w:hAnsi="Times New Roman"/>
        </w:rPr>
        <w:t>. To punish an offender twice for what is properly characterised as the same conduct is to punish other than "according to their just deserts"</w:t>
      </w:r>
      <w:r w:rsidRPr="00E12AF4">
        <w:rPr>
          <w:rStyle w:val="FootnoteReference"/>
          <w:rFonts w:ascii="Times New Roman" w:hAnsi="Times New Roman"/>
          <w:sz w:val="24"/>
        </w:rPr>
        <w:footnoteReference w:id="116"/>
      </w:r>
      <w:r w:rsidRPr="00E12AF4">
        <w:rPr>
          <w:rFonts w:ascii="Times New Roman" w:hAnsi="Times New Roman"/>
        </w:rPr>
        <w:t>. This principle has been repeatedly applied in civil penalty cases as an aspect of proportionality</w:t>
      </w:r>
      <w:r w:rsidRPr="00E12AF4">
        <w:rPr>
          <w:rStyle w:val="FootnoteReference"/>
          <w:rFonts w:ascii="Times New Roman" w:hAnsi="Times New Roman"/>
          <w:sz w:val="24"/>
        </w:rPr>
        <w:footnoteReference w:id="117"/>
      </w:r>
      <w:r w:rsidRPr="00E12AF4">
        <w:rPr>
          <w:rFonts w:ascii="Times New Roman" w:hAnsi="Times New Roman"/>
        </w:rPr>
        <w:t xml:space="preserve"> on the premise that, if the contraventions arose from a course of conduct, "the penalties imposed in relation to the contraventions should generally reflect that fact, otherwise there is a risk that the respondent will be doubly punished in respect of the relevant acts or omissions that make up the multiple contraventions"</w:t>
      </w:r>
      <w:r w:rsidRPr="00E12AF4">
        <w:rPr>
          <w:rStyle w:val="FootnoteReference"/>
          <w:rFonts w:ascii="Times New Roman" w:hAnsi="Times New Roman"/>
          <w:sz w:val="24"/>
        </w:rPr>
        <w:footnoteReference w:id="118"/>
      </w:r>
      <w:r w:rsidRPr="00E12AF4">
        <w:rPr>
          <w:rFonts w:ascii="Times New Roman" w:hAnsi="Times New Roman"/>
        </w:rPr>
        <w:t>.</w:t>
      </w:r>
    </w:p>
    <w:p w14:paraId="2B329DF5"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lastRenderedPageBreak/>
        <w:tab/>
        <w:t xml:space="preserve">Each of these instances – totality, consistency, and course of conduct – is concerned to ensure that an offender or contravener is not punished more than the law requires that they deserve in </w:t>
      </w:r>
      <w:proofErr w:type="gramStart"/>
      <w:r w:rsidRPr="00E12AF4">
        <w:rPr>
          <w:rFonts w:ascii="Times New Roman" w:hAnsi="Times New Roman"/>
        </w:rPr>
        <w:t>all of</w:t>
      </w:r>
      <w:proofErr w:type="gramEnd"/>
      <w:r w:rsidRPr="00E12AF4">
        <w:rPr>
          <w:rFonts w:ascii="Times New Roman" w:hAnsi="Times New Roman"/>
        </w:rPr>
        <w:t xml:space="preserve"> the circumstances of their past conduct. Each instance aims "to ensure that the penalties imposed overall are proportionate to the conduct"</w:t>
      </w:r>
      <w:r w:rsidRPr="00E12AF4">
        <w:rPr>
          <w:rStyle w:val="FootnoteReference"/>
          <w:rFonts w:ascii="Times New Roman" w:hAnsi="Times New Roman"/>
          <w:sz w:val="24"/>
        </w:rPr>
        <w:footnoteReference w:id="119"/>
      </w:r>
      <w:r w:rsidRPr="00E12AF4">
        <w:rPr>
          <w:rFonts w:ascii="Times New Roman" w:hAnsi="Times New Roman"/>
        </w:rPr>
        <w:t xml:space="preserve">. In other words, each is concerned with the reasonableness, appropriateness, or proportionality of the penalty in relation to the seriousness of the contravention </w:t>
      </w:r>
      <w:proofErr w:type="gramStart"/>
      <w:r w:rsidRPr="00E12AF4">
        <w:rPr>
          <w:rFonts w:ascii="Times New Roman" w:hAnsi="Times New Roman"/>
        </w:rPr>
        <w:t>in light of</w:t>
      </w:r>
      <w:proofErr w:type="gramEnd"/>
      <w:r w:rsidRPr="00E12AF4">
        <w:rPr>
          <w:rFonts w:ascii="Times New Roman" w:hAnsi="Times New Roman"/>
        </w:rPr>
        <w:t xml:space="preserve"> all of the circumstances. Each is independent of deterrence.</w:t>
      </w:r>
    </w:p>
    <w:p w14:paraId="4FE28A8F" w14:textId="77777777" w:rsidR="00CE2E11" w:rsidRPr="00E12AF4" w:rsidRDefault="00CE2E11" w:rsidP="00E12AF4">
      <w:pPr>
        <w:pStyle w:val="HeadingL2"/>
        <w:spacing w:after="260" w:line="280" w:lineRule="exact"/>
        <w:ind w:right="0"/>
        <w:jc w:val="both"/>
        <w:rPr>
          <w:rFonts w:ascii="Times New Roman" w:hAnsi="Times New Roman"/>
        </w:rPr>
      </w:pPr>
      <w:r w:rsidRPr="00E12AF4">
        <w:rPr>
          <w:rFonts w:ascii="Times New Roman" w:hAnsi="Times New Roman"/>
        </w:rPr>
        <w:t>The role of prior contraventions in assessing desert and deterrence</w:t>
      </w:r>
    </w:p>
    <w:p w14:paraId="40EA5F86"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There is an important difference between, on the one hand, taking repeated contraventions into account for the purpose of assessing the seriousness of the instant contravention and, on the other hand, taking repeated contraventions into account for the purpose of assessing the need for general and specific deterrence. The former uses the past contraventions as evidence of the attitude with which the contravention was committed. It is part of the circumstances in which the contravener committed the offence: "repeat violations will lead to an escalation in penalty levels, so as to express moral outrage at the offender's apparent wilful disregard of the law"</w:t>
      </w:r>
      <w:r w:rsidRPr="00E12AF4">
        <w:rPr>
          <w:rStyle w:val="FootnoteReference"/>
          <w:rFonts w:ascii="Times New Roman" w:hAnsi="Times New Roman"/>
          <w:sz w:val="24"/>
        </w:rPr>
        <w:footnoteReference w:id="120"/>
      </w:r>
      <w:r w:rsidRPr="00E12AF4">
        <w:rPr>
          <w:rFonts w:ascii="Times New Roman" w:hAnsi="Times New Roman"/>
        </w:rPr>
        <w:t>. The latter uses the past contraventions only as part of a calculus to predict future behaviour by the contravener or others in a similar position.</w:t>
      </w:r>
    </w:p>
    <w:p w14:paraId="7A5F6DC5"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The difference can be illustrated by an example. Suppose that a person has committed, and been penalised for, contraventions on 150 separate occasions. A 151st contravention will generally be much more serious than the first contravention because on the 151st occasion the court will readily, and far more confidently, draw the inference that the contravener acted in conscious and complete defiance of the law. The seriousness of the contravention is unaffected by predictions of whether the contravener is likely to contravene again or whether others are likely to contravene. Hence, without reducing the seriousness of the 151st contravention, it is possible that the court might also conclude that, on this 151st occasion, there is little need for specific deterrence because following this contravention the contravener has finally changed their course and specific procedures have been put in place to ensure that the contravention does not happen </w:t>
      </w:r>
      <w:r w:rsidRPr="00E12AF4">
        <w:rPr>
          <w:rFonts w:ascii="Times New Roman" w:hAnsi="Times New Roman"/>
        </w:rPr>
        <w:lastRenderedPageBreak/>
        <w:t>again. Although the contravention remains just as serious, the need for specific deterrence is greatly reduced.</w:t>
      </w:r>
    </w:p>
    <w:p w14:paraId="3A031375"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An example of past contraventions being used to establish both the seriousness of instant contraventions and the need for deterrence is the case of </w:t>
      </w:r>
      <w:r w:rsidRPr="00E12AF4">
        <w:rPr>
          <w:rFonts w:ascii="Times New Roman" w:hAnsi="Times New Roman"/>
          <w:i/>
          <w:iCs/>
        </w:rPr>
        <w:t xml:space="preserve">Construction, Forestry, Maritime, Mining and Energy Union v Australian Building and Construction Commissioner </w:t>
      </w:r>
      <w:r w:rsidRPr="00E12AF4">
        <w:rPr>
          <w:rFonts w:ascii="Times New Roman" w:hAnsi="Times New Roman"/>
        </w:rPr>
        <w:t>("</w:t>
      </w:r>
      <w:r w:rsidRPr="00E12AF4">
        <w:rPr>
          <w:rFonts w:ascii="Times New Roman" w:hAnsi="Times New Roman"/>
          <w:i/>
          <w:iCs/>
        </w:rPr>
        <w:t>Broadway on Ann</w:t>
      </w:r>
      <w:r w:rsidRPr="00E12AF4">
        <w:rPr>
          <w:rFonts w:ascii="Times New Roman" w:hAnsi="Times New Roman"/>
        </w:rPr>
        <w:t>")</w:t>
      </w:r>
      <w:r w:rsidRPr="00E12AF4">
        <w:rPr>
          <w:rStyle w:val="FootnoteReference"/>
          <w:rFonts w:ascii="Times New Roman" w:hAnsi="Times New Roman"/>
          <w:sz w:val="24"/>
        </w:rPr>
        <w:footnoteReference w:id="121"/>
      </w:r>
      <w:r w:rsidRPr="00E12AF4">
        <w:rPr>
          <w:rFonts w:ascii="Times New Roman" w:hAnsi="Times New Roman"/>
          <w:i/>
          <w:iCs/>
        </w:rPr>
        <w:t>.</w:t>
      </w:r>
      <w:r w:rsidRPr="00E12AF4">
        <w:rPr>
          <w:rFonts w:ascii="Times New Roman" w:hAnsi="Times New Roman"/>
        </w:rPr>
        <w:t xml:space="preserve"> In the Full Court of the Federal Court</w:t>
      </w:r>
      <w:r w:rsidRPr="00E12AF4">
        <w:rPr>
          <w:rStyle w:val="FootnoteReference"/>
          <w:rFonts w:ascii="Times New Roman" w:hAnsi="Times New Roman"/>
          <w:sz w:val="24"/>
        </w:rPr>
        <w:footnoteReference w:id="122"/>
      </w:r>
      <w:r w:rsidRPr="00E12AF4">
        <w:rPr>
          <w:rFonts w:ascii="Times New Roman" w:hAnsi="Times New Roman"/>
        </w:rPr>
        <w:t xml:space="preserve">, Tracey J in the majority referred to the history of contraventions by the CFMEU and said that the repeated contraventions "emphasise the objective seriousness of the CFMEU's conduct, acting through its officials. They bespeak deliberate abuse of the CFMEU's privileged position as a registered organisation in the Federal industrial relations system." </w:t>
      </w:r>
      <w:proofErr w:type="gramStart"/>
      <w:r w:rsidRPr="00E12AF4">
        <w:rPr>
          <w:rFonts w:ascii="Times New Roman" w:hAnsi="Times New Roman"/>
        </w:rPr>
        <w:t>Also</w:t>
      </w:r>
      <w:proofErr w:type="gramEnd"/>
      <w:r w:rsidRPr="00E12AF4">
        <w:rPr>
          <w:rFonts w:ascii="Times New Roman" w:hAnsi="Times New Roman"/>
        </w:rPr>
        <w:t xml:space="preserve"> in the majority, Logan J, after referring to the "disgraceful and shameful"</w:t>
      </w:r>
      <w:r w:rsidRPr="00E12AF4">
        <w:rPr>
          <w:rStyle w:val="FootnoteReference"/>
          <w:rFonts w:ascii="Times New Roman" w:hAnsi="Times New Roman"/>
          <w:sz w:val="24"/>
        </w:rPr>
        <w:footnoteReference w:id="123"/>
      </w:r>
      <w:r w:rsidRPr="00E12AF4">
        <w:rPr>
          <w:rFonts w:ascii="Times New Roman" w:hAnsi="Times New Roman"/>
        </w:rPr>
        <w:t xml:space="preserve"> history of the CFMEU's contraventions of the </w:t>
      </w:r>
      <w:r w:rsidRPr="00E12AF4">
        <w:rPr>
          <w:rFonts w:ascii="Times New Roman" w:hAnsi="Times New Roman"/>
          <w:i/>
        </w:rPr>
        <w:t>Fair Work Act</w:t>
      </w:r>
      <w:r w:rsidRPr="00E12AF4">
        <w:rPr>
          <w:rFonts w:ascii="Times New Roman" w:hAnsi="Times New Roman"/>
        </w:rPr>
        <w:t>, said that "[o]</w:t>
      </w:r>
      <w:proofErr w:type="spellStart"/>
      <w:r w:rsidRPr="00E12AF4">
        <w:rPr>
          <w:rFonts w:ascii="Times New Roman" w:hAnsi="Times New Roman"/>
        </w:rPr>
        <w:t>nce</w:t>
      </w:r>
      <w:proofErr w:type="spellEnd"/>
      <w:r w:rsidRPr="00E12AF4">
        <w:rPr>
          <w:rFonts w:ascii="Times New Roman" w:hAnsi="Times New Roman"/>
        </w:rPr>
        <w:t xml:space="preserve"> the contraventions on the day, deplorable in themselves, are viewed in context, they are, in my view, of the worst possible kind"</w:t>
      </w:r>
      <w:r w:rsidRPr="00E12AF4">
        <w:rPr>
          <w:rStyle w:val="FootnoteReference"/>
          <w:rFonts w:ascii="Times New Roman" w:hAnsi="Times New Roman"/>
          <w:sz w:val="24"/>
        </w:rPr>
        <w:footnoteReference w:id="124"/>
      </w:r>
      <w:r w:rsidRPr="00E12AF4">
        <w:rPr>
          <w:rFonts w:ascii="Times New Roman" w:hAnsi="Times New Roman"/>
        </w:rPr>
        <w:t>. Their Honours imposed the maximum available penalty for each of the six contraventions.</w:t>
      </w:r>
    </w:p>
    <w:p w14:paraId="230E30C5"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With notions of deterrence reinforcing the need for the maximum penalties, the decision of the majority in </w:t>
      </w:r>
      <w:r w:rsidRPr="00E12AF4">
        <w:rPr>
          <w:rFonts w:ascii="Times New Roman" w:hAnsi="Times New Roman"/>
          <w:i/>
          <w:iCs/>
        </w:rPr>
        <w:t xml:space="preserve">Broadway on Ann </w:t>
      </w:r>
      <w:r w:rsidRPr="00E12AF4">
        <w:rPr>
          <w:rFonts w:ascii="Times New Roman" w:hAnsi="Times New Roman"/>
        </w:rPr>
        <w:t>was one that was open. The error in the dissenting decision was to divorce the past contraventions from the circumstances of the instant contraventions, leading to the erroneous conclusion that the instant contraventions could not be treated as being in the most serious category of offending</w:t>
      </w:r>
      <w:r w:rsidRPr="00E12AF4">
        <w:rPr>
          <w:rStyle w:val="FootnoteReference"/>
          <w:rFonts w:ascii="Times New Roman" w:hAnsi="Times New Roman"/>
          <w:sz w:val="24"/>
        </w:rPr>
        <w:footnoteReference w:id="125"/>
      </w:r>
      <w:r w:rsidRPr="00E12AF4">
        <w:rPr>
          <w:rFonts w:ascii="Times New Roman" w:hAnsi="Times New Roman"/>
        </w:rPr>
        <w:t>.</w:t>
      </w:r>
    </w:p>
    <w:p w14:paraId="7271B10F" w14:textId="77777777" w:rsidR="00CE2E11" w:rsidRPr="00E12AF4" w:rsidRDefault="00CE2E11" w:rsidP="00E12AF4">
      <w:pPr>
        <w:pStyle w:val="HeadingL2"/>
        <w:spacing w:after="260" w:line="280" w:lineRule="exact"/>
        <w:ind w:right="0"/>
        <w:jc w:val="both"/>
        <w:rPr>
          <w:rFonts w:ascii="Times New Roman" w:hAnsi="Times New Roman"/>
        </w:rPr>
      </w:pPr>
      <w:r w:rsidRPr="00E12AF4">
        <w:rPr>
          <w:rFonts w:ascii="Times New Roman" w:hAnsi="Times New Roman"/>
        </w:rPr>
        <w:t>The abandonment of desert as the primary criterion in the law of civil penalties</w:t>
      </w:r>
    </w:p>
    <w:p w14:paraId="0EA26ED5"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In </w:t>
      </w:r>
      <w:r w:rsidRPr="00E12AF4">
        <w:rPr>
          <w:rFonts w:ascii="Times New Roman" w:hAnsi="Times New Roman"/>
          <w:i/>
          <w:iCs/>
        </w:rPr>
        <w:t xml:space="preserve">The Commonwealth v Director, Fair Work Building Industry Inspectorate </w:t>
      </w:r>
      <w:r w:rsidRPr="00E12AF4">
        <w:rPr>
          <w:rFonts w:ascii="Times New Roman" w:hAnsi="Times New Roman"/>
        </w:rPr>
        <w:t xml:space="preserve">("the </w:t>
      </w:r>
      <w:r w:rsidRPr="00E12AF4">
        <w:rPr>
          <w:rFonts w:ascii="Times New Roman" w:hAnsi="Times New Roman"/>
          <w:i/>
          <w:iCs/>
        </w:rPr>
        <w:t>Agreed Penalties Case</w:t>
      </w:r>
      <w:r w:rsidRPr="00E12AF4">
        <w:rPr>
          <w:rFonts w:ascii="Times New Roman" w:hAnsi="Times New Roman"/>
        </w:rPr>
        <w:t>")</w:t>
      </w:r>
      <w:r w:rsidRPr="00E12AF4">
        <w:rPr>
          <w:rStyle w:val="FootnoteReference"/>
          <w:rFonts w:ascii="Times New Roman" w:hAnsi="Times New Roman"/>
          <w:sz w:val="24"/>
        </w:rPr>
        <w:footnoteReference w:id="126"/>
      </w:r>
      <w:r w:rsidRPr="00E12AF4">
        <w:rPr>
          <w:rFonts w:ascii="Times New Roman" w:hAnsi="Times New Roman"/>
        </w:rPr>
        <w:t xml:space="preserve">, French CJ, Kiefel, Bell, Nettle and Gordon JJ applied to civil penalties the remarks of French J, made in the context </w:t>
      </w:r>
      <w:r w:rsidRPr="00E12AF4">
        <w:rPr>
          <w:rFonts w:ascii="Times New Roman" w:hAnsi="Times New Roman"/>
        </w:rPr>
        <w:lastRenderedPageBreak/>
        <w:t>of trade practices legislation</w:t>
      </w:r>
      <w:r w:rsidRPr="00E12AF4">
        <w:rPr>
          <w:rStyle w:val="FootnoteReference"/>
          <w:rFonts w:ascii="Times New Roman" w:hAnsi="Times New Roman"/>
          <w:sz w:val="24"/>
        </w:rPr>
        <w:footnoteReference w:id="127"/>
      </w:r>
      <w:r w:rsidRPr="00E12AF4">
        <w:rPr>
          <w:rFonts w:ascii="Times New Roman" w:hAnsi="Times New Roman"/>
        </w:rPr>
        <w:t xml:space="preserve">, that "[n]either retribution nor rehabilitation, within the sense of the Old and New Testament moralities that imbue much of our criminal law, have any part to play in economic regulation of the kind contemplated by Pt IV [of the </w:t>
      </w:r>
      <w:r w:rsidRPr="00E12AF4">
        <w:rPr>
          <w:rFonts w:ascii="Times New Roman" w:hAnsi="Times New Roman"/>
          <w:i/>
          <w:iCs/>
        </w:rPr>
        <w:t>Trade Practices Act</w:t>
      </w:r>
      <w:r w:rsidRPr="00E12AF4">
        <w:rPr>
          <w:rFonts w:ascii="Times New Roman" w:hAnsi="Times New Roman"/>
        </w:rPr>
        <w:t xml:space="preserve">]". In a later decision, Keane, Nettle and Gordon JJ reiterated this point in relation to s 546 of the </w:t>
      </w:r>
      <w:r w:rsidRPr="00E12AF4">
        <w:rPr>
          <w:rFonts w:ascii="Times New Roman" w:hAnsi="Times New Roman"/>
          <w:i/>
          <w:iCs/>
        </w:rPr>
        <w:t>Fair Work Act</w:t>
      </w:r>
      <w:r w:rsidRPr="00E12AF4">
        <w:rPr>
          <w:rStyle w:val="FootnoteReference"/>
          <w:rFonts w:ascii="Times New Roman" w:hAnsi="Times New Roman"/>
          <w:sz w:val="24"/>
        </w:rPr>
        <w:footnoteReference w:id="128"/>
      </w:r>
      <w:r w:rsidRPr="00E12AF4">
        <w:rPr>
          <w:rFonts w:ascii="Times New Roman" w:hAnsi="Times New Roman"/>
        </w:rPr>
        <w:t>.</w:t>
      </w:r>
    </w:p>
    <w:p w14:paraId="0882A7E4"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effect of these remarks by their Honours – rejecting notions of retribution or desert, together with rehabilitation – was radical. The effect was that deterrence, not desert, became the "principal and indeed only object"</w:t>
      </w:r>
      <w:r w:rsidRPr="00E12AF4">
        <w:rPr>
          <w:rStyle w:val="FootnoteReference"/>
          <w:rFonts w:ascii="Times New Roman" w:hAnsi="Times New Roman"/>
          <w:sz w:val="24"/>
        </w:rPr>
        <w:footnoteReference w:id="129"/>
      </w:r>
      <w:r w:rsidRPr="00E12AF4">
        <w:rPr>
          <w:rFonts w:ascii="Times New Roman" w:hAnsi="Times New Roman"/>
        </w:rPr>
        <w:t xml:space="preserve"> or the "principal, ... probably the only, object"</w:t>
      </w:r>
      <w:r w:rsidRPr="00E12AF4">
        <w:rPr>
          <w:rStyle w:val="FootnoteReference"/>
          <w:rFonts w:ascii="Times New Roman" w:hAnsi="Times New Roman"/>
          <w:sz w:val="24"/>
        </w:rPr>
        <w:footnoteReference w:id="130"/>
      </w:r>
      <w:r w:rsidRPr="00E12AF4">
        <w:rPr>
          <w:rFonts w:ascii="Times New Roman" w:hAnsi="Times New Roman"/>
        </w:rPr>
        <w:t xml:space="preserve"> of the imposition of civil penalties. However, although this secondary principle of justice (deterrence) replaced the primary principle of justice (desert), other manifestations of the primary principle of justice – totality, consistency, and course of conduct – have never been abolished. The continued recognition of these manifestations of the concept of desert means that although deterrence might be the principal purpose it cannot be the only purpose for the imposition of civil penalties.</w:t>
      </w:r>
    </w:p>
    <w:p w14:paraId="176F8662"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The state of the Australian law of civil penalties is therefore that, </w:t>
      </w:r>
      <w:proofErr w:type="gramStart"/>
      <w:r w:rsidRPr="00E12AF4">
        <w:rPr>
          <w:rFonts w:ascii="Times New Roman" w:hAnsi="Times New Roman"/>
        </w:rPr>
        <w:t>with the exception of</w:t>
      </w:r>
      <w:proofErr w:type="gramEnd"/>
      <w:r w:rsidRPr="00E12AF4">
        <w:rPr>
          <w:rFonts w:ascii="Times New Roman" w:hAnsi="Times New Roman"/>
        </w:rPr>
        <w:t xml:space="preserve"> various manifestations of the primary principle of justice in punishment, the seriousness of a contravention is to be assessed primarily for the purpose of deterrence, general and specific. Deterrence is focused upon the future. </w:t>
      </w:r>
      <w:proofErr w:type="gramStart"/>
      <w:r w:rsidRPr="00E12AF4">
        <w:rPr>
          <w:rFonts w:ascii="Times New Roman" w:hAnsi="Times New Roman"/>
        </w:rPr>
        <w:t>So</w:t>
      </w:r>
      <w:proofErr w:type="gramEnd"/>
      <w:r w:rsidRPr="00E12AF4">
        <w:rPr>
          <w:rFonts w:ascii="Times New Roman" w:hAnsi="Times New Roman"/>
        </w:rPr>
        <w:t xml:space="preserve"> any focus upon the events of the past can only be primarily relevant to illuminate the likelihood of contraventions in the future by the contravener or others in a similar position.</w:t>
      </w:r>
    </w:p>
    <w:p w14:paraId="2C832C0E"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Unless, and until, either (</w:t>
      </w:r>
      <w:proofErr w:type="spellStart"/>
      <w:r w:rsidRPr="00E12AF4">
        <w:rPr>
          <w:rFonts w:ascii="Times New Roman" w:hAnsi="Times New Roman"/>
        </w:rPr>
        <w:t>i</w:t>
      </w:r>
      <w:proofErr w:type="spellEnd"/>
      <w:r w:rsidRPr="00E12AF4">
        <w:rPr>
          <w:rFonts w:ascii="Times New Roman" w:hAnsi="Times New Roman"/>
        </w:rPr>
        <w:t xml:space="preserve">) a direct challenge is brought in this Court to the notion that deterrence, rather than desert, is the principal object of civil penalties, or (ii) Parliament enacts new language, such as "proportionality", to replace the concept of "appropriateness" that has been treated as requiring the principal object to be deterrence, Australian law will remain that deterrence, rather than desert, is the principal object of civil penalties. Subject to statutory provision to the contrary, </w:t>
      </w:r>
      <w:r w:rsidRPr="00E12AF4">
        <w:rPr>
          <w:rFonts w:ascii="Times New Roman" w:hAnsi="Times New Roman"/>
        </w:rPr>
        <w:lastRenderedPageBreak/>
        <w:t>or a judicial re</w:t>
      </w:r>
      <w:r w:rsidRPr="00E12AF4">
        <w:rPr>
          <w:rFonts w:ascii="Times New Roman" w:hAnsi="Times New Roman"/>
        </w:rPr>
        <w:noBreakHyphen/>
        <w:t xml:space="preserve">interpretation of the meaning of an "appropriate" penalty, it is only within the ranges of available penalties based upon deterrence that some manifestations of the principle of desert – such as totality, consistency, and course of conduct – can have a role to play. An example of legislative strengthening of a principle of desert is the provision in s 557(1) of the </w:t>
      </w:r>
      <w:r w:rsidRPr="00E12AF4">
        <w:rPr>
          <w:rFonts w:ascii="Times New Roman" w:hAnsi="Times New Roman"/>
          <w:i/>
        </w:rPr>
        <w:t>Fair Work Act</w:t>
      </w:r>
      <w:r w:rsidRPr="00E12AF4">
        <w:rPr>
          <w:rFonts w:ascii="Times New Roman" w:hAnsi="Times New Roman"/>
        </w:rPr>
        <w:t>, in relation to some contraventions that do not include s 349, which converts the course of conduct principle into a rule that deems the course of conduct to be a single contravention.</w:t>
      </w:r>
    </w:p>
    <w:p w14:paraId="3F3DCF61" w14:textId="77777777" w:rsidR="00CE2E11" w:rsidRPr="00E12AF4" w:rsidRDefault="00CE2E11" w:rsidP="00E12AF4">
      <w:pPr>
        <w:pStyle w:val="HeadingL1"/>
        <w:spacing w:after="260" w:line="280" w:lineRule="exact"/>
        <w:ind w:right="0"/>
        <w:jc w:val="both"/>
        <w:rPr>
          <w:rFonts w:ascii="Times New Roman" w:hAnsi="Times New Roman"/>
        </w:rPr>
      </w:pPr>
      <w:r w:rsidRPr="00E12AF4">
        <w:rPr>
          <w:rFonts w:ascii="Times New Roman" w:hAnsi="Times New Roman"/>
        </w:rPr>
        <w:t>The approach to penalties based on deterrence</w:t>
      </w:r>
    </w:p>
    <w:p w14:paraId="4149A237"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On the questionable assumption that monetary penalties do operate in many cases to deter generally or specifically</w:t>
      </w:r>
      <w:r w:rsidRPr="00E12AF4">
        <w:rPr>
          <w:rStyle w:val="FootnoteReference"/>
          <w:rFonts w:ascii="Times New Roman" w:hAnsi="Times New Roman"/>
          <w:sz w:val="24"/>
        </w:rPr>
        <w:footnoteReference w:id="131"/>
      </w:r>
      <w:r w:rsidRPr="00E12AF4">
        <w:rPr>
          <w:rFonts w:ascii="Times New Roman" w:hAnsi="Times New Roman"/>
        </w:rPr>
        <w:t xml:space="preserve">, any general deterrence provided by those penalties is not binary. It is the experience of every judicial officer who has sentenced offenders or imposed civil penalties that even the largest and most extreme penalties will not deter everyone in a similar position. It is also an unfortunate truth that many potential contraveners, or their officers or advisers, do not spend many hours each week carefully reading the wisdom collected on </w:t>
      </w:r>
      <w:proofErr w:type="spellStart"/>
      <w:r w:rsidRPr="00E12AF4">
        <w:rPr>
          <w:rFonts w:ascii="Times New Roman" w:hAnsi="Times New Roman"/>
        </w:rPr>
        <w:t>AustLII</w:t>
      </w:r>
      <w:proofErr w:type="spellEnd"/>
      <w:r w:rsidRPr="00E12AF4">
        <w:rPr>
          <w:rFonts w:ascii="Times New Roman" w:hAnsi="Times New Roman"/>
        </w:rPr>
        <w:t>, Jade, and other databases containing legal decisions on penalties. At best, general deterrence can only be used to identify a range of penalties in which, in pure utilitarian theory, at the lower end of the range, fewer potential contraveners will be deterred and, at the higher end of the range, more potential contraveners will be deterred. The maximum penalty provides the maximum deterrence that is permitted by law. It provides the maximum psychological impact for the decision calculus of a contravener even if that penalty might not ultimately deter the contravener or other potential contraveners in similar circumstances.</w:t>
      </w:r>
    </w:p>
    <w:p w14:paraId="40E0F9FD"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In the realm of pure, abstract utilitarian theory, the penalty required by specific deterrence would be more precise than the broad range of possibilities that arise from general deterrence. In the abstract realm, where the premises of utilitarianism hold true, it is theoretically possible for a precise point to be identified below which other potential contraveners will not be deterred but at which specific deterrence will be achieved. But we do not live in that realm. Even upon the very large assumption that the relevant premises of utilitarianism hold true for a contravener – so that their actions are based upon a mechanical calculation of costs and benefits with an identifiable tipping point at which costs will exceed benefits – the information before a court is almost always woefully inadequate to identify that point with any degree of precision. In the real world, a regression analysis which attempted to identify that point would be the legal equivalent of searching in a haystack for a needle that probably does not exist.</w:t>
      </w:r>
    </w:p>
    <w:p w14:paraId="11E328DE"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It is possible, however, that courts might rely upon specific deterrence to attempt to estimate a range of possible penalties, again on the assumptions of </w:t>
      </w:r>
      <w:r w:rsidRPr="00E12AF4">
        <w:rPr>
          <w:rFonts w:ascii="Times New Roman" w:hAnsi="Times New Roman"/>
        </w:rPr>
        <w:lastRenderedPageBreak/>
        <w:t>utilitarian theory, with an increasing likelihood that, as the penalty increases, the contravener will be deterred in the future. It may be that this exercise is a fool's errand in the absence of expert evidence of (</w:t>
      </w:r>
      <w:proofErr w:type="spellStart"/>
      <w:r w:rsidRPr="00E12AF4">
        <w:rPr>
          <w:rFonts w:ascii="Times New Roman" w:hAnsi="Times New Roman"/>
        </w:rPr>
        <w:t>i</w:t>
      </w:r>
      <w:proofErr w:type="spellEnd"/>
      <w:r w:rsidRPr="00E12AF4">
        <w:rPr>
          <w:rFonts w:ascii="Times New Roman" w:hAnsi="Times New Roman"/>
        </w:rPr>
        <w:t>) behavioural psychology concerning the motivations and systems of the contravener or its officers and (ii) behavioural economics concerning the relevant marketplace. The exercise is nearly certain to be a fool's errand without evidence of the income and assets of the contravener. But, whilst deterrence is regarded as the principal object of civil remedy provisions that give rise to penalties, a court must do the best it can to identify a speculative range of penalties that might reflect increasing degrees of specific deterrence.</w:t>
      </w:r>
    </w:p>
    <w:p w14:paraId="52A38AD7"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practical operation of a penalty regime based principally upon the object of deterrence, therefore, is that a court's assessment of both general and specific deterrence cannot be precise. The assessment can only identify potentially overlapping ranges of penalties, based on general and specific deterrence, that may achieve a reasonable deterrent effect in any decision calculus. Within those ranges, it must be assumed that the increasing penalties will increase the deterrent effect upon the contravener, and others like them, in the future. By definition, and on the assumptions of utilitarianism, the penalty with the greatest deterrent effect will be the maximum penalty available.</w:t>
      </w:r>
    </w:p>
    <w:p w14:paraId="67122ACD"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Within the ranges of reasonable deterrent effect provided by each of general and specific deterrence, there are other factors that assist a court in imposing a </w:t>
      </w:r>
      <w:proofErr w:type="gramStart"/>
      <w:r w:rsidRPr="00E12AF4">
        <w:rPr>
          <w:rFonts w:ascii="Times New Roman" w:hAnsi="Times New Roman"/>
        </w:rPr>
        <w:t>particular penalty</w:t>
      </w:r>
      <w:proofErr w:type="gramEnd"/>
      <w:r w:rsidRPr="00E12AF4">
        <w:rPr>
          <w:rFonts w:ascii="Times New Roman" w:hAnsi="Times New Roman"/>
        </w:rPr>
        <w:t>. In this way, proportionality or desert plays a role as a secondary criterion of justice. In the imposition of an appropriate penalty within the overlapping ranges provided by specific and general deterrence, a court can have regard to considerations including totality, consistency, and course of conduct. For instance, within the range of penalties that must be assumed to exist, from more than a minimal deterrent effect up to the maximum available deterrence, secondary considerations of desert can apply so that the penalty is not crushing or oppressive</w:t>
      </w:r>
      <w:r w:rsidRPr="00E12AF4">
        <w:rPr>
          <w:rStyle w:val="FootnoteReference"/>
          <w:rFonts w:ascii="Times New Roman" w:hAnsi="Times New Roman"/>
          <w:sz w:val="24"/>
        </w:rPr>
        <w:footnoteReference w:id="132"/>
      </w:r>
      <w:r w:rsidRPr="00E12AF4">
        <w:rPr>
          <w:rFonts w:ascii="Times New Roman" w:hAnsi="Times New Roman"/>
        </w:rPr>
        <w:t>. In this secondary sense, the "proportionality of penalty is measured in the wider context of the demands of effective deterrence"</w:t>
      </w:r>
      <w:r w:rsidRPr="00E12AF4">
        <w:rPr>
          <w:rStyle w:val="FootnoteReference"/>
          <w:rFonts w:ascii="Times New Roman" w:hAnsi="Times New Roman"/>
          <w:sz w:val="24"/>
        </w:rPr>
        <w:footnoteReference w:id="133"/>
      </w:r>
      <w:r w:rsidRPr="00E12AF4">
        <w:rPr>
          <w:rFonts w:ascii="Times New Roman" w:hAnsi="Times New Roman"/>
        </w:rPr>
        <w:t>.</w:t>
      </w:r>
    </w:p>
    <w:p w14:paraId="3F00EC5D" w14:textId="77777777" w:rsidR="00CE2E11" w:rsidRPr="00E12AF4" w:rsidRDefault="00CE2E11" w:rsidP="00E12AF4">
      <w:pPr>
        <w:pStyle w:val="HeadingL1"/>
        <w:spacing w:after="260" w:line="280" w:lineRule="exact"/>
        <w:ind w:right="0"/>
        <w:jc w:val="both"/>
        <w:rPr>
          <w:rFonts w:ascii="Times New Roman" w:hAnsi="Times New Roman"/>
        </w:rPr>
      </w:pPr>
      <w:r w:rsidRPr="00E12AF4">
        <w:rPr>
          <w:rFonts w:ascii="Times New Roman" w:hAnsi="Times New Roman"/>
        </w:rPr>
        <w:t>The need for deterrence in the present case</w:t>
      </w:r>
    </w:p>
    <w:p w14:paraId="21788939"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As the primary judge explained, quoting from earlier decisions, (</w:t>
      </w:r>
      <w:proofErr w:type="spellStart"/>
      <w:r w:rsidRPr="00E12AF4">
        <w:rPr>
          <w:rFonts w:ascii="Times New Roman" w:hAnsi="Times New Roman"/>
        </w:rPr>
        <w:t>i</w:t>
      </w:r>
      <w:proofErr w:type="spellEnd"/>
      <w:r w:rsidRPr="00E12AF4">
        <w:rPr>
          <w:rFonts w:ascii="Times New Roman" w:hAnsi="Times New Roman"/>
        </w:rPr>
        <w:t xml:space="preserve">) the prior and instant conduct of the CFMMEU revealed that "it favours a policy of 'no ticket, no start' and holds that philosophy ... as preferable to the law of the land" and (ii) its </w:t>
      </w:r>
      <w:r w:rsidRPr="00E12AF4">
        <w:rPr>
          <w:rFonts w:ascii="Times New Roman" w:hAnsi="Times New Roman"/>
        </w:rPr>
        <w:lastRenderedPageBreak/>
        <w:t>misconduct is part of a strategy "to engage in whatever action, and make whatever threats, it wishes, without regard to the law"</w:t>
      </w:r>
      <w:r w:rsidRPr="00E12AF4">
        <w:rPr>
          <w:rStyle w:val="FootnoteReference"/>
          <w:rFonts w:ascii="Times New Roman" w:hAnsi="Times New Roman"/>
          <w:sz w:val="24"/>
        </w:rPr>
        <w:footnoteReference w:id="134"/>
      </w:r>
      <w:r w:rsidRPr="00E12AF4">
        <w:rPr>
          <w:rFonts w:ascii="Times New Roman" w:hAnsi="Times New Roman"/>
        </w:rPr>
        <w:t>. The result of this anthropomorphising of the CFMMEU reflects the systemic culture of positive defiance of the law which exists within the organisation, requiring a high penalty for the purposes of specific and general deterrence.</w:t>
      </w:r>
    </w:p>
    <w:p w14:paraId="28351697"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A further, and central, matter relevant to deterrence is the vast resources of the CFMMEU. The Construction and General Division Victoria/Tasmania Divisional Branch of the CFMMEU alone had a revenue of more than $30 million over the year before the contraventions and more than $68 million in net assets.</w:t>
      </w:r>
    </w:p>
    <w:p w14:paraId="17B07241"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Solicitor</w:t>
      </w:r>
      <w:r w:rsidRPr="00E12AF4">
        <w:rPr>
          <w:rFonts w:ascii="Times New Roman" w:hAnsi="Times New Roman"/>
        </w:rPr>
        <w:noBreakHyphen/>
        <w:t>General correctly submitted that, analytically, the need for specific deterrence of the CFMMEU did not require the primary judge to impose only half of the maximum available penalty, with the reduction due to "course of conduct" considerations. The appellant's case was presented before the primary judge on the basis that a need for reasonable deterrence required a penalty in a range close to the maximum penalty. On such a case it is difficult to find fault in the submission of the Solicitor</w:t>
      </w:r>
      <w:r w:rsidRPr="00E12AF4">
        <w:rPr>
          <w:rFonts w:ascii="Times New Roman" w:hAnsi="Times New Roman"/>
        </w:rPr>
        <w:noBreakHyphen/>
        <w:t>General in this Court that, despite the course of conduct principle, it was at least open for the primary judge to order that the CFMMEU pay the combined maximum penalty for the two contraventions of $126,000 for the purpose of achieving specific deterrence. Indeed, if a penalty in that region were necessary to achieve more than a minimal deterrent effect in any decision calculus, it would not be relevant that this penalty might be more than double the amount that the CFMMEU deserved for the conduct attributed to it. But no ground of appeal on this basis was raised before the Full Court of the Federal Court or before this Court.</w:t>
      </w:r>
    </w:p>
    <w:p w14:paraId="671BE175"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Mr Pattinson's circumstances stand in stark contrast with those of the CFMMEU. There was no suggestion at any stage of this proceeding that Mr Pattinson had wilfully adopted the culture of defiance of the law that permeated the CFMMEU. As observed earlier in these reasons, in over two decades as a site delegate, Mr Pattinson had never previously contravened the </w:t>
      </w:r>
      <w:r w:rsidRPr="00E12AF4">
        <w:rPr>
          <w:rFonts w:ascii="Times New Roman" w:hAnsi="Times New Roman"/>
          <w:i/>
          <w:iCs/>
        </w:rPr>
        <w:t>Fair Work Act</w:t>
      </w:r>
      <w:r w:rsidRPr="00E12AF4">
        <w:rPr>
          <w:rFonts w:ascii="Times New Roman" w:hAnsi="Times New Roman"/>
        </w:rPr>
        <w:t xml:space="preserve"> or its predecessor</w:t>
      </w:r>
      <w:r w:rsidRPr="00E12AF4">
        <w:rPr>
          <w:rFonts w:ascii="Times New Roman" w:hAnsi="Times New Roman"/>
          <w:iCs/>
        </w:rPr>
        <w:t>.</w:t>
      </w:r>
      <w:r w:rsidRPr="00E12AF4">
        <w:rPr>
          <w:rFonts w:ascii="Times New Roman" w:hAnsi="Times New Roman"/>
        </w:rPr>
        <w:t xml:space="preserve"> There was no evidence before the primary judge or before the Full Court of Mr Pattinson's assets or his ability to pay any penalty. Senior counsel for Mr Pattinson submitted, without demur, that Mr Pattinson was a 70</w:t>
      </w:r>
      <w:r w:rsidRPr="00E12AF4">
        <w:rPr>
          <w:rFonts w:ascii="Times New Roman" w:hAnsi="Times New Roman"/>
        </w:rPr>
        <w:noBreakHyphen/>
        <w:t>year</w:t>
      </w:r>
      <w:r w:rsidRPr="00E12AF4">
        <w:rPr>
          <w:rFonts w:ascii="Times New Roman" w:hAnsi="Times New Roman"/>
        </w:rPr>
        <w:noBreakHyphen/>
        <w:t xml:space="preserve">old man who was now retired. An estimate of the minimum penalty necessary to achieve a reasonable effect of specific deterrence, at least on the material before this Court, would be a nominal amount. The only deterrent justification for imposition of more </w:t>
      </w:r>
      <w:r w:rsidRPr="00E12AF4">
        <w:rPr>
          <w:rFonts w:ascii="Times New Roman" w:hAnsi="Times New Roman"/>
        </w:rPr>
        <w:lastRenderedPageBreak/>
        <w:t>than a nominal amount upon Mr Pattinson would be the need to punish him as an instrument to deter others in his position, that is, for the purpose of general deterrence.</w:t>
      </w:r>
    </w:p>
    <w:p w14:paraId="33A52809" w14:textId="77777777" w:rsidR="00CE2E11" w:rsidRPr="00E12AF4" w:rsidRDefault="00CE2E11" w:rsidP="00E12AF4">
      <w:pPr>
        <w:pStyle w:val="HeadingL1"/>
        <w:spacing w:after="260" w:line="280" w:lineRule="exact"/>
        <w:ind w:right="0"/>
        <w:jc w:val="both"/>
        <w:rPr>
          <w:rFonts w:ascii="Times New Roman" w:hAnsi="Times New Roman"/>
        </w:rPr>
      </w:pPr>
      <w:r w:rsidRPr="00E12AF4">
        <w:rPr>
          <w:rFonts w:ascii="Times New Roman" w:hAnsi="Times New Roman"/>
        </w:rPr>
        <w:t>The decision of the Full Court and the orders that should be made</w:t>
      </w:r>
    </w:p>
    <w:p w14:paraId="61FDB5A3"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The Full Court of the Federal Court allowed the appeal of the CFMMEU and Mr Pattinson on two separate grounds. The first ground, which raised the issues discussed above, was that the primary judge erred by failing to approach the imposition of civil penalties on the CFMMEU by characterising the nature and gravity of the contraventions by reference only to the objective characteristics of the contraventions and without regard to the CFMMEU's history of contraventions of the statute. In the Full Court, </w:t>
      </w:r>
      <w:proofErr w:type="spellStart"/>
      <w:r w:rsidRPr="00E12AF4">
        <w:rPr>
          <w:rFonts w:ascii="Times New Roman" w:hAnsi="Times New Roman"/>
        </w:rPr>
        <w:t>Allsop</w:t>
      </w:r>
      <w:proofErr w:type="spellEnd"/>
      <w:r w:rsidRPr="00E12AF4">
        <w:rPr>
          <w:rFonts w:ascii="Times New Roman" w:hAnsi="Times New Roman"/>
        </w:rPr>
        <w:t xml:space="preserve"> CJ, White and </w:t>
      </w:r>
      <w:proofErr w:type="spellStart"/>
      <w:r w:rsidRPr="00E12AF4">
        <w:rPr>
          <w:rFonts w:ascii="Times New Roman" w:hAnsi="Times New Roman"/>
        </w:rPr>
        <w:t>Wigney</w:t>
      </w:r>
      <w:proofErr w:type="spellEnd"/>
      <w:r w:rsidRPr="00E12AF4">
        <w:rPr>
          <w:rFonts w:ascii="Times New Roman" w:hAnsi="Times New Roman"/>
        </w:rPr>
        <w:t xml:space="preserve"> JJ, with whom </w:t>
      </w:r>
      <w:proofErr w:type="spellStart"/>
      <w:r w:rsidRPr="00E12AF4">
        <w:rPr>
          <w:rFonts w:ascii="Times New Roman" w:hAnsi="Times New Roman"/>
        </w:rPr>
        <w:t>Besanko</w:t>
      </w:r>
      <w:proofErr w:type="spellEnd"/>
      <w:r w:rsidRPr="00E12AF4">
        <w:rPr>
          <w:rFonts w:ascii="Times New Roman" w:hAnsi="Times New Roman"/>
        </w:rPr>
        <w:t xml:space="preserve"> and Bromwich JJ relevantly agreed, overturned the decision of the primary judge on the basis that the penalties imposed by the primary judge were disproportionate to the nature and gravity of the conduct, which was not in the most serious category of contraventions</w:t>
      </w:r>
      <w:r w:rsidRPr="00E12AF4">
        <w:rPr>
          <w:rStyle w:val="FootnoteReference"/>
          <w:rFonts w:ascii="Times New Roman" w:hAnsi="Times New Roman"/>
          <w:sz w:val="24"/>
        </w:rPr>
        <w:footnoteReference w:id="135"/>
      </w:r>
      <w:r w:rsidRPr="00E12AF4">
        <w:rPr>
          <w:rFonts w:ascii="Times New Roman" w:hAnsi="Times New Roman"/>
        </w:rPr>
        <w:t>.</w:t>
      </w:r>
    </w:p>
    <w:p w14:paraId="5D2E1C48"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The reasoning of </w:t>
      </w:r>
      <w:proofErr w:type="spellStart"/>
      <w:r w:rsidRPr="00E12AF4">
        <w:rPr>
          <w:rFonts w:ascii="Times New Roman" w:hAnsi="Times New Roman"/>
        </w:rPr>
        <w:t>Allsop</w:t>
      </w:r>
      <w:proofErr w:type="spellEnd"/>
      <w:r w:rsidRPr="00E12AF4">
        <w:rPr>
          <w:rFonts w:ascii="Times New Roman" w:hAnsi="Times New Roman"/>
        </w:rPr>
        <w:t xml:space="preserve"> CJ, White and </w:t>
      </w:r>
      <w:proofErr w:type="spellStart"/>
      <w:r w:rsidRPr="00E12AF4">
        <w:rPr>
          <w:rFonts w:ascii="Times New Roman" w:hAnsi="Times New Roman"/>
        </w:rPr>
        <w:t>Wigney</w:t>
      </w:r>
      <w:proofErr w:type="spellEnd"/>
      <w:r w:rsidRPr="00E12AF4">
        <w:rPr>
          <w:rFonts w:ascii="Times New Roman" w:hAnsi="Times New Roman"/>
        </w:rPr>
        <w:t xml:space="preserve"> JJ relied upon criminal law decisions of this Court such as </w:t>
      </w:r>
      <w:r w:rsidRPr="00E12AF4">
        <w:rPr>
          <w:rFonts w:ascii="Times New Roman" w:hAnsi="Times New Roman"/>
          <w:i/>
          <w:iCs/>
        </w:rPr>
        <w:t xml:space="preserve">Veen v The Queen </w:t>
      </w:r>
      <w:r w:rsidRPr="00E12AF4">
        <w:rPr>
          <w:rFonts w:ascii="Times New Roman" w:hAnsi="Times New Roman"/>
          <w:i/>
        </w:rPr>
        <w:t>[</w:t>
      </w:r>
      <w:r w:rsidRPr="00E12AF4">
        <w:rPr>
          <w:rFonts w:ascii="Times New Roman" w:hAnsi="Times New Roman"/>
          <w:i/>
          <w:iCs/>
        </w:rPr>
        <w:t>No 2</w:t>
      </w:r>
      <w:r w:rsidRPr="00E12AF4">
        <w:rPr>
          <w:rFonts w:ascii="Times New Roman" w:hAnsi="Times New Roman"/>
          <w:i/>
        </w:rPr>
        <w:t>]</w:t>
      </w:r>
      <w:r w:rsidRPr="00E12AF4">
        <w:rPr>
          <w:rStyle w:val="FootnoteReference"/>
          <w:rFonts w:ascii="Times New Roman" w:hAnsi="Times New Roman"/>
          <w:sz w:val="24"/>
        </w:rPr>
        <w:footnoteReference w:id="136"/>
      </w:r>
      <w:r w:rsidRPr="00E12AF4">
        <w:rPr>
          <w:rFonts w:ascii="Times New Roman" w:hAnsi="Times New Roman"/>
          <w:iCs/>
        </w:rPr>
        <w:t>,</w:t>
      </w:r>
      <w:r w:rsidRPr="00E12AF4">
        <w:rPr>
          <w:rFonts w:ascii="Times New Roman" w:hAnsi="Times New Roman"/>
          <w:i/>
          <w:iCs/>
        </w:rPr>
        <w:t xml:space="preserve"> </w:t>
      </w:r>
      <w:r w:rsidRPr="00E12AF4">
        <w:rPr>
          <w:rFonts w:ascii="Times New Roman" w:hAnsi="Times New Roman"/>
        </w:rPr>
        <w:t xml:space="preserve">which treated proportionality as a primary consideration of justice. The approach of their Honours was also fortified by the decision of Kiefel CJ, Bell, Keane and Nettle JJ in </w:t>
      </w:r>
      <w:r w:rsidRPr="00E12AF4">
        <w:rPr>
          <w:rFonts w:ascii="Times New Roman" w:hAnsi="Times New Roman"/>
          <w:i/>
          <w:iCs/>
        </w:rPr>
        <w:t>Comcare v Banerji</w:t>
      </w:r>
      <w:r w:rsidRPr="00E12AF4">
        <w:rPr>
          <w:rStyle w:val="FootnoteReference"/>
          <w:rFonts w:ascii="Times New Roman" w:hAnsi="Times New Roman"/>
          <w:sz w:val="24"/>
        </w:rPr>
        <w:footnoteReference w:id="137"/>
      </w:r>
      <w:r w:rsidRPr="00E12AF4">
        <w:rPr>
          <w:rFonts w:ascii="Times New Roman" w:hAnsi="Times New Roman"/>
          <w:iCs/>
        </w:rPr>
        <w:t>,</w:t>
      </w:r>
      <w:r w:rsidRPr="00E12AF4">
        <w:rPr>
          <w:rFonts w:ascii="Times New Roman" w:hAnsi="Times New Roman"/>
          <w:i/>
          <w:iCs/>
        </w:rPr>
        <w:t xml:space="preserve"> </w:t>
      </w:r>
      <w:r w:rsidRPr="00E12AF4">
        <w:rPr>
          <w:rFonts w:ascii="Times New Roman" w:hAnsi="Times New Roman"/>
        </w:rPr>
        <w:t>to which reference was made earlier in these reasons.</w:t>
      </w:r>
    </w:p>
    <w:p w14:paraId="4CFFEFD7"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It may be that, </w:t>
      </w:r>
      <w:proofErr w:type="gramStart"/>
      <w:r w:rsidRPr="00E12AF4">
        <w:rPr>
          <w:rFonts w:ascii="Times New Roman" w:hAnsi="Times New Roman"/>
        </w:rPr>
        <w:t>in light of</w:t>
      </w:r>
      <w:proofErr w:type="gramEnd"/>
      <w:r w:rsidRPr="00E12AF4">
        <w:rPr>
          <w:rFonts w:ascii="Times New Roman" w:hAnsi="Times New Roman"/>
        </w:rPr>
        <w:t xml:space="preserve"> the lengthy history of contraventions by the CFMMEU and its "systematic pattern of conduct"</w:t>
      </w:r>
      <w:r w:rsidRPr="00E12AF4">
        <w:rPr>
          <w:rStyle w:val="FootnoteReference"/>
          <w:rFonts w:ascii="Times New Roman" w:hAnsi="Times New Roman"/>
          <w:sz w:val="24"/>
        </w:rPr>
        <w:footnoteReference w:id="138"/>
      </w:r>
      <w:r w:rsidRPr="00E12AF4">
        <w:rPr>
          <w:rFonts w:ascii="Times New Roman" w:hAnsi="Times New Roman"/>
        </w:rPr>
        <w:t xml:space="preserve">, the primary judge was not in error to conclude that the instant contraventions by the CFMMEU were in the most serious category of contravention. As explained above, a history of contraventions is relevant to the assessment of the seriousness of an instant contravention. But the only ground of appeal before this Court is, relevantly, whether the Full Court erred by reasoning that "the maximum penalty cannot be imposed for contravening conduct that is not of the most serious and grave kind, even if that penalty is </w:t>
      </w:r>
      <w:r w:rsidRPr="00E12AF4">
        <w:rPr>
          <w:rFonts w:ascii="Times New Roman" w:hAnsi="Times New Roman"/>
        </w:rPr>
        <w:lastRenderedPageBreak/>
        <w:t>necessary in order to deter contravening conduct of the kind that has in fact occurred". More precisely, the issue is whether the upper limit of the range of penalties necessary to achieve deterrence must be below the maximum penalty if the conduct, in all the circumstances, is not within the most serious category.</w:t>
      </w:r>
    </w:p>
    <w:p w14:paraId="11A0E459"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 xml:space="preserve">It is an unfortunate </w:t>
      </w:r>
      <w:proofErr w:type="gramStart"/>
      <w:r w:rsidRPr="00E12AF4">
        <w:rPr>
          <w:rFonts w:ascii="Times New Roman" w:hAnsi="Times New Roman"/>
        </w:rPr>
        <w:t>state of affairs where</w:t>
      </w:r>
      <w:proofErr w:type="gramEnd"/>
      <w:r w:rsidRPr="00E12AF4">
        <w:rPr>
          <w:rFonts w:ascii="Times New Roman" w:hAnsi="Times New Roman"/>
        </w:rPr>
        <w:t xml:space="preserve"> this Court is required to conclude that the Full Court was in error by treating the longstanding principle of basic justice – that an offender or contravener should be punished according to what the law requires that they deserve for their conduct – as a principal or primary criterion. But, for the reasons above, the conclusion that the Full Court was in error is required by the present state of the law in Australia.</w:t>
      </w:r>
    </w:p>
    <w:p w14:paraId="6464EA9E"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 second ground upon which the Full Court allowed the appeal included, among other things, that the primary judge erred in so far as his Honour determined that the respondents in this Court "should not receive any material discount on penalty by reason of their admissions and co</w:t>
      </w:r>
      <w:r w:rsidRPr="00E12AF4">
        <w:rPr>
          <w:rFonts w:ascii="Times New Roman" w:hAnsi="Times New Roman"/>
        </w:rPr>
        <w:noBreakHyphen/>
        <w:t>operation rendering a trial unnecessary". The Full Court held that the second ground of appeal was made out.</w:t>
      </w:r>
    </w:p>
    <w:p w14:paraId="0E89A9C2"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This Court granted special leave to appeal from the decision of the Full Court limited to the first ground</w:t>
      </w:r>
      <w:r w:rsidRPr="00E12AF4">
        <w:rPr>
          <w:rStyle w:val="FootnoteReference"/>
          <w:rFonts w:ascii="Times New Roman" w:hAnsi="Times New Roman"/>
          <w:sz w:val="24"/>
        </w:rPr>
        <w:footnoteReference w:id="139"/>
      </w:r>
      <w:r w:rsidRPr="00E12AF4">
        <w:rPr>
          <w:rFonts w:ascii="Times New Roman" w:hAnsi="Times New Roman"/>
        </w:rPr>
        <w:t>. The effect of refusing special leave to appeal on the second ground is that there is no dispute that the primary judge erred by imposing penalties without giving due account for the material discount for co</w:t>
      </w:r>
      <w:r w:rsidRPr="00E12AF4">
        <w:rPr>
          <w:rFonts w:ascii="Times New Roman" w:hAnsi="Times New Roman"/>
        </w:rPr>
        <w:noBreakHyphen/>
        <w:t>operation to which the respondents were entitled. Therefore, by allowing an appeal in relation to the decision of the Full Court on the first ground, this Court cannot mechanically affirm a decision of the primary judge that has been held, without further appeal, to be erroneous. On this appeal, this Court must either re</w:t>
      </w:r>
      <w:r w:rsidRPr="00E12AF4">
        <w:rPr>
          <w:rFonts w:ascii="Times New Roman" w:hAnsi="Times New Roman"/>
        </w:rPr>
        <w:noBreakHyphen/>
        <w:t>exercise the penalty discretion or remit the matter to the Full Court for the discretion to be re</w:t>
      </w:r>
      <w:r w:rsidRPr="00E12AF4">
        <w:rPr>
          <w:rFonts w:ascii="Times New Roman" w:hAnsi="Times New Roman"/>
        </w:rPr>
        <w:noBreakHyphen/>
        <w:t>exercised.</w:t>
      </w:r>
    </w:p>
    <w:p w14:paraId="524242B4"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If this Court were to re</w:t>
      </w:r>
      <w:r w:rsidRPr="00E12AF4">
        <w:rPr>
          <w:rFonts w:ascii="Times New Roman" w:hAnsi="Times New Roman"/>
        </w:rPr>
        <w:noBreakHyphen/>
        <w:t>exercise the discretion to impose penalties on the basis that, contrary to what the Full Court found, the primary judge did not err in relation to the first ground, it would be surprising if this Court were to impose the very same penalty as the primary judge in circumstances where the primary judge did not allow a discount for co</w:t>
      </w:r>
      <w:r w:rsidRPr="00E12AF4">
        <w:rPr>
          <w:rFonts w:ascii="Times New Roman" w:hAnsi="Times New Roman"/>
        </w:rPr>
        <w:noBreakHyphen/>
        <w:t>operation and there was no dispute that the range of penalties should be constrained by the course of conduct principle. But how much less should the penalty be? No submissions were made by the parties in this Court as to such an exercise. Indeed, if deterrence were truly to be treated as the primary criterion of justice, then it would surely be highly relevant in the re</w:t>
      </w:r>
      <w:r w:rsidRPr="00E12AF4">
        <w:rPr>
          <w:rFonts w:ascii="Times New Roman" w:hAnsi="Times New Roman"/>
        </w:rPr>
        <w:noBreakHyphen/>
        <w:t xml:space="preserve">exercise of the discretion to know whether the CFMMEU had committed any similar contraventions in the three years since the contraventions in this case. The appropriate order is to remit the matter to the Full Court for consideration of the </w:t>
      </w:r>
      <w:r w:rsidRPr="00E12AF4">
        <w:rPr>
          <w:rFonts w:ascii="Times New Roman" w:hAnsi="Times New Roman"/>
        </w:rPr>
        <w:lastRenderedPageBreak/>
        <w:t xml:space="preserve">appropriate penalty to be imposed upon the CFMMEU </w:t>
      </w:r>
      <w:proofErr w:type="gramStart"/>
      <w:r w:rsidRPr="00E12AF4">
        <w:rPr>
          <w:rFonts w:ascii="Times New Roman" w:hAnsi="Times New Roman"/>
        </w:rPr>
        <w:t>in light of</w:t>
      </w:r>
      <w:proofErr w:type="gramEnd"/>
      <w:r w:rsidRPr="00E12AF4">
        <w:rPr>
          <w:rFonts w:ascii="Times New Roman" w:hAnsi="Times New Roman"/>
        </w:rPr>
        <w:t xml:space="preserve"> the reasons of this Court.</w:t>
      </w:r>
    </w:p>
    <w:p w14:paraId="5305DB51"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There are further and more significant problems with this Court re</w:t>
      </w:r>
      <w:r w:rsidRPr="00E12AF4">
        <w:rPr>
          <w:rFonts w:ascii="Times New Roman" w:hAnsi="Times New Roman"/>
        </w:rPr>
        <w:noBreakHyphen/>
        <w:t>exercising the discretion to impose a different penalty upon Mr Pattinson. In relation to Mr Pattinson, the Full Court re</w:t>
      </w:r>
      <w:r w:rsidRPr="00E12AF4">
        <w:rPr>
          <w:rFonts w:ascii="Times New Roman" w:hAnsi="Times New Roman"/>
        </w:rPr>
        <w:noBreakHyphen/>
        <w:t>exercised its discretion only upon the basis that Mr Pattinson had made out the second ground of appeal, that is, the ground that was not before this Court. In the re</w:t>
      </w:r>
      <w:r w:rsidRPr="00E12AF4">
        <w:rPr>
          <w:rFonts w:ascii="Times New Roman" w:hAnsi="Times New Roman"/>
        </w:rPr>
        <w:noBreakHyphen/>
        <w:t>exercise of that discretion the Full Court said</w:t>
      </w:r>
      <w:r w:rsidRPr="00E12AF4">
        <w:rPr>
          <w:rStyle w:val="FootnoteReference"/>
          <w:rFonts w:ascii="Times New Roman" w:hAnsi="Times New Roman"/>
          <w:sz w:val="24"/>
        </w:rPr>
        <w:footnoteReference w:id="140"/>
      </w:r>
      <w:r w:rsidRPr="00E12AF4">
        <w:rPr>
          <w:rFonts w:ascii="Times New Roman" w:hAnsi="Times New Roman"/>
        </w:rPr>
        <w:t>:</w:t>
      </w:r>
    </w:p>
    <w:p w14:paraId="22BB89CB" w14:textId="77777777" w:rsidR="00CE2E11" w:rsidRDefault="00CE2E11" w:rsidP="00E12AF4">
      <w:pPr>
        <w:pStyle w:val="LeftrightafterHC"/>
        <w:spacing w:before="0" w:after="260" w:line="280" w:lineRule="exact"/>
        <w:ind w:right="0"/>
        <w:jc w:val="both"/>
        <w:rPr>
          <w:rFonts w:ascii="Times New Roman" w:hAnsi="Times New Roman"/>
        </w:rPr>
      </w:pPr>
      <w:r w:rsidRPr="00E12AF4">
        <w:rPr>
          <w:rFonts w:ascii="Times New Roman" w:hAnsi="Times New Roman"/>
        </w:rPr>
        <w:t xml:space="preserve">"[W]e </w:t>
      </w:r>
      <w:proofErr w:type="gramStart"/>
      <w:r w:rsidRPr="00E12AF4">
        <w:rPr>
          <w:rFonts w:ascii="Times New Roman" w:hAnsi="Times New Roman"/>
        </w:rPr>
        <w:t>consider</w:t>
      </w:r>
      <w:proofErr w:type="gramEnd"/>
      <w:r w:rsidRPr="00E12AF4">
        <w:rPr>
          <w:rFonts w:ascii="Times New Roman" w:hAnsi="Times New Roman"/>
        </w:rPr>
        <w:t xml:space="preserve"> that an appropriate penalty for the object to deter contraventions of this kind would be penalties for the two contraventions of $4,000 and $500 in a total of $4,500. We would consider these penalties as appropriate to deter Mr Pattinson and others in his position from repetition of such contravening conduct."</w:t>
      </w:r>
    </w:p>
    <w:p w14:paraId="0FA202A5"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Very few submissions were made in this Court about the exercise by the Full Court of its discretion to impose penalties upon Mr Pattinson. Senior counsel for Mr Pattinson submitted, without demur, that there was no need for any specific deterrence of Mr Pattinson because he was a 70</w:t>
      </w:r>
      <w:r w:rsidRPr="00E12AF4">
        <w:rPr>
          <w:rFonts w:ascii="Times New Roman" w:hAnsi="Times New Roman"/>
        </w:rPr>
        <w:noBreakHyphen/>
        <w:t>year</w:t>
      </w:r>
      <w:r w:rsidRPr="00E12AF4">
        <w:rPr>
          <w:rFonts w:ascii="Times New Roman" w:hAnsi="Times New Roman"/>
        </w:rPr>
        <w:noBreakHyphen/>
        <w:t>old man who had since retired from the building industry. If there were evidence to that effect, it would have provided a powerful justification for the re</w:t>
      </w:r>
      <w:r w:rsidRPr="00E12AF4">
        <w:rPr>
          <w:rFonts w:ascii="Times New Roman" w:hAnsi="Times New Roman"/>
        </w:rPr>
        <w:noBreakHyphen/>
        <w:t>exercise of discretion to impose a penalty at a level far below that which was imposed by the primary judge. In any event, it effectively became common ground that, even if the Full Court had erred in its reasoning concerning the re</w:t>
      </w:r>
      <w:r w:rsidRPr="00E12AF4">
        <w:rPr>
          <w:rFonts w:ascii="Times New Roman" w:hAnsi="Times New Roman"/>
        </w:rPr>
        <w:noBreakHyphen/>
        <w:t>exercise of discretion to impose a penalty on Mr Pattinson, it had not erred in the result.</w:t>
      </w:r>
    </w:p>
    <w:p w14:paraId="554C3BDF"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tab/>
        <w:t>Senior counsel for Mr Pattinson submitted that, since Mr Pattinson had only prosecuted the second ground of appeal, a ground which was not the subject of the grant of special leave to appeal to this Court, the penalty imposed by the Full Court should not be disturbed. And when the Chief Justice of this Court asked senior counsel for the appellant what the appellant's position was in relation to the penalties imposed on Mr Pattinson, the reply was that, since the submissions of the appellant had been focused upon the position of the CFMMEU, "[</w:t>
      </w:r>
      <w:proofErr w:type="spellStart"/>
      <w:r w:rsidRPr="00E12AF4">
        <w:rPr>
          <w:rFonts w:ascii="Times New Roman" w:hAnsi="Times New Roman"/>
        </w:rPr>
        <w:t>i</w:t>
      </w:r>
      <w:proofErr w:type="spellEnd"/>
      <w:r w:rsidRPr="00E12AF4">
        <w:rPr>
          <w:rFonts w:ascii="Times New Roman" w:hAnsi="Times New Roman"/>
        </w:rPr>
        <w:t xml:space="preserve">]f the Court felt that it was not appropriate to disturb the Full Court’s orders with respect to Mr Pattinson, we do not wish to be heard against that". It is unsurprising that no submission was made by the appellant that there should be an increase in the penalties imposed by the Full Court of $4,000 and $500 in order to deter Mr Pattinson and others like him, including other septuagenarian retirees of likely modest means who have never previously contravened the </w:t>
      </w:r>
      <w:r w:rsidRPr="00E12AF4">
        <w:rPr>
          <w:rFonts w:ascii="Times New Roman" w:hAnsi="Times New Roman"/>
          <w:i/>
          <w:iCs/>
        </w:rPr>
        <w:t xml:space="preserve">Fair Work Act </w:t>
      </w:r>
      <w:r w:rsidRPr="00E12AF4">
        <w:rPr>
          <w:rFonts w:ascii="Times New Roman" w:hAnsi="Times New Roman"/>
        </w:rPr>
        <w:t>or its predecessor over decades of work.</w:t>
      </w:r>
    </w:p>
    <w:p w14:paraId="68A1C23C" w14:textId="77777777" w:rsidR="00CE2E11" w:rsidRPr="00E12AF4" w:rsidRDefault="00CE2E11" w:rsidP="00CE2E11">
      <w:pPr>
        <w:pStyle w:val="FixListStyle"/>
        <w:numPr>
          <w:ilvl w:val="0"/>
          <w:numId w:val="18"/>
        </w:numPr>
        <w:spacing w:after="260" w:line="280" w:lineRule="exact"/>
        <w:ind w:left="0" w:right="0" w:hanging="720"/>
        <w:jc w:val="both"/>
        <w:rPr>
          <w:rFonts w:ascii="Times New Roman" w:hAnsi="Times New Roman"/>
        </w:rPr>
      </w:pPr>
      <w:r w:rsidRPr="00E12AF4">
        <w:rPr>
          <w:rFonts w:ascii="Times New Roman" w:hAnsi="Times New Roman"/>
        </w:rPr>
        <w:lastRenderedPageBreak/>
        <w:tab/>
        <w:t xml:space="preserve">The concession by the appellant, and the common ground between the parties, should be accepted with the conclusion that, </w:t>
      </w:r>
      <w:proofErr w:type="gramStart"/>
      <w:r w:rsidRPr="00E12AF4">
        <w:rPr>
          <w:rFonts w:ascii="Times New Roman" w:hAnsi="Times New Roman"/>
        </w:rPr>
        <w:t>whether or not</w:t>
      </w:r>
      <w:proofErr w:type="gramEnd"/>
      <w:r w:rsidRPr="00E12AF4">
        <w:rPr>
          <w:rFonts w:ascii="Times New Roman" w:hAnsi="Times New Roman"/>
        </w:rPr>
        <w:t xml:space="preserve"> the Full Court erred in its reasoning concerning the re</w:t>
      </w:r>
      <w:r w:rsidRPr="00E12AF4">
        <w:rPr>
          <w:rFonts w:ascii="Times New Roman" w:hAnsi="Times New Roman"/>
        </w:rPr>
        <w:noBreakHyphen/>
        <w:t>exercise of the discretion in relation to Mr Pattinson, it did not err in the result. The appeal should be dismissed in relation to Mr Pattinson. The following orders should be made:</w:t>
      </w:r>
    </w:p>
    <w:p w14:paraId="20A56B0A" w14:textId="77777777" w:rsidR="00CE2E11" w:rsidRPr="00E12AF4" w:rsidRDefault="00CE2E11" w:rsidP="00E12AF4">
      <w:pPr>
        <w:pStyle w:val="LeftrightHanging"/>
        <w:spacing w:before="0" w:after="260" w:line="280" w:lineRule="exact"/>
        <w:ind w:right="0"/>
        <w:jc w:val="both"/>
        <w:rPr>
          <w:rFonts w:ascii="Times New Roman" w:hAnsi="Times New Roman"/>
        </w:rPr>
      </w:pPr>
      <w:r w:rsidRPr="00E12AF4">
        <w:rPr>
          <w:rFonts w:ascii="Times New Roman" w:hAnsi="Times New Roman"/>
        </w:rPr>
        <w:t>(1)</w:t>
      </w:r>
      <w:r w:rsidRPr="00E12AF4">
        <w:rPr>
          <w:rFonts w:ascii="Times New Roman" w:hAnsi="Times New Roman"/>
        </w:rPr>
        <w:tab/>
        <w:t>The appeal be allowed in part.</w:t>
      </w:r>
    </w:p>
    <w:p w14:paraId="0508200D" w14:textId="77777777" w:rsidR="00CE2E11" w:rsidRPr="00E12AF4" w:rsidRDefault="00CE2E11" w:rsidP="00E12AF4">
      <w:pPr>
        <w:pStyle w:val="LeftrightHanging"/>
        <w:spacing w:before="0" w:after="260" w:line="280" w:lineRule="exact"/>
        <w:ind w:right="0"/>
        <w:jc w:val="both"/>
        <w:rPr>
          <w:rFonts w:ascii="Times New Roman" w:hAnsi="Times New Roman"/>
        </w:rPr>
      </w:pPr>
      <w:r w:rsidRPr="00E12AF4">
        <w:rPr>
          <w:rFonts w:ascii="Times New Roman" w:hAnsi="Times New Roman"/>
        </w:rPr>
        <w:t>(2)</w:t>
      </w:r>
      <w:r w:rsidRPr="00E12AF4">
        <w:rPr>
          <w:rFonts w:ascii="Times New Roman" w:hAnsi="Times New Roman"/>
        </w:rPr>
        <w:tab/>
        <w:t>Orders 1 (in so far as it relates to the second respondent) and 2(b) of the Full Court made on 16 October 2020 be set aside and the matter be remitted to the Full Court for determination in accordance with the reasons of this Court.</w:t>
      </w:r>
    </w:p>
    <w:p w14:paraId="23C235CB" w14:textId="77777777" w:rsidR="00CE2E11" w:rsidRDefault="00CE2E11" w:rsidP="00E12AF4">
      <w:pPr>
        <w:pStyle w:val="LeftrightHanging"/>
        <w:spacing w:before="0" w:after="260" w:line="280" w:lineRule="exact"/>
        <w:ind w:right="0"/>
        <w:jc w:val="both"/>
        <w:rPr>
          <w:rFonts w:ascii="Times New Roman" w:hAnsi="Times New Roman"/>
        </w:rPr>
      </w:pPr>
      <w:r w:rsidRPr="00E12AF4">
        <w:rPr>
          <w:rFonts w:ascii="Times New Roman" w:hAnsi="Times New Roman"/>
        </w:rPr>
        <w:t>(3)</w:t>
      </w:r>
      <w:r w:rsidRPr="00E12AF4">
        <w:rPr>
          <w:rFonts w:ascii="Times New Roman" w:hAnsi="Times New Roman"/>
        </w:rPr>
        <w:tab/>
        <w:t>The appeal otherwise be dismissed.</w:t>
      </w:r>
    </w:p>
    <w:p w14:paraId="01ED8533" w14:textId="77777777" w:rsidR="00571DC2" w:rsidRDefault="00571DC2" w:rsidP="00CE2E11">
      <w:pPr>
        <w:pStyle w:val="FixListStyle"/>
        <w:numPr>
          <w:ilvl w:val="0"/>
          <w:numId w:val="0"/>
        </w:numPr>
        <w:spacing w:after="260" w:line="280" w:lineRule="exact"/>
        <w:ind w:right="0"/>
        <w:jc w:val="both"/>
        <w:rPr>
          <w:rFonts w:ascii="Times New Roman" w:hAnsi="Times New Roman"/>
        </w:rPr>
        <w:sectPr w:rsidR="00571DC2" w:rsidSect="00CE2E11">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7D58483C" w14:textId="52CC47DB" w:rsidR="003705CA" w:rsidRPr="00DF5070" w:rsidRDefault="003705CA" w:rsidP="00CE2E11">
      <w:pPr>
        <w:pStyle w:val="FixListStyle"/>
        <w:numPr>
          <w:ilvl w:val="0"/>
          <w:numId w:val="0"/>
        </w:numPr>
        <w:spacing w:after="260" w:line="280" w:lineRule="exact"/>
        <w:ind w:right="0"/>
        <w:jc w:val="both"/>
        <w:rPr>
          <w:rFonts w:ascii="Times New Roman" w:hAnsi="Times New Roman"/>
        </w:rPr>
      </w:pPr>
    </w:p>
    <w:sectPr w:rsidR="003705CA" w:rsidRPr="00DF5070" w:rsidSect="00CE2E11">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CC96" w14:textId="77777777" w:rsidR="00D27654" w:rsidRDefault="00D27654">
      <w:pPr>
        <w:spacing w:line="240" w:lineRule="auto"/>
      </w:pPr>
      <w:r>
        <w:separator/>
      </w:r>
    </w:p>
  </w:endnote>
  <w:endnote w:type="continuationSeparator" w:id="0">
    <w:p w14:paraId="0C21D7F5" w14:textId="77777777" w:rsidR="00D27654" w:rsidRDefault="00D27654">
      <w:pPr>
        <w:spacing w:line="240" w:lineRule="auto"/>
      </w:pPr>
      <w:r>
        <w:continuationSeparator/>
      </w:r>
    </w:p>
  </w:endnote>
  <w:endnote w:type="continuationNotice" w:id="1">
    <w:p w14:paraId="4009CF9A" w14:textId="77777777" w:rsidR="00D27654" w:rsidRDefault="00D276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F24E" w14:textId="77777777" w:rsidR="00571DC2" w:rsidRDefault="0057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C9BF" w14:textId="77777777" w:rsidR="00571DC2" w:rsidRDefault="00571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066B" w14:textId="77777777" w:rsidR="00571DC2" w:rsidRDefault="00571D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9E7A" w14:textId="77777777" w:rsidR="009C2BE6" w:rsidRDefault="009C2B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963" w14:textId="77777777" w:rsidR="009C2BE6" w:rsidRDefault="009C2B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27BB" w14:textId="77777777" w:rsidR="009C2BE6" w:rsidRDefault="009C2B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3C7F" w14:textId="77777777" w:rsidR="00E12AF4" w:rsidRDefault="009C2B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6A37" w14:textId="77777777" w:rsidR="00E12AF4" w:rsidRDefault="009C2BE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FD0C" w14:textId="77777777" w:rsidR="00E12AF4" w:rsidRDefault="009C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CD0D4" w14:textId="77777777" w:rsidR="00D27654" w:rsidRPr="00DF5070" w:rsidRDefault="00D27654" w:rsidP="00DF5070">
      <w:pPr>
        <w:pStyle w:val="Footer"/>
        <w:spacing w:before="120" w:after="20"/>
        <w:ind w:right="0"/>
        <w:rPr>
          <w:rFonts w:ascii="Times New Roman" w:hAnsi="Times New Roman"/>
        </w:rPr>
      </w:pPr>
      <w:r>
        <w:continuationSeparator/>
      </w:r>
    </w:p>
  </w:footnote>
  <w:footnote w:type="continuationSeparator" w:id="0">
    <w:p w14:paraId="18D751FE" w14:textId="77777777" w:rsidR="00D27654" w:rsidRPr="00DF5070" w:rsidRDefault="00D27654" w:rsidP="00DF5070">
      <w:pPr>
        <w:pStyle w:val="Footer"/>
        <w:spacing w:before="120" w:after="20"/>
        <w:ind w:right="0"/>
        <w:rPr>
          <w:rFonts w:ascii="Times New Roman" w:hAnsi="Times New Roman"/>
        </w:rPr>
      </w:pPr>
      <w:r w:rsidRPr="00DF5070">
        <w:rPr>
          <w:rFonts w:ascii="Times New Roman" w:hAnsi="Times New Roman"/>
        </w:rPr>
        <w:continuationSeparator/>
      </w:r>
    </w:p>
  </w:footnote>
  <w:footnote w:type="continuationNotice" w:id="1">
    <w:p w14:paraId="6C3FC93B" w14:textId="77777777" w:rsidR="00D27654" w:rsidRPr="00CE2E11" w:rsidRDefault="00D27654">
      <w:pPr>
        <w:jc w:val="right"/>
        <w:rPr>
          <w:rFonts w:ascii="Times New Roman" w:hAnsi="Times New Roman"/>
          <w:sz w:val="24"/>
        </w:rPr>
      </w:pPr>
    </w:p>
  </w:footnote>
  <w:footnote w:id="2">
    <w:p w14:paraId="7093A9FA" w14:textId="306479CC"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F521B3" w:rsidRPr="00DF5070">
        <w:rPr>
          <w:rFonts w:ascii="Times New Roman" w:hAnsi="Times New Roman"/>
          <w:i/>
          <w:sz w:val="24"/>
        </w:rPr>
        <w:t xml:space="preserve">Pattinson v Australian Building and Construction Commissioner </w:t>
      </w:r>
      <w:r w:rsidR="00F521B3" w:rsidRPr="00DF5070">
        <w:rPr>
          <w:rFonts w:ascii="Times New Roman" w:hAnsi="Times New Roman"/>
          <w:sz w:val="24"/>
        </w:rPr>
        <w:t>(2020) 282 FCR 580</w:t>
      </w:r>
      <w:r w:rsidRPr="00DF5070">
        <w:rPr>
          <w:rFonts w:ascii="Times New Roman" w:hAnsi="Times New Roman"/>
          <w:sz w:val="24"/>
        </w:rPr>
        <w:t xml:space="preserve"> at 587 [9]-[10]</w:t>
      </w:r>
      <w:r w:rsidR="00C00F37" w:rsidRPr="00DF5070">
        <w:rPr>
          <w:rFonts w:ascii="Times New Roman" w:hAnsi="Times New Roman"/>
          <w:sz w:val="24"/>
        </w:rPr>
        <w:t xml:space="preserve"> ("</w:t>
      </w:r>
      <w:r w:rsidR="00C00F37" w:rsidRPr="00DF5070">
        <w:rPr>
          <w:rFonts w:ascii="Times New Roman" w:hAnsi="Times New Roman"/>
          <w:i/>
          <w:sz w:val="24"/>
        </w:rPr>
        <w:t>Pattinson v ABCC</w:t>
      </w:r>
      <w:r w:rsidR="00C00F37" w:rsidRPr="00DF5070">
        <w:rPr>
          <w:rFonts w:ascii="Times New Roman" w:hAnsi="Times New Roman"/>
          <w:sz w:val="24"/>
        </w:rPr>
        <w:t>")</w:t>
      </w:r>
      <w:r w:rsidRPr="00DF5070">
        <w:rPr>
          <w:rFonts w:ascii="Times New Roman" w:hAnsi="Times New Roman"/>
          <w:sz w:val="24"/>
        </w:rPr>
        <w:t>.</w:t>
      </w:r>
    </w:p>
  </w:footnote>
  <w:footnote w:id="3">
    <w:p w14:paraId="3E7BA732" w14:textId="02BD9720" w:rsidR="00FF2212" w:rsidRPr="00DF5070" w:rsidRDefault="00FF2212"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Australian Building and Construction Commissioner v Pattinson </w:t>
      </w:r>
      <w:r w:rsidRPr="00DF5070">
        <w:rPr>
          <w:rFonts w:ascii="Times New Roman" w:hAnsi="Times New Roman"/>
          <w:sz w:val="24"/>
        </w:rPr>
        <w:t>(2019) 291 IR 286 at 29</w:t>
      </w:r>
      <w:r w:rsidR="0091374F" w:rsidRPr="00DF5070">
        <w:rPr>
          <w:rFonts w:ascii="Times New Roman" w:hAnsi="Times New Roman"/>
          <w:sz w:val="24"/>
        </w:rPr>
        <w:t>1</w:t>
      </w:r>
      <w:r w:rsidRPr="00DF5070">
        <w:rPr>
          <w:rFonts w:ascii="Times New Roman" w:hAnsi="Times New Roman"/>
          <w:sz w:val="24"/>
        </w:rPr>
        <w:noBreakHyphen/>
        <w:t>29</w:t>
      </w:r>
      <w:r w:rsidR="0091374F" w:rsidRPr="00DF5070">
        <w:rPr>
          <w:rFonts w:ascii="Times New Roman" w:hAnsi="Times New Roman"/>
          <w:sz w:val="24"/>
        </w:rPr>
        <w:t>2</w:t>
      </w:r>
      <w:r w:rsidRPr="00DF5070">
        <w:rPr>
          <w:rFonts w:ascii="Times New Roman" w:hAnsi="Times New Roman"/>
          <w:sz w:val="24"/>
        </w:rPr>
        <w:t> [</w:t>
      </w:r>
      <w:proofErr w:type="gramStart"/>
      <w:r w:rsidRPr="00DF5070">
        <w:rPr>
          <w:rFonts w:ascii="Times New Roman" w:hAnsi="Times New Roman"/>
          <w:sz w:val="24"/>
        </w:rPr>
        <w:t>3]</w:t>
      </w:r>
      <w:r w:rsidRPr="00DF5070">
        <w:rPr>
          <w:rFonts w:ascii="Times New Roman" w:hAnsi="Times New Roman"/>
          <w:sz w:val="24"/>
        </w:rPr>
        <w:noBreakHyphen/>
      </w:r>
      <w:proofErr w:type="gramEnd"/>
      <w:r w:rsidRPr="00DF5070">
        <w:rPr>
          <w:rFonts w:ascii="Times New Roman" w:hAnsi="Times New Roman"/>
          <w:sz w:val="24"/>
        </w:rPr>
        <w:t>[9] ("</w:t>
      </w:r>
      <w:r w:rsidRPr="00DF5070">
        <w:rPr>
          <w:rFonts w:ascii="Times New Roman" w:hAnsi="Times New Roman"/>
          <w:i/>
          <w:sz w:val="24"/>
        </w:rPr>
        <w:t>ABCC v Pattinson</w:t>
      </w:r>
      <w:r w:rsidRPr="00DF5070">
        <w:rPr>
          <w:rFonts w:ascii="Times New Roman" w:hAnsi="Times New Roman"/>
          <w:sz w:val="24"/>
        </w:rPr>
        <w:t xml:space="preserve">"); </w:t>
      </w:r>
      <w:r w:rsidRPr="00DF5070">
        <w:rPr>
          <w:rFonts w:ascii="Times New Roman" w:hAnsi="Times New Roman"/>
          <w:i/>
          <w:sz w:val="24"/>
        </w:rPr>
        <w:t xml:space="preserve">Pattinson v ABCC </w:t>
      </w:r>
      <w:r w:rsidRPr="00DF5070">
        <w:rPr>
          <w:rFonts w:ascii="Times New Roman" w:hAnsi="Times New Roman"/>
          <w:sz w:val="24"/>
        </w:rPr>
        <w:t>(2020) 282 FCR 580 at 587 [11].</w:t>
      </w:r>
    </w:p>
  </w:footnote>
  <w:footnote w:id="4">
    <w:p w14:paraId="18739B06" w14:textId="0A892BA7"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C00F37" w:rsidRPr="00DF5070">
        <w:rPr>
          <w:rFonts w:ascii="Times New Roman" w:hAnsi="Times New Roman"/>
          <w:i/>
          <w:sz w:val="24"/>
        </w:rPr>
        <w:t>ABCC v Pattinson</w:t>
      </w:r>
      <w:r w:rsidR="00F13AD2" w:rsidRPr="00DF5070">
        <w:rPr>
          <w:rFonts w:ascii="Times New Roman" w:hAnsi="Times New Roman"/>
          <w:sz w:val="24"/>
        </w:rPr>
        <w:t xml:space="preserve"> (2019) 291 IR 286 at 292</w:t>
      </w:r>
      <w:r w:rsidR="00F13AD2" w:rsidRPr="00DF5070">
        <w:rPr>
          <w:rFonts w:ascii="Times New Roman" w:hAnsi="Times New Roman"/>
          <w:sz w:val="24"/>
        </w:rPr>
        <w:noBreakHyphen/>
        <w:t>293</w:t>
      </w:r>
      <w:r w:rsidR="000A7120" w:rsidRPr="00DF5070">
        <w:rPr>
          <w:rFonts w:ascii="Times New Roman" w:hAnsi="Times New Roman"/>
          <w:sz w:val="24"/>
        </w:rPr>
        <w:t> </w:t>
      </w:r>
      <w:r w:rsidR="00F13AD2" w:rsidRPr="00DF5070">
        <w:rPr>
          <w:rFonts w:ascii="Times New Roman" w:hAnsi="Times New Roman"/>
          <w:sz w:val="24"/>
        </w:rPr>
        <w:t>[</w:t>
      </w:r>
      <w:proofErr w:type="gramStart"/>
      <w:r w:rsidR="00F13AD2" w:rsidRPr="00DF5070">
        <w:rPr>
          <w:rFonts w:ascii="Times New Roman" w:hAnsi="Times New Roman"/>
          <w:sz w:val="24"/>
        </w:rPr>
        <w:t>15]</w:t>
      </w:r>
      <w:r w:rsidR="00F13AD2" w:rsidRPr="00DF5070">
        <w:rPr>
          <w:rFonts w:ascii="Times New Roman" w:hAnsi="Times New Roman"/>
          <w:sz w:val="24"/>
        </w:rPr>
        <w:noBreakHyphen/>
      </w:r>
      <w:proofErr w:type="gramEnd"/>
      <w:r w:rsidR="00F13AD2" w:rsidRPr="00DF5070">
        <w:rPr>
          <w:rFonts w:ascii="Times New Roman" w:hAnsi="Times New Roman"/>
          <w:sz w:val="24"/>
        </w:rPr>
        <w:t>[16], [18].</w:t>
      </w:r>
    </w:p>
  </w:footnote>
  <w:footnote w:id="5">
    <w:p w14:paraId="63A05D9F" w14:textId="1E994C3E"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C00F37" w:rsidRPr="00DF5070">
        <w:rPr>
          <w:rFonts w:ascii="Times New Roman" w:hAnsi="Times New Roman"/>
          <w:i/>
          <w:sz w:val="24"/>
        </w:rPr>
        <w:t>ABCC</w:t>
      </w:r>
      <w:r w:rsidR="00716CD7" w:rsidRPr="00DF5070">
        <w:rPr>
          <w:rFonts w:ascii="Times New Roman" w:hAnsi="Times New Roman"/>
          <w:i/>
          <w:sz w:val="24"/>
        </w:rPr>
        <w:t xml:space="preserve"> v Pattinson </w:t>
      </w:r>
      <w:r w:rsidR="00716CD7" w:rsidRPr="00DF5070">
        <w:rPr>
          <w:rFonts w:ascii="Times New Roman" w:hAnsi="Times New Roman"/>
          <w:sz w:val="24"/>
        </w:rPr>
        <w:t xml:space="preserve">(2019) 291 IR 286 </w:t>
      </w:r>
      <w:r w:rsidRPr="00DF5070">
        <w:rPr>
          <w:rFonts w:ascii="Times New Roman" w:hAnsi="Times New Roman"/>
          <w:sz w:val="24"/>
        </w:rPr>
        <w:t>at 293 </w:t>
      </w:r>
      <w:r w:rsidR="00D45D4F" w:rsidRPr="00DF5070">
        <w:rPr>
          <w:rFonts w:ascii="Times New Roman" w:hAnsi="Times New Roman"/>
          <w:sz w:val="24"/>
        </w:rPr>
        <w:t xml:space="preserve">[17], </w:t>
      </w:r>
      <w:r w:rsidRPr="00DF5070">
        <w:rPr>
          <w:rFonts w:ascii="Times New Roman" w:hAnsi="Times New Roman"/>
          <w:sz w:val="24"/>
        </w:rPr>
        <w:t>[</w:t>
      </w:r>
      <w:proofErr w:type="gramStart"/>
      <w:r w:rsidRPr="00DF5070">
        <w:rPr>
          <w:rFonts w:ascii="Times New Roman" w:hAnsi="Times New Roman"/>
          <w:sz w:val="24"/>
        </w:rPr>
        <w:t>19]</w:t>
      </w:r>
      <w:r w:rsidR="00D45D4F" w:rsidRPr="00DF5070">
        <w:rPr>
          <w:rFonts w:ascii="Times New Roman" w:hAnsi="Times New Roman"/>
          <w:sz w:val="24"/>
        </w:rPr>
        <w:noBreakHyphen/>
      </w:r>
      <w:proofErr w:type="gramEnd"/>
      <w:r w:rsidR="00D45D4F" w:rsidRPr="00DF5070">
        <w:rPr>
          <w:rFonts w:ascii="Times New Roman" w:hAnsi="Times New Roman"/>
          <w:sz w:val="24"/>
        </w:rPr>
        <w:t>[20]</w:t>
      </w:r>
      <w:r w:rsidRPr="00DF5070">
        <w:rPr>
          <w:rFonts w:ascii="Times New Roman" w:hAnsi="Times New Roman"/>
          <w:sz w:val="24"/>
        </w:rPr>
        <w:t xml:space="preserve">; </w:t>
      </w:r>
      <w:r w:rsidR="00F521B3" w:rsidRPr="00DF5070">
        <w:rPr>
          <w:rFonts w:ascii="Times New Roman" w:hAnsi="Times New Roman"/>
          <w:i/>
          <w:sz w:val="24"/>
        </w:rPr>
        <w:t xml:space="preserve">Pattinson v </w:t>
      </w:r>
      <w:r w:rsidR="00C00F37" w:rsidRPr="00DF5070">
        <w:rPr>
          <w:rFonts w:ascii="Times New Roman" w:hAnsi="Times New Roman"/>
          <w:i/>
          <w:sz w:val="24"/>
        </w:rPr>
        <w:t>ABCC</w:t>
      </w:r>
      <w:r w:rsidR="00F521B3" w:rsidRPr="00DF5070">
        <w:rPr>
          <w:rFonts w:ascii="Times New Roman" w:hAnsi="Times New Roman"/>
          <w:i/>
          <w:sz w:val="24"/>
        </w:rPr>
        <w:t xml:space="preserve"> </w:t>
      </w:r>
      <w:r w:rsidR="00F521B3" w:rsidRPr="00DF5070">
        <w:rPr>
          <w:rFonts w:ascii="Times New Roman" w:hAnsi="Times New Roman"/>
          <w:sz w:val="24"/>
        </w:rPr>
        <w:t xml:space="preserve">(2020) 282 FCR 580 </w:t>
      </w:r>
      <w:r w:rsidRPr="00DF5070">
        <w:rPr>
          <w:rFonts w:ascii="Times New Roman" w:hAnsi="Times New Roman"/>
          <w:sz w:val="24"/>
        </w:rPr>
        <w:t>at 588 [13]</w:t>
      </w:r>
      <w:r w:rsidRPr="00DF5070">
        <w:rPr>
          <w:rFonts w:ascii="Times New Roman" w:hAnsi="Times New Roman"/>
          <w:sz w:val="24"/>
        </w:rPr>
        <w:noBreakHyphen/>
        <w:t>[14].</w:t>
      </w:r>
    </w:p>
  </w:footnote>
  <w:footnote w:id="6">
    <w:p w14:paraId="3AD56324" w14:textId="4ED1007B" w:rsidR="00D35067" w:rsidRPr="00DF5070" w:rsidRDefault="00D35067"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B84871" w:rsidRPr="00DF5070">
        <w:rPr>
          <w:rFonts w:ascii="Times New Roman" w:hAnsi="Times New Roman"/>
          <w:i/>
          <w:iCs/>
          <w:sz w:val="24"/>
        </w:rPr>
        <w:t xml:space="preserve">ABCC v Pattinson </w:t>
      </w:r>
      <w:r w:rsidR="00B84871" w:rsidRPr="00DF5070">
        <w:rPr>
          <w:rFonts w:ascii="Times New Roman" w:hAnsi="Times New Roman"/>
          <w:sz w:val="24"/>
        </w:rPr>
        <w:t>(2019</w:t>
      </w:r>
      <w:r w:rsidR="00D45D4F" w:rsidRPr="00DF5070">
        <w:rPr>
          <w:rFonts w:ascii="Times New Roman" w:hAnsi="Times New Roman"/>
          <w:sz w:val="24"/>
        </w:rPr>
        <w:t>)</w:t>
      </w:r>
      <w:r w:rsidR="00B84871" w:rsidRPr="00DF5070">
        <w:rPr>
          <w:rFonts w:ascii="Times New Roman" w:hAnsi="Times New Roman"/>
          <w:sz w:val="24"/>
        </w:rPr>
        <w:t xml:space="preserve"> 291 IR 286 at </w:t>
      </w:r>
      <w:r w:rsidR="00D45D4F" w:rsidRPr="00DF5070">
        <w:rPr>
          <w:rFonts w:ascii="Times New Roman" w:hAnsi="Times New Roman"/>
          <w:sz w:val="24"/>
        </w:rPr>
        <w:t>316</w:t>
      </w:r>
      <w:r w:rsidR="00D45D4F" w:rsidRPr="00DF5070">
        <w:rPr>
          <w:rFonts w:ascii="Times New Roman" w:hAnsi="Times New Roman"/>
          <w:sz w:val="24"/>
        </w:rPr>
        <w:noBreakHyphen/>
        <w:t>317 </w:t>
      </w:r>
      <w:r w:rsidR="00B84871" w:rsidRPr="00DF5070">
        <w:rPr>
          <w:rFonts w:ascii="Times New Roman" w:hAnsi="Times New Roman"/>
          <w:sz w:val="24"/>
        </w:rPr>
        <w:t>[</w:t>
      </w:r>
      <w:proofErr w:type="gramStart"/>
      <w:r w:rsidR="00B84871" w:rsidRPr="00DF5070">
        <w:rPr>
          <w:rFonts w:ascii="Times New Roman" w:hAnsi="Times New Roman"/>
          <w:sz w:val="24"/>
        </w:rPr>
        <w:t>115]</w:t>
      </w:r>
      <w:r w:rsidR="00D45D4F" w:rsidRPr="00DF5070">
        <w:rPr>
          <w:rFonts w:ascii="Times New Roman" w:hAnsi="Times New Roman"/>
          <w:sz w:val="24"/>
        </w:rPr>
        <w:noBreakHyphen/>
      </w:r>
      <w:proofErr w:type="gramEnd"/>
      <w:r w:rsidR="00D45D4F" w:rsidRPr="00DF5070">
        <w:rPr>
          <w:rFonts w:ascii="Times New Roman" w:hAnsi="Times New Roman"/>
          <w:sz w:val="24"/>
        </w:rPr>
        <w:t>[118]</w:t>
      </w:r>
      <w:r w:rsidR="006757C9" w:rsidRPr="00DF5070">
        <w:rPr>
          <w:rFonts w:ascii="Times New Roman" w:hAnsi="Times New Roman"/>
          <w:sz w:val="24"/>
        </w:rPr>
        <w:t>, 319 [128]</w:t>
      </w:r>
      <w:r w:rsidR="00B84871" w:rsidRPr="00DF5070">
        <w:rPr>
          <w:rFonts w:ascii="Times New Roman" w:hAnsi="Times New Roman"/>
          <w:sz w:val="24"/>
        </w:rPr>
        <w:t>.</w:t>
      </w:r>
    </w:p>
  </w:footnote>
  <w:footnote w:id="7">
    <w:p w14:paraId="474DCAA8" w14:textId="1B83726C" w:rsidR="00D45D4F" w:rsidRPr="00DF5070" w:rsidRDefault="00D45D4F"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 xml:space="preserve">(2020) 282 FCR 580 at </w:t>
      </w:r>
      <w:r w:rsidR="00FF538C" w:rsidRPr="00DF5070">
        <w:rPr>
          <w:rFonts w:ascii="Times New Roman" w:hAnsi="Times New Roman"/>
          <w:sz w:val="24"/>
        </w:rPr>
        <w:t>636</w:t>
      </w:r>
      <w:r w:rsidR="00FF538C" w:rsidRPr="00DF5070">
        <w:rPr>
          <w:rFonts w:ascii="Times New Roman" w:hAnsi="Times New Roman"/>
          <w:sz w:val="24"/>
        </w:rPr>
        <w:noBreakHyphen/>
        <w:t>637 [</w:t>
      </w:r>
      <w:proofErr w:type="gramStart"/>
      <w:r w:rsidR="00FF538C" w:rsidRPr="00DF5070">
        <w:rPr>
          <w:rFonts w:ascii="Times New Roman" w:hAnsi="Times New Roman"/>
          <w:sz w:val="24"/>
        </w:rPr>
        <w:t>160]</w:t>
      </w:r>
      <w:r w:rsidR="00FF538C" w:rsidRPr="00DF5070">
        <w:rPr>
          <w:rFonts w:ascii="Times New Roman" w:hAnsi="Times New Roman"/>
          <w:sz w:val="24"/>
        </w:rPr>
        <w:noBreakHyphen/>
      </w:r>
      <w:proofErr w:type="gramEnd"/>
      <w:r w:rsidR="00FF538C" w:rsidRPr="00DF5070">
        <w:rPr>
          <w:rFonts w:ascii="Times New Roman" w:hAnsi="Times New Roman"/>
          <w:sz w:val="24"/>
        </w:rPr>
        <w:t>[162], 642</w:t>
      </w:r>
      <w:r w:rsidR="00FF538C" w:rsidRPr="00DF5070">
        <w:rPr>
          <w:rFonts w:ascii="Times New Roman" w:hAnsi="Times New Roman"/>
          <w:sz w:val="24"/>
        </w:rPr>
        <w:noBreakHyphen/>
        <w:t>643 [180]</w:t>
      </w:r>
      <w:r w:rsidR="00FF538C" w:rsidRPr="00DF5070">
        <w:rPr>
          <w:rFonts w:ascii="Times New Roman" w:hAnsi="Times New Roman"/>
          <w:sz w:val="24"/>
        </w:rPr>
        <w:noBreakHyphen/>
        <w:t>[181], 655 [227], 656</w:t>
      </w:r>
      <w:r w:rsidR="00FF538C" w:rsidRPr="00DF5070">
        <w:rPr>
          <w:rFonts w:ascii="Times New Roman" w:hAnsi="Times New Roman"/>
          <w:sz w:val="24"/>
        </w:rPr>
        <w:noBreakHyphen/>
        <w:t>657 [231].</w:t>
      </w:r>
    </w:p>
  </w:footnote>
  <w:footnote w:id="8">
    <w:p w14:paraId="6FE90513" w14:textId="02A9F532" w:rsidR="004D53C4" w:rsidRPr="00DF5070" w:rsidRDefault="004D53C4"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(2020) 282 FCR 580 at 636</w:t>
      </w:r>
      <w:r w:rsidRPr="00DF5070">
        <w:rPr>
          <w:rFonts w:ascii="Times New Roman" w:hAnsi="Times New Roman"/>
          <w:sz w:val="24"/>
        </w:rPr>
        <w:noBreakHyphen/>
        <w:t>637 [</w:t>
      </w:r>
      <w:proofErr w:type="gramStart"/>
      <w:r w:rsidRPr="00DF5070">
        <w:rPr>
          <w:rFonts w:ascii="Times New Roman" w:hAnsi="Times New Roman"/>
          <w:sz w:val="24"/>
        </w:rPr>
        <w:t>160]</w:t>
      </w:r>
      <w:r w:rsidRPr="00DF5070">
        <w:rPr>
          <w:rFonts w:ascii="Times New Roman" w:hAnsi="Times New Roman"/>
          <w:sz w:val="24"/>
        </w:rPr>
        <w:noBreakHyphen/>
      </w:r>
      <w:proofErr w:type="gramEnd"/>
      <w:r w:rsidRPr="00DF5070">
        <w:rPr>
          <w:rFonts w:ascii="Times New Roman" w:hAnsi="Times New Roman"/>
          <w:sz w:val="24"/>
        </w:rPr>
        <w:t>[162], 642</w:t>
      </w:r>
      <w:r w:rsidRPr="00DF5070">
        <w:rPr>
          <w:rFonts w:ascii="Times New Roman" w:hAnsi="Times New Roman"/>
          <w:sz w:val="24"/>
        </w:rPr>
        <w:noBreakHyphen/>
        <w:t>643 [180]</w:t>
      </w:r>
      <w:r w:rsidRPr="00DF5070">
        <w:rPr>
          <w:rFonts w:ascii="Times New Roman" w:hAnsi="Times New Roman"/>
          <w:sz w:val="24"/>
        </w:rPr>
        <w:noBreakHyphen/>
        <w:t>[181].</w:t>
      </w:r>
    </w:p>
  </w:footnote>
  <w:footnote w:id="9">
    <w:p w14:paraId="36DCB868" w14:textId="423BE1E2" w:rsidR="004D53C4" w:rsidRPr="00DF5070" w:rsidRDefault="004D53C4"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 xml:space="preserve">(2020) 282 FCR 580 at </w:t>
      </w:r>
      <w:r w:rsidR="007A007C" w:rsidRPr="00DF5070">
        <w:rPr>
          <w:rFonts w:ascii="Times New Roman" w:hAnsi="Times New Roman"/>
          <w:sz w:val="24"/>
        </w:rPr>
        <w:t xml:space="preserve">652 [211], </w:t>
      </w:r>
      <w:r w:rsidR="00333C74" w:rsidRPr="00DF5070">
        <w:rPr>
          <w:rFonts w:ascii="Times New Roman" w:hAnsi="Times New Roman"/>
          <w:sz w:val="24"/>
        </w:rPr>
        <w:t>653</w:t>
      </w:r>
      <w:r w:rsidR="00333C74" w:rsidRPr="00DF5070">
        <w:rPr>
          <w:rFonts w:ascii="Times New Roman" w:hAnsi="Times New Roman"/>
          <w:sz w:val="24"/>
        </w:rPr>
        <w:noBreakHyphen/>
      </w:r>
      <w:r w:rsidRPr="00DF5070">
        <w:rPr>
          <w:rFonts w:ascii="Times New Roman" w:hAnsi="Times New Roman"/>
          <w:sz w:val="24"/>
        </w:rPr>
        <w:t xml:space="preserve">654 [219], </w:t>
      </w:r>
      <w:r w:rsidR="00B35441" w:rsidRPr="00DF5070">
        <w:rPr>
          <w:rFonts w:ascii="Times New Roman" w:hAnsi="Times New Roman"/>
          <w:sz w:val="24"/>
        </w:rPr>
        <w:t>654</w:t>
      </w:r>
      <w:r w:rsidR="00B35441" w:rsidRPr="00DF5070">
        <w:rPr>
          <w:rFonts w:ascii="Times New Roman" w:hAnsi="Times New Roman"/>
          <w:sz w:val="24"/>
        </w:rPr>
        <w:noBreakHyphen/>
      </w:r>
      <w:r w:rsidRPr="00DF5070">
        <w:rPr>
          <w:rFonts w:ascii="Times New Roman" w:hAnsi="Times New Roman"/>
          <w:sz w:val="24"/>
        </w:rPr>
        <w:t>655 [222]</w:t>
      </w:r>
      <w:r w:rsidR="007A007C" w:rsidRPr="00DF5070">
        <w:rPr>
          <w:rFonts w:ascii="Times New Roman" w:hAnsi="Times New Roman"/>
          <w:sz w:val="24"/>
        </w:rPr>
        <w:t>.</w:t>
      </w:r>
    </w:p>
  </w:footnote>
  <w:footnote w:id="10">
    <w:p w14:paraId="00616CF1" w14:textId="047AE14E" w:rsidR="00C66DFC" w:rsidRPr="00DF5070" w:rsidRDefault="00C66DFC"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84598" w:rsidRPr="00DF5070">
        <w:rPr>
          <w:rFonts w:ascii="Times New Roman" w:hAnsi="Times New Roman"/>
          <w:i/>
          <w:iCs/>
          <w:sz w:val="24"/>
        </w:rPr>
        <w:t>A</w:t>
      </w:r>
      <w:r w:rsidR="008F4C2D" w:rsidRPr="00DF5070">
        <w:rPr>
          <w:rFonts w:ascii="Times New Roman" w:hAnsi="Times New Roman"/>
          <w:i/>
          <w:iCs/>
          <w:sz w:val="24"/>
        </w:rPr>
        <w:t xml:space="preserve">ustralian </w:t>
      </w:r>
      <w:r w:rsidR="00884598" w:rsidRPr="00DF5070">
        <w:rPr>
          <w:rFonts w:ascii="Times New Roman" w:hAnsi="Times New Roman"/>
          <w:i/>
          <w:iCs/>
          <w:sz w:val="24"/>
        </w:rPr>
        <w:t>C</w:t>
      </w:r>
      <w:r w:rsidR="008F4C2D" w:rsidRPr="00DF5070">
        <w:rPr>
          <w:rFonts w:ascii="Times New Roman" w:hAnsi="Times New Roman"/>
          <w:i/>
          <w:iCs/>
          <w:sz w:val="24"/>
        </w:rPr>
        <w:t xml:space="preserve">ompetition and </w:t>
      </w:r>
      <w:r w:rsidR="00884598" w:rsidRPr="00DF5070">
        <w:rPr>
          <w:rFonts w:ascii="Times New Roman" w:hAnsi="Times New Roman"/>
          <w:i/>
          <w:iCs/>
          <w:sz w:val="24"/>
        </w:rPr>
        <w:t>C</w:t>
      </w:r>
      <w:r w:rsidR="008F4C2D" w:rsidRPr="00DF5070">
        <w:rPr>
          <w:rFonts w:ascii="Times New Roman" w:hAnsi="Times New Roman"/>
          <w:i/>
          <w:iCs/>
          <w:sz w:val="24"/>
        </w:rPr>
        <w:t xml:space="preserve">onsumer </w:t>
      </w:r>
      <w:r w:rsidR="00884598" w:rsidRPr="00DF5070">
        <w:rPr>
          <w:rFonts w:ascii="Times New Roman" w:hAnsi="Times New Roman"/>
          <w:i/>
          <w:iCs/>
          <w:sz w:val="24"/>
        </w:rPr>
        <w:t>C</w:t>
      </w:r>
      <w:r w:rsidR="008F4C2D" w:rsidRPr="00DF5070">
        <w:rPr>
          <w:rFonts w:ascii="Times New Roman" w:hAnsi="Times New Roman"/>
          <w:i/>
          <w:iCs/>
          <w:sz w:val="24"/>
        </w:rPr>
        <w:t>ommission</w:t>
      </w:r>
      <w:r w:rsidR="00884598" w:rsidRPr="00DF5070">
        <w:rPr>
          <w:rFonts w:ascii="Times New Roman" w:hAnsi="Times New Roman"/>
          <w:i/>
          <w:iCs/>
          <w:sz w:val="24"/>
        </w:rPr>
        <w:t xml:space="preserve"> v Recki</w:t>
      </w:r>
      <w:r w:rsidR="006E7685" w:rsidRPr="00DF5070">
        <w:rPr>
          <w:rFonts w:ascii="Times New Roman" w:hAnsi="Times New Roman"/>
          <w:i/>
          <w:iCs/>
          <w:sz w:val="24"/>
        </w:rPr>
        <w:t>tt Benckiser (Australia) Pty Ltd</w:t>
      </w:r>
      <w:r w:rsidR="006E7685" w:rsidRPr="00DF5070">
        <w:rPr>
          <w:rFonts w:ascii="Times New Roman" w:hAnsi="Times New Roman"/>
          <w:sz w:val="24"/>
        </w:rPr>
        <w:t xml:space="preserve"> (2016) 340</w:t>
      </w:r>
      <w:r w:rsidR="00A3501B" w:rsidRPr="00DF5070">
        <w:rPr>
          <w:rFonts w:ascii="Times New Roman" w:hAnsi="Times New Roman"/>
          <w:sz w:val="24"/>
        </w:rPr>
        <w:t xml:space="preserve"> </w:t>
      </w:r>
      <w:r w:rsidR="006E7685" w:rsidRPr="00DF5070">
        <w:rPr>
          <w:rFonts w:ascii="Times New Roman" w:hAnsi="Times New Roman"/>
          <w:sz w:val="24"/>
        </w:rPr>
        <w:t>ALR</w:t>
      </w:r>
      <w:r w:rsidR="00A3501B" w:rsidRPr="00DF5070">
        <w:rPr>
          <w:rFonts w:ascii="Times New Roman" w:hAnsi="Times New Roman"/>
          <w:sz w:val="24"/>
        </w:rPr>
        <w:t xml:space="preserve"> </w:t>
      </w:r>
      <w:r w:rsidR="008F4C2D" w:rsidRPr="00DF5070">
        <w:rPr>
          <w:rFonts w:ascii="Times New Roman" w:hAnsi="Times New Roman"/>
          <w:sz w:val="24"/>
        </w:rPr>
        <w:t xml:space="preserve">25 </w:t>
      </w:r>
      <w:r w:rsidR="00A3501B" w:rsidRPr="00DF5070">
        <w:rPr>
          <w:rFonts w:ascii="Times New Roman" w:hAnsi="Times New Roman"/>
          <w:sz w:val="24"/>
        </w:rPr>
        <w:t>at</w:t>
      </w:r>
      <w:r w:rsidR="00E935C8" w:rsidRPr="00DF5070">
        <w:rPr>
          <w:rFonts w:ascii="Times New Roman" w:hAnsi="Times New Roman"/>
          <w:sz w:val="24"/>
        </w:rPr>
        <w:t> </w:t>
      </w:r>
      <w:r w:rsidR="008F4C2D" w:rsidRPr="00DF5070">
        <w:rPr>
          <w:rFonts w:ascii="Times New Roman" w:hAnsi="Times New Roman"/>
          <w:sz w:val="24"/>
        </w:rPr>
        <w:t>63 </w:t>
      </w:r>
      <w:r w:rsidR="00A3501B" w:rsidRPr="00DF5070">
        <w:rPr>
          <w:rFonts w:ascii="Times New Roman" w:hAnsi="Times New Roman"/>
          <w:sz w:val="24"/>
        </w:rPr>
        <w:t>[156].</w:t>
      </w:r>
    </w:p>
  </w:footnote>
  <w:footnote w:id="11">
    <w:p w14:paraId="1AF5E4E3" w14:textId="719BAEF6" w:rsidR="00E935C8" w:rsidRPr="00DF5070" w:rsidRDefault="00E935C8"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iCs/>
          <w:sz w:val="24"/>
        </w:rPr>
        <w:t>NW Frozen Foods Pty Ltd v A</w:t>
      </w:r>
      <w:r w:rsidR="000924CB" w:rsidRPr="00DF5070">
        <w:rPr>
          <w:rFonts w:ascii="Times New Roman" w:hAnsi="Times New Roman"/>
          <w:i/>
          <w:iCs/>
          <w:sz w:val="24"/>
        </w:rPr>
        <w:t xml:space="preserve">ustralian </w:t>
      </w:r>
      <w:r w:rsidRPr="00DF5070">
        <w:rPr>
          <w:rFonts w:ascii="Times New Roman" w:hAnsi="Times New Roman"/>
          <w:i/>
          <w:iCs/>
          <w:sz w:val="24"/>
        </w:rPr>
        <w:t>C</w:t>
      </w:r>
      <w:r w:rsidR="000924CB" w:rsidRPr="00DF5070">
        <w:rPr>
          <w:rFonts w:ascii="Times New Roman" w:hAnsi="Times New Roman"/>
          <w:i/>
          <w:iCs/>
          <w:sz w:val="24"/>
        </w:rPr>
        <w:t xml:space="preserve">ompetition and </w:t>
      </w:r>
      <w:r w:rsidRPr="00DF5070">
        <w:rPr>
          <w:rFonts w:ascii="Times New Roman" w:hAnsi="Times New Roman"/>
          <w:i/>
          <w:iCs/>
          <w:sz w:val="24"/>
        </w:rPr>
        <w:t>C</w:t>
      </w:r>
      <w:r w:rsidR="000924CB" w:rsidRPr="00DF5070">
        <w:rPr>
          <w:rFonts w:ascii="Times New Roman" w:hAnsi="Times New Roman"/>
          <w:i/>
          <w:iCs/>
          <w:sz w:val="24"/>
        </w:rPr>
        <w:t xml:space="preserve">onsumer </w:t>
      </w:r>
      <w:r w:rsidRPr="00DF5070">
        <w:rPr>
          <w:rFonts w:ascii="Times New Roman" w:hAnsi="Times New Roman"/>
          <w:i/>
          <w:iCs/>
          <w:sz w:val="24"/>
        </w:rPr>
        <w:t>C</w:t>
      </w:r>
      <w:r w:rsidR="000924CB" w:rsidRPr="00DF5070">
        <w:rPr>
          <w:rFonts w:ascii="Times New Roman" w:hAnsi="Times New Roman"/>
          <w:i/>
          <w:iCs/>
          <w:sz w:val="24"/>
        </w:rPr>
        <w:t>ommission</w:t>
      </w:r>
      <w:r w:rsidRPr="00DF5070">
        <w:rPr>
          <w:rFonts w:ascii="Times New Roman" w:hAnsi="Times New Roman"/>
          <w:sz w:val="24"/>
        </w:rPr>
        <w:t xml:space="preserve"> (1996) 71 FCR 285 at 293.</w:t>
      </w:r>
    </w:p>
  </w:footnote>
  <w:footnote w:id="12">
    <w:p w14:paraId="5CC290AE" w14:textId="59C84A94" w:rsidR="00DC4208" w:rsidRPr="00DF5070" w:rsidRDefault="00DC4208"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See s 546(2) of the Act.</w:t>
      </w:r>
    </w:p>
  </w:footnote>
  <w:footnote w:id="13">
    <w:p w14:paraId="6FA46A7B" w14:textId="543AE773"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s 4</w:t>
      </w:r>
      <w:proofErr w:type="gramStart"/>
      <w:r w:rsidRPr="00DF5070">
        <w:rPr>
          <w:rFonts w:ascii="Times New Roman" w:hAnsi="Times New Roman"/>
          <w:sz w:val="24"/>
        </w:rPr>
        <w:t>AA(</w:t>
      </w:r>
      <w:proofErr w:type="gramEnd"/>
      <w:r w:rsidRPr="00DF5070">
        <w:rPr>
          <w:rFonts w:ascii="Times New Roman" w:hAnsi="Times New Roman"/>
          <w:sz w:val="24"/>
        </w:rPr>
        <w:t xml:space="preserve">1) of the </w:t>
      </w:r>
      <w:r w:rsidRPr="00DF5070">
        <w:rPr>
          <w:rFonts w:ascii="Times New Roman" w:hAnsi="Times New Roman"/>
          <w:i/>
          <w:sz w:val="24"/>
        </w:rPr>
        <w:t xml:space="preserve">Crimes Act 1914 </w:t>
      </w:r>
      <w:r w:rsidRPr="00DF5070">
        <w:rPr>
          <w:rFonts w:ascii="Times New Roman" w:hAnsi="Times New Roman"/>
          <w:sz w:val="24"/>
        </w:rPr>
        <w:t>(</w:t>
      </w:r>
      <w:proofErr w:type="spellStart"/>
      <w:r w:rsidRPr="00DF5070">
        <w:rPr>
          <w:rFonts w:ascii="Times New Roman" w:hAnsi="Times New Roman"/>
          <w:sz w:val="24"/>
        </w:rPr>
        <w:t>Cth</w:t>
      </w:r>
      <w:proofErr w:type="spellEnd"/>
      <w:r w:rsidRPr="00DF5070">
        <w:rPr>
          <w:rFonts w:ascii="Times New Roman" w:hAnsi="Times New Roman"/>
          <w:sz w:val="24"/>
        </w:rPr>
        <w:t>).</w:t>
      </w:r>
    </w:p>
  </w:footnote>
  <w:footnote w:id="14">
    <w:p w14:paraId="48831EC0" w14:textId="77777777" w:rsidR="00891F29" w:rsidRPr="00DF5070" w:rsidRDefault="00891F29"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(2015) 258 CLR 482 at 495 [24].</w:t>
      </w:r>
    </w:p>
  </w:footnote>
  <w:footnote w:id="15">
    <w:p w14:paraId="53384574" w14:textId="3FBC29CD"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Agreed Penalties Case </w:t>
      </w:r>
      <w:r w:rsidRPr="00DF5070">
        <w:rPr>
          <w:rFonts w:ascii="Times New Roman" w:hAnsi="Times New Roman"/>
          <w:sz w:val="24"/>
        </w:rPr>
        <w:t>(2015) 258 CLR 482 at 505 [51]. See 505</w:t>
      </w:r>
      <w:r w:rsidRPr="00DF5070">
        <w:rPr>
          <w:rFonts w:ascii="Times New Roman" w:hAnsi="Times New Roman"/>
          <w:sz w:val="24"/>
        </w:rPr>
        <w:noBreakHyphen/>
        <w:t>507 [</w:t>
      </w:r>
      <w:proofErr w:type="gramStart"/>
      <w:r w:rsidRPr="00DF5070">
        <w:rPr>
          <w:rFonts w:ascii="Times New Roman" w:hAnsi="Times New Roman"/>
          <w:sz w:val="24"/>
        </w:rPr>
        <w:t>52]</w:t>
      </w:r>
      <w:r w:rsidRPr="00DF5070">
        <w:rPr>
          <w:rFonts w:ascii="Times New Roman" w:hAnsi="Times New Roman"/>
          <w:sz w:val="24"/>
        </w:rPr>
        <w:noBreakHyphen/>
      </w:r>
      <w:proofErr w:type="gramEnd"/>
      <w:r w:rsidRPr="00DF5070">
        <w:rPr>
          <w:rFonts w:ascii="Times New Roman" w:hAnsi="Times New Roman"/>
          <w:sz w:val="24"/>
        </w:rPr>
        <w:t>[57].</w:t>
      </w:r>
    </w:p>
  </w:footnote>
  <w:footnote w:id="16">
    <w:p w14:paraId="7A6DCC9C" w14:textId="557B9EE1" w:rsidR="0007773B" w:rsidRPr="00DF5070" w:rsidRDefault="0007773B"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s 549</w:t>
      </w:r>
      <w:r w:rsidR="006910C5" w:rsidRPr="00DF5070">
        <w:rPr>
          <w:rFonts w:ascii="Times New Roman" w:hAnsi="Times New Roman"/>
          <w:sz w:val="24"/>
        </w:rPr>
        <w:t xml:space="preserve"> of the Act</w:t>
      </w:r>
      <w:r w:rsidRPr="00DF5070">
        <w:rPr>
          <w:rFonts w:ascii="Times New Roman" w:hAnsi="Times New Roman"/>
          <w:sz w:val="24"/>
        </w:rPr>
        <w:t>.</w:t>
      </w:r>
    </w:p>
  </w:footnote>
  <w:footnote w:id="17">
    <w:p w14:paraId="614F8617" w14:textId="27180826" w:rsidR="0007773B" w:rsidRPr="00DF5070" w:rsidRDefault="0007773B"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s 551</w:t>
      </w:r>
      <w:r w:rsidR="006910C5" w:rsidRPr="00DF5070">
        <w:rPr>
          <w:rFonts w:ascii="Times New Roman" w:hAnsi="Times New Roman"/>
          <w:sz w:val="24"/>
        </w:rPr>
        <w:t xml:space="preserve"> of the Act</w:t>
      </w:r>
      <w:r w:rsidRPr="00DF5070">
        <w:rPr>
          <w:rFonts w:ascii="Times New Roman" w:hAnsi="Times New Roman"/>
          <w:sz w:val="24"/>
        </w:rPr>
        <w:t>.</w:t>
      </w:r>
    </w:p>
  </w:footnote>
  <w:footnote w:id="18">
    <w:p w14:paraId="42D7FF4A" w14:textId="15B29301" w:rsidR="0007773B" w:rsidRPr="00DF5070" w:rsidRDefault="0007773B"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s 552</w:t>
      </w:r>
      <w:r w:rsidR="006910C5" w:rsidRPr="00DF5070">
        <w:rPr>
          <w:rFonts w:ascii="Times New Roman" w:hAnsi="Times New Roman"/>
          <w:sz w:val="24"/>
        </w:rPr>
        <w:t xml:space="preserve"> of the Act</w:t>
      </w:r>
      <w:r w:rsidRPr="00DF5070">
        <w:rPr>
          <w:rFonts w:ascii="Times New Roman" w:hAnsi="Times New Roman"/>
          <w:sz w:val="24"/>
        </w:rPr>
        <w:t>.</w:t>
      </w:r>
    </w:p>
  </w:footnote>
  <w:footnote w:id="19">
    <w:p w14:paraId="579437B0" w14:textId="3D45EECF" w:rsidR="009813D5" w:rsidRPr="00DF5070" w:rsidRDefault="009813D5"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(2015) 258 CLR 482 at 506 [55].</w:t>
      </w:r>
    </w:p>
  </w:footnote>
  <w:footnote w:id="20">
    <w:p w14:paraId="38A345F4" w14:textId="33626BA3"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Gapes v Commercial Bank of Australia</w:t>
      </w:r>
      <w:r w:rsidRPr="00DF5070">
        <w:rPr>
          <w:rFonts w:ascii="Times New Roman" w:hAnsi="Times New Roman"/>
          <w:sz w:val="24"/>
        </w:rPr>
        <w:t xml:space="preserve"> </w:t>
      </w:r>
      <w:r w:rsidR="000678BD" w:rsidRPr="00DF5070">
        <w:rPr>
          <w:rFonts w:ascii="Times New Roman" w:hAnsi="Times New Roman"/>
          <w:i/>
          <w:sz w:val="24"/>
        </w:rPr>
        <w:t>Ltd</w:t>
      </w:r>
      <w:r w:rsidR="000678BD" w:rsidRPr="00DF5070">
        <w:rPr>
          <w:rFonts w:ascii="Times New Roman" w:hAnsi="Times New Roman"/>
          <w:sz w:val="24"/>
        </w:rPr>
        <w:t xml:space="preserve"> </w:t>
      </w:r>
      <w:r w:rsidRPr="00DF5070">
        <w:rPr>
          <w:rFonts w:ascii="Times New Roman" w:hAnsi="Times New Roman"/>
          <w:sz w:val="24"/>
        </w:rPr>
        <w:t xml:space="preserve">(1979) 27 ALR 87 at 90; </w:t>
      </w:r>
      <w:proofErr w:type="spellStart"/>
      <w:r w:rsidRPr="00DF5070">
        <w:rPr>
          <w:rFonts w:ascii="Times New Roman" w:hAnsi="Times New Roman"/>
          <w:sz w:val="24"/>
        </w:rPr>
        <w:t>cf</w:t>
      </w:r>
      <w:proofErr w:type="spellEnd"/>
      <w:r w:rsidRPr="00DF5070">
        <w:rPr>
          <w:rFonts w:ascii="Times New Roman" w:hAnsi="Times New Roman"/>
          <w:sz w:val="24"/>
        </w:rPr>
        <w:t xml:space="preserve"> </w:t>
      </w:r>
      <w:r w:rsidRPr="00DF5070">
        <w:rPr>
          <w:rFonts w:ascii="Times New Roman" w:hAnsi="Times New Roman"/>
          <w:i/>
          <w:sz w:val="24"/>
        </w:rPr>
        <w:t>Australian Securities and Investments Commission v Ingleby</w:t>
      </w:r>
      <w:r w:rsidRPr="00DF5070">
        <w:rPr>
          <w:rFonts w:ascii="Times New Roman" w:hAnsi="Times New Roman"/>
          <w:sz w:val="24"/>
        </w:rPr>
        <w:t xml:space="preserve"> (2013) 39 VR 554 at 565</w:t>
      </w:r>
      <w:r w:rsidR="00D57C29" w:rsidRPr="00DF5070">
        <w:rPr>
          <w:rFonts w:ascii="Times New Roman" w:hAnsi="Times New Roman"/>
          <w:sz w:val="24"/>
        </w:rPr>
        <w:t> </w:t>
      </w:r>
      <w:r w:rsidRPr="00DF5070">
        <w:rPr>
          <w:rFonts w:ascii="Times New Roman" w:hAnsi="Times New Roman"/>
          <w:sz w:val="24"/>
        </w:rPr>
        <w:t>[44].</w:t>
      </w:r>
    </w:p>
  </w:footnote>
  <w:footnote w:id="21">
    <w:p w14:paraId="77B3F88F" w14:textId="56CA745C"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[1991] ATPR ¶41-076 at 52,152; </w:t>
      </w:r>
      <w:proofErr w:type="spellStart"/>
      <w:r w:rsidRPr="00DF5070">
        <w:rPr>
          <w:rFonts w:ascii="Times New Roman" w:hAnsi="Times New Roman"/>
          <w:sz w:val="24"/>
        </w:rPr>
        <w:t>cf</w:t>
      </w:r>
      <w:proofErr w:type="spellEnd"/>
      <w:r w:rsidRPr="00DF5070">
        <w:rPr>
          <w:rFonts w:ascii="Times New Roman" w:hAnsi="Times New Roman"/>
          <w:sz w:val="24"/>
        </w:rPr>
        <w:t xml:space="preserve"> </w:t>
      </w:r>
      <w:r w:rsidRPr="00DF5070">
        <w:rPr>
          <w:rFonts w:ascii="Times New Roman" w:hAnsi="Times New Roman"/>
          <w:i/>
          <w:sz w:val="24"/>
        </w:rPr>
        <w:t xml:space="preserve">Director, Fair Work Building Industry Inspectorate v Construction, Forestry, Mining and Energy Union </w:t>
      </w:r>
      <w:r w:rsidRPr="00DF5070">
        <w:rPr>
          <w:rFonts w:ascii="Times New Roman" w:hAnsi="Times New Roman"/>
          <w:sz w:val="24"/>
        </w:rPr>
        <w:t>(2015) 229 FCR 331 at 357-358</w:t>
      </w:r>
      <w:r w:rsidR="00D57C29" w:rsidRPr="00DF5070">
        <w:rPr>
          <w:rFonts w:ascii="Times New Roman" w:hAnsi="Times New Roman"/>
          <w:sz w:val="24"/>
        </w:rPr>
        <w:t> </w:t>
      </w:r>
      <w:r w:rsidRPr="00DF5070">
        <w:rPr>
          <w:rFonts w:ascii="Times New Roman" w:hAnsi="Times New Roman"/>
          <w:sz w:val="24"/>
        </w:rPr>
        <w:t>[65]-[67].</w:t>
      </w:r>
    </w:p>
  </w:footnote>
  <w:footnote w:id="22">
    <w:p w14:paraId="1933F525" w14:textId="77E038E4"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(2018) 264 FCR 155 at </w:t>
      </w:r>
      <w:r w:rsidR="00130C3C" w:rsidRPr="00DF5070">
        <w:rPr>
          <w:rFonts w:ascii="Times New Roman" w:hAnsi="Times New Roman"/>
          <w:sz w:val="24"/>
        </w:rPr>
        <w:t>167 </w:t>
      </w:r>
      <w:r w:rsidRPr="00DF5070">
        <w:rPr>
          <w:rFonts w:ascii="Times New Roman" w:hAnsi="Times New Roman"/>
          <w:sz w:val="24"/>
        </w:rPr>
        <w:t>[19].</w:t>
      </w:r>
    </w:p>
  </w:footnote>
  <w:footnote w:id="23">
    <w:p w14:paraId="620397C6" w14:textId="0B2A5526" w:rsidR="002B43CF" w:rsidRPr="00DF5070" w:rsidRDefault="002B43CF"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[1991] ATPR ¶41-076.</w:t>
      </w:r>
    </w:p>
  </w:footnote>
  <w:footnote w:id="24">
    <w:p w14:paraId="186DD20C" w14:textId="77777777" w:rsidR="00D61B5D" w:rsidRPr="00DF5070" w:rsidRDefault="00D61B5D"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(2013) 250 CLR 640 at 659 [66].</w:t>
      </w:r>
    </w:p>
  </w:footnote>
  <w:footnote w:id="25">
    <w:p w14:paraId="481FCA0F" w14:textId="5CE9B8EB" w:rsidR="00D61B5D" w:rsidRPr="00DF5070" w:rsidRDefault="00D61B5D"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(2012) 287 ALR 249 at 265 [62].</w:t>
      </w:r>
    </w:p>
  </w:footnote>
  <w:footnote w:id="26">
    <w:p w14:paraId="6059DE72" w14:textId="3B1C3AF9" w:rsidR="002B43CF" w:rsidRPr="00DF5070" w:rsidRDefault="002B43CF"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[1991] ATPR </w:t>
      </w:r>
      <w:r w:rsidR="000F7F84" w:rsidRPr="00DF5070">
        <w:rPr>
          <w:rFonts w:ascii="Times New Roman" w:hAnsi="Times New Roman"/>
          <w:sz w:val="24"/>
        </w:rPr>
        <w:t>¶</w:t>
      </w:r>
      <w:r w:rsidRPr="00DF5070">
        <w:rPr>
          <w:rFonts w:ascii="Times New Roman" w:hAnsi="Times New Roman"/>
          <w:sz w:val="24"/>
        </w:rPr>
        <w:t>41-076 at 52,152</w:t>
      </w:r>
      <w:r w:rsidRPr="00DF5070">
        <w:rPr>
          <w:rFonts w:ascii="Times New Roman" w:hAnsi="Times New Roman"/>
          <w:sz w:val="24"/>
        </w:rPr>
        <w:noBreakHyphen/>
        <w:t>52,153.</w:t>
      </w:r>
    </w:p>
  </w:footnote>
  <w:footnote w:id="27">
    <w:p w14:paraId="430CC10B" w14:textId="2E936DB1" w:rsidR="003275D3" w:rsidRPr="00DF5070" w:rsidRDefault="003275D3"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See also </w:t>
      </w:r>
      <w:r w:rsidR="00113C33" w:rsidRPr="00DF5070">
        <w:rPr>
          <w:rFonts w:ascii="Times New Roman" w:hAnsi="Times New Roman"/>
          <w:i/>
          <w:sz w:val="24"/>
        </w:rPr>
        <w:t xml:space="preserve">Re HIH Insurance Ltd (in prov </w:t>
      </w:r>
      <w:proofErr w:type="spellStart"/>
      <w:r w:rsidR="00113C33" w:rsidRPr="00DF5070">
        <w:rPr>
          <w:rFonts w:ascii="Times New Roman" w:hAnsi="Times New Roman"/>
          <w:i/>
          <w:sz w:val="24"/>
        </w:rPr>
        <w:t>liq</w:t>
      </w:r>
      <w:proofErr w:type="spellEnd"/>
      <w:r w:rsidR="00113C33" w:rsidRPr="00DF5070">
        <w:rPr>
          <w:rFonts w:ascii="Times New Roman" w:hAnsi="Times New Roman"/>
          <w:i/>
          <w:sz w:val="24"/>
        </w:rPr>
        <w:t xml:space="preserve">) </w:t>
      </w:r>
      <w:r w:rsidR="000B01B0" w:rsidRPr="00DF5070">
        <w:rPr>
          <w:rFonts w:ascii="Times New Roman" w:hAnsi="Times New Roman"/>
          <w:i/>
          <w:sz w:val="24"/>
        </w:rPr>
        <w:t>and</w:t>
      </w:r>
      <w:r w:rsidR="00113C33" w:rsidRPr="00DF5070">
        <w:rPr>
          <w:rFonts w:ascii="Times New Roman" w:hAnsi="Times New Roman"/>
          <w:i/>
          <w:sz w:val="24"/>
        </w:rPr>
        <w:t xml:space="preserve"> HIH</w:t>
      </w:r>
      <w:r w:rsidR="00917463" w:rsidRPr="00DF5070">
        <w:rPr>
          <w:rFonts w:ascii="Times New Roman" w:hAnsi="Times New Roman"/>
          <w:i/>
          <w:sz w:val="24"/>
        </w:rPr>
        <w:t xml:space="preserve"> Casualty and General Insurance Ltd (in prov </w:t>
      </w:r>
      <w:proofErr w:type="spellStart"/>
      <w:r w:rsidR="00917463" w:rsidRPr="00DF5070">
        <w:rPr>
          <w:rFonts w:ascii="Times New Roman" w:hAnsi="Times New Roman"/>
          <w:i/>
          <w:sz w:val="24"/>
        </w:rPr>
        <w:t>liq</w:t>
      </w:r>
      <w:proofErr w:type="spellEnd"/>
      <w:r w:rsidR="00917463" w:rsidRPr="00DF5070">
        <w:rPr>
          <w:rFonts w:ascii="Times New Roman" w:hAnsi="Times New Roman"/>
          <w:i/>
          <w:sz w:val="24"/>
        </w:rPr>
        <w:t xml:space="preserve">); </w:t>
      </w:r>
      <w:r w:rsidRPr="00DF5070">
        <w:rPr>
          <w:rFonts w:ascii="Times New Roman" w:hAnsi="Times New Roman"/>
          <w:i/>
          <w:sz w:val="24"/>
        </w:rPr>
        <w:t xml:space="preserve">Australian Securities and Investments Commission v Adler </w:t>
      </w:r>
      <w:r w:rsidRPr="00DF5070">
        <w:rPr>
          <w:rFonts w:ascii="Times New Roman" w:hAnsi="Times New Roman"/>
          <w:sz w:val="24"/>
        </w:rPr>
        <w:t xml:space="preserve">(2002) 42 ACSR 80 at </w:t>
      </w:r>
      <w:r w:rsidR="00992A39" w:rsidRPr="00DF5070">
        <w:rPr>
          <w:rFonts w:ascii="Times New Roman" w:hAnsi="Times New Roman"/>
          <w:sz w:val="24"/>
        </w:rPr>
        <w:t>114</w:t>
      </w:r>
      <w:r w:rsidR="00992A39" w:rsidRPr="00DF5070">
        <w:rPr>
          <w:rFonts w:ascii="Times New Roman" w:hAnsi="Times New Roman"/>
          <w:sz w:val="24"/>
        </w:rPr>
        <w:noBreakHyphen/>
        <w:t>116 </w:t>
      </w:r>
      <w:r w:rsidRPr="00DF5070">
        <w:rPr>
          <w:rFonts w:ascii="Times New Roman" w:hAnsi="Times New Roman"/>
          <w:sz w:val="24"/>
        </w:rPr>
        <w:t xml:space="preserve">[126]; </w:t>
      </w:r>
      <w:r w:rsidRPr="00DF5070">
        <w:rPr>
          <w:rFonts w:ascii="Times New Roman" w:hAnsi="Times New Roman"/>
          <w:i/>
          <w:sz w:val="24"/>
        </w:rPr>
        <w:t>Kelly v Fitzpatrick</w:t>
      </w:r>
      <w:r w:rsidRPr="00DF5070">
        <w:rPr>
          <w:rFonts w:ascii="Times New Roman" w:hAnsi="Times New Roman"/>
          <w:sz w:val="24"/>
        </w:rPr>
        <w:t xml:space="preserve"> (2007) 166 IR 14 at </w:t>
      </w:r>
      <w:r w:rsidR="00992A39" w:rsidRPr="00DF5070">
        <w:rPr>
          <w:rFonts w:ascii="Times New Roman" w:hAnsi="Times New Roman"/>
          <w:sz w:val="24"/>
        </w:rPr>
        <w:t>18</w:t>
      </w:r>
      <w:r w:rsidR="00992A39" w:rsidRPr="00DF5070">
        <w:rPr>
          <w:rFonts w:ascii="Times New Roman" w:hAnsi="Times New Roman"/>
          <w:sz w:val="24"/>
        </w:rPr>
        <w:noBreakHyphen/>
        <w:t>19 </w:t>
      </w:r>
      <w:r w:rsidRPr="00DF5070">
        <w:rPr>
          <w:rFonts w:ascii="Times New Roman" w:hAnsi="Times New Roman"/>
          <w:sz w:val="24"/>
        </w:rPr>
        <w:t>[14].</w:t>
      </w:r>
    </w:p>
  </w:footnote>
  <w:footnote w:id="28">
    <w:p w14:paraId="4FCD04A5" w14:textId="1A7FE548" w:rsidR="00327EC7" w:rsidRPr="00DF5070" w:rsidRDefault="00327EC7"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10797A" w:rsidRPr="00DF5070">
        <w:rPr>
          <w:rFonts w:ascii="Times New Roman" w:hAnsi="Times New Roman"/>
          <w:i/>
          <w:sz w:val="24"/>
        </w:rPr>
        <w:t xml:space="preserve">Australian </w:t>
      </w:r>
      <w:r w:rsidRPr="00DF5070">
        <w:rPr>
          <w:rFonts w:ascii="Times New Roman" w:hAnsi="Times New Roman"/>
          <w:i/>
          <w:sz w:val="24"/>
        </w:rPr>
        <w:t>Op</w:t>
      </w:r>
      <w:r w:rsidR="000D17ED" w:rsidRPr="00DF5070">
        <w:rPr>
          <w:rFonts w:ascii="Times New Roman" w:hAnsi="Times New Roman"/>
          <w:i/>
          <w:sz w:val="24"/>
        </w:rPr>
        <w:t>h</w:t>
      </w:r>
      <w:r w:rsidRPr="00DF5070">
        <w:rPr>
          <w:rFonts w:ascii="Times New Roman" w:hAnsi="Times New Roman"/>
          <w:i/>
          <w:sz w:val="24"/>
        </w:rPr>
        <w:t xml:space="preserve">thalmic Supplies Pty Ltd v </w:t>
      </w:r>
      <w:proofErr w:type="spellStart"/>
      <w:r w:rsidRPr="00DF5070">
        <w:rPr>
          <w:rFonts w:ascii="Times New Roman" w:hAnsi="Times New Roman"/>
          <w:i/>
          <w:sz w:val="24"/>
        </w:rPr>
        <w:t>McAlary</w:t>
      </w:r>
      <w:proofErr w:type="spellEnd"/>
      <w:r w:rsidRPr="00DF5070">
        <w:rPr>
          <w:rFonts w:ascii="Times New Roman" w:hAnsi="Times New Roman"/>
          <w:i/>
          <w:sz w:val="24"/>
        </w:rPr>
        <w:noBreakHyphen/>
        <w:t xml:space="preserve">Smith </w:t>
      </w:r>
      <w:r w:rsidRPr="00DF5070">
        <w:rPr>
          <w:rFonts w:ascii="Times New Roman" w:hAnsi="Times New Roman"/>
          <w:sz w:val="24"/>
        </w:rPr>
        <w:t xml:space="preserve">(2008) 165 FCR 560 at </w:t>
      </w:r>
      <w:r w:rsidR="0007460C" w:rsidRPr="00DF5070">
        <w:rPr>
          <w:rFonts w:ascii="Times New Roman" w:hAnsi="Times New Roman"/>
          <w:sz w:val="24"/>
        </w:rPr>
        <w:t>580 </w:t>
      </w:r>
      <w:r w:rsidRPr="00DF5070">
        <w:rPr>
          <w:rFonts w:ascii="Times New Roman" w:hAnsi="Times New Roman"/>
          <w:sz w:val="24"/>
        </w:rPr>
        <w:t>[91].</w:t>
      </w:r>
    </w:p>
  </w:footnote>
  <w:footnote w:id="29">
    <w:p w14:paraId="3D3D0B31" w14:textId="46406ADC" w:rsidR="002C7548" w:rsidRPr="00DF5070" w:rsidRDefault="002C7548"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iCs/>
          <w:sz w:val="24"/>
        </w:rPr>
        <w:t xml:space="preserve">ABCC v Pattinson </w:t>
      </w:r>
      <w:r w:rsidRPr="00DF5070">
        <w:rPr>
          <w:rFonts w:ascii="Times New Roman" w:hAnsi="Times New Roman"/>
          <w:sz w:val="24"/>
        </w:rPr>
        <w:t>(2019) 291</w:t>
      </w:r>
      <w:r w:rsidR="00402E81" w:rsidRPr="00DF5070">
        <w:rPr>
          <w:rFonts w:ascii="Times New Roman" w:hAnsi="Times New Roman"/>
          <w:sz w:val="24"/>
        </w:rPr>
        <w:t xml:space="preserve"> IR 286 at </w:t>
      </w:r>
      <w:r w:rsidR="00720B3E" w:rsidRPr="00DF5070">
        <w:rPr>
          <w:rFonts w:ascii="Times New Roman" w:hAnsi="Times New Roman"/>
          <w:sz w:val="24"/>
        </w:rPr>
        <w:t>298 </w:t>
      </w:r>
      <w:r w:rsidR="00402E81" w:rsidRPr="00DF5070">
        <w:rPr>
          <w:rFonts w:ascii="Times New Roman" w:hAnsi="Times New Roman"/>
          <w:sz w:val="24"/>
        </w:rPr>
        <w:t>[35].</w:t>
      </w:r>
    </w:p>
  </w:footnote>
  <w:footnote w:id="30">
    <w:p w14:paraId="324AE8CB" w14:textId="57AFFAA4"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297 [33].</w:t>
      </w:r>
    </w:p>
  </w:footnote>
  <w:footnote w:id="31">
    <w:p w14:paraId="04698542" w14:textId="551543F5" w:rsidR="00DA549F" w:rsidRPr="00DF5070" w:rsidRDefault="00DA549F"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iCs/>
          <w:sz w:val="24"/>
        </w:rPr>
        <w:t>ABCC v Pattinson</w:t>
      </w:r>
      <w:r w:rsidRPr="00DF5070">
        <w:rPr>
          <w:rFonts w:ascii="Times New Roman" w:hAnsi="Times New Roman"/>
          <w:sz w:val="24"/>
        </w:rPr>
        <w:t xml:space="preserve"> (2019) 291 IR 286 at 310</w:t>
      </w:r>
      <w:r w:rsidRPr="00DF5070">
        <w:rPr>
          <w:rFonts w:ascii="Times New Roman" w:hAnsi="Times New Roman"/>
          <w:sz w:val="24"/>
        </w:rPr>
        <w:noBreakHyphen/>
        <w:t xml:space="preserve">311 [84], citing </w:t>
      </w:r>
      <w:r w:rsidRPr="00DF5070">
        <w:rPr>
          <w:rFonts w:ascii="Times New Roman" w:hAnsi="Times New Roman"/>
          <w:i/>
          <w:iCs/>
          <w:sz w:val="24"/>
        </w:rPr>
        <w:t xml:space="preserve">Director of the Fair Work Building Industry Inspectorate v Construction, Forestry, Mining and Energy Union </w:t>
      </w:r>
      <w:r w:rsidR="00907696" w:rsidRPr="00DF5070">
        <w:rPr>
          <w:rFonts w:ascii="Times New Roman" w:hAnsi="Times New Roman"/>
          <w:i/>
          <w:iCs/>
          <w:sz w:val="24"/>
        </w:rPr>
        <w:t>[</w:t>
      </w:r>
      <w:r w:rsidRPr="00DF5070">
        <w:rPr>
          <w:rFonts w:ascii="Times New Roman" w:hAnsi="Times New Roman"/>
          <w:i/>
          <w:iCs/>
          <w:sz w:val="24"/>
        </w:rPr>
        <w:t>No 2</w:t>
      </w:r>
      <w:r w:rsidR="00907696" w:rsidRPr="00DF5070">
        <w:rPr>
          <w:rFonts w:ascii="Times New Roman" w:hAnsi="Times New Roman"/>
          <w:i/>
          <w:iCs/>
          <w:sz w:val="24"/>
        </w:rPr>
        <w:t>]</w:t>
      </w:r>
      <w:r w:rsidRPr="00DF5070">
        <w:rPr>
          <w:rFonts w:ascii="Times New Roman" w:hAnsi="Times New Roman"/>
          <w:i/>
          <w:iCs/>
          <w:sz w:val="24"/>
        </w:rPr>
        <w:t xml:space="preserve"> </w:t>
      </w:r>
      <w:r w:rsidRPr="00DF5070">
        <w:rPr>
          <w:rFonts w:ascii="Times New Roman" w:hAnsi="Times New Roman"/>
          <w:sz w:val="24"/>
        </w:rPr>
        <w:t>[2016] FCA 436 at [142].</w:t>
      </w:r>
    </w:p>
  </w:footnote>
  <w:footnote w:id="32">
    <w:p w14:paraId="0ADD1D17" w14:textId="6AF363FB" w:rsidR="000B0F2A" w:rsidRPr="00DF5070" w:rsidRDefault="000B0F2A"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580445" w:rsidRPr="00DF5070">
        <w:rPr>
          <w:rFonts w:ascii="Times New Roman" w:hAnsi="Times New Roman"/>
          <w:i/>
          <w:iCs/>
          <w:sz w:val="24"/>
        </w:rPr>
        <w:t>Pattinson v ABCC</w:t>
      </w:r>
      <w:r w:rsidR="00580445" w:rsidRPr="00DF5070">
        <w:rPr>
          <w:rFonts w:ascii="Times New Roman" w:hAnsi="Times New Roman"/>
          <w:sz w:val="24"/>
        </w:rPr>
        <w:t xml:space="preserve"> (2020) 282 FCR 580 at 590 [20].</w:t>
      </w:r>
    </w:p>
  </w:footnote>
  <w:footnote w:id="33">
    <w:p w14:paraId="6ED9FB2D" w14:textId="774070AA"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302</w:t>
      </w:r>
      <w:r w:rsidR="003C7F0F" w:rsidRPr="00DF5070">
        <w:rPr>
          <w:rFonts w:ascii="Times New Roman" w:hAnsi="Times New Roman"/>
          <w:sz w:val="24"/>
        </w:rPr>
        <w:noBreakHyphen/>
        <w:t>303</w:t>
      </w:r>
      <w:r w:rsidRPr="00DF5070">
        <w:rPr>
          <w:rFonts w:ascii="Times New Roman" w:hAnsi="Times New Roman"/>
          <w:sz w:val="24"/>
        </w:rPr>
        <w:t> [53].</w:t>
      </w:r>
    </w:p>
  </w:footnote>
  <w:footnote w:id="34">
    <w:p w14:paraId="285F8B0B" w14:textId="77777777" w:rsidR="008F2CC6" w:rsidRPr="00DF5070" w:rsidRDefault="008F2CC6"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(2018) 265 FCR 208.</w:t>
      </w:r>
    </w:p>
  </w:footnote>
  <w:footnote w:id="35">
    <w:p w14:paraId="26DDDB83" w14:textId="1D6893C4"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(2018) 265 FCR 208 at </w:t>
      </w:r>
      <w:r w:rsidR="00123AF9" w:rsidRPr="00DF5070">
        <w:rPr>
          <w:rFonts w:ascii="Times New Roman" w:hAnsi="Times New Roman"/>
          <w:sz w:val="24"/>
        </w:rPr>
        <w:t xml:space="preserve">211 [1], </w:t>
      </w:r>
      <w:r w:rsidR="00A62062" w:rsidRPr="00DF5070">
        <w:rPr>
          <w:rFonts w:ascii="Times New Roman" w:hAnsi="Times New Roman"/>
          <w:sz w:val="24"/>
        </w:rPr>
        <w:t>226 </w:t>
      </w:r>
      <w:r w:rsidR="00F72440" w:rsidRPr="00DF5070">
        <w:rPr>
          <w:rFonts w:ascii="Times New Roman" w:hAnsi="Times New Roman"/>
          <w:sz w:val="24"/>
        </w:rPr>
        <w:t>[</w:t>
      </w:r>
      <w:r w:rsidRPr="00DF5070">
        <w:rPr>
          <w:rFonts w:ascii="Times New Roman" w:hAnsi="Times New Roman"/>
          <w:sz w:val="24"/>
        </w:rPr>
        <w:t>69</w:t>
      </w:r>
      <w:r w:rsidR="00F72440" w:rsidRPr="00DF5070">
        <w:rPr>
          <w:rFonts w:ascii="Times New Roman" w:hAnsi="Times New Roman"/>
          <w:sz w:val="24"/>
        </w:rPr>
        <w:t>]</w:t>
      </w:r>
      <w:r w:rsidRPr="00DF5070">
        <w:rPr>
          <w:rFonts w:ascii="Times New Roman" w:hAnsi="Times New Roman"/>
          <w:sz w:val="24"/>
        </w:rPr>
        <w:t xml:space="preserve">, </w:t>
      </w:r>
      <w:r w:rsidR="00A62062" w:rsidRPr="00DF5070">
        <w:rPr>
          <w:rFonts w:ascii="Times New Roman" w:hAnsi="Times New Roman"/>
          <w:sz w:val="24"/>
        </w:rPr>
        <w:t>228 </w:t>
      </w:r>
      <w:r w:rsidR="00F72440" w:rsidRPr="00DF5070">
        <w:rPr>
          <w:rFonts w:ascii="Times New Roman" w:hAnsi="Times New Roman"/>
          <w:sz w:val="24"/>
        </w:rPr>
        <w:t>[</w:t>
      </w:r>
      <w:r w:rsidRPr="00DF5070">
        <w:rPr>
          <w:rFonts w:ascii="Times New Roman" w:hAnsi="Times New Roman"/>
          <w:sz w:val="24"/>
        </w:rPr>
        <w:t>77</w:t>
      </w:r>
      <w:r w:rsidR="00F72440" w:rsidRPr="00DF5070">
        <w:rPr>
          <w:rFonts w:ascii="Times New Roman" w:hAnsi="Times New Roman"/>
          <w:sz w:val="24"/>
        </w:rPr>
        <w:t>]</w:t>
      </w:r>
      <w:r w:rsidRPr="00DF5070">
        <w:rPr>
          <w:rFonts w:ascii="Times New Roman" w:hAnsi="Times New Roman"/>
          <w:sz w:val="24"/>
        </w:rPr>
        <w:t xml:space="preserve">, </w:t>
      </w:r>
      <w:r w:rsidR="00A62062" w:rsidRPr="00DF5070">
        <w:rPr>
          <w:rFonts w:ascii="Times New Roman" w:hAnsi="Times New Roman"/>
          <w:sz w:val="24"/>
        </w:rPr>
        <w:t>230 </w:t>
      </w:r>
      <w:r w:rsidR="00F72440" w:rsidRPr="00DF5070">
        <w:rPr>
          <w:rFonts w:ascii="Times New Roman" w:hAnsi="Times New Roman"/>
          <w:sz w:val="24"/>
        </w:rPr>
        <w:t>[</w:t>
      </w:r>
      <w:r w:rsidRPr="00DF5070">
        <w:rPr>
          <w:rFonts w:ascii="Times New Roman" w:hAnsi="Times New Roman"/>
          <w:sz w:val="24"/>
        </w:rPr>
        <w:t>87].</w:t>
      </w:r>
    </w:p>
  </w:footnote>
  <w:footnote w:id="36">
    <w:p w14:paraId="46C7D655" w14:textId="14009925"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(2019) </w:t>
      </w:r>
      <w:r w:rsidR="00CE1656" w:rsidRPr="00DF5070">
        <w:rPr>
          <w:rFonts w:ascii="Times New Roman" w:hAnsi="Times New Roman"/>
          <w:sz w:val="24"/>
        </w:rPr>
        <w:t>270 FCR 39.</w:t>
      </w:r>
    </w:p>
  </w:footnote>
  <w:footnote w:id="37">
    <w:p w14:paraId="05B38FA9" w14:textId="729ADF3A" w:rsidR="00DE7CB0" w:rsidRPr="00DF5070" w:rsidRDefault="00DE7CB0"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Broadway on Ann</w:t>
      </w:r>
      <w:r w:rsidRPr="00DF5070">
        <w:rPr>
          <w:rFonts w:ascii="Times New Roman" w:hAnsi="Times New Roman"/>
          <w:sz w:val="24"/>
        </w:rPr>
        <w:t xml:space="preserve"> (2018) 265 FCR 208 at </w:t>
      </w:r>
      <w:r w:rsidR="00A62062" w:rsidRPr="00DF5070">
        <w:rPr>
          <w:rFonts w:ascii="Times New Roman" w:hAnsi="Times New Roman"/>
          <w:sz w:val="24"/>
        </w:rPr>
        <w:t>231 </w:t>
      </w:r>
      <w:r w:rsidRPr="00DF5070">
        <w:rPr>
          <w:rFonts w:ascii="Times New Roman" w:hAnsi="Times New Roman"/>
          <w:sz w:val="24"/>
        </w:rPr>
        <w:t xml:space="preserve">[93], </w:t>
      </w:r>
      <w:r w:rsidR="00A62062" w:rsidRPr="00DF5070">
        <w:rPr>
          <w:rFonts w:ascii="Times New Roman" w:hAnsi="Times New Roman"/>
          <w:sz w:val="24"/>
        </w:rPr>
        <w:t>23</w:t>
      </w:r>
      <w:r w:rsidR="00356B4A" w:rsidRPr="00DF5070">
        <w:rPr>
          <w:rFonts w:ascii="Times New Roman" w:hAnsi="Times New Roman"/>
          <w:sz w:val="24"/>
        </w:rPr>
        <w:t>3 </w:t>
      </w:r>
      <w:r w:rsidRPr="00DF5070">
        <w:rPr>
          <w:rFonts w:ascii="Times New Roman" w:hAnsi="Times New Roman"/>
          <w:sz w:val="24"/>
        </w:rPr>
        <w:t xml:space="preserve">[105]; </w:t>
      </w:r>
      <w:r w:rsidRPr="00DF5070">
        <w:rPr>
          <w:rFonts w:ascii="Times New Roman" w:hAnsi="Times New Roman"/>
          <w:i/>
          <w:sz w:val="24"/>
        </w:rPr>
        <w:t>Parker v Australian Building and Construction Commissioner</w:t>
      </w:r>
      <w:r w:rsidR="00CE1656" w:rsidRPr="00DF5070">
        <w:rPr>
          <w:rFonts w:ascii="Times New Roman" w:hAnsi="Times New Roman"/>
          <w:i/>
          <w:sz w:val="24"/>
        </w:rPr>
        <w:t xml:space="preserve"> </w:t>
      </w:r>
      <w:r w:rsidR="00CE1656" w:rsidRPr="00DF5070">
        <w:rPr>
          <w:rFonts w:ascii="Times New Roman" w:hAnsi="Times New Roman"/>
          <w:sz w:val="24"/>
        </w:rPr>
        <w:t>(2019) 270 FCR 39</w:t>
      </w:r>
      <w:r w:rsidRPr="00DF5070">
        <w:rPr>
          <w:rFonts w:ascii="Times New Roman" w:hAnsi="Times New Roman"/>
          <w:i/>
          <w:sz w:val="24"/>
        </w:rPr>
        <w:t xml:space="preserve"> </w:t>
      </w:r>
      <w:r w:rsidR="00CE1656" w:rsidRPr="00DF5070">
        <w:rPr>
          <w:rFonts w:ascii="Times New Roman" w:hAnsi="Times New Roman"/>
          <w:sz w:val="24"/>
        </w:rPr>
        <w:t>at 146 [339]</w:t>
      </w:r>
      <w:r w:rsidRPr="00DF5070">
        <w:rPr>
          <w:rFonts w:ascii="Times New Roman" w:hAnsi="Times New Roman"/>
          <w:sz w:val="24"/>
        </w:rPr>
        <w:t>.</w:t>
      </w:r>
    </w:p>
  </w:footnote>
  <w:footnote w:id="38">
    <w:p w14:paraId="09993FEE" w14:textId="4C993A07"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306 [65], 307 [69].</w:t>
      </w:r>
    </w:p>
  </w:footnote>
  <w:footnote w:id="39">
    <w:p w14:paraId="2848D11D" w14:textId="1266B4D3"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307 [</w:t>
      </w:r>
      <w:proofErr w:type="gramStart"/>
      <w:r w:rsidRPr="00DF5070">
        <w:rPr>
          <w:rFonts w:ascii="Times New Roman" w:hAnsi="Times New Roman"/>
          <w:sz w:val="24"/>
        </w:rPr>
        <w:t>71]</w:t>
      </w:r>
      <w:r w:rsidRPr="00DF5070">
        <w:rPr>
          <w:rFonts w:ascii="Times New Roman" w:hAnsi="Times New Roman"/>
          <w:sz w:val="24"/>
        </w:rPr>
        <w:noBreakHyphen/>
      </w:r>
      <w:proofErr w:type="gramEnd"/>
      <w:r w:rsidRPr="00DF5070">
        <w:rPr>
          <w:rFonts w:ascii="Times New Roman" w:hAnsi="Times New Roman"/>
          <w:sz w:val="24"/>
        </w:rPr>
        <w:t>[72].</w:t>
      </w:r>
    </w:p>
  </w:footnote>
  <w:footnote w:id="40">
    <w:p w14:paraId="6D771DB6" w14:textId="56A4023C"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308 [77].</w:t>
      </w:r>
    </w:p>
  </w:footnote>
  <w:footnote w:id="41">
    <w:p w14:paraId="358DA653" w14:textId="5F19409C"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[2018] FCA 1211.</w:t>
      </w:r>
    </w:p>
  </w:footnote>
  <w:footnote w:id="42">
    <w:p w14:paraId="71898268" w14:textId="6B54A26F" w:rsidR="009F3FE8" w:rsidRPr="00DF5070" w:rsidRDefault="009F3FE8"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9B0B60" w:rsidRPr="00DF5070">
        <w:rPr>
          <w:rFonts w:ascii="Times New Roman" w:hAnsi="Times New Roman"/>
          <w:i/>
          <w:sz w:val="24"/>
        </w:rPr>
        <w:t xml:space="preserve">Bendigo Theatre Case [No 2] </w:t>
      </w:r>
      <w:r w:rsidR="009B0B60" w:rsidRPr="00DF5070">
        <w:rPr>
          <w:rFonts w:ascii="Times New Roman" w:hAnsi="Times New Roman"/>
          <w:sz w:val="24"/>
        </w:rPr>
        <w:t xml:space="preserve">[2018] FCA 1211 at [18], citing </w:t>
      </w:r>
      <w:r w:rsidRPr="00DF5070">
        <w:rPr>
          <w:rFonts w:ascii="Times New Roman" w:hAnsi="Times New Roman"/>
          <w:i/>
          <w:sz w:val="24"/>
        </w:rPr>
        <w:t xml:space="preserve">Veen v The Queen </w:t>
      </w:r>
      <w:r w:rsidR="00036006" w:rsidRPr="00DF5070">
        <w:rPr>
          <w:rFonts w:ascii="Times New Roman" w:hAnsi="Times New Roman"/>
          <w:i/>
          <w:sz w:val="24"/>
        </w:rPr>
        <w:t>[</w:t>
      </w:r>
      <w:r w:rsidRPr="00DF5070">
        <w:rPr>
          <w:rFonts w:ascii="Times New Roman" w:hAnsi="Times New Roman"/>
          <w:i/>
          <w:sz w:val="24"/>
        </w:rPr>
        <w:t>No 2</w:t>
      </w:r>
      <w:r w:rsidR="00036006" w:rsidRPr="00DF5070">
        <w:rPr>
          <w:rFonts w:ascii="Times New Roman" w:hAnsi="Times New Roman"/>
          <w:i/>
          <w:sz w:val="24"/>
        </w:rPr>
        <w:t>]</w:t>
      </w:r>
      <w:r w:rsidRPr="00DF5070">
        <w:rPr>
          <w:rFonts w:ascii="Times New Roman" w:hAnsi="Times New Roman"/>
          <w:i/>
          <w:sz w:val="24"/>
        </w:rPr>
        <w:t xml:space="preserve"> </w:t>
      </w:r>
      <w:r w:rsidRPr="00DF5070">
        <w:rPr>
          <w:rFonts w:ascii="Times New Roman" w:hAnsi="Times New Roman"/>
          <w:sz w:val="24"/>
        </w:rPr>
        <w:t>(1988) 164 CLR 465 at 478.</w:t>
      </w:r>
    </w:p>
  </w:footnote>
  <w:footnote w:id="43">
    <w:p w14:paraId="1E845AC8" w14:textId="32EFDB08" w:rsidR="0029695D" w:rsidRPr="00DF5070" w:rsidRDefault="0029695D"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025720" w:rsidRPr="00DF5070">
        <w:rPr>
          <w:rFonts w:ascii="Times New Roman" w:hAnsi="Times New Roman"/>
          <w:i/>
          <w:sz w:val="24"/>
        </w:rPr>
        <w:t>Bendigo Theatre Case</w:t>
      </w:r>
      <w:r w:rsidR="00025720" w:rsidRPr="00DF5070">
        <w:rPr>
          <w:rFonts w:ascii="Times New Roman" w:hAnsi="Times New Roman"/>
          <w:sz w:val="24"/>
        </w:rPr>
        <w:t xml:space="preserve"> </w:t>
      </w:r>
      <w:r w:rsidR="00025720" w:rsidRPr="00DF5070">
        <w:rPr>
          <w:rFonts w:ascii="Times New Roman" w:hAnsi="Times New Roman"/>
          <w:i/>
          <w:sz w:val="24"/>
        </w:rPr>
        <w:t xml:space="preserve">[No 2] </w:t>
      </w:r>
      <w:r w:rsidR="00025720" w:rsidRPr="00DF5070">
        <w:rPr>
          <w:rFonts w:ascii="Times New Roman" w:hAnsi="Times New Roman"/>
          <w:sz w:val="24"/>
        </w:rPr>
        <w:t>[2018] FCA 1211 at [20].</w:t>
      </w:r>
    </w:p>
  </w:footnote>
  <w:footnote w:id="44">
    <w:p w14:paraId="34D21499" w14:textId="785A6BAB" w:rsidR="0038432F" w:rsidRPr="00DF5070" w:rsidRDefault="0038432F"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Director of the Fair Work Building Industry Inspectorate v Construction, Forestry, Mining and Energy Union </w:t>
      </w:r>
      <w:r w:rsidR="00025720" w:rsidRPr="00DF5070">
        <w:rPr>
          <w:rFonts w:ascii="Times New Roman" w:hAnsi="Times New Roman"/>
          <w:i/>
          <w:sz w:val="24"/>
        </w:rPr>
        <w:t>[</w:t>
      </w:r>
      <w:r w:rsidRPr="00DF5070">
        <w:rPr>
          <w:rFonts w:ascii="Times New Roman" w:hAnsi="Times New Roman"/>
          <w:i/>
          <w:sz w:val="24"/>
        </w:rPr>
        <w:t>No</w:t>
      </w:r>
      <w:r w:rsidR="009B0B60" w:rsidRPr="00DF5070">
        <w:rPr>
          <w:rFonts w:ascii="Times New Roman" w:hAnsi="Times New Roman"/>
          <w:i/>
          <w:sz w:val="24"/>
        </w:rPr>
        <w:t> </w:t>
      </w:r>
      <w:r w:rsidRPr="00DF5070">
        <w:rPr>
          <w:rFonts w:ascii="Times New Roman" w:hAnsi="Times New Roman"/>
          <w:i/>
          <w:sz w:val="24"/>
        </w:rPr>
        <w:t>2</w:t>
      </w:r>
      <w:r w:rsidR="00025720" w:rsidRPr="00DF5070">
        <w:rPr>
          <w:rFonts w:ascii="Times New Roman" w:hAnsi="Times New Roman"/>
          <w:i/>
          <w:sz w:val="24"/>
        </w:rPr>
        <w:t>]</w:t>
      </w:r>
      <w:r w:rsidRPr="00DF5070">
        <w:rPr>
          <w:rFonts w:ascii="Times New Roman" w:hAnsi="Times New Roman"/>
          <w:sz w:val="24"/>
        </w:rPr>
        <w:t xml:space="preserve"> [2015] FCA 1462 at [8].</w:t>
      </w:r>
    </w:p>
  </w:footnote>
  <w:footnote w:id="45">
    <w:p w14:paraId="081349B8" w14:textId="76A6DA83"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310 [82]</w:t>
      </w:r>
      <w:r w:rsidR="007D7D56" w:rsidRPr="00DF5070">
        <w:rPr>
          <w:rFonts w:ascii="Times New Roman" w:hAnsi="Times New Roman"/>
          <w:sz w:val="24"/>
        </w:rPr>
        <w:t xml:space="preserve"> (emphasis in original)</w:t>
      </w:r>
      <w:r w:rsidRPr="00DF5070">
        <w:rPr>
          <w:rFonts w:ascii="Times New Roman" w:hAnsi="Times New Roman"/>
          <w:sz w:val="24"/>
        </w:rPr>
        <w:t>.</w:t>
      </w:r>
    </w:p>
  </w:footnote>
  <w:footnote w:id="46">
    <w:p w14:paraId="2EC0DEF6" w14:textId="23AAD190"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310 [84].</w:t>
      </w:r>
    </w:p>
  </w:footnote>
  <w:footnote w:id="47">
    <w:p w14:paraId="48762404" w14:textId="3D829730"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316</w:t>
      </w:r>
      <w:r w:rsidRPr="00DF5070">
        <w:rPr>
          <w:rFonts w:ascii="Times New Roman" w:hAnsi="Times New Roman"/>
          <w:sz w:val="24"/>
        </w:rPr>
        <w:noBreakHyphen/>
        <w:t>317 [115].</w:t>
      </w:r>
    </w:p>
  </w:footnote>
  <w:footnote w:id="48">
    <w:p w14:paraId="17B0A2F3" w14:textId="7E0A9E83"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317 [117].</w:t>
      </w:r>
    </w:p>
  </w:footnote>
  <w:footnote w:id="49">
    <w:p w14:paraId="50CD6C96" w14:textId="2BED9113"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311 [</w:t>
      </w:r>
      <w:proofErr w:type="gramStart"/>
      <w:r w:rsidRPr="00DF5070">
        <w:rPr>
          <w:rFonts w:ascii="Times New Roman" w:hAnsi="Times New Roman"/>
          <w:sz w:val="24"/>
        </w:rPr>
        <w:t>85]</w:t>
      </w:r>
      <w:r w:rsidRPr="00DF5070">
        <w:rPr>
          <w:rFonts w:ascii="Times New Roman" w:hAnsi="Times New Roman"/>
          <w:sz w:val="24"/>
        </w:rPr>
        <w:noBreakHyphen/>
      </w:r>
      <w:proofErr w:type="gramEnd"/>
      <w:r w:rsidRPr="00DF5070">
        <w:rPr>
          <w:rFonts w:ascii="Times New Roman" w:hAnsi="Times New Roman"/>
          <w:sz w:val="24"/>
        </w:rPr>
        <w:t>[86].</w:t>
      </w:r>
    </w:p>
  </w:footnote>
  <w:footnote w:id="50">
    <w:p w14:paraId="78BDD156" w14:textId="76C2753B"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ABCC</w:t>
      </w:r>
      <w:r w:rsidR="00A5758B" w:rsidRPr="00DF5070">
        <w:rPr>
          <w:rFonts w:ascii="Times New Roman" w:hAnsi="Times New Roman"/>
          <w:i/>
          <w:sz w:val="24"/>
        </w:rPr>
        <w:t xml:space="preserve"> v Pattinson </w:t>
      </w:r>
      <w:r w:rsidR="00A5758B" w:rsidRPr="00DF5070">
        <w:rPr>
          <w:rFonts w:ascii="Times New Roman" w:hAnsi="Times New Roman"/>
          <w:sz w:val="24"/>
        </w:rPr>
        <w:t xml:space="preserve">(2019) 291 IR 286 </w:t>
      </w:r>
      <w:r w:rsidRPr="00DF5070">
        <w:rPr>
          <w:rFonts w:ascii="Times New Roman" w:hAnsi="Times New Roman"/>
          <w:sz w:val="24"/>
        </w:rPr>
        <w:t>at 317 [116], [118].</w:t>
      </w:r>
    </w:p>
  </w:footnote>
  <w:footnote w:id="51">
    <w:p w14:paraId="4CD68155" w14:textId="0853ABCA"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 xml:space="preserve">Pattinson v ABCC </w:t>
      </w:r>
      <w:r w:rsidR="00893D05" w:rsidRPr="00DF5070">
        <w:rPr>
          <w:rFonts w:ascii="Times New Roman" w:hAnsi="Times New Roman"/>
          <w:sz w:val="24"/>
        </w:rPr>
        <w:t xml:space="preserve">(2020) 282 FCR 580 </w:t>
      </w:r>
      <w:r w:rsidRPr="00DF5070">
        <w:rPr>
          <w:rFonts w:ascii="Times New Roman" w:hAnsi="Times New Roman"/>
          <w:sz w:val="24"/>
        </w:rPr>
        <w:t>at 595 [35], 596 [39].</w:t>
      </w:r>
    </w:p>
  </w:footnote>
  <w:footnote w:id="52">
    <w:p w14:paraId="62142744" w14:textId="77777777" w:rsidR="00D93DFE" w:rsidRPr="00DF5070" w:rsidRDefault="00D93DFE"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(2020) 282 FCR 580 at 601 [61].</w:t>
      </w:r>
    </w:p>
  </w:footnote>
  <w:footnote w:id="53">
    <w:p w14:paraId="7A2BD90F" w14:textId="7AE8205A" w:rsidR="00F94EEC" w:rsidRPr="00DF5070" w:rsidRDefault="00F94EEC"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(1988) 164 CLR 465.</w:t>
      </w:r>
    </w:p>
  </w:footnote>
  <w:footnote w:id="54">
    <w:p w14:paraId="7662D40C" w14:textId="1665E19F"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 xml:space="preserve">Pattinson v ABCC </w:t>
      </w:r>
      <w:r w:rsidR="00893D05" w:rsidRPr="00DF5070">
        <w:rPr>
          <w:rFonts w:ascii="Times New Roman" w:hAnsi="Times New Roman"/>
          <w:sz w:val="24"/>
        </w:rPr>
        <w:t xml:space="preserve">(2020) 282 FCR 580 </w:t>
      </w:r>
      <w:r w:rsidRPr="00DF5070">
        <w:rPr>
          <w:rFonts w:ascii="Times New Roman" w:hAnsi="Times New Roman"/>
          <w:sz w:val="24"/>
        </w:rPr>
        <w:t>at 598 [45]</w:t>
      </w:r>
      <w:r w:rsidR="009041F3" w:rsidRPr="00DF5070">
        <w:rPr>
          <w:rFonts w:ascii="Times New Roman" w:hAnsi="Times New Roman"/>
          <w:sz w:val="24"/>
        </w:rPr>
        <w:t>,</w:t>
      </w:r>
      <w:r w:rsidRPr="00DF5070">
        <w:rPr>
          <w:rFonts w:ascii="Times New Roman" w:hAnsi="Times New Roman"/>
          <w:sz w:val="24"/>
        </w:rPr>
        <w:t xml:space="preserve"> 616</w:t>
      </w:r>
      <w:r w:rsidRPr="00DF5070">
        <w:rPr>
          <w:rFonts w:ascii="Times New Roman" w:hAnsi="Times New Roman"/>
          <w:sz w:val="24"/>
        </w:rPr>
        <w:noBreakHyphen/>
        <w:t>617 [107].</w:t>
      </w:r>
    </w:p>
  </w:footnote>
  <w:footnote w:id="55">
    <w:p w14:paraId="5716B384" w14:textId="3750C519" w:rsidR="00B20591" w:rsidRPr="00DF5070" w:rsidRDefault="00B2059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(2020) 282 FCR 580 at 614 [104], 616</w:t>
      </w:r>
      <w:r w:rsidRPr="00DF5070">
        <w:rPr>
          <w:rFonts w:ascii="Times New Roman" w:hAnsi="Times New Roman"/>
          <w:sz w:val="24"/>
        </w:rPr>
        <w:noBreakHyphen/>
        <w:t>617 [107], 618</w:t>
      </w:r>
      <w:r w:rsidRPr="00DF5070">
        <w:rPr>
          <w:rFonts w:ascii="Times New Roman" w:hAnsi="Times New Roman"/>
          <w:sz w:val="24"/>
        </w:rPr>
        <w:noBreakHyphen/>
        <w:t>619 [111], 648 [197].</w:t>
      </w:r>
    </w:p>
  </w:footnote>
  <w:footnote w:id="56">
    <w:p w14:paraId="06FCE4F9" w14:textId="6A4082FE" w:rsidR="00954C9C" w:rsidRPr="00DF5070" w:rsidRDefault="00954C9C"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306B77" w:rsidRPr="00DF5070">
        <w:rPr>
          <w:rFonts w:ascii="Times New Roman" w:hAnsi="Times New Roman"/>
          <w:i/>
          <w:sz w:val="24"/>
        </w:rPr>
        <w:t xml:space="preserve">Pattinson v ABCC </w:t>
      </w:r>
      <w:r w:rsidR="00306B77" w:rsidRPr="00DF5070">
        <w:rPr>
          <w:rFonts w:ascii="Times New Roman" w:hAnsi="Times New Roman"/>
          <w:sz w:val="24"/>
        </w:rPr>
        <w:t xml:space="preserve">(2020) 282 FCR 580 at </w:t>
      </w:r>
      <w:r w:rsidR="00C93F21" w:rsidRPr="00DF5070">
        <w:rPr>
          <w:rFonts w:ascii="Times New Roman" w:hAnsi="Times New Roman"/>
          <w:sz w:val="24"/>
        </w:rPr>
        <w:t>609</w:t>
      </w:r>
      <w:r w:rsidR="00306B77" w:rsidRPr="00DF5070">
        <w:rPr>
          <w:rFonts w:ascii="Times New Roman" w:hAnsi="Times New Roman"/>
          <w:sz w:val="24"/>
        </w:rPr>
        <w:t> [</w:t>
      </w:r>
      <w:r w:rsidR="00C93F21" w:rsidRPr="00DF5070">
        <w:rPr>
          <w:rFonts w:ascii="Times New Roman" w:hAnsi="Times New Roman"/>
          <w:sz w:val="24"/>
        </w:rPr>
        <w:t>92</w:t>
      </w:r>
      <w:r w:rsidR="00306B77" w:rsidRPr="00DF5070">
        <w:rPr>
          <w:rFonts w:ascii="Times New Roman" w:hAnsi="Times New Roman"/>
          <w:sz w:val="24"/>
        </w:rPr>
        <w:t>].</w:t>
      </w:r>
    </w:p>
  </w:footnote>
  <w:footnote w:id="57">
    <w:p w14:paraId="254CB1DA" w14:textId="77777777" w:rsidR="005711B9" w:rsidRPr="00DF5070" w:rsidRDefault="005711B9"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(2020) 282 FCR 580 at 616 [106]. See also 601 [62], 613 [98], 636</w:t>
      </w:r>
      <w:r w:rsidRPr="00DF5070">
        <w:rPr>
          <w:rFonts w:ascii="Times New Roman" w:hAnsi="Times New Roman"/>
          <w:sz w:val="24"/>
        </w:rPr>
        <w:noBreakHyphen/>
        <w:t>637 [</w:t>
      </w:r>
      <w:proofErr w:type="gramStart"/>
      <w:r w:rsidRPr="00DF5070">
        <w:rPr>
          <w:rFonts w:ascii="Times New Roman" w:hAnsi="Times New Roman"/>
          <w:sz w:val="24"/>
        </w:rPr>
        <w:t>160]</w:t>
      </w:r>
      <w:r w:rsidRPr="00DF5070">
        <w:rPr>
          <w:rFonts w:ascii="Times New Roman" w:hAnsi="Times New Roman"/>
          <w:sz w:val="24"/>
        </w:rPr>
        <w:noBreakHyphen/>
      </w:r>
      <w:proofErr w:type="gramEnd"/>
      <w:r w:rsidRPr="00DF5070">
        <w:rPr>
          <w:rFonts w:ascii="Times New Roman" w:hAnsi="Times New Roman"/>
          <w:sz w:val="24"/>
        </w:rPr>
        <w:t>[162].</w:t>
      </w:r>
    </w:p>
  </w:footnote>
  <w:footnote w:id="58">
    <w:p w14:paraId="0A4FBE8F" w14:textId="30A63264" w:rsidR="005711B9" w:rsidRPr="00DF5070" w:rsidRDefault="005711B9"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(2020) 282 FCR 580 at 636 [</w:t>
      </w:r>
      <w:proofErr w:type="gramStart"/>
      <w:r w:rsidRPr="00DF5070">
        <w:rPr>
          <w:rFonts w:ascii="Times New Roman" w:hAnsi="Times New Roman"/>
          <w:sz w:val="24"/>
        </w:rPr>
        <w:t>160]</w:t>
      </w:r>
      <w:r w:rsidRPr="00DF5070">
        <w:rPr>
          <w:rFonts w:ascii="Times New Roman" w:hAnsi="Times New Roman"/>
          <w:sz w:val="24"/>
        </w:rPr>
        <w:noBreakHyphen/>
      </w:r>
      <w:proofErr w:type="gramEnd"/>
      <w:r w:rsidRPr="00DF5070">
        <w:rPr>
          <w:rFonts w:ascii="Times New Roman" w:hAnsi="Times New Roman"/>
          <w:sz w:val="24"/>
        </w:rPr>
        <w:t>[161]</w:t>
      </w:r>
      <w:r w:rsidR="007859CB" w:rsidRPr="00DF5070">
        <w:rPr>
          <w:rFonts w:ascii="Times New Roman" w:hAnsi="Times New Roman"/>
          <w:sz w:val="24"/>
        </w:rPr>
        <w:t xml:space="preserve">, </w:t>
      </w:r>
      <w:r w:rsidRPr="00DF5070">
        <w:rPr>
          <w:rFonts w:ascii="Times New Roman" w:hAnsi="Times New Roman"/>
          <w:sz w:val="24"/>
        </w:rPr>
        <w:t>642</w:t>
      </w:r>
      <w:r w:rsidRPr="00DF5070">
        <w:rPr>
          <w:rFonts w:ascii="Times New Roman" w:hAnsi="Times New Roman"/>
          <w:sz w:val="24"/>
        </w:rPr>
        <w:noBreakHyphen/>
        <w:t>643 [180]</w:t>
      </w:r>
      <w:r w:rsidRPr="00DF5070">
        <w:rPr>
          <w:rFonts w:ascii="Times New Roman" w:hAnsi="Times New Roman"/>
          <w:sz w:val="24"/>
        </w:rPr>
        <w:noBreakHyphen/>
        <w:t>[181].</w:t>
      </w:r>
    </w:p>
  </w:footnote>
  <w:footnote w:id="59">
    <w:p w14:paraId="304E2D92" w14:textId="77777777" w:rsidR="005711B9" w:rsidRPr="00DF5070" w:rsidRDefault="005711B9"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(2020) 282 FCR 580 at 631 [139].</w:t>
      </w:r>
    </w:p>
  </w:footnote>
  <w:footnote w:id="60">
    <w:p w14:paraId="460A1165" w14:textId="4E2D3887"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 xml:space="preserve">Pattinson v ABCC </w:t>
      </w:r>
      <w:r w:rsidR="00893D05" w:rsidRPr="00DF5070">
        <w:rPr>
          <w:rFonts w:ascii="Times New Roman" w:hAnsi="Times New Roman"/>
          <w:sz w:val="24"/>
        </w:rPr>
        <w:t xml:space="preserve">(2020) 282 FCR 580 </w:t>
      </w:r>
      <w:r w:rsidRPr="00DF5070">
        <w:rPr>
          <w:rFonts w:ascii="Times New Roman" w:hAnsi="Times New Roman"/>
          <w:sz w:val="24"/>
        </w:rPr>
        <w:t xml:space="preserve">at </w:t>
      </w:r>
      <w:r w:rsidR="009C20D9" w:rsidRPr="00DF5070">
        <w:rPr>
          <w:rFonts w:ascii="Times New Roman" w:hAnsi="Times New Roman"/>
          <w:sz w:val="24"/>
        </w:rPr>
        <w:t xml:space="preserve">615 [106], </w:t>
      </w:r>
      <w:r w:rsidR="004721AC" w:rsidRPr="00DF5070">
        <w:rPr>
          <w:rFonts w:ascii="Times New Roman" w:hAnsi="Times New Roman"/>
          <w:sz w:val="24"/>
        </w:rPr>
        <w:t>617</w:t>
      </w:r>
      <w:r w:rsidR="004721AC" w:rsidRPr="00DF5070">
        <w:rPr>
          <w:rFonts w:ascii="Times New Roman" w:hAnsi="Times New Roman"/>
          <w:sz w:val="24"/>
        </w:rPr>
        <w:noBreakHyphen/>
      </w:r>
      <w:r w:rsidR="00F70B13" w:rsidRPr="00DF5070">
        <w:rPr>
          <w:rFonts w:ascii="Times New Roman" w:hAnsi="Times New Roman"/>
          <w:sz w:val="24"/>
        </w:rPr>
        <w:t>618</w:t>
      </w:r>
      <w:r w:rsidR="004721AC" w:rsidRPr="00DF5070">
        <w:rPr>
          <w:rFonts w:ascii="Times New Roman" w:hAnsi="Times New Roman"/>
          <w:sz w:val="24"/>
        </w:rPr>
        <w:t> </w:t>
      </w:r>
      <w:r w:rsidR="009C20D9" w:rsidRPr="00DF5070">
        <w:rPr>
          <w:rFonts w:ascii="Times New Roman" w:hAnsi="Times New Roman"/>
          <w:sz w:val="24"/>
        </w:rPr>
        <w:t>[</w:t>
      </w:r>
      <w:proofErr w:type="gramStart"/>
      <w:r w:rsidR="009C20D9" w:rsidRPr="00DF5070">
        <w:rPr>
          <w:rFonts w:ascii="Times New Roman" w:hAnsi="Times New Roman"/>
          <w:sz w:val="24"/>
        </w:rPr>
        <w:t>108]</w:t>
      </w:r>
      <w:r w:rsidR="009C20D9" w:rsidRPr="00DF5070">
        <w:rPr>
          <w:rFonts w:ascii="Times New Roman" w:hAnsi="Times New Roman"/>
          <w:sz w:val="24"/>
        </w:rPr>
        <w:noBreakHyphen/>
      </w:r>
      <w:proofErr w:type="gramEnd"/>
      <w:r w:rsidR="00F70B13" w:rsidRPr="00DF5070">
        <w:rPr>
          <w:rFonts w:ascii="Times New Roman" w:hAnsi="Times New Roman"/>
          <w:sz w:val="24"/>
        </w:rPr>
        <w:t>[1</w:t>
      </w:r>
      <w:r w:rsidR="009C20D9" w:rsidRPr="00DF5070">
        <w:rPr>
          <w:rFonts w:ascii="Times New Roman" w:hAnsi="Times New Roman"/>
          <w:sz w:val="24"/>
        </w:rPr>
        <w:t>10</w:t>
      </w:r>
      <w:r w:rsidR="00F70B13" w:rsidRPr="00DF5070">
        <w:rPr>
          <w:rFonts w:ascii="Times New Roman" w:hAnsi="Times New Roman"/>
          <w:sz w:val="24"/>
        </w:rPr>
        <w:t>]</w:t>
      </w:r>
      <w:r w:rsidRPr="00DF5070">
        <w:rPr>
          <w:rFonts w:ascii="Times New Roman" w:hAnsi="Times New Roman"/>
          <w:sz w:val="24"/>
        </w:rPr>
        <w:t>.</w:t>
      </w:r>
    </w:p>
  </w:footnote>
  <w:footnote w:id="61">
    <w:p w14:paraId="31CE7D1F" w14:textId="14739743" w:rsidR="0043193D" w:rsidRPr="00DF5070" w:rsidRDefault="0043193D"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0642E7" w:rsidRPr="00DF5070">
        <w:rPr>
          <w:rFonts w:ascii="Times New Roman" w:hAnsi="Times New Roman"/>
          <w:i/>
          <w:sz w:val="24"/>
        </w:rPr>
        <w:t xml:space="preserve">Pattinson v ABCC </w:t>
      </w:r>
      <w:r w:rsidR="000642E7" w:rsidRPr="00DF5070">
        <w:rPr>
          <w:rFonts w:ascii="Times New Roman" w:hAnsi="Times New Roman"/>
          <w:sz w:val="24"/>
        </w:rPr>
        <w:t xml:space="preserve">(2020) 282 FCR 580 at 637 [162], </w:t>
      </w:r>
      <w:r w:rsidR="00445501" w:rsidRPr="00DF5070">
        <w:rPr>
          <w:rFonts w:ascii="Times New Roman" w:hAnsi="Times New Roman"/>
          <w:sz w:val="24"/>
        </w:rPr>
        <w:t>642 [180], 645 [186], 646 [191], 647 [194], 649 [201].</w:t>
      </w:r>
    </w:p>
  </w:footnote>
  <w:footnote w:id="62">
    <w:p w14:paraId="676B123E" w14:textId="4A426AEE" w:rsidR="007859CB" w:rsidRPr="00DF5070" w:rsidRDefault="007859CB"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(2020) 282 FCR 580 at 647 [195].</w:t>
      </w:r>
    </w:p>
  </w:footnote>
  <w:footnote w:id="63">
    <w:p w14:paraId="3A994E55" w14:textId="5CCBD4C9"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 xml:space="preserve">Pattinson v ABCC </w:t>
      </w:r>
      <w:r w:rsidR="00893D05" w:rsidRPr="00DF5070">
        <w:rPr>
          <w:rFonts w:ascii="Times New Roman" w:hAnsi="Times New Roman"/>
          <w:sz w:val="24"/>
        </w:rPr>
        <w:t xml:space="preserve">(2020) 282 FCR 580 </w:t>
      </w:r>
      <w:r w:rsidRPr="00DF5070">
        <w:rPr>
          <w:rFonts w:ascii="Times New Roman" w:hAnsi="Times New Roman"/>
          <w:sz w:val="24"/>
        </w:rPr>
        <w:t>at 642 [</w:t>
      </w:r>
      <w:proofErr w:type="gramStart"/>
      <w:r w:rsidRPr="00DF5070">
        <w:rPr>
          <w:rFonts w:ascii="Times New Roman" w:hAnsi="Times New Roman"/>
          <w:sz w:val="24"/>
        </w:rPr>
        <w:t>180]</w:t>
      </w:r>
      <w:r w:rsidR="004721AC" w:rsidRPr="00DF5070">
        <w:rPr>
          <w:rFonts w:ascii="Times New Roman" w:hAnsi="Times New Roman"/>
          <w:sz w:val="24"/>
        </w:rPr>
        <w:noBreakHyphen/>
      </w:r>
      <w:proofErr w:type="gramEnd"/>
      <w:r w:rsidR="004721AC" w:rsidRPr="00DF5070">
        <w:rPr>
          <w:rFonts w:ascii="Times New Roman" w:hAnsi="Times New Roman"/>
          <w:sz w:val="24"/>
        </w:rPr>
        <w:t>[181]</w:t>
      </w:r>
      <w:r w:rsidRPr="00DF5070">
        <w:rPr>
          <w:rFonts w:ascii="Times New Roman" w:hAnsi="Times New Roman"/>
          <w:sz w:val="24"/>
        </w:rPr>
        <w:t>.</w:t>
      </w:r>
    </w:p>
  </w:footnote>
  <w:footnote w:id="64">
    <w:p w14:paraId="5D51A174" w14:textId="6EA6BAAB" w:rsidR="00DC4141" w:rsidRPr="00DF5070" w:rsidRDefault="00DC4141"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893D05" w:rsidRPr="00DF5070">
        <w:rPr>
          <w:rFonts w:ascii="Times New Roman" w:hAnsi="Times New Roman"/>
          <w:i/>
          <w:sz w:val="24"/>
        </w:rPr>
        <w:t xml:space="preserve">Pattinson v ABCC </w:t>
      </w:r>
      <w:r w:rsidR="00893D05" w:rsidRPr="00DF5070">
        <w:rPr>
          <w:rFonts w:ascii="Times New Roman" w:hAnsi="Times New Roman"/>
          <w:sz w:val="24"/>
        </w:rPr>
        <w:t xml:space="preserve">(2020) 282 FCR 580 </w:t>
      </w:r>
      <w:r w:rsidRPr="00DF5070">
        <w:rPr>
          <w:rFonts w:ascii="Times New Roman" w:hAnsi="Times New Roman"/>
          <w:sz w:val="24"/>
        </w:rPr>
        <w:t>at 656</w:t>
      </w:r>
      <w:r w:rsidRPr="00DF5070">
        <w:rPr>
          <w:rFonts w:ascii="Times New Roman" w:hAnsi="Times New Roman"/>
          <w:sz w:val="24"/>
        </w:rPr>
        <w:noBreakHyphen/>
        <w:t>657 [231].</w:t>
      </w:r>
    </w:p>
  </w:footnote>
  <w:footnote w:id="65">
    <w:p w14:paraId="1B7B8EBA" w14:textId="2E492B1D" w:rsidR="00F01CEB" w:rsidRPr="00DF5070" w:rsidRDefault="00F01CEB"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(2020) 282 FCR 580 at 647</w:t>
      </w:r>
      <w:r w:rsidR="00682084" w:rsidRPr="00DF5070">
        <w:rPr>
          <w:rFonts w:ascii="Times New Roman" w:hAnsi="Times New Roman"/>
          <w:sz w:val="24"/>
        </w:rPr>
        <w:noBreakHyphen/>
        <w:t>648 </w:t>
      </w:r>
      <w:r w:rsidR="009648CD" w:rsidRPr="00DF5070">
        <w:rPr>
          <w:rFonts w:ascii="Times New Roman" w:hAnsi="Times New Roman"/>
          <w:sz w:val="24"/>
        </w:rPr>
        <w:t>[</w:t>
      </w:r>
      <w:proofErr w:type="gramStart"/>
      <w:r w:rsidR="009648CD" w:rsidRPr="00DF5070">
        <w:rPr>
          <w:rFonts w:ascii="Times New Roman" w:hAnsi="Times New Roman"/>
          <w:sz w:val="24"/>
        </w:rPr>
        <w:t>194]</w:t>
      </w:r>
      <w:r w:rsidR="009648CD" w:rsidRPr="00DF5070">
        <w:rPr>
          <w:rFonts w:ascii="Times New Roman" w:hAnsi="Times New Roman"/>
          <w:sz w:val="24"/>
        </w:rPr>
        <w:noBreakHyphen/>
      </w:r>
      <w:proofErr w:type="gramEnd"/>
      <w:r w:rsidRPr="00DF5070">
        <w:rPr>
          <w:rFonts w:ascii="Times New Roman" w:hAnsi="Times New Roman"/>
          <w:sz w:val="24"/>
        </w:rPr>
        <w:t>[195].</w:t>
      </w:r>
    </w:p>
  </w:footnote>
  <w:footnote w:id="66">
    <w:p w14:paraId="06987C15" w14:textId="41DAD8CC" w:rsidR="00580603" w:rsidRPr="00DF5070" w:rsidRDefault="00580603"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(1988) 164 CLR 465 at 472</w:t>
      </w:r>
      <w:r w:rsidRPr="00DF5070">
        <w:rPr>
          <w:rFonts w:ascii="Times New Roman" w:hAnsi="Times New Roman"/>
          <w:sz w:val="24"/>
        </w:rPr>
        <w:noBreakHyphen/>
        <w:t>473.</w:t>
      </w:r>
    </w:p>
  </w:footnote>
  <w:footnote w:id="67">
    <w:p w14:paraId="4C841153" w14:textId="030F3FCB" w:rsidR="001769B2" w:rsidRPr="00DF5070" w:rsidRDefault="001769B2"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(1988) 164 CLR 465 at </w:t>
      </w:r>
      <w:r w:rsidR="00CC1246" w:rsidRPr="00DF5070">
        <w:rPr>
          <w:rFonts w:ascii="Times New Roman" w:hAnsi="Times New Roman"/>
          <w:sz w:val="24"/>
        </w:rPr>
        <w:t>473</w:t>
      </w:r>
      <w:r w:rsidR="00CC1246" w:rsidRPr="00DF5070">
        <w:rPr>
          <w:rFonts w:ascii="Times New Roman" w:hAnsi="Times New Roman"/>
          <w:sz w:val="24"/>
        </w:rPr>
        <w:noBreakHyphen/>
        <w:t>474.</w:t>
      </w:r>
    </w:p>
  </w:footnote>
  <w:footnote w:id="68">
    <w:p w14:paraId="699B28E3" w14:textId="328701C0" w:rsidR="00B53AC9" w:rsidRPr="00DF5070" w:rsidRDefault="00B53AC9" w:rsidP="00DF5070">
      <w:pPr>
        <w:pStyle w:val="FootnoteText"/>
        <w:spacing w:line="280" w:lineRule="exact"/>
        <w:ind w:right="0"/>
        <w:jc w:val="both"/>
        <w:rPr>
          <w:rFonts w:ascii="Times New Roman" w:hAnsi="Times New Roman"/>
          <w:i/>
          <w:iCs/>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iCs/>
          <w:sz w:val="24"/>
        </w:rPr>
        <w:t xml:space="preserve">Comcare v Banerji </w:t>
      </w:r>
      <w:r w:rsidRPr="00DF5070">
        <w:rPr>
          <w:rFonts w:ascii="Times New Roman" w:hAnsi="Times New Roman"/>
          <w:sz w:val="24"/>
        </w:rPr>
        <w:t xml:space="preserve">(2019) 267 CLR 373 at </w:t>
      </w:r>
      <w:r w:rsidR="00066DDA" w:rsidRPr="00DF5070">
        <w:rPr>
          <w:rFonts w:ascii="Times New Roman" w:hAnsi="Times New Roman"/>
          <w:sz w:val="24"/>
        </w:rPr>
        <w:t>403 </w:t>
      </w:r>
      <w:r w:rsidRPr="00DF5070">
        <w:rPr>
          <w:rFonts w:ascii="Times New Roman" w:hAnsi="Times New Roman"/>
          <w:sz w:val="24"/>
        </w:rPr>
        <w:t>[40]</w:t>
      </w:r>
      <w:r w:rsidRPr="00DF5070">
        <w:rPr>
          <w:rFonts w:ascii="Times New Roman" w:hAnsi="Times New Roman"/>
          <w:i/>
          <w:iCs/>
          <w:sz w:val="24"/>
        </w:rPr>
        <w:t>.</w:t>
      </w:r>
    </w:p>
  </w:footnote>
  <w:footnote w:id="69">
    <w:p w14:paraId="007C7A64" w14:textId="005AF6AD" w:rsidR="00B53AC9" w:rsidRPr="00DF5070" w:rsidRDefault="00B53AC9"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proofErr w:type="spellStart"/>
      <w:r w:rsidRPr="00DF5070">
        <w:rPr>
          <w:rFonts w:ascii="Times New Roman" w:hAnsi="Times New Roman"/>
          <w:i/>
          <w:iCs/>
          <w:sz w:val="24"/>
        </w:rPr>
        <w:t>Oshlack</w:t>
      </w:r>
      <w:proofErr w:type="spellEnd"/>
      <w:r w:rsidRPr="00DF5070">
        <w:rPr>
          <w:rFonts w:ascii="Times New Roman" w:hAnsi="Times New Roman"/>
          <w:i/>
          <w:iCs/>
          <w:sz w:val="24"/>
        </w:rPr>
        <w:t xml:space="preserve"> v Richmond River Council </w:t>
      </w:r>
      <w:r w:rsidRPr="00DF5070">
        <w:rPr>
          <w:rFonts w:ascii="Times New Roman" w:hAnsi="Times New Roman"/>
          <w:sz w:val="24"/>
        </w:rPr>
        <w:t xml:space="preserve">(1998) 193 CLR 72 at </w:t>
      </w:r>
      <w:r w:rsidR="00066DDA" w:rsidRPr="00DF5070">
        <w:rPr>
          <w:rFonts w:ascii="Times New Roman" w:hAnsi="Times New Roman"/>
          <w:sz w:val="24"/>
        </w:rPr>
        <w:t>81 </w:t>
      </w:r>
      <w:r w:rsidRPr="00DF5070">
        <w:rPr>
          <w:rFonts w:ascii="Times New Roman" w:hAnsi="Times New Roman"/>
          <w:sz w:val="24"/>
        </w:rPr>
        <w:t xml:space="preserve">[22], </w:t>
      </w:r>
      <w:r w:rsidR="00234C5A" w:rsidRPr="00DF5070">
        <w:rPr>
          <w:rFonts w:ascii="Times New Roman" w:hAnsi="Times New Roman"/>
          <w:sz w:val="24"/>
        </w:rPr>
        <w:t>96 </w:t>
      </w:r>
      <w:r w:rsidRPr="00DF5070">
        <w:rPr>
          <w:rFonts w:ascii="Times New Roman" w:hAnsi="Times New Roman"/>
          <w:sz w:val="24"/>
        </w:rPr>
        <w:t>[65]</w:t>
      </w:r>
      <w:r w:rsidR="00234C5A" w:rsidRPr="00DF5070">
        <w:rPr>
          <w:rFonts w:ascii="Times New Roman" w:hAnsi="Times New Roman"/>
          <w:sz w:val="24"/>
        </w:rPr>
        <w:t>,</w:t>
      </w:r>
      <w:r w:rsidRPr="00DF5070">
        <w:rPr>
          <w:rFonts w:ascii="Times New Roman" w:hAnsi="Times New Roman"/>
          <w:sz w:val="24"/>
        </w:rPr>
        <w:t xml:space="preserve"> </w:t>
      </w:r>
      <w:r w:rsidR="00234C5A" w:rsidRPr="00DF5070">
        <w:rPr>
          <w:rFonts w:ascii="Times New Roman" w:hAnsi="Times New Roman"/>
          <w:sz w:val="24"/>
        </w:rPr>
        <w:t>120</w:t>
      </w:r>
      <w:r w:rsidR="00234C5A" w:rsidRPr="00DF5070">
        <w:rPr>
          <w:rFonts w:ascii="Times New Roman" w:hAnsi="Times New Roman"/>
          <w:sz w:val="24"/>
        </w:rPr>
        <w:noBreakHyphen/>
        <w:t>121 </w:t>
      </w:r>
      <w:r w:rsidRPr="00DF5070">
        <w:rPr>
          <w:rFonts w:ascii="Times New Roman" w:hAnsi="Times New Roman"/>
          <w:sz w:val="24"/>
        </w:rPr>
        <w:t xml:space="preserve">[134]; </w:t>
      </w:r>
      <w:r w:rsidRPr="00DF5070">
        <w:rPr>
          <w:rFonts w:ascii="Times New Roman" w:hAnsi="Times New Roman"/>
          <w:i/>
          <w:iCs/>
          <w:sz w:val="24"/>
        </w:rPr>
        <w:t xml:space="preserve">Northern Territory v Sangare </w:t>
      </w:r>
      <w:r w:rsidRPr="00DF5070">
        <w:rPr>
          <w:rFonts w:ascii="Times New Roman" w:hAnsi="Times New Roman"/>
          <w:sz w:val="24"/>
        </w:rPr>
        <w:t xml:space="preserve">(2019) 265 CLR 164 at </w:t>
      </w:r>
      <w:r w:rsidR="00234C5A" w:rsidRPr="00DF5070">
        <w:rPr>
          <w:rFonts w:ascii="Times New Roman" w:hAnsi="Times New Roman"/>
          <w:sz w:val="24"/>
        </w:rPr>
        <w:t>172</w:t>
      </w:r>
      <w:r w:rsidR="00234C5A" w:rsidRPr="00DF5070">
        <w:rPr>
          <w:rFonts w:ascii="Times New Roman" w:hAnsi="Times New Roman"/>
          <w:sz w:val="24"/>
        </w:rPr>
        <w:noBreakHyphen/>
        <w:t>173 </w:t>
      </w:r>
      <w:r w:rsidRPr="00DF5070">
        <w:rPr>
          <w:rFonts w:ascii="Times New Roman" w:hAnsi="Times New Roman"/>
          <w:sz w:val="24"/>
        </w:rPr>
        <w:t>[24].</w:t>
      </w:r>
    </w:p>
  </w:footnote>
  <w:footnote w:id="70">
    <w:p w14:paraId="426FED59" w14:textId="5AB0EACF" w:rsidR="00B53AC9" w:rsidRPr="00DF5070" w:rsidRDefault="00B53AC9"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(1996) 71 FCR 285 at 293.</w:t>
      </w:r>
    </w:p>
  </w:footnote>
  <w:footnote w:id="71">
    <w:p w14:paraId="5AF150D0" w14:textId="22E375F8" w:rsidR="00B53AC9" w:rsidRPr="00DF5070" w:rsidRDefault="00B53AC9"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(2016) 340 ALR </w:t>
      </w:r>
      <w:r w:rsidR="00557D06" w:rsidRPr="00DF5070">
        <w:rPr>
          <w:rFonts w:ascii="Times New Roman" w:hAnsi="Times New Roman"/>
          <w:sz w:val="24"/>
        </w:rPr>
        <w:t>25</w:t>
      </w:r>
      <w:r w:rsidRPr="00DF5070">
        <w:rPr>
          <w:rFonts w:ascii="Times New Roman" w:hAnsi="Times New Roman"/>
          <w:sz w:val="24"/>
        </w:rPr>
        <w:t xml:space="preserve"> at </w:t>
      </w:r>
      <w:r w:rsidR="001C28B2" w:rsidRPr="00DF5070">
        <w:rPr>
          <w:rFonts w:ascii="Times New Roman" w:hAnsi="Times New Roman"/>
          <w:sz w:val="24"/>
        </w:rPr>
        <w:t>62 </w:t>
      </w:r>
      <w:r w:rsidRPr="00DF5070">
        <w:rPr>
          <w:rFonts w:ascii="Times New Roman" w:hAnsi="Times New Roman"/>
          <w:sz w:val="24"/>
        </w:rPr>
        <w:t>[152].</w:t>
      </w:r>
    </w:p>
  </w:footnote>
  <w:footnote w:id="72">
    <w:p w14:paraId="1974E543" w14:textId="7621BCC0" w:rsidR="00370A74" w:rsidRPr="00DF5070" w:rsidRDefault="00370A74"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w:t>
      </w:r>
      <w:r w:rsidR="00105EED" w:rsidRPr="00DF5070">
        <w:rPr>
          <w:rFonts w:ascii="Times New Roman" w:hAnsi="Times New Roman"/>
          <w:sz w:val="24"/>
        </w:rPr>
        <w:t>2015) 258 CLR 482 at 495 [24], 506 [55], 507</w:t>
      </w:r>
      <w:r w:rsidR="00105EED" w:rsidRPr="00DF5070">
        <w:rPr>
          <w:rFonts w:ascii="Times New Roman" w:hAnsi="Times New Roman"/>
          <w:sz w:val="24"/>
        </w:rPr>
        <w:noBreakHyphen/>
        <w:t>508 [59], 523</w:t>
      </w:r>
      <w:r w:rsidR="00105EED" w:rsidRPr="00DF5070">
        <w:rPr>
          <w:rFonts w:ascii="Times New Roman" w:hAnsi="Times New Roman"/>
          <w:sz w:val="24"/>
        </w:rPr>
        <w:noBreakHyphen/>
        <w:t xml:space="preserve">524 [110]. </w:t>
      </w:r>
    </w:p>
  </w:footnote>
  <w:footnote w:id="73">
    <w:p w14:paraId="758BD8D7" w14:textId="4AA034C0" w:rsidR="00E27476" w:rsidRPr="00DF5070" w:rsidRDefault="00E27476"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Agreed Penalties Case </w:t>
      </w:r>
      <w:r w:rsidRPr="00DF5070">
        <w:rPr>
          <w:rFonts w:ascii="Times New Roman" w:hAnsi="Times New Roman"/>
          <w:sz w:val="24"/>
        </w:rPr>
        <w:t xml:space="preserve">(2015) 258 CLR 482 at 524 [110], citing </w:t>
      </w:r>
      <w:r w:rsidRPr="00DF5070">
        <w:rPr>
          <w:rFonts w:ascii="Times New Roman" w:hAnsi="Times New Roman"/>
          <w:i/>
          <w:sz w:val="24"/>
        </w:rPr>
        <w:t xml:space="preserve">Australian Competition and Consumer Commission v TPG Internet Pty Ltd </w:t>
      </w:r>
      <w:r w:rsidRPr="00DF5070">
        <w:rPr>
          <w:rFonts w:ascii="Times New Roman" w:hAnsi="Times New Roman"/>
          <w:sz w:val="24"/>
        </w:rPr>
        <w:t>(2013) 250 CLR 640 at 659 [66]</w:t>
      </w:r>
      <w:r w:rsidR="004B07C1" w:rsidRPr="00DF5070">
        <w:rPr>
          <w:rFonts w:ascii="Times New Roman" w:hAnsi="Times New Roman"/>
          <w:sz w:val="24"/>
        </w:rPr>
        <w:t xml:space="preserve"> and</w:t>
      </w:r>
      <w:r w:rsidRPr="00DF5070">
        <w:rPr>
          <w:rFonts w:ascii="Times New Roman" w:hAnsi="Times New Roman"/>
          <w:sz w:val="24"/>
        </w:rPr>
        <w:t xml:space="preserve"> </w:t>
      </w:r>
      <w:r w:rsidRPr="00DF5070">
        <w:rPr>
          <w:rFonts w:ascii="Times New Roman" w:hAnsi="Times New Roman"/>
          <w:i/>
          <w:sz w:val="24"/>
        </w:rPr>
        <w:t xml:space="preserve">Singtel Optus Pty Ltd v Australian Competition and Consumer Commission </w:t>
      </w:r>
      <w:r w:rsidRPr="00DF5070">
        <w:rPr>
          <w:rFonts w:ascii="Times New Roman" w:hAnsi="Times New Roman"/>
          <w:sz w:val="24"/>
        </w:rPr>
        <w:t>(2012) 287 ALR 249 at 265</w:t>
      </w:r>
      <w:r w:rsidR="006158A6" w:rsidRPr="00DF5070">
        <w:rPr>
          <w:rFonts w:ascii="Times New Roman" w:hAnsi="Times New Roman"/>
          <w:sz w:val="24"/>
        </w:rPr>
        <w:t> </w:t>
      </w:r>
      <w:r w:rsidRPr="00DF5070">
        <w:rPr>
          <w:rFonts w:ascii="Times New Roman" w:hAnsi="Times New Roman"/>
          <w:sz w:val="24"/>
        </w:rPr>
        <w:t>[</w:t>
      </w:r>
      <w:proofErr w:type="gramStart"/>
      <w:r w:rsidRPr="00DF5070">
        <w:rPr>
          <w:rFonts w:ascii="Times New Roman" w:hAnsi="Times New Roman"/>
          <w:sz w:val="24"/>
        </w:rPr>
        <w:t>62]</w:t>
      </w:r>
      <w:r w:rsidRPr="00DF5070">
        <w:rPr>
          <w:rFonts w:ascii="Times New Roman" w:hAnsi="Times New Roman"/>
          <w:sz w:val="24"/>
        </w:rPr>
        <w:noBreakHyphen/>
      </w:r>
      <w:proofErr w:type="gramEnd"/>
      <w:r w:rsidRPr="00DF5070">
        <w:rPr>
          <w:rFonts w:ascii="Times New Roman" w:hAnsi="Times New Roman"/>
          <w:sz w:val="24"/>
        </w:rPr>
        <w:t>[63].</w:t>
      </w:r>
    </w:p>
  </w:footnote>
  <w:footnote w:id="74">
    <w:p w14:paraId="485E0321" w14:textId="77777777" w:rsidR="000F100C" w:rsidRPr="00DF5070" w:rsidRDefault="000F100C"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(2015) 258 CLR 482 at 506 [55].</w:t>
      </w:r>
    </w:p>
  </w:footnote>
  <w:footnote w:id="75">
    <w:p w14:paraId="59AAE05A" w14:textId="0322B7FF" w:rsidR="000F100C" w:rsidRPr="00DF5070" w:rsidRDefault="000F100C"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(2018) 262 CLR 157 at </w:t>
      </w:r>
      <w:r w:rsidR="006C5264" w:rsidRPr="00DF5070">
        <w:rPr>
          <w:rFonts w:ascii="Times New Roman" w:hAnsi="Times New Roman"/>
          <w:sz w:val="24"/>
        </w:rPr>
        <w:t>173 </w:t>
      </w:r>
      <w:r w:rsidRPr="00DF5070">
        <w:rPr>
          <w:rFonts w:ascii="Times New Roman" w:hAnsi="Times New Roman"/>
          <w:sz w:val="24"/>
        </w:rPr>
        <w:t>[</w:t>
      </w:r>
      <w:proofErr w:type="gramStart"/>
      <w:r w:rsidRPr="00DF5070">
        <w:rPr>
          <w:rFonts w:ascii="Times New Roman" w:hAnsi="Times New Roman"/>
          <w:sz w:val="24"/>
        </w:rPr>
        <w:t>4</w:t>
      </w:r>
      <w:r w:rsidR="008969AA" w:rsidRPr="00DF5070">
        <w:rPr>
          <w:rFonts w:ascii="Times New Roman" w:hAnsi="Times New Roman"/>
          <w:sz w:val="24"/>
        </w:rPr>
        <w:t>3</w:t>
      </w:r>
      <w:r w:rsidRPr="00DF5070">
        <w:rPr>
          <w:rFonts w:ascii="Times New Roman" w:hAnsi="Times New Roman"/>
          <w:sz w:val="24"/>
        </w:rPr>
        <w:t>]</w:t>
      </w:r>
      <w:r w:rsidR="008969AA" w:rsidRPr="00DF5070">
        <w:rPr>
          <w:rFonts w:ascii="Times New Roman" w:hAnsi="Times New Roman"/>
          <w:sz w:val="24"/>
        </w:rPr>
        <w:noBreakHyphen/>
      </w:r>
      <w:proofErr w:type="gramEnd"/>
      <w:r w:rsidR="008969AA" w:rsidRPr="00DF5070">
        <w:rPr>
          <w:rFonts w:ascii="Times New Roman" w:hAnsi="Times New Roman"/>
          <w:sz w:val="24"/>
        </w:rPr>
        <w:t>[44]</w:t>
      </w:r>
      <w:r w:rsidRPr="00DF5070">
        <w:rPr>
          <w:rFonts w:ascii="Times New Roman" w:hAnsi="Times New Roman"/>
          <w:sz w:val="24"/>
        </w:rPr>
        <w:t xml:space="preserve">, </w:t>
      </w:r>
      <w:r w:rsidR="008969AA" w:rsidRPr="00DF5070">
        <w:rPr>
          <w:rFonts w:ascii="Times New Roman" w:hAnsi="Times New Roman"/>
          <w:sz w:val="24"/>
        </w:rPr>
        <w:t>185 [87], 195</w:t>
      </w:r>
      <w:r w:rsidR="008969AA" w:rsidRPr="00DF5070">
        <w:rPr>
          <w:rFonts w:ascii="Times New Roman" w:hAnsi="Times New Roman"/>
          <w:sz w:val="24"/>
        </w:rPr>
        <w:noBreakHyphen/>
        <w:t>196 </w:t>
      </w:r>
      <w:r w:rsidRPr="00DF5070">
        <w:rPr>
          <w:rFonts w:ascii="Times New Roman" w:hAnsi="Times New Roman"/>
          <w:sz w:val="24"/>
        </w:rPr>
        <w:t>[116].</w:t>
      </w:r>
    </w:p>
  </w:footnote>
  <w:footnote w:id="76">
    <w:p w14:paraId="019175EB" w14:textId="411C6C67" w:rsidR="00F03920" w:rsidRPr="00DF5070" w:rsidRDefault="00F03920"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See </w:t>
      </w:r>
      <w:r w:rsidR="00CA3D1E" w:rsidRPr="00DF5070">
        <w:rPr>
          <w:rFonts w:ascii="Times New Roman" w:hAnsi="Times New Roman"/>
          <w:i/>
          <w:sz w:val="24"/>
        </w:rPr>
        <w:t xml:space="preserve">Australian Competition and Consumer Commission v Cement Australia Pty Ltd </w:t>
      </w:r>
      <w:r w:rsidR="00CA3D1E" w:rsidRPr="00DF5070">
        <w:rPr>
          <w:rFonts w:ascii="Times New Roman" w:hAnsi="Times New Roman"/>
          <w:sz w:val="24"/>
        </w:rPr>
        <w:t>(2017) 258 FCR 312 at 447</w:t>
      </w:r>
      <w:r w:rsidR="00CA3D1E" w:rsidRPr="00DF5070">
        <w:rPr>
          <w:rFonts w:ascii="Times New Roman" w:hAnsi="Times New Roman"/>
          <w:sz w:val="24"/>
        </w:rPr>
        <w:noBreakHyphen/>
        <w:t>448 [</w:t>
      </w:r>
      <w:proofErr w:type="gramStart"/>
      <w:r w:rsidR="00CA3D1E" w:rsidRPr="00DF5070">
        <w:rPr>
          <w:rFonts w:ascii="Times New Roman" w:hAnsi="Times New Roman"/>
          <w:sz w:val="24"/>
        </w:rPr>
        <w:t>421]</w:t>
      </w:r>
      <w:r w:rsidR="00CA3D1E" w:rsidRPr="00DF5070">
        <w:rPr>
          <w:rFonts w:ascii="Times New Roman" w:hAnsi="Times New Roman"/>
          <w:sz w:val="24"/>
        </w:rPr>
        <w:noBreakHyphen/>
      </w:r>
      <w:proofErr w:type="gramEnd"/>
      <w:r w:rsidR="00CA3D1E" w:rsidRPr="00DF5070">
        <w:rPr>
          <w:rFonts w:ascii="Times New Roman" w:hAnsi="Times New Roman"/>
          <w:sz w:val="24"/>
        </w:rPr>
        <w:t xml:space="preserve">[424]; </w:t>
      </w:r>
      <w:r w:rsidRPr="00DF5070">
        <w:rPr>
          <w:rFonts w:ascii="Times New Roman" w:hAnsi="Times New Roman"/>
          <w:i/>
          <w:sz w:val="24"/>
        </w:rPr>
        <w:t xml:space="preserve">Australian Competition and Consumer Commission v Yazaki Corporation </w:t>
      </w:r>
      <w:r w:rsidRPr="00DF5070">
        <w:rPr>
          <w:rFonts w:ascii="Times New Roman" w:hAnsi="Times New Roman"/>
          <w:sz w:val="24"/>
        </w:rPr>
        <w:t>(2018) 262 FCR 243 at 294 [226].</w:t>
      </w:r>
    </w:p>
  </w:footnote>
  <w:footnote w:id="77">
    <w:p w14:paraId="0B2A59F5" w14:textId="0BEE95D2" w:rsidR="00B311CF" w:rsidRPr="00DF5070" w:rsidRDefault="00B311CF"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(2020) 282 FCR 580 at 647</w:t>
      </w:r>
      <w:r w:rsidRPr="00DF5070">
        <w:rPr>
          <w:rFonts w:ascii="Times New Roman" w:hAnsi="Times New Roman"/>
          <w:sz w:val="24"/>
        </w:rPr>
        <w:noBreakHyphen/>
        <w:t>648 [195].</w:t>
      </w:r>
    </w:p>
  </w:footnote>
  <w:footnote w:id="78">
    <w:p w14:paraId="3FAED461" w14:textId="00FF390C" w:rsidR="007055E8" w:rsidRPr="00DF5070" w:rsidRDefault="007055E8"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Pearce v The Queen </w:t>
      </w:r>
      <w:r w:rsidRPr="00DF5070">
        <w:rPr>
          <w:rFonts w:ascii="Times New Roman" w:hAnsi="Times New Roman"/>
          <w:sz w:val="24"/>
        </w:rPr>
        <w:t>(</w:t>
      </w:r>
      <w:r w:rsidR="007D21FE" w:rsidRPr="00DF5070">
        <w:rPr>
          <w:rFonts w:ascii="Times New Roman" w:hAnsi="Times New Roman"/>
          <w:sz w:val="24"/>
        </w:rPr>
        <w:t>1998) 194 CLR 610 at 623 [40].</w:t>
      </w:r>
    </w:p>
  </w:footnote>
  <w:footnote w:id="79">
    <w:p w14:paraId="606C678A" w14:textId="77777777" w:rsidR="00D31852" w:rsidRPr="00DF5070" w:rsidRDefault="00D31852"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(2005) 228 CLR 357 at 372 [31].</w:t>
      </w:r>
    </w:p>
  </w:footnote>
  <w:footnote w:id="80">
    <w:p w14:paraId="78B961CB" w14:textId="2E383DB9" w:rsidR="00D31852" w:rsidRPr="00DF5070" w:rsidRDefault="00D31852"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(2016) 340 ALR </w:t>
      </w:r>
      <w:r w:rsidR="003418BC" w:rsidRPr="00DF5070">
        <w:rPr>
          <w:rFonts w:ascii="Times New Roman" w:hAnsi="Times New Roman"/>
          <w:sz w:val="24"/>
        </w:rPr>
        <w:t xml:space="preserve">25 </w:t>
      </w:r>
      <w:r w:rsidRPr="00DF5070">
        <w:rPr>
          <w:rFonts w:ascii="Times New Roman" w:hAnsi="Times New Roman"/>
          <w:sz w:val="24"/>
        </w:rPr>
        <w:t xml:space="preserve">at </w:t>
      </w:r>
      <w:r w:rsidR="00AD2494" w:rsidRPr="00DF5070">
        <w:rPr>
          <w:rFonts w:ascii="Times New Roman" w:hAnsi="Times New Roman"/>
          <w:sz w:val="24"/>
        </w:rPr>
        <w:t>63 </w:t>
      </w:r>
      <w:r w:rsidRPr="00DF5070">
        <w:rPr>
          <w:rFonts w:ascii="Times New Roman" w:hAnsi="Times New Roman"/>
          <w:sz w:val="24"/>
        </w:rPr>
        <w:t>[</w:t>
      </w:r>
      <w:proofErr w:type="gramStart"/>
      <w:r w:rsidR="003418BC" w:rsidRPr="00DF5070">
        <w:rPr>
          <w:rFonts w:ascii="Times New Roman" w:hAnsi="Times New Roman"/>
          <w:sz w:val="24"/>
        </w:rPr>
        <w:t>155</w:t>
      </w:r>
      <w:r w:rsidRPr="00DF5070">
        <w:rPr>
          <w:rFonts w:ascii="Times New Roman" w:hAnsi="Times New Roman"/>
          <w:sz w:val="24"/>
        </w:rPr>
        <w:t>]</w:t>
      </w:r>
      <w:r w:rsidRPr="00DF5070">
        <w:rPr>
          <w:rFonts w:ascii="Times New Roman" w:hAnsi="Times New Roman"/>
          <w:sz w:val="24"/>
        </w:rPr>
        <w:noBreakHyphen/>
      </w:r>
      <w:proofErr w:type="gramEnd"/>
      <w:r w:rsidRPr="00DF5070">
        <w:rPr>
          <w:rFonts w:ascii="Times New Roman" w:hAnsi="Times New Roman"/>
          <w:sz w:val="24"/>
        </w:rPr>
        <w:t>[156].</w:t>
      </w:r>
    </w:p>
  </w:footnote>
  <w:footnote w:id="81">
    <w:p w14:paraId="4560AD38" w14:textId="2335164C" w:rsidR="002923EE" w:rsidRPr="00DF5070" w:rsidRDefault="002923EE"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sz w:val="24"/>
        </w:rPr>
        <w:t xml:space="preserve">Pattinson v ABCC </w:t>
      </w:r>
      <w:r w:rsidRPr="00DF5070">
        <w:rPr>
          <w:rFonts w:ascii="Times New Roman" w:hAnsi="Times New Roman"/>
          <w:sz w:val="24"/>
        </w:rPr>
        <w:t xml:space="preserve">(2020) 282 FCR 580 at </w:t>
      </w:r>
      <w:r w:rsidR="00882AB5" w:rsidRPr="00DF5070">
        <w:rPr>
          <w:rFonts w:ascii="Times New Roman" w:hAnsi="Times New Roman"/>
          <w:sz w:val="24"/>
        </w:rPr>
        <w:t>647</w:t>
      </w:r>
      <w:r w:rsidR="00882AB5" w:rsidRPr="00DF5070">
        <w:rPr>
          <w:rFonts w:ascii="Times New Roman" w:hAnsi="Times New Roman"/>
          <w:sz w:val="24"/>
        </w:rPr>
        <w:noBreakHyphen/>
      </w:r>
      <w:r w:rsidRPr="00DF5070">
        <w:rPr>
          <w:rFonts w:ascii="Times New Roman" w:hAnsi="Times New Roman"/>
          <w:sz w:val="24"/>
        </w:rPr>
        <w:t>648 [195].</w:t>
      </w:r>
    </w:p>
  </w:footnote>
  <w:footnote w:id="82">
    <w:p w14:paraId="2A5BCFFB" w14:textId="481E7B90" w:rsidR="006E24F9" w:rsidRPr="00DF5070" w:rsidRDefault="006E24F9"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[1978] ATPR </w:t>
      </w:r>
      <w:r w:rsidR="00705A64" w:rsidRPr="00DF5070">
        <w:rPr>
          <w:rFonts w:ascii="Times New Roman" w:hAnsi="Times New Roman"/>
          <w:sz w:val="24"/>
        </w:rPr>
        <w:t>¶</w:t>
      </w:r>
      <w:r w:rsidRPr="00DF5070">
        <w:rPr>
          <w:rFonts w:ascii="Times New Roman" w:hAnsi="Times New Roman"/>
          <w:sz w:val="24"/>
        </w:rPr>
        <w:t>40</w:t>
      </w:r>
      <w:r w:rsidRPr="00DF5070">
        <w:rPr>
          <w:rFonts w:ascii="Times New Roman" w:hAnsi="Times New Roman"/>
          <w:sz w:val="24"/>
        </w:rPr>
        <w:noBreakHyphen/>
        <w:t>091 at 17,896.</w:t>
      </w:r>
    </w:p>
  </w:footnote>
  <w:footnote w:id="83">
    <w:p w14:paraId="1F46A933" w14:textId="3EA4BFB8" w:rsidR="006E24F9" w:rsidRPr="00DF5070" w:rsidRDefault="006E24F9"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t xml:space="preserve">[1991] ATPR </w:t>
      </w:r>
      <w:r w:rsidR="00705A64" w:rsidRPr="00DF5070">
        <w:rPr>
          <w:rFonts w:ascii="Times New Roman" w:hAnsi="Times New Roman"/>
          <w:sz w:val="24"/>
        </w:rPr>
        <w:t>¶</w:t>
      </w:r>
      <w:r w:rsidRPr="00DF5070">
        <w:rPr>
          <w:rFonts w:ascii="Times New Roman" w:hAnsi="Times New Roman"/>
          <w:sz w:val="24"/>
        </w:rPr>
        <w:t xml:space="preserve">41-076 at </w:t>
      </w:r>
      <w:r w:rsidR="00705A64" w:rsidRPr="00DF5070">
        <w:rPr>
          <w:rFonts w:ascii="Times New Roman" w:hAnsi="Times New Roman"/>
          <w:sz w:val="24"/>
        </w:rPr>
        <w:t>52,153</w:t>
      </w:r>
      <w:r w:rsidRPr="00DF5070">
        <w:rPr>
          <w:rFonts w:ascii="Times New Roman" w:hAnsi="Times New Roman"/>
          <w:sz w:val="24"/>
        </w:rPr>
        <w:t>.</w:t>
      </w:r>
    </w:p>
  </w:footnote>
  <w:footnote w:id="84">
    <w:p w14:paraId="5A700569" w14:textId="515BC3B2" w:rsidR="00324545" w:rsidRPr="00DF5070" w:rsidRDefault="00324545"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00766CC5" w:rsidRPr="00DF5070">
        <w:rPr>
          <w:rFonts w:ascii="Times New Roman" w:hAnsi="Times New Roman"/>
          <w:sz w:val="24"/>
        </w:rPr>
        <w:t xml:space="preserve">See </w:t>
      </w:r>
      <w:r w:rsidRPr="00DF5070">
        <w:rPr>
          <w:rFonts w:ascii="Times New Roman" w:hAnsi="Times New Roman"/>
          <w:i/>
          <w:iCs/>
          <w:sz w:val="24"/>
        </w:rPr>
        <w:t>Trade Practice</w:t>
      </w:r>
      <w:r w:rsidR="00F83D2B" w:rsidRPr="00DF5070">
        <w:rPr>
          <w:rFonts w:ascii="Times New Roman" w:hAnsi="Times New Roman"/>
          <w:i/>
          <w:iCs/>
          <w:sz w:val="24"/>
        </w:rPr>
        <w:t>s</w:t>
      </w:r>
      <w:r w:rsidRPr="00DF5070">
        <w:rPr>
          <w:rFonts w:ascii="Times New Roman" w:hAnsi="Times New Roman"/>
          <w:i/>
          <w:iCs/>
          <w:sz w:val="24"/>
        </w:rPr>
        <w:t xml:space="preserve"> Commission</w:t>
      </w:r>
      <w:r w:rsidR="00F83D2B" w:rsidRPr="00DF5070">
        <w:rPr>
          <w:rFonts w:ascii="Times New Roman" w:hAnsi="Times New Roman"/>
          <w:i/>
          <w:iCs/>
          <w:sz w:val="24"/>
        </w:rPr>
        <w:t xml:space="preserve"> v Stihl Chain Saws (Aust) Pty Ltd </w:t>
      </w:r>
      <w:r w:rsidR="00A17FFC" w:rsidRPr="00DF5070">
        <w:rPr>
          <w:rFonts w:ascii="Times New Roman" w:hAnsi="Times New Roman"/>
          <w:sz w:val="24"/>
        </w:rPr>
        <w:t>[</w:t>
      </w:r>
      <w:r w:rsidR="00F83D2B" w:rsidRPr="00DF5070">
        <w:rPr>
          <w:rFonts w:ascii="Times New Roman" w:hAnsi="Times New Roman"/>
          <w:sz w:val="24"/>
        </w:rPr>
        <w:t>19</w:t>
      </w:r>
      <w:r w:rsidR="00766CC5" w:rsidRPr="00DF5070">
        <w:rPr>
          <w:rFonts w:ascii="Times New Roman" w:hAnsi="Times New Roman"/>
          <w:sz w:val="24"/>
        </w:rPr>
        <w:t>7</w:t>
      </w:r>
      <w:r w:rsidR="00F83D2B" w:rsidRPr="00DF5070">
        <w:rPr>
          <w:rFonts w:ascii="Times New Roman" w:hAnsi="Times New Roman"/>
          <w:sz w:val="24"/>
        </w:rPr>
        <w:t>8</w:t>
      </w:r>
      <w:r w:rsidR="00A17FFC" w:rsidRPr="00DF5070">
        <w:rPr>
          <w:rFonts w:ascii="Times New Roman" w:hAnsi="Times New Roman"/>
          <w:sz w:val="24"/>
        </w:rPr>
        <w:t>]</w:t>
      </w:r>
      <w:r w:rsidR="00F83D2B" w:rsidRPr="00DF5070">
        <w:rPr>
          <w:rFonts w:ascii="Times New Roman" w:hAnsi="Times New Roman"/>
          <w:sz w:val="24"/>
        </w:rPr>
        <w:t xml:space="preserve"> ATPR </w:t>
      </w:r>
      <w:r w:rsidR="00705A64" w:rsidRPr="00DF5070">
        <w:rPr>
          <w:rFonts w:ascii="Times New Roman" w:hAnsi="Times New Roman"/>
          <w:sz w:val="24"/>
        </w:rPr>
        <w:t>¶</w:t>
      </w:r>
      <w:r w:rsidR="00F83D2B" w:rsidRPr="00DF5070">
        <w:rPr>
          <w:rFonts w:ascii="Times New Roman" w:hAnsi="Times New Roman"/>
          <w:sz w:val="24"/>
        </w:rPr>
        <w:t>40</w:t>
      </w:r>
      <w:r w:rsidR="00F83D2B" w:rsidRPr="00DF5070">
        <w:rPr>
          <w:rFonts w:ascii="Times New Roman" w:hAnsi="Times New Roman"/>
          <w:sz w:val="24"/>
        </w:rPr>
        <w:noBreakHyphen/>
        <w:t>091 at 17,896.</w:t>
      </w:r>
    </w:p>
  </w:footnote>
  <w:footnote w:id="85">
    <w:p w14:paraId="139761E5" w14:textId="75FFE06D" w:rsidR="00370108" w:rsidRPr="00DF5070" w:rsidRDefault="00370108"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iCs/>
          <w:sz w:val="24"/>
        </w:rPr>
        <w:t xml:space="preserve">Pattinson v ABCC </w:t>
      </w:r>
      <w:r w:rsidRPr="00DF5070">
        <w:rPr>
          <w:rFonts w:ascii="Times New Roman" w:hAnsi="Times New Roman"/>
          <w:sz w:val="24"/>
        </w:rPr>
        <w:t xml:space="preserve">(2020) 282 FCR 580 at </w:t>
      </w:r>
      <w:r w:rsidR="0041116D" w:rsidRPr="00DF5070">
        <w:rPr>
          <w:rFonts w:ascii="Times New Roman" w:hAnsi="Times New Roman"/>
          <w:sz w:val="24"/>
        </w:rPr>
        <w:t>646 </w:t>
      </w:r>
      <w:r w:rsidRPr="00DF5070">
        <w:rPr>
          <w:rFonts w:ascii="Times New Roman" w:hAnsi="Times New Roman"/>
          <w:sz w:val="24"/>
        </w:rPr>
        <w:t>[191].</w:t>
      </w:r>
    </w:p>
  </w:footnote>
  <w:footnote w:id="86">
    <w:p w14:paraId="7CCBE671" w14:textId="4EC0DFFB" w:rsidR="00370108" w:rsidRPr="00DF5070" w:rsidRDefault="00370108"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iCs/>
          <w:sz w:val="24"/>
        </w:rPr>
        <w:t xml:space="preserve">Pattinson v ABCC </w:t>
      </w:r>
      <w:r w:rsidRPr="00DF5070">
        <w:rPr>
          <w:rFonts w:ascii="Times New Roman" w:hAnsi="Times New Roman"/>
          <w:sz w:val="24"/>
        </w:rPr>
        <w:t xml:space="preserve">(2020) 282 FCR 580 at </w:t>
      </w:r>
      <w:r w:rsidR="0041116D" w:rsidRPr="00DF5070">
        <w:rPr>
          <w:rFonts w:ascii="Times New Roman" w:hAnsi="Times New Roman"/>
          <w:sz w:val="24"/>
        </w:rPr>
        <w:t>647 </w:t>
      </w:r>
      <w:r w:rsidRPr="00DF5070">
        <w:rPr>
          <w:rFonts w:ascii="Times New Roman" w:hAnsi="Times New Roman"/>
          <w:sz w:val="24"/>
        </w:rPr>
        <w:t>[195].</w:t>
      </w:r>
      <w:r w:rsidR="00F37205" w:rsidRPr="00DF5070">
        <w:rPr>
          <w:rFonts w:ascii="Times New Roman" w:hAnsi="Times New Roman"/>
          <w:sz w:val="24"/>
        </w:rPr>
        <w:t xml:space="preserve"> See also 657 [231].</w:t>
      </w:r>
    </w:p>
  </w:footnote>
  <w:footnote w:id="87">
    <w:p w14:paraId="35546906" w14:textId="573828FF" w:rsidR="00370108" w:rsidRPr="00DF5070" w:rsidRDefault="00370108" w:rsidP="00DF5070">
      <w:pPr>
        <w:pStyle w:val="FootnoteText"/>
        <w:spacing w:line="280" w:lineRule="exact"/>
        <w:ind w:right="0"/>
        <w:jc w:val="both"/>
        <w:rPr>
          <w:rFonts w:ascii="Times New Roman" w:hAnsi="Times New Roman"/>
          <w:sz w:val="24"/>
        </w:rPr>
      </w:pPr>
      <w:r w:rsidRPr="00DF5070">
        <w:rPr>
          <w:rStyle w:val="FootnoteReference"/>
          <w:rFonts w:ascii="Times New Roman" w:hAnsi="Times New Roman"/>
          <w:sz w:val="22"/>
          <w:vertAlign w:val="baseline"/>
        </w:rPr>
        <w:footnoteRef/>
      </w:r>
      <w:r w:rsidRPr="00DF5070">
        <w:rPr>
          <w:rFonts w:ascii="Times New Roman" w:hAnsi="Times New Roman"/>
          <w:sz w:val="24"/>
        </w:rPr>
        <w:t xml:space="preserve"> </w:t>
      </w:r>
      <w:r w:rsidRPr="00DF5070">
        <w:rPr>
          <w:rFonts w:ascii="Times New Roman" w:hAnsi="Times New Roman"/>
          <w:sz w:val="24"/>
        </w:rPr>
        <w:tab/>
      </w:r>
      <w:r w:rsidRPr="00DF5070">
        <w:rPr>
          <w:rFonts w:ascii="Times New Roman" w:hAnsi="Times New Roman"/>
          <w:i/>
          <w:iCs/>
          <w:sz w:val="24"/>
        </w:rPr>
        <w:t xml:space="preserve">Pattinson v ABCC </w:t>
      </w:r>
      <w:r w:rsidRPr="00DF5070">
        <w:rPr>
          <w:rFonts w:ascii="Times New Roman" w:hAnsi="Times New Roman"/>
          <w:sz w:val="24"/>
        </w:rPr>
        <w:t xml:space="preserve">(2020) 282 FCR 580 at </w:t>
      </w:r>
      <w:r w:rsidR="0041116D" w:rsidRPr="00DF5070">
        <w:rPr>
          <w:rFonts w:ascii="Times New Roman" w:hAnsi="Times New Roman"/>
          <w:sz w:val="24"/>
        </w:rPr>
        <w:t>647 </w:t>
      </w:r>
      <w:r w:rsidRPr="00DF5070">
        <w:rPr>
          <w:rFonts w:ascii="Times New Roman" w:hAnsi="Times New Roman"/>
          <w:sz w:val="24"/>
        </w:rPr>
        <w:t>[195].</w:t>
      </w:r>
    </w:p>
  </w:footnote>
  <w:footnote w:id="88">
    <w:p w14:paraId="6001BBDC"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Moore, </w:t>
      </w:r>
      <w:r w:rsidRPr="00E12AF4">
        <w:rPr>
          <w:rFonts w:ascii="Times New Roman" w:hAnsi="Times New Roman"/>
          <w:i/>
          <w:iCs/>
          <w:sz w:val="24"/>
        </w:rPr>
        <w:t>Placing Blame</w:t>
      </w:r>
      <w:r w:rsidRPr="00E12AF4">
        <w:rPr>
          <w:rFonts w:ascii="Times New Roman" w:hAnsi="Times New Roman"/>
          <w:i/>
          <w:sz w:val="24"/>
        </w:rPr>
        <w:t>: A General Theory of the Criminal Law</w:t>
      </w:r>
      <w:r w:rsidRPr="00E12AF4">
        <w:rPr>
          <w:rFonts w:ascii="Times New Roman" w:hAnsi="Times New Roman"/>
          <w:i/>
          <w:iCs/>
          <w:sz w:val="24"/>
        </w:rPr>
        <w:t xml:space="preserve"> </w:t>
      </w:r>
      <w:r w:rsidRPr="00E12AF4">
        <w:rPr>
          <w:rFonts w:ascii="Times New Roman" w:hAnsi="Times New Roman"/>
          <w:sz w:val="24"/>
        </w:rPr>
        <w:t xml:space="preserve">(1997) at 96, quoting Dennett and Lambert, </w:t>
      </w:r>
      <w:r w:rsidRPr="00E12AF4">
        <w:rPr>
          <w:rFonts w:ascii="Times New Roman" w:hAnsi="Times New Roman"/>
          <w:i/>
          <w:sz w:val="24"/>
        </w:rPr>
        <w:t>The Philosophical Lexicon</w:t>
      </w:r>
      <w:r w:rsidRPr="00E12AF4">
        <w:rPr>
          <w:rFonts w:ascii="Times New Roman" w:hAnsi="Times New Roman"/>
          <w:sz w:val="24"/>
        </w:rPr>
        <w:t xml:space="preserve">, 7th ed (1978) at 8. See also Voltaire, </w:t>
      </w:r>
      <w:r w:rsidRPr="00E12AF4">
        <w:rPr>
          <w:rFonts w:ascii="Times New Roman" w:hAnsi="Times New Roman"/>
          <w:i/>
          <w:iCs/>
          <w:sz w:val="24"/>
        </w:rPr>
        <w:t xml:space="preserve">Candide </w:t>
      </w:r>
      <w:r w:rsidRPr="00E12AF4">
        <w:rPr>
          <w:rFonts w:ascii="Times New Roman" w:hAnsi="Times New Roman"/>
          <w:sz w:val="24"/>
        </w:rPr>
        <w:t>(1759) at 211</w:t>
      </w:r>
      <w:r w:rsidRPr="00E12AF4">
        <w:rPr>
          <w:rFonts w:ascii="Times New Roman" w:hAnsi="Times New Roman"/>
          <w:sz w:val="24"/>
        </w:rPr>
        <w:noBreakHyphen/>
        <w:t>212.</w:t>
      </w:r>
    </w:p>
  </w:footnote>
  <w:footnote w:id="89">
    <w:p w14:paraId="3D90D657"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proofErr w:type="spellStart"/>
      <w:r w:rsidRPr="00E12AF4">
        <w:rPr>
          <w:rFonts w:ascii="Times New Roman" w:hAnsi="Times New Roman"/>
          <w:sz w:val="24"/>
        </w:rPr>
        <w:t>Zedner</w:t>
      </w:r>
      <w:proofErr w:type="spellEnd"/>
      <w:r w:rsidRPr="00E12AF4">
        <w:rPr>
          <w:rFonts w:ascii="Times New Roman" w:hAnsi="Times New Roman"/>
          <w:sz w:val="24"/>
        </w:rPr>
        <w:t xml:space="preserve">, </w:t>
      </w:r>
      <w:r w:rsidRPr="00E12AF4">
        <w:rPr>
          <w:rFonts w:ascii="Times New Roman" w:hAnsi="Times New Roman"/>
          <w:i/>
          <w:sz w:val="24"/>
        </w:rPr>
        <w:t xml:space="preserve">Criminal Justice </w:t>
      </w:r>
      <w:r w:rsidRPr="00E12AF4">
        <w:rPr>
          <w:rFonts w:ascii="Times New Roman" w:hAnsi="Times New Roman"/>
          <w:sz w:val="24"/>
        </w:rPr>
        <w:t>(2004) at 95.</w:t>
      </w:r>
    </w:p>
  </w:footnote>
  <w:footnote w:id="90">
    <w:p w14:paraId="787BA543"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Compare Becker, "Crime and Punishment: An Economic Approach", in Becker and </w:t>
      </w:r>
      <w:proofErr w:type="spellStart"/>
      <w:r w:rsidRPr="00E12AF4">
        <w:rPr>
          <w:rFonts w:ascii="Times New Roman" w:hAnsi="Times New Roman"/>
          <w:sz w:val="24"/>
        </w:rPr>
        <w:t>Landes</w:t>
      </w:r>
      <w:proofErr w:type="spellEnd"/>
      <w:r w:rsidRPr="00E12AF4">
        <w:rPr>
          <w:rFonts w:ascii="Times New Roman" w:hAnsi="Times New Roman"/>
          <w:sz w:val="24"/>
        </w:rPr>
        <w:t xml:space="preserve"> (eds), </w:t>
      </w:r>
      <w:r w:rsidRPr="00E12AF4">
        <w:rPr>
          <w:rFonts w:ascii="Times New Roman" w:hAnsi="Times New Roman"/>
          <w:i/>
          <w:iCs/>
          <w:sz w:val="24"/>
        </w:rPr>
        <w:t xml:space="preserve">Essays in the Economics of </w:t>
      </w:r>
      <w:r w:rsidRPr="00E12AF4">
        <w:rPr>
          <w:rFonts w:ascii="Times New Roman" w:hAnsi="Times New Roman"/>
          <w:i/>
          <w:sz w:val="24"/>
        </w:rPr>
        <w:t>Crime and</w:t>
      </w:r>
      <w:r w:rsidRPr="00E12AF4">
        <w:rPr>
          <w:rFonts w:ascii="Times New Roman" w:hAnsi="Times New Roman"/>
          <w:i/>
          <w:iCs/>
          <w:sz w:val="24"/>
        </w:rPr>
        <w:t xml:space="preserve"> Punishment </w:t>
      </w:r>
      <w:r w:rsidRPr="00E12AF4">
        <w:rPr>
          <w:rFonts w:ascii="Times New Roman" w:hAnsi="Times New Roman"/>
          <w:sz w:val="24"/>
        </w:rPr>
        <w:t>(1974) 1 at 45.</w:t>
      </w:r>
    </w:p>
  </w:footnote>
  <w:footnote w:id="91">
    <w:p w14:paraId="3A7FFD7E"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Fair Work Act 2009 </w:t>
      </w:r>
      <w:r w:rsidRPr="00E12AF4">
        <w:rPr>
          <w:rFonts w:ascii="Times New Roman" w:hAnsi="Times New Roman"/>
          <w:sz w:val="24"/>
        </w:rPr>
        <w:t>(</w:t>
      </w:r>
      <w:proofErr w:type="spellStart"/>
      <w:r w:rsidRPr="00E12AF4">
        <w:rPr>
          <w:rFonts w:ascii="Times New Roman" w:hAnsi="Times New Roman"/>
          <w:sz w:val="24"/>
        </w:rPr>
        <w:t>Cth</w:t>
      </w:r>
      <w:proofErr w:type="spellEnd"/>
      <w:r w:rsidRPr="00E12AF4">
        <w:rPr>
          <w:rFonts w:ascii="Times New Roman" w:hAnsi="Times New Roman"/>
          <w:sz w:val="24"/>
        </w:rPr>
        <w:t>), s 363.</w:t>
      </w:r>
    </w:p>
  </w:footnote>
  <w:footnote w:id="92">
    <w:p w14:paraId="5B2C91E1"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A</w:t>
      </w:r>
      <w:r w:rsidRPr="00E12AF4">
        <w:rPr>
          <w:rFonts w:ascii="Times New Roman" w:hAnsi="Times New Roman"/>
          <w:i/>
          <w:sz w:val="24"/>
        </w:rPr>
        <w:t>ustralian Building and Construction Commissioner</w:t>
      </w:r>
      <w:r w:rsidRPr="00E12AF4">
        <w:rPr>
          <w:rFonts w:ascii="Times New Roman" w:hAnsi="Times New Roman"/>
          <w:i/>
          <w:iCs/>
          <w:sz w:val="24"/>
        </w:rPr>
        <w:t xml:space="preserve"> v Pattinson </w:t>
      </w:r>
      <w:r w:rsidRPr="00E12AF4">
        <w:rPr>
          <w:rFonts w:ascii="Times New Roman" w:hAnsi="Times New Roman"/>
          <w:sz w:val="24"/>
        </w:rPr>
        <w:t>(2019) 291 IR 286 at 298 [35].</w:t>
      </w:r>
    </w:p>
  </w:footnote>
  <w:footnote w:id="93">
    <w:p w14:paraId="57E54D0A"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A</w:t>
      </w:r>
      <w:r w:rsidRPr="00E12AF4">
        <w:rPr>
          <w:rFonts w:ascii="Times New Roman" w:hAnsi="Times New Roman"/>
          <w:i/>
          <w:sz w:val="24"/>
        </w:rPr>
        <w:t>ustralian Building and Construction Commissioner</w:t>
      </w:r>
      <w:r w:rsidRPr="00E12AF4">
        <w:rPr>
          <w:rFonts w:ascii="Times New Roman" w:hAnsi="Times New Roman"/>
          <w:i/>
          <w:iCs/>
          <w:sz w:val="24"/>
        </w:rPr>
        <w:t xml:space="preserve"> v Pattinson </w:t>
      </w:r>
      <w:r w:rsidRPr="00E12AF4">
        <w:rPr>
          <w:rFonts w:ascii="Times New Roman" w:hAnsi="Times New Roman"/>
          <w:sz w:val="24"/>
        </w:rPr>
        <w:t>(2019) 291 IR 286 at 310 [83].</w:t>
      </w:r>
    </w:p>
  </w:footnote>
  <w:footnote w:id="94">
    <w:p w14:paraId="12C94C7B"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A</w:t>
      </w:r>
      <w:r w:rsidRPr="00E12AF4">
        <w:rPr>
          <w:rFonts w:ascii="Times New Roman" w:hAnsi="Times New Roman"/>
          <w:i/>
          <w:sz w:val="24"/>
        </w:rPr>
        <w:t>ustralian Building and Construction Commissioner</w:t>
      </w:r>
      <w:r w:rsidRPr="00E12AF4">
        <w:rPr>
          <w:rFonts w:ascii="Times New Roman" w:hAnsi="Times New Roman"/>
          <w:i/>
          <w:iCs/>
          <w:sz w:val="24"/>
        </w:rPr>
        <w:t xml:space="preserve"> v Pattinson </w:t>
      </w:r>
      <w:r w:rsidRPr="00E12AF4">
        <w:rPr>
          <w:rFonts w:ascii="Times New Roman" w:hAnsi="Times New Roman"/>
          <w:sz w:val="24"/>
        </w:rPr>
        <w:t>(2019) 291 IR 286 at 310 [84].</w:t>
      </w:r>
    </w:p>
  </w:footnote>
  <w:footnote w:id="95">
    <w:p w14:paraId="4F87C7F9"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A</w:t>
      </w:r>
      <w:r w:rsidRPr="00E12AF4">
        <w:rPr>
          <w:rFonts w:ascii="Times New Roman" w:hAnsi="Times New Roman"/>
          <w:i/>
          <w:sz w:val="24"/>
        </w:rPr>
        <w:t>ustralian Building and Construction Commissioner</w:t>
      </w:r>
      <w:r w:rsidRPr="00E12AF4">
        <w:rPr>
          <w:rFonts w:ascii="Times New Roman" w:hAnsi="Times New Roman"/>
          <w:i/>
          <w:iCs/>
          <w:sz w:val="24"/>
        </w:rPr>
        <w:t xml:space="preserve"> v Pattinson </w:t>
      </w:r>
      <w:r w:rsidRPr="00E12AF4">
        <w:rPr>
          <w:rFonts w:ascii="Times New Roman" w:hAnsi="Times New Roman"/>
          <w:sz w:val="24"/>
        </w:rPr>
        <w:t>(2019) 291 IR 286 at 313 [96].</w:t>
      </w:r>
    </w:p>
  </w:footnote>
  <w:footnote w:id="96">
    <w:p w14:paraId="270F8BA0"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Hart, </w:t>
      </w:r>
      <w:r w:rsidRPr="00E12AF4">
        <w:rPr>
          <w:rFonts w:ascii="Times New Roman" w:hAnsi="Times New Roman"/>
          <w:i/>
          <w:sz w:val="24"/>
        </w:rPr>
        <w:t>Punishment and Responsibility: Essays in the Philosophy of Law</w:t>
      </w:r>
      <w:r w:rsidRPr="00E12AF4">
        <w:rPr>
          <w:rFonts w:ascii="Times New Roman" w:hAnsi="Times New Roman"/>
          <w:sz w:val="24"/>
        </w:rPr>
        <w:t>, 2nd ed</w:t>
      </w:r>
      <w:r w:rsidRPr="00E12AF4">
        <w:rPr>
          <w:rFonts w:ascii="Times New Roman" w:hAnsi="Times New Roman"/>
          <w:i/>
          <w:sz w:val="24"/>
        </w:rPr>
        <w:t xml:space="preserve"> </w:t>
      </w:r>
      <w:r w:rsidRPr="00E12AF4">
        <w:rPr>
          <w:rFonts w:ascii="Times New Roman" w:hAnsi="Times New Roman"/>
          <w:sz w:val="24"/>
        </w:rPr>
        <w:t>(2008)</w:t>
      </w:r>
      <w:r w:rsidRPr="00E12AF4">
        <w:rPr>
          <w:rFonts w:ascii="Times New Roman" w:hAnsi="Times New Roman"/>
          <w:i/>
          <w:sz w:val="24"/>
        </w:rPr>
        <w:t xml:space="preserve"> </w:t>
      </w:r>
      <w:r w:rsidRPr="00E12AF4">
        <w:rPr>
          <w:rFonts w:ascii="Times New Roman" w:hAnsi="Times New Roman"/>
          <w:sz w:val="24"/>
        </w:rPr>
        <w:t>at 25.</w:t>
      </w:r>
    </w:p>
  </w:footnote>
  <w:footnote w:id="97">
    <w:p w14:paraId="1A6C4FBF"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Morris, </w:t>
      </w:r>
      <w:r w:rsidRPr="00E12AF4">
        <w:rPr>
          <w:rFonts w:ascii="Times New Roman" w:hAnsi="Times New Roman"/>
          <w:i/>
          <w:iCs/>
          <w:sz w:val="24"/>
        </w:rPr>
        <w:t xml:space="preserve">Madness and the Criminal Law </w:t>
      </w:r>
      <w:r w:rsidRPr="00E12AF4">
        <w:rPr>
          <w:rFonts w:ascii="Times New Roman" w:hAnsi="Times New Roman"/>
          <w:sz w:val="24"/>
        </w:rPr>
        <w:t xml:space="preserve">(1982), </w:t>
      </w:r>
      <w:proofErr w:type="spellStart"/>
      <w:r w:rsidRPr="00E12AF4">
        <w:rPr>
          <w:rFonts w:ascii="Times New Roman" w:hAnsi="Times New Roman"/>
          <w:sz w:val="24"/>
        </w:rPr>
        <w:t>ch</w:t>
      </w:r>
      <w:proofErr w:type="spellEnd"/>
      <w:r w:rsidRPr="00E12AF4">
        <w:rPr>
          <w:rFonts w:ascii="Times New Roman" w:hAnsi="Times New Roman"/>
          <w:sz w:val="24"/>
        </w:rPr>
        <w:t xml:space="preserve"> 5. Compare von Hirsch, "Proportionality in the Philosophy of Punishment" (1992) 16 </w:t>
      </w:r>
      <w:r w:rsidRPr="00E12AF4">
        <w:rPr>
          <w:rFonts w:ascii="Times New Roman" w:hAnsi="Times New Roman"/>
          <w:i/>
          <w:iCs/>
          <w:sz w:val="24"/>
        </w:rPr>
        <w:t xml:space="preserve">Crime and Justice: A Review of Research </w:t>
      </w:r>
      <w:r w:rsidRPr="00E12AF4">
        <w:rPr>
          <w:rFonts w:ascii="Times New Roman" w:hAnsi="Times New Roman"/>
          <w:sz w:val="24"/>
        </w:rPr>
        <w:t>55 at 89</w:t>
      </w:r>
      <w:r w:rsidRPr="00E12AF4">
        <w:rPr>
          <w:rFonts w:ascii="Times New Roman" w:hAnsi="Times New Roman"/>
          <w:sz w:val="24"/>
        </w:rPr>
        <w:noBreakHyphen/>
        <w:t>90.</w:t>
      </w:r>
    </w:p>
  </w:footnote>
  <w:footnote w:id="98">
    <w:p w14:paraId="483C04F7"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(1989) 167 CLR 348 at 354 (emphasis in original).</w:t>
      </w:r>
    </w:p>
  </w:footnote>
  <w:footnote w:id="99">
    <w:p w14:paraId="41974282"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Australian Law Reform Commission, </w:t>
      </w:r>
      <w:r w:rsidRPr="00E12AF4">
        <w:rPr>
          <w:rFonts w:ascii="Times New Roman" w:hAnsi="Times New Roman"/>
          <w:i/>
          <w:iCs/>
          <w:sz w:val="24"/>
        </w:rPr>
        <w:t>Same Crime, Same Time: Sentencing of Federal Offenders</w:t>
      </w:r>
      <w:r w:rsidRPr="00E12AF4">
        <w:rPr>
          <w:rFonts w:ascii="Times New Roman" w:hAnsi="Times New Roman"/>
          <w:sz w:val="24"/>
        </w:rPr>
        <w:t>, Report No 103 (2006) at 150 [5.3].</w:t>
      </w:r>
    </w:p>
  </w:footnote>
  <w:footnote w:id="100">
    <w:p w14:paraId="62DF59B4"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Markarian v The Queen </w:t>
      </w:r>
      <w:r w:rsidRPr="00E12AF4">
        <w:rPr>
          <w:rFonts w:ascii="Times New Roman" w:hAnsi="Times New Roman"/>
          <w:sz w:val="24"/>
        </w:rPr>
        <w:t>(2005) 228 CLR 357 at 385 [69].</w:t>
      </w:r>
    </w:p>
  </w:footnote>
  <w:footnote w:id="101">
    <w:p w14:paraId="2D813E7C"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See also </w:t>
      </w:r>
      <w:r w:rsidRPr="00E12AF4">
        <w:rPr>
          <w:rFonts w:ascii="Times New Roman" w:hAnsi="Times New Roman"/>
          <w:i/>
          <w:iCs/>
          <w:sz w:val="24"/>
        </w:rPr>
        <w:t>Veen v The Queen [No 2]</w:t>
      </w:r>
      <w:r w:rsidRPr="00E12AF4">
        <w:rPr>
          <w:rFonts w:ascii="Times New Roman" w:hAnsi="Times New Roman"/>
          <w:sz w:val="24"/>
        </w:rPr>
        <w:t xml:space="preserve"> (1988) 164 CLR 465 at 491.</w:t>
      </w:r>
    </w:p>
  </w:footnote>
  <w:footnote w:id="102">
    <w:p w14:paraId="5246EAB2"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XL Petroleum (NSW) Pty Ltd v Caltex Oil (Australia) Pty Ltd</w:t>
      </w:r>
      <w:r w:rsidRPr="00E12AF4">
        <w:rPr>
          <w:rFonts w:ascii="Times New Roman" w:hAnsi="Times New Roman"/>
          <w:sz w:val="24"/>
        </w:rPr>
        <w:t xml:space="preserve"> (1985) 155 CLR 448 at 471. See also </w:t>
      </w:r>
      <w:proofErr w:type="spellStart"/>
      <w:r w:rsidRPr="00E12AF4">
        <w:rPr>
          <w:rFonts w:ascii="Times New Roman" w:hAnsi="Times New Roman"/>
          <w:i/>
          <w:sz w:val="24"/>
        </w:rPr>
        <w:t>Gray</w:t>
      </w:r>
      <w:proofErr w:type="spellEnd"/>
      <w:r w:rsidRPr="00E12AF4">
        <w:rPr>
          <w:rFonts w:ascii="Times New Roman" w:hAnsi="Times New Roman"/>
          <w:i/>
          <w:sz w:val="24"/>
        </w:rPr>
        <w:t xml:space="preserve"> v Motor Accident Commission</w:t>
      </w:r>
      <w:r w:rsidRPr="00E12AF4">
        <w:rPr>
          <w:rFonts w:ascii="Times New Roman" w:hAnsi="Times New Roman"/>
          <w:sz w:val="24"/>
        </w:rPr>
        <w:t xml:space="preserve"> (1998) 196 CLR 1 at 10</w:t>
      </w:r>
      <w:r w:rsidRPr="00E12AF4">
        <w:rPr>
          <w:rFonts w:ascii="Times New Roman" w:hAnsi="Times New Roman"/>
          <w:sz w:val="24"/>
        </w:rPr>
        <w:noBreakHyphen/>
        <w:t>12 [</w:t>
      </w:r>
      <w:proofErr w:type="gramStart"/>
      <w:r w:rsidRPr="00E12AF4">
        <w:rPr>
          <w:rFonts w:ascii="Times New Roman" w:hAnsi="Times New Roman"/>
          <w:sz w:val="24"/>
        </w:rPr>
        <w:t>26]</w:t>
      </w:r>
      <w:r w:rsidRPr="00E12AF4">
        <w:rPr>
          <w:rFonts w:ascii="Times New Roman" w:hAnsi="Times New Roman"/>
          <w:sz w:val="24"/>
        </w:rPr>
        <w:noBreakHyphen/>
      </w:r>
      <w:proofErr w:type="gramEnd"/>
      <w:r w:rsidRPr="00E12AF4">
        <w:rPr>
          <w:rFonts w:ascii="Times New Roman" w:hAnsi="Times New Roman"/>
          <w:sz w:val="24"/>
        </w:rPr>
        <w:t>[31].</w:t>
      </w:r>
    </w:p>
  </w:footnote>
  <w:footnote w:id="103">
    <w:p w14:paraId="05A68BBB"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(1996) 517 US 559 at 575.</w:t>
      </w:r>
    </w:p>
  </w:footnote>
  <w:footnote w:id="104">
    <w:p w14:paraId="614B28F9"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(1996) 517 US 559 at 575, citing </w:t>
      </w:r>
      <w:r w:rsidRPr="00E12AF4">
        <w:rPr>
          <w:rStyle w:val="Emphasis"/>
          <w:rFonts w:ascii="Times New Roman" w:hAnsi="Times New Roman"/>
          <w:sz w:val="24"/>
        </w:rPr>
        <w:t xml:space="preserve">St Louis, Iron Mountain </w:t>
      </w:r>
      <w:r w:rsidRPr="00E12AF4">
        <w:rPr>
          <w:rFonts w:ascii="Times New Roman" w:hAnsi="Times New Roman"/>
          <w:i/>
          <w:iCs/>
          <w:sz w:val="24"/>
        </w:rPr>
        <w:t>&amp;</w:t>
      </w:r>
      <w:r w:rsidRPr="00E12AF4">
        <w:rPr>
          <w:rFonts w:ascii="Times New Roman" w:hAnsi="Times New Roman"/>
          <w:sz w:val="24"/>
        </w:rPr>
        <w:t xml:space="preserve"> </w:t>
      </w:r>
      <w:r w:rsidRPr="00E12AF4">
        <w:rPr>
          <w:rFonts w:ascii="Times New Roman" w:hAnsi="Times New Roman"/>
          <w:i/>
          <w:sz w:val="24"/>
        </w:rPr>
        <w:t xml:space="preserve">Southern </w:t>
      </w:r>
      <w:r w:rsidRPr="00E12AF4">
        <w:rPr>
          <w:rStyle w:val="Emphasis"/>
          <w:rFonts w:ascii="Times New Roman" w:hAnsi="Times New Roman"/>
          <w:sz w:val="24"/>
        </w:rPr>
        <w:t xml:space="preserve">Railway Co </w:t>
      </w:r>
      <w:r w:rsidRPr="00E12AF4">
        <w:rPr>
          <w:rFonts w:ascii="Times New Roman" w:hAnsi="Times New Roman"/>
          <w:i/>
          <w:iCs/>
          <w:sz w:val="24"/>
        </w:rPr>
        <w:t>v</w:t>
      </w:r>
      <w:r w:rsidRPr="00E12AF4">
        <w:rPr>
          <w:rFonts w:ascii="Times New Roman" w:hAnsi="Times New Roman"/>
          <w:sz w:val="24"/>
        </w:rPr>
        <w:t xml:space="preserve"> </w:t>
      </w:r>
      <w:r w:rsidRPr="00E12AF4">
        <w:rPr>
          <w:rStyle w:val="Emphasis"/>
          <w:rFonts w:ascii="Times New Roman" w:hAnsi="Times New Roman"/>
          <w:sz w:val="24"/>
        </w:rPr>
        <w:t>Williams (1919) 251 US 63 at 66</w:t>
      </w:r>
      <w:r w:rsidRPr="00E12AF4">
        <w:rPr>
          <w:rStyle w:val="Emphasis"/>
          <w:rFonts w:ascii="Times New Roman" w:hAnsi="Times New Roman"/>
          <w:sz w:val="24"/>
        </w:rPr>
        <w:noBreakHyphen/>
        <w:t>67.</w:t>
      </w:r>
    </w:p>
  </w:footnote>
  <w:footnote w:id="105">
    <w:p w14:paraId="1B6FC076"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(2019) 267 CLR 373 at 398 [27], 403</w:t>
      </w:r>
      <w:r w:rsidRPr="00E12AF4">
        <w:rPr>
          <w:rFonts w:ascii="Times New Roman" w:hAnsi="Times New Roman"/>
          <w:sz w:val="24"/>
        </w:rPr>
        <w:noBreakHyphen/>
        <w:t>404 [40].</w:t>
      </w:r>
    </w:p>
  </w:footnote>
  <w:footnote w:id="106">
    <w:p w14:paraId="293726D7"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(1998) 196 CLR 1 at 7</w:t>
      </w:r>
      <w:r w:rsidRPr="00E12AF4">
        <w:rPr>
          <w:rFonts w:ascii="Times New Roman" w:hAnsi="Times New Roman"/>
          <w:sz w:val="24"/>
        </w:rPr>
        <w:noBreakHyphen/>
        <w:t>8 [16] (footnotes omitted).</w:t>
      </w:r>
    </w:p>
  </w:footnote>
  <w:footnote w:id="107">
    <w:p w14:paraId="43D9D3E2"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Mill v The Queen </w:t>
      </w:r>
      <w:r w:rsidRPr="00E12AF4">
        <w:rPr>
          <w:rFonts w:ascii="Times New Roman" w:hAnsi="Times New Roman"/>
          <w:sz w:val="24"/>
        </w:rPr>
        <w:t xml:space="preserve">(1988) 166 CLR 59 at 63, quoting </w:t>
      </w:r>
      <w:r w:rsidRPr="00E12AF4">
        <w:rPr>
          <w:rFonts w:ascii="Times New Roman" w:hAnsi="Times New Roman"/>
          <w:i/>
          <w:iCs/>
          <w:sz w:val="24"/>
        </w:rPr>
        <w:t xml:space="preserve">R v Knight </w:t>
      </w:r>
      <w:r w:rsidRPr="00E12AF4">
        <w:rPr>
          <w:rFonts w:ascii="Times New Roman" w:hAnsi="Times New Roman"/>
          <w:sz w:val="24"/>
        </w:rPr>
        <w:t>(1981) 26 SASR 573 at 576.</w:t>
      </w:r>
    </w:p>
  </w:footnote>
  <w:footnote w:id="108">
    <w:p w14:paraId="16A24D69"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proofErr w:type="spellStart"/>
      <w:r w:rsidRPr="00E12AF4">
        <w:rPr>
          <w:rFonts w:ascii="Times New Roman" w:hAnsi="Times New Roman"/>
          <w:i/>
          <w:iCs/>
          <w:sz w:val="24"/>
        </w:rPr>
        <w:t>Postiglione</w:t>
      </w:r>
      <w:proofErr w:type="spellEnd"/>
      <w:r w:rsidRPr="00E12AF4">
        <w:rPr>
          <w:rFonts w:ascii="Times New Roman" w:hAnsi="Times New Roman"/>
          <w:i/>
          <w:iCs/>
          <w:sz w:val="24"/>
        </w:rPr>
        <w:t xml:space="preserve"> v The Queen </w:t>
      </w:r>
      <w:r w:rsidRPr="00E12AF4">
        <w:rPr>
          <w:rFonts w:ascii="Times New Roman" w:hAnsi="Times New Roman"/>
          <w:sz w:val="24"/>
        </w:rPr>
        <w:t>(1997) 189 CLR 295 at 304, 308, 340</w:t>
      </w:r>
      <w:r w:rsidRPr="00E12AF4">
        <w:rPr>
          <w:rFonts w:ascii="Times New Roman" w:hAnsi="Times New Roman"/>
          <w:sz w:val="24"/>
        </w:rPr>
        <w:noBreakHyphen/>
        <w:t>341.</w:t>
      </w:r>
    </w:p>
  </w:footnote>
  <w:footnote w:id="109">
    <w:p w14:paraId="6B80737C"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Australian Ophthalmic Supplies Pty Ltd v </w:t>
      </w:r>
      <w:proofErr w:type="spellStart"/>
      <w:r w:rsidRPr="00E12AF4">
        <w:rPr>
          <w:rFonts w:ascii="Times New Roman" w:hAnsi="Times New Roman"/>
          <w:i/>
          <w:iCs/>
          <w:sz w:val="24"/>
        </w:rPr>
        <w:t>McAlary</w:t>
      </w:r>
      <w:proofErr w:type="spellEnd"/>
      <w:r w:rsidRPr="00E12AF4">
        <w:rPr>
          <w:rFonts w:ascii="Times New Roman" w:hAnsi="Times New Roman"/>
          <w:i/>
          <w:iCs/>
          <w:sz w:val="24"/>
        </w:rPr>
        <w:noBreakHyphen/>
        <w:t xml:space="preserve">Smith </w:t>
      </w:r>
      <w:r w:rsidRPr="00E12AF4">
        <w:rPr>
          <w:rFonts w:ascii="Times New Roman" w:hAnsi="Times New Roman"/>
          <w:sz w:val="24"/>
        </w:rPr>
        <w:t xml:space="preserve">(2008) 165 FCR 560 at 572 [54]. See also at 567 [23], 583 [102]; </w:t>
      </w:r>
      <w:r w:rsidRPr="00E12AF4">
        <w:rPr>
          <w:rFonts w:ascii="Times New Roman" w:hAnsi="Times New Roman"/>
          <w:i/>
          <w:iCs/>
          <w:sz w:val="24"/>
        </w:rPr>
        <w:t xml:space="preserve">QR Ltd v Communications, Electrical, Electronic, Energy, Information, Postal, Plumbing and Allied Services Union of Australia </w:t>
      </w:r>
      <w:r w:rsidRPr="00E12AF4">
        <w:rPr>
          <w:rFonts w:ascii="Times New Roman" w:hAnsi="Times New Roman"/>
          <w:sz w:val="24"/>
        </w:rPr>
        <w:t>(2010) 204 IR 142 at 166</w:t>
      </w:r>
      <w:r w:rsidRPr="00E12AF4">
        <w:rPr>
          <w:rFonts w:ascii="Times New Roman" w:hAnsi="Times New Roman"/>
          <w:sz w:val="24"/>
        </w:rPr>
        <w:noBreakHyphen/>
        <w:t xml:space="preserve">167 [62]. See further </w:t>
      </w:r>
      <w:r w:rsidRPr="00E12AF4">
        <w:rPr>
          <w:rFonts w:ascii="Times New Roman" w:hAnsi="Times New Roman"/>
          <w:i/>
          <w:iCs/>
          <w:sz w:val="24"/>
        </w:rPr>
        <w:t xml:space="preserve">Director of the Fair Work Building Industry Inspectorate v Construction, Forestry, Mining and Energy Union </w:t>
      </w:r>
      <w:r w:rsidRPr="00E12AF4">
        <w:rPr>
          <w:rFonts w:ascii="Times New Roman" w:hAnsi="Times New Roman"/>
          <w:sz w:val="24"/>
        </w:rPr>
        <w:t>[2016] FCA 413 at [</w:t>
      </w:r>
      <w:proofErr w:type="gramStart"/>
      <w:r w:rsidRPr="00E12AF4">
        <w:rPr>
          <w:rFonts w:ascii="Times New Roman" w:hAnsi="Times New Roman"/>
          <w:sz w:val="24"/>
        </w:rPr>
        <w:t>61]</w:t>
      </w:r>
      <w:r w:rsidRPr="00E12AF4">
        <w:rPr>
          <w:rFonts w:ascii="Times New Roman" w:hAnsi="Times New Roman"/>
          <w:sz w:val="24"/>
        </w:rPr>
        <w:noBreakHyphen/>
      </w:r>
      <w:proofErr w:type="gramEnd"/>
      <w:r w:rsidRPr="00E12AF4">
        <w:rPr>
          <w:rFonts w:ascii="Times New Roman" w:hAnsi="Times New Roman"/>
          <w:sz w:val="24"/>
        </w:rPr>
        <w:t xml:space="preserve">[62]; </w:t>
      </w:r>
      <w:r w:rsidRPr="00E12AF4">
        <w:rPr>
          <w:rFonts w:ascii="Times New Roman" w:hAnsi="Times New Roman"/>
          <w:i/>
          <w:iCs/>
          <w:sz w:val="24"/>
        </w:rPr>
        <w:t xml:space="preserve">Construction, Forestry, Maritime, Mining and Energy Union v Australian Building and Construction Commissioner </w:t>
      </w:r>
      <w:r w:rsidRPr="00E12AF4">
        <w:rPr>
          <w:rFonts w:ascii="Times New Roman" w:hAnsi="Times New Roman"/>
          <w:sz w:val="24"/>
        </w:rPr>
        <w:t>(2018) 265 FCR 208 at 212 [7].</w:t>
      </w:r>
    </w:p>
  </w:footnote>
  <w:footnote w:id="110">
    <w:p w14:paraId="39DB3AAF"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QR Ltd v Communications, Electrical, Electronic, Energy, Information, Postal, Plumbing and Allied Services Union of Australia </w:t>
      </w:r>
      <w:r w:rsidRPr="00E12AF4">
        <w:rPr>
          <w:rFonts w:ascii="Times New Roman" w:hAnsi="Times New Roman"/>
          <w:sz w:val="24"/>
        </w:rPr>
        <w:t>(2010) 204 IR 142 at 166 [62].</w:t>
      </w:r>
    </w:p>
  </w:footnote>
  <w:footnote w:id="111">
    <w:p w14:paraId="2A670EF0"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McIver v Healey </w:t>
      </w:r>
      <w:r w:rsidRPr="00E12AF4">
        <w:rPr>
          <w:rFonts w:ascii="Times New Roman" w:hAnsi="Times New Roman"/>
          <w:sz w:val="24"/>
        </w:rPr>
        <w:t>[2008] FCA 425 at [</w:t>
      </w:r>
      <w:proofErr w:type="gramStart"/>
      <w:r w:rsidRPr="00E12AF4">
        <w:rPr>
          <w:rFonts w:ascii="Times New Roman" w:hAnsi="Times New Roman"/>
          <w:sz w:val="24"/>
        </w:rPr>
        <w:t>30]</w:t>
      </w:r>
      <w:r w:rsidRPr="00E12AF4">
        <w:rPr>
          <w:rFonts w:ascii="Times New Roman" w:hAnsi="Times New Roman"/>
          <w:sz w:val="24"/>
        </w:rPr>
        <w:noBreakHyphen/>
      </w:r>
      <w:proofErr w:type="gramEnd"/>
      <w:r w:rsidRPr="00E12AF4">
        <w:rPr>
          <w:rFonts w:ascii="Times New Roman" w:hAnsi="Times New Roman"/>
          <w:sz w:val="24"/>
        </w:rPr>
        <w:t>[31].</w:t>
      </w:r>
    </w:p>
  </w:footnote>
  <w:footnote w:id="112">
    <w:p w14:paraId="4EB4CBFA"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Wong v The Queen </w:t>
      </w:r>
      <w:r w:rsidRPr="00E12AF4">
        <w:rPr>
          <w:rFonts w:ascii="Times New Roman" w:hAnsi="Times New Roman"/>
          <w:sz w:val="24"/>
        </w:rPr>
        <w:t>(2001) 207 CLR 584 at 591 [6].</w:t>
      </w:r>
    </w:p>
  </w:footnote>
  <w:footnote w:id="113">
    <w:p w14:paraId="090217E8"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Markarian v The Queen </w:t>
      </w:r>
      <w:r w:rsidRPr="00E12AF4">
        <w:rPr>
          <w:rFonts w:ascii="Times New Roman" w:hAnsi="Times New Roman"/>
          <w:sz w:val="24"/>
        </w:rPr>
        <w:t>(2005) 228 CLR 357 at 372 [31].</w:t>
      </w:r>
    </w:p>
  </w:footnote>
  <w:footnote w:id="114">
    <w:p w14:paraId="305BC9D8" w14:textId="77777777" w:rsidR="00CE2E11" w:rsidRPr="00E12AF4" w:rsidRDefault="00CE2E11" w:rsidP="00E12AF4">
      <w:pPr>
        <w:pStyle w:val="FootnoteText"/>
        <w:spacing w:line="280" w:lineRule="exact"/>
        <w:ind w:right="0"/>
        <w:jc w:val="both"/>
        <w:rPr>
          <w:rFonts w:ascii="Times New Roman" w:hAnsi="Times New Roman"/>
          <w:i/>
          <w:iCs/>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Fox v St Barbara Mines Ltd </w:t>
      </w:r>
      <w:r w:rsidRPr="00E12AF4">
        <w:rPr>
          <w:rFonts w:ascii="Times New Roman" w:hAnsi="Times New Roman"/>
          <w:sz w:val="24"/>
        </w:rPr>
        <w:t xml:space="preserve">[1998] FCA 621 at 18. See also </w:t>
      </w:r>
      <w:r w:rsidRPr="00E12AF4">
        <w:rPr>
          <w:rFonts w:ascii="Times New Roman" w:hAnsi="Times New Roman"/>
          <w:i/>
          <w:iCs/>
          <w:sz w:val="24"/>
        </w:rPr>
        <w:t xml:space="preserve">QR Ltd v Communications, Electrical, Electronic, Energy, Information, Postal, Plumbing and Allied Services Union of Australia </w:t>
      </w:r>
      <w:r w:rsidRPr="00E12AF4">
        <w:rPr>
          <w:rFonts w:ascii="Times New Roman" w:hAnsi="Times New Roman"/>
          <w:sz w:val="24"/>
        </w:rPr>
        <w:t xml:space="preserve">(2010) 204 IR 142 at 166 [58]; </w:t>
      </w:r>
      <w:r w:rsidRPr="00E12AF4">
        <w:rPr>
          <w:rFonts w:ascii="Times New Roman" w:hAnsi="Times New Roman"/>
          <w:i/>
          <w:iCs/>
          <w:sz w:val="24"/>
        </w:rPr>
        <w:t xml:space="preserve">Parker v Australian Building and Construction Commissioner </w:t>
      </w:r>
      <w:r w:rsidRPr="00E12AF4">
        <w:rPr>
          <w:rFonts w:ascii="Times New Roman" w:hAnsi="Times New Roman"/>
          <w:sz w:val="24"/>
        </w:rPr>
        <w:t>(2019) 270 FCR 39</w:t>
      </w:r>
      <w:r w:rsidRPr="00E12AF4">
        <w:rPr>
          <w:rFonts w:ascii="Times New Roman" w:hAnsi="Times New Roman"/>
          <w:i/>
          <w:iCs/>
          <w:sz w:val="24"/>
        </w:rPr>
        <w:t xml:space="preserve"> </w:t>
      </w:r>
      <w:r w:rsidRPr="00E12AF4">
        <w:rPr>
          <w:rFonts w:ascii="Times New Roman" w:hAnsi="Times New Roman"/>
          <w:sz w:val="24"/>
        </w:rPr>
        <w:t>at 146</w:t>
      </w:r>
      <w:r w:rsidRPr="00E12AF4">
        <w:rPr>
          <w:rFonts w:ascii="Times New Roman" w:hAnsi="Times New Roman"/>
          <w:sz w:val="24"/>
        </w:rPr>
        <w:noBreakHyphen/>
        <w:t>147 [342].</w:t>
      </w:r>
    </w:p>
  </w:footnote>
  <w:footnote w:id="115">
    <w:p w14:paraId="4C5B1D8A"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i/>
          <w:iCs/>
          <w:sz w:val="24"/>
        </w:rPr>
        <w:tab/>
        <w:t xml:space="preserve">Ryan v The Queen </w:t>
      </w:r>
      <w:r w:rsidRPr="00E12AF4">
        <w:rPr>
          <w:rFonts w:ascii="Times New Roman" w:hAnsi="Times New Roman"/>
          <w:sz w:val="24"/>
        </w:rPr>
        <w:t>(1982) 149 CLR 1 at 22.</w:t>
      </w:r>
    </w:p>
  </w:footnote>
  <w:footnote w:id="116">
    <w:p w14:paraId="5E890834"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i/>
          <w:iCs/>
          <w:sz w:val="24"/>
        </w:rPr>
        <w:tab/>
        <w:t>Pearce v The Queen</w:t>
      </w:r>
      <w:r w:rsidRPr="00E12AF4">
        <w:rPr>
          <w:rFonts w:ascii="Times New Roman" w:hAnsi="Times New Roman"/>
          <w:iCs/>
          <w:sz w:val="24"/>
        </w:rPr>
        <w:t xml:space="preserve"> </w:t>
      </w:r>
      <w:r w:rsidRPr="00E12AF4">
        <w:rPr>
          <w:rFonts w:ascii="Times New Roman" w:hAnsi="Times New Roman"/>
          <w:sz w:val="24"/>
        </w:rPr>
        <w:t>(1998) 194 CLR 610 at 623 [40].</w:t>
      </w:r>
    </w:p>
  </w:footnote>
  <w:footnote w:id="117">
    <w:p w14:paraId="4A0CA142"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See </w:t>
      </w:r>
      <w:proofErr w:type="spellStart"/>
      <w:r w:rsidRPr="00E12AF4">
        <w:rPr>
          <w:rFonts w:ascii="Times New Roman" w:hAnsi="Times New Roman"/>
          <w:sz w:val="24"/>
        </w:rPr>
        <w:t>eg</w:t>
      </w:r>
      <w:proofErr w:type="spellEnd"/>
      <w:r w:rsidRPr="00E12AF4">
        <w:rPr>
          <w:rFonts w:ascii="Times New Roman" w:hAnsi="Times New Roman"/>
          <w:sz w:val="24"/>
        </w:rPr>
        <w:t xml:space="preserve"> </w:t>
      </w:r>
      <w:r w:rsidRPr="00E12AF4">
        <w:rPr>
          <w:rFonts w:ascii="Times New Roman" w:hAnsi="Times New Roman"/>
          <w:i/>
          <w:iCs/>
          <w:sz w:val="24"/>
        </w:rPr>
        <w:t>Australian Competition and Consumer Commission v Yazaki Corporation</w:t>
      </w:r>
      <w:r w:rsidRPr="00E12AF4">
        <w:rPr>
          <w:rFonts w:ascii="Times New Roman" w:hAnsi="Times New Roman"/>
          <w:iCs/>
          <w:sz w:val="24"/>
        </w:rPr>
        <w:t xml:space="preserve"> </w:t>
      </w:r>
      <w:r w:rsidRPr="00E12AF4">
        <w:rPr>
          <w:rFonts w:ascii="Times New Roman" w:hAnsi="Times New Roman"/>
          <w:sz w:val="24"/>
        </w:rPr>
        <w:t>(2018) 262 FCR 243 at 294 [226], 296 [236].</w:t>
      </w:r>
    </w:p>
  </w:footnote>
  <w:footnote w:id="118">
    <w:p w14:paraId="6193502B"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Australian Building and Construction Commissioner v Construction, Forestry, Mining and Energy Union </w:t>
      </w:r>
      <w:r w:rsidRPr="00E12AF4">
        <w:rPr>
          <w:rFonts w:ascii="Times New Roman" w:hAnsi="Times New Roman"/>
          <w:sz w:val="24"/>
        </w:rPr>
        <w:t>(2017) 254 FCR 68</w:t>
      </w:r>
      <w:r w:rsidRPr="00E12AF4">
        <w:rPr>
          <w:rFonts w:ascii="Times New Roman" w:hAnsi="Times New Roman"/>
          <w:i/>
          <w:iCs/>
          <w:sz w:val="24"/>
        </w:rPr>
        <w:t xml:space="preserve"> </w:t>
      </w:r>
      <w:r w:rsidRPr="00E12AF4">
        <w:rPr>
          <w:rFonts w:ascii="Times New Roman" w:hAnsi="Times New Roman"/>
          <w:sz w:val="24"/>
        </w:rPr>
        <w:t>at 99</w:t>
      </w:r>
      <w:r w:rsidRPr="00E12AF4">
        <w:rPr>
          <w:rFonts w:ascii="Times New Roman" w:hAnsi="Times New Roman"/>
          <w:sz w:val="24"/>
        </w:rPr>
        <w:noBreakHyphen/>
        <w:t xml:space="preserve">100 [148]; </w:t>
      </w:r>
      <w:r w:rsidRPr="00E12AF4">
        <w:rPr>
          <w:rFonts w:ascii="Times New Roman" w:hAnsi="Times New Roman"/>
          <w:i/>
          <w:iCs/>
          <w:sz w:val="24"/>
        </w:rPr>
        <w:t xml:space="preserve">Communications, Electrical, Electronic, Energy, Information, Postal, Plumbing and Allied Services Union of Australia v Registered Organisations Commissioner </w:t>
      </w:r>
      <w:r w:rsidRPr="00E12AF4">
        <w:rPr>
          <w:rFonts w:ascii="Times New Roman" w:hAnsi="Times New Roman"/>
          <w:iCs/>
          <w:sz w:val="24"/>
        </w:rPr>
        <w:t>(</w:t>
      </w:r>
      <w:r w:rsidRPr="00E12AF4">
        <w:rPr>
          <w:rFonts w:ascii="Times New Roman" w:hAnsi="Times New Roman"/>
          <w:sz w:val="24"/>
        </w:rPr>
        <w:t>2020</w:t>
      </w:r>
      <w:r w:rsidRPr="00E12AF4">
        <w:rPr>
          <w:rFonts w:ascii="Times New Roman" w:hAnsi="Times New Roman"/>
          <w:iCs/>
          <w:sz w:val="24"/>
        </w:rPr>
        <w:t xml:space="preserve">) 283 FCR 404 at </w:t>
      </w:r>
      <w:r w:rsidRPr="00E12AF4">
        <w:rPr>
          <w:rFonts w:ascii="Times New Roman" w:hAnsi="Times New Roman"/>
          <w:sz w:val="24"/>
        </w:rPr>
        <w:t xml:space="preserve">428 [81]. See also </w:t>
      </w:r>
      <w:r w:rsidRPr="00E12AF4">
        <w:rPr>
          <w:rFonts w:ascii="Times New Roman" w:hAnsi="Times New Roman"/>
          <w:i/>
          <w:iCs/>
          <w:sz w:val="24"/>
        </w:rPr>
        <w:t xml:space="preserve">Australian Competition and Consumer Commission v Cement Australia Pty Ltd </w:t>
      </w:r>
      <w:r w:rsidRPr="00E12AF4">
        <w:rPr>
          <w:rFonts w:ascii="Times New Roman" w:hAnsi="Times New Roman"/>
          <w:sz w:val="24"/>
        </w:rPr>
        <w:t>(2017) 258 FCR 312 at 447 [421].</w:t>
      </w:r>
    </w:p>
  </w:footnote>
  <w:footnote w:id="119">
    <w:p w14:paraId="6B7770BD"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Parker v Australian Building and Construction Commissioner </w:t>
      </w:r>
      <w:r w:rsidRPr="00E12AF4">
        <w:rPr>
          <w:rFonts w:ascii="Times New Roman" w:hAnsi="Times New Roman"/>
          <w:sz w:val="24"/>
        </w:rPr>
        <w:t>(2019) 270 FCR 39</w:t>
      </w:r>
      <w:r w:rsidRPr="00E12AF4">
        <w:rPr>
          <w:rFonts w:ascii="Times New Roman" w:hAnsi="Times New Roman"/>
          <w:i/>
          <w:iCs/>
          <w:sz w:val="24"/>
        </w:rPr>
        <w:t xml:space="preserve"> </w:t>
      </w:r>
      <w:r w:rsidRPr="00E12AF4">
        <w:rPr>
          <w:rFonts w:ascii="Times New Roman" w:hAnsi="Times New Roman"/>
          <w:sz w:val="24"/>
        </w:rPr>
        <w:t>at 127 [266].</w:t>
      </w:r>
    </w:p>
  </w:footnote>
  <w:footnote w:id="120">
    <w:p w14:paraId="602CEACF"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Yeung, "Quantifying Regulatory Penalties: Australian Competition Law Penalties in Perspective" (1999) 23 </w:t>
      </w:r>
      <w:r w:rsidRPr="00E12AF4">
        <w:rPr>
          <w:rFonts w:ascii="Times New Roman" w:hAnsi="Times New Roman"/>
          <w:i/>
          <w:iCs/>
          <w:sz w:val="24"/>
        </w:rPr>
        <w:t>Melbourne University Law Review</w:t>
      </w:r>
      <w:r w:rsidRPr="00E12AF4">
        <w:rPr>
          <w:rFonts w:ascii="Times New Roman" w:hAnsi="Times New Roman"/>
          <w:sz w:val="24"/>
        </w:rPr>
        <w:t xml:space="preserve"> 440 at 455.</w:t>
      </w:r>
    </w:p>
  </w:footnote>
  <w:footnote w:id="121">
    <w:p w14:paraId="3638F39F"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(2018) 265 FCR 208.</w:t>
      </w:r>
    </w:p>
  </w:footnote>
  <w:footnote w:id="122">
    <w:p w14:paraId="41E6EE3B"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(2018) 265 FCR 208 at 216 [27].</w:t>
      </w:r>
    </w:p>
  </w:footnote>
  <w:footnote w:id="123">
    <w:p w14:paraId="534E349C"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(2018) 265 FCR 208 at 225 [65].</w:t>
      </w:r>
    </w:p>
  </w:footnote>
  <w:footnote w:id="124">
    <w:p w14:paraId="7A452314"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(2018) 265 FCR 208 at 228 [77].</w:t>
      </w:r>
    </w:p>
  </w:footnote>
  <w:footnote w:id="125">
    <w:p w14:paraId="495FB15F"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(2018) 265 FCR 208 at 249 [</w:t>
      </w:r>
      <w:proofErr w:type="gramStart"/>
      <w:r w:rsidRPr="00E12AF4">
        <w:rPr>
          <w:rFonts w:ascii="Times New Roman" w:hAnsi="Times New Roman"/>
          <w:sz w:val="24"/>
        </w:rPr>
        <w:t>163]</w:t>
      </w:r>
      <w:r w:rsidRPr="00E12AF4">
        <w:rPr>
          <w:rFonts w:ascii="Times New Roman" w:hAnsi="Times New Roman"/>
          <w:sz w:val="24"/>
        </w:rPr>
        <w:noBreakHyphen/>
      </w:r>
      <w:proofErr w:type="gramEnd"/>
      <w:r w:rsidRPr="00E12AF4">
        <w:rPr>
          <w:rFonts w:ascii="Times New Roman" w:hAnsi="Times New Roman"/>
          <w:sz w:val="24"/>
        </w:rPr>
        <w:t>[164].</w:t>
      </w:r>
    </w:p>
  </w:footnote>
  <w:footnote w:id="126">
    <w:p w14:paraId="77247422"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(2015) 258 CLR 482 at 506 [55].</w:t>
      </w:r>
    </w:p>
  </w:footnote>
  <w:footnote w:id="127">
    <w:p w14:paraId="4C882866"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Trade Practices Commission v CSR Ltd</w:t>
      </w:r>
      <w:r w:rsidRPr="00E12AF4">
        <w:rPr>
          <w:rFonts w:ascii="Times New Roman" w:hAnsi="Times New Roman"/>
          <w:sz w:val="24"/>
        </w:rPr>
        <w:t xml:space="preserve"> [1991] ATPR ¶41</w:t>
      </w:r>
      <w:r w:rsidRPr="00E12AF4">
        <w:rPr>
          <w:rFonts w:ascii="Times New Roman" w:hAnsi="Times New Roman"/>
          <w:sz w:val="24"/>
        </w:rPr>
        <w:noBreakHyphen/>
        <w:t>076 at 52,152.</w:t>
      </w:r>
    </w:p>
  </w:footnote>
  <w:footnote w:id="128">
    <w:p w14:paraId="1E82A833" w14:textId="77777777" w:rsidR="00CE2E11" w:rsidRPr="00E12AF4" w:rsidRDefault="00CE2E11" w:rsidP="00E12AF4">
      <w:pPr>
        <w:pStyle w:val="FootnoteText"/>
        <w:spacing w:line="280" w:lineRule="exact"/>
        <w:ind w:right="0"/>
        <w:jc w:val="both"/>
        <w:rPr>
          <w:rFonts w:ascii="Times New Roman" w:hAnsi="Times New Roman"/>
          <w:i/>
          <w:iCs/>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Australian Building and Construction Commissioner v Construction, Forestry, Mining and Energy Union</w:t>
      </w:r>
      <w:r w:rsidRPr="00E12AF4">
        <w:rPr>
          <w:rFonts w:ascii="Times New Roman" w:hAnsi="Times New Roman"/>
          <w:sz w:val="24"/>
        </w:rPr>
        <w:t xml:space="preserve"> (2018) 262 CLR 157</w:t>
      </w:r>
      <w:r w:rsidRPr="00E12AF4">
        <w:rPr>
          <w:rFonts w:ascii="Times New Roman" w:hAnsi="Times New Roman"/>
          <w:i/>
          <w:iCs/>
          <w:sz w:val="24"/>
        </w:rPr>
        <w:t xml:space="preserve"> </w:t>
      </w:r>
      <w:r w:rsidRPr="00E12AF4">
        <w:rPr>
          <w:rFonts w:ascii="Times New Roman" w:hAnsi="Times New Roman"/>
          <w:sz w:val="24"/>
        </w:rPr>
        <w:t>at 195 [116].</w:t>
      </w:r>
    </w:p>
  </w:footnote>
  <w:footnote w:id="129">
    <w:p w14:paraId="157B6986"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Construction, Forestry, Maritime, Mining and Energy Union v Australian Building and Construction Commissioner</w:t>
      </w:r>
      <w:r w:rsidRPr="00E12AF4">
        <w:rPr>
          <w:rFonts w:ascii="Times New Roman" w:hAnsi="Times New Roman"/>
          <w:sz w:val="24"/>
        </w:rPr>
        <w:t xml:space="preserve"> (2018) 264 FCR 155 at 167 [19], citing </w:t>
      </w:r>
      <w:r w:rsidRPr="00E12AF4">
        <w:rPr>
          <w:rFonts w:ascii="Times New Roman" w:hAnsi="Times New Roman"/>
          <w:i/>
          <w:iCs/>
          <w:sz w:val="24"/>
        </w:rPr>
        <w:t xml:space="preserve">Trade Practices Commission v CSR Ltd </w:t>
      </w:r>
      <w:r w:rsidRPr="00E12AF4">
        <w:rPr>
          <w:rFonts w:ascii="Times New Roman" w:hAnsi="Times New Roman"/>
          <w:sz w:val="24"/>
        </w:rPr>
        <w:t>[1991] ATPR ¶41</w:t>
      </w:r>
      <w:r w:rsidRPr="00E12AF4">
        <w:rPr>
          <w:rFonts w:ascii="Times New Roman" w:hAnsi="Times New Roman"/>
          <w:sz w:val="24"/>
        </w:rPr>
        <w:noBreakHyphen/>
        <w:t>076 at 52,152.</w:t>
      </w:r>
    </w:p>
  </w:footnote>
  <w:footnote w:id="130">
    <w:p w14:paraId="3A8BE79D"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Style w:val="CommentReference"/>
          <w:rFonts w:ascii="Times New Roman" w:hAnsi="Times New Roman"/>
          <w:i/>
          <w:sz w:val="24"/>
        </w:rPr>
        <w:t xml:space="preserve">Agreed Penalties Case </w:t>
      </w:r>
      <w:r w:rsidRPr="00E12AF4">
        <w:rPr>
          <w:rStyle w:val="CommentReference"/>
          <w:rFonts w:ascii="Times New Roman" w:hAnsi="Times New Roman"/>
          <w:sz w:val="24"/>
        </w:rPr>
        <w:t xml:space="preserve">(2015) 258 CLR 482 at 506 [55], quoting </w:t>
      </w:r>
      <w:r w:rsidRPr="00E12AF4">
        <w:rPr>
          <w:rFonts w:ascii="Times New Roman" w:hAnsi="Times New Roman"/>
          <w:i/>
          <w:iCs/>
          <w:sz w:val="24"/>
        </w:rPr>
        <w:t>Trade Practices Commission v CSR Ltd</w:t>
      </w:r>
      <w:r w:rsidRPr="00E12AF4">
        <w:rPr>
          <w:rFonts w:ascii="Times New Roman" w:hAnsi="Times New Roman"/>
          <w:sz w:val="24"/>
        </w:rPr>
        <w:t xml:space="preserve"> [1991] ATPR ¶41</w:t>
      </w:r>
      <w:r w:rsidRPr="00E12AF4">
        <w:rPr>
          <w:rFonts w:ascii="Times New Roman" w:hAnsi="Times New Roman"/>
          <w:sz w:val="24"/>
        </w:rPr>
        <w:noBreakHyphen/>
        <w:t>076 at 52,152</w:t>
      </w:r>
      <w:r w:rsidRPr="00E12AF4">
        <w:rPr>
          <w:rStyle w:val="CommentReference"/>
          <w:rFonts w:ascii="Times New Roman" w:hAnsi="Times New Roman"/>
          <w:sz w:val="24"/>
        </w:rPr>
        <w:t>.</w:t>
      </w:r>
    </w:p>
  </w:footnote>
  <w:footnote w:id="131">
    <w:p w14:paraId="244132C6"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Compare </w:t>
      </w:r>
      <w:proofErr w:type="spellStart"/>
      <w:r w:rsidRPr="00E12AF4">
        <w:rPr>
          <w:rFonts w:ascii="Times New Roman" w:hAnsi="Times New Roman"/>
          <w:sz w:val="24"/>
        </w:rPr>
        <w:t>Zedner</w:t>
      </w:r>
      <w:proofErr w:type="spellEnd"/>
      <w:r w:rsidRPr="00E12AF4">
        <w:rPr>
          <w:rFonts w:ascii="Times New Roman" w:hAnsi="Times New Roman"/>
          <w:sz w:val="24"/>
        </w:rPr>
        <w:t xml:space="preserve">, </w:t>
      </w:r>
      <w:r w:rsidRPr="00E12AF4">
        <w:rPr>
          <w:rFonts w:ascii="Times New Roman" w:hAnsi="Times New Roman"/>
          <w:i/>
          <w:sz w:val="24"/>
        </w:rPr>
        <w:t xml:space="preserve">Criminal Justice </w:t>
      </w:r>
      <w:r w:rsidRPr="00E12AF4">
        <w:rPr>
          <w:rFonts w:ascii="Times New Roman" w:hAnsi="Times New Roman"/>
          <w:sz w:val="24"/>
        </w:rPr>
        <w:t>(2004) at 94.</w:t>
      </w:r>
    </w:p>
  </w:footnote>
  <w:footnote w:id="132">
    <w:p w14:paraId="7445AD5E"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See </w:t>
      </w:r>
      <w:r w:rsidRPr="00E12AF4">
        <w:rPr>
          <w:rFonts w:ascii="Times New Roman" w:hAnsi="Times New Roman"/>
          <w:i/>
          <w:iCs/>
          <w:sz w:val="24"/>
        </w:rPr>
        <w:t>NW Frozen Foods Pty Ltd v Australian Competition and Consumer Commission</w:t>
      </w:r>
      <w:r w:rsidRPr="00E12AF4">
        <w:rPr>
          <w:rFonts w:ascii="Times New Roman" w:hAnsi="Times New Roman"/>
          <w:sz w:val="24"/>
        </w:rPr>
        <w:t xml:space="preserve"> (1996) 71 FCR 285 at 293.</w:t>
      </w:r>
    </w:p>
  </w:footnote>
  <w:footnote w:id="133">
    <w:p w14:paraId="3018EE61" w14:textId="77777777" w:rsidR="00CE2E11" w:rsidRPr="00E12AF4" w:rsidRDefault="00CE2E11" w:rsidP="00E12AF4">
      <w:pPr>
        <w:pStyle w:val="FootnoteText"/>
        <w:spacing w:line="280" w:lineRule="exact"/>
        <w:ind w:right="0"/>
        <w:jc w:val="both"/>
        <w:rPr>
          <w:rFonts w:ascii="Times New Roman" w:hAnsi="Times New Roman"/>
          <w:i/>
          <w:iCs/>
          <w:color w:val="000000"/>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color w:val="000000"/>
          <w:sz w:val="24"/>
        </w:rPr>
        <w:t>Australian Competition and Consumer Commission v Reckitt Benckiser (Australia) Pty Ltd</w:t>
      </w:r>
      <w:r w:rsidRPr="00E12AF4">
        <w:rPr>
          <w:rFonts w:ascii="Times New Roman" w:hAnsi="Times New Roman"/>
          <w:color w:val="000000"/>
          <w:sz w:val="24"/>
        </w:rPr>
        <w:t xml:space="preserve"> </w:t>
      </w:r>
      <w:r w:rsidRPr="00E12AF4">
        <w:rPr>
          <w:rFonts w:ascii="Times New Roman" w:hAnsi="Times New Roman"/>
          <w:sz w:val="24"/>
        </w:rPr>
        <w:t>(2016) 340 ALR 25 at 62 [152].</w:t>
      </w:r>
    </w:p>
  </w:footnote>
  <w:footnote w:id="134">
    <w:p w14:paraId="477DC333"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Australian Building and Construction Commissioner v Pattinson </w:t>
      </w:r>
      <w:r w:rsidRPr="00E12AF4">
        <w:rPr>
          <w:rFonts w:ascii="Times New Roman" w:hAnsi="Times New Roman"/>
          <w:sz w:val="24"/>
        </w:rPr>
        <w:t>(2019) 291 IR 286 at 310</w:t>
      </w:r>
      <w:r w:rsidRPr="00E12AF4">
        <w:rPr>
          <w:rFonts w:ascii="Times New Roman" w:hAnsi="Times New Roman"/>
          <w:sz w:val="24"/>
        </w:rPr>
        <w:noBreakHyphen/>
        <w:t xml:space="preserve">311 [84], citing </w:t>
      </w:r>
      <w:r w:rsidRPr="00E12AF4">
        <w:rPr>
          <w:rFonts w:ascii="Times New Roman" w:hAnsi="Times New Roman"/>
          <w:i/>
          <w:iCs/>
          <w:sz w:val="24"/>
        </w:rPr>
        <w:t xml:space="preserve">Australian Building and Construction Commissioner v Construction, Forestry, Mining and Energy Union </w:t>
      </w:r>
      <w:r w:rsidRPr="00E12AF4">
        <w:rPr>
          <w:rFonts w:ascii="Times New Roman" w:hAnsi="Times New Roman"/>
          <w:iCs/>
          <w:sz w:val="24"/>
        </w:rPr>
        <w:t xml:space="preserve">("the </w:t>
      </w:r>
      <w:r w:rsidRPr="00E12AF4">
        <w:rPr>
          <w:rFonts w:ascii="Times New Roman" w:hAnsi="Times New Roman"/>
          <w:i/>
          <w:iCs/>
          <w:sz w:val="24"/>
        </w:rPr>
        <w:t>Werribee Shopping Centre Case</w:t>
      </w:r>
      <w:r w:rsidRPr="00E12AF4">
        <w:rPr>
          <w:rFonts w:ascii="Times New Roman" w:hAnsi="Times New Roman"/>
          <w:iCs/>
          <w:sz w:val="24"/>
        </w:rPr>
        <w:t>")</w:t>
      </w:r>
      <w:r w:rsidRPr="00E12AF4">
        <w:rPr>
          <w:rFonts w:ascii="Times New Roman" w:hAnsi="Times New Roman"/>
          <w:sz w:val="24"/>
        </w:rPr>
        <w:t xml:space="preserve"> [2017] FCA 1235 at [23], [28] and </w:t>
      </w:r>
      <w:r w:rsidRPr="00E12AF4">
        <w:rPr>
          <w:rFonts w:ascii="Times New Roman" w:hAnsi="Times New Roman"/>
          <w:i/>
          <w:iCs/>
          <w:sz w:val="24"/>
        </w:rPr>
        <w:t>Director, Fair Work Building Industry Inspectorate v Construction, Forestry, Mining and Energy Union [No 2]</w:t>
      </w:r>
      <w:r w:rsidRPr="00E12AF4">
        <w:rPr>
          <w:rFonts w:ascii="Times New Roman" w:hAnsi="Times New Roman"/>
          <w:sz w:val="24"/>
        </w:rPr>
        <w:t xml:space="preserve"> [2016] FCA 436 at [142].</w:t>
      </w:r>
    </w:p>
  </w:footnote>
  <w:footnote w:id="135">
    <w:p w14:paraId="3EB64BB3"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iCs/>
          <w:sz w:val="24"/>
        </w:rPr>
        <w:t xml:space="preserve">Pattinson v Australian Building and Construction Commissioner </w:t>
      </w:r>
      <w:r w:rsidRPr="00E12AF4">
        <w:rPr>
          <w:rFonts w:ascii="Times New Roman" w:hAnsi="Times New Roman"/>
          <w:sz w:val="24"/>
        </w:rPr>
        <w:t>(2020) 282 FCR 580 at 636</w:t>
      </w:r>
      <w:r w:rsidRPr="00E12AF4">
        <w:rPr>
          <w:rFonts w:ascii="Times New Roman" w:hAnsi="Times New Roman"/>
          <w:sz w:val="24"/>
        </w:rPr>
        <w:noBreakHyphen/>
        <w:t>637 [</w:t>
      </w:r>
      <w:proofErr w:type="gramStart"/>
      <w:r w:rsidRPr="00E12AF4">
        <w:rPr>
          <w:rFonts w:ascii="Times New Roman" w:hAnsi="Times New Roman"/>
          <w:sz w:val="24"/>
        </w:rPr>
        <w:t>160]</w:t>
      </w:r>
      <w:r w:rsidRPr="00E12AF4">
        <w:rPr>
          <w:rFonts w:ascii="Times New Roman" w:hAnsi="Times New Roman"/>
          <w:sz w:val="24"/>
        </w:rPr>
        <w:noBreakHyphen/>
      </w:r>
      <w:proofErr w:type="gramEnd"/>
      <w:r w:rsidRPr="00E12AF4">
        <w:rPr>
          <w:rFonts w:ascii="Times New Roman" w:hAnsi="Times New Roman"/>
          <w:sz w:val="24"/>
        </w:rPr>
        <w:t>[162], 642</w:t>
      </w:r>
      <w:r w:rsidRPr="00E12AF4">
        <w:rPr>
          <w:rFonts w:ascii="Times New Roman" w:hAnsi="Times New Roman"/>
          <w:sz w:val="24"/>
        </w:rPr>
        <w:noBreakHyphen/>
        <w:t>643 [180]</w:t>
      </w:r>
      <w:r w:rsidRPr="00E12AF4">
        <w:rPr>
          <w:rFonts w:ascii="Times New Roman" w:hAnsi="Times New Roman"/>
          <w:sz w:val="24"/>
        </w:rPr>
        <w:noBreakHyphen/>
        <w:t>[181]. See also at 655 [227], 656</w:t>
      </w:r>
      <w:r w:rsidRPr="00E12AF4">
        <w:rPr>
          <w:rFonts w:ascii="Times New Roman" w:hAnsi="Times New Roman"/>
          <w:sz w:val="24"/>
        </w:rPr>
        <w:noBreakHyphen/>
        <w:t>657 [231].</w:t>
      </w:r>
    </w:p>
  </w:footnote>
  <w:footnote w:id="136">
    <w:p w14:paraId="7282F980"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(1988) 164 CLR 465. See </w:t>
      </w:r>
      <w:r w:rsidRPr="00E12AF4">
        <w:rPr>
          <w:rFonts w:ascii="Times New Roman" w:hAnsi="Times New Roman"/>
          <w:i/>
          <w:sz w:val="24"/>
        </w:rPr>
        <w:t>Pattinson v Australian Building and Construction Commissioner</w:t>
      </w:r>
      <w:r w:rsidRPr="00E12AF4">
        <w:rPr>
          <w:rFonts w:ascii="Times New Roman" w:hAnsi="Times New Roman"/>
          <w:sz w:val="24"/>
        </w:rPr>
        <w:t xml:space="preserve"> (2020) 282 FCR 580 at 596 [40]. See also at 598</w:t>
      </w:r>
      <w:r w:rsidRPr="00E12AF4">
        <w:rPr>
          <w:rFonts w:ascii="Times New Roman" w:hAnsi="Times New Roman"/>
          <w:sz w:val="24"/>
        </w:rPr>
        <w:noBreakHyphen/>
        <w:t>609 [</w:t>
      </w:r>
      <w:proofErr w:type="gramStart"/>
      <w:r w:rsidRPr="00E12AF4">
        <w:rPr>
          <w:rFonts w:ascii="Times New Roman" w:hAnsi="Times New Roman"/>
          <w:sz w:val="24"/>
        </w:rPr>
        <w:t>46]</w:t>
      </w:r>
      <w:r w:rsidRPr="00E12AF4">
        <w:rPr>
          <w:rFonts w:ascii="Times New Roman" w:hAnsi="Times New Roman"/>
          <w:sz w:val="24"/>
        </w:rPr>
        <w:noBreakHyphen/>
      </w:r>
      <w:proofErr w:type="gramEnd"/>
      <w:r w:rsidRPr="00E12AF4">
        <w:rPr>
          <w:rFonts w:ascii="Times New Roman" w:hAnsi="Times New Roman"/>
          <w:sz w:val="24"/>
        </w:rPr>
        <w:t>[93], 636 [160]</w:t>
      </w:r>
      <w:r w:rsidRPr="00E12AF4">
        <w:rPr>
          <w:rFonts w:ascii="Times New Roman" w:hAnsi="Times New Roman"/>
          <w:sz w:val="24"/>
        </w:rPr>
        <w:noBreakHyphen/>
        <w:t>[161].</w:t>
      </w:r>
    </w:p>
  </w:footnote>
  <w:footnote w:id="137">
    <w:p w14:paraId="25AA9DC9"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(2019) 267 CLR 373 at 398 [27], 403</w:t>
      </w:r>
      <w:r w:rsidRPr="00E12AF4">
        <w:rPr>
          <w:rFonts w:ascii="Times New Roman" w:hAnsi="Times New Roman"/>
          <w:sz w:val="24"/>
        </w:rPr>
        <w:noBreakHyphen/>
        <w:t xml:space="preserve">404 [40]. See </w:t>
      </w:r>
      <w:r w:rsidRPr="00E12AF4">
        <w:rPr>
          <w:rFonts w:ascii="Times New Roman" w:hAnsi="Times New Roman"/>
          <w:i/>
          <w:sz w:val="24"/>
        </w:rPr>
        <w:t>Pattinson v Australian Building and Construction Commissioner</w:t>
      </w:r>
      <w:r w:rsidRPr="00E12AF4">
        <w:rPr>
          <w:rFonts w:ascii="Times New Roman" w:hAnsi="Times New Roman"/>
          <w:sz w:val="24"/>
        </w:rPr>
        <w:t xml:space="preserve"> (2020) 282 FCR 580 at 616 [106].</w:t>
      </w:r>
    </w:p>
  </w:footnote>
  <w:footnote w:id="138">
    <w:p w14:paraId="1D73EC48"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See </w:t>
      </w:r>
      <w:r w:rsidRPr="00E12AF4">
        <w:rPr>
          <w:rFonts w:ascii="Times New Roman" w:hAnsi="Times New Roman"/>
          <w:i/>
          <w:iCs/>
          <w:sz w:val="24"/>
        </w:rPr>
        <w:t>Fair Work Act</w:t>
      </w:r>
      <w:r w:rsidRPr="00E12AF4">
        <w:rPr>
          <w:rFonts w:ascii="Times New Roman" w:hAnsi="Times New Roman"/>
          <w:sz w:val="24"/>
        </w:rPr>
        <w:t>, s 557A.</w:t>
      </w:r>
    </w:p>
  </w:footnote>
  <w:footnote w:id="139">
    <w:p w14:paraId="033C4BD8"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t xml:space="preserve">See </w:t>
      </w:r>
      <w:r w:rsidRPr="00E12AF4">
        <w:rPr>
          <w:rFonts w:ascii="Times New Roman" w:hAnsi="Times New Roman"/>
          <w:i/>
          <w:sz w:val="24"/>
        </w:rPr>
        <w:t>Australian Building and Construction Commissioner v Pattinson</w:t>
      </w:r>
      <w:r w:rsidRPr="00E12AF4">
        <w:rPr>
          <w:rFonts w:ascii="Times New Roman" w:hAnsi="Times New Roman"/>
          <w:sz w:val="24"/>
        </w:rPr>
        <w:t xml:space="preserve"> [2021] </w:t>
      </w:r>
      <w:proofErr w:type="spellStart"/>
      <w:r w:rsidRPr="00E12AF4">
        <w:rPr>
          <w:rFonts w:ascii="Times New Roman" w:hAnsi="Times New Roman"/>
          <w:sz w:val="24"/>
        </w:rPr>
        <w:t>HCATrans</w:t>
      </w:r>
      <w:proofErr w:type="spellEnd"/>
      <w:r w:rsidRPr="00E12AF4">
        <w:rPr>
          <w:rFonts w:ascii="Times New Roman" w:hAnsi="Times New Roman"/>
          <w:sz w:val="24"/>
        </w:rPr>
        <w:t xml:space="preserve"> 90.</w:t>
      </w:r>
    </w:p>
  </w:footnote>
  <w:footnote w:id="140">
    <w:p w14:paraId="3B364E19" w14:textId="77777777" w:rsidR="00CE2E11" w:rsidRPr="00E12AF4" w:rsidRDefault="00CE2E11" w:rsidP="00E12AF4">
      <w:pPr>
        <w:pStyle w:val="FootnoteText"/>
        <w:spacing w:line="280" w:lineRule="exact"/>
        <w:ind w:right="0"/>
        <w:jc w:val="both"/>
        <w:rPr>
          <w:rFonts w:ascii="Times New Roman" w:hAnsi="Times New Roman"/>
          <w:sz w:val="24"/>
        </w:rPr>
      </w:pPr>
      <w:r w:rsidRPr="00E12AF4">
        <w:rPr>
          <w:rStyle w:val="FootnoteReference"/>
          <w:rFonts w:ascii="Times New Roman" w:hAnsi="Times New Roman"/>
          <w:sz w:val="22"/>
          <w:vertAlign w:val="baseline"/>
        </w:rPr>
        <w:footnoteRef/>
      </w:r>
      <w:r w:rsidRPr="00E12AF4">
        <w:rPr>
          <w:rFonts w:ascii="Times New Roman" w:hAnsi="Times New Roman"/>
          <w:sz w:val="24"/>
        </w:rPr>
        <w:t xml:space="preserve"> </w:t>
      </w:r>
      <w:r w:rsidRPr="00E12AF4">
        <w:rPr>
          <w:rFonts w:ascii="Times New Roman" w:hAnsi="Times New Roman"/>
          <w:sz w:val="24"/>
        </w:rPr>
        <w:tab/>
      </w:r>
      <w:r w:rsidRPr="00E12AF4">
        <w:rPr>
          <w:rFonts w:ascii="Times New Roman" w:hAnsi="Times New Roman"/>
          <w:i/>
          <w:sz w:val="24"/>
        </w:rPr>
        <w:t xml:space="preserve">Pattinson v Australian Building and Construction Commissioner </w:t>
      </w:r>
      <w:r w:rsidRPr="00E12AF4">
        <w:rPr>
          <w:rFonts w:ascii="Times New Roman" w:hAnsi="Times New Roman"/>
          <w:sz w:val="24"/>
        </w:rPr>
        <w:t>(2020) 282 FCR 580 at 654 [219].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45DB" w14:textId="77777777" w:rsidR="00DF5070" w:rsidRPr="009C2BE6" w:rsidRDefault="00DF5070" w:rsidP="009C2B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3A083" w14:textId="77777777" w:rsidR="00571DC2" w:rsidRPr="00E12AF4" w:rsidRDefault="00571DC2" w:rsidP="00E12AF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4AE" w14:textId="06BCAEC0" w:rsidR="00DF5070" w:rsidRPr="009C2BE6" w:rsidRDefault="009C2BE6" w:rsidP="009C2BE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939C" w14:textId="54ACF471" w:rsidR="000D4CFB" w:rsidRPr="009C2BE6" w:rsidRDefault="000D4CFB" w:rsidP="009C2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029E" w14:textId="77777777" w:rsidR="009C2BE6" w:rsidRPr="00DF5070" w:rsidRDefault="009C2BE6" w:rsidP="00DF5070">
    <w:pPr>
      <w:pStyle w:val="Header"/>
      <w:tabs>
        <w:tab w:val="clear" w:pos="4153"/>
        <w:tab w:val="clear" w:pos="8306"/>
        <w:tab w:val="right" w:pos="1304"/>
      </w:tabs>
      <w:spacing w:line="280" w:lineRule="exact"/>
      <w:ind w:firstLine="0"/>
      <w:rPr>
        <w:rFonts w:ascii="Times New Roman" w:hAnsi="Times New Roman"/>
        <w:i/>
        <w:sz w:val="22"/>
      </w:rPr>
    </w:pPr>
    <w:r w:rsidRPr="00DF5070">
      <w:rPr>
        <w:rFonts w:ascii="Times New Roman" w:hAnsi="Times New Roman"/>
        <w:i/>
        <w:sz w:val="22"/>
      </w:rPr>
      <w:t>Kiefel</w:t>
    </w:r>
    <w:r w:rsidRPr="00DF5070">
      <w:rPr>
        <w:rFonts w:ascii="Times New Roman" w:hAnsi="Times New Roman"/>
        <w:i/>
        <w:sz w:val="22"/>
      </w:rPr>
      <w:tab/>
      <w:t>CJ</w:t>
    </w:r>
  </w:p>
  <w:p w14:paraId="2EA30BD1" w14:textId="77777777" w:rsidR="009C2BE6" w:rsidRPr="00DF5070" w:rsidRDefault="009C2BE6" w:rsidP="00DF5070">
    <w:pPr>
      <w:pStyle w:val="Header"/>
      <w:tabs>
        <w:tab w:val="clear" w:pos="4153"/>
        <w:tab w:val="clear" w:pos="8306"/>
        <w:tab w:val="right" w:pos="1304"/>
      </w:tabs>
      <w:spacing w:line="280" w:lineRule="exact"/>
      <w:ind w:firstLine="0"/>
      <w:rPr>
        <w:rFonts w:ascii="Times New Roman" w:hAnsi="Times New Roman"/>
        <w:i/>
        <w:sz w:val="22"/>
      </w:rPr>
    </w:pPr>
    <w:proofErr w:type="spellStart"/>
    <w:r w:rsidRPr="00DF5070">
      <w:rPr>
        <w:rFonts w:ascii="Times New Roman" w:hAnsi="Times New Roman"/>
        <w:i/>
        <w:sz w:val="22"/>
      </w:rPr>
      <w:t>Gageler</w:t>
    </w:r>
    <w:proofErr w:type="spellEnd"/>
    <w:r w:rsidRPr="00DF5070">
      <w:rPr>
        <w:rFonts w:ascii="Times New Roman" w:hAnsi="Times New Roman"/>
        <w:i/>
        <w:sz w:val="22"/>
      </w:rPr>
      <w:tab/>
      <w:t>J</w:t>
    </w:r>
  </w:p>
  <w:p w14:paraId="40090F0B" w14:textId="77777777" w:rsidR="009C2BE6" w:rsidRPr="00DF5070" w:rsidRDefault="009C2BE6" w:rsidP="00DF5070">
    <w:pPr>
      <w:pStyle w:val="Header"/>
      <w:tabs>
        <w:tab w:val="clear" w:pos="4153"/>
        <w:tab w:val="clear" w:pos="8306"/>
        <w:tab w:val="right" w:pos="1304"/>
      </w:tabs>
      <w:spacing w:line="280" w:lineRule="exact"/>
      <w:ind w:firstLine="0"/>
      <w:rPr>
        <w:rFonts w:ascii="Times New Roman" w:hAnsi="Times New Roman"/>
        <w:i/>
        <w:sz w:val="22"/>
      </w:rPr>
    </w:pPr>
    <w:r w:rsidRPr="00DF5070">
      <w:rPr>
        <w:rFonts w:ascii="Times New Roman" w:hAnsi="Times New Roman"/>
        <w:i/>
        <w:sz w:val="22"/>
      </w:rPr>
      <w:t>Keane</w:t>
    </w:r>
    <w:r w:rsidRPr="00DF5070">
      <w:rPr>
        <w:rFonts w:ascii="Times New Roman" w:hAnsi="Times New Roman"/>
        <w:i/>
        <w:sz w:val="22"/>
      </w:rPr>
      <w:tab/>
      <w:t>J</w:t>
    </w:r>
  </w:p>
  <w:p w14:paraId="3692E2BA" w14:textId="77777777" w:rsidR="009C2BE6" w:rsidRPr="00DF5070" w:rsidRDefault="009C2BE6" w:rsidP="00DF5070">
    <w:pPr>
      <w:pStyle w:val="Header"/>
      <w:tabs>
        <w:tab w:val="clear" w:pos="4153"/>
        <w:tab w:val="clear" w:pos="8306"/>
        <w:tab w:val="right" w:pos="1304"/>
      </w:tabs>
      <w:spacing w:line="280" w:lineRule="exact"/>
      <w:ind w:firstLine="0"/>
      <w:rPr>
        <w:rFonts w:ascii="Times New Roman" w:hAnsi="Times New Roman"/>
        <w:i/>
        <w:sz w:val="22"/>
      </w:rPr>
    </w:pPr>
    <w:r w:rsidRPr="00DF5070">
      <w:rPr>
        <w:rFonts w:ascii="Times New Roman" w:hAnsi="Times New Roman"/>
        <w:i/>
        <w:sz w:val="22"/>
      </w:rPr>
      <w:t>Gordon</w:t>
    </w:r>
    <w:r w:rsidRPr="00DF5070">
      <w:rPr>
        <w:rFonts w:ascii="Times New Roman" w:hAnsi="Times New Roman"/>
        <w:i/>
        <w:sz w:val="22"/>
      </w:rPr>
      <w:tab/>
      <w:t>J</w:t>
    </w:r>
  </w:p>
  <w:p w14:paraId="3C10C938" w14:textId="77777777" w:rsidR="009C2BE6" w:rsidRPr="00DF5070" w:rsidRDefault="009C2BE6" w:rsidP="00DF5070">
    <w:pPr>
      <w:pStyle w:val="Header"/>
      <w:tabs>
        <w:tab w:val="clear" w:pos="4153"/>
        <w:tab w:val="clear" w:pos="8306"/>
        <w:tab w:val="right" w:pos="1304"/>
      </w:tabs>
      <w:spacing w:line="280" w:lineRule="exact"/>
      <w:ind w:firstLine="0"/>
      <w:rPr>
        <w:rFonts w:ascii="Times New Roman" w:hAnsi="Times New Roman"/>
        <w:i/>
        <w:sz w:val="22"/>
      </w:rPr>
    </w:pPr>
    <w:r w:rsidRPr="00DF5070">
      <w:rPr>
        <w:rFonts w:ascii="Times New Roman" w:hAnsi="Times New Roman"/>
        <w:i/>
        <w:sz w:val="22"/>
      </w:rPr>
      <w:t>Steward</w:t>
    </w:r>
    <w:r w:rsidRPr="00DF5070">
      <w:rPr>
        <w:rFonts w:ascii="Times New Roman" w:hAnsi="Times New Roman"/>
        <w:i/>
        <w:sz w:val="22"/>
      </w:rPr>
      <w:tab/>
      <w:t>J</w:t>
    </w:r>
  </w:p>
  <w:p w14:paraId="6B044667" w14:textId="77777777" w:rsidR="009C2BE6" w:rsidRDefault="009C2BE6" w:rsidP="00DF507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E0DCE30" w14:textId="77777777" w:rsidR="009C2BE6" w:rsidRDefault="009C2BE6" w:rsidP="00DF5070">
    <w:pPr>
      <w:pStyle w:val="Header"/>
      <w:tabs>
        <w:tab w:val="clear" w:pos="4153"/>
        <w:tab w:val="clear" w:pos="8306"/>
        <w:tab w:val="right" w:pos="1304"/>
      </w:tabs>
      <w:spacing w:line="280" w:lineRule="exact"/>
      <w:ind w:firstLine="0"/>
      <w:rPr>
        <w:rFonts w:ascii="Times New Roman" w:hAnsi="Times New Roman"/>
        <w:i/>
        <w:sz w:val="22"/>
      </w:rPr>
    </w:pPr>
  </w:p>
  <w:p w14:paraId="12ABC927" w14:textId="77777777" w:rsidR="009C2BE6" w:rsidRDefault="009C2BE6" w:rsidP="00DF507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3509C1B" w14:textId="77777777" w:rsidR="009C2BE6" w:rsidRPr="00DF5070" w:rsidRDefault="009C2BE6" w:rsidP="00DF507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B71CC" w14:textId="77777777" w:rsidR="009C2BE6" w:rsidRPr="00DF5070" w:rsidRDefault="009C2BE6" w:rsidP="00DF5070">
    <w:pPr>
      <w:pStyle w:val="Header"/>
      <w:tabs>
        <w:tab w:val="clear" w:pos="4153"/>
        <w:tab w:val="clear" w:pos="8306"/>
        <w:tab w:val="left" w:pos="7200"/>
        <w:tab w:val="right" w:pos="8504"/>
      </w:tabs>
      <w:spacing w:line="280" w:lineRule="exact"/>
      <w:jc w:val="right"/>
      <w:rPr>
        <w:rFonts w:ascii="Times New Roman" w:hAnsi="Times New Roman"/>
        <w:i/>
        <w:sz w:val="22"/>
      </w:rPr>
    </w:pPr>
    <w:r w:rsidRPr="00DF5070">
      <w:rPr>
        <w:rFonts w:ascii="Times New Roman" w:hAnsi="Times New Roman"/>
        <w:i/>
        <w:sz w:val="22"/>
      </w:rPr>
      <w:tab/>
      <w:t>Kiefel</w:t>
    </w:r>
    <w:r w:rsidRPr="00DF5070">
      <w:rPr>
        <w:rFonts w:ascii="Times New Roman" w:hAnsi="Times New Roman"/>
        <w:i/>
        <w:sz w:val="22"/>
      </w:rPr>
      <w:tab/>
      <w:t>CJ</w:t>
    </w:r>
  </w:p>
  <w:p w14:paraId="28997BB9" w14:textId="77777777" w:rsidR="009C2BE6" w:rsidRPr="00DF5070" w:rsidRDefault="009C2BE6" w:rsidP="00DF5070">
    <w:pPr>
      <w:pStyle w:val="Header"/>
      <w:tabs>
        <w:tab w:val="clear" w:pos="4153"/>
        <w:tab w:val="clear" w:pos="8306"/>
        <w:tab w:val="left" w:pos="7200"/>
        <w:tab w:val="right" w:pos="8504"/>
      </w:tabs>
      <w:spacing w:line="280" w:lineRule="exact"/>
      <w:jc w:val="right"/>
      <w:rPr>
        <w:rFonts w:ascii="Times New Roman" w:hAnsi="Times New Roman"/>
        <w:i/>
        <w:sz w:val="22"/>
      </w:rPr>
    </w:pPr>
    <w:r w:rsidRPr="00DF5070">
      <w:rPr>
        <w:rFonts w:ascii="Times New Roman" w:hAnsi="Times New Roman"/>
        <w:i/>
        <w:sz w:val="22"/>
      </w:rPr>
      <w:tab/>
    </w:r>
    <w:proofErr w:type="spellStart"/>
    <w:r w:rsidRPr="00DF5070">
      <w:rPr>
        <w:rFonts w:ascii="Times New Roman" w:hAnsi="Times New Roman"/>
        <w:i/>
        <w:sz w:val="22"/>
      </w:rPr>
      <w:t>Gageler</w:t>
    </w:r>
    <w:proofErr w:type="spellEnd"/>
    <w:r w:rsidRPr="00DF5070">
      <w:rPr>
        <w:rFonts w:ascii="Times New Roman" w:hAnsi="Times New Roman"/>
        <w:i/>
        <w:sz w:val="22"/>
      </w:rPr>
      <w:tab/>
      <w:t>J</w:t>
    </w:r>
  </w:p>
  <w:p w14:paraId="232C2F2B" w14:textId="77777777" w:rsidR="009C2BE6" w:rsidRPr="00DF5070" w:rsidRDefault="009C2BE6" w:rsidP="00DF5070">
    <w:pPr>
      <w:pStyle w:val="Header"/>
      <w:tabs>
        <w:tab w:val="clear" w:pos="4153"/>
        <w:tab w:val="clear" w:pos="8306"/>
        <w:tab w:val="left" w:pos="7200"/>
        <w:tab w:val="right" w:pos="8504"/>
      </w:tabs>
      <w:spacing w:line="280" w:lineRule="exact"/>
      <w:jc w:val="right"/>
      <w:rPr>
        <w:rFonts w:ascii="Times New Roman" w:hAnsi="Times New Roman"/>
        <w:i/>
        <w:sz w:val="22"/>
      </w:rPr>
    </w:pPr>
    <w:r w:rsidRPr="00DF5070">
      <w:rPr>
        <w:rFonts w:ascii="Times New Roman" w:hAnsi="Times New Roman"/>
        <w:i/>
        <w:sz w:val="22"/>
      </w:rPr>
      <w:tab/>
      <w:t>Keane</w:t>
    </w:r>
    <w:r w:rsidRPr="00DF5070">
      <w:rPr>
        <w:rFonts w:ascii="Times New Roman" w:hAnsi="Times New Roman"/>
        <w:i/>
        <w:sz w:val="22"/>
      </w:rPr>
      <w:tab/>
      <w:t>J</w:t>
    </w:r>
  </w:p>
  <w:p w14:paraId="711A389E" w14:textId="77777777" w:rsidR="009C2BE6" w:rsidRPr="00DF5070" w:rsidRDefault="009C2BE6" w:rsidP="00DF5070">
    <w:pPr>
      <w:pStyle w:val="Header"/>
      <w:tabs>
        <w:tab w:val="clear" w:pos="4153"/>
        <w:tab w:val="clear" w:pos="8306"/>
        <w:tab w:val="left" w:pos="7200"/>
        <w:tab w:val="right" w:pos="8504"/>
      </w:tabs>
      <w:spacing w:line="280" w:lineRule="exact"/>
      <w:jc w:val="right"/>
      <w:rPr>
        <w:rFonts w:ascii="Times New Roman" w:hAnsi="Times New Roman"/>
        <w:i/>
        <w:sz w:val="22"/>
      </w:rPr>
    </w:pPr>
    <w:r w:rsidRPr="00DF5070">
      <w:rPr>
        <w:rFonts w:ascii="Times New Roman" w:hAnsi="Times New Roman"/>
        <w:i/>
        <w:sz w:val="22"/>
      </w:rPr>
      <w:tab/>
      <w:t>Gordon</w:t>
    </w:r>
    <w:r w:rsidRPr="00DF5070">
      <w:rPr>
        <w:rFonts w:ascii="Times New Roman" w:hAnsi="Times New Roman"/>
        <w:i/>
        <w:sz w:val="22"/>
      </w:rPr>
      <w:tab/>
      <w:t>J</w:t>
    </w:r>
  </w:p>
  <w:p w14:paraId="15FB07DA" w14:textId="77777777" w:rsidR="009C2BE6" w:rsidRPr="00DF5070" w:rsidRDefault="009C2BE6" w:rsidP="00DF5070">
    <w:pPr>
      <w:pStyle w:val="Header"/>
      <w:tabs>
        <w:tab w:val="clear" w:pos="4153"/>
        <w:tab w:val="clear" w:pos="8306"/>
        <w:tab w:val="left" w:pos="7200"/>
        <w:tab w:val="right" w:pos="8504"/>
      </w:tabs>
      <w:spacing w:line="280" w:lineRule="exact"/>
      <w:jc w:val="right"/>
      <w:rPr>
        <w:rFonts w:ascii="Times New Roman" w:hAnsi="Times New Roman"/>
        <w:i/>
        <w:sz w:val="22"/>
      </w:rPr>
    </w:pPr>
    <w:r w:rsidRPr="00DF5070">
      <w:rPr>
        <w:rFonts w:ascii="Times New Roman" w:hAnsi="Times New Roman"/>
        <w:i/>
        <w:sz w:val="22"/>
      </w:rPr>
      <w:tab/>
      <w:t>Steward</w:t>
    </w:r>
    <w:r w:rsidRPr="00DF5070">
      <w:rPr>
        <w:rFonts w:ascii="Times New Roman" w:hAnsi="Times New Roman"/>
        <w:i/>
        <w:sz w:val="22"/>
      </w:rPr>
      <w:tab/>
      <w:t>J</w:t>
    </w:r>
  </w:p>
  <w:p w14:paraId="5A68F2D0" w14:textId="77777777" w:rsidR="009C2BE6" w:rsidRDefault="009C2BE6" w:rsidP="00DF507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737ED62" w14:textId="77777777" w:rsidR="009C2BE6" w:rsidRDefault="009C2BE6" w:rsidP="00DF5070">
    <w:pPr>
      <w:pStyle w:val="Header"/>
      <w:tabs>
        <w:tab w:val="clear" w:pos="4153"/>
        <w:tab w:val="clear" w:pos="8306"/>
        <w:tab w:val="left" w:pos="7200"/>
        <w:tab w:val="right" w:pos="8504"/>
      </w:tabs>
      <w:spacing w:line="280" w:lineRule="exact"/>
      <w:jc w:val="right"/>
      <w:rPr>
        <w:rFonts w:ascii="Times New Roman" w:hAnsi="Times New Roman"/>
        <w:i/>
        <w:sz w:val="22"/>
      </w:rPr>
    </w:pPr>
  </w:p>
  <w:p w14:paraId="079A7796" w14:textId="77777777" w:rsidR="009C2BE6" w:rsidRDefault="009C2BE6" w:rsidP="00DF507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BEA64B2" w14:textId="77777777" w:rsidR="009C2BE6" w:rsidRPr="00DF5070" w:rsidRDefault="009C2BE6" w:rsidP="00DF507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8C1C" w14:textId="77777777" w:rsidR="009C2BE6" w:rsidRDefault="009C2BE6" w:rsidP="00DF5070">
    <w:pPr>
      <w:pStyle w:val="Header"/>
      <w:tabs>
        <w:tab w:val="clear" w:pos="4153"/>
        <w:tab w:val="clear" w:pos="8306"/>
        <w:tab w:val="center" w:pos="1134"/>
      </w:tabs>
      <w:spacing w:line="280" w:lineRule="exact"/>
      <w:ind w:firstLine="0"/>
      <w:rPr>
        <w:rFonts w:ascii="Times New Roman" w:hAnsi="Times New Roman"/>
        <w:i/>
        <w:sz w:val="22"/>
      </w:rPr>
    </w:pPr>
  </w:p>
  <w:p w14:paraId="7458EF6D" w14:textId="77777777" w:rsidR="009C2BE6" w:rsidRDefault="009C2BE6" w:rsidP="00DF5070">
    <w:pPr>
      <w:pStyle w:val="Header"/>
      <w:tabs>
        <w:tab w:val="clear" w:pos="4153"/>
        <w:tab w:val="clear" w:pos="8306"/>
        <w:tab w:val="center" w:pos="1134"/>
      </w:tabs>
      <w:spacing w:line="280" w:lineRule="exact"/>
      <w:ind w:firstLine="0"/>
      <w:rPr>
        <w:rFonts w:ascii="Times New Roman" w:hAnsi="Times New Roman"/>
        <w:i/>
        <w:sz w:val="22"/>
      </w:rPr>
    </w:pPr>
  </w:p>
  <w:p w14:paraId="12E61FF6" w14:textId="77777777" w:rsidR="009C2BE6" w:rsidRDefault="009C2BE6" w:rsidP="00DF5070">
    <w:pPr>
      <w:pStyle w:val="Header"/>
      <w:tabs>
        <w:tab w:val="clear" w:pos="4153"/>
        <w:tab w:val="clear" w:pos="8306"/>
        <w:tab w:val="center" w:pos="1134"/>
      </w:tabs>
      <w:spacing w:line="280" w:lineRule="exact"/>
      <w:ind w:firstLine="0"/>
      <w:rPr>
        <w:rFonts w:ascii="Times New Roman" w:hAnsi="Times New Roman"/>
        <w:i/>
        <w:sz w:val="22"/>
      </w:rPr>
    </w:pPr>
  </w:p>
  <w:p w14:paraId="2164E17B" w14:textId="77777777" w:rsidR="009C2BE6" w:rsidRDefault="009C2BE6" w:rsidP="00DF5070">
    <w:pPr>
      <w:pStyle w:val="Header"/>
      <w:tabs>
        <w:tab w:val="clear" w:pos="4153"/>
        <w:tab w:val="clear" w:pos="8306"/>
        <w:tab w:val="center" w:pos="1134"/>
      </w:tabs>
      <w:spacing w:line="280" w:lineRule="exact"/>
      <w:ind w:firstLine="0"/>
      <w:rPr>
        <w:rFonts w:ascii="Times New Roman" w:hAnsi="Times New Roman"/>
        <w:i/>
        <w:sz w:val="22"/>
      </w:rPr>
    </w:pPr>
  </w:p>
  <w:p w14:paraId="362AFF9B" w14:textId="77777777" w:rsidR="009C2BE6" w:rsidRDefault="009C2BE6" w:rsidP="00DF5070">
    <w:pPr>
      <w:pStyle w:val="Header"/>
      <w:tabs>
        <w:tab w:val="clear" w:pos="4153"/>
        <w:tab w:val="clear" w:pos="8306"/>
        <w:tab w:val="center" w:pos="1134"/>
      </w:tabs>
      <w:spacing w:line="280" w:lineRule="exact"/>
      <w:ind w:firstLine="0"/>
      <w:rPr>
        <w:rFonts w:ascii="Times New Roman" w:hAnsi="Times New Roman"/>
        <w:i/>
        <w:sz w:val="22"/>
      </w:rPr>
    </w:pPr>
  </w:p>
  <w:p w14:paraId="2A9CA192" w14:textId="77777777" w:rsidR="009C2BE6" w:rsidRDefault="009C2BE6" w:rsidP="00DF5070">
    <w:pPr>
      <w:pStyle w:val="Header"/>
      <w:tabs>
        <w:tab w:val="clear" w:pos="4153"/>
        <w:tab w:val="clear" w:pos="8306"/>
        <w:tab w:val="center" w:pos="1134"/>
      </w:tabs>
      <w:spacing w:line="280" w:lineRule="exact"/>
      <w:ind w:firstLine="0"/>
      <w:rPr>
        <w:rFonts w:ascii="Times New Roman" w:hAnsi="Times New Roman"/>
        <w:i/>
        <w:sz w:val="22"/>
      </w:rPr>
    </w:pPr>
  </w:p>
  <w:p w14:paraId="55EF23B9" w14:textId="77777777" w:rsidR="009C2BE6" w:rsidRDefault="009C2BE6" w:rsidP="00DF5070">
    <w:pPr>
      <w:pStyle w:val="Header"/>
      <w:tabs>
        <w:tab w:val="clear" w:pos="4153"/>
        <w:tab w:val="clear" w:pos="8306"/>
        <w:tab w:val="center" w:pos="1134"/>
      </w:tabs>
      <w:spacing w:line="280" w:lineRule="exact"/>
      <w:ind w:firstLine="0"/>
      <w:rPr>
        <w:rFonts w:ascii="Times New Roman" w:hAnsi="Times New Roman"/>
        <w:i/>
        <w:sz w:val="22"/>
      </w:rPr>
    </w:pPr>
  </w:p>
  <w:p w14:paraId="523A4733" w14:textId="77777777" w:rsidR="009C2BE6" w:rsidRDefault="009C2BE6" w:rsidP="00DF5070">
    <w:pPr>
      <w:pStyle w:val="Header"/>
      <w:tabs>
        <w:tab w:val="clear" w:pos="4153"/>
        <w:tab w:val="clear" w:pos="8306"/>
        <w:tab w:val="center" w:pos="1134"/>
      </w:tabs>
      <w:spacing w:line="280" w:lineRule="exact"/>
      <w:ind w:firstLine="0"/>
      <w:rPr>
        <w:rFonts w:ascii="Times New Roman" w:hAnsi="Times New Roman"/>
        <w:i/>
        <w:sz w:val="22"/>
      </w:rPr>
    </w:pPr>
  </w:p>
  <w:p w14:paraId="20CA44F3" w14:textId="77777777" w:rsidR="009C2BE6" w:rsidRPr="00DF5070" w:rsidRDefault="009C2BE6" w:rsidP="00DF507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EA81" w14:textId="77777777" w:rsidR="00E12AF4" w:rsidRDefault="00D27654" w:rsidP="00E12AF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2D57240A" w14:textId="77777777" w:rsidR="00E12AF4" w:rsidRDefault="009C2BE6" w:rsidP="00E12AF4">
    <w:pPr>
      <w:pStyle w:val="Header"/>
      <w:tabs>
        <w:tab w:val="clear" w:pos="4153"/>
        <w:tab w:val="clear" w:pos="8306"/>
        <w:tab w:val="right" w:pos="1304"/>
      </w:tabs>
      <w:spacing w:line="280" w:lineRule="exact"/>
      <w:ind w:firstLine="0"/>
      <w:rPr>
        <w:rFonts w:ascii="Times New Roman" w:hAnsi="Times New Roman"/>
        <w:i/>
        <w:sz w:val="22"/>
      </w:rPr>
    </w:pPr>
  </w:p>
  <w:p w14:paraId="030E70EC" w14:textId="77777777" w:rsidR="00E12AF4" w:rsidRDefault="00D27654" w:rsidP="00E12AF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C0EC6AE" w14:textId="77777777" w:rsidR="00E12AF4" w:rsidRPr="00E12AF4" w:rsidRDefault="009C2BE6" w:rsidP="00E12AF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674C" w14:textId="77777777" w:rsidR="00E12AF4" w:rsidRDefault="00D27654" w:rsidP="00E12AF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52088C0" w14:textId="77777777" w:rsidR="00E12AF4" w:rsidRDefault="009C2BE6" w:rsidP="00E12AF4">
    <w:pPr>
      <w:pStyle w:val="Header"/>
      <w:tabs>
        <w:tab w:val="clear" w:pos="4153"/>
        <w:tab w:val="clear" w:pos="8306"/>
        <w:tab w:val="left" w:pos="7200"/>
        <w:tab w:val="right" w:pos="8504"/>
      </w:tabs>
      <w:spacing w:line="280" w:lineRule="exact"/>
      <w:jc w:val="right"/>
      <w:rPr>
        <w:rFonts w:ascii="Times New Roman" w:hAnsi="Times New Roman"/>
        <w:i/>
        <w:sz w:val="22"/>
      </w:rPr>
    </w:pPr>
  </w:p>
  <w:p w14:paraId="2C2B2C28" w14:textId="77777777" w:rsidR="00E12AF4" w:rsidRDefault="00D27654" w:rsidP="00E12AF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F49BE6B" w14:textId="77777777" w:rsidR="00E12AF4" w:rsidRPr="00E12AF4" w:rsidRDefault="009C2BE6" w:rsidP="00E12AF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7228" w14:textId="77777777" w:rsidR="00E12AF4" w:rsidRDefault="009C2BE6" w:rsidP="00E12AF4">
    <w:pPr>
      <w:pStyle w:val="Header"/>
      <w:tabs>
        <w:tab w:val="clear" w:pos="4153"/>
        <w:tab w:val="clear" w:pos="8306"/>
        <w:tab w:val="center" w:pos="1134"/>
      </w:tabs>
      <w:spacing w:line="280" w:lineRule="exact"/>
      <w:ind w:firstLine="0"/>
      <w:rPr>
        <w:rFonts w:ascii="Times New Roman" w:hAnsi="Times New Roman"/>
        <w:i/>
        <w:sz w:val="22"/>
      </w:rPr>
    </w:pPr>
  </w:p>
  <w:p w14:paraId="64634FEE" w14:textId="77777777" w:rsidR="00E12AF4" w:rsidRDefault="009C2BE6" w:rsidP="00E12AF4">
    <w:pPr>
      <w:pStyle w:val="Header"/>
      <w:tabs>
        <w:tab w:val="clear" w:pos="4153"/>
        <w:tab w:val="clear" w:pos="8306"/>
        <w:tab w:val="center" w:pos="1134"/>
      </w:tabs>
      <w:spacing w:line="280" w:lineRule="exact"/>
      <w:ind w:firstLine="0"/>
      <w:rPr>
        <w:rFonts w:ascii="Times New Roman" w:hAnsi="Times New Roman"/>
        <w:i/>
        <w:sz w:val="22"/>
      </w:rPr>
    </w:pPr>
  </w:p>
  <w:p w14:paraId="50FE50C6" w14:textId="77777777" w:rsidR="00E12AF4" w:rsidRDefault="009C2BE6" w:rsidP="00E12AF4">
    <w:pPr>
      <w:pStyle w:val="Header"/>
      <w:tabs>
        <w:tab w:val="clear" w:pos="4153"/>
        <w:tab w:val="clear" w:pos="8306"/>
        <w:tab w:val="center" w:pos="1134"/>
      </w:tabs>
      <w:spacing w:line="280" w:lineRule="exact"/>
      <w:ind w:firstLine="0"/>
      <w:rPr>
        <w:rFonts w:ascii="Times New Roman" w:hAnsi="Times New Roman"/>
        <w:i/>
        <w:sz w:val="22"/>
      </w:rPr>
    </w:pPr>
  </w:p>
  <w:p w14:paraId="476DAAAC" w14:textId="77777777" w:rsidR="00C5420B" w:rsidRPr="00E12AF4" w:rsidRDefault="009C2BE6" w:rsidP="00E12AF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830C001C"/>
    <w:lvl w:ilvl="0" w:tplc="84FC1CCA">
      <w:start w:val="1"/>
      <w:numFmt w:val="decimal"/>
      <w:pStyle w:val="Numberedpar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8"/>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1"/>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CB"/>
    <w:rsid w:val="000002DB"/>
    <w:rsid w:val="000002FD"/>
    <w:rsid w:val="00000329"/>
    <w:rsid w:val="00000AEE"/>
    <w:rsid w:val="0000169E"/>
    <w:rsid w:val="000019B4"/>
    <w:rsid w:val="00002069"/>
    <w:rsid w:val="0000254E"/>
    <w:rsid w:val="00002CE6"/>
    <w:rsid w:val="0000316A"/>
    <w:rsid w:val="00004162"/>
    <w:rsid w:val="000047CF"/>
    <w:rsid w:val="000049B7"/>
    <w:rsid w:val="00004B29"/>
    <w:rsid w:val="000057DD"/>
    <w:rsid w:val="0001125D"/>
    <w:rsid w:val="00011E67"/>
    <w:rsid w:val="0001218D"/>
    <w:rsid w:val="00012814"/>
    <w:rsid w:val="00013685"/>
    <w:rsid w:val="00013E5D"/>
    <w:rsid w:val="000145EB"/>
    <w:rsid w:val="00014B34"/>
    <w:rsid w:val="00015D6E"/>
    <w:rsid w:val="000168C9"/>
    <w:rsid w:val="00016C20"/>
    <w:rsid w:val="00016DBB"/>
    <w:rsid w:val="00017115"/>
    <w:rsid w:val="00017144"/>
    <w:rsid w:val="0001777C"/>
    <w:rsid w:val="00017B2A"/>
    <w:rsid w:val="00020BAD"/>
    <w:rsid w:val="000226E3"/>
    <w:rsid w:val="00023C8F"/>
    <w:rsid w:val="00023E95"/>
    <w:rsid w:val="00024253"/>
    <w:rsid w:val="000250AF"/>
    <w:rsid w:val="0002548E"/>
    <w:rsid w:val="00025490"/>
    <w:rsid w:val="0002561E"/>
    <w:rsid w:val="00025720"/>
    <w:rsid w:val="00025FA7"/>
    <w:rsid w:val="000260F8"/>
    <w:rsid w:val="000268E1"/>
    <w:rsid w:val="0003101F"/>
    <w:rsid w:val="0003308E"/>
    <w:rsid w:val="0003424C"/>
    <w:rsid w:val="00034760"/>
    <w:rsid w:val="00034819"/>
    <w:rsid w:val="000354B2"/>
    <w:rsid w:val="0003575A"/>
    <w:rsid w:val="00035E5A"/>
    <w:rsid w:val="00036006"/>
    <w:rsid w:val="000360EB"/>
    <w:rsid w:val="00036D0B"/>
    <w:rsid w:val="00037A5F"/>
    <w:rsid w:val="00037D87"/>
    <w:rsid w:val="00040993"/>
    <w:rsid w:val="000409AE"/>
    <w:rsid w:val="00042DBA"/>
    <w:rsid w:val="00043D2C"/>
    <w:rsid w:val="00043E4B"/>
    <w:rsid w:val="00044023"/>
    <w:rsid w:val="000443C6"/>
    <w:rsid w:val="00045394"/>
    <w:rsid w:val="00046812"/>
    <w:rsid w:val="000468D7"/>
    <w:rsid w:val="00047A47"/>
    <w:rsid w:val="000502A1"/>
    <w:rsid w:val="000504EA"/>
    <w:rsid w:val="00050E02"/>
    <w:rsid w:val="000526FC"/>
    <w:rsid w:val="00052CE9"/>
    <w:rsid w:val="00052D78"/>
    <w:rsid w:val="00054416"/>
    <w:rsid w:val="00054985"/>
    <w:rsid w:val="00055ACD"/>
    <w:rsid w:val="00056B0C"/>
    <w:rsid w:val="00056F27"/>
    <w:rsid w:val="000573AF"/>
    <w:rsid w:val="000614C0"/>
    <w:rsid w:val="0006169E"/>
    <w:rsid w:val="00061F2F"/>
    <w:rsid w:val="000626FD"/>
    <w:rsid w:val="00063A08"/>
    <w:rsid w:val="000642E7"/>
    <w:rsid w:val="0006432B"/>
    <w:rsid w:val="00064622"/>
    <w:rsid w:val="00064BAB"/>
    <w:rsid w:val="00064C4D"/>
    <w:rsid w:val="000653D4"/>
    <w:rsid w:val="00066575"/>
    <w:rsid w:val="00066606"/>
    <w:rsid w:val="00066DDA"/>
    <w:rsid w:val="000677CF"/>
    <w:rsid w:val="000678BD"/>
    <w:rsid w:val="00067961"/>
    <w:rsid w:val="00071B9D"/>
    <w:rsid w:val="00071C35"/>
    <w:rsid w:val="0007460C"/>
    <w:rsid w:val="00074A94"/>
    <w:rsid w:val="00075F50"/>
    <w:rsid w:val="00076EA5"/>
    <w:rsid w:val="0007773B"/>
    <w:rsid w:val="00077773"/>
    <w:rsid w:val="00077B17"/>
    <w:rsid w:val="00077B8A"/>
    <w:rsid w:val="00080D77"/>
    <w:rsid w:val="000824A1"/>
    <w:rsid w:val="00083BCE"/>
    <w:rsid w:val="0008435D"/>
    <w:rsid w:val="0008558C"/>
    <w:rsid w:val="00085F13"/>
    <w:rsid w:val="00087CAF"/>
    <w:rsid w:val="00087DF4"/>
    <w:rsid w:val="00087E2C"/>
    <w:rsid w:val="00087EA3"/>
    <w:rsid w:val="00090240"/>
    <w:rsid w:val="00090599"/>
    <w:rsid w:val="00091DB4"/>
    <w:rsid w:val="000924CB"/>
    <w:rsid w:val="00093508"/>
    <w:rsid w:val="00093F49"/>
    <w:rsid w:val="000947F0"/>
    <w:rsid w:val="000977DA"/>
    <w:rsid w:val="000A13C0"/>
    <w:rsid w:val="000A28D4"/>
    <w:rsid w:val="000A2C9B"/>
    <w:rsid w:val="000A2D15"/>
    <w:rsid w:val="000A2EB4"/>
    <w:rsid w:val="000A33B5"/>
    <w:rsid w:val="000A3619"/>
    <w:rsid w:val="000A3DA3"/>
    <w:rsid w:val="000A4454"/>
    <w:rsid w:val="000A63C6"/>
    <w:rsid w:val="000A7120"/>
    <w:rsid w:val="000B01B0"/>
    <w:rsid w:val="000B087F"/>
    <w:rsid w:val="000B0F2A"/>
    <w:rsid w:val="000B2BD1"/>
    <w:rsid w:val="000B360A"/>
    <w:rsid w:val="000B361B"/>
    <w:rsid w:val="000B38BD"/>
    <w:rsid w:val="000B3E2D"/>
    <w:rsid w:val="000B4630"/>
    <w:rsid w:val="000B4634"/>
    <w:rsid w:val="000B497F"/>
    <w:rsid w:val="000B4C42"/>
    <w:rsid w:val="000B6DCD"/>
    <w:rsid w:val="000B710D"/>
    <w:rsid w:val="000B7558"/>
    <w:rsid w:val="000C04DC"/>
    <w:rsid w:val="000C0761"/>
    <w:rsid w:val="000C0D98"/>
    <w:rsid w:val="000C1070"/>
    <w:rsid w:val="000C2E62"/>
    <w:rsid w:val="000C2EE2"/>
    <w:rsid w:val="000C6439"/>
    <w:rsid w:val="000D04B6"/>
    <w:rsid w:val="000D17ED"/>
    <w:rsid w:val="000D2128"/>
    <w:rsid w:val="000D2492"/>
    <w:rsid w:val="000D25E6"/>
    <w:rsid w:val="000D320A"/>
    <w:rsid w:val="000D4CFB"/>
    <w:rsid w:val="000E05B1"/>
    <w:rsid w:val="000E1749"/>
    <w:rsid w:val="000E18F0"/>
    <w:rsid w:val="000E1EFE"/>
    <w:rsid w:val="000E3754"/>
    <w:rsid w:val="000E3DF5"/>
    <w:rsid w:val="000E570C"/>
    <w:rsid w:val="000E5CB7"/>
    <w:rsid w:val="000E65F7"/>
    <w:rsid w:val="000E662A"/>
    <w:rsid w:val="000E6895"/>
    <w:rsid w:val="000E7374"/>
    <w:rsid w:val="000E744B"/>
    <w:rsid w:val="000F100C"/>
    <w:rsid w:val="000F1345"/>
    <w:rsid w:val="000F2474"/>
    <w:rsid w:val="000F2763"/>
    <w:rsid w:val="000F3C11"/>
    <w:rsid w:val="000F57E9"/>
    <w:rsid w:val="000F7E9A"/>
    <w:rsid w:val="000F7F84"/>
    <w:rsid w:val="001001B9"/>
    <w:rsid w:val="00101009"/>
    <w:rsid w:val="001012C8"/>
    <w:rsid w:val="00101E7F"/>
    <w:rsid w:val="00102254"/>
    <w:rsid w:val="001026C2"/>
    <w:rsid w:val="00102DD3"/>
    <w:rsid w:val="00103EF1"/>
    <w:rsid w:val="00105EED"/>
    <w:rsid w:val="001065D5"/>
    <w:rsid w:val="0010702C"/>
    <w:rsid w:val="0010797A"/>
    <w:rsid w:val="001101BE"/>
    <w:rsid w:val="00110525"/>
    <w:rsid w:val="00110970"/>
    <w:rsid w:val="00111378"/>
    <w:rsid w:val="00111568"/>
    <w:rsid w:val="00111A27"/>
    <w:rsid w:val="001120C0"/>
    <w:rsid w:val="00113146"/>
    <w:rsid w:val="00113C33"/>
    <w:rsid w:val="00114A18"/>
    <w:rsid w:val="0011503F"/>
    <w:rsid w:val="001150BF"/>
    <w:rsid w:val="00115C08"/>
    <w:rsid w:val="00115EB0"/>
    <w:rsid w:val="001168F2"/>
    <w:rsid w:val="00117EB8"/>
    <w:rsid w:val="00120207"/>
    <w:rsid w:val="001205F7"/>
    <w:rsid w:val="00121C27"/>
    <w:rsid w:val="00123AF9"/>
    <w:rsid w:val="00123C1B"/>
    <w:rsid w:val="00123F27"/>
    <w:rsid w:val="00124455"/>
    <w:rsid w:val="0012511D"/>
    <w:rsid w:val="00125E23"/>
    <w:rsid w:val="00125E3C"/>
    <w:rsid w:val="00126F02"/>
    <w:rsid w:val="0012798A"/>
    <w:rsid w:val="00127E50"/>
    <w:rsid w:val="00127E7C"/>
    <w:rsid w:val="00130294"/>
    <w:rsid w:val="001303EA"/>
    <w:rsid w:val="00130C3C"/>
    <w:rsid w:val="0013125A"/>
    <w:rsid w:val="0013146F"/>
    <w:rsid w:val="00133E25"/>
    <w:rsid w:val="00133E7E"/>
    <w:rsid w:val="0013456F"/>
    <w:rsid w:val="001360EF"/>
    <w:rsid w:val="00136447"/>
    <w:rsid w:val="00137799"/>
    <w:rsid w:val="001400E1"/>
    <w:rsid w:val="00140C43"/>
    <w:rsid w:val="001417D4"/>
    <w:rsid w:val="00142072"/>
    <w:rsid w:val="00142249"/>
    <w:rsid w:val="001429F1"/>
    <w:rsid w:val="00143FCB"/>
    <w:rsid w:val="0014453C"/>
    <w:rsid w:val="00145627"/>
    <w:rsid w:val="00146A41"/>
    <w:rsid w:val="0014732B"/>
    <w:rsid w:val="001474C6"/>
    <w:rsid w:val="00150D0A"/>
    <w:rsid w:val="00151679"/>
    <w:rsid w:val="00151C83"/>
    <w:rsid w:val="0015318E"/>
    <w:rsid w:val="00153C2D"/>
    <w:rsid w:val="00153DD4"/>
    <w:rsid w:val="00153F8E"/>
    <w:rsid w:val="001544C5"/>
    <w:rsid w:val="001557D4"/>
    <w:rsid w:val="00155D7C"/>
    <w:rsid w:val="00155E24"/>
    <w:rsid w:val="001600AC"/>
    <w:rsid w:val="00160515"/>
    <w:rsid w:val="001609FA"/>
    <w:rsid w:val="00162770"/>
    <w:rsid w:val="00162BE5"/>
    <w:rsid w:val="00163D92"/>
    <w:rsid w:val="00164144"/>
    <w:rsid w:val="001642B8"/>
    <w:rsid w:val="00164C35"/>
    <w:rsid w:val="001659B1"/>
    <w:rsid w:val="00166CBC"/>
    <w:rsid w:val="00166F2C"/>
    <w:rsid w:val="001706D7"/>
    <w:rsid w:val="001712B9"/>
    <w:rsid w:val="00172AA3"/>
    <w:rsid w:val="00172ADE"/>
    <w:rsid w:val="00174850"/>
    <w:rsid w:val="00174D55"/>
    <w:rsid w:val="00175153"/>
    <w:rsid w:val="00175703"/>
    <w:rsid w:val="001758DE"/>
    <w:rsid w:val="001769B2"/>
    <w:rsid w:val="00176B10"/>
    <w:rsid w:val="00176D25"/>
    <w:rsid w:val="001774EF"/>
    <w:rsid w:val="00180950"/>
    <w:rsid w:val="00181718"/>
    <w:rsid w:val="00181DEC"/>
    <w:rsid w:val="0018341F"/>
    <w:rsid w:val="0018342E"/>
    <w:rsid w:val="00184022"/>
    <w:rsid w:val="001840C2"/>
    <w:rsid w:val="00184579"/>
    <w:rsid w:val="00184B46"/>
    <w:rsid w:val="001852E1"/>
    <w:rsid w:val="00185939"/>
    <w:rsid w:val="00185A72"/>
    <w:rsid w:val="00186798"/>
    <w:rsid w:val="00186A2D"/>
    <w:rsid w:val="001876F6"/>
    <w:rsid w:val="00187B88"/>
    <w:rsid w:val="00187DBB"/>
    <w:rsid w:val="00190C0F"/>
    <w:rsid w:val="00190E7A"/>
    <w:rsid w:val="00190F6E"/>
    <w:rsid w:val="00191E23"/>
    <w:rsid w:val="0019227E"/>
    <w:rsid w:val="00193AD1"/>
    <w:rsid w:val="00193BF9"/>
    <w:rsid w:val="00194AE3"/>
    <w:rsid w:val="001953B1"/>
    <w:rsid w:val="00195E17"/>
    <w:rsid w:val="001963C0"/>
    <w:rsid w:val="00196519"/>
    <w:rsid w:val="00197956"/>
    <w:rsid w:val="00197A3D"/>
    <w:rsid w:val="00197B73"/>
    <w:rsid w:val="001A0156"/>
    <w:rsid w:val="001A2671"/>
    <w:rsid w:val="001A33BD"/>
    <w:rsid w:val="001A446E"/>
    <w:rsid w:val="001A63DF"/>
    <w:rsid w:val="001A703F"/>
    <w:rsid w:val="001A7555"/>
    <w:rsid w:val="001A7BD3"/>
    <w:rsid w:val="001B08D2"/>
    <w:rsid w:val="001B0C42"/>
    <w:rsid w:val="001B15FD"/>
    <w:rsid w:val="001B17A8"/>
    <w:rsid w:val="001B208A"/>
    <w:rsid w:val="001B46E0"/>
    <w:rsid w:val="001B5760"/>
    <w:rsid w:val="001B63C6"/>
    <w:rsid w:val="001B69F7"/>
    <w:rsid w:val="001B6E8B"/>
    <w:rsid w:val="001B72CE"/>
    <w:rsid w:val="001C03B4"/>
    <w:rsid w:val="001C0798"/>
    <w:rsid w:val="001C1519"/>
    <w:rsid w:val="001C1595"/>
    <w:rsid w:val="001C1F1B"/>
    <w:rsid w:val="001C1FB3"/>
    <w:rsid w:val="001C28B2"/>
    <w:rsid w:val="001C48D4"/>
    <w:rsid w:val="001C614D"/>
    <w:rsid w:val="001C7219"/>
    <w:rsid w:val="001C7C93"/>
    <w:rsid w:val="001D2861"/>
    <w:rsid w:val="001D36CD"/>
    <w:rsid w:val="001D4D28"/>
    <w:rsid w:val="001D4F49"/>
    <w:rsid w:val="001D63B8"/>
    <w:rsid w:val="001D6FEC"/>
    <w:rsid w:val="001D7982"/>
    <w:rsid w:val="001E01B7"/>
    <w:rsid w:val="001E0643"/>
    <w:rsid w:val="001E1C89"/>
    <w:rsid w:val="001E1D3D"/>
    <w:rsid w:val="001E1EF2"/>
    <w:rsid w:val="001E4487"/>
    <w:rsid w:val="001E47D1"/>
    <w:rsid w:val="001E52CB"/>
    <w:rsid w:val="001E5669"/>
    <w:rsid w:val="001E5C19"/>
    <w:rsid w:val="001E66DB"/>
    <w:rsid w:val="001E6A64"/>
    <w:rsid w:val="001E6D97"/>
    <w:rsid w:val="001E6E28"/>
    <w:rsid w:val="001E75C5"/>
    <w:rsid w:val="001E77C5"/>
    <w:rsid w:val="001E7A29"/>
    <w:rsid w:val="001E7E51"/>
    <w:rsid w:val="001F1BE6"/>
    <w:rsid w:val="001F1E4C"/>
    <w:rsid w:val="001F3D8C"/>
    <w:rsid w:val="001F3F2A"/>
    <w:rsid w:val="001F409F"/>
    <w:rsid w:val="001F412D"/>
    <w:rsid w:val="001F46C5"/>
    <w:rsid w:val="001F69C2"/>
    <w:rsid w:val="001F6C42"/>
    <w:rsid w:val="001F74FC"/>
    <w:rsid w:val="001F7843"/>
    <w:rsid w:val="00200816"/>
    <w:rsid w:val="00200BF3"/>
    <w:rsid w:val="00200C28"/>
    <w:rsid w:val="00201DA8"/>
    <w:rsid w:val="00203A47"/>
    <w:rsid w:val="002048D1"/>
    <w:rsid w:val="002068B5"/>
    <w:rsid w:val="002079CB"/>
    <w:rsid w:val="00210142"/>
    <w:rsid w:val="002104FF"/>
    <w:rsid w:val="0021096E"/>
    <w:rsid w:val="00210D76"/>
    <w:rsid w:val="00210DE8"/>
    <w:rsid w:val="00211D73"/>
    <w:rsid w:val="00212346"/>
    <w:rsid w:val="0021258E"/>
    <w:rsid w:val="00212A3E"/>
    <w:rsid w:val="00212C63"/>
    <w:rsid w:val="00213307"/>
    <w:rsid w:val="00214BF2"/>
    <w:rsid w:val="0021583E"/>
    <w:rsid w:val="00215A7F"/>
    <w:rsid w:val="00216522"/>
    <w:rsid w:val="00216AA0"/>
    <w:rsid w:val="00220812"/>
    <w:rsid w:val="00221D19"/>
    <w:rsid w:val="002246B3"/>
    <w:rsid w:val="00224A20"/>
    <w:rsid w:val="00225458"/>
    <w:rsid w:val="00225740"/>
    <w:rsid w:val="0022666B"/>
    <w:rsid w:val="0022734D"/>
    <w:rsid w:val="0022775E"/>
    <w:rsid w:val="002302BA"/>
    <w:rsid w:val="0023037E"/>
    <w:rsid w:val="002308E7"/>
    <w:rsid w:val="00231057"/>
    <w:rsid w:val="00231B61"/>
    <w:rsid w:val="0023267B"/>
    <w:rsid w:val="002339BD"/>
    <w:rsid w:val="0023447F"/>
    <w:rsid w:val="00234C5A"/>
    <w:rsid w:val="002350B3"/>
    <w:rsid w:val="00235EA3"/>
    <w:rsid w:val="002365C0"/>
    <w:rsid w:val="0023728F"/>
    <w:rsid w:val="0023798E"/>
    <w:rsid w:val="002379F1"/>
    <w:rsid w:val="00237B94"/>
    <w:rsid w:val="00237CD9"/>
    <w:rsid w:val="00242EE4"/>
    <w:rsid w:val="00243CF9"/>
    <w:rsid w:val="00243D89"/>
    <w:rsid w:val="00244452"/>
    <w:rsid w:val="0024462E"/>
    <w:rsid w:val="002450C0"/>
    <w:rsid w:val="00245CA6"/>
    <w:rsid w:val="00245E39"/>
    <w:rsid w:val="00247285"/>
    <w:rsid w:val="002474FA"/>
    <w:rsid w:val="0024799F"/>
    <w:rsid w:val="0025104B"/>
    <w:rsid w:val="00252FAA"/>
    <w:rsid w:val="00253493"/>
    <w:rsid w:val="002538F4"/>
    <w:rsid w:val="00253E8D"/>
    <w:rsid w:val="00255074"/>
    <w:rsid w:val="0025584A"/>
    <w:rsid w:val="002569A9"/>
    <w:rsid w:val="00257AFB"/>
    <w:rsid w:val="0026230D"/>
    <w:rsid w:val="0026293D"/>
    <w:rsid w:val="00262D78"/>
    <w:rsid w:val="002631E3"/>
    <w:rsid w:val="002634F2"/>
    <w:rsid w:val="00263B70"/>
    <w:rsid w:val="00264DD5"/>
    <w:rsid w:val="00264EE4"/>
    <w:rsid w:val="002651B6"/>
    <w:rsid w:val="00265982"/>
    <w:rsid w:val="00265ED6"/>
    <w:rsid w:val="00266496"/>
    <w:rsid w:val="0026674A"/>
    <w:rsid w:val="00267681"/>
    <w:rsid w:val="00270154"/>
    <w:rsid w:val="00271F70"/>
    <w:rsid w:val="002731B4"/>
    <w:rsid w:val="00273419"/>
    <w:rsid w:val="0027408B"/>
    <w:rsid w:val="00274673"/>
    <w:rsid w:val="002753CF"/>
    <w:rsid w:val="00275639"/>
    <w:rsid w:val="00276B56"/>
    <w:rsid w:val="00277DEC"/>
    <w:rsid w:val="002804D5"/>
    <w:rsid w:val="002804E9"/>
    <w:rsid w:val="00280F46"/>
    <w:rsid w:val="00281130"/>
    <w:rsid w:val="002819FD"/>
    <w:rsid w:val="00282F6D"/>
    <w:rsid w:val="0028370F"/>
    <w:rsid w:val="0028583A"/>
    <w:rsid w:val="00287368"/>
    <w:rsid w:val="0028761C"/>
    <w:rsid w:val="00287873"/>
    <w:rsid w:val="00287CD5"/>
    <w:rsid w:val="002916CC"/>
    <w:rsid w:val="002923EE"/>
    <w:rsid w:val="0029278C"/>
    <w:rsid w:val="00292E65"/>
    <w:rsid w:val="00293029"/>
    <w:rsid w:val="0029695D"/>
    <w:rsid w:val="0029697C"/>
    <w:rsid w:val="002979F1"/>
    <w:rsid w:val="002A13E1"/>
    <w:rsid w:val="002A3248"/>
    <w:rsid w:val="002A354E"/>
    <w:rsid w:val="002A4A32"/>
    <w:rsid w:val="002A4EA7"/>
    <w:rsid w:val="002A5DF5"/>
    <w:rsid w:val="002B05AD"/>
    <w:rsid w:val="002B0846"/>
    <w:rsid w:val="002B1304"/>
    <w:rsid w:val="002B2DF8"/>
    <w:rsid w:val="002B3AC0"/>
    <w:rsid w:val="002B3ACA"/>
    <w:rsid w:val="002B41CA"/>
    <w:rsid w:val="002B43CF"/>
    <w:rsid w:val="002B4CF7"/>
    <w:rsid w:val="002B5E1D"/>
    <w:rsid w:val="002B6858"/>
    <w:rsid w:val="002B7032"/>
    <w:rsid w:val="002B71B0"/>
    <w:rsid w:val="002B7B7A"/>
    <w:rsid w:val="002C04EC"/>
    <w:rsid w:val="002C0A1D"/>
    <w:rsid w:val="002C23B9"/>
    <w:rsid w:val="002C2C02"/>
    <w:rsid w:val="002C3449"/>
    <w:rsid w:val="002C3C86"/>
    <w:rsid w:val="002C420C"/>
    <w:rsid w:val="002C5981"/>
    <w:rsid w:val="002C60B7"/>
    <w:rsid w:val="002C733C"/>
    <w:rsid w:val="002C7548"/>
    <w:rsid w:val="002C78A9"/>
    <w:rsid w:val="002D0410"/>
    <w:rsid w:val="002D0899"/>
    <w:rsid w:val="002D158B"/>
    <w:rsid w:val="002D1707"/>
    <w:rsid w:val="002D17E2"/>
    <w:rsid w:val="002D2C25"/>
    <w:rsid w:val="002D3EDB"/>
    <w:rsid w:val="002D3F5B"/>
    <w:rsid w:val="002D606B"/>
    <w:rsid w:val="002D6607"/>
    <w:rsid w:val="002D69F0"/>
    <w:rsid w:val="002D6B82"/>
    <w:rsid w:val="002D6FEB"/>
    <w:rsid w:val="002D741A"/>
    <w:rsid w:val="002D777C"/>
    <w:rsid w:val="002E0EC8"/>
    <w:rsid w:val="002E142C"/>
    <w:rsid w:val="002E1A37"/>
    <w:rsid w:val="002E24B0"/>
    <w:rsid w:val="002E25E9"/>
    <w:rsid w:val="002E278F"/>
    <w:rsid w:val="002E27E3"/>
    <w:rsid w:val="002E31A5"/>
    <w:rsid w:val="002E39B5"/>
    <w:rsid w:val="002E3B4D"/>
    <w:rsid w:val="002E4004"/>
    <w:rsid w:val="002E6C69"/>
    <w:rsid w:val="002E74E6"/>
    <w:rsid w:val="002F0292"/>
    <w:rsid w:val="002F0522"/>
    <w:rsid w:val="002F0734"/>
    <w:rsid w:val="002F0AC4"/>
    <w:rsid w:val="002F0BF3"/>
    <w:rsid w:val="002F1078"/>
    <w:rsid w:val="002F15D9"/>
    <w:rsid w:val="002F1B04"/>
    <w:rsid w:val="002F2B16"/>
    <w:rsid w:val="002F2B84"/>
    <w:rsid w:val="002F358A"/>
    <w:rsid w:val="002F3953"/>
    <w:rsid w:val="002F3E8B"/>
    <w:rsid w:val="002F4095"/>
    <w:rsid w:val="002F441A"/>
    <w:rsid w:val="002F62FA"/>
    <w:rsid w:val="002F7790"/>
    <w:rsid w:val="00301121"/>
    <w:rsid w:val="00301975"/>
    <w:rsid w:val="00301EE6"/>
    <w:rsid w:val="00301FD8"/>
    <w:rsid w:val="00302749"/>
    <w:rsid w:val="0030367C"/>
    <w:rsid w:val="003037FE"/>
    <w:rsid w:val="0030542C"/>
    <w:rsid w:val="00305F7D"/>
    <w:rsid w:val="00306B77"/>
    <w:rsid w:val="0030776C"/>
    <w:rsid w:val="00310418"/>
    <w:rsid w:val="00310FAE"/>
    <w:rsid w:val="003119B1"/>
    <w:rsid w:val="00312FFC"/>
    <w:rsid w:val="00313E5E"/>
    <w:rsid w:val="003143EC"/>
    <w:rsid w:val="003150BF"/>
    <w:rsid w:val="003150CE"/>
    <w:rsid w:val="00315E92"/>
    <w:rsid w:val="003166C9"/>
    <w:rsid w:val="00320C01"/>
    <w:rsid w:val="00322444"/>
    <w:rsid w:val="00322515"/>
    <w:rsid w:val="00322CFD"/>
    <w:rsid w:val="00323B9E"/>
    <w:rsid w:val="00323D9C"/>
    <w:rsid w:val="003240B1"/>
    <w:rsid w:val="00324545"/>
    <w:rsid w:val="003245DD"/>
    <w:rsid w:val="003245ED"/>
    <w:rsid w:val="00325C52"/>
    <w:rsid w:val="00325DDA"/>
    <w:rsid w:val="003266E3"/>
    <w:rsid w:val="003275D3"/>
    <w:rsid w:val="00327E0C"/>
    <w:rsid w:val="00327EC7"/>
    <w:rsid w:val="00330804"/>
    <w:rsid w:val="003317E0"/>
    <w:rsid w:val="003317F6"/>
    <w:rsid w:val="00331D0B"/>
    <w:rsid w:val="00333C74"/>
    <w:rsid w:val="003344A7"/>
    <w:rsid w:val="00334A43"/>
    <w:rsid w:val="00334A6B"/>
    <w:rsid w:val="003366B2"/>
    <w:rsid w:val="00337A89"/>
    <w:rsid w:val="00340066"/>
    <w:rsid w:val="00340AE6"/>
    <w:rsid w:val="00341817"/>
    <w:rsid w:val="003418BC"/>
    <w:rsid w:val="0034288B"/>
    <w:rsid w:val="0034332B"/>
    <w:rsid w:val="003438CA"/>
    <w:rsid w:val="00343BD1"/>
    <w:rsid w:val="003441C6"/>
    <w:rsid w:val="003449A0"/>
    <w:rsid w:val="003450EF"/>
    <w:rsid w:val="0034571C"/>
    <w:rsid w:val="0034681C"/>
    <w:rsid w:val="00346917"/>
    <w:rsid w:val="003474BE"/>
    <w:rsid w:val="00347DD1"/>
    <w:rsid w:val="00347E2E"/>
    <w:rsid w:val="00352FBF"/>
    <w:rsid w:val="00353003"/>
    <w:rsid w:val="00353820"/>
    <w:rsid w:val="00353F39"/>
    <w:rsid w:val="0035423D"/>
    <w:rsid w:val="00354540"/>
    <w:rsid w:val="0035539D"/>
    <w:rsid w:val="003553E4"/>
    <w:rsid w:val="00355BAF"/>
    <w:rsid w:val="00355CE5"/>
    <w:rsid w:val="00356B4A"/>
    <w:rsid w:val="003600A8"/>
    <w:rsid w:val="003611A7"/>
    <w:rsid w:val="00361EBD"/>
    <w:rsid w:val="0036277F"/>
    <w:rsid w:val="003627CC"/>
    <w:rsid w:val="00364A62"/>
    <w:rsid w:val="003657F9"/>
    <w:rsid w:val="00365D23"/>
    <w:rsid w:val="00365FEB"/>
    <w:rsid w:val="00366524"/>
    <w:rsid w:val="00370108"/>
    <w:rsid w:val="003702F0"/>
    <w:rsid w:val="003705CA"/>
    <w:rsid w:val="0037082E"/>
    <w:rsid w:val="00370A74"/>
    <w:rsid w:val="003714E0"/>
    <w:rsid w:val="003717FF"/>
    <w:rsid w:val="00371E07"/>
    <w:rsid w:val="00371FC8"/>
    <w:rsid w:val="0037333A"/>
    <w:rsid w:val="00373757"/>
    <w:rsid w:val="00373E58"/>
    <w:rsid w:val="00373F08"/>
    <w:rsid w:val="00375F2E"/>
    <w:rsid w:val="00376073"/>
    <w:rsid w:val="00376BE4"/>
    <w:rsid w:val="00377452"/>
    <w:rsid w:val="0038063E"/>
    <w:rsid w:val="00381223"/>
    <w:rsid w:val="00381849"/>
    <w:rsid w:val="003819D4"/>
    <w:rsid w:val="003823A0"/>
    <w:rsid w:val="00383CB2"/>
    <w:rsid w:val="0038432F"/>
    <w:rsid w:val="00384B5B"/>
    <w:rsid w:val="00384F36"/>
    <w:rsid w:val="00384FF8"/>
    <w:rsid w:val="00385271"/>
    <w:rsid w:val="003869FC"/>
    <w:rsid w:val="0039058D"/>
    <w:rsid w:val="0039088F"/>
    <w:rsid w:val="00391D38"/>
    <w:rsid w:val="00391FFE"/>
    <w:rsid w:val="0039226E"/>
    <w:rsid w:val="00392CC8"/>
    <w:rsid w:val="003935E7"/>
    <w:rsid w:val="003937F4"/>
    <w:rsid w:val="00394970"/>
    <w:rsid w:val="0039775D"/>
    <w:rsid w:val="003A1DD4"/>
    <w:rsid w:val="003A2017"/>
    <w:rsid w:val="003A48CC"/>
    <w:rsid w:val="003A62DC"/>
    <w:rsid w:val="003A72EF"/>
    <w:rsid w:val="003A76DA"/>
    <w:rsid w:val="003A783C"/>
    <w:rsid w:val="003B12BA"/>
    <w:rsid w:val="003B1BF8"/>
    <w:rsid w:val="003B2B8C"/>
    <w:rsid w:val="003B4EED"/>
    <w:rsid w:val="003B500E"/>
    <w:rsid w:val="003B5917"/>
    <w:rsid w:val="003B6B2C"/>
    <w:rsid w:val="003B7513"/>
    <w:rsid w:val="003C0F8F"/>
    <w:rsid w:val="003C14B0"/>
    <w:rsid w:val="003C21DC"/>
    <w:rsid w:val="003C266A"/>
    <w:rsid w:val="003C357B"/>
    <w:rsid w:val="003C4B19"/>
    <w:rsid w:val="003C5AA0"/>
    <w:rsid w:val="003C602A"/>
    <w:rsid w:val="003C6372"/>
    <w:rsid w:val="003C673D"/>
    <w:rsid w:val="003C679C"/>
    <w:rsid w:val="003C7ACF"/>
    <w:rsid w:val="003C7F0F"/>
    <w:rsid w:val="003C7F9A"/>
    <w:rsid w:val="003D0562"/>
    <w:rsid w:val="003D05CA"/>
    <w:rsid w:val="003D0ABC"/>
    <w:rsid w:val="003D0B62"/>
    <w:rsid w:val="003D0C7B"/>
    <w:rsid w:val="003D1759"/>
    <w:rsid w:val="003D1896"/>
    <w:rsid w:val="003D1AA6"/>
    <w:rsid w:val="003D241E"/>
    <w:rsid w:val="003D3578"/>
    <w:rsid w:val="003D3B14"/>
    <w:rsid w:val="003D5141"/>
    <w:rsid w:val="003D527A"/>
    <w:rsid w:val="003D62F7"/>
    <w:rsid w:val="003D6F15"/>
    <w:rsid w:val="003D757A"/>
    <w:rsid w:val="003E0A87"/>
    <w:rsid w:val="003E1035"/>
    <w:rsid w:val="003E1168"/>
    <w:rsid w:val="003E17F2"/>
    <w:rsid w:val="003E19F7"/>
    <w:rsid w:val="003E1EB2"/>
    <w:rsid w:val="003E2038"/>
    <w:rsid w:val="003E2B56"/>
    <w:rsid w:val="003E38DA"/>
    <w:rsid w:val="003E4432"/>
    <w:rsid w:val="003E492C"/>
    <w:rsid w:val="003E6210"/>
    <w:rsid w:val="003E710D"/>
    <w:rsid w:val="003E7A9C"/>
    <w:rsid w:val="003E7B07"/>
    <w:rsid w:val="003F204A"/>
    <w:rsid w:val="003F328F"/>
    <w:rsid w:val="003F4B3E"/>
    <w:rsid w:val="003F531A"/>
    <w:rsid w:val="003F635D"/>
    <w:rsid w:val="003F6512"/>
    <w:rsid w:val="003F7158"/>
    <w:rsid w:val="003F739A"/>
    <w:rsid w:val="003F7C9E"/>
    <w:rsid w:val="004002E3"/>
    <w:rsid w:val="004025E8"/>
    <w:rsid w:val="00402768"/>
    <w:rsid w:val="00402812"/>
    <w:rsid w:val="00402E81"/>
    <w:rsid w:val="00404C36"/>
    <w:rsid w:val="00404CD5"/>
    <w:rsid w:val="00404FD6"/>
    <w:rsid w:val="0040606C"/>
    <w:rsid w:val="00406ADF"/>
    <w:rsid w:val="00406F38"/>
    <w:rsid w:val="00407DE6"/>
    <w:rsid w:val="00410151"/>
    <w:rsid w:val="004104AA"/>
    <w:rsid w:val="004107CA"/>
    <w:rsid w:val="0041116D"/>
    <w:rsid w:val="004111BC"/>
    <w:rsid w:val="004114CB"/>
    <w:rsid w:val="004125F4"/>
    <w:rsid w:val="004126D4"/>
    <w:rsid w:val="00412793"/>
    <w:rsid w:val="00413BCE"/>
    <w:rsid w:val="00413F0E"/>
    <w:rsid w:val="00413F34"/>
    <w:rsid w:val="004143AE"/>
    <w:rsid w:val="00414703"/>
    <w:rsid w:val="004150DA"/>
    <w:rsid w:val="00415D2B"/>
    <w:rsid w:val="00416AAE"/>
    <w:rsid w:val="00416C0A"/>
    <w:rsid w:val="00416E51"/>
    <w:rsid w:val="004173EB"/>
    <w:rsid w:val="00421514"/>
    <w:rsid w:val="00421517"/>
    <w:rsid w:val="00421941"/>
    <w:rsid w:val="00421CF8"/>
    <w:rsid w:val="00422C20"/>
    <w:rsid w:val="004235A7"/>
    <w:rsid w:val="00424DE2"/>
    <w:rsid w:val="0042702C"/>
    <w:rsid w:val="00427C2B"/>
    <w:rsid w:val="00430BF7"/>
    <w:rsid w:val="0043140B"/>
    <w:rsid w:val="00431814"/>
    <w:rsid w:val="0043193D"/>
    <w:rsid w:val="00432528"/>
    <w:rsid w:val="00432836"/>
    <w:rsid w:val="00432E76"/>
    <w:rsid w:val="00435FF6"/>
    <w:rsid w:val="00436937"/>
    <w:rsid w:val="00436F08"/>
    <w:rsid w:val="004370BF"/>
    <w:rsid w:val="004373D1"/>
    <w:rsid w:val="0043768B"/>
    <w:rsid w:val="0043778D"/>
    <w:rsid w:val="004406C4"/>
    <w:rsid w:val="00440ED3"/>
    <w:rsid w:val="00442158"/>
    <w:rsid w:val="00442B05"/>
    <w:rsid w:val="004442FE"/>
    <w:rsid w:val="004454C2"/>
    <w:rsid w:val="00445501"/>
    <w:rsid w:val="00446E50"/>
    <w:rsid w:val="00447347"/>
    <w:rsid w:val="0044794D"/>
    <w:rsid w:val="00447DF3"/>
    <w:rsid w:val="00447F33"/>
    <w:rsid w:val="00450A27"/>
    <w:rsid w:val="004515B9"/>
    <w:rsid w:val="00451EC2"/>
    <w:rsid w:val="00452454"/>
    <w:rsid w:val="00453709"/>
    <w:rsid w:val="004547AB"/>
    <w:rsid w:val="0045500F"/>
    <w:rsid w:val="00455029"/>
    <w:rsid w:val="00455F31"/>
    <w:rsid w:val="00462D11"/>
    <w:rsid w:val="00462E8D"/>
    <w:rsid w:val="00462FEE"/>
    <w:rsid w:val="00463003"/>
    <w:rsid w:val="00463357"/>
    <w:rsid w:val="00463A04"/>
    <w:rsid w:val="00463DE5"/>
    <w:rsid w:val="00465255"/>
    <w:rsid w:val="00465328"/>
    <w:rsid w:val="004703B7"/>
    <w:rsid w:val="004703BE"/>
    <w:rsid w:val="004703D5"/>
    <w:rsid w:val="00471759"/>
    <w:rsid w:val="004721AC"/>
    <w:rsid w:val="00473491"/>
    <w:rsid w:val="00473718"/>
    <w:rsid w:val="00473869"/>
    <w:rsid w:val="0047410E"/>
    <w:rsid w:val="00474B84"/>
    <w:rsid w:val="00475201"/>
    <w:rsid w:val="0047533B"/>
    <w:rsid w:val="00475D9B"/>
    <w:rsid w:val="00476EDC"/>
    <w:rsid w:val="0048054A"/>
    <w:rsid w:val="004818E8"/>
    <w:rsid w:val="00482F67"/>
    <w:rsid w:val="00483006"/>
    <w:rsid w:val="00483886"/>
    <w:rsid w:val="00484915"/>
    <w:rsid w:val="00485961"/>
    <w:rsid w:val="00487387"/>
    <w:rsid w:val="00490910"/>
    <w:rsid w:val="0049157D"/>
    <w:rsid w:val="004919FD"/>
    <w:rsid w:val="00491AA5"/>
    <w:rsid w:val="004931E1"/>
    <w:rsid w:val="00494971"/>
    <w:rsid w:val="0049504A"/>
    <w:rsid w:val="004A132C"/>
    <w:rsid w:val="004A1EF9"/>
    <w:rsid w:val="004A215C"/>
    <w:rsid w:val="004A28CC"/>
    <w:rsid w:val="004A3DBB"/>
    <w:rsid w:val="004A44CC"/>
    <w:rsid w:val="004A4F50"/>
    <w:rsid w:val="004A5868"/>
    <w:rsid w:val="004A5B9A"/>
    <w:rsid w:val="004A5D0F"/>
    <w:rsid w:val="004A7A8C"/>
    <w:rsid w:val="004B07C1"/>
    <w:rsid w:val="004B15F1"/>
    <w:rsid w:val="004B1D33"/>
    <w:rsid w:val="004B255B"/>
    <w:rsid w:val="004B26D9"/>
    <w:rsid w:val="004B2C5E"/>
    <w:rsid w:val="004B2E50"/>
    <w:rsid w:val="004B4189"/>
    <w:rsid w:val="004B4FD6"/>
    <w:rsid w:val="004B6074"/>
    <w:rsid w:val="004B689C"/>
    <w:rsid w:val="004B774B"/>
    <w:rsid w:val="004C09AE"/>
    <w:rsid w:val="004C1693"/>
    <w:rsid w:val="004C2685"/>
    <w:rsid w:val="004C330C"/>
    <w:rsid w:val="004C3737"/>
    <w:rsid w:val="004C4629"/>
    <w:rsid w:val="004C4B71"/>
    <w:rsid w:val="004C6338"/>
    <w:rsid w:val="004D02BE"/>
    <w:rsid w:val="004D087E"/>
    <w:rsid w:val="004D19DB"/>
    <w:rsid w:val="004D1E88"/>
    <w:rsid w:val="004D23B7"/>
    <w:rsid w:val="004D27BE"/>
    <w:rsid w:val="004D3255"/>
    <w:rsid w:val="004D3625"/>
    <w:rsid w:val="004D3902"/>
    <w:rsid w:val="004D3CD7"/>
    <w:rsid w:val="004D53C4"/>
    <w:rsid w:val="004D56D9"/>
    <w:rsid w:val="004D58DE"/>
    <w:rsid w:val="004D59EA"/>
    <w:rsid w:val="004D5EC7"/>
    <w:rsid w:val="004D6030"/>
    <w:rsid w:val="004D63DC"/>
    <w:rsid w:val="004D63E2"/>
    <w:rsid w:val="004E098E"/>
    <w:rsid w:val="004E1DC3"/>
    <w:rsid w:val="004E1EC6"/>
    <w:rsid w:val="004E264D"/>
    <w:rsid w:val="004E2EB3"/>
    <w:rsid w:val="004E3F30"/>
    <w:rsid w:val="004E40DD"/>
    <w:rsid w:val="004E46F8"/>
    <w:rsid w:val="004E484E"/>
    <w:rsid w:val="004E50C8"/>
    <w:rsid w:val="004E53F1"/>
    <w:rsid w:val="004E653E"/>
    <w:rsid w:val="004E65F5"/>
    <w:rsid w:val="004E70E6"/>
    <w:rsid w:val="004E7A37"/>
    <w:rsid w:val="004E7E13"/>
    <w:rsid w:val="004F1C55"/>
    <w:rsid w:val="004F2231"/>
    <w:rsid w:val="004F22E6"/>
    <w:rsid w:val="004F2D77"/>
    <w:rsid w:val="004F3E28"/>
    <w:rsid w:val="004F43E7"/>
    <w:rsid w:val="004F44FF"/>
    <w:rsid w:val="004F4F65"/>
    <w:rsid w:val="004F5022"/>
    <w:rsid w:val="004F621F"/>
    <w:rsid w:val="004F65A8"/>
    <w:rsid w:val="004F6FAC"/>
    <w:rsid w:val="005009DE"/>
    <w:rsid w:val="0050119E"/>
    <w:rsid w:val="00502EAE"/>
    <w:rsid w:val="00503A1B"/>
    <w:rsid w:val="005044E1"/>
    <w:rsid w:val="0050500F"/>
    <w:rsid w:val="00505279"/>
    <w:rsid w:val="005062E4"/>
    <w:rsid w:val="005063E1"/>
    <w:rsid w:val="00506DF6"/>
    <w:rsid w:val="00507CC5"/>
    <w:rsid w:val="00510E59"/>
    <w:rsid w:val="00511175"/>
    <w:rsid w:val="005139CE"/>
    <w:rsid w:val="00513E3F"/>
    <w:rsid w:val="005146BA"/>
    <w:rsid w:val="005146D4"/>
    <w:rsid w:val="00516BBB"/>
    <w:rsid w:val="005174CB"/>
    <w:rsid w:val="00517977"/>
    <w:rsid w:val="0051797C"/>
    <w:rsid w:val="00517C46"/>
    <w:rsid w:val="00522968"/>
    <w:rsid w:val="00523705"/>
    <w:rsid w:val="00523E83"/>
    <w:rsid w:val="00523FED"/>
    <w:rsid w:val="005248BB"/>
    <w:rsid w:val="00526310"/>
    <w:rsid w:val="00526968"/>
    <w:rsid w:val="00526A30"/>
    <w:rsid w:val="005308A5"/>
    <w:rsid w:val="0053139A"/>
    <w:rsid w:val="005314E9"/>
    <w:rsid w:val="00531723"/>
    <w:rsid w:val="00531DCD"/>
    <w:rsid w:val="0053252A"/>
    <w:rsid w:val="0053275E"/>
    <w:rsid w:val="0053324F"/>
    <w:rsid w:val="0053375B"/>
    <w:rsid w:val="00533CCB"/>
    <w:rsid w:val="0053545B"/>
    <w:rsid w:val="005359E0"/>
    <w:rsid w:val="005359E6"/>
    <w:rsid w:val="00536B9E"/>
    <w:rsid w:val="005372DF"/>
    <w:rsid w:val="00537AAC"/>
    <w:rsid w:val="00540454"/>
    <w:rsid w:val="0054053D"/>
    <w:rsid w:val="00541DFC"/>
    <w:rsid w:val="00541EF9"/>
    <w:rsid w:val="00542CB9"/>
    <w:rsid w:val="005431CF"/>
    <w:rsid w:val="00543BB3"/>
    <w:rsid w:val="00543D0A"/>
    <w:rsid w:val="00543E92"/>
    <w:rsid w:val="005454F3"/>
    <w:rsid w:val="005455E5"/>
    <w:rsid w:val="00546232"/>
    <w:rsid w:val="0054681B"/>
    <w:rsid w:val="0054779A"/>
    <w:rsid w:val="00547BA1"/>
    <w:rsid w:val="00547D9F"/>
    <w:rsid w:val="00547FB5"/>
    <w:rsid w:val="00550590"/>
    <w:rsid w:val="005513C5"/>
    <w:rsid w:val="005517FB"/>
    <w:rsid w:val="00552CF6"/>
    <w:rsid w:val="00553F73"/>
    <w:rsid w:val="005555BD"/>
    <w:rsid w:val="00555F75"/>
    <w:rsid w:val="00556101"/>
    <w:rsid w:val="00557228"/>
    <w:rsid w:val="005572F2"/>
    <w:rsid w:val="00557593"/>
    <w:rsid w:val="00557851"/>
    <w:rsid w:val="00557CB1"/>
    <w:rsid w:val="00557D06"/>
    <w:rsid w:val="005608F2"/>
    <w:rsid w:val="0056091E"/>
    <w:rsid w:val="00561371"/>
    <w:rsid w:val="0056172D"/>
    <w:rsid w:val="005635F3"/>
    <w:rsid w:val="005636DC"/>
    <w:rsid w:val="00563DE4"/>
    <w:rsid w:val="0056411C"/>
    <w:rsid w:val="0056485B"/>
    <w:rsid w:val="005657E2"/>
    <w:rsid w:val="00565AA4"/>
    <w:rsid w:val="00565B4C"/>
    <w:rsid w:val="005663FF"/>
    <w:rsid w:val="005670FD"/>
    <w:rsid w:val="005677E5"/>
    <w:rsid w:val="00570D24"/>
    <w:rsid w:val="005711B9"/>
    <w:rsid w:val="00571C60"/>
    <w:rsid w:val="00571DC2"/>
    <w:rsid w:val="00573042"/>
    <w:rsid w:val="005731A2"/>
    <w:rsid w:val="005736A3"/>
    <w:rsid w:val="00574431"/>
    <w:rsid w:val="00574C1A"/>
    <w:rsid w:val="00574E42"/>
    <w:rsid w:val="005752DA"/>
    <w:rsid w:val="00576AE3"/>
    <w:rsid w:val="00577B6F"/>
    <w:rsid w:val="00580445"/>
    <w:rsid w:val="00580603"/>
    <w:rsid w:val="00580EEB"/>
    <w:rsid w:val="00580FCF"/>
    <w:rsid w:val="005825AC"/>
    <w:rsid w:val="00583673"/>
    <w:rsid w:val="00583D08"/>
    <w:rsid w:val="00587BE7"/>
    <w:rsid w:val="00587CBC"/>
    <w:rsid w:val="00587D02"/>
    <w:rsid w:val="00590321"/>
    <w:rsid w:val="00590493"/>
    <w:rsid w:val="00590872"/>
    <w:rsid w:val="00590DD9"/>
    <w:rsid w:val="00591FD2"/>
    <w:rsid w:val="005939F1"/>
    <w:rsid w:val="00593AD0"/>
    <w:rsid w:val="00595C5A"/>
    <w:rsid w:val="00595DF1"/>
    <w:rsid w:val="00595E6F"/>
    <w:rsid w:val="00596427"/>
    <w:rsid w:val="00596524"/>
    <w:rsid w:val="005965D3"/>
    <w:rsid w:val="00597D35"/>
    <w:rsid w:val="005A1286"/>
    <w:rsid w:val="005A1698"/>
    <w:rsid w:val="005A2F08"/>
    <w:rsid w:val="005A35FE"/>
    <w:rsid w:val="005A3D47"/>
    <w:rsid w:val="005A4A36"/>
    <w:rsid w:val="005A52DE"/>
    <w:rsid w:val="005A6D6D"/>
    <w:rsid w:val="005A7264"/>
    <w:rsid w:val="005B1415"/>
    <w:rsid w:val="005B1601"/>
    <w:rsid w:val="005B2000"/>
    <w:rsid w:val="005B2304"/>
    <w:rsid w:val="005B3DB0"/>
    <w:rsid w:val="005B3E62"/>
    <w:rsid w:val="005B46DF"/>
    <w:rsid w:val="005B4CFC"/>
    <w:rsid w:val="005B5881"/>
    <w:rsid w:val="005B58B0"/>
    <w:rsid w:val="005B5B5C"/>
    <w:rsid w:val="005B63A0"/>
    <w:rsid w:val="005C0298"/>
    <w:rsid w:val="005C0769"/>
    <w:rsid w:val="005C0D62"/>
    <w:rsid w:val="005C187E"/>
    <w:rsid w:val="005C347C"/>
    <w:rsid w:val="005C360A"/>
    <w:rsid w:val="005C3793"/>
    <w:rsid w:val="005C392C"/>
    <w:rsid w:val="005C41A0"/>
    <w:rsid w:val="005C4B8F"/>
    <w:rsid w:val="005C5A42"/>
    <w:rsid w:val="005C6D54"/>
    <w:rsid w:val="005C71B7"/>
    <w:rsid w:val="005D04D0"/>
    <w:rsid w:val="005D0537"/>
    <w:rsid w:val="005D1762"/>
    <w:rsid w:val="005D1E82"/>
    <w:rsid w:val="005D221C"/>
    <w:rsid w:val="005D2A43"/>
    <w:rsid w:val="005D2CAD"/>
    <w:rsid w:val="005D4043"/>
    <w:rsid w:val="005D5B95"/>
    <w:rsid w:val="005D6EA0"/>
    <w:rsid w:val="005D7776"/>
    <w:rsid w:val="005E114C"/>
    <w:rsid w:val="005E39AD"/>
    <w:rsid w:val="005E3B27"/>
    <w:rsid w:val="005E7B36"/>
    <w:rsid w:val="005F02E6"/>
    <w:rsid w:val="005F0C7E"/>
    <w:rsid w:val="005F10F1"/>
    <w:rsid w:val="005F1911"/>
    <w:rsid w:val="005F1DA6"/>
    <w:rsid w:val="005F1E0E"/>
    <w:rsid w:val="005F2161"/>
    <w:rsid w:val="005F2CBA"/>
    <w:rsid w:val="005F3216"/>
    <w:rsid w:val="005F3280"/>
    <w:rsid w:val="005F3630"/>
    <w:rsid w:val="005F43C3"/>
    <w:rsid w:val="005F43E8"/>
    <w:rsid w:val="005F4DFE"/>
    <w:rsid w:val="005F4EF9"/>
    <w:rsid w:val="005F750E"/>
    <w:rsid w:val="006005FD"/>
    <w:rsid w:val="00600C68"/>
    <w:rsid w:val="00601518"/>
    <w:rsid w:val="006015AE"/>
    <w:rsid w:val="006017A3"/>
    <w:rsid w:val="006017B1"/>
    <w:rsid w:val="006021FF"/>
    <w:rsid w:val="00602210"/>
    <w:rsid w:val="006031DE"/>
    <w:rsid w:val="00605B9B"/>
    <w:rsid w:val="00606300"/>
    <w:rsid w:val="0060685F"/>
    <w:rsid w:val="00607066"/>
    <w:rsid w:val="00607197"/>
    <w:rsid w:val="00607475"/>
    <w:rsid w:val="00607584"/>
    <w:rsid w:val="00607A16"/>
    <w:rsid w:val="00607E53"/>
    <w:rsid w:val="006105C5"/>
    <w:rsid w:val="006109F8"/>
    <w:rsid w:val="00610A9E"/>
    <w:rsid w:val="006140E4"/>
    <w:rsid w:val="006147EA"/>
    <w:rsid w:val="00614D4B"/>
    <w:rsid w:val="006158A6"/>
    <w:rsid w:val="00616F1E"/>
    <w:rsid w:val="0061787E"/>
    <w:rsid w:val="006204D9"/>
    <w:rsid w:val="0062066D"/>
    <w:rsid w:val="00620B64"/>
    <w:rsid w:val="006227E9"/>
    <w:rsid w:val="00623075"/>
    <w:rsid w:val="00623910"/>
    <w:rsid w:val="00623D38"/>
    <w:rsid w:val="00623F2F"/>
    <w:rsid w:val="00624278"/>
    <w:rsid w:val="006242CF"/>
    <w:rsid w:val="00624859"/>
    <w:rsid w:val="00624A27"/>
    <w:rsid w:val="00624D74"/>
    <w:rsid w:val="006250D8"/>
    <w:rsid w:val="00625DFE"/>
    <w:rsid w:val="00626B12"/>
    <w:rsid w:val="0062716D"/>
    <w:rsid w:val="00627781"/>
    <w:rsid w:val="00627AF2"/>
    <w:rsid w:val="006318CF"/>
    <w:rsid w:val="00631D93"/>
    <w:rsid w:val="0063234F"/>
    <w:rsid w:val="00632F94"/>
    <w:rsid w:val="006337E5"/>
    <w:rsid w:val="00634550"/>
    <w:rsid w:val="00635896"/>
    <w:rsid w:val="0063632F"/>
    <w:rsid w:val="00636644"/>
    <w:rsid w:val="0063761A"/>
    <w:rsid w:val="0063775A"/>
    <w:rsid w:val="0064045D"/>
    <w:rsid w:val="006411F7"/>
    <w:rsid w:val="00641975"/>
    <w:rsid w:val="0064322A"/>
    <w:rsid w:val="00643460"/>
    <w:rsid w:val="00644564"/>
    <w:rsid w:val="00645A92"/>
    <w:rsid w:val="00645E49"/>
    <w:rsid w:val="006479A2"/>
    <w:rsid w:val="00650C56"/>
    <w:rsid w:val="00652858"/>
    <w:rsid w:val="006533DC"/>
    <w:rsid w:val="00653B14"/>
    <w:rsid w:val="0065474C"/>
    <w:rsid w:val="006555A0"/>
    <w:rsid w:val="006558DC"/>
    <w:rsid w:val="00655953"/>
    <w:rsid w:val="00656B27"/>
    <w:rsid w:val="006573DA"/>
    <w:rsid w:val="00657898"/>
    <w:rsid w:val="00657F8B"/>
    <w:rsid w:val="00660401"/>
    <w:rsid w:val="00660C4E"/>
    <w:rsid w:val="00660EA0"/>
    <w:rsid w:val="006613EA"/>
    <w:rsid w:val="006618FC"/>
    <w:rsid w:val="00663823"/>
    <w:rsid w:val="00663D00"/>
    <w:rsid w:val="00663D69"/>
    <w:rsid w:val="00663E86"/>
    <w:rsid w:val="00671B7E"/>
    <w:rsid w:val="0067318B"/>
    <w:rsid w:val="006757C9"/>
    <w:rsid w:val="006764A9"/>
    <w:rsid w:val="00676664"/>
    <w:rsid w:val="006766CD"/>
    <w:rsid w:val="006767BC"/>
    <w:rsid w:val="0067779B"/>
    <w:rsid w:val="006804B6"/>
    <w:rsid w:val="006807CE"/>
    <w:rsid w:val="0068146D"/>
    <w:rsid w:val="00681D75"/>
    <w:rsid w:val="00682084"/>
    <w:rsid w:val="0068222E"/>
    <w:rsid w:val="0068242E"/>
    <w:rsid w:val="006829DB"/>
    <w:rsid w:val="00682D9A"/>
    <w:rsid w:val="00682F4D"/>
    <w:rsid w:val="00683AA0"/>
    <w:rsid w:val="00683C8F"/>
    <w:rsid w:val="00684BAF"/>
    <w:rsid w:val="00687D78"/>
    <w:rsid w:val="00690FCC"/>
    <w:rsid w:val="006910C5"/>
    <w:rsid w:val="006913FA"/>
    <w:rsid w:val="00691763"/>
    <w:rsid w:val="0069193B"/>
    <w:rsid w:val="00692FE2"/>
    <w:rsid w:val="006939A7"/>
    <w:rsid w:val="006944EA"/>
    <w:rsid w:val="00694B92"/>
    <w:rsid w:val="00694CCB"/>
    <w:rsid w:val="006955E7"/>
    <w:rsid w:val="00696444"/>
    <w:rsid w:val="00696EBB"/>
    <w:rsid w:val="006972E0"/>
    <w:rsid w:val="006974E6"/>
    <w:rsid w:val="006A02A7"/>
    <w:rsid w:val="006A1373"/>
    <w:rsid w:val="006A1858"/>
    <w:rsid w:val="006A1E28"/>
    <w:rsid w:val="006A1F10"/>
    <w:rsid w:val="006A33BF"/>
    <w:rsid w:val="006A4D4E"/>
    <w:rsid w:val="006A6808"/>
    <w:rsid w:val="006A6C7B"/>
    <w:rsid w:val="006B02F3"/>
    <w:rsid w:val="006B0D06"/>
    <w:rsid w:val="006B349C"/>
    <w:rsid w:val="006B3FCB"/>
    <w:rsid w:val="006B5463"/>
    <w:rsid w:val="006B5A3A"/>
    <w:rsid w:val="006B630A"/>
    <w:rsid w:val="006B63E4"/>
    <w:rsid w:val="006B6AD5"/>
    <w:rsid w:val="006C12FA"/>
    <w:rsid w:val="006C1577"/>
    <w:rsid w:val="006C2289"/>
    <w:rsid w:val="006C2845"/>
    <w:rsid w:val="006C3428"/>
    <w:rsid w:val="006C3E47"/>
    <w:rsid w:val="006C5264"/>
    <w:rsid w:val="006C535D"/>
    <w:rsid w:val="006C5ACD"/>
    <w:rsid w:val="006C6300"/>
    <w:rsid w:val="006C68E7"/>
    <w:rsid w:val="006C74C0"/>
    <w:rsid w:val="006D1544"/>
    <w:rsid w:val="006D36B7"/>
    <w:rsid w:val="006D3A49"/>
    <w:rsid w:val="006D4192"/>
    <w:rsid w:val="006D43F6"/>
    <w:rsid w:val="006D5C2A"/>
    <w:rsid w:val="006D6245"/>
    <w:rsid w:val="006D644B"/>
    <w:rsid w:val="006D6708"/>
    <w:rsid w:val="006D6D74"/>
    <w:rsid w:val="006E16F1"/>
    <w:rsid w:val="006E24F9"/>
    <w:rsid w:val="006E2D79"/>
    <w:rsid w:val="006E359B"/>
    <w:rsid w:val="006E363D"/>
    <w:rsid w:val="006E4A45"/>
    <w:rsid w:val="006E5A5C"/>
    <w:rsid w:val="006E5E2C"/>
    <w:rsid w:val="006E605C"/>
    <w:rsid w:val="006E705F"/>
    <w:rsid w:val="006E75BF"/>
    <w:rsid w:val="006E7685"/>
    <w:rsid w:val="006E7DB7"/>
    <w:rsid w:val="006E7EDC"/>
    <w:rsid w:val="006F02F9"/>
    <w:rsid w:val="006F038E"/>
    <w:rsid w:val="006F09B5"/>
    <w:rsid w:val="006F1349"/>
    <w:rsid w:val="006F201F"/>
    <w:rsid w:val="006F2462"/>
    <w:rsid w:val="006F27EE"/>
    <w:rsid w:val="006F2C03"/>
    <w:rsid w:val="006F48B3"/>
    <w:rsid w:val="006F48B8"/>
    <w:rsid w:val="006F4D88"/>
    <w:rsid w:val="006F553C"/>
    <w:rsid w:val="006F5924"/>
    <w:rsid w:val="006F6258"/>
    <w:rsid w:val="006F65E1"/>
    <w:rsid w:val="006F7535"/>
    <w:rsid w:val="006F7F8E"/>
    <w:rsid w:val="00700BB6"/>
    <w:rsid w:val="00701173"/>
    <w:rsid w:val="00701348"/>
    <w:rsid w:val="00701552"/>
    <w:rsid w:val="00702686"/>
    <w:rsid w:val="00703B35"/>
    <w:rsid w:val="00704FDE"/>
    <w:rsid w:val="00705448"/>
    <w:rsid w:val="007055E8"/>
    <w:rsid w:val="00705614"/>
    <w:rsid w:val="00705A64"/>
    <w:rsid w:val="00706222"/>
    <w:rsid w:val="00710516"/>
    <w:rsid w:val="007115B2"/>
    <w:rsid w:val="007122EC"/>
    <w:rsid w:val="007133FB"/>
    <w:rsid w:val="00714504"/>
    <w:rsid w:val="007159ED"/>
    <w:rsid w:val="00715EF8"/>
    <w:rsid w:val="00716333"/>
    <w:rsid w:val="00716CD7"/>
    <w:rsid w:val="00717065"/>
    <w:rsid w:val="0071742A"/>
    <w:rsid w:val="007174B8"/>
    <w:rsid w:val="00717AC4"/>
    <w:rsid w:val="00720235"/>
    <w:rsid w:val="00720B3E"/>
    <w:rsid w:val="0072168B"/>
    <w:rsid w:val="0072187C"/>
    <w:rsid w:val="007226D1"/>
    <w:rsid w:val="007232C1"/>
    <w:rsid w:val="00724337"/>
    <w:rsid w:val="00727D8C"/>
    <w:rsid w:val="0073077B"/>
    <w:rsid w:val="00730C8E"/>
    <w:rsid w:val="00730E8F"/>
    <w:rsid w:val="00731D48"/>
    <w:rsid w:val="0073207A"/>
    <w:rsid w:val="0073234D"/>
    <w:rsid w:val="0073317E"/>
    <w:rsid w:val="00734484"/>
    <w:rsid w:val="00735622"/>
    <w:rsid w:val="0073693D"/>
    <w:rsid w:val="00736EB9"/>
    <w:rsid w:val="007400AB"/>
    <w:rsid w:val="007405AA"/>
    <w:rsid w:val="007417E5"/>
    <w:rsid w:val="00741CF1"/>
    <w:rsid w:val="00742076"/>
    <w:rsid w:val="007420FE"/>
    <w:rsid w:val="007421B5"/>
    <w:rsid w:val="00744461"/>
    <w:rsid w:val="00745136"/>
    <w:rsid w:val="00745A15"/>
    <w:rsid w:val="00745DD2"/>
    <w:rsid w:val="0074618D"/>
    <w:rsid w:val="007466E7"/>
    <w:rsid w:val="00746C7B"/>
    <w:rsid w:val="00746D3A"/>
    <w:rsid w:val="0074775A"/>
    <w:rsid w:val="007503C4"/>
    <w:rsid w:val="00751136"/>
    <w:rsid w:val="00751354"/>
    <w:rsid w:val="00751532"/>
    <w:rsid w:val="00751F0D"/>
    <w:rsid w:val="00751F42"/>
    <w:rsid w:val="00753614"/>
    <w:rsid w:val="007541DA"/>
    <w:rsid w:val="00756909"/>
    <w:rsid w:val="00757D3E"/>
    <w:rsid w:val="00757FA2"/>
    <w:rsid w:val="0076047C"/>
    <w:rsid w:val="007609CC"/>
    <w:rsid w:val="00760D10"/>
    <w:rsid w:val="00760D90"/>
    <w:rsid w:val="00762108"/>
    <w:rsid w:val="00762B17"/>
    <w:rsid w:val="00764F69"/>
    <w:rsid w:val="0076525B"/>
    <w:rsid w:val="00765911"/>
    <w:rsid w:val="00766A5E"/>
    <w:rsid w:val="00766C16"/>
    <w:rsid w:val="00766CC5"/>
    <w:rsid w:val="007678BA"/>
    <w:rsid w:val="00767CB4"/>
    <w:rsid w:val="00770E38"/>
    <w:rsid w:val="00772B38"/>
    <w:rsid w:val="0077304E"/>
    <w:rsid w:val="007747E6"/>
    <w:rsid w:val="007751DE"/>
    <w:rsid w:val="007773E5"/>
    <w:rsid w:val="0078133D"/>
    <w:rsid w:val="007814AD"/>
    <w:rsid w:val="00781E34"/>
    <w:rsid w:val="00782221"/>
    <w:rsid w:val="00784A36"/>
    <w:rsid w:val="00785519"/>
    <w:rsid w:val="00785785"/>
    <w:rsid w:val="007859CB"/>
    <w:rsid w:val="00786452"/>
    <w:rsid w:val="0078739A"/>
    <w:rsid w:val="00787793"/>
    <w:rsid w:val="00787DB1"/>
    <w:rsid w:val="00790114"/>
    <w:rsid w:val="007912F5"/>
    <w:rsid w:val="0079198D"/>
    <w:rsid w:val="00791DED"/>
    <w:rsid w:val="007923DD"/>
    <w:rsid w:val="00792AA8"/>
    <w:rsid w:val="00793126"/>
    <w:rsid w:val="00793AAE"/>
    <w:rsid w:val="00793ECF"/>
    <w:rsid w:val="00793F76"/>
    <w:rsid w:val="0079496C"/>
    <w:rsid w:val="00794972"/>
    <w:rsid w:val="00794CD5"/>
    <w:rsid w:val="00796EE7"/>
    <w:rsid w:val="00797022"/>
    <w:rsid w:val="007A007C"/>
    <w:rsid w:val="007A01D3"/>
    <w:rsid w:val="007A0231"/>
    <w:rsid w:val="007A186E"/>
    <w:rsid w:val="007A1B41"/>
    <w:rsid w:val="007A28F2"/>
    <w:rsid w:val="007A3ABE"/>
    <w:rsid w:val="007A4BCC"/>
    <w:rsid w:val="007A4CB0"/>
    <w:rsid w:val="007A54E6"/>
    <w:rsid w:val="007A58C1"/>
    <w:rsid w:val="007A5B52"/>
    <w:rsid w:val="007A6187"/>
    <w:rsid w:val="007A62C3"/>
    <w:rsid w:val="007A6601"/>
    <w:rsid w:val="007A7327"/>
    <w:rsid w:val="007B08D4"/>
    <w:rsid w:val="007B1567"/>
    <w:rsid w:val="007B173C"/>
    <w:rsid w:val="007B4102"/>
    <w:rsid w:val="007B651A"/>
    <w:rsid w:val="007B6648"/>
    <w:rsid w:val="007B6669"/>
    <w:rsid w:val="007B7FA6"/>
    <w:rsid w:val="007C2204"/>
    <w:rsid w:val="007C2774"/>
    <w:rsid w:val="007C2FD4"/>
    <w:rsid w:val="007C311B"/>
    <w:rsid w:val="007C506B"/>
    <w:rsid w:val="007C5105"/>
    <w:rsid w:val="007D0986"/>
    <w:rsid w:val="007D0B1A"/>
    <w:rsid w:val="007D13C2"/>
    <w:rsid w:val="007D1F3C"/>
    <w:rsid w:val="007D21FE"/>
    <w:rsid w:val="007D2658"/>
    <w:rsid w:val="007D2A6D"/>
    <w:rsid w:val="007D42D1"/>
    <w:rsid w:val="007D4B98"/>
    <w:rsid w:val="007D4FFB"/>
    <w:rsid w:val="007D5959"/>
    <w:rsid w:val="007D59A7"/>
    <w:rsid w:val="007D698B"/>
    <w:rsid w:val="007D774D"/>
    <w:rsid w:val="007D7BB6"/>
    <w:rsid w:val="007D7D56"/>
    <w:rsid w:val="007E1944"/>
    <w:rsid w:val="007E2C2D"/>
    <w:rsid w:val="007E3234"/>
    <w:rsid w:val="007E3802"/>
    <w:rsid w:val="007E395B"/>
    <w:rsid w:val="007E5D35"/>
    <w:rsid w:val="007E650E"/>
    <w:rsid w:val="007E65C8"/>
    <w:rsid w:val="007E6925"/>
    <w:rsid w:val="007E6A05"/>
    <w:rsid w:val="007E6CA2"/>
    <w:rsid w:val="007E7B0C"/>
    <w:rsid w:val="007E7F31"/>
    <w:rsid w:val="007F0533"/>
    <w:rsid w:val="007F10E1"/>
    <w:rsid w:val="007F199E"/>
    <w:rsid w:val="007F2FF9"/>
    <w:rsid w:val="007F32F9"/>
    <w:rsid w:val="007F34B9"/>
    <w:rsid w:val="007F37F6"/>
    <w:rsid w:val="007F3870"/>
    <w:rsid w:val="007F4B85"/>
    <w:rsid w:val="007F52A6"/>
    <w:rsid w:val="007F5789"/>
    <w:rsid w:val="007F687C"/>
    <w:rsid w:val="007F68DA"/>
    <w:rsid w:val="007F6D3E"/>
    <w:rsid w:val="007F72DE"/>
    <w:rsid w:val="00800418"/>
    <w:rsid w:val="008004E7"/>
    <w:rsid w:val="00801CC4"/>
    <w:rsid w:val="0080276C"/>
    <w:rsid w:val="00803CB0"/>
    <w:rsid w:val="008060C8"/>
    <w:rsid w:val="0080693D"/>
    <w:rsid w:val="0081015A"/>
    <w:rsid w:val="0081087F"/>
    <w:rsid w:val="00810F5C"/>
    <w:rsid w:val="00811EEF"/>
    <w:rsid w:val="00812723"/>
    <w:rsid w:val="0081367F"/>
    <w:rsid w:val="008136ED"/>
    <w:rsid w:val="00814A6A"/>
    <w:rsid w:val="00814ED4"/>
    <w:rsid w:val="008152E3"/>
    <w:rsid w:val="0081557C"/>
    <w:rsid w:val="008159B1"/>
    <w:rsid w:val="00816885"/>
    <w:rsid w:val="00820282"/>
    <w:rsid w:val="00820516"/>
    <w:rsid w:val="00820818"/>
    <w:rsid w:val="0082117F"/>
    <w:rsid w:val="00821B6B"/>
    <w:rsid w:val="00821BB6"/>
    <w:rsid w:val="0082385C"/>
    <w:rsid w:val="008241CE"/>
    <w:rsid w:val="008244BB"/>
    <w:rsid w:val="00825EA6"/>
    <w:rsid w:val="0082619C"/>
    <w:rsid w:val="008262FD"/>
    <w:rsid w:val="00827F41"/>
    <w:rsid w:val="00830EE0"/>
    <w:rsid w:val="0083159B"/>
    <w:rsid w:val="00831A0D"/>
    <w:rsid w:val="00831B0D"/>
    <w:rsid w:val="00832A02"/>
    <w:rsid w:val="00833339"/>
    <w:rsid w:val="00833F45"/>
    <w:rsid w:val="008345C4"/>
    <w:rsid w:val="0083506D"/>
    <w:rsid w:val="0083507C"/>
    <w:rsid w:val="008359FA"/>
    <w:rsid w:val="008362DD"/>
    <w:rsid w:val="00836A17"/>
    <w:rsid w:val="00836AD2"/>
    <w:rsid w:val="00837347"/>
    <w:rsid w:val="008375CC"/>
    <w:rsid w:val="00837BB1"/>
    <w:rsid w:val="008409D5"/>
    <w:rsid w:val="008415CC"/>
    <w:rsid w:val="008416FF"/>
    <w:rsid w:val="00842862"/>
    <w:rsid w:val="0084342E"/>
    <w:rsid w:val="00843687"/>
    <w:rsid w:val="00844BCA"/>
    <w:rsid w:val="00845199"/>
    <w:rsid w:val="00846FFF"/>
    <w:rsid w:val="00847DFE"/>
    <w:rsid w:val="008502FF"/>
    <w:rsid w:val="008504DA"/>
    <w:rsid w:val="00851111"/>
    <w:rsid w:val="00851C81"/>
    <w:rsid w:val="008525CF"/>
    <w:rsid w:val="0085330E"/>
    <w:rsid w:val="008542CC"/>
    <w:rsid w:val="00854D0C"/>
    <w:rsid w:val="00855A5D"/>
    <w:rsid w:val="00860973"/>
    <w:rsid w:val="00860B77"/>
    <w:rsid w:val="0086183E"/>
    <w:rsid w:val="008619B4"/>
    <w:rsid w:val="00861DF3"/>
    <w:rsid w:val="0086200D"/>
    <w:rsid w:val="00863AB0"/>
    <w:rsid w:val="008648B5"/>
    <w:rsid w:val="00864959"/>
    <w:rsid w:val="0086641A"/>
    <w:rsid w:val="00867130"/>
    <w:rsid w:val="008678BD"/>
    <w:rsid w:val="00867BAD"/>
    <w:rsid w:val="00867F68"/>
    <w:rsid w:val="00871587"/>
    <w:rsid w:val="008737D3"/>
    <w:rsid w:val="00874A01"/>
    <w:rsid w:val="00875527"/>
    <w:rsid w:val="008756A8"/>
    <w:rsid w:val="00876003"/>
    <w:rsid w:val="00877C44"/>
    <w:rsid w:val="00877CBF"/>
    <w:rsid w:val="00877EA3"/>
    <w:rsid w:val="00880BD2"/>
    <w:rsid w:val="008810E9"/>
    <w:rsid w:val="00882AB5"/>
    <w:rsid w:val="00882D53"/>
    <w:rsid w:val="00883437"/>
    <w:rsid w:val="008834C5"/>
    <w:rsid w:val="00883A0A"/>
    <w:rsid w:val="00883C24"/>
    <w:rsid w:val="008844A6"/>
    <w:rsid w:val="00884562"/>
    <w:rsid w:val="00884598"/>
    <w:rsid w:val="00884848"/>
    <w:rsid w:val="008853F8"/>
    <w:rsid w:val="00891F29"/>
    <w:rsid w:val="008936A1"/>
    <w:rsid w:val="00893D05"/>
    <w:rsid w:val="0089403E"/>
    <w:rsid w:val="008953BD"/>
    <w:rsid w:val="00895DC1"/>
    <w:rsid w:val="00896762"/>
    <w:rsid w:val="00896820"/>
    <w:rsid w:val="008969AA"/>
    <w:rsid w:val="008A0A69"/>
    <w:rsid w:val="008A0F96"/>
    <w:rsid w:val="008A1450"/>
    <w:rsid w:val="008A2941"/>
    <w:rsid w:val="008A2A58"/>
    <w:rsid w:val="008A3380"/>
    <w:rsid w:val="008A43AE"/>
    <w:rsid w:val="008A4628"/>
    <w:rsid w:val="008A4CD6"/>
    <w:rsid w:val="008A5920"/>
    <w:rsid w:val="008A615E"/>
    <w:rsid w:val="008A6364"/>
    <w:rsid w:val="008A654A"/>
    <w:rsid w:val="008A7871"/>
    <w:rsid w:val="008B00A9"/>
    <w:rsid w:val="008B069B"/>
    <w:rsid w:val="008B2427"/>
    <w:rsid w:val="008B2779"/>
    <w:rsid w:val="008B29B6"/>
    <w:rsid w:val="008B2CBD"/>
    <w:rsid w:val="008B33B9"/>
    <w:rsid w:val="008B3F1A"/>
    <w:rsid w:val="008B45C3"/>
    <w:rsid w:val="008B47CB"/>
    <w:rsid w:val="008B4DE4"/>
    <w:rsid w:val="008B5112"/>
    <w:rsid w:val="008B65B9"/>
    <w:rsid w:val="008B6A2C"/>
    <w:rsid w:val="008B6A6C"/>
    <w:rsid w:val="008B6F27"/>
    <w:rsid w:val="008B7493"/>
    <w:rsid w:val="008B770D"/>
    <w:rsid w:val="008B7EFD"/>
    <w:rsid w:val="008C0C4B"/>
    <w:rsid w:val="008C0D0B"/>
    <w:rsid w:val="008C15BB"/>
    <w:rsid w:val="008C1E6D"/>
    <w:rsid w:val="008C24E9"/>
    <w:rsid w:val="008C28E5"/>
    <w:rsid w:val="008C4E5F"/>
    <w:rsid w:val="008C5027"/>
    <w:rsid w:val="008C64EB"/>
    <w:rsid w:val="008C69D2"/>
    <w:rsid w:val="008C6C82"/>
    <w:rsid w:val="008D0492"/>
    <w:rsid w:val="008D15F7"/>
    <w:rsid w:val="008D1A43"/>
    <w:rsid w:val="008D1F34"/>
    <w:rsid w:val="008D1FDE"/>
    <w:rsid w:val="008D27D4"/>
    <w:rsid w:val="008D33A1"/>
    <w:rsid w:val="008D351D"/>
    <w:rsid w:val="008D536F"/>
    <w:rsid w:val="008D5EBA"/>
    <w:rsid w:val="008D61F0"/>
    <w:rsid w:val="008D6396"/>
    <w:rsid w:val="008D7F0C"/>
    <w:rsid w:val="008E004B"/>
    <w:rsid w:val="008E1018"/>
    <w:rsid w:val="008E1823"/>
    <w:rsid w:val="008E1C45"/>
    <w:rsid w:val="008E1F2B"/>
    <w:rsid w:val="008E242E"/>
    <w:rsid w:val="008E4D25"/>
    <w:rsid w:val="008E5047"/>
    <w:rsid w:val="008E647B"/>
    <w:rsid w:val="008E65D2"/>
    <w:rsid w:val="008E6E1F"/>
    <w:rsid w:val="008E7B61"/>
    <w:rsid w:val="008E7B88"/>
    <w:rsid w:val="008F0C84"/>
    <w:rsid w:val="008F1477"/>
    <w:rsid w:val="008F2CC6"/>
    <w:rsid w:val="008F2E91"/>
    <w:rsid w:val="008F2F9B"/>
    <w:rsid w:val="008F3AE2"/>
    <w:rsid w:val="008F3F2E"/>
    <w:rsid w:val="008F46EB"/>
    <w:rsid w:val="008F4C2D"/>
    <w:rsid w:val="008F6221"/>
    <w:rsid w:val="008F636A"/>
    <w:rsid w:val="008F69EB"/>
    <w:rsid w:val="008F722B"/>
    <w:rsid w:val="008F777B"/>
    <w:rsid w:val="008F7CCE"/>
    <w:rsid w:val="00901950"/>
    <w:rsid w:val="0090293F"/>
    <w:rsid w:val="00902EBB"/>
    <w:rsid w:val="00902F6E"/>
    <w:rsid w:val="00903A0D"/>
    <w:rsid w:val="009041F3"/>
    <w:rsid w:val="0090462C"/>
    <w:rsid w:val="009055B9"/>
    <w:rsid w:val="009063D6"/>
    <w:rsid w:val="009064E2"/>
    <w:rsid w:val="00906810"/>
    <w:rsid w:val="00906A2A"/>
    <w:rsid w:val="00907696"/>
    <w:rsid w:val="009077C7"/>
    <w:rsid w:val="00907F82"/>
    <w:rsid w:val="009101A2"/>
    <w:rsid w:val="00910AC7"/>
    <w:rsid w:val="0091123E"/>
    <w:rsid w:val="00911254"/>
    <w:rsid w:val="00911B23"/>
    <w:rsid w:val="0091220E"/>
    <w:rsid w:val="00912646"/>
    <w:rsid w:val="00912CF1"/>
    <w:rsid w:val="0091374F"/>
    <w:rsid w:val="0091465A"/>
    <w:rsid w:val="00914B47"/>
    <w:rsid w:val="00914D89"/>
    <w:rsid w:val="00916AD2"/>
    <w:rsid w:val="00917463"/>
    <w:rsid w:val="00917921"/>
    <w:rsid w:val="00917D8C"/>
    <w:rsid w:val="00920216"/>
    <w:rsid w:val="00920372"/>
    <w:rsid w:val="00920463"/>
    <w:rsid w:val="009207E5"/>
    <w:rsid w:val="00920A28"/>
    <w:rsid w:val="00921E6D"/>
    <w:rsid w:val="00922CDA"/>
    <w:rsid w:val="009231E5"/>
    <w:rsid w:val="00923388"/>
    <w:rsid w:val="009238C7"/>
    <w:rsid w:val="00923D68"/>
    <w:rsid w:val="009245CA"/>
    <w:rsid w:val="00925228"/>
    <w:rsid w:val="0092574F"/>
    <w:rsid w:val="00925E85"/>
    <w:rsid w:val="00926E4D"/>
    <w:rsid w:val="00927B5F"/>
    <w:rsid w:val="00930C7D"/>
    <w:rsid w:val="00930CC9"/>
    <w:rsid w:val="00930D11"/>
    <w:rsid w:val="009311F2"/>
    <w:rsid w:val="00931D60"/>
    <w:rsid w:val="009320D0"/>
    <w:rsid w:val="00932920"/>
    <w:rsid w:val="0093352D"/>
    <w:rsid w:val="00934A75"/>
    <w:rsid w:val="00935156"/>
    <w:rsid w:val="00936472"/>
    <w:rsid w:val="00937560"/>
    <w:rsid w:val="009376FF"/>
    <w:rsid w:val="00940185"/>
    <w:rsid w:val="00940BCD"/>
    <w:rsid w:val="00941279"/>
    <w:rsid w:val="009435D1"/>
    <w:rsid w:val="0094394E"/>
    <w:rsid w:val="00943D8C"/>
    <w:rsid w:val="00944EC1"/>
    <w:rsid w:val="00945312"/>
    <w:rsid w:val="009462D5"/>
    <w:rsid w:val="009466DB"/>
    <w:rsid w:val="00946DDA"/>
    <w:rsid w:val="00947617"/>
    <w:rsid w:val="009502F6"/>
    <w:rsid w:val="00953310"/>
    <w:rsid w:val="00954477"/>
    <w:rsid w:val="00954488"/>
    <w:rsid w:val="0095456C"/>
    <w:rsid w:val="009547B3"/>
    <w:rsid w:val="00954C9C"/>
    <w:rsid w:val="00955303"/>
    <w:rsid w:val="009556F0"/>
    <w:rsid w:val="00956905"/>
    <w:rsid w:val="00957033"/>
    <w:rsid w:val="009579D3"/>
    <w:rsid w:val="00960397"/>
    <w:rsid w:val="009614C6"/>
    <w:rsid w:val="00961A5B"/>
    <w:rsid w:val="00962BFB"/>
    <w:rsid w:val="00962E1C"/>
    <w:rsid w:val="0096349D"/>
    <w:rsid w:val="009648CD"/>
    <w:rsid w:val="00964954"/>
    <w:rsid w:val="00965BC5"/>
    <w:rsid w:val="00965EC6"/>
    <w:rsid w:val="00966DEC"/>
    <w:rsid w:val="00966F40"/>
    <w:rsid w:val="009677C8"/>
    <w:rsid w:val="00967D75"/>
    <w:rsid w:val="00970718"/>
    <w:rsid w:val="009709BE"/>
    <w:rsid w:val="00970AA3"/>
    <w:rsid w:val="00972D09"/>
    <w:rsid w:val="00975FE1"/>
    <w:rsid w:val="0097673B"/>
    <w:rsid w:val="00976D69"/>
    <w:rsid w:val="00977B87"/>
    <w:rsid w:val="00980190"/>
    <w:rsid w:val="0098041A"/>
    <w:rsid w:val="009813D5"/>
    <w:rsid w:val="0098353D"/>
    <w:rsid w:val="00983792"/>
    <w:rsid w:val="00984ABE"/>
    <w:rsid w:val="009853B1"/>
    <w:rsid w:val="009867DB"/>
    <w:rsid w:val="00986E6A"/>
    <w:rsid w:val="00987C7D"/>
    <w:rsid w:val="00990380"/>
    <w:rsid w:val="00990992"/>
    <w:rsid w:val="009921DB"/>
    <w:rsid w:val="00992A39"/>
    <w:rsid w:val="009940EF"/>
    <w:rsid w:val="009944E1"/>
    <w:rsid w:val="00994A8D"/>
    <w:rsid w:val="00994D06"/>
    <w:rsid w:val="009964A9"/>
    <w:rsid w:val="0099772D"/>
    <w:rsid w:val="00997AE4"/>
    <w:rsid w:val="00997CF0"/>
    <w:rsid w:val="009A0A6C"/>
    <w:rsid w:val="009A0BBC"/>
    <w:rsid w:val="009A1277"/>
    <w:rsid w:val="009A18C6"/>
    <w:rsid w:val="009A472F"/>
    <w:rsid w:val="009A4EF6"/>
    <w:rsid w:val="009A5AFD"/>
    <w:rsid w:val="009A612F"/>
    <w:rsid w:val="009A6448"/>
    <w:rsid w:val="009A65D1"/>
    <w:rsid w:val="009A6EFD"/>
    <w:rsid w:val="009A7C81"/>
    <w:rsid w:val="009B033C"/>
    <w:rsid w:val="009B0B60"/>
    <w:rsid w:val="009B156F"/>
    <w:rsid w:val="009B1597"/>
    <w:rsid w:val="009B21A5"/>
    <w:rsid w:val="009B2AE0"/>
    <w:rsid w:val="009B3173"/>
    <w:rsid w:val="009B3653"/>
    <w:rsid w:val="009B39DC"/>
    <w:rsid w:val="009B43B9"/>
    <w:rsid w:val="009B61E7"/>
    <w:rsid w:val="009C03ED"/>
    <w:rsid w:val="009C04D6"/>
    <w:rsid w:val="009C0A15"/>
    <w:rsid w:val="009C0A4F"/>
    <w:rsid w:val="009C0B34"/>
    <w:rsid w:val="009C169C"/>
    <w:rsid w:val="009C19C4"/>
    <w:rsid w:val="009C20D9"/>
    <w:rsid w:val="009C26FE"/>
    <w:rsid w:val="009C2758"/>
    <w:rsid w:val="009C2BE6"/>
    <w:rsid w:val="009C3CD6"/>
    <w:rsid w:val="009C44DD"/>
    <w:rsid w:val="009C4CEC"/>
    <w:rsid w:val="009C5B06"/>
    <w:rsid w:val="009C5DDE"/>
    <w:rsid w:val="009C642A"/>
    <w:rsid w:val="009C6E72"/>
    <w:rsid w:val="009C744C"/>
    <w:rsid w:val="009C7DA9"/>
    <w:rsid w:val="009D035F"/>
    <w:rsid w:val="009D26D9"/>
    <w:rsid w:val="009D344B"/>
    <w:rsid w:val="009D3C3F"/>
    <w:rsid w:val="009D4776"/>
    <w:rsid w:val="009D4D67"/>
    <w:rsid w:val="009D635B"/>
    <w:rsid w:val="009D66DC"/>
    <w:rsid w:val="009D6C78"/>
    <w:rsid w:val="009D782C"/>
    <w:rsid w:val="009D7850"/>
    <w:rsid w:val="009D7892"/>
    <w:rsid w:val="009D7ED7"/>
    <w:rsid w:val="009D7F6F"/>
    <w:rsid w:val="009E0393"/>
    <w:rsid w:val="009E07D3"/>
    <w:rsid w:val="009E097C"/>
    <w:rsid w:val="009E0FD3"/>
    <w:rsid w:val="009E274D"/>
    <w:rsid w:val="009E3214"/>
    <w:rsid w:val="009E3347"/>
    <w:rsid w:val="009E35C8"/>
    <w:rsid w:val="009E37BD"/>
    <w:rsid w:val="009E420E"/>
    <w:rsid w:val="009E454B"/>
    <w:rsid w:val="009E53CC"/>
    <w:rsid w:val="009E5FB9"/>
    <w:rsid w:val="009E6FA7"/>
    <w:rsid w:val="009E7456"/>
    <w:rsid w:val="009E75B4"/>
    <w:rsid w:val="009E7BE5"/>
    <w:rsid w:val="009F06F2"/>
    <w:rsid w:val="009F13CA"/>
    <w:rsid w:val="009F16E0"/>
    <w:rsid w:val="009F1718"/>
    <w:rsid w:val="009F31C9"/>
    <w:rsid w:val="009F3752"/>
    <w:rsid w:val="009F3FE8"/>
    <w:rsid w:val="009F582B"/>
    <w:rsid w:val="009F635E"/>
    <w:rsid w:val="009F7EC8"/>
    <w:rsid w:val="00A02C5D"/>
    <w:rsid w:val="00A032B7"/>
    <w:rsid w:val="00A03348"/>
    <w:rsid w:val="00A041CB"/>
    <w:rsid w:val="00A04C77"/>
    <w:rsid w:val="00A052AC"/>
    <w:rsid w:val="00A05B31"/>
    <w:rsid w:val="00A075EA"/>
    <w:rsid w:val="00A07F69"/>
    <w:rsid w:val="00A1064C"/>
    <w:rsid w:val="00A11E69"/>
    <w:rsid w:val="00A1350C"/>
    <w:rsid w:val="00A140D3"/>
    <w:rsid w:val="00A1446B"/>
    <w:rsid w:val="00A1489E"/>
    <w:rsid w:val="00A167F2"/>
    <w:rsid w:val="00A17EFE"/>
    <w:rsid w:val="00A17FFC"/>
    <w:rsid w:val="00A2064E"/>
    <w:rsid w:val="00A20C78"/>
    <w:rsid w:val="00A22F6C"/>
    <w:rsid w:val="00A2312E"/>
    <w:rsid w:val="00A24262"/>
    <w:rsid w:val="00A24323"/>
    <w:rsid w:val="00A24FD0"/>
    <w:rsid w:val="00A2512C"/>
    <w:rsid w:val="00A2515B"/>
    <w:rsid w:val="00A2564E"/>
    <w:rsid w:val="00A2588E"/>
    <w:rsid w:val="00A26430"/>
    <w:rsid w:val="00A2652F"/>
    <w:rsid w:val="00A2669B"/>
    <w:rsid w:val="00A26BDD"/>
    <w:rsid w:val="00A26C82"/>
    <w:rsid w:val="00A26EDF"/>
    <w:rsid w:val="00A30234"/>
    <w:rsid w:val="00A32EDB"/>
    <w:rsid w:val="00A331F3"/>
    <w:rsid w:val="00A341AB"/>
    <w:rsid w:val="00A34214"/>
    <w:rsid w:val="00A3422D"/>
    <w:rsid w:val="00A34789"/>
    <w:rsid w:val="00A3501B"/>
    <w:rsid w:val="00A3630E"/>
    <w:rsid w:val="00A369FF"/>
    <w:rsid w:val="00A37BB8"/>
    <w:rsid w:val="00A401AB"/>
    <w:rsid w:val="00A41FF8"/>
    <w:rsid w:val="00A42D87"/>
    <w:rsid w:val="00A43B2E"/>
    <w:rsid w:val="00A44840"/>
    <w:rsid w:val="00A44BD3"/>
    <w:rsid w:val="00A451A9"/>
    <w:rsid w:val="00A4521D"/>
    <w:rsid w:val="00A46A0C"/>
    <w:rsid w:val="00A46B32"/>
    <w:rsid w:val="00A46D6F"/>
    <w:rsid w:val="00A477FD"/>
    <w:rsid w:val="00A479F4"/>
    <w:rsid w:val="00A516CB"/>
    <w:rsid w:val="00A51BE1"/>
    <w:rsid w:val="00A51F0A"/>
    <w:rsid w:val="00A521A7"/>
    <w:rsid w:val="00A54007"/>
    <w:rsid w:val="00A54EF2"/>
    <w:rsid w:val="00A55D48"/>
    <w:rsid w:val="00A56242"/>
    <w:rsid w:val="00A5731F"/>
    <w:rsid w:val="00A5758B"/>
    <w:rsid w:val="00A57A68"/>
    <w:rsid w:val="00A57BEB"/>
    <w:rsid w:val="00A60D1E"/>
    <w:rsid w:val="00A60F69"/>
    <w:rsid w:val="00A61673"/>
    <w:rsid w:val="00A617E1"/>
    <w:rsid w:val="00A62062"/>
    <w:rsid w:val="00A6223F"/>
    <w:rsid w:val="00A641DB"/>
    <w:rsid w:val="00A64926"/>
    <w:rsid w:val="00A653AB"/>
    <w:rsid w:val="00A66446"/>
    <w:rsid w:val="00A665CF"/>
    <w:rsid w:val="00A66DE9"/>
    <w:rsid w:val="00A67CA7"/>
    <w:rsid w:val="00A73989"/>
    <w:rsid w:val="00A74C46"/>
    <w:rsid w:val="00A74D4C"/>
    <w:rsid w:val="00A76B2C"/>
    <w:rsid w:val="00A76C08"/>
    <w:rsid w:val="00A7752F"/>
    <w:rsid w:val="00A803E1"/>
    <w:rsid w:val="00A809EC"/>
    <w:rsid w:val="00A8138C"/>
    <w:rsid w:val="00A830A6"/>
    <w:rsid w:val="00A83636"/>
    <w:rsid w:val="00A83F25"/>
    <w:rsid w:val="00A84262"/>
    <w:rsid w:val="00A84FE2"/>
    <w:rsid w:val="00A8500C"/>
    <w:rsid w:val="00A85BEF"/>
    <w:rsid w:val="00A85C35"/>
    <w:rsid w:val="00A85F79"/>
    <w:rsid w:val="00A90B77"/>
    <w:rsid w:val="00A92061"/>
    <w:rsid w:val="00A93200"/>
    <w:rsid w:val="00A9368E"/>
    <w:rsid w:val="00A937FA"/>
    <w:rsid w:val="00A9403A"/>
    <w:rsid w:val="00A94240"/>
    <w:rsid w:val="00A94249"/>
    <w:rsid w:val="00A9484E"/>
    <w:rsid w:val="00A94BC9"/>
    <w:rsid w:val="00A953B9"/>
    <w:rsid w:val="00A954AD"/>
    <w:rsid w:val="00A959BC"/>
    <w:rsid w:val="00A96D09"/>
    <w:rsid w:val="00A97F05"/>
    <w:rsid w:val="00AA2A4E"/>
    <w:rsid w:val="00AA34F1"/>
    <w:rsid w:val="00AA3C60"/>
    <w:rsid w:val="00AA5353"/>
    <w:rsid w:val="00AA6F89"/>
    <w:rsid w:val="00AA7EE4"/>
    <w:rsid w:val="00AB1427"/>
    <w:rsid w:val="00AB2A77"/>
    <w:rsid w:val="00AB2FF4"/>
    <w:rsid w:val="00AB31DC"/>
    <w:rsid w:val="00AB420E"/>
    <w:rsid w:val="00AB5C13"/>
    <w:rsid w:val="00AB5F9C"/>
    <w:rsid w:val="00AB7084"/>
    <w:rsid w:val="00AB7927"/>
    <w:rsid w:val="00AB7960"/>
    <w:rsid w:val="00AB7E8E"/>
    <w:rsid w:val="00AC19A7"/>
    <w:rsid w:val="00AC1AD6"/>
    <w:rsid w:val="00AC1DD2"/>
    <w:rsid w:val="00AC24AF"/>
    <w:rsid w:val="00AC381C"/>
    <w:rsid w:val="00AC4A3B"/>
    <w:rsid w:val="00AC5414"/>
    <w:rsid w:val="00AC5870"/>
    <w:rsid w:val="00AC64B3"/>
    <w:rsid w:val="00AD0E8A"/>
    <w:rsid w:val="00AD15C4"/>
    <w:rsid w:val="00AD2494"/>
    <w:rsid w:val="00AD4DA4"/>
    <w:rsid w:val="00AD5B8F"/>
    <w:rsid w:val="00AD64DF"/>
    <w:rsid w:val="00AD6916"/>
    <w:rsid w:val="00AD71A1"/>
    <w:rsid w:val="00AE0AB0"/>
    <w:rsid w:val="00AE1025"/>
    <w:rsid w:val="00AE25E3"/>
    <w:rsid w:val="00AE3DAC"/>
    <w:rsid w:val="00AE3F03"/>
    <w:rsid w:val="00AE3FD3"/>
    <w:rsid w:val="00AE488B"/>
    <w:rsid w:val="00AE57F4"/>
    <w:rsid w:val="00AE64F0"/>
    <w:rsid w:val="00AE6ECD"/>
    <w:rsid w:val="00AF18BC"/>
    <w:rsid w:val="00AF1FCF"/>
    <w:rsid w:val="00AF23C8"/>
    <w:rsid w:val="00AF2AE2"/>
    <w:rsid w:val="00AF327D"/>
    <w:rsid w:val="00AF4701"/>
    <w:rsid w:val="00AF49E4"/>
    <w:rsid w:val="00AF5D58"/>
    <w:rsid w:val="00B00252"/>
    <w:rsid w:val="00B01012"/>
    <w:rsid w:val="00B02EB0"/>
    <w:rsid w:val="00B0377E"/>
    <w:rsid w:val="00B05197"/>
    <w:rsid w:val="00B05784"/>
    <w:rsid w:val="00B0746E"/>
    <w:rsid w:val="00B07747"/>
    <w:rsid w:val="00B07BA9"/>
    <w:rsid w:val="00B10055"/>
    <w:rsid w:val="00B1141E"/>
    <w:rsid w:val="00B11458"/>
    <w:rsid w:val="00B1278B"/>
    <w:rsid w:val="00B13EDA"/>
    <w:rsid w:val="00B147EA"/>
    <w:rsid w:val="00B14E61"/>
    <w:rsid w:val="00B15860"/>
    <w:rsid w:val="00B15D99"/>
    <w:rsid w:val="00B171F4"/>
    <w:rsid w:val="00B17295"/>
    <w:rsid w:val="00B1748D"/>
    <w:rsid w:val="00B17A55"/>
    <w:rsid w:val="00B17A78"/>
    <w:rsid w:val="00B20591"/>
    <w:rsid w:val="00B20832"/>
    <w:rsid w:val="00B215F5"/>
    <w:rsid w:val="00B22318"/>
    <w:rsid w:val="00B237DD"/>
    <w:rsid w:val="00B237F5"/>
    <w:rsid w:val="00B27A54"/>
    <w:rsid w:val="00B30783"/>
    <w:rsid w:val="00B311CF"/>
    <w:rsid w:val="00B3290A"/>
    <w:rsid w:val="00B32A68"/>
    <w:rsid w:val="00B33751"/>
    <w:rsid w:val="00B34C0E"/>
    <w:rsid w:val="00B35441"/>
    <w:rsid w:val="00B35E82"/>
    <w:rsid w:val="00B37963"/>
    <w:rsid w:val="00B40516"/>
    <w:rsid w:val="00B41F0F"/>
    <w:rsid w:val="00B42164"/>
    <w:rsid w:val="00B42197"/>
    <w:rsid w:val="00B42560"/>
    <w:rsid w:val="00B429D5"/>
    <w:rsid w:val="00B448EB"/>
    <w:rsid w:val="00B455AA"/>
    <w:rsid w:val="00B45778"/>
    <w:rsid w:val="00B457A1"/>
    <w:rsid w:val="00B4597B"/>
    <w:rsid w:val="00B4630F"/>
    <w:rsid w:val="00B464B1"/>
    <w:rsid w:val="00B47197"/>
    <w:rsid w:val="00B4742B"/>
    <w:rsid w:val="00B475B2"/>
    <w:rsid w:val="00B47A4A"/>
    <w:rsid w:val="00B47B99"/>
    <w:rsid w:val="00B5036C"/>
    <w:rsid w:val="00B506F2"/>
    <w:rsid w:val="00B510E3"/>
    <w:rsid w:val="00B51C16"/>
    <w:rsid w:val="00B51C8A"/>
    <w:rsid w:val="00B521AC"/>
    <w:rsid w:val="00B52702"/>
    <w:rsid w:val="00B53AC9"/>
    <w:rsid w:val="00B543BA"/>
    <w:rsid w:val="00B5498D"/>
    <w:rsid w:val="00B5501D"/>
    <w:rsid w:val="00B5541E"/>
    <w:rsid w:val="00B55C45"/>
    <w:rsid w:val="00B55F78"/>
    <w:rsid w:val="00B55F93"/>
    <w:rsid w:val="00B6091E"/>
    <w:rsid w:val="00B6151E"/>
    <w:rsid w:val="00B6333C"/>
    <w:rsid w:val="00B63466"/>
    <w:rsid w:val="00B63A6D"/>
    <w:rsid w:val="00B63F30"/>
    <w:rsid w:val="00B64313"/>
    <w:rsid w:val="00B64962"/>
    <w:rsid w:val="00B64C9E"/>
    <w:rsid w:val="00B66474"/>
    <w:rsid w:val="00B671FC"/>
    <w:rsid w:val="00B676EC"/>
    <w:rsid w:val="00B67C04"/>
    <w:rsid w:val="00B7016C"/>
    <w:rsid w:val="00B7039B"/>
    <w:rsid w:val="00B74114"/>
    <w:rsid w:val="00B74C6C"/>
    <w:rsid w:val="00B74D1E"/>
    <w:rsid w:val="00B756FD"/>
    <w:rsid w:val="00B75793"/>
    <w:rsid w:val="00B76782"/>
    <w:rsid w:val="00B76A18"/>
    <w:rsid w:val="00B76A80"/>
    <w:rsid w:val="00B76FE2"/>
    <w:rsid w:val="00B77E9E"/>
    <w:rsid w:val="00B8004A"/>
    <w:rsid w:val="00B81414"/>
    <w:rsid w:val="00B81B8F"/>
    <w:rsid w:val="00B82E1F"/>
    <w:rsid w:val="00B83E11"/>
    <w:rsid w:val="00B845BC"/>
    <w:rsid w:val="00B84871"/>
    <w:rsid w:val="00B84C6C"/>
    <w:rsid w:val="00B85CB9"/>
    <w:rsid w:val="00B8687A"/>
    <w:rsid w:val="00B86E3D"/>
    <w:rsid w:val="00B90394"/>
    <w:rsid w:val="00B915F6"/>
    <w:rsid w:val="00B9169C"/>
    <w:rsid w:val="00B91C3B"/>
    <w:rsid w:val="00B92687"/>
    <w:rsid w:val="00B94248"/>
    <w:rsid w:val="00B942A1"/>
    <w:rsid w:val="00B94314"/>
    <w:rsid w:val="00B94B4F"/>
    <w:rsid w:val="00B94ECF"/>
    <w:rsid w:val="00B96996"/>
    <w:rsid w:val="00B976F6"/>
    <w:rsid w:val="00BA052A"/>
    <w:rsid w:val="00BA0B5A"/>
    <w:rsid w:val="00BA0E83"/>
    <w:rsid w:val="00BA0FD1"/>
    <w:rsid w:val="00BA1CEB"/>
    <w:rsid w:val="00BA3C1C"/>
    <w:rsid w:val="00BA4601"/>
    <w:rsid w:val="00BA4F82"/>
    <w:rsid w:val="00BA5803"/>
    <w:rsid w:val="00BA5F41"/>
    <w:rsid w:val="00BA6930"/>
    <w:rsid w:val="00BA7385"/>
    <w:rsid w:val="00BA739E"/>
    <w:rsid w:val="00BB0E2F"/>
    <w:rsid w:val="00BB187C"/>
    <w:rsid w:val="00BB286C"/>
    <w:rsid w:val="00BB296B"/>
    <w:rsid w:val="00BB3622"/>
    <w:rsid w:val="00BB3A28"/>
    <w:rsid w:val="00BB5FD2"/>
    <w:rsid w:val="00BB682C"/>
    <w:rsid w:val="00BB7588"/>
    <w:rsid w:val="00BB7CA9"/>
    <w:rsid w:val="00BC236B"/>
    <w:rsid w:val="00BC2BB4"/>
    <w:rsid w:val="00BC2C80"/>
    <w:rsid w:val="00BC3129"/>
    <w:rsid w:val="00BC4879"/>
    <w:rsid w:val="00BC65D9"/>
    <w:rsid w:val="00BC72B4"/>
    <w:rsid w:val="00BC772A"/>
    <w:rsid w:val="00BC7C52"/>
    <w:rsid w:val="00BD0CF6"/>
    <w:rsid w:val="00BD0D3C"/>
    <w:rsid w:val="00BD1471"/>
    <w:rsid w:val="00BD14C5"/>
    <w:rsid w:val="00BD196A"/>
    <w:rsid w:val="00BD1BA2"/>
    <w:rsid w:val="00BD2081"/>
    <w:rsid w:val="00BD2311"/>
    <w:rsid w:val="00BD6262"/>
    <w:rsid w:val="00BD6827"/>
    <w:rsid w:val="00BD6B29"/>
    <w:rsid w:val="00BD6C21"/>
    <w:rsid w:val="00BE12D2"/>
    <w:rsid w:val="00BE3414"/>
    <w:rsid w:val="00BE3970"/>
    <w:rsid w:val="00BE41E5"/>
    <w:rsid w:val="00BE45F8"/>
    <w:rsid w:val="00BE4C48"/>
    <w:rsid w:val="00BE5A5B"/>
    <w:rsid w:val="00BE61C1"/>
    <w:rsid w:val="00BE62C2"/>
    <w:rsid w:val="00BE64AF"/>
    <w:rsid w:val="00BE6717"/>
    <w:rsid w:val="00BE771E"/>
    <w:rsid w:val="00BE7C64"/>
    <w:rsid w:val="00BF0381"/>
    <w:rsid w:val="00BF0A92"/>
    <w:rsid w:val="00BF16AD"/>
    <w:rsid w:val="00BF4DB1"/>
    <w:rsid w:val="00BF55FF"/>
    <w:rsid w:val="00BF6E7B"/>
    <w:rsid w:val="00C00F37"/>
    <w:rsid w:val="00C01021"/>
    <w:rsid w:val="00C0141F"/>
    <w:rsid w:val="00C03252"/>
    <w:rsid w:val="00C03E3B"/>
    <w:rsid w:val="00C048AF"/>
    <w:rsid w:val="00C04D3C"/>
    <w:rsid w:val="00C04D75"/>
    <w:rsid w:val="00C053F8"/>
    <w:rsid w:val="00C06790"/>
    <w:rsid w:val="00C06B44"/>
    <w:rsid w:val="00C077C6"/>
    <w:rsid w:val="00C077E0"/>
    <w:rsid w:val="00C077F9"/>
    <w:rsid w:val="00C07DE6"/>
    <w:rsid w:val="00C1015C"/>
    <w:rsid w:val="00C110CB"/>
    <w:rsid w:val="00C12648"/>
    <w:rsid w:val="00C12B2E"/>
    <w:rsid w:val="00C137D5"/>
    <w:rsid w:val="00C13A67"/>
    <w:rsid w:val="00C143B2"/>
    <w:rsid w:val="00C154B5"/>
    <w:rsid w:val="00C16840"/>
    <w:rsid w:val="00C1688A"/>
    <w:rsid w:val="00C17872"/>
    <w:rsid w:val="00C17A0C"/>
    <w:rsid w:val="00C17B1A"/>
    <w:rsid w:val="00C17C53"/>
    <w:rsid w:val="00C17EA8"/>
    <w:rsid w:val="00C205E9"/>
    <w:rsid w:val="00C20B29"/>
    <w:rsid w:val="00C212FC"/>
    <w:rsid w:val="00C229DB"/>
    <w:rsid w:val="00C23F48"/>
    <w:rsid w:val="00C256E3"/>
    <w:rsid w:val="00C25B9F"/>
    <w:rsid w:val="00C262BD"/>
    <w:rsid w:val="00C2645B"/>
    <w:rsid w:val="00C27316"/>
    <w:rsid w:val="00C2782A"/>
    <w:rsid w:val="00C27D59"/>
    <w:rsid w:val="00C310C2"/>
    <w:rsid w:val="00C3148C"/>
    <w:rsid w:val="00C31793"/>
    <w:rsid w:val="00C32CA8"/>
    <w:rsid w:val="00C34682"/>
    <w:rsid w:val="00C35FBF"/>
    <w:rsid w:val="00C36525"/>
    <w:rsid w:val="00C40969"/>
    <w:rsid w:val="00C40A21"/>
    <w:rsid w:val="00C40EB3"/>
    <w:rsid w:val="00C41631"/>
    <w:rsid w:val="00C41BD9"/>
    <w:rsid w:val="00C41E78"/>
    <w:rsid w:val="00C41F69"/>
    <w:rsid w:val="00C42504"/>
    <w:rsid w:val="00C4332C"/>
    <w:rsid w:val="00C434FD"/>
    <w:rsid w:val="00C4394A"/>
    <w:rsid w:val="00C44041"/>
    <w:rsid w:val="00C44D4B"/>
    <w:rsid w:val="00C44D8C"/>
    <w:rsid w:val="00C46B19"/>
    <w:rsid w:val="00C474AF"/>
    <w:rsid w:val="00C478F3"/>
    <w:rsid w:val="00C47AC7"/>
    <w:rsid w:val="00C50809"/>
    <w:rsid w:val="00C514F9"/>
    <w:rsid w:val="00C5192E"/>
    <w:rsid w:val="00C52DE6"/>
    <w:rsid w:val="00C534E7"/>
    <w:rsid w:val="00C54024"/>
    <w:rsid w:val="00C541B1"/>
    <w:rsid w:val="00C56C54"/>
    <w:rsid w:val="00C57ED9"/>
    <w:rsid w:val="00C6016B"/>
    <w:rsid w:val="00C6075A"/>
    <w:rsid w:val="00C607FE"/>
    <w:rsid w:val="00C60C1F"/>
    <w:rsid w:val="00C61BA6"/>
    <w:rsid w:val="00C625A3"/>
    <w:rsid w:val="00C634A7"/>
    <w:rsid w:val="00C636B7"/>
    <w:rsid w:val="00C638D7"/>
    <w:rsid w:val="00C638DF"/>
    <w:rsid w:val="00C63C72"/>
    <w:rsid w:val="00C64720"/>
    <w:rsid w:val="00C64F0C"/>
    <w:rsid w:val="00C6517F"/>
    <w:rsid w:val="00C65FF0"/>
    <w:rsid w:val="00C66DFC"/>
    <w:rsid w:val="00C67BA6"/>
    <w:rsid w:val="00C70BB8"/>
    <w:rsid w:val="00C70DA3"/>
    <w:rsid w:val="00C71765"/>
    <w:rsid w:val="00C71920"/>
    <w:rsid w:val="00C72A63"/>
    <w:rsid w:val="00C72CBB"/>
    <w:rsid w:val="00C73910"/>
    <w:rsid w:val="00C73C71"/>
    <w:rsid w:val="00C73EA4"/>
    <w:rsid w:val="00C73EB8"/>
    <w:rsid w:val="00C75181"/>
    <w:rsid w:val="00C76FB7"/>
    <w:rsid w:val="00C77F3A"/>
    <w:rsid w:val="00C80865"/>
    <w:rsid w:val="00C80AE4"/>
    <w:rsid w:val="00C80C7D"/>
    <w:rsid w:val="00C8101A"/>
    <w:rsid w:val="00C825E7"/>
    <w:rsid w:val="00C84774"/>
    <w:rsid w:val="00C855B8"/>
    <w:rsid w:val="00C857F1"/>
    <w:rsid w:val="00C85DA8"/>
    <w:rsid w:val="00C866A3"/>
    <w:rsid w:val="00C86F96"/>
    <w:rsid w:val="00C871C4"/>
    <w:rsid w:val="00C87958"/>
    <w:rsid w:val="00C901F5"/>
    <w:rsid w:val="00C91D8A"/>
    <w:rsid w:val="00C92627"/>
    <w:rsid w:val="00C928D4"/>
    <w:rsid w:val="00C92BFA"/>
    <w:rsid w:val="00C92CF8"/>
    <w:rsid w:val="00C937EE"/>
    <w:rsid w:val="00C93F21"/>
    <w:rsid w:val="00C969F8"/>
    <w:rsid w:val="00C96A10"/>
    <w:rsid w:val="00C97516"/>
    <w:rsid w:val="00CA0467"/>
    <w:rsid w:val="00CA082C"/>
    <w:rsid w:val="00CA0CB5"/>
    <w:rsid w:val="00CA106C"/>
    <w:rsid w:val="00CA1130"/>
    <w:rsid w:val="00CA1EC8"/>
    <w:rsid w:val="00CA218F"/>
    <w:rsid w:val="00CA36D4"/>
    <w:rsid w:val="00CA3D1E"/>
    <w:rsid w:val="00CA404E"/>
    <w:rsid w:val="00CA415F"/>
    <w:rsid w:val="00CA56C6"/>
    <w:rsid w:val="00CA5B90"/>
    <w:rsid w:val="00CA5EA7"/>
    <w:rsid w:val="00CA606A"/>
    <w:rsid w:val="00CB026C"/>
    <w:rsid w:val="00CB06A3"/>
    <w:rsid w:val="00CB1284"/>
    <w:rsid w:val="00CB1B14"/>
    <w:rsid w:val="00CB2C14"/>
    <w:rsid w:val="00CB2C4D"/>
    <w:rsid w:val="00CB32CC"/>
    <w:rsid w:val="00CB3CB5"/>
    <w:rsid w:val="00CB3F6C"/>
    <w:rsid w:val="00CB463F"/>
    <w:rsid w:val="00CB59FE"/>
    <w:rsid w:val="00CB5A49"/>
    <w:rsid w:val="00CB5C15"/>
    <w:rsid w:val="00CB6681"/>
    <w:rsid w:val="00CB678B"/>
    <w:rsid w:val="00CB6E6B"/>
    <w:rsid w:val="00CC01B0"/>
    <w:rsid w:val="00CC1228"/>
    <w:rsid w:val="00CC1246"/>
    <w:rsid w:val="00CC1A21"/>
    <w:rsid w:val="00CC2DDB"/>
    <w:rsid w:val="00CC3CCA"/>
    <w:rsid w:val="00CC3F28"/>
    <w:rsid w:val="00CC4B43"/>
    <w:rsid w:val="00CC5518"/>
    <w:rsid w:val="00CC66DE"/>
    <w:rsid w:val="00CC6A20"/>
    <w:rsid w:val="00CC7AAA"/>
    <w:rsid w:val="00CC7C0C"/>
    <w:rsid w:val="00CC7F5C"/>
    <w:rsid w:val="00CD3F3A"/>
    <w:rsid w:val="00CD40E8"/>
    <w:rsid w:val="00CD4633"/>
    <w:rsid w:val="00CD6486"/>
    <w:rsid w:val="00CD6DA3"/>
    <w:rsid w:val="00CD6E5B"/>
    <w:rsid w:val="00CD75E3"/>
    <w:rsid w:val="00CD775F"/>
    <w:rsid w:val="00CD7C96"/>
    <w:rsid w:val="00CE1656"/>
    <w:rsid w:val="00CE2627"/>
    <w:rsid w:val="00CE2E11"/>
    <w:rsid w:val="00CE2EB2"/>
    <w:rsid w:val="00CE3758"/>
    <w:rsid w:val="00CE3A90"/>
    <w:rsid w:val="00CE525D"/>
    <w:rsid w:val="00CE5C99"/>
    <w:rsid w:val="00CE6032"/>
    <w:rsid w:val="00CE6E17"/>
    <w:rsid w:val="00CE7FE6"/>
    <w:rsid w:val="00CF23EE"/>
    <w:rsid w:val="00CF2663"/>
    <w:rsid w:val="00CF485A"/>
    <w:rsid w:val="00CF5FA5"/>
    <w:rsid w:val="00CF765F"/>
    <w:rsid w:val="00D003C3"/>
    <w:rsid w:val="00D020AD"/>
    <w:rsid w:val="00D02DE0"/>
    <w:rsid w:val="00D032E1"/>
    <w:rsid w:val="00D05EDB"/>
    <w:rsid w:val="00D06372"/>
    <w:rsid w:val="00D066E7"/>
    <w:rsid w:val="00D07337"/>
    <w:rsid w:val="00D0750B"/>
    <w:rsid w:val="00D112F2"/>
    <w:rsid w:val="00D11357"/>
    <w:rsid w:val="00D1268F"/>
    <w:rsid w:val="00D126F7"/>
    <w:rsid w:val="00D129F5"/>
    <w:rsid w:val="00D12ED9"/>
    <w:rsid w:val="00D13717"/>
    <w:rsid w:val="00D141DD"/>
    <w:rsid w:val="00D1494A"/>
    <w:rsid w:val="00D1547F"/>
    <w:rsid w:val="00D15CDF"/>
    <w:rsid w:val="00D21887"/>
    <w:rsid w:val="00D21A79"/>
    <w:rsid w:val="00D23D31"/>
    <w:rsid w:val="00D25D0C"/>
    <w:rsid w:val="00D26179"/>
    <w:rsid w:val="00D266DE"/>
    <w:rsid w:val="00D27654"/>
    <w:rsid w:val="00D27DA0"/>
    <w:rsid w:val="00D31689"/>
    <w:rsid w:val="00D31852"/>
    <w:rsid w:val="00D3192F"/>
    <w:rsid w:val="00D31ECF"/>
    <w:rsid w:val="00D35067"/>
    <w:rsid w:val="00D355E8"/>
    <w:rsid w:val="00D3631B"/>
    <w:rsid w:val="00D3638C"/>
    <w:rsid w:val="00D363BF"/>
    <w:rsid w:val="00D36969"/>
    <w:rsid w:val="00D41979"/>
    <w:rsid w:val="00D41C15"/>
    <w:rsid w:val="00D42260"/>
    <w:rsid w:val="00D4338E"/>
    <w:rsid w:val="00D43DD6"/>
    <w:rsid w:val="00D446C5"/>
    <w:rsid w:val="00D45D4F"/>
    <w:rsid w:val="00D46317"/>
    <w:rsid w:val="00D46905"/>
    <w:rsid w:val="00D47476"/>
    <w:rsid w:val="00D47F5E"/>
    <w:rsid w:val="00D51C2C"/>
    <w:rsid w:val="00D53DCF"/>
    <w:rsid w:val="00D5451B"/>
    <w:rsid w:val="00D5584C"/>
    <w:rsid w:val="00D55A36"/>
    <w:rsid w:val="00D55A66"/>
    <w:rsid w:val="00D5689A"/>
    <w:rsid w:val="00D56A82"/>
    <w:rsid w:val="00D57072"/>
    <w:rsid w:val="00D57C29"/>
    <w:rsid w:val="00D605AE"/>
    <w:rsid w:val="00D61249"/>
    <w:rsid w:val="00D61305"/>
    <w:rsid w:val="00D6162F"/>
    <w:rsid w:val="00D61AE5"/>
    <w:rsid w:val="00D61B5D"/>
    <w:rsid w:val="00D61BE8"/>
    <w:rsid w:val="00D62846"/>
    <w:rsid w:val="00D62D78"/>
    <w:rsid w:val="00D6437B"/>
    <w:rsid w:val="00D64636"/>
    <w:rsid w:val="00D661DA"/>
    <w:rsid w:val="00D668E4"/>
    <w:rsid w:val="00D66BB5"/>
    <w:rsid w:val="00D67466"/>
    <w:rsid w:val="00D7047B"/>
    <w:rsid w:val="00D70498"/>
    <w:rsid w:val="00D70628"/>
    <w:rsid w:val="00D72267"/>
    <w:rsid w:val="00D729A9"/>
    <w:rsid w:val="00D741F4"/>
    <w:rsid w:val="00D742D1"/>
    <w:rsid w:val="00D74363"/>
    <w:rsid w:val="00D74438"/>
    <w:rsid w:val="00D74FEC"/>
    <w:rsid w:val="00D75505"/>
    <w:rsid w:val="00D76695"/>
    <w:rsid w:val="00D76EB1"/>
    <w:rsid w:val="00D77DAB"/>
    <w:rsid w:val="00D8228F"/>
    <w:rsid w:val="00D83C86"/>
    <w:rsid w:val="00D83CB1"/>
    <w:rsid w:val="00D862DA"/>
    <w:rsid w:val="00D8640C"/>
    <w:rsid w:val="00D86456"/>
    <w:rsid w:val="00D870BD"/>
    <w:rsid w:val="00D87170"/>
    <w:rsid w:val="00D8758A"/>
    <w:rsid w:val="00D8771B"/>
    <w:rsid w:val="00D8782E"/>
    <w:rsid w:val="00D87FD9"/>
    <w:rsid w:val="00D9009F"/>
    <w:rsid w:val="00D906A2"/>
    <w:rsid w:val="00D90DA9"/>
    <w:rsid w:val="00D90ED8"/>
    <w:rsid w:val="00D91FB1"/>
    <w:rsid w:val="00D9260B"/>
    <w:rsid w:val="00D92622"/>
    <w:rsid w:val="00D93DFE"/>
    <w:rsid w:val="00D94013"/>
    <w:rsid w:val="00D965D5"/>
    <w:rsid w:val="00DA2319"/>
    <w:rsid w:val="00DA3D7B"/>
    <w:rsid w:val="00DA45D8"/>
    <w:rsid w:val="00DA549F"/>
    <w:rsid w:val="00DA5E6E"/>
    <w:rsid w:val="00DA62BB"/>
    <w:rsid w:val="00DA6721"/>
    <w:rsid w:val="00DA7189"/>
    <w:rsid w:val="00DA72EE"/>
    <w:rsid w:val="00DA7370"/>
    <w:rsid w:val="00DB0CFC"/>
    <w:rsid w:val="00DB1190"/>
    <w:rsid w:val="00DB365C"/>
    <w:rsid w:val="00DB3848"/>
    <w:rsid w:val="00DB3971"/>
    <w:rsid w:val="00DB419E"/>
    <w:rsid w:val="00DB4594"/>
    <w:rsid w:val="00DB4AA3"/>
    <w:rsid w:val="00DB4DD6"/>
    <w:rsid w:val="00DB6056"/>
    <w:rsid w:val="00DB68FF"/>
    <w:rsid w:val="00DB7230"/>
    <w:rsid w:val="00DB7DB8"/>
    <w:rsid w:val="00DC09E9"/>
    <w:rsid w:val="00DC0B3A"/>
    <w:rsid w:val="00DC32BA"/>
    <w:rsid w:val="00DC3CF0"/>
    <w:rsid w:val="00DC3FE4"/>
    <w:rsid w:val="00DC4141"/>
    <w:rsid w:val="00DC4208"/>
    <w:rsid w:val="00DC5FD8"/>
    <w:rsid w:val="00DC66E8"/>
    <w:rsid w:val="00DD1F6B"/>
    <w:rsid w:val="00DD215B"/>
    <w:rsid w:val="00DD3C6F"/>
    <w:rsid w:val="00DD3E75"/>
    <w:rsid w:val="00DD5C82"/>
    <w:rsid w:val="00DD6255"/>
    <w:rsid w:val="00DD6537"/>
    <w:rsid w:val="00DD6667"/>
    <w:rsid w:val="00DD74A2"/>
    <w:rsid w:val="00DD77E6"/>
    <w:rsid w:val="00DE2E8D"/>
    <w:rsid w:val="00DE3686"/>
    <w:rsid w:val="00DE3802"/>
    <w:rsid w:val="00DE383B"/>
    <w:rsid w:val="00DE49BE"/>
    <w:rsid w:val="00DE4D91"/>
    <w:rsid w:val="00DE6576"/>
    <w:rsid w:val="00DE7983"/>
    <w:rsid w:val="00DE7CB0"/>
    <w:rsid w:val="00DF189C"/>
    <w:rsid w:val="00DF1921"/>
    <w:rsid w:val="00DF19E1"/>
    <w:rsid w:val="00DF3B14"/>
    <w:rsid w:val="00DF4614"/>
    <w:rsid w:val="00DF476D"/>
    <w:rsid w:val="00DF5070"/>
    <w:rsid w:val="00DF69F9"/>
    <w:rsid w:val="00DF6D10"/>
    <w:rsid w:val="00DF7099"/>
    <w:rsid w:val="00DF7561"/>
    <w:rsid w:val="00DF7B25"/>
    <w:rsid w:val="00E00B67"/>
    <w:rsid w:val="00E01D9A"/>
    <w:rsid w:val="00E026D4"/>
    <w:rsid w:val="00E02705"/>
    <w:rsid w:val="00E02837"/>
    <w:rsid w:val="00E029B2"/>
    <w:rsid w:val="00E0494F"/>
    <w:rsid w:val="00E051F1"/>
    <w:rsid w:val="00E05255"/>
    <w:rsid w:val="00E054BE"/>
    <w:rsid w:val="00E05BC1"/>
    <w:rsid w:val="00E0646C"/>
    <w:rsid w:val="00E06ACB"/>
    <w:rsid w:val="00E07445"/>
    <w:rsid w:val="00E127DA"/>
    <w:rsid w:val="00E13460"/>
    <w:rsid w:val="00E135A1"/>
    <w:rsid w:val="00E14449"/>
    <w:rsid w:val="00E1496E"/>
    <w:rsid w:val="00E14CFE"/>
    <w:rsid w:val="00E14ED3"/>
    <w:rsid w:val="00E1530B"/>
    <w:rsid w:val="00E15849"/>
    <w:rsid w:val="00E15B49"/>
    <w:rsid w:val="00E162F4"/>
    <w:rsid w:val="00E16D7F"/>
    <w:rsid w:val="00E16EF1"/>
    <w:rsid w:val="00E17738"/>
    <w:rsid w:val="00E177A0"/>
    <w:rsid w:val="00E17F63"/>
    <w:rsid w:val="00E17FAD"/>
    <w:rsid w:val="00E22CFC"/>
    <w:rsid w:val="00E22F16"/>
    <w:rsid w:val="00E258CD"/>
    <w:rsid w:val="00E264F6"/>
    <w:rsid w:val="00E26B38"/>
    <w:rsid w:val="00E273DD"/>
    <w:rsid w:val="00E27476"/>
    <w:rsid w:val="00E3045D"/>
    <w:rsid w:val="00E30C4B"/>
    <w:rsid w:val="00E30E36"/>
    <w:rsid w:val="00E31028"/>
    <w:rsid w:val="00E32375"/>
    <w:rsid w:val="00E32D0D"/>
    <w:rsid w:val="00E3337A"/>
    <w:rsid w:val="00E3357E"/>
    <w:rsid w:val="00E33E06"/>
    <w:rsid w:val="00E34165"/>
    <w:rsid w:val="00E3600B"/>
    <w:rsid w:val="00E3602A"/>
    <w:rsid w:val="00E36AB9"/>
    <w:rsid w:val="00E37F40"/>
    <w:rsid w:val="00E40703"/>
    <w:rsid w:val="00E40D34"/>
    <w:rsid w:val="00E40EA0"/>
    <w:rsid w:val="00E42043"/>
    <w:rsid w:val="00E434F8"/>
    <w:rsid w:val="00E43C06"/>
    <w:rsid w:val="00E441A1"/>
    <w:rsid w:val="00E442F5"/>
    <w:rsid w:val="00E449B1"/>
    <w:rsid w:val="00E454BD"/>
    <w:rsid w:val="00E463C9"/>
    <w:rsid w:val="00E46859"/>
    <w:rsid w:val="00E47982"/>
    <w:rsid w:val="00E47B31"/>
    <w:rsid w:val="00E501F7"/>
    <w:rsid w:val="00E5082D"/>
    <w:rsid w:val="00E5134A"/>
    <w:rsid w:val="00E52874"/>
    <w:rsid w:val="00E52B01"/>
    <w:rsid w:val="00E53BFE"/>
    <w:rsid w:val="00E54054"/>
    <w:rsid w:val="00E54376"/>
    <w:rsid w:val="00E543BC"/>
    <w:rsid w:val="00E54BEA"/>
    <w:rsid w:val="00E55199"/>
    <w:rsid w:val="00E57358"/>
    <w:rsid w:val="00E574A9"/>
    <w:rsid w:val="00E57BB0"/>
    <w:rsid w:val="00E60085"/>
    <w:rsid w:val="00E60608"/>
    <w:rsid w:val="00E61355"/>
    <w:rsid w:val="00E613BC"/>
    <w:rsid w:val="00E617AB"/>
    <w:rsid w:val="00E61A61"/>
    <w:rsid w:val="00E61F1E"/>
    <w:rsid w:val="00E621A2"/>
    <w:rsid w:val="00E6295B"/>
    <w:rsid w:val="00E63414"/>
    <w:rsid w:val="00E63E0A"/>
    <w:rsid w:val="00E6447C"/>
    <w:rsid w:val="00E644A3"/>
    <w:rsid w:val="00E65393"/>
    <w:rsid w:val="00E65DDB"/>
    <w:rsid w:val="00E66861"/>
    <w:rsid w:val="00E66E21"/>
    <w:rsid w:val="00E67063"/>
    <w:rsid w:val="00E6706E"/>
    <w:rsid w:val="00E67F23"/>
    <w:rsid w:val="00E700F1"/>
    <w:rsid w:val="00E70514"/>
    <w:rsid w:val="00E70F38"/>
    <w:rsid w:val="00E710FC"/>
    <w:rsid w:val="00E71126"/>
    <w:rsid w:val="00E7145F"/>
    <w:rsid w:val="00E71915"/>
    <w:rsid w:val="00E72FA3"/>
    <w:rsid w:val="00E80916"/>
    <w:rsid w:val="00E81845"/>
    <w:rsid w:val="00E840DF"/>
    <w:rsid w:val="00E853BB"/>
    <w:rsid w:val="00E8560F"/>
    <w:rsid w:val="00E85D77"/>
    <w:rsid w:val="00E86924"/>
    <w:rsid w:val="00E8780A"/>
    <w:rsid w:val="00E87BB8"/>
    <w:rsid w:val="00E87BED"/>
    <w:rsid w:val="00E902D3"/>
    <w:rsid w:val="00E90342"/>
    <w:rsid w:val="00E904CB"/>
    <w:rsid w:val="00E904EB"/>
    <w:rsid w:val="00E92EC7"/>
    <w:rsid w:val="00E935C8"/>
    <w:rsid w:val="00E93929"/>
    <w:rsid w:val="00E93A0D"/>
    <w:rsid w:val="00E9415F"/>
    <w:rsid w:val="00E957FC"/>
    <w:rsid w:val="00E9674E"/>
    <w:rsid w:val="00E971F2"/>
    <w:rsid w:val="00EA0289"/>
    <w:rsid w:val="00EA0ADF"/>
    <w:rsid w:val="00EA2535"/>
    <w:rsid w:val="00EA3146"/>
    <w:rsid w:val="00EA591D"/>
    <w:rsid w:val="00EA60D4"/>
    <w:rsid w:val="00EA6B7C"/>
    <w:rsid w:val="00EB11D1"/>
    <w:rsid w:val="00EB181B"/>
    <w:rsid w:val="00EB1B79"/>
    <w:rsid w:val="00EB1CA4"/>
    <w:rsid w:val="00EB1FB2"/>
    <w:rsid w:val="00EB2687"/>
    <w:rsid w:val="00EB277A"/>
    <w:rsid w:val="00EB2DEA"/>
    <w:rsid w:val="00EB318D"/>
    <w:rsid w:val="00EB32D1"/>
    <w:rsid w:val="00EB35C9"/>
    <w:rsid w:val="00EB3D75"/>
    <w:rsid w:val="00EB44AC"/>
    <w:rsid w:val="00EB5BB9"/>
    <w:rsid w:val="00EB6BDC"/>
    <w:rsid w:val="00EC0A15"/>
    <w:rsid w:val="00EC1108"/>
    <w:rsid w:val="00EC11F9"/>
    <w:rsid w:val="00EC14F0"/>
    <w:rsid w:val="00EC1ABC"/>
    <w:rsid w:val="00EC341C"/>
    <w:rsid w:val="00EC3F8E"/>
    <w:rsid w:val="00EC63F8"/>
    <w:rsid w:val="00EC7FD5"/>
    <w:rsid w:val="00ED1657"/>
    <w:rsid w:val="00ED5637"/>
    <w:rsid w:val="00ED62BF"/>
    <w:rsid w:val="00ED6618"/>
    <w:rsid w:val="00EE1A81"/>
    <w:rsid w:val="00EE2B30"/>
    <w:rsid w:val="00EE2ED8"/>
    <w:rsid w:val="00EE4DDC"/>
    <w:rsid w:val="00EE5301"/>
    <w:rsid w:val="00EE6A4B"/>
    <w:rsid w:val="00EE6F2D"/>
    <w:rsid w:val="00EE7071"/>
    <w:rsid w:val="00EE71C9"/>
    <w:rsid w:val="00EE723D"/>
    <w:rsid w:val="00EF04B9"/>
    <w:rsid w:val="00EF080D"/>
    <w:rsid w:val="00EF0F25"/>
    <w:rsid w:val="00EF18E4"/>
    <w:rsid w:val="00EF1FD6"/>
    <w:rsid w:val="00EF2436"/>
    <w:rsid w:val="00EF28B2"/>
    <w:rsid w:val="00EF2CC8"/>
    <w:rsid w:val="00EF352D"/>
    <w:rsid w:val="00EF44D3"/>
    <w:rsid w:val="00EF4AEE"/>
    <w:rsid w:val="00EF6C87"/>
    <w:rsid w:val="00EF6E41"/>
    <w:rsid w:val="00EF76D4"/>
    <w:rsid w:val="00F01CEB"/>
    <w:rsid w:val="00F02C79"/>
    <w:rsid w:val="00F02D77"/>
    <w:rsid w:val="00F03920"/>
    <w:rsid w:val="00F03F3B"/>
    <w:rsid w:val="00F04065"/>
    <w:rsid w:val="00F0513C"/>
    <w:rsid w:val="00F05C8D"/>
    <w:rsid w:val="00F07468"/>
    <w:rsid w:val="00F11C14"/>
    <w:rsid w:val="00F11DDC"/>
    <w:rsid w:val="00F12714"/>
    <w:rsid w:val="00F1302B"/>
    <w:rsid w:val="00F13182"/>
    <w:rsid w:val="00F138A6"/>
    <w:rsid w:val="00F13AD2"/>
    <w:rsid w:val="00F13F76"/>
    <w:rsid w:val="00F17866"/>
    <w:rsid w:val="00F2042F"/>
    <w:rsid w:val="00F2176B"/>
    <w:rsid w:val="00F21C88"/>
    <w:rsid w:val="00F22D82"/>
    <w:rsid w:val="00F23A8E"/>
    <w:rsid w:val="00F24FA3"/>
    <w:rsid w:val="00F252C8"/>
    <w:rsid w:val="00F26D40"/>
    <w:rsid w:val="00F27B0A"/>
    <w:rsid w:val="00F30573"/>
    <w:rsid w:val="00F30D55"/>
    <w:rsid w:val="00F3170C"/>
    <w:rsid w:val="00F31CDF"/>
    <w:rsid w:val="00F32043"/>
    <w:rsid w:val="00F32966"/>
    <w:rsid w:val="00F340B6"/>
    <w:rsid w:val="00F34C63"/>
    <w:rsid w:val="00F34F62"/>
    <w:rsid w:val="00F3554B"/>
    <w:rsid w:val="00F35D1E"/>
    <w:rsid w:val="00F361B7"/>
    <w:rsid w:val="00F36691"/>
    <w:rsid w:val="00F36993"/>
    <w:rsid w:val="00F37205"/>
    <w:rsid w:val="00F40BAE"/>
    <w:rsid w:val="00F414BF"/>
    <w:rsid w:val="00F41A1F"/>
    <w:rsid w:val="00F43D29"/>
    <w:rsid w:val="00F43F22"/>
    <w:rsid w:val="00F45096"/>
    <w:rsid w:val="00F45698"/>
    <w:rsid w:val="00F50D11"/>
    <w:rsid w:val="00F50DDA"/>
    <w:rsid w:val="00F510A8"/>
    <w:rsid w:val="00F51BC4"/>
    <w:rsid w:val="00F521B3"/>
    <w:rsid w:val="00F5248C"/>
    <w:rsid w:val="00F52F93"/>
    <w:rsid w:val="00F531ED"/>
    <w:rsid w:val="00F5348A"/>
    <w:rsid w:val="00F54608"/>
    <w:rsid w:val="00F547C8"/>
    <w:rsid w:val="00F54807"/>
    <w:rsid w:val="00F552F2"/>
    <w:rsid w:val="00F55E52"/>
    <w:rsid w:val="00F56549"/>
    <w:rsid w:val="00F57D89"/>
    <w:rsid w:val="00F57EF0"/>
    <w:rsid w:val="00F613E6"/>
    <w:rsid w:val="00F61F37"/>
    <w:rsid w:val="00F620D3"/>
    <w:rsid w:val="00F621FB"/>
    <w:rsid w:val="00F627E2"/>
    <w:rsid w:val="00F63BA7"/>
    <w:rsid w:val="00F645D5"/>
    <w:rsid w:val="00F652D1"/>
    <w:rsid w:val="00F65574"/>
    <w:rsid w:val="00F65A0D"/>
    <w:rsid w:val="00F66DFC"/>
    <w:rsid w:val="00F705C7"/>
    <w:rsid w:val="00F70B13"/>
    <w:rsid w:val="00F71520"/>
    <w:rsid w:val="00F72440"/>
    <w:rsid w:val="00F72BCE"/>
    <w:rsid w:val="00F733FA"/>
    <w:rsid w:val="00F7590F"/>
    <w:rsid w:val="00F75FE2"/>
    <w:rsid w:val="00F77008"/>
    <w:rsid w:val="00F772CC"/>
    <w:rsid w:val="00F7773C"/>
    <w:rsid w:val="00F7791D"/>
    <w:rsid w:val="00F77B75"/>
    <w:rsid w:val="00F77D89"/>
    <w:rsid w:val="00F77F8C"/>
    <w:rsid w:val="00F80C71"/>
    <w:rsid w:val="00F81B4B"/>
    <w:rsid w:val="00F83D2B"/>
    <w:rsid w:val="00F84E52"/>
    <w:rsid w:val="00F8569E"/>
    <w:rsid w:val="00F85A14"/>
    <w:rsid w:val="00F85BBF"/>
    <w:rsid w:val="00F8604C"/>
    <w:rsid w:val="00F86F5F"/>
    <w:rsid w:val="00F879FF"/>
    <w:rsid w:val="00F90697"/>
    <w:rsid w:val="00F90EB0"/>
    <w:rsid w:val="00F913C6"/>
    <w:rsid w:val="00F92546"/>
    <w:rsid w:val="00F92685"/>
    <w:rsid w:val="00F937AE"/>
    <w:rsid w:val="00F9383E"/>
    <w:rsid w:val="00F94864"/>
    <w:rsid w:val="00F94DDC"/>
    <w:rsid w:val="00F94EEC"/>
    <w:rsid w:val="00F95037"/>
    <w:rsid w:val="00F95153"/>
    <w:rsid w:val="00F95BDD"/>
    <w:rsid w:val="00F96260"/>
    <w:rsid w:val="00F96B70"/>
    <w:rsid w:val="00F9707F"/>
    <w:rsid w:val="00FA02EE"/>
    <w:rsid w:val="00FA0C29"/>
    <w:rsid w:val="00FA0DE8"/>
    <w:rsid w:val="00FA19D5"/>
    <w:rsid w:val="00FA1D32"/>
    <w:rsid w:val="00FA1D94"/>
    <w:rsid w:val="00FA33A6"/>
    <w:rsid w:val="00FA3677"/>
    <w:rsid w:val="00FA5A49"/>
    <w:rsid w:val="00FA723D"/>
    <w:rsid w:val="00FA7B80"/>
    <w:rsid w:val="00FB0382"/>
    <w:rsid w:val="00FB06DC"/>
    <w:rsid w:val="00FB0B18"/>
    <w:rsid w:val="00FB1E49"/>
    <w:rsid w:val="00FB2ACA"/>
    <w:rsid w:val="00FB2D18"/>
    <w:rsid w:val="00FB3891"/>
    <w:rsid w:val="00FB3AC6"/>
    <w:rsid w:val="00FB3D40"/>
    <w:rsid w:val="00FB4DD9"/>
    <w:rsid w:val="00FB523C"/>
    <w:rsid w:val="00FB5E5E"/>
    <w:rsid w:val="00FB649C"/>
    <w:rsid w:val="00FB673E"/>
    <w:rsid w:val="00FB704B"/>
    <w:rsid w:val="00FB753B"/>
    <w:rsid w:val="00FC027B"/>
    <w:rsid w:val="00FC1593"/>
    <w:rsid w:val="00FC247C"/>
    <w:rsid w:val="00FC3AF1"/>
    <w:rsid w:val="00FC3D57"/>
    <w:rsid w:val="00FC3EB4"/>
    <w:rsid w:val="00FC4C7F"/>
    <w:rsid w:val="00FC51B8"/>
    <w:rsid w:val="00FC5739"/>
    <w:rsid w:val="00FC5FD1"/>
    <w:rsid w:val="00FC6C2D"/>
    <w:rsid w:val="00FD16AB"/>
    <w:rsid w:val="00FD1C39"/>
    <w:rsid w:val="00FD2E3A"/>
    <w:rsid w:val="00FD2EFF"/>
    <w:rsid w:val="00FD38DC"/>
    <w:rsid w:val="00FD3AE2"/>
    <w:rsid w:val="00FD4DAD"/>
    <w:rsid w:val="00FD5279"/>
    <w:rsid w:val="00FD52BE"/>
    <w:rsid w:val="00FD6457"/>
    <w:rsid w:val="00FD755E"/>
    <w:rsid w:val="00FD7A3F"/>
    <w:rsid w:val="00FD7CD3"/>
    <w:rsid w:val="00FE05F0"/>
    <w:rsid w:val="00FE0925"/>
    <w:rsid w:val="00FE0CC2"/>
    <w:rsid w:val="00FE13AD"/>
    <w:rsid w:val="00FE1D67"/>
    <w:rsid w:val="00FE253C"/>
    <w:rsid w:val="00FE359D"/>
    <w:rsid w:val="00FE37F1"/>
    <w:rsid w:val="00FE44C5"/>
    <w:rsid w:val="00FE4663"/>
    <w:rsid w:val="00FE473A"/>
    <w:rsid w:val="00FE47AB"/>
    <w:rsid w:val="00FE4B06"/>
    <w:rsid w:val="00FE51B6"/>
    <w:rsid w:val="00FE707B"/>
    <w:rsid w:val="00FF1021"/>
    <w:rsid w:val="00FF141F"/>
    <w:rsid w:val="00FF1720"/>
    <w:rsid w:val="00FF2212"/>
    <w:rsid w:val="00FF2583"/>
    <w:rsid w:val="00FF2A98"/>
    <w:rsid w:val="00FF39E7"/>
    <w:rsid w:val="00FF406D"/>
    <w:rsid w:val="00FF41D3"/>
    <w:rsid w:val="00FF4213"/>
    <w:rsid w:val="00FF538C"/>
    <w:rsid w:val="00FF5CE3"/>
    <w:rsid w:val="00FF7F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37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2B43CF"/>
  </w:style>
  <w:style w:type="paragraph" w:customStyle="1" w:styleId="Quote1">
    <w:name w:val="Quote1"/>
    <w:basedOn w:val="Normal"/>
    <w:qFormat/>
    <w:rsid w:val="00CE2E11"/>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59" w:lineRule="auto"/>
      <w:ind w:left="720" w:right="0" w:firstLine="0"/>
    </w:pPr>
    <w:rPr>
      <w:rFonts w:ascii="Times New Roman" w:eastAsiaTheme="minorHAnsi" w:hAnsi="Times New Roman"/>
      <w:sz w:val="23"/>
      <w:szCs w:val="24"/>
      <w:lang w:eastAsia="en-US"/>
    </w:rPr>
  </w:style>
  <w:style w:type="paragraph" w:customStyle="1" w:styleId="Numberedpara">
    <w:name w:val="Numbered para"/>
    <w:basedOn w:val="ListParagraph"/>
    <w:qFormat/>
    <w:rsid w:val="00CE2E11"/>
    <w:pPr>
      <w:numPr>
        <w:numId w:val="21"/>
      </w:numPr>
      <w:tabs>
        <w:tab w:val="clear" w:pos="720"/>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left="2160" w:right="0" w:hanging="720"/>
      <w:contextualSpacing w:val="0"/>
    </w:pPr>
    <w:rPr>
      <w:rFonts w:ascii="Times New Roman" w:eastAsiaTheme="minorHAnsi" w:hAnsi="Times New Roman"/>
      <w:sz w:val="24"/>
      <w:szCs w:val="24"/>
      <w:lang w:eastAsia="en-US"/>
    </w:rPr>
  </w:style>
  <w:style w:type="paragraph" w:styleId="ListParagraph">
    <w:name w:val="List Paragraph"/>
    <w:basedOn w:val="Normal"/>
    <w:uiPriority w:val="55"/>
    <w:qFormat/>
    <w:locked/>
    <w:rsid w:val="00CE2E11"/>
    <w:pPr>
      <w:ind w:left="720"/>
      <w:contextualSpacing/>
    </w:pPr>
  </w:style>
  <w:style w:type="paragraph" w:customStyle="1" w:styleId="Default">
    <w:name w:val="Default"/>
    <w:rsid w:val="00CE2E11"/>
    <w:pPr>
      <w:autoSpaceDE w:val="0"/>
      <w:autoSpaceDN w:val="0"/>
      <w:adjustRightInd w:val="0"/>
    </w:pPr>
    <w:rPr>
      <w:rFonts w:cs="Univers"/>
      <w:color w:val="000000"/>
      <w:sz w:val="24"/>
      <w:szCs w:val="24"/>
    </w:rPr>
  </w:style>
  <w:style w:type="character" w:styleId="Hyperlink">
    <w:name w:val="Hyperlink"/>
    <w:basedOn w:val="DefaultParagraphFont"/>
    <w:uiPriority w:val="99"/>
    <w:unhideWhenUsed/>
    <w:locked/>
    <w:rsid w:val="00CE2E11"/>
    <w:rPr>
      <w:color w:val="0000FF"/>
      <w:u w:val="single"/>
    </w:rPr>
  </w:style>
  <w:style w:type="character" w:styleId="CommentReference">
    <w:name w:val="annotation reference"/>
    <w:basedOn w:val="DefaultParagraphFont"/>
    <w:uiPriority w:val="99"/>
    <w:semiHidden/>
    <w:unhideWhenUsed/>
    <w:locked/>
    <w:rsid w:val="00CE2E11"/>
    <w:rPr>
      <w:sz w:val="16"/>
      <w:szCs w:val="16"/>
    </w:rPr>
  </w:style>
  <w:style w:type="paragraph" w:styleId="CommentText">
    <w:name w:val="annotation text"/>
    <w:basedOn w:val="Normal"/>
    <w:link w:val="CommentTextChar"/>
    <w:uiPriority w:val="99"/>
    <w:unhideWhenUsed/>
    <w:locked/>
    <w:rsid w:val="00CE2E11"/>
    <w:pPr>
      <w:spacing w:line="240" w:lineRule="auto"/>
    </w:pPr>
    <w:rPr>
      <w:sz w:val="20"/>
      <w:szCs w:val="20"/>
    </w:rPr>
  </w:style>
  <w:style w:type="character" w:customStyle="1" w:styleId="CommentTextChar">
    <w:name w:val="Comment Text Char"/>
    <w:basedOn w:val="DefaultParagraphFont"/>
    <w:link w:val="CommentText"/>
    <w:uiPriority w:val="99"/>
    <w:rsid w:val="00CE2E11"/>
    <w:rPr>
      <w:sz w:val="20"/>
      <w:szCs w:val="20"/>
    </w:rPr>
  </w:style>
  <w:style w:type="paragraph" w:styleId="CommentSubject">
    <w:name w:val="annotation subject"/>
    <w:basedOn w:val="CommentText"/>
    <w:next w:val="CommentText"/>
    <w:link w:val="CommentSubjectChar"/>
    <w:uiPriority w:val="99"/>
    <w:semiHidden/>
    <w:unhideWhenUsed/>
    <w:locked/>
    <w:rsid w:val="00CE2E11"/>
    <w:rPr>
      <w:b/>
      <w:bCs/>
    </w:rPr>
  </w:style>
  <w:style w:type="character" w:customStyle="1" w:styleId="CommentSubjectChar">
    <w:name w:val="Comment Subject Char"/>
    <w:basedOn w:val="CommentTextChar"/>
    <w:link w:val="CommentSubject"/>
    <w:uiPriority w:val="99"/>
    <w:semiHidden/>
    <w:rsid w:val="00CE2E11"/>
    <w:rPr>
      <w:b/>
      <w:bCs/>
      <w:sz w:val="20"/>
      <w:szCs w:val="20"/>
    </w:rPr>
  </w:style>
  <w:style w:type="paragraph" w:styleId="Revision">
    <w:name w:val="Revision"/>
    <w:hidden/>
    <w:uiPriority w:val="99"/>
    <w:semiHidden/>
    <w:rsid w:val="00CE2E11"/>
  </w:style>
  <w:style w:type="character" w:styleId="Emphasis">
    <w:name w:val="Emphasis"/>
    <w:basedOn w:val="DefaultParagraphFont"/>
    <w:uiPriority w:val="20"/>
    <w:qFormat/>
    <w:locked/>
    <w:rsid w:val="00CE2E11"/>
    <w:rPr>
      <w:i/>
      <w:iCs/>
    </w:rPr>
  </w:style>
  <w:style w:type="character" w:styleId="UnresolvedMention">
    <w:name w:val="Unresolved Mention"/>
    <w:basedOn w:val="DefaultParagraphFont"/>
    <w:uiPriority w:val="99"/>
    <w:semiHidden/>
    <w:unhideWhenUsed/>
    <w:rsid w:val="00CE2E11"/>
    <w:rPr>
      <w:color w:val="605E5C"/>
      <w:shd w:val="clear" w:color="auto" w:fill="E1DFDD"/>
    </w:rPr>
  </w:style>
  <w:style w:type="paragraph" w:customStyle="1" w:styleId="Body">
    <w:name w:val="Body"/>
    <w:basedOn w:val="Normal"/>
    <w:qFormat/>
    <w:rsid w:val="009C2BE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9C2BE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9C2BE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9C2BE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9C2BE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9C2BE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5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7298-57D6-4F30-B6DB-A144DEF16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3cc3f26d-d9cc-46f3-89c7-f1482de8c8f1"/>
    <ds:schemaRef ds:uri="cbc5b7fd-636f-49ec-b8cc-eb8a3f2ba19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F06E1A7-3EC7-4C72-A5EE-D96E7EC0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51</Pages>
  <Words>14021</Words>
  <Characters>79925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2022-04-08T00:38:00Z</dcterms:created>
  <dcterms:modified xsi:type="dcterms:W3CDTF">2022-04-08T00:38:00Z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