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5D8CF" w14:textId="77777777" w:rsidR="00594E3E" w:rsidRPr="00704FF8" w:rsidRDefault="00594E3E" w:rsidP="00704FF8">
      <w:pPr>
        <w:pStyle w:val="OrdersTopLine"/>
      </w:pPr>
      <w:r w:rsidRPr="00704FF8">
        <w:t>HIGH COURT OF AUSTRALIA</w:t>
      </w:r>
    </w:p>
    <w:p w14:paraId="538B5B29" w14:textId="77777777" w:rsidR="00594E3E" w:rsidRPr="00704FF8" w:rsidRDefault="00594E3E" w:rsidP="00704FF8">
      <w:pPr>
        <w:pStyle w:val="OrderCentre"/>
      </w:pPr>
    </w:p>
    <w:p w14:paraId="24350532" w14:textId="77777777" w:rsidR="00594E3E" w:rsidRPr="00704FF8" w:rsidRDefault="00594E3E" w:rsidP="00704FF8">
      <w:pPr>
        <w:pStyle w:val="OrderCentre"/>
      </w:pPr>
      <w:r w:rsidRPr="00704FF8">
        <w:t>KIEFEL CJ</w:t>
      </w:r>
      <w:r>
        <w:t>,</w:t>
      </w:r>
    </w:p>
    <w:p w14:paraId="211505B7" w14:textId="77777777" w:rsidR="00594E3E" w:rsidRPr="00704FF8" w:rsidRDefault="00594E3E" w:rsidP="00704FF8">
      <w:pPr>
        <w:pStyle w:val="OrderCentre"/>
      </w:pPr>
      <w:r w:rsidRPr="00704FF8">
        <w:t>GAGELER, KEANE, GORDON</w:t>
      </w:r>
      <w:r>
        <w:t xml:space="preserve">, </w:t>
      </w:r>
      <w:r w:rsidRPr="00704FF8">
        <w:t>EDELMAN</w:t>
      </w:r>
      <w:r w:rsidRPr="004C496B">
        <w:t xml:space="preserve"> </w:t>
      </w:r>
      <w:r w:rsidRPr="00704FF8">
        <w:t xml:space="preserve">AND </w:t>
      </w:r>
      <w:r>
        <w:t xml:space="preserve">GLEESON </w:t>
      </w:r>
      <w:r w:rsidRPr="00704FF8">
        <w:t>JJ</w:t>
      </w:r>
    </w:p>
    <w:p w14:paraId="3E88F9F3" w14:textId="77777777" w:rsidR="00594E3E" w:rsidRPr="00427F3A" w:rsidRDefault="00594E3E" w:rsidP="00EE5374">
      <w:pPr>
        <w:pStyle w:val="Centre"/>
        <w:rPr>
          <w:lang w:val="en-AU"/>
        </w:rPr>
      </w:pPr>
    </w:p>
    <w:p w14:paraId="27E9A929" w14:textId="77777777" w:rsidR="00594E3E" w:rsidRPr="00704FF8" w:rsidRDefault="00594E3E" w:rsidP="00704FF8">
      <w:pPr>
        <w:pStyle w:val="OrdersCenteredBorder"/>
      </w:pPr>
    </w:p>
    <w:p w14:paraId="4A0B411E" w14:textId="77777777" w:rsidR="00594E3E" w:rsidRPr="00704FF8" w:rsidRDefault="00594E3E" w:rsidP="0032341F">
      <w:pPr>
        <w:pStyle w:val="OrdersBodyHeading"/>
      </w:pPr>
    </w:p>
    <w:p w14:paraId="2CCDF0B8" w14:textId="77777777" w:rsidR="00594E3E" w:rsidRPr="0032341F" w:rsidRDefault="00594E3E" w:rsidP="009362E8">
      <w:pPr>
        <w:pStyle w:val="OrdersPartyName"/>
        <w:ind w:right="-1"/>
      </w:pPr>
      <w:r w:rsidRPr="0004736C">
        <w:t>NARADA</w:t>
      </w:r>
      <w:r>
        <w:t xml:space="preserve"> </w:t>
      </w:r>
      <w:r w:rsidRPr="0004736C">
        <w:t>NATHANSON</w:t>
      </w:r>
      <w:r w:rsidRPr="0032341F">
        <w:tab/>
        <w:t>APPELLANT</w:t>
      </w:r>
    </w:p>
    <w:p w14:paraId="73988DFE" w14:textId="77777777" w:rsidR="00594E3E" w:rsidRPr="0032341F" w:rsidRDefault="00594E3E" w:rsidP="009362E8">
      <w:pPr>
        <w:pStyle w:val="OrdersPartyName"/>
        <w:ind w:right="-1"/>
      </w:pPr>
    </w:p>
    <w:p w14:paraId="3E8C5098" w14:textId="77777777" w:rsidR="00594E3E" w:rsidRPr="0032341F" w:rsidRDefault="00594E3E" w:rsidP="009362E8">
      <w:pPr>
        <w:pStyle w:val="OrdersPartyName"/>
        <w:ind w:right="-1"/>
      </w:pPr>
      <w:r w:rsidRPr="0032341F">
        <w:t>AND</w:t>
      </w:r>
    </w:p>
    <w:p w14:paraId="27FCB2DC" w14:textId="77777777" w:rsidR="00594E3E" w:rsidRPr="0032341F" w:rsidRDefault="00594E3E" w:rsidP="009362E8">
      <w:pPr>
        <w:pStyle w:val="OrdersPartyName"/>
        <w:ind w:right="-1"/>
      </w:pPr>
    </w:p>
    <w:p w14:paraId="24665B05" w14:textId="77777777" w:rsidR="00594E3E" w:rsidRPr="0032341F" w:rsidRDefault="00594E3E" w:rsidP="009362E8">
      <w:pPr>
        <w:pStyle w:val="OrdersPartyName"/>
        <w:ind w:right="-1"/>
      </w:pPr>
      <w:r w:rsidRPr="0004736C">
        <w:t>MINISTER FOR HOME AFFAIRS &amp; ANOR</w:t>
      </w:r>
      <w:r w:rsidRPr="0032341F">
        <w:tab/>
        <w:t>RESPONDENT</w:t>
      </w:r>
      <w:r>
        <w:t>S</w:t>
      </w:r>
    </w:p>
    <w:p w14:paraId="05BE9208" w14:textId="77777777" w:rsidR="00594E3E" w:rsidRPr="00427F3A" w:rsidRDefault="00594E3E" w:rsidP="00AF0A5E">
      <w:pPr>
        <w:pStyle w:val="BodyHeading"/>
      </w:pPr>
    </w:p>
    <w:p w14:paraId="7AF4EDC2" w14:textId="77777777" w:rsidR="00594E3E" w:rsidRPr="00427F3A" w:rsidRDefault="00594E3E" w:rsidP="00BE0A6C">
      <w:pPr>
        <w:pStyle w:val="BodyHeading"/>
      </w:pPr>
    </w:p>
    <w:p w14:paraId="215215CD" w14:textId="77777777" w:rsidR="00594E3E" w:rsidRPr="00427F3A" w:rsidRDefault="00594E3E" w:rsidP="00EE5374">
      <w:pPr>
        <w:pStyle w:val="CentreItalics"/>
      </w:pPr>
      <w:r w:rsidRPr="0004736C">
        <w:t>Nathanson v Minister for Home Affairs</w:t>
      </w:r>
    </w:p>
    <w:p w14:paraId="651B29B8" w14:textId="77777777" w:rsidR="00594E3E" w:rsidRPr="00427F3A" w:rsidRDefault="00594E3E" w:rsidP="00E90E4F">
      <w:pPr>
        <w:pStyle w:val="OrdersCentre"/>
      </w:pPr>
      <w:r>
        <w:t>[2022</w:t>
      </w:r>
      <w:r w:rsidRPr="00427F3A">
        <w:t>] HCA</w:t>
      </w:r>
      <w:r>
        <w:t xml:space="preserve"> 26</w:t>
      </w:r>
    </w:p>
    <w:p w14:paraId="5E1C6649" w14:textId="77777777" w:rsidR="00594E3E" w:rsidRDefault="00594E3E" w:rsidP="00E90E4F">
      <w:pPr>
        <w:pStyle w:val="OrdersCentreItalics"/>
      </w:pPr>
      <w:r>
        <w:t>Date of Hearing: 10 March 2022</w:t>
      </w:r>
    </w:p>
    <w:p w14:paraId="028CF4AF" w14:textId="77777777" w:rsidR="00594E3E" w:rsidRPr="00427F3A" w:rsidRDefault="00594E3E" w:rsidP="00E90E4F">
      <w:pPr>
        <w:pStyle w:val="OrdersCentreItalics"/>
      </w:pPr>
      <w:r>
        <w:t>Date of Judgment: 17 August 2022</w:t>
      </w:r>
    </w:p>
    <w:p w14:paraId="7493A235" w14:textId="77777777" w:rsidR="00594E3E" w:rsidRDefault="00594E3E" w:rsidP="00E90E4F">
      <w:pPr>
        <w:pStyle w:val="OrdersCentre"/>
      </w:pPr>
      <w:r w:rsidRPr="0004736C">
        <w:t>M73/2021</w:t>
      </w:r>
    </w:p>
    <w:p w14:paraId="5EC2B3C8" w14:textId="77777777" w:rsidR="00594E3E" w:rsidRPr="00427F3A" w:rsidRDefault="00594E3E" w:rsidP="00E90E4F">
      <w:pPr>
        <w:pStyle w:val="OrdersCentre"/>
      </w:pPr>
    </w:p>
    <w:p w14:paraId="6E77D90B" w14:textId="77777777" w:rsidR="00594E3E" w:rsidRPr="00BE0A6C" w:rsidRDefault="00594E3E" w:rsidP="00E90E4F">
      <w:pPr>
        <w:pStyle w:val="OrderCentreBold"/>
      </w:pPr>
      <w:r w:rsidRPr="00BE0A6C">
        <w:t>ORDER</w:t>
      </w:r>
    </w:p>
    <w:p w14:paraId="06CE6F97" w14:textId="77777777" w:rsidR="00594E3E" w:rsidRPr="00427F3A" w:rsidRDefault="00594E3E" w:rsidP="00736C52">
      <w:pPr>
        <w:pStyle w:val="Centre"/>
        <w:rPr>
          <w:lang w:val="en-AU"/>
        </w:rPr>
      </w:pPr>
    </w:p>
    <w:p w14:paraId="389B993F" w14:textId="77777777" w:rsidR="00594E3E" w:rsidRDefault="00594E3E" w:rsidP="006353DB">
      <w:pPr>
        <w:pStyle w:val="OrdersText"/>
      </w:pPr>
      <w:r>
        <w:t xml:space="preserve">1. </w:t>
      </w:r>
      <w:r>
        <w:tab/>
        <w:t>Appeal allowed.</w:t>
      </w:r>
    </w:p>
    <w:p w14:paraId="4452D1DD" w14:textId="77777777" w:rsidR="00594E3E" w:rsidRDefault="00594E3E" w:rsidP="006353DB">
      <w:pPr>
        <w:pStyle w:val="OrdersText"/>
      </w:pPr>
    </w:p>
    <w:p w14:paraId="3849EC2B" w14:textId="77777777" w:rsidR="00594E3E" w:rsidRPr="008972A8" w:rsidRDefault="00594E3E" w:rsidP="006353DB">
      <w:pPr>
        <w:pStyle w:val="OrdersText"/>
      </w:pPr>
      <w:r>
        <w:t xml:space="preserve">2. </w:t>
      </w:r>
      <w:r>
        <w:tab/>
      </w:r>
      <w:r w:rsidRPr="008972A8">
        <w:t xml:space="preserve">Set aside the orders </w:t>
      </w:r>
      <w:r>
        <w:t xml:space="preserve">of </w:t>
      </w:r>
      <w:r w:rsidRPr="008972A8">
        <w:t xml:space="preserve">the Full Court of the Federal Court of Australia </w:t>
      </w:r>
      <w:r>
        <w:t xml:space="preserve">made </w:t>
      </w:r>
      <w:r w:rsidRPr="008972A8">
        <w:t xml:space="preserve">on 9 October 2020 and, in </w:t>
      </w:r>
      <w:r>
        <w:t>lieu thereof</w:t>
      </w:r>
      <w:r w:rsidRPr="008972A8">
        <w:t>, order that:</w:t>
      </w:r>
    </w:p>
    <w:p w14:paraId="06F60225" w14:textId="77777777" w:rsidR="00594E3E" w:rsidRPr="005C110C" w:rsidRDefault="00594E3E" w:rsidP="006353DB">
      <w:pPr>
        <w:pStyle w:val="OrdersText"/>
      </w:pPr>
    </w:p>
    <w:p w14:paraId="26BCF4B9" w14:textId="77777777" w:rsidR="00594E3E" w:rsidRPr="005C110C" w:rsidRDefault="00594E3E" w:rsidP="00913DCF">
      <w:pPr>
        <w:pStyle w:val="OrdersText"/>
        <w:ind w:left="1418"/>
      </w:pPr>
      <w:r>
        <w:t>(a)</w:t>
      </w:r>
      <w:r>
        <w:tab/>
        <w:t xml:space="preserve">the appeal be </w:t>
      </w:r>
      <w:proofErr w:type="gramStart"/>
      <w:r>
        <w:t>allowed</w:t>
      </w:r>
      <w:r w:rsidRPr="005C110C">
        <w:t>;</w:t>
      </w:r>
      <w:proofErr w:type="gramEnd"/>
    </w:p>
    <w:p w14:paraId="3A052849" w14:textId="77777777" w:rsidR="00594E3E" w:rsidRPr="005C110C" w:rsidRDefault="00594E3E" w:rsidP="00913DCF">
      <w:pPr>
        <w:pStyle w:val="OrdersText"/>
        <w:ind w:left="1418"/>
      </w:pPr>
    </w:p>
    <w:p w14:paraId="72E75281" w14:textId="5D1BDC80" w:rsidR="00594E3E" w:rsidRPr="005C110C" w:rsidRDefault="00594E3E" w:rsidP="00913DCF">
      <w:pPr>
        <w:pStyle w:val="OrdersText"/>
        <w:ind w:left="1418"/>
      </w:pPr>
      <w:r>
        <w:t>(b)</w:t>
      </w:r>
      <w:r>
        <w:tab/>
        <w:t>the orders of the Federal Court of Australia made on 18</w:t>
      </w:r>
      <w:r w:rsidR="00C14E9C">
        <w:t> </w:t>
      </w:r>
      <w:r>
        <w:t xml:space="preserve">October 2019 be set aside and, </w:t>
      </w:r>
      <w:r w:rsidRPr="008972A8">
        <w:t xml:space="preserve">in </w:t>
      </w:r>
      <w:r>
        <w:t>lieu thereof</w:t>
      </w:r>
      <w:r w:rsidRPr="008972A8">
        <w:t>,</w:t>
      </w:r>
      <w:r>
        <w:t xml:space="preserve"> it be ordered that:</w:t>
      </w:r>
    </w:p>
    <w:p w14:paraId="2F5524D6" w14:textId="77777777" w:rsidR="00594E3E" w:rsidRPr="005C110C" w:rsidRDefault="00594E3E" w:rsidP="00913DCF">
      <w:pPr>
        <w:pStyle w:val="OrdersText"/>
        <w:ind w:left="1418"/>
      </w:pPr>
    </w:p>
    <w:p w14:paraId="7072F6E3" w14:textId="77777777" w:rsidR="00594E3E" w:rsidRDefault="00594E3E" w:rsidP="00913DCF">
      <w:pPr>
        <w:pStyle w:val="OrdersText"/>
        <w:ind w:left="2127"/>
      </w:pPr>
      <w:r>
        <w:t>(</w:t>
      </w:r>
      <w:proofErr w:type="spellStart"/>
      <w:r>
        <w:t>i</w:t>
      </w:r>
      <w:proofErr w:type="spellEnd"/>
      <w:r>
        <w:t xml:space="preserve">) </w:t>
      </w:r>
      <w:r>
        <w:tab/>
        <w:t xml:space="preserve">the application for review be </w:t>
      </w:r>
      <w:proofErr w:type="gramStart"/>
      <w:r>
        <w:t>allowed;</w:t>
      </w:r>
      <w:proofErr w:type="gramEnd"/>
    </w:p>
    <w:p w14:paraId="057657CE" w14:textId="77777777" w:rsidR="00594E3E" w:rsidRDefault="00594E3E" w:rsidP="00913DCF">
      <w:pPr>
        <w:pStyle w:val="OrdersText"/>
        <w:ind w:left="2127"/>
      </w:pPr>
    </w:p>
    <w:p w14:paraId="28133EB2" w14:textId="77777777" w:rsidR="00594E3E" w:rsidRDefault="00594E3E" w:rsidP="00913DCF">
      <w:pPr>
        <w:pStyle w:val="OrdersText"/>
        <w:ind w:left="2127"/>
      </w:pPr>
      <w:r>
        <w:t xml:space="preserve">(ii) </w:t>
      </w:r>
      <w:r>
        <w:tab/>
        <w:t xml:space="preserve">the decision of the Administrative Appeals Tribunal dated 4 April 2019 be set </w:t>
      </w:r>
      <w:proofErr w:type="gramStart"/>
      <w:r>
        <w:t>aside;</w:t>
      </w:r>
      <w:proofErr w:type="gramEnd"/>
      <w:r w:rsidRPr="005C110C">
        <w:t xml:space="preserve">  </w:t>
      </w:r>
    </w:p>
    <w:p w14:paraId="055909BC" w14:textId="77777777" w:rsidR="00594E3E" w:rsidRDefault="00594E3E" w:rsidP="00913DCF">
      <w:pPr>
        <w:pStyle w:val="OrdersText"/>
        <w:ind w:left="2127"/>
      </w:pPr>
    </w:p>
    <w:p w14:paraId="43D72752" w14:textId="77777777" w:rsidR="00594E3E" w:rsidRDefault="00594E3E" w:rsidP="00913DCF">
      <w:pPr>
        <w:pStyle w:val="OrdersText"/>
        <w:ind w:left="2127"/>
      </w:pPr>
      <w:r>
        <w:t xml:space="preserve">(iii) </w:t>
      </w:r>
      <w:r>
        <w:tab/>
        <w:t>the application be remitted to the Tribunal to be heard and determined according to law; and</w:t>
      </w:r>
    </w:p>
    <w:p w14:paraId="300C4D35" w14:textId="77777777" w:rsidR="00594E3E" w:rsidRDefault="00594E3E" w:rsidP="00913DCF">
      <w:pPr>
        <w:pStyle w:val="OrdersText"/>
        <w:ind w:left="2127"/>
      </w:pPr>
    </w:p>
    <w:p w14:paraId="62FAAA9E" w14:textId="77777777" w:rsidR="00594E3E" w:rsidRDefault="00594E3E" w:rsidP="00913DCF">
      <w:pPr>
        <w:pStyle w:val="OrdersText"/>
        <w:ind w:left="2127"/>
      </w:pPr>
      <w:r>
        <w:t xml:space="preserve">(iv) </w:t>
      </w:r>
      <w:r>
        <w:tab/>
        <w:t xml:space="preserve">the first respondent </w:t>
      </w:r>
      <w:proofErr w:type="gramStart"/>
      <w:r>
        <w:t>pay</w:t>
      </w:r>
      <w:proofErr w:type="gramEnd"/>
      <w:r>
        <w:t xml:space="preserve"> the applicant's costs; and</w:t>
      </w:r>
    </w:p>
    <w:p w14:paraId="45704A5D" w14:textId="6B25E7DF" w:rsidR="00594E3E" w:rsidRDefault="00594E3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283D43DC" w14:textId="51610D7C" w:rsidR="00594E3E" w:rsidRDefault="00594E3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134F4197" w14:textId="77777777" w:rsidR="00594E3E" w:rsidRPr="00B325F2" w:rsidRDefault="00594E3E" w:rsidP="00913DCF">
      <w:pPr>
        <w:pStyle w:val="OrdersText"/>
        <w:ind w:left="1418"/>
      </w:pPr>
    </w:p>
    <w:p w14:paraId="7FE198E3" w14:textId="77777777" w:rsidR="00594E3E" w:rsidRPr="005C110C" w:rsidRDefault="00594E3E" w:rsidP="00913DCF">
      <w:pPr>
        <w:pStyle w:val="OrdersText"/>
        <w:ind w:left="1418"/>
      </w:pPr>
      <w:r>
        <w:t xml:space="preserve">(c) </w:t>
      </w:r>
      <w:r>
        <w:tab/>
        <w:t>t</w:t>
      </w:r>
      <w:r w:rsidRPr="00B325F2">
        <w:t xml:space="preserve">he </w:t>
      </w:r>
      <w:r>
        <w:t>f</w:t>
      </w:r>
      <w:r w:rsidRPr="00B325F2">
        <w:t xml:space="preserve">irst </w:t>
      </w:r>
      <w:r>
        <w:t>r</w:t>
      </w:r>
      <w:r w:rsidRPr="00B325F2">
        <w:t xml:space="preserve">espondent </w:t>
      </w:r>
      <w:proofErr w:type="gramStart"/>
      <w:r w:rsidRPr="00B325F2">
        <w:t>pay</w:t>
      </w:r>
      <w:proofErr w:type="gramEnd"/>
      <w:r w:rsidRPr="00B325F2">
        <w:t xml:space="preserve"> the </w:t>
      </w:r>
      <w:r>
        <w:t>appellant's</w:t>
      </w:r>
      <w:r w:rsidRPr="00B325F2">
        <w:t xml:space="preserve"> costs</w:t>
      </w:r>
      <w:r>
        <w:t>.</w:t>
      </w:r>
      <w:r w:rsidRPr="005C110C">
        <w:t xml:space="preserve"> </w:t>
      </w:r>
    </w:p>
    <w:p w14:paraId="0CB34B22" w14:textId="77777777" w:rsidR="00594E3E" w:rsidRPr="005C110C" w:rsidRDefault="00594E3E" w:rsidP="006353DB">
      <w:pPr>
        <w:pStyle w:val="OrdersText"/>
      </w:pPr>
    </w:p>
    <w:p w14:paraId="555604D5" w14:textId="77777777" w:rsidR="00594E3E" w:rsidRPr="005C110C" w:rsidRDefault="00594E3E" w:rsidP="006353DB">
      <w:pPr>
        <w:pStyle w:val="OrdersText"/>
      </w:pPr>
      <w:r>
        <w:t xml:space="preserve">3. </w:t>
      </w:r>
      <w:r>
        <w:tab/>
      </w:r>
      <w:r w:rsidRPr="00B325F2">
        <w:t xml:space="preserve">The </w:t>
      </w:r>
      <w:r>
        <w:t>f</w:t>
      </w:r>
      <w:r w:rsidRPr="00B325F2">
        <w:t xml:space="preserve">irst </w:t>
      </w:r>
      <w:r>
        <w:t>r</w:t>
      </w:r>
      <w:r w:rsidRPr="00B325F2">
        <w:t xml:space="preserve">espondent </w:t>
      </w:r>
      <w:proofErr w:type="gramStart"/>
      <w:r w:rsidRPr="00B325F2">
        <w:t>pay</w:t>
      </w:r>
      <w:proofErr w:type="gramEnd"/>
      <w:r w:rsidRPr="00B325F2">
        <w:t xml:space="preserve"> the </w:t>
      </w:r>
      <w:r>
        <w:t>appellant's</w:t>
      </w:r>
      <w:r w:rsidRPr="00B325F2">
        <w:t xml:space="preserve"> costs</w:t>
      </w:r>
      <w:r w:rsidRPr="005C110C">
        <w:t xml:space="preserve">. </w:t>
      </w:r>
    </w:p>
    <w:p w14:paraId="60044308" w14:textId="77777777" w:rsidR="00594E3E" w:rsidRDefault="00594E3E" w:rsidP="00EE5374">
      <w:pPr>
        <w:pStyle w:val="Body"/>
      </w:pPr>
    </w:p>
    <w:p w14:paraId="1E8C7A14" w14:textId="77777777" w:rsidR="00594E3E" w:rsidRPr="00427F3A" w:rsidRDefault="00594E3E" w:rsidP="00EE5374">
      <w:pPr>
        <w:pStyle w:val="Body"/>
      </w:pPr>
    </w:p>
    <w:p w14:paraId="0E340186" w14:textId="77777777" w:rsidR="00594E3E" w:rsidRPr="00427F3A" w:rsidRDefault="00594E3E" w:rsidP="0032341F">
      <w:pPr>
        <w:pStyle w:val="OrdersBody"/>
      </w:pPr>
      <w:r w:rsidRPr="00427F3A">
        <w:t xml:space="preserve">On appeal from the </w:t>
      </w:r>
      <w:r w:rsidRPr="0004736C">
        <w:t>Federal Court of Australia</w:t>
      </w:r>
    </w:p>
    <w:p w14:paraId="7C2B2441" w14:textId="77777777" w:rsidR="00594E3E" w:rsidRDefault="00594E3E" w:rsidP="00EE5374">
      <w:pPr>
        <w:pStyle w:val="Body"/>
      </w:pPr>
    </w:p>
    <w:p w14:paraId="1E1AC2C2" w14:textId="77777777" w:rsidR="00594E3E" w:rsidRPr="00427F3A" w:rsidRDefault="00594E3E" w:rsidP="00EE5374">
      <w:pPr>
        <w:pStyle w:val="Body"/>
      </w:pPr>
    </w:p>
    <w:p w14:paraId="03AE4ABF" w14:textId="77777777" w:rsidR="00594E3E" w:rsidRPr="00D10926" w:rsidRDefault="00594E3E" w:rsidP="00E90E4F">
      <w:pPr>
        <w:pStyle w:val="OrdersBodyHeading"/>
      </w:pPr>
      <w:r w:rsidRPr="00D10926">
        <w:t>Representation</w:t>
      </w:r>
    </w:p>
    <w:p w14:paraId="507632B0" w14:textId="77777777" w:rsidR="00594E3E" w:rsidRPr="00D10926" w:rsidRDefault="00594E3E" w:rsidP="00EE5374">
      <w:pPr>
        <w:pStyle w:val="Body"/>
      </w:pPr>
    </w:p>
    <w:p w14:paraId="618377B5" w14:textId="77777777" w:rsidR="00594E3E" w:rsidRPr="00D10926" w:rsidRDefault="00594E3E" w:rsidP="00E90E4F">
      <w:pPr>
        <w:pStyle w:val="OrdersBody"/>
      </w:pPr>
      <w:r w:rsidRPr="00D10926">
        <w:t xml:space="preserve">C J Horan QC with A </w:t>
      </w:r>
      <w:proofErr w:type="spellStart"/>
      <w:r w:rsidRPr="00D10926">
        <w:t>Aleksov</w:t>
      </w:r>
      <w:proofErr w:type="spellEnd"/>
      <w:r w:rsidRPr="00D10926">
        <w:t xml:space="preserve"> for the appellant (instructed by Lawson Bayly)</w:t>
      </w:r>
    </w:p>
    <w:p w14:paraId="0B943891" w14:textId="77777777" w:rsidR="00594E3E" w:rsidRPr="00D10926" w:rsidRDefault="00594E3E" w:rsidP="001B3C97">
      <w:pPr>
        <w:pStyle w:val="Body"/>
      </w:pPr>
    </w:p>
    <w:p w14:paraId="504AD609" w14:textId="77777777" w:rsidR="00594E3E" w:rsidRPr="00D10926" w:rsidRDefault="00594E3E" w:rsidP="00E90E4F">
      <w:pPr>
        <w:pStyle w:val="OrdersBody"/>
      </w:pPr>
      <w:r w:rsidRPr="00D10926">
        <w:t xml:space="preserve">G R Kennett SC with A P </w:t>
      </w:r>
      <w:proofErr w:type="spellStart"/>
      <w:r w:rsidRPr="00D10926">
        <w:t>Yuile</w:t>
      </w:r>
      <w:proofErr w:type="spellEnd"/>
      <w:r w:rsidRPr="00D10926">
        <w:t xml:space="preserve"> for the first respondent (instructed by Sparke </w:t>
      </w:r>
      <w:proofErr w:type="spellStart"/>
      <w:r w:rsidRPr="00D10926">
        <w:t>Helmore</w:t>
      </w:r>
      <w:proofErr w:type="spellEnd"/>
      <w:r w:rsidRPr="00D10926">
        <w:t xml:space="preserve"> Lawyers)</w:t>
      </w:r>
    </w:p>
    <w:p w14:paraId="6201FC6C" w14:textId="77777777" w:rsidR="00594E3E" w:rsidRPr="00D10926" w:rsidRDefault="00594E3E" w:rsidP="00E90E4F">
      <w:pPr>
        <w:pStyle w:val="OrdersBody"/>
      </w:pPr>
    </w:p>
    <w:p w14:paraId="013D9D52" w14:textId="77777777" w:rsidR="00594E3E" w:rsidRPr="00D10926" w:rsidRDefault="00594E3E" w:rsidP="00E90E4F">
      <w:pPr>
        <w:pStyle w:val="OrdersBody"/>
      </w:pPr>
      <w:r w:rsidRPr="00D10926">
        <w:t>Submitting appearance for the second respondent</w:t>
      </w:r>
    </w:p>
    <w:p w14:paraId="33C8FD59" w14:textId="77777777" w:rsidR="00594E3E" w:rsidRDefault="00594E3E" w:rsidP="00A01277">
      <w:pPr>
        <w:pStyle w:val="Body"/>
      </w:pPr>
    </w:p>
    <w:p w14:paraId="40AC1FC4" w14:textId="77777777" w:rsidR="00594E3E" w:rsidRDefault="00594E3E" w:rsidP="00EE5374">
      <w:pPr>
        <w:pStyle w:val="Body"/>
      </w:pPr>
    </w:p>
    <w:p w14:paraId="264B7EC7" w14:textId="77777777" w:rsidR="00594E3E" w:rsidRPr="00427F3A" w:rsidRDefault="00594E3E" w:rsidP="00EE5374">
      <w:pPr>
        <w:pStyle w:val="Body"/>
      </w:pPr>
    </w:p>
    <w:p w14:paraId="394B6EE9" w14:textId="77777777" w:rsidR="00594E3E" w:rsidRDefault="00594E3E" w:rsidP="00F9713B">
      <w:pPr>
        <w:pStyle w:val="Notice"/>
        <w:rPr>
          <w:lang w:val="en-AU"/>
        </w:rPr>
      </w:pPr>
    </w:p>
    <w:p w14:paraId="1DEAB996" w14:textId="77777777" w:rsidR="00594E3E" w:rsidRDefault="00594E3E" w:rsidP="00F9713B">
      <w:pPr>
        <w:pStyle w:val="Notice"/>
        <w:rPr>
          <w:lang w:val="en-AU"/>
        </w:rPr>
      </w:pPr>
    </w:p>
    <w:p w14:paraId="50DE7A45" w14:textId="77777777" w:rsidR="00594E3E" w:rsidRDefault="00594E3E" w:rsidP="00F9713B">
      <w:pPr>
        <w:pStyle w:val="Notice"/>
        <w:rPr>
          <w:lang w:val="en-AU"/>
        </w:rPr>
      </w:pPr>
    </w:p>
    <w:p w14:paraId="02058D8D" w14:textId="77777777" w:rsidR="00594E3E" w:rsidRDefault="00594E3E" w:rsidP="00F9713B">
      <w:pPr>
        <w:pStyle w:val="Notice"/>
        <w:rPr>
          <w:lang w:val="en-AU"/>
        </w:rPr>
      </w:pPr>
    </w:p>
    <w:p w14:paraId="2A13FD97" w14:textId="77777777" w:rsidR="00594E3E" w:rsidRDefault="00594E3E" w:rsidP="00F9713B">
      <w:pPr>
        <w:pStyle w:val="Notice"/>
        <w:rPr>
          <w:lang w:val="en-AU"/>
        </w:rPr>
      </w:pPr>
    </w:p>
    <w:p w14:paraId="5BF45981" w14:textId="77777777" w:rsidR="00594E3E" w:rsidRDefault="00594E3E" w:rsidP="00F9713B">
      <w:pPr>
        <w:pStyle w:val="Notice"/>
        <w:rPr>
          <w:lang w:val="en-AU"/>
        </w:rPr>
      </w:pPr>
    </w:p>
    <w:p w14:paraId="481A9DED" w14:textId="77777777" w:rsidR="00594E3E" w:rsidRDefault="00594E3E" w:rsidP="00F9713B">
      <w:pPr>
        <w:pStyle w:val="Notice"/>
        <w:rPr>
          <w:lang w:val="en-AU"/>
        </w:rPr>
      </w:pPr>
    </w:p>
    <w:p w14:paraId="402974CC" w14:textId="77777777" w:rsidR="00594E3E" w:rsidRDefault="00594E3E" w:rsidP="00F9713B">
      <w:pPr>
        <w:pStyle w:val="Notice"/>
        <w:rPr>
          <w:lang w:val="en-AU"/>
        </w:rPr>
      </w:pPr>
    </w:p>
    <w:p w14:paraId="11729EF0" w14:textId="77777777" w:rsidR="00594E3E" w:rsidRDefault="00594E3E" w:rsidP="00F9713B">
      <w:pPr>
        <w:pStyle w:val="Notice"/>
        <w:rPr>
          <w:lang w:val="en-AU"/>
        </w:rPr>
      </w:pPr>
    </w:p>
    <w:p w14:paraId="75481515" w14:textId="77777777" w:rsidR="00594E3E" w:rsidRDefault="00594E3E" w:rsidP="00F9713B">
      <w:pPr>
        <w:pStyle w:val="Notice"/>
        <w:rPr>
          <w:lang w:val="en-AU"/>
        </w:rPr>
      </w:pPr>
    </w:p>
    <w:p w14:paraId="695DB3CC" w14:textId="77777777" w:rsidR="00594E3E" w:rsidRDefault="00594E3E" w:rsidP="00F9713B">
      <w:pPr>
        <w:pStyle w:val="Notice"/>
        <w:rPr>
          <w:lang w:val="en-AU"/>
        </w:rPr>
      </w:pPr>
    </w:p>
    <w:p w14:paraId="4AC78BF9" w14:textId="77777777" w:rsidR="00594E3E" w:rsidRDefault="00594E3E" w:rsidP="00F9713B">
      <w:pPr>
        <w:pStyle w:val="Notice"/>
        <w:rPr>
          <w:lang w:val="en-AU"/>
        </w:rPr>
      </w:pPr>
    </w:p>
    <w:p w14:paraId="6451BAC1" w14:textId="77777777" w:rsidR="00594E3E" w:rsidRDefault="00594E3E" w:rsidP="00F9713B">
      <w:pPr>
        <w:pStyle w:val="Notice"/>
        <w:rPr>
          <w:lang w:val="en-AU"/>
        </w:rPr>
      </w:pPr>
    </w:p>
    <w:p w14:paraId="2E765C26" w14:textId="77777777" w:rsidR="00594E3E" w:rsidRDefault="00594E3E" w:rsidP="00F9713B">
      <w:pPr>
        <w:pStyle w:val="Notice"/>
        <w:rPr>
          <w:lang w:val="en-AU"/>
        </w:rPr>
      </w:pPr>
    </w:p>
    <w:p w14:paraId="0DB9F613" w14:textId="77777777" w:rsidR="00594E3E" w:rsidRDefault="00594E3E" w:rsidP="00F9713B">
      <w:pPr>
        <w:pStyle w:val="Notice"/>
        <w:rPr>
          <w:lang w:val="en-AU"/>
        </w:rPr>
      </w:pPr>
    </w:p>
    <w:p w14:paraId="3221E955" w14:textId="77777777" w:rsidR="00594E3E" w:rsidRDefault="00594E3E" w:rsidP="00F9713B">
      <w:pPr>
        <w:pStyle w:val="Notice"/>
        <w:rPr>
          <w:lang w:val="en-AU"/>
        </w:rPr>
      </w:pPr>
    </w:p>
    <w:p w14:paraId="5A011EB8" w14:textId="77777777" w:rsidR="00594E3E" w:rsidRDefault="00594E3E" w:rsidP="00F9713B">
      <w:pPr>
        <w:pStyle w:val="Notice"/>
        <w:rPr>
          <w:lang w:val="en-AU"/>
        </w:rPr>
      </w:pPr>
    </w:p>
    <w:p w14:paraId="78046590" w14:textId="77777777" w:rsidR="00594E3E" w:rsidRDefault="00594E3E" w:rsidP="00F9713B">
      <w:pPr>
        <w:pStyle w:val="Notice"/>
        <w:rPr>
          <w:lang w:val="en-AU"/>
        </w:rPr>
      </w:pPr>
    </w:p>
    <w:p w14:paraId="5BB934A8" w14:textId="77777777" w:rsidR="00594E3E" w:rsidRPr="00427F3A" w:rsidRDefault="00594E3E" w:rsidP="00F9713B">
      <w:pPr>
        <w:pStyle w:val="Notice"/>
        <w:rPr>
          <w:lang w:val="en-AU"/>
        </w:rPr>
      </w:pPr>
      <w:r w:rsidRPr="00427F3A">
        <w:rPr>
          <w:lang w:val="en-AU"/>
        </w:rPr>
        <w:t>Notice:  This copy of the Court's Reasons for Judgment is subject to formal revision prior to publication in the Commonwealth Law Reports.</w:t>
      </w:r>
    </w:p>
    <w:p w14:paraId="714340E5" w14:textId="1F3C3B38" w:rsidR="00594E3E" w:rsidRDefault="00594E3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09C5656" w14:textId="77777777" w:rsidR="00594E3E" w:rsidRDefault="00594E3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594E3E" w:rsidSect="00594E3E">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2612104D" w14:textId="77777777" w:rsidR="00594E3E" w:rsidRDefault="00594E3E" w:rsidP="001649CA">
      <w:pPr>
        <w:pStyle w:val="CatchwordsBold"/>
      </w:pPr>
      <w:r w:rsidRPr="00B9489E">
        <w:lastRenderedPageBreak/>
        <w:t>CATCHWORDS</w:t>
      </w:r>
    </w:p>
    <w:p w14:paraId="1E08146B" w14:textId="77777777" w:rsidR="00594E3E" w:rsidRPr="00B9489E" w:rsidRDefault="00594E3E" w:rsidP="001649CA">
      <w:pPr>
        <w:pStyle w:val="CatchwordsBold"/>
      </w:pPr>
    </w:p>
    <w:p w14:paraId="37041A6C" w14:textId="77777777" w:rsidR="00594E3E" w:rsidRDefault="00594E3E" w:rsidP="000F5F6B">
      <w:pPr>
        <w:pStyle w:val="CatchwordsBold"/>
        <w:tabs>
          <w:tab w:val="clear" w:pos="2880"/>
          <w:tab w:val="clear" w:pos="3600"/>
          <w:tab w:val="clear" w:pos="6480"/>
          <w:tab w:val="left" w:pos="6963"/>
        </w:tabs>
      </w:pPr>
      <w:r>
        <w:t>Nathanson v Minister for Home Affairs</w:t>
      </w:r>
    </w:p>
    <w:p w14:paraId="33767B00" w14:textId="77777777" w:rsidR="00594E3E" w:rsidRDefault="00594E3E" w:rsidP="001649CA">
      <w:pPr>
        <w:pStyle w:val="CatchwordsText"/>
      </w:pPr>
    </w:p>
    <w:p w14:paraId="7A9ECBE6" w14:textId="77777777" w:rsidR="00594E3E" w:rsidRDefault="00594E3E" w:rsidP="001649CA">
      <w:pPr>
        <w:pStyle w:val="CatchwordsText"/>
      </w:pPr>
      <w:r w:rsidRPr="00D7410F">
        <w:t xml:space="preserve">Administrative law – Judicial review – Jurisdictional error – </w:t>
      </w:r>
      <w:r>
        <w:t>R</w:t>
      </w:r>
      <w:r w:rsidRPr="00D7410F">
        <w:t>equirement that error must be material – When error will be material –</w:t>
      </w:r>
      <w:r>
        <w:t xml:space="preserve"> Where appellant's visa cancelled under s 501(3A) of </w:t>
      </w:r>
      <w:r>
        <w:rPr>
          <w:i/>
          <w:iCs/>
        </w:rPr>
        <w:t xml:space="preserve">Migration Act 1958 </w:t>
      </w:r>
      <w:r>
        <w:t>(</w:t>
      </w:r>
      <w:proofErr w:type="spellStart"/>
      <w:r>
        <w:t>Cth</w:t>
      </w:r>
      <w:proofErr w:type="spellEnd"/>
      <w:r>
        <w:t xml:space="preserve">) </w:t>
      </w:r>
      <w:r w:rsidRPr="00D7410F">
        <w:t>–</w:t>
      </w:r>
      <w:r>
        <w:t xml:space="preserve"> Where delegate of Minister for Home Affairs decided not to revoke cancellation </w:t>
      </w:r>
      <w:r w:rsidRPr="00D7410F">
        <w:t>–</w:t>
      </w:r>
      <w:r>
        <w:t xml:space="preserve"> Where appellant sought review of non-revocation decision by Administrative Appeals Tribunal ("AAT") </w:t>
      </w:r>
      <w:r w:rsidRPr="00D7410F">
        <w:t>–</w:t>
      </w:r>
      <w:r>
        <w:t xml:space="preserve"> Where AAT denied appellant procedural fairness by not giving opportunity to address relevance of incidents of domestic violence to primary consideration prescribed by</w:t>
      </w:r>
      <w:r>
        <w:rPr>
          <w:i/>
          <w:iCs/>
        </w:rPr>
        <w:t xml:space="preserve"> </w:t>
      </w:r>
      <w:r>
        <w:t xml:space="preserve">direction made under s 499 of </w:t>
      </w:r>
      <w:r>
        <w:rPr>
          <w:i/>
          <w:iCs/>
        </w:rPr>
        <w:t xml:space="preserve">Migration Act </w:t>
      </w:r>
      <w:r w:rsidRPr="00D7410F">
        <w:t>–</w:t>
      </w:r>
      <w:r>
        <w:t xml:space="preserve"> Whether denial of procedural fairness material </w:t>
      </w:r>
      <w:r w:rsidRPr="00D7410F">
        <w:t>–</w:t>
      </w:r>
      <w:r>
        <w:t xml:space="preserve"> Whether, in discharging onus, appellant required to establish nature of evidence or submissions that might have been presented had AAT hearing been procedurally fair.        </w:t>
      </w:r>
    </w:p>
    <w:p w14:paraId="39012AC5" w14:textId="77777777" w:rsidR="00594E3E" w:rsidRDefault="00594E3E" w:rsidP="001649CA">
      <w:pPr>
        <w:pStyle w:val="CatchwordsText"/>
      </w:pPr>
    </w:p>
    <w:p w14:paraId="35F4768F" w14:textId="77777777" w:rsidR="00594E3E" w:rsidRDefault="00594E3E" w:rsidP="001649CA">
      <w:pPr>
        <w:pStyle w:val="CatchwordsText"/>
      </w:pPr>
      <w:r w:rsidRPr="00B9489E">
        <w:t>Words and phrases –</w:t>
      </w:r>
      <w:r>
        <w:t xml:space="preserve"> "judicial review", "jurisdictional error", "material", "materiality", "natural justice", "onus of proof", "practical injustice", "procedural fairness", "realistic possibility of a different outcome", "reasonable conjecture". </w:t>
      </w:r>
    </w:p>
    <w:p w14:paraId="7E7526FC" w14:textId="77777777" w:rsidR="00594E3E" w:rsidRDefault="00594E3E" w:rsidP="001649CA">
      <w:pPr>
        <w:pStyle w:val="CatchwordsText"/>
        <w:rPr>
          <w:b/>
        </w:rPr>
      </w:pPr>
    </w:p>
    <w:p w14:paraId="64B89222" w14:textId="1CD98A53" w:rsidR="00594E3E" w:rsidRDefault="00594E3E" w:rsidP="00594E3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6BBA2A26" w14:textId="3774044A" w:rsidR="00594E3E" w:rsidRDefault="00594E3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8D56ADD" w14:textId="2E719447" w:rsidR="00594E3E" w:rsidRDefault="00594E3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56522229" w14:textId="77777777" w:rsidR="00594E3E" w:rsidRDefault="00594E3E" w:rsidP="002A3AAE">
      <w:pPr>
        <w:pStyle w:val="FixListStyle"/>
        <w:tabs>
          <w:tab w:val="clear" w:pos="720"/>
          <w:tab w:val="left" w:pos="0"/>
        </w:tabs>
        <w:spacing w:after="260" w:line="280" w:lineRule="exact"/>
        <w:ind w:right="0"/>
        <w:jc w:val="both"/>
        <w:rPr>
          <w:rFonts w:ascii="Times New Roman" w:hAnsi="Times New Roman"/>
        </w:rPr>
        <w:sectPr w:rsidR="00594E3E" w:rsidSect="00594E3E">
          <w:pgSz w:w="11907" w:h="16839" w:code="9"/>
          <w:pgMar w:top="1440" w:right="1701" w:bottom="1984" w:left="1701" w:header="720" w:footer="720" w:gutter="0"/>
          <w:pgNumType w:start="1"/>
          <w:cols w:space="720"/>
          <w:titlePg/>
          <w:docGrid w:linePitch="354"/>
        </w:sectPr>
      </w:pPr>
    </w:p>
    <w:p w14:paraId="000CC988" w14:textId="1172841F" w:rsidR="00A73989" w:rsidRPr="002A3AAE" w:rsidRDefault="002A3AAE" w:rsidP="002A3AAE">
      <w:pPr>
        <w:pStyle w:val="FixListStyle"/>
        <w:tabs>
          <w:tab w:val="clear" w:pos="720"/>
          <w:tab w:val="left" w:pos="0"/>
        </w:tabs>
        <w:spacing w:after="260" w:line="280" w:lineRule="exact"/>
        <w:ind w:right="0"/>
        <w:jc w:val="both"/>
        <w:rPr>
          <w:rFonts w:ascii="Times New Roman" w:hAnsi="Times New Roman"/>
        </w:rPr>
      </w:pPr>
      <w:r w:rsidRPr="002A3AAE">
        <w:rPr>
          <w:rFonts w:ascii="Times New Roman" w:hAnsi="Times New Roman"/>
        </w:rPr>
        <w:lastRenderedPageBreak/>
        <w:t xml:space="preserve">KIEFEL CJ, KEANE AND GLEESON JJ.   </w:t>
      </w:r>
      <w:r w:rsidR="00B76DC1" w:rsidRPr="002A3AAE">
        <w:rPr>
          <w:rFonts w:ascii="Times New Roman" w:hAnsi="Times New Roman"/>
        </w:rPr>
        <w:t>Th</w:t>
      </w:r>
      <w:r w:rsidR="003E71E5" w:rsidRPr="002A3AAE">
        <w:rPr>
          <w:rFonts w:ascii="Times New Roman" w:hAnsi="Times New Roman"/>
        </w:rPr>
        <w:t xml:space="preserve">e issue in this appeal is </w:t>
      </w:r>
      <w:r w:rsidR="00890B44" w:rsidRPr="002A3AAE">
        <w:rPr>
          <w:rFonts w:ascii="Times New Roman" w:hAnsi="Times New Roman"/>
        </w:rPr>
        <w:t xml:space="preserve">whether procedural </w:t>
      </w:r>
      <w:r w:rsidR="001D0546" w:rsidRPr="002A3AAE">
        <w:rPr>
          <w:rFonts w:ascii="Times New Roman" w:hAnsi="Times New Roman"/>
        </w:rPr>
        <w:t>un</w:t>
      </w:r>
      <w:r w:rsidR="00890B44" w:rsidRPr="002A3AAE">
        <w:rPr>
          <w:rFonts w:ascii="Times New Roman" w:hAnsi="Times New Roman"/>
        </w:rPr>
        <w:t xml:space="preserve">fairness by </w:t>
      </w:r>
      <w:r w:rsidR="008D7464" w:rsidRPr="002A3AAE">
        <w:rPr>
          <w:rFonts w:ascii="Times New Roman" w:hAnsi="Times New Roman"/>
        </w:rPr>
        <w:t>the Administrative Appeals</w:t>
      </w:r>
      <w:r w:rsidR="00890B44" w:rsidRPr="002A3AAE">
        <w:rPr>
          <w:rFonts w:ascii="Times New Roman" w:hAnsi="Times New Roman"/>
        </w:rPr>
        <w:t xml:space="preserve"> Tribunal</w:t>
      </w:r>
      <w:r w:rsidR="001D5A12" w:rsidRPr="002A3AAE">
        <w:rPr>
          <w:rFonts w:ascii="Times New Roman" w:hAnsi="Times New Roman"/>
        </w:rPr>
        <w:t xml:space="preserve"> ("the Tribunal")</w:t>
      </w:r>
      <w:r w:rsidR="00890B44" w:rsidRPr="002A3AAE">
        <w:rPr>
          <w:rFonts w:ascii="Times New Roman" w:hAnsi="Times New Roman"/>
        </w:rPr>
        <w:t xml:space="preserve"> </w:t>
      </w:r>
      <w:proofErr w:type="gramStart"/>
      <w:r w:rsidR="002668D4" w:rsidRPr="002A3AAE">
        <w:rPr>
          <w:rFonts w:ascii="Times New Roman" w:hAnsi="Times New Roman"/>
        </w:rPr>
        <w:t xml:space="preserve">in </w:t>
      </w:r>
      <w:r w:rsidR="00992CD0" w:rsidRPr="002A3AAE">
        <w:rPr>
          <w:rFonts w:ascii="Times New Roman" w:hAnsi="Times New Roman"/>
        </w:rPr>
        <w:t>the course of</w:t>
      </w:r>
      <w:proofErr w:type="gramEnd"/>
      <w:r w:rsidR="00992CD0" w:rsidRPr="002A3AAE">
        <w:rPr>
          <w:rFonts w:ascii="Times New Roman" w:hAnsi="Times New Roman"/>
        </w:rPr>
        <w:t xml:space="preserve"> </w:t>
      </w:r>
      <w:r w:rsidR="00BF6020" w:rsidRPr="002A3AAE">
        <w:rPr>
          <w:rFonts w:ascii="Times New Roman" w:hAnsi="Times New Roman"/>
        </w:rPr>
        <w:t xml:space="preserve">hearing </w:t>
      </w:r>
      <w:r w:rsidR="00C42B04" w:rsidRPr="002A3AAE">
        <w:rPr>
          <w:rFonts w:ascii="Times New Roman" w:hAnsi="Times New Roman"/>
        </w:rPr>
        <w:t xml:space="preserve">the appellant's </w:t>
      </w:r>
      <w:r w:rsidR="00E33D8F" w:rsidRPr="002A3AAE">
        <w:rPr>
          <w:rFonts w:ascii="Times New Roman" w:hAnsi="Times New Roman"/>
        </w:rPr>
        <w:t xml:space="preserve">application for review of a decision to </w:t>
      </w:r>
      <w:r w:rsidR="00672914" w:rsidRPr="002A3AAE">
        <w:rPr>
          <w:rFonts w:ascii="Times New Roman" w:hAnsi="Times New Roman"/>
        </w:rPr>
        <w:t xml:space="preserve">refuse to revoke the mandatory cancellation of his visa </w:t>
      </w:r>
      <w:r w:rsidR="0055657F" w:rsidRPr="002A3AAE">
        <w:rPr>
          <w:rFonts w:ascii="Times New Roman" w:hAnsi="Times New Roman"/>
        </w:rPr>
        <w:t>involved jurisdictional error</w:t>
      </w:r>
      <w:r w:rsidR="0005114C" w:rsidRPr="002A3AAE">
        <w:rPr>
          <w:rFonts w:ascii="Times New Roman" w:hAnsi="Times New Roman"/>
        </w:rPr>
        <w:t xml:space="preserve">. </w:t>
      </w:r>
      <w:r w:rsidR="00B62DF9" w:rsidRPr="002A3AAE">
        <w:rPr>
          <w:rFonts w:ascii="Times New Roman" w:hAnsi="Times New Roman"/>
        </w:rPr>
        <w:t xml:space="preserve">Following </w:t>
      </w:r>
      <w:r w:rsidR="0083798F" w:rsidRPr="002A3AAE">
        <w:rPr>
          <w:rFonts w:ascii="Times New Roman" w:hAnsi="Times New Roman"/>
        </w:rPr>
        <w:t xml:space="preserve">a </w:t>
      </w:r>
      <w:r w:rsidR="005C2805" w:rsidRPr="002A3AAE">
        <w:rPr>
          <w:rFonts w:ascii="Times New Roman" w:hAnsi="Times New Roman"/>
        </w:rPr>
        <w:t>hearing</w:t>
      </w:r>
      <w:r w:rsidR="00440A11" w:rsidRPr="002A3AAE">
        <w:rPr>
          <w:rFonts w:ascii="Times New Roman" w:hAnsi="Times New Roman"/>
        </w:rPr>
        <w:t xml:space="preserve"> </w:t>
      </w:r>
      <w:r w:rsidR="004C0A07" w:rsidRPr="002A3AAE">
        <w:rPr>
          <w:rFonts w:ascii="Times New Roman" w:hAnsi="Times New Roman"/>
        </w:rPr>
        <w:t>conducted by the Tribunal</w:t>
      </w:r>
      <w:r w:rsidR="005C2805" w:rsidRPr="002A3AAE">
        <w:rPr>
          <w:rFonts w:ascii="Times New Roman" w:hAnsi="Times New Roman"/>
        </w:rPr>
        <w:t xml:space="preserve">, </w:t>
      </w:r>
      <w:r w:rsidR="00121819" w:rsidRPr="002A3AAE">
        <w:rPr>
          <w:rFonts w:ascii="Times New Roman" w:hAnsi="Times New Roman"/>
        </w:rPr>
        <w:t xml:space="preserve">the </w:t>
      </w:r>
      <w:r w:rsidR="00321044" w:rsidRPr="002A3AAE">
        <w:rPr>
          <w:rFonts w:ascii="Times New Roman" w:hAnsi="Times New Roman"/>
        </w:rPr>
        <w:t xml:space="preserve">Tribunal affirmed the decision to refuse to revoke the visa cancellation. </w:t>
      </w:r>
      <w:r w:rsidR="000B4FAD" w:rsidRPr="002A3AAE">
        <w:rPr>
          <w:rFonts w:ascii="Times New Roman" w:hAnsi="Times New Roman"/>
        </w:rPr>
        <w:t xml:space="preserve">As the Courts </w:t>
      </w:r>
      <w:r w:rsidR="00B3026A" w:rsidRPr="002A3AAE">
        <w:rPr>
          <w:rFonts w:ascii="Times New Roman" w:hAnsi="Times New Roman"/>
        </w:rPr>
        <w:t xml:space="preserve">below recognised, </w:t>
      </w:r>
      <w:r w:rsidR="008F7555" w:rsidRPr="002A3AAE">
        <w:rPr>
          <w:rFonts w:ascii="Times New Roman" w:hAnsi="Times New Roman"/>
        </w:rPr>
        <w:t xml:space="preserve">the Tribunal's error </w:t>
      </w:r>
      <w:r w:rsidR="003B757A" w:rsidRPr="002A3AAE">
        <w:rPr>
          <w:rFonts w:ascii="Times New Roman" w:hAnsi="Times New Roman"/>
        </w:rPr>
        <w:t xml:space="preserve">in </w:t>
      </w:r>
      <w:r w:rsidR="00B45275" w:rsidRPr="002A3AAE">
        <w:rPr>
          <w:rFonts w:ascii="Times New Roman" w:hAnsi="Times New Roman"/>
        </w:rPr>
        <w:t>failing to afford the appellant</w:t>
      </w:r>
      <w:r w:rsidR="00E47B12" w:rsidRPr="002A3AAE">
        <w:rPr>
          <w:rFonts w:ascii="Times New Roman" w:hAnsi="Times New Roman"/>
        </w:rPr>
        <w:t xml:space="preserve"> procedural fairness </w:t>
      </w:r>
      <w:r w:rsidR="00BC0595" w:rsidRPr="002A3AAE">
        <w:rPr>
          <w:rFonts w:ascii="Times New Roman" w:hAnsi="Times New Roman"/>
        </w:rPr>
        <w:t xml:space="preserve">will have </w:t>
      </w:r>
      <w:r w:rsidR="00E47B12" w:rsidRPr="002A3AAE">
        <w:rPr>
          <w:rFonts w:ascii="Times New Roman" w:hAnsi="Times New Roman"/>
        </w:rPr>
        <w:t>involve</w:t>
      </w:r>
      <w:r w:rsidR="00B45275" w:rsidRPr="002A3AAE">
        <w:rPr>
          <w:rFonts w:ascii="Times New Roman" w:hAnsi="Times New Roman"/>
        </w:rPr>
        <w:t>d</w:t>
      </w:r>
      <w:r w:rsidR="00E47B12" w:rsidRPr="002A3AAE">
        <w:rPr>
          <w:rFonts w:ascii="Times New Roman" w:hAnsi="Times New Roman"/>
        </w:rPr>
        <w:t xml:space="preserve"> jurisdictional error </w:t>
      </w:r>
      <w:r w:rsidR="00B45275" w:rsidRPr="002A3AAE">
        <w:rPr>
          <w:rFonts w:ascii="Times New Roman" w:hAnsi="Times New Roman"/>
        </w:rPr>
        <w:t xml:space="preserve">only if </w:t>
      </w:r>
      <w:r w:rsidR="003F7B1E" w:rsidRPr="002A3AAE">
        <w:rPr>
          <w:rFonts w:ascii="Times New Roman" w:hAnsi="Times New Roman"/>
        </w:rPr>
        <w:t>that failure</w:t>
      </w:r>
      <w:r w:rsidR="00B45275" w:rsidRPr="002A3AAE">
        <w:rPr>
          <w:rFonts w:ascii="Times New Roman" w:hAnsi="Times New Roman"/>
        </w:rPr>
        <w:t xml:space="preserve"> was material </w:t>
      </w:r>
      <w:r w:rsidR="00B95E7A" w:rsidRPr="002A3AAE">
        <w:rPr>
          <w:rFonts w:ascii="Times New Roman" w:hAnsi="Times New Roman"/>
        </w:rPr>
        <w:t xml:space="preserve">to the Tribunal's decision. </w:t>
      </w:r>
      <w:r w:rsidR="000B606C" w:rsidRPr="002A3AAE">
        <w:rPr>
          <w:rFonts w:ascii="Times New Roman" w:hAnsi="Times New Roman"/>
        </w:rPr>
        <w:t xml:space="preserve">Materiality is established if </w:t>
      </w:r>
      <w:r w:rsidR="00D30F9C" w:rsidRPr="002A3AAE">
        <w:rPr>
          <w:rFonts w:ascii="Times New Roman" w:hAnsi="Times New Roman"/>
        </w:rPr>
        <w:t>the error</w:t>
      </w:r>
      <w:r w:rsidR="0091273D" w:rsidRPr="002A3AAE">
        <w:rPr>
          <w:rFonts w:ascii="Times New Roman" w:hAnsi="Times New Roman"/>
        </w:rPr>
        <w:t xml:space="preserve"> deprived </w:t>
      </w:r>
      <w:r w:rsidR="00271C58" w:rsidRPr="002A3AAE">
        <w:rPr>
          <w:rFonts w:ascii="Times New Roman" w:hAnsi="Times New Roman"/>
        </w:rPr>
        <w:t xml:space="preserve">the appellant </w:t>
      </w:r>
      <w:r w:rsidR="0091273D" w:rsidRPr="002A3AAE">
        <w:rPr>
          <w:rFonts w:ascii="Times New Roman" w:hAnsi="Times New Roman"/>
        </w:rPr>
        <w:t>of a realistic possibility of a different outcome</w:t>
      </w:r>
      <w:r w:rsidR="006C7785" w:rsidRPr="002A3AAE">
        <w:rPr>
          <w:rStyle w:val="FootnoteReference"/>
          <w:rFonts w:ascii="Times New Roman" w:hAnsi="Times New Roman"/>
          <w:sz w:val="24"/>
        </w:rPr>
        <w:footnoteReference w:id="2"/>
      </w:r>
      <w:r w:rsidR="00104282" w:rsidRPr="002A3AAE">
        <w:rPr>
          <w:rFonts w:ascii="Times New Roman" w:hAnsi="Times New Roman"/>
        </w:rPr>
        <w:t>. Th</w:t>
      </w:r>
      <w:r w:rsidR="00271C58" w:rsidRPr="002A3AAE">
        <w:rPr>
          <w:rFonts w:ascii="Times New Roman" w:hAnsi="Times New Roman"/>
        </w:rPr>
        <w:t>e appellant</w:t>
      </w:r>
      <w:r w:rsidR="00CA0C79" w:rsidRPr="002A3AAE">
        <w:rPr>
          <w:rFonts w:ascii="Times New Roman" w:hAnsi="Times New Roman"/>
        </w:rPr>
        <w:t xml:space="preserve"> </w:t>
      </w:r>
      <w:r w:rsidR="0003661C" w:rsidRPr="002A3AAE">
        <w:rPr>
          <w:rFonts w:ascii="Times New Roman" w:hAnsi="Times New Roman"/>
        </w:rPr>
        <w:t xml:space="preserve">bore </w:t>
      </w:r>
      <w:r w:rsidR="00104282" w:rsidRPr="002A3AAE">
        <w:rPr>
          <w:rFonts w:ascii="Times New Roman" w:hAnsi="Times New Roman"/>
        </w:rPr>
        <w:t xml:space="preserve">the onus of demonstrating that </w:t>
      </w:r>
      <w:r w:rsidR="00BE34C4" w:rsidRPr="002A3AAE">
        <w:rPr>
          <w:rFonts w:ascii="Times New Roman" w:hAnsi="Times New Roman"/>
        </w:rPr>
        <w:t>the denial of procedural fairness was material in this sense</w:t>
      </w:r>
      <w:r w:rsidR="000D13B6" w:rsidRPr="002A3AAE">
        <w:rPr>
          <w:rStyle w:val="FootnoteReference"/>
          <w:rFonts w:ascii="Times New Roman" w:hAnsi="Times New Roman"/>
          <w:sz w:val="24"/>
        </w:rPr>
        <w:footnoteReference w:id="3"/>
      </w:r>
      <w:r w:rsidR="00A0172B" w:rsidRPr="002A3AAE">
        <w:rPr>
          <w:rFonts w:ascii="Times New Roman" w:hAnsi="Times New Roman"/>
        </w:rPr>
        <w:t>.</w:t>
      </w:r>
      <w:r w:rsidR="00985449" w:rsidRPr="002A3AAE">
        <w:rPr>
          <w:rFonts w:ascii="Times New Roman" w:hAnsi="Times New Roman"/>
        </w:rPr>
        <w:t xml:space="preserve"> </w:t>
      </w:r>
    </w:p>
    <w:p w14:paraId="4CD05644" w14:textId="37ED44F1" w:rsidR="00DB0C18" w:rsidRPr="002A3AAE" w:rsidRDefault="00F1312F"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2F7F57" w:rsidRPr="002A3AAE">
        <w:rPr>
          <w:rFonts w:ascii="Times New Roman" w:hAnsi="Times New Roman"/>
        </w:rPr>
        <w:t>Applying th</w:t>
      </w:r>
      <w:r w:rsidR="00410DF3" w:rsidRPr="002A3AAE">
        <w:rPr>
          <w:rFonts w:ascii="Times New Roman" w:hAnsi="Times New Roman"/>
        </w:rPr>
        <w:t>e</w:t>
      </w:r>
      <w:r w:rsidR="002F7F57" w:rsidRPr="002A3AAE">
        <w:rPr>
          <w:rFonts w:ascii="Times New Roman" w:hAnsi="Times New Roman"/>
        </w:rPr>
        <w:t xml:space="preserve">se principles, </w:t>
      </w:r>
      <w:r w:rsidRPr="002A3AAE">
        <w:rPr>
          <w:rFonts w:ascii="Times New Roman" w:hAnsi="Times New Roman"/>
        </w:rPr>
        <w:t xml:space="preserve">the </w:t>
      </w:r>
      <w:r w:rsidR="00345C1D" w:rsidRPr="002A3AAE">
        <w:rPr>
          <w:rFonts w:ascii="Times New Roman" w:hAnsi="Times New Roman"/>
        </w:rPr>
        <w:t>appellant discharge</w:t>
      </w:r>
      <w:r w:rsidR="00CD19F1" w:rsidRPr="002A3AAE">
        <w:rPr>
          <w:rFonts w:ascii="Times New Roman" w:hAnsi="Times New Roman"/>
        </w:rPr>
        <w:t>d</w:t>
      </w:r>
      <w:r w:rsidR="00345C1D" w:rsidRPr="002A3AAE">
        <w:rPr>
          <w:rFonts w:ascii="Times New Roman" w:hAnsi="Times New Roman"/>
        </w:rPr>
        <w:t xml:space="preserve"> his onus of demonstrating that the</w:t>
      </w:r>
      <w:r w:rsidR="00061EE9" w:rsidRPr="002A3AAE">
        <w:rPr>
          <w:rFonts w:ascii="Times New Roman" w:hAnsi="Times New Roman"/>
        </w:rPr>
        <w:t xml:space="preserve"> </w:t>
      </w:r>
      <w:r w:rsidRPr="002A3AAE">
        <w:rPr>
          <w:rFonts w:ascii="Times New Roman" w:hAnsi="Times New Roman"/>
        </w:rPr>
        <w:t xml:space="preserve">Tribunal's denial of procedural fairness deprived </w:t>
      </w:r>
      <w:r w:rsidR="00061EE9" w:rsidRPr="002A3AAE">
        <w:rPr>
          <w:rFonts w:ascii="Times New Roman" w:hAnsi="Times New Roman"/>
        </w:rPr>
        <w:t>him</w:t>
      </w:r>
      <w:r w:rsidRPr="002A3AAE">
        <w:rPr>
          <w:rFonts w:ascii="Times New Roman" w:hAnsi="Times New Roman"/>
        </w:rPr>
        <w:t xml:space="preserve"> of a realistic possibility of a different outcome</w:t>
      </w:r>
      <w:r w:rsidR="00B032F3" w:rsidRPr="002A3AAE">
        <w:rPr>
          <w:rFonts w:ascii="Times New Roman" w:hAnsi="Times New Roman"/>
        </w:rPr>
        <w:t xml:space="preserve">. </w:t>
      </w:r>
      <w:r w:rsidR="00E053B6" w:rsidRPr="002A3AAE">
        <w:rPr>
          <w:rFonts w:ascii="Times New Roman" w:hAnsi="Times New Roman"/>
        </w:rPr>
        <w:t xml:space="preserve">That realistic possibility was demonstrable from the record of the Tribunal's decision. </w:t>
      </w:r>
      <w:r w:rsidR="00CD19F1" w:rsidRPr="002A3AAE">
        <w:rPr>
          <w:rFonts w:ascii="Times New Roman" w:hAnsi="Times New Roman"/>
        </w:rPr>
        <w:t xml:space="preserve">Contrary to the conclusion of the majority of the Full Court of the Federal Court of Australia, </w:t>
      </w:r>
      <w:r w:rsidR="00B05516" w:rsidRPr="002A3AAE">
        <w:rPr>
          <w:rFonts w:ascii="Times New Roman" w:hAnsi="Times New Roman"/>
        </w:rPr>
        <w:t>the appellant was not required to articulate</w:t>
      </w:r>
      <w:r w:rsidR="00F742C4" w:rsidRPr="002A3AAE">
        <w:rPr>
          <w:rFonts w:ascii="Times New Roman" w:hAnsi="Times New Roman"/>
        </w:rPr>
        <w:t xml:space="preserve"> </w:t>
      </w:r>
      <w:r w:rsidR="00B05516" w:rsidRPr="002A3AAE">
        <w:rPr>
          <w:rFonts w:ascii="Times New Roman" w:hAnsi="Times New Roman"/>
        </w:rPr>
        <w:t>a specific course of action which could realistically have changed the result</w:t>
      </w:r>
      <w:r w:rsidR="00F939EE" w:rsidRPr="002A3AAE">
        <w:rPr>
          <w:rStyle w:val="FootnoteReference"/>
          <w:rFonts w:ascii="Times New Roman" w:hAnsi="Times New Roman"/>
          <w:sz w:val="24"/>
        </w:rPr>
        <w:footnoteReference w:id="4"/>
      </w:r>
      <w:r w:rsidR="00B05516" w:rsidRPr="002A3AAE">
        <w:rPr>
          <w:rFonts w:ascii="Times New Roman" w:hAnsi="Times New Roman"/>
        </w:rPr>
        <w:t xml:space="preserve">. </w:t>
      </w:r>
      <w:r w:rsidR="00DB0C18" w:rsidRPr="002A3AAE">
        <w:rPr>
          <w:rFonts w:ascii="Times New Roman" w:hAnsi="Times New Roman"/>
        </w:rPr>
        <w:t xml:space="preserve">It follows that the appeal must be </w:t>
      </w:r>
      <w:proofErr w:type="gramStart"/>
      <w:r w:rsidR="00DB0C18" w:rsidRPr="002A3AAE">
        <w:rPr>
          <w:rFonts w:ascii="Times New Roman" w:hAnsi="Times New Roman"/>
        </w:rPr>
        <w:t>allowed</w:t>
      </w:r>
      <w:proofErr w:type="gramEnd"/>
      <w:r w:rsidR="0074710F" w:rsidRPr="002A3AAE">
        <w:rPr>
          <w:rFonts w:ascii="Times New Roman" w:hAnsi="Times New Roman"/>
        </w:rPr>
        <w:t xml:space="preserve"> and the matter remitted to the Tribunal for determination according to law</w:t>
      </w:r>
      <w:r w:rsidR="00DB0C18" w:rsidRPr="002A3AAE">
        <w:rPr>
          <w:rFonts w:ascii="Times New Roman" w:hAnsi="Times New Roman"/>
        </w:rPr>
        <w:t>.</w:t>
      </w:r>
    </w:p>
    <w:p w14:paraId="7006E4D6" w14:textId="040368CA" w:rsidR="009E2DB2" w:rsidRPr="002A3AAE" w:rsidRDefault="003429E2" w:rsidP="002A3AAE">
      <w:pPr>
        <w:pStyle w:val="HeadingL1"/>
        <w:spacing w:after="260" w:line="280" w:lineRule="exact"/>
        <w:ind w:right="0"/>
        <w:jc w:val="both"/>
        <w:rPr>
          <w:rFonts w:ascii="Times New Roman" w:hAnsi="Times New Roman"/>
        </w:rPr>
      </w:pPr>
      <w:r w:rsidRPr="002A3AAE">
        <w:rPr>
          <w:rFonts w:ascii="Times New Roman" w:hAnsi="Times New Roman"/>
        </w:rPr>
        <w:t>Relevant f</w:t>
      </w:r>
      <w:r w:rsidR="009E2DB2" w:rsidRPr="002A3AAE">
        <w:rPr>
          <w:rFonts w:ascii="Times New Roman" w:hAnsi="Times New Roman"/>
        </w:rPr>
        <w:t xml:space="preserve">acts and </w:t>
      </w:r>
      <w:r w:rsidRPr="002A3AAE">
        <w:rPr>
          <w:rFonts w:ascii="Times New Roman" w:hAnsi="Times New Roman"/>
        </w:rPr>
        <w:t>Tribunal decision</w:t>
      </w:r>
    </w:p>
    <w:p w14:paraId="62296BB4" w14:textId="3F6881AC" w:rsidR="009E2DB2" w:rsidRPr="002A3AAE" w:rsidRDefault="003E2F66" w:rsidP="002A3AAE">
      <w:pPr>
        <w:pStyle w:val="FixListStyle"/>
        <w:spacing w:after="260" w:line="280" w:lineRule="exact"/>
        <w:ind w:right="0"/>
        <w:jc w:val="both"/>
        <w:rPr>
          <w:rFonts w:ascii="Times New Roman" w:hAnsi="Times New Roman"/>
        </w:rPr>
      </w:pPr>
      <w:r w:rsidRPr="002A3AAE">
        <w:rPr>
          <w:rFonts w:ascii="Times New Roman" w:hAnsi="Times New Roman"/>
        </w:rPr>
        <w:tab/>
        <w:t>The appellant</w:t>
      </w:r>
      <w:r w:rsidR="00B5122F" w:rsidRPr="002A3AAE">
        <w:rPr>
          <w:rFonts w:ascii="Times New Roman" w:hAnsi="Times New Roman"/>
        </w:rPr>
        <w:t>,</w:t>
      </w:r>
      <w:r w:rsidR="003B244F" w:rsidRPr="002A3AAE">
        <w:rPr>
          <w:rFonts w:ascii="Times New Roman" w:hAnsi="Times New Roman"/>
        </w:rPr>
        <w:t xml:space="preserve"> a citizen of New Zealand</w:t>
      </w:r>
      <w:r w:rsidR="00D462DC" w:rsidRPr="002A3AAE">
        <w:rPr>
          <w:rFonts w:ascii="Times New Roman" w:hAnsi="Times New Roman"/>
        </w:rPr>
        <w:t xml:space="preserve"> born in Zimbabwe</w:t>
      </w:r>
      <w:r w:rsidR="00B5122F" w:rsidRPr="002A3AAE">
        <w:rPr>
          <w:rFonts w:ascii="Times New Roman" w:hAnsi="Times New Roman"/>
        </w:rPr>
        <w:t>, arrived in Australia</w:t>
      </w:r>
      <w:r w:rsidR="00145BD8" w:rsidRPr="002A3AAE">
        <w:rPr>
          <w:rFonts w:ascii="Times New Roman" w:hAnsi="Times New Roman"/>
        </w:rPr>
        <w:t xml:space="preserve"> i</w:t>
      </w:r>
      <w:r w:rsidR="00D35771" w:rsidRPr="002A3AAE">
        <w:rPr>
          <w:rFonts w:ascii="Times New Roman" w:hAnsi="Times New Roman"/>
        </w:rPr>
        <w:t xml:space="preserve">n 2010 </w:t>
      </w:r>
      <w:r w:rsidR="00145BD8" w:rsidRPr="002A3AAE">
        <w:rPr>
          <w:rFonts w:ascii="Times New Roman" w:hAnsi="Times New Roman"/>
        </w:rPr>
        <w:t>when he was 26 years old</w:t>
      </w:r>
      <w:r w:rsidR="00AF33A5" w:rsidRPr="002A3AAE">
        <w:rPr>
          <w:rFonts w:ascii="Times New Roman" w:hAnsi="Times New Roman"/>
        </w:rPr>
        <w:t xml:space="preserve">. </w:t>
      </w:r>
      <w:r w:rsidR="008D09A5" w:rsidRPr="002A3AAE">
        <w:rPr>
          <w:rFonts w:ascii="Times New Roman" w:hAnsi="Times New Roman"/>
        </w:rPr>
        <w:t>In</w:t>
      </w:r>
      <w:r w:rsidR="00AF33A5" w:rsidRPr="002A3AAE">
        <w:rPr>
          <w:rFonts w:ascii="Times New Roman" w:hAnsi="Times New Roman"/>
        </w:rPr>
        <w:t xml:space="preserve"> 2013, the appellant was granted a </w:t>
      </w:r>
      <w:r w:rsidR="00DE1DD0" w:rsidRPr="002A3AAE">
        <w:rPr>
          <w:rFonts w:ascii="Times New Roman" w:hAnsi="Times New Roman"/>
        </w:rPr>
        <w:t xml:space="preserve">Class TY Subclass 444 Special Category visa. </w:t>
      </w:r>
      <w:r w:rsidR="00BB266F" w:rsidRPr="002A3AAE">
        <w:rPr>
          <w:rFonts w:ascii="Times New Roman" w:hAnsi="Times New Roman"/>
        </w:rPr>
        <w:t xml:space="preserve">In 2018, </w:t>
      </w:r>
      <w:r w:rsidR="00313DE2" w:rsidRPr="002A3AAE">
        <w:rPr>
          <w:rFonts w:ascii="Times New Roman" w:hAnsi="Times New Roman"/>
        </w:rPr>
        <w:t xml:space="preserve">a delegate of </w:t>
      </w:r>
      <w:r w:rsidR="00BB266F" w:rsidRPr="002A3AAE">
        <w:rPr>
          <w:rFonts w:ascii="Times New Roman" w:hAnsi="Times New Roman"/>
        </w:rPr>
        <w:t>th</w:t>
      </w:r>
      <w:r w:rsidR="00F3163F" w:rsidRPr="002A3AAE">
        <w:rPr>
          <w:rFonts w:ascii="Times New Roman" w:hAnsi="Times New Roman"/>
        </w:rPr>
        <w:t xml:space="preserve">e </w:t>
      </w:r>
      <w:proofErr w:type="gramStart"/>
      <w:r w:rsidR="003658B8" w:rsidRPr="002A3AAE">
        <w:rPr>
          <w:rFonts w:ascii="Times New Roman" w:hAnsi="Times New Roman"/>
        </w:rPr>
        <w:t>respondent Minister</w:t>
      </w:r>
      <w:proofErr w:type="gramEnd"/>
      <w:r w:rsidR="00D95433" w:rsidRPr="002A3AAE">
        <w:rPr>
          <w:rFonts w:ascii="Times New Roman" w:hAnsi="Times New Roman"/>
        </w:rPr>
        <w:t xml:space="preserve"> </w:t>
      </w:r>
      <w:r w:rsidR="003658B8" w:rsidRPr="002A3AAE">
        <w:rPr>
          <w:rFonts w:ascii="Times New Roman" w:hAnsi="Times New Roman"/>
        </w:rPr>
        <w:t>cancelled that v</w:t>
      </w:r>
      <w:r w:rsidR="00BB266F" w:rsidRPr="002A3AAE">
        <w:rPr>
          <w:rFonts w:ascii="Times New Roman" w:hAnsi="Times New Roman"/>
        </w:rPr>
        <w:t>isa</w:t>
      </w:r>
      <w:r w:rsidR="006D6854" w:rsidRPr="002A3AAE">
        <w:rPr>
          <w:rFonts w:ascii="Times New Roman" w:hAnsi="Times New Roman"/>
        </w:rPr>
        <w:t xml:space="preserve"> pursuant to s</w:t>
      </w:r>
      <w:r w:rsidR="007A0FD5" w:rsidRPr="002A3AAE">
        <w:rPr>
          <w:rFonts w:ascii="Times New Roman" w:hAnsi="Times New Roman"/>
        </w:rPr>
        <w:t> </w:t>
      </w:r>
      <w:r w:rsidR="006D6854" w:rsidRPr="002A3AAE">
        <w:rPr>
          <w:rFonts w:ascii="Times New Roman" w:hAnsi="Times New Roman"/>
        </w:rPr>
        <w:t>501(3A) of the</w:t>
      </w:r>
      <w:r w:rsidR="00E6193D" w:rsidRPr="002A3AAE">
        <w:rPr>
          <w:rFonts w:ascii="Times New Roman" w:hAnsi="Times New Roman"/>
        </w:rPr>
        <w:t xml:space="preserve"> </w:t>
      </w:r>
      <w:r w:rsidR="00E6193D" w:rsidRPr="002A3AAE">
        <w:rPr>
          <w:rFonts w:ascii="Times New Roman" w:hAnsi="Times New Roman"/>
          <w:i/>
        </w:rPr>
        <w:t xml:space="preserve">Migration Act 1958 </w:t>
      </w:r>
      <w:r w:rsidR="00E6193D" w:rsidRPr="002A3AAE">
        <w:rPr>
          <w:rFonts w:ascii="Times New Roman" w:hAnsi="Times New Roman"/>
        </w:rPr>
        <w:t>(</w:t>
      </w:r>
      <w:proofErr w:type="spellStart"/>
      <w:r w:rsidR="00E6193D" w:rsidRPr="002A3AAE">
        <w:rPr>
          <w:rFonts w:ascii="Times New Roman" w:hAnsi="Times New Roman"/>
        </w:rPr>
        <w:t>Cth</w:t>
      </w:r>
      <w:proofErr w:type="spellEnd"/>
      <w:r w:rsidR="00E6193D" w:rsidRPr="002A3AAE">
        <w:rPr>
          <w:rFonts w:ascii="Times New Roman" w:hAnsi="Times New Roman"/>
        </w:rPr>
        <w:t>)</w:t>
      </w:r>
      <w:r w:rsidR="00145BD8" w:rsidRPr="002A3AAE">
        <w:rPr>
          <w:rFonts w:ascii="Times New Roman" w:hAnsi="Times New Roman"/>
        </w:rPr>
        <w:t>. Section</w:t>
      </w:r>
      <w:r w:rsidR="0003391F" w:rsidRPr="002A3AAE">
        <w:rPr>
          <w:rFonts w:ascii="Times New Roman" w:hAnsi="Times New Roman"/>
        </w:rPr>
        <w:t> </w:t>
      </w:r>
      <w:r w:rsidR="00145BD8" w:rsidRPr="002A3AAE">
        <w:rPr>
          <w:rFonts w:ascii="Times New Roman" w:hAnsi="Times New Roman"/>
        </w:rPr>
        <w:t>501(3A) required the Minister to cancel the visa</w:t>
      </w:r>
      <w:r w:rsidR="00CC6A84" w:rsidRPr="002A3AAE">
        <w:rPr>
          <w:rFonts w:ascii="Times New Roman" w:hAnsi="Times New Roman"/>
        </w:rPr>
        <w:t xml:space="preserve"> </w:t>
      </w:r>
      <w:r w:rsidR="00CC3BED" w:rsidRPr="002A3AAE">
        <w:rPr>
          <w:rFonts w:ascii="Times New Roman" w:hAnsi="Times New Roman"/>
        </w:rPr>
        <w:t xml:space="preserve">because </w:t>
      </w:r>
      <w:r w:rsidR="00284F5D" w:rsidRPr="002A3AAE">
        <w:rPr>
          <w:rFonts w:ascii="Times New Roman" w:hAnsi="Times New Roman"/>
        </w:rPr>
        <w:t>the Minister was satisfied that the appellant did not pass the "character test"</w:t>
      </w:r>
      <w:r w:rsidR="0022285A" w:rsidRPr="002A3AAE">
        <w:rPr>
          <w:rFonts w:ascii="Times New Roman" w:hAnsi="Times New Roman"/>
        </w:rPr>
        <w:t xml:space="preserve"> </w:t>
      </w:r>
      <w:r w:rsidR="00D47B80" w:rsidRPr="002A3AAE">
        <w:rPr>
          <w:rFonts w:ascii="Times New Roman" w:hAnsi="Times New Roman"/>
        </w:rPr>
        <w:t>in s</w:t>
      </w:r>
      <w:r w:rsidR="0003391F" w:rsidRPr="002A3AAE">
        <w:rPr>
          <w:rFonts w:ascii="Times New Roman" w:hAnsi="Times New Roman"/>
        </w:rPr>
        <w:t> </w:t>
      </w:r>
      <w:r w:rsidR="00D47B80" w:rsidRPr="002A3AAE">
        <w:rPr>
          <w:rFonts w:ascii="Times New Roman" w:hAnsi="Times New Roman"/>
        </w:rPr>
        <w:t xml:space="preserve">501(6) of the Act </w:t>
      </w:r>
      <w:r w:rsidR="0022285A" w:rsidRPr="002A3AAE">
        <w:rPr>
          <w:rFonts w:ascii="Times New Roman" w:hAnsi="Times New Roman"/>
        </w:rPr>
        <w:t>and because the appellant was then serving a sentence of imprisonment</w:t>
      </w:r>
      <w:r w:rsidR="0078417F" w:rsidRPr="002A3AAE">
        <w:rPr>
          <w:rFonts w:ascii="Times New Roman" w:hAnsi="Times New Roman"/>
        </w:rPr>
        <w:t xml:space="preserve"> on a full</w:t>
      </w:r>
      <w:r w:rsidR="00727C07" w:rsidRPr="002A3AAE">
        <w:rPr>
          <w:rFonts w:ascii="Times New Roman" w:hAnsi="Times New Roman"/>
        </w:rPr>
        <w:t>-</w:t>
      </w:r>
      <w:r w:rsidR="0078417F" w:rsidRPr="002A3AAE">
        <w:rPr>
          <w:rFonts w:ascii="Times New Roman" w:hAnsi="Times New Roman"/>
        </w:rPr>
        <w:t xml:space="preserve">time basis in a custodial institution for offences against laws of the Northern Territory. The </w:t>
      </w:r>
      <w:proofErr w:type="gramStart"/>
      <w:r w:rsidR="00C32590" w:rsidRPr="002A3AAE">
        <w:rPr>
          <w:rFonts w:ascii="Times New Roman" w:hAnsi="Times New Roman"/>
        </w:rPr>
        <w:t xml:space="preserve">particular </w:t>
      </w:r>
      <w:r w:rsidR="0078417F" w:rsidRPr="002A3AAE">
        <w:rPr>
          <w:rFonts w:ascii="Times New Roman" w:hAnsi="Times New Roman"/>
        </w:rPr>
        <w:t>offences</w:t>
      </w:r>
      <w:proofErr w:type="gramEnd"/>
      <w:r w:rsidR="001B61AA" w:rsidRPr="002A3AAE">
        <w:rPr>
          <w:rFonts w:ascii="Times New Roman" w:hAnsi="Times New Roman"/>
        </w:rPr>
        <w:t xml:space="preserve"> </w:t>
      </w:r>
      <w:r w:rsidR="00C32590" w:rsidRPr="002A3AAE">
        <w:rPr>
          <w:rFonts w:ascii="Times New Roman" w:hAnsi="Times New Roman"/>
        </w:rPr>
        <w:t xml:space="preserve">that led to cancellation of the appellant's visa </w:t>
      </w:r>
      <w:r w:rsidR="001B61AA" w:rsidRPr="002A3AAE">
        <w:rPr>
          <w:rFonts w:ascii="Times New Roman" w:hAnsi="Times New Roman"/>
        </w:rPr>
        <w:lastRenderedPageBreak/>
        <w:t>were</w:t>
      </w:r>
      <w:r w:rsidR="00811035" w:rsidRPr="002A3AAE">
        <w:rPr>
          <w:rFonts w:ascii="Times New Roman" w:hAnsi="Times New Roman"/>
        </w:rPr>
        <w:t xml:space="preserve"> depriving a person of personal liberty, aggravated assault, stealing and driving a vehicle in a dangerous manner</w:t>
      </w:r>
      <w:r w:rsidR="0085664A" w:rsidRPr="002A3AAE">
        <w:rPr>
          <w:rFonts w:ascii="Times New Roman" w:hAnsi="Times New Roman"/>
        </w:rPr>
        <w:t xml:space="preserve">. </w:t>
      </w:r>
      <w:r w:rsidR="00342639" w:rsidRPr="002A3AAE">
        <w:rPr>
          <w:rFonts w:ascii="Times New Roman" w:hAnsi="Times New Roman"/>
        </w:rPr>
        <w:t xml:space="preserve">The </w:t>
      </w:r>
      <w:r w:rsidR="004834D1" w:rsidRPr="002A3AAE">
        <w:rPr>
          <w:rFonts w:ascii="Times New Roman" w:hAnsi="Times New Roman"/>
        </w:rPr>
        <w:t xml:space="preserve">objective circumstances of the offences were serious, including </w:t>
      </w:r>
      <w:r w:rsidR="005331C1" w:rsidRPr="002A3AAE">
        <w:rPr>
          <w:rFonts w:ascii="Times New Roman" w:hAnsi="Times New Roman"/>
        </w:rPr>
        <w:t xml:space="preserve">in </w:t>
      </w:r>
      <w:r w:rsidR="004834D1" w:rsidRPr="002A3AAE">
        <w:rPr>
          <w:rFonts w:ascii="Times New Roman" w:hAnsi="Times New Roman"/>
        </w:rPr>
        <w:t>that</w:t>
      </w:r>
      <w:r w:rsidR="005331C1" w:rsidRPr="002A3AAE">
        <w:rPr>
          <w:rFonts w:ascii="Times New Roman" w:hAnsi="Times New Roman"/>
        </w:rPr>
        <w:t>:</w:t>
      </w:r>
      <w:r w:rsidR="004834D1" w:rsidRPr="002A3AAE">
        <w:rPr>
          <w:rFonts w:ascii="Times New Roman" w:hAnsi="Times New Roman"/>
        </w:rPr>
        <w:t xml:space="preserve"> the </w:t>
      </w:r>
      <w:r w:rsidR="00342639" w:rsidRPr="002A3AAE">
        <w:rPr>
          <w:rFonts w:ascii="Times New Roman" w:hAnsi="Times New Roman"/>
        </w:rPr>
        <w:t xml:space="preserve">victim was a </w:t>
      </w:r>
      <w:proofErr w:type="gramStart"/>
      <w:r w:rsidR="00342639" w:rsidRPr="002A3AAE">
        <w:rPr>
          <w:rFonts w:ascii="Times New Roman" w:hAnsi="Times New Roman"/>
        </w:rPr>
        <w:t>seventy year old</w:t>
      </w:r>
      <w:proofErr w:type="gramEnd"/>
      <w:r w:rsidR="00342639" w:rsidRPr="002A3AAE">
        <w:rPr>
          <w:rFonts w:ascii="Times New Roman" w:hAnsi="Times New Roman"/>
        </w:rPr>
        <w:t xml:space="preserve"> man</w:t>
      </w:r>
      <w:r w:rsidR="006A297F" w:rsidRPr="002A3AAE">
        <w:rPr>
          <w:rFonts w:ascii="Times New Roman" w:hAnsi="Times New Roman"/>
        </w:rPr>
        <w:t>; the attack was unprovoked and the victim was deprived of his liberty for almost 12 hours</w:t>
      </w:r>
      <w:r w:rsidR="00103795" w:rsidRPr="002A3AAE">
        <w:rPr>
          <w:rFonts w:ascii="Times New Roman" w:hAnsi="Times New Roman"/>
        </w:rPr>
        <w:t xml:space="preserve"> during which the appellant threatened the victim's life</w:t>
      </w:r>
      <w:r w:rsidR="005331C1" w:rsidRPr="002A3AAE">
        <w:rPr>
          <w:rFonts w:ascii="Times New Roman" w:hAnsi="Times New Roman"/>
        </w:rPr>
        <w:t>;</w:t>
      </w:r>
      <w:r w:rsidR="00103795" w:rsidRPr="002A3AAE">
        <w:rPr>
          <w:rFonts w:ascii="Times New Roman" w:hAnsi="Times New Roman"/>
        </w:rPr>
        <w:t xml:space="preserve"> and</w:t>
      </w:r>
      <w:r w:rsidR="001E0804" w:rsidRPr="002A3AAE">
        <w:rPr>
          <w:rFonts w:ascii="Times New Roman" w:hAnsi="Times New Roman"/>
        </w:rPr>
        <w:t xml:space="preserve"> the offending</w:t>
      </w:r>
      <w:r w:rsidR="00103795" w:rsidRPr="002A3AAE">
        <w:rPr>
          <w:rFonts w:ascii="Times New Roman" w:hAnsi="Times New Roman"/>
        </w:rPr>
        <w:t xml:space="preserve"> in</w:t>
      </w:r>
      <w:r w:rsidR="007F2FF6" w:rsidRPr="002A3AAE">
        <w:rPr>
          <w:rFonts w:ascii="Times New Roman" w:hAnsi="Times New Roman"/>
        </w:rPr>
        <w:t xml:space="preserve">volved the victim in a high speed </w:t>
      </w:r>
      <w:r w:rsidR="00D90AE6" w:rsidRPr="002A3AAE">
        <w:rPr>
          <w:rFonts w:ascii="Times New Roman" w:hAnsi="Times New Roman"/>
        </w:rPr>
        <w:t xml:space="preserve">car </w:t>
      </w:r>
      <w:r w:rsidR="007F2FF6" w:rsidRPr="002A3AAE">
        <w:rPr>
          <w:rFonts w:ascii="Times New Roman" w:hAnsi="Times New Roman"/>
        </w:rPr>
        <w:t>pursuit with police</w:t>
      </w:r>
      <w:r w:rsidR="006A297F" w:rsidRPr="002A3AAE">
        <w:rPr>
          <w:rFonts w:ascii="Times New Roman" w:hAnsi="Times New Roman"/>
        </w:rPr>
        <w:t xml:space="preserve">. </w:t>
      </w:r>
      <w:r w:rsidR="0085664A" w:rsidRPr="002A3AAE">
        <w:rPr>
          <w:rFonts w:ascii="Times New Roman" w:hAnsi="Times New Roman"/>
        </w:rPr>
        <w:t>For the offences, the appellant had been sentenced to a total effective period of imprisonment of two years and six months</w:t>
      </w:r>
      <w:r w:rsidR="00E6193D" w:rsidRPr="002A3AAE">
        <w:rPr>
          <w:rFonts w:ascii="Times New Roman" w:hAnsi="Times New Roman"/>
        </w:rPr>
        <w:t xml:space="preserve">. </w:t>
      </w:r>
      <w:r w:rsidR="009E2DB2" w:rsidRPr="002A3AAE">
        <w:rPr>
          <w:rFonts w:ascii="Times New Roman" w:hAnsi="Times New Roman"/>
        </w:rPr>
        <w:t xml:space="preserve"> </w:t>
      </w:r>
    </w:p>
    <w:p w14:paraId="685AAEC1" w14:textId="10E915A3" w:rsidR="005C3F95" w:rsidRPr="002A3AAE" w:rsidRDefault="00A53EDD" w:rsidP="002A3AAE">
      <w:pPr>
        <w:pStyle w:val="FixListStyle"/>
        <w:spacing w:after="260" w:line="280" w:lineRule="exact"/>
        <w:ind w:right="0"/>
        <w:jc w:val="both"/>
        <w:rPr>
          <w:rFonts w:ascii="Times New Roman" w:hAnsi="Times New Roman"/>
        </w:rPr>
      </w:pPr>
      <w:r w:rsidRPr="002A3AAE">
        <w:rPr>
          <w:rFonts w:ascii="Times New Roman" w:hAnsi="Times New Roman"/>
        </w:rPr>
        <w:tab/>
        <w:t xml:space="preserve">On </w:t>
      </w:r>
      <w:r w:rsidR="003335D6" w:rsidRPr="002A3AAE">
        <w:rPr>
          <w:rFonts w:ascii="Times New Roman" w:hAnsi="Times New Roman"/>
        </w:rPr>
        <w:t>10 January 2019, a delegate of the Minister decided not to revoke the mandatory cancellation of the appellant's visa</w:t>
      </w:r>
      <w:r w:rsidR="00990C01" w:rsidRPr="002A3AAE">
        <w:rPr>
          <w:rFonts w:ascii="Times New Roman" w:hAnsi="Times New Roman"/>
        </w:rPr>
        <w:t>, pursuant to s</w:t>
      </w:r>
      <w:r w:rsidR="00DD25FF" w:rsidRPr="002A3AAE">
        <w:rPr>
          <w:rFonts w:ascii="Times New Roman" w:hAnsi="Times New Roman"/>
        </w:rPr>
        <w:t> </w:t>
      </w:r>
      <w:r w:rsidR="00990C01" w:rsidRPr="002A3AAE">
        <w:rPr>
          <w:rFonts w:ascii="Times New Roman" w:hAnsi="Times New Roman"/>
        </w:rPr>
        <w:t>501</w:t>
      </w:r>
      <w:proofErr w:type="gramStart"/>
      <w:r w:rsidR="00990C01" w:rsidRPr="002A3AAE">
        <w:rPr>
          <w:rFonts w:ascii="Times New Roman" w:hAnsi="Times New Roman"/>
        </w:rPr>
        <w:t>CA(</w:t>
      </w:r>
      <w:proofErr w:type="gramEnd"/>
      <w:r w:rsidR="00990C01" w:rsidRPr="002A3AAE">
        <w:rPr>
          <w:rFonts w:ascii="Times New Roman" w:hAnsi="Times New Roman"/>
        </w:rPr>
        <w:t xml:space="preserve">4) of the Act. </w:t>
      </w:r>
      <w:r w:rsidR="006E32E0" w:rsidRPr="002A3AAE">
        <w:rPr>
          <w:rFonts w:ascii="Times New Roman" w:hAnsi="Times New Roman"/>
        </w:rPr>
        <w:t xml:space="preserve">In making that decision, the delegate was required to </w:t>
      </w:r>
      <w:r w:rsidR="00D33A1C" w:rsidRPr="002A3AAE">
        <w:rPr>
          <w:rFonts w:ascii="Times New Roman" w:hAnsi="Times New Roman"/>
        </w:rPr>
        <w:t>comply with</w:t>
      </w:r>
      <w:r w:rsidR="006E32E0" w:rsidRPr="002A3AAE">
        <w:rPr>
          <w:rFonts w:ascii="Times New Roman" w:hAnsi="Times New Roman"/>
        </w:rPr>
        <w:t xml:space="preserve"> </w:t>
      </w:r>
      <w:r w:rsidR="000546FC" w:rsidRPr="002A3AAE">
        <w:rPr>
          <w:rFonts w:ascii="Times New Roman" w:hAnsi="Times New Roman"/>
        </w:rPr>
        <w:t xml:space="preserve">the </w:t>
      </w:r>
      <w:r w:rsidR="00082746" w:rsidRPr="002A3AAE">
        <w:rPr>
          <w:rFonts w:ascii="Times New Roman" w:hAnsi="Times New Roman"/>
        </w:rPr>
        <w:t>m</w:t>
      </w:r>
      <w:r w:rsidR="000546FC" w:rsidRPr="002A3AAE">
        <w:rPr>
          <w:rFonts w:ascii="Times New Roman" w:hAnsi="Times New Roman"/>
        </w:rPr>
        <w:t>inister</w:t>
      </w:r>
      <w:r w:rsidR="00082746" w:rsidRPr="002A3AAE">
        <w:rPr>
          <w:rFonts w:ascii="Times New Roman" w:hAnsi="Times New Roman"/>
        </w:rPr>
        <w:t>ial</w:t>
      </w:r>
      <w:r w:rsidR="000546FC" w:rsidRPr="002A3AAE">
        <w:rPr>
          <w:rFonts w:ascii="Times New Roman" w:hAnsi="Times New Roman"/>
        </w:rPr>
        <w:t xml:space="preserve"> </w:t>
      </w:r>
      <w:r w:rsidR="008B4E03" w:rsidRPr="002A3AAE">
        <w:rPr>
          <w:rFonts w:ascii="Times New Roman" w:hAnsi="Times New Roman"/>
        </w:rPr>
        <w:t>direction, made under s</w:t>
      </w:r>
      <w:r w:rsidR="00DD25FF" w:rsidRPr="002A3AAE">
        <w:rPr>
          <w:rFonts w:ascii="Times New Roman" w:hAnsi="Times New Roman"/>
        </w:rPr>
        <w:t> </w:t>
      </w:r>
      <w:r w:rsidR="008B4E03" w:rsidRPr="002A3AAE">
        <w:rPr>
          <w:rFonts w:ascii="Times New Roman" w:hAnsi="Times New Roman"/>
        </w:rPr>
        <w:t xml:space="preserve">499 of the Act and known as </w:t>
      </w:r>
      <w:r w:rsidR="007B4530" w:rsidRPr="002A3AAE">
        <w:rPr>
          <w:rFonts w:ascii="Times New Roman" w:hAnsi="Times New Roman"/>
        </w:rPr>
        <w:t>"</w:t>
      </w:r>
      <w:r w:rsidR="005028FA" w:rsidRPr="002A3AAE">
        <w:rPr>
          <w:rFonts w:ascii="Times New Roman" w:hAnsi="Times New Roman"/>
        </w:rPr>
        <w:t xml:space="preserve">Ministerial </w:t>
      </w:r>
      <w:r w:rsidR="007B4530" w:rsidRPr="002A3AAE">
        <w:rPr>
          <w:rFonts w:ascii="Times New Roman" w:hAnsi="Times New Roman"/>
        </w:rPr>
        <w:t>Direction 65"</w:t>
      </w:r>
      <w:r w:rsidR="005028FA" w:rsidRPr="002A3AAE">
        <w:rPr>
          <w:rStyle w:val="FootnoteReference"/>
          <w:rFonts w:ascii="Times New Roman" w:hAnsi="Times New Roman"/>
          <w:sz w:val="24"/>
        </w:rPr>
        <w:footnoteReference w:id="5"/>
      </w:r>
      <w:r w:rsidR="00D703C2" w:rsidRPr="002A3AAE">
        <w:rPr>
          <w:rFonts w:ascii="Times New Roman" w:hAnsi="Times New Roman"/>
        </w:rPr>
        <w:t xml:space="preserve">. </w:t>
      </w:r>
      <w:r w:rsidR="00772D9E" w:rsidRPr="002A3AAE">
        <w:rPr>
          <w:rFonts w:ascii="Times New Roman" w:hAnsi="Times New Roman"/>
        </w:rPr>
        <w:t>Ministerial Direction 65 required the delegate to have regard to a range of considerations</w:t>
      </w:r>
      <w:r w:rsidR="00E3334B" w:rsidRPr="002A3AAE">
        <w:rPr>
          <w:rFonts w:ascii="Times New Roman" w:hAnsi="Times New Roman"/>
        </w:rPr>
        <w:t xml:space="preserve">, set out in Pt C of the Direction, </w:t>
      </w:r>
      <w:r w:rsidR="00B57D89" w:rsidRPr="002A3AAE">
        <w:rPr>
          <w:rFonts w:ascii="Times New Roman" w:hAnsi="Times New Roman"/>
        </w:rPr>
        <w:t>in exercising</w:t>
      </w:r>
      <w:r w:rsidR="004D69DD" w:rsidRPr="002A3AAE">
        <w:rPr>
          <w:rFonts w:ascii="Times New Roman" w:hAnsi="Times New Roman"/>
        </w:rPr>
        <w:t xml:space="preserve"> the relevant discretion. </w:t>
      </w:r>
      <w:r w:rsidR="004C3873" w:rsidRPr="002A3AAE">
        <w:rPr>
          <w:rFonts w:ascii="Times New Roman" w:hAnsi="Times New Roman"/>
        </w:rPr>
        <w:t xml:space="preserve">The considerations </w:t>
      </w:r>
      <w:r w:rsidR="001051C0" w:rsidRPr="002A3AAE">
        <w:rPr>
          <w:rFonts w:ascii="Times New Roman" w:hAnsi="Times New Roman"/>
        </w:rPr>
        <w:t>included</w:t>
      </w:r>
      <w:r w:rsidR="004C3873" w:rsidRPr="002A3AAE">
        <w:rPr>
          <w:rFonts w:ascii="Times New Roman" w:hAnsi="Times New Roman"/>
        </w:rPr>
        <w:t xml:space="preserve"> three </w:t>
      </w:r>
      <w:r w:rsidR="00746729" w:rsidRPr="002A3AAE">
        <w:rPr>
          <w:rFonts w:ascii="Times New Roman" w:hAnsi="Times New Roman"/>
        </w:rPr>
        <w:t>"</w:t>
      </w:r>
      <w:r w:rsidR="004C3873" w:rsidRPr="002A3AAE">
        <w:rPr>
          <w:rFonts w:ascii="Times New Roman" w:hAnsi="Times New Roman"/>
        </w:rPr>
        <w:t>primary</w:t>
      </w:r>
      <w:r w:rsidR="00746729" w:rsidRPr="002A3AAE">
        <w:rPr>
          <w:rFonts w:ascii="Times New Roman" w:hAnsi="Times New Roman"/>
        </w:rPr>
        <w:t>"</w:t>
      </w:r>
      <w:r w:rsidR="004C3873" w:rsidRPr="002A3AAE">
        <w:rPr>
          <w:rFonts w:ascii="Times New Roman" w:hAnsi="Times New Roman"/>
        </w:rPr>
        <w:t xml:space="preserve"> considerations</w:t>
      </w:r>
      <w:r w:rsidR="009D154B" w:rsidRPr="002A3AAE">
        <w:rPr>
          <w:rFonts w:ascii="Times New Roman" w:hAnsi="Times New Roman"/>
        </w:rPr>
        <w:t xml:space="preserve"> labelled</w:t>
      </w:r>
      <w:r w:rsidR="00815C82" w:rsidRPr="002A3AAE">
        <w:rPr>
          <w:rFonts w:ascii="Times New Roman" w:hAnsi="Times New Roman"/>
        </w:rPr>
        <w:t xml:space="preserve"> in </w:t>
      </w:r>
      <w:r w:rsidR="00374C3C" w:rsidRPr="002A3AAE">
        <w:rPr>
          <w:rFonts w:ascii="Times New Roman" w:hAnsi="Times New Roman"/>
        </w:rPr>
        <w:t>the Direction</w:t>
      </w:r>
      <w:r w:rsidR="00815C82" w:rsidRPr="002A3AAE">
        <w:rPr>
          <w:rFonts w:ascii="Times New Roman" w:hAnsi="Times New Roman"/>
        </w:rPr>
        <w:t xml:space="preserve"> as</w:t>
      </w:r>
      <w:r w:rsidR="0086052F" w:rsidRPr="002A3AAE">
        <w:rPr>
          <w:rFonts w:ascii="Times New Roman" w:hAnsi="Times New Roman"/>
        </w:rPr>
        <w:t>:</w:t>
      </w:r>
      <w:r w:rsidR="0081358B" w:rsidRPr="002A3AAE">
        <w:rPr>
          <w:rFonts w:ascii="Times New Roman" w:hAnsi="Times New Roman"/>
        </w:rPr>
        <w:t xml:space="preserve"> the</w:t>
      </w:r>
      <w:r w:rsidR="009D154B" w:rsidRPr="002A3AAE">
        <w:rPr>
          <w:rFonts w:ascii="Times New Roman" w:hAnsi="Times New Roman"/>
        </w:rPr>
        <w:t xml:space="preserve"> protection of the Australian community from criminal or other serious conduct; the best interests of minor chi</w:t>
      </w:r>
      <w:r w:rsidR="00746729" w:rsidRPr="002A3AAE">
        <w:rPr>
          <w:rFonts w:ascii="Times New Roman" w:hAnsi="Times New Roman"/>
        </w:rPr>
        <w:t>ldren in Australia</w:t>
      </w:r>
      <w:r w:rsidR="005D5A1B" w:rsidRPr="002A3AAE">
        <w:rPr>
          <w:rFonts w:ascii="Times New Roman" w:hAnsi="Times New Roman"/>
        </w:rPr>
        <w:t>;</w:t>
      </w:r>
      <w:r w:rsidR="00746729" w:rsidRPr="002A3AAE">
        <w:rPr>
          <w:rFonts w:ascii="Times New Roman" w:hAnsi="Times New Roman"/>
        </w:rPr>
        <w:t xml:space="preserve"> and expectations of the Australian </w:t>
      </w:r>
      <w:r w:rsidR="001051C0" w:rsidRPr="002A3AAE">
        <w:rPr>
          <w:rFonts w:ascii="Times New Roman" w:hAnsi="Times New Roman"/>
        </w:rPr>
        <w:t>c</w:t>
      </w:r>
      <w:r w:rsidR="00746729" w:rsidRPr="002A3AAE">
        <w:rPr>
          <w:rFonts w:ascii="Times New Roman" w:hAnsi="Times New Roman"/>
        </w:rPr>
        <w:t>ommunity</w:t>
      </w:r>
      <w:r w:rsidR="000D1FCB" w:rsidRPr="002A3AAE">
        <w:rPr>
          <w:rStyle w:val="FootnoteReference"/>
          <w:rFonts w:ascii="Times New Roman" w:hAnsi="Times New Roman"/>
          <w:sz w:val="24"/>
        </w:rPr>
        <w:footnoteReference w:id="6"/>
      </w:r>
      <w:r w:rsidR="00746729" w:rsidRPr="002A3AAE">
        <w:rPr>
          <w:rFonts w:ascii="Times New Roman" w:hAnsi="Times New Roman"/>
        </w:rPr>
        <w:t xml:space="preserve">. </w:t>
      </w:r>
      <w:r w:rsidR="005E4FEA" w:rsidRPr="002A3AAE">
        <w:rPr>
          <w:rFonts w:ascii="Times New Roman" w:hAnsi="Times New Roman"/>
        </w:rPr>
        <w:t xml:space="preserve">In addition, </w:t>
      </w:r>
      <w:r w:rsidR="00E27FCD" w:rsidRPr="002A3AAE">
        <w:rPr>
          <w:rFonts w:ascii="Times New Roman" w:hAnsi="Times New Roman"/>
        </w:rPr>
        <w:t xml:space="preserve">the Direction specified </w:t>
      </w:r>
      <w:r w:rsidR="00527EA4" w:rsidRPr="002A3AAE">
        <w:rPr>
          <w:rFonts w:ascii="Times New Roman" w:hAnsi="Times New Roman"/>
        </w:rPr>
        <w:t>that</w:t>
      </w:r>
      <w:r w:rsidR="00E27FCD" w:rsidRPr="002A3AAE">
        <w:rPr>
          <w:rFonts w:ascii="Times New Roman" w:hAnsi="Times New Roman"/>
        </w:rPr>
        <w:t xml:space="preserve"> "other" considerations were required to be </w:t>
      </w:r>
      <w:proofErr w:type="gramStart"/>
      <w:r w:rsidR="00E27FCD" w:rsidRPr="002A3AAE">
        <w:rPr>
          <w:rFonts w:ascii="Times New Roman" w:hAnsi="Times New Roman"/>
        </w:rPr>
        <w:t>taken into account</w:t>
      </w:r>
      <w:proofErr w:type="gramEnd"/>
      <w:r w:rsidR="00E27FCD" w:rsidRPr="002A3AAE">
        <w:rPr>
          <w:rFonts w:ascii="Times New Roman" w:hAnsi="Times New Roman"/>
        </w:rPr>
        <w:t xml:space="preserve"> where relevant</w:t>
      </w:r>
      <w:r w:rsidR="00374C3C" w:rsidRPr="002A3AAE">
        <w:rPr>
          <w:rStyle w:val="FootnoteReference"/>
          <w:rFonts w:ascii="Times New Roman" w:hAnsi="Times New Roman"/>
          <w:sz w:val="24"/>
        </w:rPr>
        <w:footnoteReference w:id="7"/>
      </w:r>
      <w:r w:rsidR="00E27FCD" w:rsidRPr="002A3AAE">
        <w:rPr>
          <w:rFonts w:ascii="Times New Roman" w:hAnsi="Times New Roman"/>
        </w:rPr>
        <w:t xml:space="preserve">. </w:t>
      </w:r>
      <w:r w:rsidR="00527EA4" w:rsidRPr="002A3AAE">
        <w:rPr>
          <w:rFonts w:ascii="Times New Roman" w:hAnsi="Times New Roman"/>
        </w:rPr>
        <w:t>Th</w:t>
      </w:r>
      <w:r w:rsidR="00A83A83" w:rsidRPr="002A3AAE">
        <w:rPr>
          <w:rFonts w:ascii="Times New Roman" w:hAnsi="Times New Roman"/>
        </w:rPr>
        <w:t>e</w:t>
      </w:r>
      <w:r w:rsidR="00527EA4" w:rsidRPr="002A3AAE">
        <w:rPr>
          <w:rFonts w:ascii="Times New Roman" w:hAnsi="Times New Roman"/>
        </w:rPr>
        <w:t xml:space="preserve"> Direction specified, non-exhaustively, five </w:t>
      </w:r>
      <w:r w:rsidR="009B10B2" w:rsidRPr="002A3AAE">
        <w:rPr>
          <w:rFonts w:ascii="Times New Roman" w:hAnsi="Times New Roman"/>
        </w:rPr>
        <w:t>"</w:t>
      </w:r>
      <w:r w:rsidR="00527EA4" w:rsidRPr="002A3AAE">
        <w:rPr>
          <w:rFonts w:ascii="Times New Roman" w:hAnsi="Times New Roman"/>
        </w:rPr>
        <w:t>other</w:t>
      </w:r>
      <w:r w:rsidR="009B10B2" w:rsidRPr="002A3AAE">
        <w:rPr>
          <w:rFonts w:ascii="Times New Roman" w:hAnsi="Times New Roman"/>
        </w:rPr>
        <w:t>"</w:t>
      </w:r>
      <w:r w:rsidR="00527EA4" w:rsidRPr="002A3AAE">
        <w:rPr>
          <w:rFonts w:ascii="Times New Roman" w:hAnsi="Times New Roman"/>
        </w:rPr>
        <w:t xml:space="preserve"> considerations </w:t>
      </w:r>
      <w:r w:rsidR="002B1622" w:rsidRPr="002A3AAE">
        <w:rPr>
          <w:rFonts w:ascii="Times New Roman" w:hAnsi="Times New Roman"/>
        </w:rPr>
        <w:t>which were labelled</w:t>
      </w:r>
      <w:r w:rsidR="00753447" w:rsidRPr="002A3AAE">
        <w:rPr>
          <w:rFonts w:ascii="Times New Roman" w:hAnsi="Times New Roman"/>
        </w:rPr>
        <w:t>:</w:t>
      </w:r>
      <w:r w:rsidR="002B1622" w:rsidRPr="002A3AAE">
        <w:rPr>
          <w:rFonts w:ascii="Times New Roman" w:hAnsi="Times New Roman"/>
        </w:rPr>
        <w:t xml:space="preserve"> international non-refoulement obligations; strength, </w:t>
      </w:r>
      <w:proofErr w:type="gramStart"/>
      <w:r w:rsidR="002B1622" w:rsidRPr="002A3AAE">
        <w:rPr>
          <w:rFonts w:ascii="Times New Roman" w:hAnsi="Times New Roman"/>
        </w:rPr>
        <w:t>nature</w:t>
      </w:r>
      <w:proofErr w:type="gramEnd"/>
      <w:r w:rsidR="002B1622" w:rsidRPr="002A3AAE">
        <w:rPr>
          <w:rFonts w:ascii="Times New Roman" w:hAnsi="Times New Roman"/>
        </w:rPr>
        <w:t xml:space="preserve"> and duration of ties; </w:t>
      </w:r>
      <w:r w:rsidR="00476084" w:rsidRPr="002A3AAE">
        <w:rPr>
          <w:rFonts w:ascii="Times New Roman" w:hAnsi="Times New Roman"/>
        </w:rPr>
        <w:t>impact on Australian business interests; impact on victims</w:t>
      </w:r>
      <w:r w:rsidR="00D55168" w:rsidRPr="002A3AAE">
        <w:rPr>
          <w:rFonts w:ascii="Times New Roman" w:hAnsi="Times New Roman"/>
        </w:rPr>
        <w:t>;</w:t>
      </w:r>
      <w:r w:rsidR="00476084" w:rsidRPr="002A3AAE">
        <w:rPr>
          <w:rFonts w:ascii="Times New Roman" w:hAnsi="Times New Roman"/>
        </w:rPr>
        <w:t xml:space="preserve"> and extent of impediments if removed. The Direction explained e</w:t>
      </w:r>
      <w:r w:rsidR="00746729" w:rsidRPr="002A3AAE">
        <w:rPr>
          <w:rFonts w:ascii="Times New Roman" w:hAnsi="Times New Roman"/>
        </w:rPr>
        <w:t xml:space="preserve">ach of these considerations </w:t>
      </w:r>
      <w:r w:rsidR="00476084" w:rsidRPr="002A3AAE">
        <w:rPr>
          <w:rFonts w:ascii="Times New Roman" w:hAnsi="Times New Roman"/>
        </w:rPr>
        <w:t xml:space="preserve">and, in several instances, specified </w:t>
      </w:r>
      <w:r w:rsidR="00071CAE" w:rsidRPr="002A3AAE">
        <w:rPr>
          <w:rFonts w:ascii="Times New Roman" w:hAnsi="Times New Roman"/>
        </w:rPr>
        <w:t>factors required to be considered in addressing the relevant consideration</w:t>
      </w:r>
      <w:r w:rsidR="00F94719" w:rsidRPr="002A3AAE">
        <w:rPr>
          <w:rFonts w:ascii="Times New Roman" w:hAnsi="Times New Roman"/>
        </w:rPr>
        <w:t xml:space="preserve">. </w:t>
      </w:r>
      <w:r w:rsidR="00A83A83" w:rsidRPr="002A3AAE">
        <w:rPr>
          <w:rFonts w:ascii="Times New Roman" w:hAnsi="Times New Roman"/>
        </w:rPr>
        <w:t>T</w:t>
      </w:r>
      <w:r w:rsidR="00D80219" w:rsidRPr="002A3AAE">
        <w:rPr>
          <w:rFonts w:ascii="Times New Roman" w:hAnsi="Times New Roman"/>
        </w:rPr>
        <w:t xml:space="preserve">he </w:t>
      </w:r>
      <w:r w:rsidR="008D4566" w:rsidRPr="002A3AAE">
        <w:rPr>
          <w:rFonts w:ascii="Times New Roman" w:hAnsi="Times New Roman"/>
        </w:rPr>
        <w:t>D</w:t>
      </w:r>
      <w:r w:rsidR="00D80219" w:rsidRPr="002A3AAE">
        <w:rPr>
          <w:rFonts w:ascii="Times New Roman" w:hAnsi="Times New Roman"/>
        </w:rPr>
        <w:t xml:space="preserve">irection </w:t>
      </w:r>
      <w:r w:rsidR="00FA6A51" w:rsidRPr="002A3AAE">
        <w:rPr>
          <w:rFonts w:ascii="Times New Roman" w:hAnsi="Times New Roman"/>
        </w:rPr>
        <w:t xml:space="preserve">relevantly </w:t>
      </w:r>
      <w:r w:rsidR="00AF5BB6" w:rsidRPr="002A3AAE">
        <w:rPr>
          <w:rFonts w:ascii="Times New Roman" w:hAnsi="Times New Roman"/>
        </w:rPr>
        <w:t>state</w:t>
      </w:r>
      <w:r w:rsidR="00891828" w:rsidRPr="002A3AAE">
        <w:rPr>
          <w:rFonts w:ascii="Times New Roman" w:hAnsi="Times New Roman"/>
        </w:rPr>
        <w:t>d</w:t>
      </w:r>
      <w:r w:rsidR="00FA6A51" w:rsidRPr="002A3AAE">
        <w:rPr>
          <w:rFonts w:ascii="Times New Roman" w:hAnsi="Times New Roman"/>
        </w:rPr>
        <w:t xml:space="preserve"> </w:t>
      </w:r>
      <w:r w:rsidR="00891828" w:rsidRPr="002A3AAE">
        <w:rPr>
          <w:rFonts w:ascii="Times New Roman" w:hAnsi="Times New Roman"/>
        </w:rPr>
        <w:t>that</w:t>
      </w:r>
      <w:r w:rsidR="000D2526" w:rsidRPr="002A3AAE">
        <w:rPr>
          <w:rFonts w:ascii="Times New Roman" w:hAnsi="Times New Roman"/>
        </w:rPr>
        <w:t>:</w:t>
      </w:r>
      <w:r w:rsidR="00891828" w:rsidRPr="002A3AAE">
        <w:rPr>
          <w:rFonts w:ascii="Times New Roman" w:hAnsi="Times New Roman"/>
        </w:rPr>
        <w:t xml:space="preserve"> </w:t>
      </w:r>
      <w:r w:rsidR="00C331FF" w:rsidRPr="002A3AAE">
        <w:rPr>
          <w:rFonts w:ascii="Times New Roman" w:hAnsi="Times New Roman"/>
        </w:rPr>
        <w:t>both primary and other consideration</w:t>
      </w:r>
      <w:r w:rsidR="00891828" w:rsidRPr="002A3AAE">
        <w:rPr>
          <w:rFonts w:ascii="Times New Roman" w:hAnsi="Times New Roman"/>
        </w:rPr>
        <w:t>s may weigh in favour o</w:t>
      </w:r>
      <w:r w:rsidR="00D16139" w:rsidRPr="002A3AAE">
        <w:rPr>
          <w:rFonts w:ascii="Times New Roman" w:hAnsi="Times New Roman"/>
        </w:rPr>
        <w:t>f</w:t>
      </w:r>
      <w:r w:rsidR="00891828" w:rsidRPr="002A3AAE">
        <w:rPr>
          <w:rFonts w:ascii="Times New Roman" w:hAnsi="Times New Roman"/>
        </w:rPr>
        <w:t>, or against</w:t>
      </w:r>
      <w:r w:rsidR="00D16139" w:rsidRPr="002A3AAE">
        <w:rPr>
          <w:rFonts w:ascii="Times New Roman" w:hAnsi="Times New Roman"/>
        </w:rPr>
        <w:t>,</w:t>
      </w:r>
      <w:r w:rsidR="00891828" w:rsidRPr="002A3AAE">
        <w:rPr>
          <w:rFonts w:ascii="Times New Roman" w:hAnsi="Times New Roman"/>
        </w:rPr>
        <w:t xml:space="preserve"> </w:t>
      </w:r>
      <w:proofErr w:type="gramStart"/>
      <w:r w:rsidR="00891828" w:rsidRPr="002A3AAE">
        <w:rPr>
          <w:rFonts w:ascii="Times New Roman" w:hAnsi="Times New Roman"/>
        </w:rPr>
        <w:t>whether or not</w:t>
      </w:r>
      <w:proofErr w:type="gramEnd"/>
      <w:r w:rsidR="00891828" w:rsidRPr="002A3AAE">
        <w:rPr>
          <w:rFonts w:ascii="Times New Roman" w:hAnsi="Times New Roman"/>
        </w:rPr>
        <w:t xml:space="preserve"> to revoke a mandatory cancellation of a visa</w:t>
      </w:r>
      <w:r w:rsidR="00C331FF" w:rsidRPr="002A3AAE">
        <w:rPr>
          <w:rFonts w:ascii="Times New Roman" w:hAnsi="Times New Roman"/>
        </w:rPr>
        <w:t xml:space="preserve">; primary considerations should generally be </w:t>
      </w:r>
      <w:r w:rsidR="00C331FF" w:rsidRPr="002A3AAE">
        <w:rPr>
          <w:rFonts w:ascii="Times New Roman" w:hAnsi="Times New Roman"/>
        </w:rPr>
        <w:lastRenderedPageBreak/>
        <w:t>given greater weight than the other considerations</w:t>
      </w:r>
      <w:r w:rsidR="00F47EC8" w:rsidRPr="002A3AAE">
        <w:rPr>
          <w:rFonts w:ascii="Times New Roman" w:hAnsi="Times New Roman"/>
        </w:rPr>
        <w:t>;</w:t>
      </w:r>
      <w:r w:rsidR="00C331FF" w:rsidRPr="002A3AAE">
        <w:rPr>
          <w:rFonts w:ascii="Times New Roman" w:hAnsi="Times New Roman"/>
        </w:rPr>
        <w:t xml:space="preserve"> and one or more primary considerations may outweigh other primary considerations</w:t>
      </w:r>
      <w:r w:rsidR="005C6752" w:rsidRPr="002A3AAE">
        <w:rPr>
          <w:rStyle w:val="FootnoteReference"/>
          <w:rFonts w:ascii="Times New Roman" w:hAnsi="Times New Roman"/>
          <w:sz w:val="24"/>
        </w:rPr>
        <w:footnoteReference w:id="8"/>
      </w:r>
      <w:r w:rsidR="00891828" w:rsidRPr="002A3AAE">
        <w:rPr>
          <w:rFonts w:ascii="Times New Roman" w:hAnsi="Times New Roman"/>
        </w:rPr>
        <w:t>.</w:t>
      </w:r>
      <w:r w:rsidR="00071CAE" w:rsidRPr="002A3AAE">
        <w:rPr>
          <w:rFonts w:ascii="Times New Roman" w:hAnsi="Times New Roman"/>
        </w:rPr>
        <w:t xml:space="preserve"> </w:t>
      </w:r>
    </w:p>
    <w:p w14:paraId="6C63C6C6" w14:textId="63673BD2" w:rsidR="00CD1E7B" w:rsidRPr="002A3AAE" w:rsidRDefault="000E18CB"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B9287D" w:rsidRPr="002A3AAE">
        <w:rPr>
          <w:rFonts w:ascii="Times New Roman" w:hAnsi="Times New Roman"/>
        </w:rPr>
        <w:t xml:space="preserve">It is </w:t>
      </w:r>
      <w:r w:rsidR="00E91114" w:rsidRPr="002A3AAE">
        <w:rPr>
          <w:rFonts w:ascii="Times New Roman" w:hAnsi="Times New Roman"/>
        </w:rPr>
        <w:t xml:space="preserve">necessary </w:t>
      </w:r>
      <w:r w:rsidR="00B9287D" w:rsidRPr="002A3AAE">
        <w:rPr>
          <w:rFonts w:ascii="Times New Roman" w:hAnsi="Times New Roman"/>
        </w:rPr>
        <w:t xml:space="preserve">to </w:t>
      </w:r>
      <w:r w:rsidR="00C82AF1" w:rsidRPr="002A3AAE">
        <w:rPr>
          <w:rFonts w:ascii="Times New Roman" w:hAnsi="Times New Roman"/>
        </w:rPr>
        <w:t>describe</w:t>
      </w:r>
      <w:r w:rsidR="00B9287D" w:rsidRPr="002A3AAE">
        <w:rPr>
          <w:rFonts w:ascii="Times New Roman" w:hAnsi="Times New Roman"/>
        </w:rPr>
        <w:t xml:space="preserve"> the consideration labelled </w:t>
      </w:r>
      <w:r w:rsidR="001A3B81" w:rsidRPr="002A3AAE">
        <w:rPr>
          <w:rFonts w:ascii="Times New Roman" w:hAnsi="Times New Roman"/>
        </w:rPr>
        <w:t>"</w:t>
      </w:r>
      <w:r w:rsidR="00B9287D" w:rsidRPr="002A3AAE">
        <w:rPr>
          <w:rFonts w:ascii="Times New Roman" w:hAnsi="Times New Roman"/>
        </w:rPr>
        <w:t>protection of the Australian community from criminal or other serious conduct</w:t>
      </w:r>
      <w:r w:rsidR="00446110" w:rsidRPr="002A3AAE">
        <w:rPr>
          <w:rFonts w:ascii="Times New Roman" w:hAnsi="Times New Roman"/>
        </w:rPr>
        <w:t>"</w:t>
      </w:r>
      <w:r w:rsidR="00B9287D" w:rsidRPr="002A3AAE">
        <w:rPr>
          <w:rFonts w:ascii="Times New Roman" w:hAnsi="Times New Roman"/>
        </w:rPr>
        <w:t xml:space="preserve"> in more detail. </w:t>
      </w:r>
      <w:r w:rsidR="00B553D5" w:rsidRPr="002A3AAE">
        <w:rPr>
          <w:rFonts w:ascii="Times New Roman" w:hAnsi="Times New Roman"/>
        </w:rPr>
        <w:t>Paragraph</w:t>
      </w:r>
      <w:r w:rsidR="00DD25FF" w:rsidRPr="002A3AAE">
        <w:rPr>
          <w:rFonts w:ascii="Times New Roman" w:hAnsi="Times New Roman"/>
        </w:rPr>
        <w:t> </w:t>
      </w:r>
      <w:r w:rsidR="00674E9A" w:rsidRPr="002A3AAE">
        <w:rPr>
          <w:rFonts w:ascii="Times New Roman" w:hAnsi="Times New Roman"/>
        </w:rPr>
        <w:t xml:space="preserve">13.1(1) of </w:t>
      </w:r>
      <w:r w:rsidR="005E0417" w:rsidRPr="002A3AAE">
        <w:rPr>
          <w:rFonts w:ascii="Times New Roman" w:hAnsi="Times New Roman"/>
        </w:rPr>
        <w:t>Ministerial</w:t>
      </w:r>
      <w:r w:rsidR="0022418C" w:rsidRPr="002A3AAE">
        <w:rPr>
          <w:rFonts w:ascii="Times New Roman" w:hAnsi="Times New Roman"/>
        </w:rPr>
        <w:t xml:space="preserve"> Direction </w:t>
      </w:r>
      <w:r w:rsidR="005E0417" w:rsidRPr="002A3AAE">
        <w:rPr>
          <w:rFonts w:ascii="Times New Roman" w:hAnsi="Times New Roman"/>
        </w:rPr>
        <w:t xml:space="preserve">65 </w:t>
      </w:r>
      <w:r w:rsidR="00CD6175" w:rsidRPr="002A3AAE">
        <w:rPr>
          <w:rFonts w:ascii="Times New Roman" w:hAnsi="Times New Roman"/>
        </w:rPr>
        <w:t xml:space="preserve">exhorted decision makers to have regard </w:t>
      </w:r>
      <w:r w:rsidR="00A35BF0" w:rsidRPr="002A3AAE">
        <w:rPr>
          <w:rFonts w:ascii="Times New Roman" w:hAnsi="Times New Roman"/>
        </w:rPr>
        <w:t xml:space="preserve">to "the principle that the Government is committed to protecting the Australian community from harm as a result of criminal activity or other serious conduct by non-citizens". </w:t>
      </w:r>
      <w:r w:rsidR="00C93E0F" w:rsidRPr="002A3AAE">
        <w:rPr>
          <w:rFonts w:ascii="Times New Roman" w:hAnsi="Times New Roman"/>
        </w:rPr>
        <w:t>B</w:t>
      </w:r>
      <w:r w:rsidR="00674E9A" w:rsidRPr="002A3AAE">
        <w:rPr>
          <w:rFonts w:ascii="Times New Roman" w:hAnsi="Times New Roman"/>
        </w:rPr>
        <w:t xml:space="preserve">y </w:t>
      </w:r>
      <w:r w:rsidR="00F9261B" w:rsidRPr="002A3AAE">
        <w:rPr>
          <w:rFonts w:ascii="Times New Roman" w:hAnsi="Times New Roman"/>
        </w:rPr>
        <w:t>para</w:t>
      </w:r>
      <w:r w:rsidR="00DD25FF" w:rsidRPr="002A3AAE">
        <w:rPr>
          <w:rFonts w:ascii="Times New Roman" w:hAnsi="Times New Roman"/>
        </w:rPr>
        <w:t> </w:t>
      </w:r>
      <w:r w:rsidR="00452E9D" w:rsidRPr="002A3AAE">
        <w:rPr>
          <w:rFonts w:ascii="Times New Roman" w:hAnsi="Times New Roman"/>
        </w:rPr>
        <w:t>13.1(2)</w:t>
      </w:r>
      <w:r w:rsidR="00CD7142" w:rsidRPr="002A3AAE">
        <w:rPr>
          <w:rFonts w:ascii="Times New Roman" w:hAnsi="Times New Roman"/>
        </w:rPr>
        <w:t>,</w:t>
      </w:r>
      <w:r w:rsidR="00452E9D" w:rsidRPr="002A3AAE">
        <w:rPr>
          <w:rFonts w:ascii="Times New Roman" w:hAnsi="Times New Roman"/>
        </w:rPr>
        <w:t xml:space="preserve"> </w:t>
      </w:r>
      <w:r w:rsidR="00302BDB" w:rsidRPr="002A3AAE">
        <w:rPr>
          <w:rFonts w:ascii="Times New Roman" w:hAnsi="Times New Roman"/>
        </w:rPr>
        <w:t>decision makers wer</w:t>
      </w:r>
      <w:r w:rsidR="00B91266" w:rsidRPr="002A3AAE">
        <w:rPr>
          <w:rFonts w:ascii="Times New Roman" w:hAnsi="Times New Roman"/>
        </w:rPr>
        <w:t xml:space="preserve">e </w:t>
      </w:r>
      <w:r w:rsidR="00D14220" w:rsidRPr="002A3AAE">
        <w:rPr>
          <w:rFonts w:ascii="Times New Roman" w:hAnsi="Times New Roman"/>
        </w:rPr>
        <w:t>directed</w:t>
      </w:r>
      <w:r w:rsidR="00B91266" w:rsidRPr="002A3AAE">
        <w:rPr>
          <w:rFonts w:ascii="Times New Roman" w:hAnsi="Times New Roman"/>
        </w:rPr>
        <w:t xml:space="preserve"> that they should also </w:t>
      </w:r>
      <w:proofErr w:type="gramStart"/>
      <w:r w:rsidR="00B91266" w:rsidRPr="002A3AAE">
        <w:rPr>
          <w:rFonts w:ascii="Times New Roman" w:hAnsi="Times New Roman"/>
        </w:rPr>
        <w:t>give consideration to</w:t>
      </w:r>
      <w:proofErr w:type="gramEnd"/>
      <w:r w:rsidR="00B91266" w:rsidRPr="002A3AAE">
        <w:rPr>
          <w:rFonts w:ascii="Times New Roman" w:hAnsi="Times New Roman"/>
        </w:rPr>
        <w:t xml:space="preserve">: (a) the nature and seriousness of the non-citizen's conduct to date; and (b) the risk to the Australian community should the non-citizen commit further offences or engage in other serious conduct. </w:t>
      </w:r>
      <w:r w:rsidR="00452E9D" w:rsidRPr="002A3AAE">
        <w:rPr>
          <w:rFonts w:ascii="Times New Roman" w:hAnsi="Times New Roman"/>
        </w:rPr>
        <w:t>As to</w:t>
      </w:r>
      <w:r w:rsidR="00590FCA" w:rsidRPr="002A3AAE">
        <w:rPr>
          <w:rFonts w:ascii="Times New Roman" w:hAnsi="Times New Roman"/>
        </w:rPr>
        <w:t xml:space="preserve"> </w:t>
      </w:r>
      <w:r w:rsidR="00FF6F16" w:rsidRPr="002A3AAE">
        <w:rPr>
          <w:rFonts w:ascii="Times New Roman" w:hAnsi="Times New Roman"/>
        </w:rPr>
        <w:t>the former of these</w:t>
      </w:r>
      <w:r w:rsidR="00632519" w:rsidRPr="002A3AAE">
        <w:rPr>
          <w:rFonts w:ascii="Times New Roman" w:hAnsi="Times New Roman"/>
        </w:rPr>
        <w:t xml:space="preserve"> matters, </w:t>
      </w:r>
      <w:r w:rsidR="00F9261B" w:rsidRPr="002A3AAE">
        <w:rPr>
          <w:rFonts w:ascii="Times New Roman" w:hAnsi="Times New Roman"/>
        </w:rPr>
        <w:t>para</w:t>
      </w:r>
      <w:r w:rsidR="00DD25FF" w:rsidRPr="002A3AAE">
        <w:rPr>
          <w:rFonts w:ascii="Times New Roman" w:hAnsi="Times New Roman"/>
        </w:rPr>
        <w:t> </w:t>
      </w:r>
      <w:r w:rsidR="00452E9D" w:rsidRPr="002A3AAE">
        <w:rPr>
          <w:rFonts w:ascii="Times New Roman" w:hAnsi="Times New Roman"/>
        </w:rPr>
        <w:t>13.1.1</w:t>
      </w:r>
      <w:r w:rsidR="00EA2FFE" w:rsidRPr="002A3AAE">
        <w:rPr>
          <w:rFonts w:ascii="Times New Roman" w:hAnsi="Times New Roman"/>
        </w:rPr>
        <w:t xml:space="preserve"> of </w:t>
      </w:r>
      <w:r w:rsidR="00632519" w:rsidRPr="002A3AAE">
        <w:rPr>
          <w:rFonts w:ascii="Times New Roman" w:hAnsi="Times New Roman"/>
        </w:rPr>
        <w:t>the Direction mandated that decision makers have regard to specified factors</w:t>
      </w:r>
      <w:r w:rsidR="00B355E4" w:rsidRPr="002A3AAE">
        <w:rPr>
          <w:rFonts w:ascii="Times New Roman" w:hAnsi="Times New Roman"/>
        </w:rPr>
        <w:t xml:space="preserve"> including principles that</w:t>
      </w:r>
      <w:r w:rsidR="00EA7C7D" w:rsidRPr="002A3AAE">
        <w:rPr>
          <w:rFonts w:ascii="Times New Roman" w:hAnsi="Times New Roman"/>
        </w:rPr>
        <w:t>:</w:t>
      </w:r>
      <w:r w:rsidR="00B355E4" w:rsidRPr="002A3AAE">
        <w:rPr>
          <w:rFonts w:ascii="Times New Roman" w:hAnsi="Times New Roman"/>
        </w:rPr>
        <w:t xml:space="preserve"> without limiting the range of offences that may be considered serious, violent and</w:t>
      </w:r>
      <w:r w:rsidR="00101BDF" w:rsidRPr="002A3AAE">
        <w:rPr>
          <w:rFonts w:ascii="Times New Roman" w:hAnsi="Times New Roman"/>
        </w:rPr>
        <w:t>/</w:t>
      </w:r>
      <w:r w:rsidR="00B355E4" w:rsidRPr="002A3AAE">
        <w:rPr>
          <w:rFonts w:ascii="Times New Roman" w:hAnsi="Times New Roman"/>
        </w:rPr>
        <w:t>or sexual crimes are viewed very seriously; and</w:t>
      </w:r>
      <w:r w:rsidR="00031D0F" w:rsidRPr="002A3AAE">
        <w:rPr>
          <w:rFonts w:ascii="Times New Roman" w:hAnsi="Times New Roman"/>
        </w:rPr>
        <w:t xml:space="preserve"> crimes against</w:t>
      </w:r>
      <w:r w:rsidR="00B37D86" w:rsidRPr="002A3AAE">
        <w:rPr>
          <w:rFonts w:ascii="Times New Roman" w:hAnsi="Times New Roman"/>
        </w:rPr>
        <w:t>, relevantly,</w:t>
      </w:r>
      <w:r w:rsidR="003462E8" w:rsidRPr="002A3AAE">
        <w:rPr>
          <w:rFonts w:ascii="Times New Roman" w:hAnsi="Times New Roman"/>
        </w:rPr>
        <w:t xml:space="preserve"> </w:t>
      </w:r>
      <w:r w:rsidR="00031D0F" w:rsidRPr="002A3AAE">
        <w:rPr>
          <w:rFonts w:ascii="Times New Roman" w:hAnsi="Times New Roman"/>
        </w:rPr>
        <w:t>vulnerable members of the community, such as minors, the elderly and the disabled</w:t>
      </w:r>
      <w:r w:rsidR="00486AE5" w:rsidRPr="002A3AAE">
        <w:rPr>
          <w:rFonts w:ascii="Times New Roman" w:hAnsi="Times New Roman"/>
        </w:rPr>
        <w:t>,</w:t>
      </w:r>
      <w:r w:rsidR="00031D0F" w:rsidRPr="002A3AAE">
        <w:rPr>
          <w:rFonts w:ascii="Times New Roman" w:hAnsi="Times New Roman"/>
        </w:rPr>
        <w:t xml:space="preserve"> are serious</w:t>
      </w:r>
      <w:r w:rsidR="00632519" w:rsidRPr="002A3AAE">
        <w:rPr>
          <w:rFonts w:ascii="Times New Roman" w:hAnsi="Times New Roman"/>
        </w:rPr>
        <w:t xml:space="preserve">. </w:t>
      </w:r>
    </w:p>
    <w:p w14:paraId="627BC719" w14:textId="6071420D" w:rsidR="00C960A9" w:rsidRPr="002A3AAE" w:rsidRDefault="000E18CB"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C960A9" w:rsidRPr="002A3AAE">
        <w:rPr>
          <w:rFonts w:ascii="Times New Roman" w:hAnsi="Times New Roman"/>
        </w:rPr>
        <w:t>Th</w:t>
      </w:r>
      <w:r w:rsidR="00A53CE3" w:rsidRPr="002A3AAE">
        <w:rPr>
          <w:rFonts w:ascii="Times New Roman" w:hAnsi="Times New Roman"/>
        </w:rPr>
        <w:t>is explanation</w:t>
      </w:r>
      <w:r w:rsidR="007F7900" w:rsidRPr="002A3AAE">
        <w:rPr>
          <w:rFonts w:ascii="Times New Roman" w:hAnsi="Times New Roman"/>
        </w:rPr>
        <w:t xml:space="preserve"> of Ministerial Direction </w:t>
      </w:r>
      <w:r w:rsidR="00CF6845" w:rsidRPr="002A3AAE">
        <w:rPr>
          <w:rFonts w:ascii="Times New Roman" w:hAnsi="Times New Roman"/>
        </w:rPr>
        <w:t xml:space="preserve">65 </w:t>
      </w:r>
      <w:r w:rsidR="007F7900" w:rsidRPr="002A3AAE">
        <w:rPr>
          <w:rFonts w:ascii="Times New Roman" w:hAnsi="Times New Roman"/>
        </w:rPr>
        <w:t xml:space="preserve">serves to illustrate that the </w:t>
      </w:r>
      <w:r w:rsidR="00CF6845" w:rsidRPr="002A3AAE">
        <w:rPr>
          <w:rFonts w:ascii="Times New Roman" w:hAnsi="Times New Roman"/>
        </w:rPr>
        <w:t>delegate</w:t>
      </w:r>
      <w:r w:rsidR="007F7900" w:rsidRPr="002A3AAE">
        <w:rPr>
          <w:rFonts w:ascii="Times New Roman" w:hAnsi="Times New Roman"/>
        </w:rPr>
        <w:t>, in deciding whether to exercise the power in s</w:t>
      </w:r>
      <w:r w:rsidR="00DD25FF" w:rsidRPr="002A3AAE">
        <w:rPr>
          <w:rFonts w:ascii="Times New Roman" w:hAnsi="Times New Roman"/>
        </w:rPr>
        <w:t> </w:t>
      </w:r>
      <w:r w:rsidR="007F7900" w:rsidRPr="002A3AAE">
        <w:rPr>
          <w:rFonts w:ascii="Times New Roman" w:hAnsi="Times New Roman"/>
        </w:rPr>
        <w:t>501</w:t>
      </w:r>
      <w:proofErr w:type="gramStart"/>
      <w:r w:rsidR="007F7900" w:rsidRPr="002A3AAE">
        <w:rPr>
          <w:rFonts w:ascii="Times New Roman" w:hAnsi="Times New Roman"/>
        </w:rPr>
        <w:t>CA(</w:t>
      </w:r>
      <w:proofErr w:type="gramEnd"/>
      <w:r w:rsidR="007F7900" w:rsidRPr="002A3AAE">
        <w:rPr>
          <w:rFonts w:ascii="Times New Roman" w:hAnsi="Times New Roman"/>
        </w:rPr>
        <w:t>4)</w:t>
      </w:r>
      <w:r w:rsidR="00DD39BD" w:rsidRPr="002A3AAE">
        <w:rPr>
          <w:rFonts w:ascii="Times New Roman" w:hAnsi="Times New Roman"/>
        </w:rPr>
        <w:t>,</w:t>
      </w:r>
      <w:r w:rsidR="007F7900" w:rsidRPr="002A3AAE">
        <w:rPr>
          <w:rFonts w:ascii="Times New Roman" w:hAnsi="Times New Roman"/>
        </w:rPr>
        <w:t xml:space="preserve"> </w:t>
      </w:r>
      <w:r w:rsidR="00515E19" w:rsidRPr="002A3AAE">
        <w:rPr>
          <w:rFonts w:ascii="Times New Roman" w:hAnsi="Times New Roman"/>
        </w:rPr>
        <w:t xml:space="preserve">was </w:t>
      </w:r>
      <w:r w:rsidR="006073FA" w:rsidRPr="002A3AAE">
        <w:rPr>
          <w:rFonts w:ascii="Times New Roman" w:hAnsi="Times New Roman"/>
        </w:rPr>
        <w:t>require</w:t>
      </w:r>
      <w:r w:rsidR="00EB0D0A" w:rsidRPr="002A3AAE">
        <w:rPr>
          <w:rFonts w:ascii="Times New Roman" w:hAnsi="Times New Roman"/>
        </w:rPr>
        <w:t>d</w:t>
      </w:r>
      <w:r w:rsidR="006073FA" w:rsidRPr="002A3AAE">
        <w:rPr>
          <w:rFonts w:ascii="Times New Roman" w:hAnsi="Times New Roman"/>
        </w:rPr>
        <w:t xml:space="preserve"> </w:t>
      </w:r>
      <w:r w:rsidR="00123CBF" w:rsidRPr="002A3AAE">
        <w:rPr>
          <w:rFonts w:ascii="Times New Roman" w:hAnsi="Times New Roman"/>
        </w:rPr>
        <w:t xml:space="preserve">to engage in </w:t>
      </w:r>
      <w:r w:rsidR="006073FA" w:rsidRPr="002A3AAE">
        <w:rPr>
          <w:rFonts w:ascii="Times New Roman" w:hAnsi="Times New Roman"/>
        </w:rPr>
        <w:t xml:space="preserve">a detailed </w:t>
      </w:r>
      <w:r w:rsidR="00EB0D0A" w:rsidRPr="002A3AAE">
        <w:rPr>
          <w:rFonts w:ascii="Times New Roman" w:hAnsi="Times New Roman"/>
        </w:rPr>
        <w:t>examination</w:t>
      </w:r>
      <w:r w:rsidR="006073FA" w:rsidRPr="002A3AAE">
        <w:rPr>
          <w:rFonts w:ascii="Times New Roman" w:hAnsi="Times New Roman"/>
        </w:rPr>
        <w:t xml:space="preserve"> of the </w:t>
      </w:r>
      <w:r w:rsidR="0051589E" w:rsidRPr="002A3AAE">
        <w:rPr>
          <w:rFonts w:ascii="Times New Roman" w:hAnsi="Times New Roman"/>
        </w:rPr>
        <w:t xml:space="preserve">history, circumstances and prospects of </w:t>
      </w:r>
      <w:r w:rsidR="00EB0D0A" w:rsidRPr="002A3AAE">
        <w:rPr>
          <w:rFonts w:ascii="Times New Roman" w:hAnsi="Times New Roman"/>
        </w:rPr>
        <w:t>the appellant</w:t>
      </w:r>
      <w:r w:rsidR="000E586C" w:rsidRPr="002A3AAE">
        <w:rPr>
          <w:rFonts w:ascii="Times New Roman" w:hAnsi="Times New Roman"/>
        </w:rPr>
        <w:t xml:space="preserve"> and </w:t>
      </w:r>
      <w:r w:rsidR="00515E19" w:rsidRPr="002A3AAE">
        <w:rPr>
          <w:rFonts w:ascii="Times New Roman" w:hAnsi="Times New Roman"/>
        </w:rPr>
        <w:t>to make e</w:t>
      </w:r>
      <w:r w:rsidR="000F7014" w:rsidRPr="002A3AAE">
        <w:rPr>
          <w:rFonts w:ascii="Times New Roman" w:hAnsi="Times New Roman"/>
        </w:rPr>
        <w:t>valuati</w:t>
      </w:r>
      <w:r w:rsidR="00682C02" w:rsidRPr="002A3AAE">
        <w:rPr>
          <w:rFonts w:ascii="Times New Roman" w:hAnsi="Times New Roman"/>
        </w:rPr>
        <w:t>ve findings concerning</w:t>
      </w:r>
      <w:r w:rsidR="000F7014" w:rsidRPr="002A3AAE">
        <w:rPr>
          <w:rFonts w:ascii="Times New Roman" w:hAnsi="Times New Roman"/>
        </w:rPr>
        <w:t xml:space="preserve"> multiple considerations </w:t>
      </w:r>
      <w:r w:rsidR="00CF6845" w:rsidRPr="002A3AAE">
        <w:rPr>
          <w:rFonts w:ascii="Times New Roman" w:hAnsi="Times New Roman"/>
        </w:rPr>
        <w:t xml:space="preserve">including by reference to </w:t>
      </w:r>
      <w:r w:rsidR="00C7424E" w:rsidRPr="002A3AAE">
        <w:rPr>
          <w:rFonts w:ascii="Times New Roman" w:hAnsi="Times New Roman"/>
        </w:rPr>
        <w:t xml:space="preserve">general </w:t>
      </w:r>
      <w:r w:rsidR="00CF6845" w:rsidRPr="002A3AAE">
        <w:rPr>
          <w:rFonts w:ascii="Times New Roman" w:hAnsi="Times New Roman"/>
        </w:rPr>
        <w:t xml:space="preserve">principles stated in the Direction. </w:t>
      </w:r>
    </w:p>
    <w:p w14:paraId="1A2144B9" w14:textId="76866A2A" w:rsidR="00D95EF6" w:rsidRPr="002A3AAE" w:rsidRDefault="000E18CB"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C81067" w:rsidRPr="002A3AAE">
        <w:rPr>
          <w:rFonts w:ascii="Times New Roman" w:hAnsi="Times New Roman"/>
        </w:rPr>
        <w:t>As permitted by s</w:t>
      </w:r>
      <w:r w:rsidR="00DD25FF" w:rsidRPr="002A3AAE">
        <w:rPr>
          <w:rFonts w:ascii="Times New Roman" w:hAnsi="Times New Roman"/>
        </w:rPr>
        <w:t> </w:t>
      </w:r>
      <w:r w:rsidR="00C81067" w:rsidRPr="002A3AAE">
        <w:rPr>
          <w:rFonts w:ascii="Times New Roman" w:hAnsi="Times New Roman"/>
        </w:rPr>
        <w:t>500</w:t>
      </w:r>
      <w:r w:rsidR="006B0FBA" w:rsidRPr="002A3AAE">
        <w:rPr>
          <w:rFonts w:ascii="Times New Roman" w:hAnsi="Times New Roman"/>
        </w:rPr>
        <w:t>(</w:t>
      </w:r>
      <w:proofErr w:type="gramStart"/>
      <w:r w:rsidR="006B0FBA" w:rsidRPr="002A3AAE">
        <w:rPr>
          <w:rFonts w:ascii="Times New Roman" w:hAnsi="Times New Roman"/>
        </w:rPr>
        <w:t>1)(</w:t>
      </w:r>
      <w:proofErr w:type="spellStart"/>
      <w:proofErr w:type="gramEnd"/>
      <w:r w:rsidR="006B0FBA" w:rsidRPr="002A3AAE">
        <w:rPr>
          <w:rFonts w:ascii="Times New Roman" w:hAnsi="Times New Roman"/>
        </w:rPr>
        <w:t>ba</w:t>
      </w:r>
      <w:proofErr w:type="spellEnd"/>
      <w:r w:rsidR="006B0FBA" w:rsidRPr="002A3AAE">
        <w:rPr>
          <w:rFonts w:ascii="Times New Roman" w:hAnsi="Times New Roman"/>
        </w:rPr>
        <w:t>)</w:t>
      </w:r>
      <w:r w:rsidR="00C81067" w:rsidRPr="002A3AAE">
        <w:rPr>
          <w:rFonts w:ascii="Times New Roman" w:hAnsi="Times New Roman"/>
        </w:rPr>
        <w:t xml:space="preserve"> of the Act, t</w:t>
      </w:r>
      <w:r w:rsidR="0095443A" w:rsidRPr="002A3AAE">
        <w:rPr>
          <w:rFonts w:ascii="Times New Roman" w:hAnsi="Times New Roman"/>
        </w:rPr>
        <w:t xml:space="preserve">he appellant applied to the Tribunal for a review of the delegate's decision. </w:t>
      </w:r>
      <w:r w:rsidR="00726388" w:rsidRPr="002A3AAE">
        <w:rPr>
          <w:rFonts w:ascii="Times New Roman" w:hAnsi="Times New Roman"/>
        </w:rPr>
        <w:t xml:space="preserve">In dealing with the application, the Tribunal was required to stand in the shoes of the original decision maker but having regard to the </w:t>
      </w:r>
      <w:proofErr w:type="gramStart"/>
      <w:r w:rsidR="00C30ADD" w:rsidRPr="002A3AAE">
        <w:rPr>
          <w:rFonts w:ascii="Times New Roman" w:hAnsi="Times New Roman"/>
        </w:rPr>
        <w:t>state of affairs</w:t>
      </w:r>
      <w:proofErr w:type="gramEnd"/>
      <w:r w:rsidR="00C30ADD" w:rsidRPr="002A3AAE">
        <w:rPr>
          <w:rFonts w:ascii="Times New Roman" w:hAnsi="Times New Roman"/>
        </w:rPr>
        <w:t xml:space="preserve"> </w:t>
      </w:r>
      <w:r w:rsidR="00726388" w:rsidRPr="002A3AAE">
        <w:rPr>
          <w:rFonts w:ascii="Times New Roman" w:hAnsi="Times New Roman"/>
        </w:rPr>
        <w:t>as it stood at the time of the Tribunal's decision</w:t>
      </w:r>
      <w:r w:rsidR="00726388" w:rsidRPr="002A3AAE">
        <w:rPr>
          <w:rStyle w:val="FootnoteReference"/>
          <w:rFonts w:ascii="Times New Roman" w:hAnsi="Times New Roman"/>
          <w:sz w:val="24"/>
        </w:rPr>
        <w:footnoteReference w:id="9"/>
      </w:r>
      <w:r w:rsidR="0054113F" w:rsidRPr="002A3AAE">
        <w:rPr>
          <w:rFonts w:ascii="Times New Roman" w:hAnsi="Times New Roman"/>
        </w:rPr>
        <w:t xml:space="preserve">. </w:t>
      </w:r>
      <w:r w:rsidR="007B3543" w:rsidRPr="002A3AAE">
        <w:rPr>
          <w:rFonts w:ascii="Times New Roman" w:hAnsi="Times New Roman"/>
        </w:rPr>
        <w:t>Relevantly, t</w:t>
      </w:r>
      <w:r w:rsidR="0054113F" w:rsidRPr="002A3AAE">
        <w:rPr>
          <w:rFonts w:ascii="Times New Roman" w:hAnsi="Times New Roman"/>
        </w:rPr>
        <w:t xml:space="preserve">he Tribunal was </w:t>
      </w:r>
      <w:r w:rsidR="007B3543" w:rsidRPr="002A3AAE">
        <w:rPr>
          <w:rFonts w:ascii="Times New Roman" w:hAnsi="Times New Roman"/>
        </w:rPr>
        <w:t>required to ensure that the appellant was given a reasonable opportunity to present his case</w:t>
      </w:r>
      <w:r w:rsidR="007B3543" w:rsidRPr="002A3AAE">
        <w:rPr>
          <w:rStyle w:val="FootnoteReference"/>
          <w:rFonts w:ascii="Times New Roman" w:hAnsi="Times New Roman"/>
          <w:sz w:val="24"/>
        </w:rPr>
        <w:footnoteReference w:id="10"/>
      </w:r>
      <w:r w:rsidR="00D95EF6" w:rsidRPr="002A3AAE">
        <w:rPr>
          <w:rFonts w:ascii="Times New Roman" w:hAnsi="Times New Roman"/>
        </w:rPr>
        <w:t>.</w:t>
      </w:r>
    </w:p>
    <w:p w14:paraId="1080D09C" w14:textId="385A1501" w:rsidR="006D1D60" w:rsidRPr="002A3AAE" w:rsidRDefault="000E18CB" w:rsidP="002A3AAE">
      <w:pPr>
        <w:pStyle w:val="FixListStyle"/>
        <w:spacing w:after="260" w:line="280" w:lineRule="exact"/>
        <w:ind w:right="0"/>
        <w:jc w:val="both"/>
        <w:rPr>
          <w:rFonts w:ascii="Times New Roman" w:hAnsi="Times New Roman"/>
        </w:rPr>
      </w:pPr>
      <w:r w:rsidRPr="002A3AAE">
        <w:rPr>
          <w:rFonts w:ascii="Times New Roman" w:hAnsi="Times New Roman"/>
        </w:rPr>
        <w:lastRenderedPageBreak/>
        <w:tab/>
      </w:r>
      <w:r w:rsidR="005D29B9" w:rsidRPr="002A3AAE">
        <w:rPr>
          <w:rFonts w:ascii="Times New Roman" w:hAnsi="Times New Roman"/>
        </w:rPr>
        <w:t xml:space="preserve">On 28 February 2019, </w:t>
      </w:r>
      <w:r w:rsidR="00225B1F" w:rsidRPr="002A3AAE">
        <w:rPr>
          <w:rFonts w:ascii="Times New Roman" w:hAnsi="Times New Roman"/>
        </w:rPr>
        <w:t>Ministerial Direction 65 was replaced by a direction known as "Ministerial Direction 79"</w:t>
      </w:r>
      <w:r w:rsidR="00225B1F" w:rsidRPr="002A3AAE">
        <w:rPr>
          <w:rStyle w:val="FootnoteReference"/>
          <w:rFonts w:ascii="Times New Roman" w:hAnsi="Times New Roman"/>
          <w:sz w:val="24"/>
        </w:rPr>
        <w:footnoteReference w:id="11"/>
      </w:r>
      <w:r w:rsidR="00225B1F" w:rsidRPr="002A3AAE">
        <w:rPr>
          <w:rFonts w:ascii="Times New Roman" w:hAnsi="Times New Roman"/>
        </w:rPr>
        <w:t xml:space="preserve">. </w:t>
      </w:r>
      <w:r w:rsidR="00480F37" w:rsidRPr="002A3AAE">
        <w:rPr>
          <w:rFonts w:ascii="Times New Roman" w:hAnsi="Times New Roman"/>
        </w:rPr>
        <w:t>Ministerial Direction 79 was identical to Ministerial Direction 65 in most respects. However, a</w:t>
      </w:r>
      <w:r w:rsidR="00AA1E7B" w:rsidRPr="002A3AAE">
        <w:rPr>
          <w:rFonts w:ascii="Times New Roman" w:hAnsi="Times New Roman"/>
        </w:rPr>
        <w:t xml:space="preserve"> significant difference </w:t>
      </w:r>
      <w:r w:rsidR="00480F37" w:rsidRPr="002A3AAE">
        <w:rPr>
          <w:rFonts w:ascii="Times New Roman" w:hAnsi="Times New Roman"/>
        </w:rPr>
        <w:t>was</w:t>
      </w:r>
      <w:r w:rsidR="00AA1E7B" w:rsidRPr="002A3AAE">
        <w:rPr>
          <w:rFonts w:ascii="Times New Roman" w:hAnsi="Times New Roman"/>
        </w:rPr>
        <w:t xml:space="preserve"> the inclusion in </w:t>
      </w:r>
      <w:r w:rsidR="006D1D60" w:rsidRPr="002A3AAE">
        <w:rPr>
          <w:rFonts w:ascii="Times New Roman" w:hAnsi="Times New Roman"/>
        </w:rPr>
        <w:t xml:space="preserve">Ministerial Direction 79, </w:t>
      </w:r>
      <w:r w:rsidR="006C7FC8" w:rsidRPr="002A3AAE">
        <w:rPr>
          <w:rFonts w:ascii="Times New Roman" w:hAnsi="Times New Roman"/>
        </w:rPr>
        <w:t xml:space="preserve">by </w:t>
      </w:r>
      <w:r w:rsidR="00F23F2A" w:rsidRPr="002A3AAE">
        <w:rPr>
          <w:rFonts w:ascii="Times New Roman" w:hAnsi="Times New Roman"/>
        </w:rPr>
        <w:t>para </w:t>
      </w:r>
      <w:r w:rsidR="00EA2FFE" w:rsidRPr="002A3AAE">
        <w:rPr>
          <w:rFonts w:ascii="Times New Roman" w:hAnsi="Times New Roman"/>
        </w:rPr>
        <w:t>13.1.1(1)</w:t>
      </w:r>
      <w:r w:rsidR="00B268D6" w:rsidRPr="002A3AAE">
        <w:rPr>
          <w:rFonts w:ascii="Times New Roman" w:hAnsi="Times New Roman"/>
        </w:rPr>
        <w:t>(b)</w:t>
      </w:r>
      <w:r w:rsidR="006D1D60" w:rsidRPr="002A3AAE">
        <w:rPr>
          <w:rFonts w:ascii="Times New Roman" w:hAnsi="Times New Roman"/>
        </w:rPr>
        <w:t xml:space="preserve">, </w:t>
      </w:r>
      <w:r w:rsidR="00AA1E7B" w:rsidRPr="002A3AAE">
        <w:rPr>
          <w:rFonts w:ascii="Times New Roman" w:hAnsi="Times New Roman"/>
        </w:rPr>
        <w:t xml:space="preserve">of </w:t>
      </w:r>
      <w:r w:rsidR="006D1D60" w:rsidRPr="002A3AAE">
        <w:rPr>
          <w:rFonts w:ascii="Times New Roman" w:hAnsi="Times New Roman"/>
        </w:rPr>
        <w:t xml:space="preserve">the following </w:t>
      </w:r>
      <w:r w:rsidR="00836E5C" w:rsidRPr="002A3AAE">
        <w:rPr>
          <w:rFonts w:ascii="Times New Roman" w:hAnsi="Times New Roman"/>
        </w:rPr>
        <w:t xml:space="preserve">factor for consideration in </w:t>
      </w:r>
      <w:r w:rsidR="00915A71" w:rsidRPr="002A3AAE">
        <w:rPr>
          <w:rFonts w:ascii="Times New Roman" w:hAnsi="Times New Roman"/>
        </w:rPr>
        <w:t xml:space="preserve">assessing </w:t>
      </w:r>
      <w:r w:rsidR="000656C8" w:rsidRPr="002A3AAE">
        <w:rPr>
          <w:rFonts w:ascii="Times New Roman" w:hAnsi="Times New Roman"/>
        </w:rPr>
        <w:t>the nature and seriousness of the non-citizen's conduct</w:t>
      </w:r>
      <w:r w:rsidR="006D1D60" w:rsidRPr="002A3AAE">
        <w:rPr>
          <w:rFonts w:ascii="Times New Roman" w:hAnsi="Times New Roman"/>
        </w:rPr>
        <w:t>:</w:t>
      </w:r>
    </w:p>
    <w:p w14:paraId="2B2883B9" w14:textId="77777777" w:rsidR="002A3AAE" w:rsidRDefault="00BD6140" w:rsidP="002A3AAE">
      <w:pPr>
        <w:pStyle w:val="leftright"/>
        <w:spacing w:before="0" w:after="260" w:line="280" w:lineRule="exact"/>
        <w:ind w:right="0"/>
        <w:jc w:val="both"/>
        <w:rPr>
          <w:rFonts w:ascii="Times New Roman" w:hAnsi="Times New Roman"/>
        </w:rPr>
      </w:pPr>
      <w:r w:rsidRPr="002A3AAE">
        <w:rPr>
          <w:rFonts w:ascii="Times New Roman" w:hAnsi="Times New Roman"/>
        </w:rPr>
        <w:t>"</w:t>
      </w:r>
      <w:r w:rsidR="00176AF7" w:rsidRPr="002A3AAE">
        <w:rPr>
          <w:rFonts w:ascii="Times New Roman" w:hAnsi="Times New Roman"/>
        </w:rPr>
        <w:t>T</w:t>
      </w:r>
      <w:r w:rsidR="00325084" w:rsidRPr="002A3AAE">
        <w:rPr>
          <w:rFonts w:ascii="Times New Roman" w:hAnsi="Times New Roman"/>
        </w:rPr>
        <w:t>he principle that crimes of a violent nature against women or children are viewed very seriously, regardless of the sentence imposed.</w:t>
      </w:r>
      <w:r w:rsidRPr="002A3AAE">
        <w:rPr>
          <w:rFonts w:ascii="Times New Roman" w:hAnsi="Times New Roman"/>
        </w:rPr>
        <w:t>"</w:t>
      </w:r>
    </w:p>
    <w:p w14:paraId="384F38D5" w14:textId="26EB47A6" w:rsidR="009D0525" w:rsidRPr="002A3AAE" w:rsidRDefault="00C80481"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201178" w:rsidRPr="002A3AAE">
        <w:rPr>
          <w:rFonts w:ascii="Times New Roman" w:hAnsi="Times New Roman"/>
        </w:rPr>
        <w:t xml:space="preserve">The appeal to this </w:t>
      </w:r>
      <w:r w:rsidR="00CE2A23" w:rsidRPr="002A3AAE">
        <w:rPr>
          <w:rFonts w:ascii="Times New Roman" w:hAnsi="Times New Roman"/>
        </w:rPr>
        <w:t>C</w:t>
      </w:r>
      <w:r w:rsidR="00201178" w:rsidRPr="002A3AAE">
        <w:rPr>
          <w:rFonts w:ascii="Times New Roman" w:hAnsi="Times New Roman"/>
        </w:rPr>
        <w:t xml:space="preserve">ourt proceeded on the basis that the Tribunal was required to </w:t>
      </w:r>
      <w:r w:rsidR="00C73EE3" w:rsidRPr="002A3AAE">
        <w:rPr>
          <w:rFonts w:ascii="Times New Roman" w:hAnsi="Times New Roman"/>
        </w:rPr>
        <w:t xml:space="preserve">act in accordance with Ministerial Direction 79. </w:t>
      </w:r>
      <w:r w:rsidR="001E68A6" w:rsidRPr="002A3AAE">
        <w:rPr>
          <w:rFonts w:ascii="Times New Roman" w:hAnsi="Times New Roman"/>
        </w:rPr>
        <w:t xml:space="preserve">It was not suggested that the appellant </w:t>
      </w:r>
      <w:r w:rsidR="00442088" w:rsidRPr="002A3AAE">
        <w:rPr>
          <w:rFonts w:ascii="Times New Roman" w:hAnsi="Times New Roman"/>
        </w:rPr>
        <w:t>might have</w:t>
      </w:r>
      <w:r w:rsidR="001E68A6" w:rsidRPr="002A3AAE">
        <w:rPr>
          <w:rFonts w:ascii="Times New Roman" w:hAnsi="Times New Roman"/>
        </w:rPr>
        <w:t xml:space="preserve"> had any accrued right to </w:t>
      </w:r>
      <w:r w:rsidR="00456B50" w:rsidRPr="002A3AAE">
        <w:rPr>
          <w:rFonts w:ascii="Times New Roman" w:hAnsi="Times New Roman"/>
        </w:rPr>
        <w:t>consideration of his application to the Tribunal in accordance with Ministerial Direction 65</w:t>
      </w:r>
      <w:r w:rsidR="0024384C" w:rsidRPr="002A3AAE">
        <w:rPr>
          <w:rStyle w:val="FootnoteReference"/>
          <w:rFonts w:ascii="Times New Roman" w:hAnsi="Times New Roman"/>
          <w:sz w:val="24"/>
        </w:rPr>
        <w:footnoteReference w:id="12"/>
      </w:r>
      <w:r w:rsidR="00456B50" w:rsidRPr="002A3AAE">
        <w:rPr>
          <w:rFonts w:ascii="Times New Roman" w:hAnsi="Times New Roman"/>
        </w:rPr>
        <w:t xml:space="preserve"> and that question is not considered further. </w:t>
      </w:r>
      <w:r w:rsidR="005524AB" w:rsidRPr="002A3AAE">
        <w:rPr>
          <w:rFonts w:ascii="Times New Roman" w:hAnsi="Times New Roman"/>
        </w:rPr>
        <w:t xml:space="preserve">It is common ground that the appellant was not </w:t>
      </w:r>
      <w:r w:rsidR="00787525" w:rsidRPr="002A3AAE">
        <w:rPr>
          <w:rFonts w:ascii="Times New Roman" w:hAnsi="Times New Roman"/>
        </w:rPr>
        <w:t>p</w:t>
      </w:r>
      <w:r w:rsidR="00EB54EA" w:rsidRPr="002A3AAE">
        <w:rPr>
          <w:rFonts w:ascii="Times New Roman" w:hAnsi="Times New Roman"/>
        </w:rPr>
        <w:t>ut</w:t>
      </w:r>
      <w:r w:rsidR="00787525" w:rsidRPr="002A3AAE">
        <w:rPr>
          <w:rFonts w:ascii="Times New Roman" w:hAnsi="Times New Roman"/>
        </w:rPr>
        <w:t xml:space="preserve"> on notice of the significance of this principle for the Tribunal's review until the Minister's closing submissions at the Tribunal hearing</w:t>
      </w:r>
      <w:r w:rsidR="00C61891" w:rsidRPr="002A3AAE">
        <w:rPr>
          <w:rFonts w:ascii="Times New Roman" w:hAnsi="Times New Roman"/>
        </w:rPr>
        <w:t xml:space="preserve"> on </w:t>
      </w:r>
      <w:r w:rsidR="00A94F9B" w:rsidRPr="002A3AAE">
        <w:rPr>
          <w:rFonts w:ascii="Times New Roman" w:hAnsi="Times New Roman"/>
        </w:rPr>
        <w:t>21 March 2019</w:t>
      </w:r>
      <w:r w:rsidR="00787525" w:rsidRPr="002A3AAE">
        <w:rPr>
          <w:rFonts w:ascii="Times New Roman" w:hAnsi="Times New Roman"/>
        </w:rPr>
        <w:t xml:space="preserve">. </w:t>
      </w:r>
      <w:r w:rsidR="00071CAE" w:rsidRPr="002A3AAE">
        <w:rPr>
          <w:rFonts w:ascii="Times New Roman" w:hAnsi="Times New Roman"/>
        </w:rPr>
        <w:t>The</w:t>
      </w:r>
      <w:r w:rsidR="0051688A" w:rsidRPr="002A3AAE">
        <w:rPr>
          <w:rFonts w:ascii="Times New Roman" w:hAnsi="Times New Roman"/>
        </w:rPr>
        <w:t>re is no suggestion that the</w:t>
      </w:r>
      <w:r w:rsidR="00071CAE" w:rsidRPr="002A3AAE">
        <w:rPr>
          <w:rFonts w:ascii="Times New Roman" w:hAnsi="Times New Roman"/>
        </w:rPr>
        <w:t xml:space="preserve"> </w:t>
      </w:r>
      <w:r w:rsidR="005A3494" w:rsidRPr="002A3AAE">
        <w:rPr>
          <w:rFonts w:ascii="Times New Roman" w:hAnsi="Times New Roman"/>
        </w:rPr>
        <w:t xml:space="preserve">appellant had ever been charged </w:t>
      </w:r>
      <w:r w:rsidR="002E6DB2" w:rsidRPr="002A3AAE">
        <w:rPr>
          <w:rFonts w:ascii="Times New Roman" w:hAnsi="Times New Roman"/>
        </w:rPr>
        <w:t xml:space="preserve">with </w:t>
      </w:r>
      <w:r w:rsidR="005A3494" w:rsidRPr="002A3AAE">
        <w:rPr>
          <w:rFonts w:ascii="Times New Roman" w:hAnsi="Times New Roman"/>
        </w:rPr>
        <w:t xml:space="preserve">or convicted of any domestic violence offence and the </w:t>
      </w:r>
      <w:r w:rsidR="00071CAE" w:rsidRPr="002A3AAE">
        <w:rPr>
          <w:rFonts w:ascii="Times New Roman" w:hAnsi="Times New Roman"/>
        </w:rPr>
        <w:t xml:space="preserve">delegate </w:t>
      </w:r>
      <w:r w:rsidR="004218A9" w:rsidRPr="002A3AAE">
        <w:rPr>
          <w:rFonts w:ascii="Times New Roman" w:hAnsi="Times New Roman"/>
        </w:rPr>
        <w:t>had not</w:t>
      </w:r>
      <w:r w:rsidR="00071CAE" w:rsidRPr="002A3AAE">
        <w:rPr>
          <w:rFonts w:ascii="Times New Roman" w:hAnsi="Times New Roman"/>
        </w:rPr>
        <w:t xml:space="preserve"> mention</w:t>
      </w:r>
      <w:r w:rsidR="004218A9" w:rsidRPr="002A3AAE">
        <w:rPr>
          <w:rFonts w:ascii="Times New Roman" w:hAnsi="Times New Roman"/>
        </w:rPr>
        <w:t>ed</w:t>
      </w:r>
      <w:r w:rsidR="00071CAE" w:rsidRPr="002A3AAE">
        <w:rPr>
          <w:rFonts w:ascii="Times New Roman" w:hAnsi="Times New Roman"/>
        </w:rPr>
        <w:t xml:space="preserve"> domestic or family violence in their </w:t>
      </w:r>
      <w:r w:rsidR="002E78C4" w:rsidRPr="002A3AAE">
        <w:rPr>
          <w:rFonts w:ascii="Times New Roman" w:hAnsi="Times New Roman"/>
        </w:rPr>
        <w:t xml:space="preserve">statement of </w:t>
      </w:r>
      <w:r w:rsidR="00071CAE" w:rsidRPr="002A3AAE">
        <w:rPr>
          <w:rFonts w:ascii="Times New Roman" w:hAnsi="Times New Roman"/>
        </w:rPr>
        <w:t>reasons for deci</w:t>
      </w:r>
      <w:r w:rsidR="002E78C4" w:rsidRPr="002A3AAE">
        <w:rPr>
          <w:rFonts w:ascii="Times New Roman" w:hAnsi="Times New Roman"/>
        </w:rPr>
        <w:t>ding not to revoke the mandatory visa cancellation</w:t>
      </w:r>
      <w:r w:rsidR="00071CAE" w:rsidRPr="002A3AAE">
        <w:rPr>
          <w:rFonts w:ascii="Times New Roman" w:hAnsi="Times New Roman"/>
        </w:rPr>
        <w:t>.</w:t>
      </w:r>
    </w:p>
    <w:p w14:paraId="7B8C7A6C" w14:textId="7506A5D5" w:rsidR="00CF4513" w:rsidRPr="002A3AAE" w:rsidRDefault="00B902C9"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B86DE3" w:rsidRPr="002A3AAE">
        <w:rPr>
          <w:rFonts w:ascii="Times New Roman" w:hAnsi="Times New Roman"/>
        </w:rPr>
        <w:t>The</w:t>
      </w:r>
      <w:r w:rsidR="006C7FC8" w:rsidRPr="002A3AAE">
        <w:rPr>
          <w:rFonts w:ascii="Times New Roman" w:hAnsi="Times New Roman"/>
        </w:rPr>
        <w:t xml:space="preserve"> appellant was </w:t>
      </w:r>
      <w:r w:rsidR="007C6197" w:rsidRPr="002A3AAE">
        <w:rPr>
          <w:rFonts w:ascii="Times New Roman" w:hAnsi="Times New Roman"/>
        </w:rPr>
        <w:t xml:space="preserve">generally aware that </w:t>
      </w:r>
      <w:r w:rsidR="006A134E" w:rsidRPr="002A3AAE">
        <w:rPr>
          <w:rFonts w:ascii="Times New Roman" w:hAnsi="Times New Roman"/>
        </w:rPr>
        <w:t xml:space="preserve">allegations of domestic violence were relevant </w:t>
      </w:r>
      <w:r w:rsidR="004623CB" w:rsidRPr="002A3AAE">
        <w:rPr>
          <w:rFonts w:ascii="Times New Roman" w:hAnsi="Times New Roman"/>
        </w:rPr>
        <w:t xml:space="preserve">to the Tribunal's review. </w:t>
      </w:r>
      <w:r w:rsidR="00FD20DA" w:rsidRPr="002A3AAE">
        <w:rPr>
          <w:rFonts w:ascii="Times New Roman" w:hAnsi="Times New Roman"/>
        </w:rPr>
        <w:t xml:space="preserve">The Minister obtained under summons </w:t>
      </w:r>
      <w:r w:rsidR="00F44EC8" w:rsidRPr="002A3AAE">
        <w:rPr>
          <w:rFonts w:ascii="Times New Roman" w:hAnsi="Times New Roman"/>
        </w:rPr>
        <w:t>two police reports of family violence involving the appellant</w:t>
      </w:r>
      <w:r w:rsidR="00FD20DA" w:rsidRPr="002A3AAE">
        <w:rPr>
          <w:rFonts w:ascii="Times New Roman" w:hAnsi="Times New Roman"/>
        </w:rPr>
        <w:t xml:space="preserve"> in 2012 and 2016</w:t>
      </w:r>
      <w:r w:rsidR="00F44EC8" w:rsidRPr="002A3AAE">
        <w:rPr>
          <w:rFonts w:ascii="Times New Roman" w:hAnsi="Times New Roman"/>
        </w:rPr>
        <w:t>. The appellant was aware of the</w:t>
      </w:r>
      <w:r w:rsidR="007E7A9F" w:rsidRPr="002A3AAE">
        <w:rPr>
          <w:rFonts w:ascii="Times New Roman" w:hAnsi="Times New Roman"/>
        </w:rPr>
        <w:t>se reports</w:t>
      </w:r>
      <w:r w:rsidR="00F44EC8" w:rsidRPr="002A3AAE">
        <w:rPr>
          <w:rFonts w:ascii="Times New Roman" w:hAnsi="Times New Roman"/>
        </w:rPr>
        <w:t xml:space="preserve"> prior to the Tribunal hearing and there was no suggestion of procedural unfairness in the</w:t>
      </w:r>
      <w:r w:rsidR="007E7A9F" w:rsidRPr="002A3AAE">
        <w:rPr>
          <w:rFonts w:ascii="Times New Roman" w:hAnsi="Times New Roman"/>
        </w:rPr>
        <w:t>ir</w:t>
      </w:r>
      <w:r w:rsidR="00F44EC8" w:rsidRPr="002A3AAE">
        <w:rPr>
          <w:rFonts w:ascii="Times New Roman" w:hAnsi="Times New Roman"/>
        </w:rPr>
        <w:t xml:space="preserve"> use at the hearing. </w:t>
      </w:r>
      <w:r w:rsidR="00A45103" w:rsidRPr="002A3AAE">
        <w:rPr>
          <w:rFonts w:ascii="Times New Roman" w:hAnsi="Times New Roman"/>
        </w:rPr>
        <w:t xml:space="preserve">Seemingly </w:t>
      </w:r>
      <w:r w:rsidR="00791B01" w:rsidRPr="002A3AAE">
        <w:rPr>
          <w:rFonts w:ascii="Times New Roman" w:hAnsi="Times New Roman"/>
        </w:rPr>
        <w:t>intended to respond</w:t>
      </w:r>
      <w:r w:rsidR="00A45103" w:rsidRPr="002A3AAE">
        <w:rPr>
          <w:rFonts w:ascii="Times New Roman" w:hAnsi="Times New Roman"/>
        </w:rPr>
        <w:t xml:space="preserve"> to the </w:t>
      </w:r>
      <w:r w:rsidR="00791B01" w:rsidRPr="002A3AAE">
        <w:rPr>
          <w:rFonts w:ascii="Times New Roman" w:hAnsi="Times New Roman"/>
        </w:rPr>
        <w:t>police reports, t</w:t>
      </w:r>
      <w:r w:rsidR="0025462C" w:rsidRPr="002A3AAE">
        <w:rPr>
          <w:rFonts w:ascii="Times New Roman" w:hAnsi="Times New Roman"/>
        </w:rPr>
        <w:t>h</w:t>
      </w:r>
      <w:r w:rsidR="00FD20DA" w:rsidRPr="002A3AAE">
        <w:rPr>
          <w:rFonts w:ascii="Times New Roman" w:hAnsi="Times New Roman"/>
        </w:rPr>
        <w:t>e appellant</w:t>
      </w:r>
      <w:r w:rsidR="00255800" w:rsidRPr="002A3AAE">
        <w:rPr>
          <w:rFonts w:ascii="Times New Roman" w:hAnsi="Times New Roman"/>
        </w:rPr>
        <w:t xml:space="preserve"> submi</w:t>
      </w:r>
      <w:r w:rsidR="009F3565" w:rsidRPr="002A3AAE">
        <w:rPr>
          <w:rFonts w:ascii="Times New Roman" w:hAnsi="Times New Roman"/>
        </w:rPr>
        <w:t>tted</w:t>
      </w:r>
      <w:r w:rsidR="007F04DE" w:rsidRPr="002A3AAE">
        <w:rPr>
          <w:rFonts w:ascii="Times New Roman" w:hAnsi="Times New Roman"/>
        </w:rPr>
        <w:t xml:space="preserve"> to the Tribunal </w:t>
      </w:r>
      <w:r w:rsidR="00B343B0" w:rsidRPr="002A3AAE">
        <w:rPr>
          <w:rFonts w:ascii="Times New Roman" w:hAnsi="Times New Roman"/>
        </w:rPr>
        <w:t xml:space="preserve">a letter </w:t>
      </w:r>
      <w:r w:rsidR="006766E5" w:rsidRPr="002A3AAE">
        <w:rPr>
          <w:rFonts w:ascii="Times New Roman" w:hAnsi="Times New Roman"/>
        </w:rPr>
        <w:t xml:space="preserve">of support </w:t>
      </w:r>
      <w:r w:rsidR="00B343B0" w:rsidRPr="002A3AAE">
        <w:rPr>
          <w:rFonts w:ascii="Times New Roman" w:hAnsi="Times New Roman"/>
        </w:rPr>
        <w:t xml:space="preserve">from </w:t>
      </w:r>
      <w:r w:rsidR="006B7BF3" w:rsidRPr="002A3AAE">
        <w:rPr>
          <w:rFonts w:ascii="Times New Roman" w:hAnsi="Times New Roman"/>
        </w:rPr>
        <w:t>his wife</w:t>
      </w:r>
      <w:r w:rsidR="007725A8" w:rsidRPr="002A3AAE">
        <w:rPr>
          <w:rFonts w:ascii="Times New Roman" w:hAnsi="Times New Roman"/>
        </w:rPr>
        <w:t xml:space="preserve"> dated 5 March 20</w:t>
      </w:r>
      <w:r w:rsidR="00936649" w:rsidRPr="002A3AAE">
        <w:rPr>
          <w:rFonts w:ascii="Times New Roman" w:hAnsi="Times New Roman"/>
        </w:rPr>
        <w:t>19</w:t>
      </w:r>
      <w:r w:rsidR="009A0451" w:rsidRPr="002A3AAE">
        <w:rPr>
          <w:rFonts w:ascii="Times New Roman" w:hAnsi="Times New Roman"/>
        </w:rPr>
        <w:t>, in which she referred to two o</w:t>
      </w:r>
      <w:r w:rsidR="00E85229" w:rsidRPr="002A3AAE">
        <w:rPr>
          <w:rFonts w:ascii="Times New Roman" w:hAnsi="Times New Roman"/>
        </w:rPr>
        <w:t>c</w:t>
      </w:r>
      <w:r w:rsidR="009A0451" w:rsidRPr="002A3AAE">
        <w:rPr>
          <w:rFonts w:ascii="Times New Roman" w:hAnsi="Times New Roman"/>
        </w:rPr>
        <w:t xml:space="preserve">casions on which </w:t>
      </w:r>
      <w:r w:rsidR="00E85229" w:rsidRPr="002A3AAE">
        <w:rPr>
          <w:rFonts w:ascii="Times New Roman" w:hAnsi="Times New Roman"/>
        </w:rPr>
        <w:t>she had reported the appellant to the police</w:t>
      </w:r>
      <w:r w:rsidR="006766E5" w:rsidRPr="002A3AAE">
        <w:rPr>
          <w:rFonts w:ascii="Times New Roman" w:hAnsi="Times New Roman"/>
        </w:rPr>
        <w:t xml:space="preserve">. </w:t>
      </w:r>
      <w:r w:rsidR="00E85229" w:rsidRPr="002A3AAE">
        <w:rPr>
          <w:rFonts w:ascii="Times New Roman" w:hAnsi="Times New Roman"/>
        </w:rPr>
        <w:t>However, t</w:t>
      </w:r>
      <w:r w:rsidR="006766E5" w:rsidRPr="002A3AAE">
        <w:rPr>
          <w:rFonts w:ascii="Times New Roman" w:hAnsi="Times New Roman"/>
        </w:rPr>
        <w:t xml:space="preserve">he letter </w:t>
      </w:r>
      <w:r w:rsidR="00697109" w:rsidRPr="002A3AAE">
        <w:rPr>
          <w:rFonts w:ascii="Times New Roman" w:hAnsi="Times New Roman"/>
        </w:rPr>
        <w:t xml:space="preserve">did not </w:t>
      </w:r>
      <w:r w:rsidR="00C949D9" w:rsidRPr="002A3AAE">
        <w:rPr>
          <w:rFonts w:ascii="Times New Roman" w:hAnsi="Times New Roman"/>
        </w:rPr>
        <w:t xml:space="preserve">say anything specific about </w:t>
      </w:r>
      <w:r w:rsidR="002F39C8" w:rsidRPr="002A3AAE">
        <w:rPr>
          <w:rFonts w:ascii="Times New Roman" w:hAnsi="Times New Roman"/>
        </w:rPr>
        <w:t xml:space="preserve">the </w:t>
      </w:r>
      <w:r w:rsidR="00C949D9" w:rsidRPr="002A3AAE">
        <w:rPr>
          <w:rFonts w:ascii="Times New Roman" w:hAnsi="Times New Roman"/>
        </w:rPr>
        <w:t xml:space="preserve">incidents </w:t>
      </w:r>
      <w:r w:rsidR="00170753" w:rsidRPr="002A3AAE">
        <w:rPr>
          <w:rFonts w:ascii="Times New Roman" w:hAnsi="Times New Roman"/>
        </w:rPr>
        <w:t>that led to th</w:t>
      </w:r>
      <w:r w:rsidR="002F39C8" w:rsidRPr="002A3AAE">
        <w:rPr>
          <w:rFonts w:ascii="Times New Roman" w:hAnsi="Times New Roman"/>
        </w:rPr>
        <w:t>e</w:t>
      </w:r>
      <w:r w:rsidR="00170753" w:rsidRPr="002A3AAE">
        <w:rPr>
          <w:rFonts w:ascii="Times New Roman" w:hAnsi="Times New Roman"/>
        </w:rPr>
        <w:t xml:space="preserve"> reports</w:t>
      </w:r>
      <w:r w:rsidR="00BE0F3E" w:rsidRPr="002A3AAE">
        <w:rPr>
          <w:rFonts w:ascii="Times New Roman" w:hAnsi="Times New Roman"/>
        </w:rPr>
        <w:t xml:space="preserve"> or express any views about whether the incidents were likely to be repeated. </w:t>
      </w:r>
      <w:r w:rsidR="0091406D" w:rsidRPr="002A3AAE">
        <w:rPr>
          <w:rFonts w:ascii="Times New Roman" w:hAnsi="Times New Roman"/>
        </w:rPr>
        <w:t xml:space="preserve">It is fair to say that the letter </w:t>
      </w:r>
      <w:r w:rsidR="00BC132F" w:rsidRPr="002A3AAE">
        <w:rPr>
          <w:rFonts w:ascii="Times New Roman" w:hAnsi="Times New Roman"/>
        </w:rPr>
        <w:t>was principally concerned with the interests of the appellant's family</w:t>
      </w:r>
      <w:r w:rsidR="00AF2C74" w:rsidRPr="002A3AAE">
        <w:rPr>
          <w:rFonts w:ascii="Times New Roman" w:hAnsi="Times New Roman"/>
        </w:rPr>
        <w:t xml:space="preserve"> which, the wife</w:t>
      </w:r>
      <w:r w:rsidR="00BD11AF" w:rsidRPr="002A3AAE">
        <w:rPr>
          <w:rFonts w:ascii="Times New Roman" w:hAnsi="Times New Roman"/>
        </w:rPr>
        <w:t xml:space="preserve"> argued, would be best served by permitting the appellant to remain in Australia. </w:t>
      </w:r>
    </w:p>
    <w:p w14:paraId="4B729938" w14:textId="38FDEF65" w:rsidR="007725A8" w:rsidRPr="002A3AAE" w:rsidRDefault="00B902C9" w:rsidP="002A3AAE">
      <w:pPr>
        <w:pStyle w:val="FixListStyle"/>
        <w:spacing w:after="260" w:line="280" w:lineRule="exact"/>
        <w:ind w:right="0"/>
        <w:jc w:val="both"/>
        <w:rPr>
          <w:rFonts w:ascii="Times New Roman" w:hAnsi="Times New Roman"/>
        </w:rPr>
      </w:pPr>
      <w:r w:rsidRPr="002A3AAE">
        <w:rPr>
          <w:rFonts w:ascii="Times New Roman" w:hAnsi="Times New Roman"/>
        </w:rPr>
        <w:lastRenderedPageBreak/>
        <w:tab/>
      </w:r>
      <w:r w:rsidR="00936649" w:rsidRPr="002A3AAE">
        <w:rPr>
          <w:rFonts w:ascii="Times New Roman" w:hAnsi="Times New Roman"/>
        </w:rPr>
        <w:t>T</w:t>
      </w:r>
      <w:r w:rsidR="007725A8" w:rsidRPr="002A3AAE">
        <w:rPr>
          <w:rFonts w:ascii="Times New Roman" w:hAnsi="Times New Roman"/>
        </w:rPr>
        <w:t>he Minister provided the appellant with a Statement of Facts, Issues and Contentions prior to the Tribunal hearing</w:t>
      </w:r>
      <w:r w:rsidR="00D9284F" w:rsidRPr="002A3AAE">
        <w:rPr>
          <w:rFonts w:ascii="Times New Roman" w:hAnsi="Times New Roman"/>
        </w:rPr>
        <w:t>. That</w:t>
      </w:r>
      <w:r w:rsidR="007725A8" w:rsidRPr="002A3AAE">
        <w:rPr>
          <w:rFonts w:ascii="Times New Roman" w:hAnsi="Times New Roman"/>
        </w:rPr>
        <w:t xml:space="preserve"> document did not address </w:t>
      </w:r>
      <w:r w:rsidR="00F23F2A" w:rsidRPr="002A3AAE">
        <w:rPr>
          <w:rFonts w:ascii="Times New Roman" w:hAnsi="Times New Roman"/>
        </w:rPr>
        <w:t>para </w:t>
      </w:r>
      <w:r w:rsidR="007725A8" w:rsidRPr="002A3AAE">
        <w:rPr>
          <w:rFonts w:ascii="Times New Roman" w:hAnsi="Times New Roman"/>
        </w:rPr>
        <w:t xml:space="preserve">13.1.1(1)(b) but did refer to "incidents of domestic violence resulting in the issuing of violence restraining orders" as a matter affecting the best interests of the appellant's minor children, and </w:t>
      </w:r>
      <w:r w:rsidR="00E32481" w:rsidRPr="002A3AAE">
        <w:rPr>
          <w:rFonts w:ascii="Times New Roman" w:hAnsi="Times New Roman"/>
        </w:rPr>
        <w:t xml:space="preserve">to </w:t>
      </w:r>
      <w:r w:rsidR="007725A8" w:rsidRPr="002A3AAE">
        <w:rPr>
          <w:rFonts w:ascii="Times New Roman" w:hAnsi="Times New Roman"/>
        </w:rPr>
        <w:t>"numerous unprovoked violent offences against strangers and assaults against [the appellant's] partner" as a matter affecting the expectations of the Australian community.</w:t>
      </w:r>
    </w:p>
    <w:p w14:paraId="0CB118EA" w14:textId="74090B89" w:rsidR="00DB7794" w:rsidRPr="002A3AAE" w:rsidRDefault="00B902C9"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740C97" w:rsidRPr="002A3AAE">
        <w:rPr>
          <w:rFonts w:ascii="Times New Roman" w:hAnsi="Times New Roman"/>
        </w:rPr>
        <w:t xml:space="preserve">At the Tribunal hearing, the appellant represented himself. </w:t>
      </w:r>
      <w:r w:rsidR="00A7702E" w:rsidRPr="002A3AAE">
        <w:rPr>
          <w:rFonts w:ascii="Times New Roman" w:hAnsi="Times New Roman"/>
        </w:rPr>
        <w:t xml:space="preserve">Early in the hearing, the </w:t>
      </w:r>
      <w:r w:rsidR="00906474" w:rsidRPr="002A3AAE">
        <w:rPr>
          <w:rFonts w:ascii="Times New Roman" w:hAnsi="Times New Roman"/>
        </w:rPr>
        <w:t xml:space="preserve">Tribunal </w:t>
      </w:r>
      <w:r w:rsidR="00AA358A" w:rsidRPr="002A3AAE">
        <w:rPr>
          <w:rFonts w:ascii="Times New Roman" w:hAnsi="Times New Roman"/>
        </w:rPr>
        <w:t xml:space="preserve">member </w:t>
      </w:r>
      <w:r w:rsidR="006865B1" w:rsidRPr="002A3AAE">
        <w:rPr>
          <w:rFonts w:ascii="Times New Roman" w:hAnsi="Times New Roman"/>
        </w:rPr>
        <w:t xml:space="preserve">noted that she was considering the application under </w:t>
      </w:r>
      <w:r w:rsidR="00170753" w:rsidRPr="002A3AAE">
        <w:rPr>
          <w:rFonts w:ascii="Times New Roman" w:hAnsi="Times New Roman"/>
        </w:rPr>
        <w:t xml:space="preserve">Ministerial </w:t>
      </w:r>
      <w:r w:rsidR="006865B1" w:rsidRPr="002A3AAE">
        <w:rPr>
          <w:rFonts w:ascii="Times New Roman" w:hAnsi="Times New Roman"/>
        </w:rPr>
        <w:t>Direction 79</w:t>
      </w:r>
      <w:r w:rsidR="006059AD" w:rsidRPr="002A3AAE">
        <w:rPr>
          <w:rFonts w:ascii="Times New Roman" w:hAnsi="Times New Roman"/>
        </w:rPr>
        <w:t>. The Tribunal member gave</w:t>
      </w:r>
      <w:r w:rsidR="00291561" w:rsidRPr="002A3AAE">
        <w:rPr>
          <w:rFonts w:ascii="Times New Roman" w:hAnsi="Times New Roman"/>
        </w:rPr>
        <w:t xml:space="preserve"> the appellant a copy of </w:t>
      </w:r>
      <w:r w:rsidR="00170753" w:rsidRPr="002A3AAE">
        <w:rPr>
          <w:rFonts w:ascii="Times New Roman" w:hAnsi="Times New Roman"/>
        </w:rPr>
        <w:t xml:space="preserve">Ministerial </w:t>
      </w:r>
      <w:r w:rsidR="00291561" w:rsidRPr="002A3AAE">
        <w:rPr>
          <w:rFonts w:ascii="Times New Roman" w:hAnsi="Times New Roman"/>
        </w:rPr>
        <w:t xml:space="preserve">Direction 79 </w:t>
      </w:r>
      <w:r w:rsidR="004E7456" w:rsidRPr="002A3AAE">
        <w:rPr>
          <w:rFonts w:ascii="Times New Roman" w:hAnsi="Times New Roman"/>
        </w:rPr>
        <w:t xml:space="preserve">with red markings to identify changes from </w:t>
      </w:r>
      <w:r w:rsidR="00B8029D" w:rsidRPr="002A3AAE">
        <w:rPr>
          <w:rFonts w:ascii="Times New Roman" w:hAnsi="Times New Roman"/>
        </w:rPr>
        <w:t>Ministerial Direction 65</w:t>
      </w:r>
      <w:r w:rsidR="009040B4" w:rsidRPr="002A3AAE">
        <w:rPr>
          <w:rFonts w:ascii="Times New Roman" w:hAnsi="Times New Roman"/>
        </w:rPr>
        <w:t xml:space="preserve">. </w:t>
      </w:r>
      <w:r w:rsidR="00AA358A" w:rsidRPr="002A3AAE">
        <w:rPr>
          <w:rFonts w:ascii="Times New Roman" w:hAnsi="Times New Roman"/>
        </w:rPr>
        <w:t xml:space="preserve">She said </w:t>
      </w:r>
      <w:r w:rsidR="00312004" w:rsidRPr="002A3AAE">
        <w:rPr>
          <w:rFonts w:ascii="Times New Roman" w:hAnsi="Times New Roman"/>
        </w:rPr>
        <w:t>that there w</w:t>
      </w:r>
      <w:r w:rsidR="00BB77EE" w:rsidRPr="002A3AAE">
        <w:rPr>
          <w:rFonts w:ascii="Times New Roman" w:hAnsi="Times New Roman"/>
        </w:rPr>
        <w:t>ere</w:t>
      </w:r>
      <w:r w:rsidR="00312004" w:rsidRPr="002A3AAE">
        <w:rPr>
          <w:rFonts w:ascii="Times New Roman" w:hAnsi="Times New Roman"/>
        </w:rPr>
        <w:t xml:space="preserve"> </w:t>
      </w:r>
      <w:r w:rsidR="00AA358A" w:rsidRPr="002A3AAE">
        <w:rPr>
          <w:rFonts w:ascii="Times New Roman" w:hAnsi="Times New Roman"/>
        </w:rPr>
        <w:t>"only minor changes to the direction"</w:t>
      </w:r>
      <w:r w:rsidR="00170753" w:rsidRPr="002A3AAE">
        <w:rPr>
          <w:rFonts w:ascii="Times New Roman" w:hAnsi="Times New Roman"/>
        </w:rPr>
        <w:t xml:space="preserve"> and </w:t>
      </w:r>
      <w:r w:rsidR="00AE4270" w:rsidRPr="002A3AAE">
        <w:rPr>
          <w:rFonts w:ascii="Times New Roman" w:hAnsi="Times New Roman"/>
        </w:rPr>
        <w:t xml:space="preserve">further </w:t>
      </w:r>
      <w:r w:rsidR="00170753" w:rsidRPr="002A3AAE">
        <w:rPr>
          <w:rFonts w:ascii="Times New Roman" w:hAnsi="Times New Roman"/>
        </w:rPr>
        <w:t>commen</w:t>
      </w:r>
      <w:r w:rsidR="00AE4270" w:rsidRPr="002A3AAE">
        <w:rPr>
          <w:rFonts w:ascii="Times New Roman" w:hAnsi="Times New Roman"/>
        </w:rPr>
        <w:t>ted that "[m]</w:t>
      </w:r>
      <w:proofErr w:type="spellStart"/>
      <w:r w:rsidR="0039382C" w:rsidRPr="002A3AAE">
        <w:rPr>
          <w:rFonts w:ascii="Times New Roman" w:hAnsi="Times New Roman"/>
        </w:rPr>
        <w:t>ost</w:t>
      </w:r>
      <w:proofErr w:type="spellEnd"/>
      <w:r w:rsidR="0039382C" w:rsidRPr="002A3AAE">
        <w:rPr>
          <w:rFonts w:ascii="Times New Roman" w:hAnsi="Times New Roman"/>
        </w:rPr>
        <w:t xml:space="preserve"> </w:t>
      </w:r>
      <w:r w:rsidR="00AE4270" w:rsidRPr="002A3AAE">
        <w:rPr>
          <w:rFonts w:ascii="Times New Roman" w:hAnsi="Times New Roman"/>
        </w:rPr>
        <w:t>of those changes relate to how we treat crimes where women and children are involved</w:t>
      </w:r>
      <w:r w:rsidR="004C0A0A" w:rsidRPr="002A3AAE">
        <w:rPr>
          <w:rFonts w:ascii="Times New Roman" w:hAnsi="Times New Roman"/>
        </w:rPr>
        <w:t>,</w:t>
      </w:r>
      <w:r w:rsidR="00AE4270" w:rsidRPr="002A3AAE">
        <w:rPr>
          <w:rFonts w:ascii="Times New Roman" w:hAnsi="Times New Roman"/>
        </w:rPr>
        <w:t xml:space="preserve"> and with respect to the conviction history I have for you in front of me, I think they're of minor relevan</w:t>
      </w:r>
      <w:r w:rsidR="007C3812" w:rsidRPr="002A3AAE">
        <w:rPr>
          <w:rFonts w:ascii="Times New Roman" w:hAnsi="Times New Roman"/>
        </w:rPr>
        <w:t>ce</w:t>
      </w:r>
      <w:r w:rsidR="0067433A" w:rsidRPr="002A3AAE">
        <w:rPr>
          <w:rFonts w:ascii="Times New Roman" w:hAnsi="Times New Roman"/>
        </w:rPr>
        <w:t>,</w:t>
      </w:r>
      <w:r w:rsidR="000A3E85" w:rsidRPr="002A3AAE">
        <w:rPr>
          <w:rFonts w:ascii="Times New Roman" w:hAnsi="Times New Roman"/>
        </w:rPr>
        <w:t xml:space="preserve"> </w:t>
      </w:r>
      <w:r w:rsidR="00AE4270" w:rsidRPr="002A3AAE">
        <w:rPr>
          <w:rFonts w:ascii="Times New Roman" w:hAnsi="Times New Roman"/>
        </w:rPr>
        <w:t xml:space="preserve">those changes. That is, mostly relevance [sic] to where the applicant has been </w:t>
      </w:r>
      <w:r w:rsidR="007F2563" w:rsidRPr="002A3AAE">
        <w:rPr>
          <w:rFonts w:ascii="Times New Roman" w:hAnsi="Times New Roman"/>
        </w:rPr>
        <w:t xml:space="preserve">charges [sic] in relation to convictions and offences in relation to women and children." The </w:t>
      </w:r>
      <w:r w:rsidR="001F2F08" w:rsidRPr="002A3AAE">
        <w:rPr>
          <w:rFonts w:ascii="Times New Roman" w:hAnsi="Times New Roman"/>
        </w:rPr>
        <w:t xml:space="preserve">solicitor appearing for the </w:t>
      </w:r>
      <w:r w:rsidR="00E95126" w:rsidRPr="002A3AAE">
        <w:rPr>
          <w:rFonts w:ascii="Times New Roman" w:hAnsi="Times New Roman"/>
        </w:rPr>
        <w:t>Minister at the Tribunal hearing did not raise any issue concerning t</w:t>
      </w:r>
      <w:r w:rsidR="003701C2" w:rsidRPr="002A3AAE">
        <w:rPr>
          <w:rFonts w:ascii="Times New Roman" w:hAnsi="Times New Roman"/>
        </w:rPr>
        <w:t>he</w:t>
      </w:r>
      <w:r w:rsidR="00F74C86" w:rsidRPr="002A3AAE">
        <w:rPr>
          <w:rFonts w:ascii="Times New Roman" w:hAnsi="Times New Roman"/>
        </w:rPr>
        <w:t>se</w:t>
      </w:r>
      <w:r w:rsidR="003701C2" w:rsidRPr="002A3AAE">
        <w:rPr>
          <w:rFonts w:ascii="Times New Roman" w:hAnsi="Times New Roman"/>
        </w:rPr>
        <w:t xml:space="preserve"> observations. </w:t>
      </w:r>
    </w:p>
    <w:p w14:paraId="53E4D1B5" w14:textId="4A397123" w:rsidR="003701C2" w:rsidRPr="002A3AAE" w:rsidRDefault="00B902C9"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785137" w:rsidRPr="002A3AAE">
        <w:rPr>
          <w:rFonts w:ascii="Times New Roman" w:hAnsi="Times New Roman"/>
        </w:rPr>
        <w:t>T</w:t>
      </w:r>
      <w:r w:rsidR="00B70BFD" w:rsidRPr="002A3AAE">
        <w:rPr>
          <w:rFonts w:ascii="Times New Roman" w:hAnsi="Times New Roman"/>
        </w:rPr>
        <w:t xml:space="preserve">he appellant then gave some evidence on his own behalf, </w:t>
      </w:r>
      <w:r w:rsidR="00785137" w:rsidRPr="002A3AAE">
        <w:rPr>
          <w:rFonts w:ascii="Times New Roman" w:hAnsi="Times New Roman"/>
        </w:rPr>
        <w:t xml:space="preserve">after which </w:t>
      </w:r>
      <w:r w:rsidR="00B70BFD" w:rsidRPr="002A3AAE">
        <w:rPr>
          <w:rFonts w:ascii="Times New Roman" w:hAnsi="Times New Roman"/>
        </w:rPr>
        <w:t>the Minister's solicitor made</w:t>
      </w:r>
      <w:r w:rsidR="00051E7B" w:rsidRPr="002A3AAE">
        <w:rPr>
          <w:rFonts w:ascii="Times New Roman" w:hAnsi="Times New Roman"/>
        </w:rPr>
        <w:t xml:space="preserve"> brief oral opening submissions</w:t>
      </w:r>
      <w:r w:rsidR="00B70BFD" w:rsidRPr="002A3AAE">
        <w:rPr>
          <w:rFonts w:ascii="Times New Roman" w:hAnsi="Times New Roman"/>
        </w:rPr>
        <w:t xml:space="preserve">. </w:t>
      </w:r>
      <w:r w:rsidR="006E6B0A" w:rsidRPr="002A3AAE">
        <w:rPr>
          <w:rFonts w:ascii="Times New Roman" w:hAnsi="Times New Roman"/>
        </w:rPr>
        <w:t>T</w:t>
      </w:r>
      <w:r w:rsidR="00B70BFD" w:rsidRPr="002A3AAE">
        <w:rPr>
          <w:rFonts w:ascii="Times New Roman" w:hAnsi="Times New Roman"/>
        </w:rPr>
        <w:t xml:space="preserve">he </w:t>
      </w:r>
      <w:r w:rsidR="008E2D05" w:rsidRPr="002A3AAE">
        <w:rPr>
          <w:rFonts w:ascii="Times New Roman" w:hAnsi="Times New Roman"/>
        </w:rPr>
        <w:t>Minister's solicitor stated the</w:t>
      </w:r>
      <w:r w:rsidR="008D73C7" w:rsidRPr="002A3AAE">
        <w:rPr>
          <w:rFonts w:ascii="Times New Roman" w:hAnsi="Times New Roman"/>
        </w:rPr>
        <w:t xml:space="preserve"> Minister</w:t>
      </w:r>
      <w:r w:rsidR="008E2D05" w:rsidRPr="002A3AAE">
        <w:rPr>
          <w:rFonts w:ascii="Times New Roman" w:hAnsi="Times New Roman"/>
        </w:rPr>
        <w:t>'s</w:t>
      </w:r>
      <w:r w:rsidR="008D73C7" w:rsidRPr="002A3AAE">
        <w:rPr>
          <w:rFonts w:ascii="Times New Roman" w:hAnsi="Times New Roman"/>
        </w:rPr>
        <w:t xml:space="preserve"> contention that the appellant had been convicted of many serious crimes and</w:t>
      </w:r>
      <w:r w:rsidR="00A37951" w:rsidRPr="002A3AAE">
        <w:rPr>
          <w:rFonts w:ascii="Times New Roman" w:hAnsi="Times New Roman"/>
        </w:rPr>
        <w:t xml:space="preserve"> "there's also evidence of serious behaviours that should be of concern to the Australian community". </w:t>
      </w:r>
      <w:r w:rsidR="00503910" w:rsidRPr="002A3AAE">
        <w:rPr>
          <w:rFonts w:ascii="Times New Roman" w:hAnsi="Times New Roman"/>
        </w:rPr>
        <w:t>The solicitor did not specify the nature of the "serious behaviours</w:t>
      </w:r>
      <w:proofErr w:type="gramStart"/>
      <w:r w:rsidR="00503910" w:rsidRPr="002A3AAE">
        <w:rPr>
          <w:rFonts w:ascii="Times New Roman" w:hAnsi="Times New Roman"/>
        </w:rPr>
        <w:t>"</w:t>
      </w:r>
      <w:proofErr w:type="gramEnd"/>
      <w:r w:rsidR="005528FB" w:rsidRPr="002A3AAE">
        <w:rPr>
          <w:rFonts w:ascii="Times New Roman" w:hAnsi="Times New Roman"/>
        </w:rPr>
        <w:t xml:space="preserve"> and he did not </w:t>
      </w:r>
      <w:r w:rsidR="006C756F" w:rsidRPr="002A3AAE">
        <w:rPr>
          <w:rFonts w:ascii="Times New Roman" w:hAnsi="Times New Roman"/>
        </w:rPr>
        <w:t xml:space="preserve">say anything to indicate that, by reason of the new language in </w:t>
      </w:r>
      <w:r w:rsidR="005A149D" w:rsidRPr="002A3AAE">
        <w:rPr>
          <w:rFonts w:ascii="Times New Roman" w:hAnsi="Times New Roman"/>
        </w:rPr>
        <w:t xml:space="preserve">Ministerial </w:t>
      </w:r>
      <w:r w:rsidR="006C756F" w:rsidRPr="002A3AAE">
        <w:rPr>
          <w:rFonts w:ascii="Times New Roman" w:hAnsi="Times New Roman"/>
        </w:rPr>
        <w:t xml:space="preserve">Direction 79, any </w:t>
      </w:r>
      <w:r w:rsidR="005F5F52" w:rsidRPr="002A3AAE">
        <w:rPr>
          <w:rFonts w:ascii="Times New Roman" w:hAnsi="Times New Roman"/>
        </w:rPr>
        <w:t xml:space="preserve">domestic or </w:t>
      </w:r>
      <w:r w:rsidR="006C756F" w:rsidRPr="002A3AAE">
        <w:rPr>
          <w:rFonts w:ascii="Times New Roman" w:hAnsi="Times New Roman"/>
        </w:rPr>
        <w:t xml:space="preserve">family violence was to be viewed </w:t>
      </w:r>
      <w:r w:rsidR="00F13735" w:rsidRPr="002A3AAE">
        <w:rPr>
          <w:rFonts w:ascii="Times New Roman" w:hAnsi="Times New Roman"/>
        </w:rPr>
        <w:t>very seriously by the Tribunal in conducting its review</w:t>
      </w:r>
      <w:r w:rsidR="00503910" w:rsidRPr="002A3AAE">
        <w:rPr>
          <w:rFonts w:ascii="Times New Roman" w:hAnsi="Times New Roman"/>
        </w:rPr>
        <w:t xml:space="preserve">. </w:t>
      </w:r>
    </w:p>
    <w:p w14:paraId="1D3EF2C0" w14:textId="4112692E" w:rsidR="000A31AC" w:rsidRPr="002A3AAE" w:rsidRDefault="00B902C9"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1C163F" w:rsidRPr="002A3AAE">
        <w:rPr>
          <w:rFonts w:ascii="Times New Roman" w:hAnsi="Times New Roman"/>
        </w:rPr>
        <w:t>T</w:t>
      </w:r>
      <w:r w:rsidR="005B1095" w:rsidRPr="002A3AAE">
        <w:rPr>
          <w:rFonts w:ascii="Times New Roman" w:hAnsi="Times New Roman"/>
        </w:rPr>
        <w:t>he</w:t>
      </w:r>
      <w:r w:rsidR="00D516B4" w:rsidRPr="002A3AAE">
        <w:rPr>
          <w:rFonts w:ascii="Times New Roman" w:hAnsi="Times New Roman"/>
        </w:rPr>
        <w:t xml:space="preserve"> </w:t>
      </w:r>
      <w:r w:rsidR="003F6CD9" w:rsidRPr="002A3AAE">
        <w:rPr>
          <w:rFonts w:ascii="Times New Roman" w:hAnsi="Times New Roman"/>
        </w:rPr>
        <w:t xml:space="preserve">Minister's </w:t>
      </w:r>
      <w:r w:rsidR="001F2F08" w:rsidRPr="002A3AAE">
        <w:rPr>
          <w:rFonts w:ascii="Times New Roman" w:hAnsi="Times New Roman"/>
        </w:rPr>
        <w:t>solicitor</w:t>
      </w:r>
      <w:r w:rsidR="003F6CD9" w:rsidRPr="002A3AAE">
        <w:rPr>
          <w:rFonts w:ascii="Times New Roman" w:hAnsi="Times New Roman"/>
        </w:rPr>
        <w:t xml:space="preserve"> </w:t>
      </w:r>
      <w:r w:rsidR="001C163F" w:rsidRPr="002A3AAE">
        <w:rPr>
          <w:rFonts w:ascii="Times New Roman" w:hAnsi="Times New Roman"/>
        </w:rPr>
        <w:t xml:space="preserve">then </w:t>
      </w:r>
      <w:r w:rsidR="003F6CD9" w:rsidRPr="002A3AAE">
        <w:rPr>
          <w:rFonts w:ascii="Times New Roman" w:hAnsi="Times New Roman"/>
        </w:rPr>
        <w:t xml:space="preserve">questioned the </w:t>
      </w:r>
      <w:r w:rsidR="00D516B4" w:rsidRPr="002A3AAE">
        <w:rPr>
          <w:rFonts w:ascii="Times New Roman" w:hAnsi="Times New Roman"/>
        </w:rPr>
        <w:t>appellant</w:t>
      </w:r>
      <w:r w:rsidR="007F0CC6" w:rsidRPr="002A3AAE">
        <w:rPr>
          <w:rFonts w:ascii="Times New Roman" w:hAnsi="Times New Roman"/>
        </w:rPr>
        <w:t>, including</w:t>
      </w:r>
      <w:r w:rsidR="00D516B4" w:rsidRPr="002A3AAE">
        <w:rPr>
          <w:rFonts w:ascii="Times New Roman" w:hAnsi="Times New Roman"/>
        </w:rPr>
        <w:t xml:space="preserve"> </w:t>
      </w:r>
      <w:r w:rsidR="002331B0" w:rsidRPr="002A3AAE">
        <w:rPr>
          <w:rFonts w:ascii="Times New Roman" w:hAnsi="Times New Roman"/>
        </w:rPr>
        <w:t xml:space="preserve">about </w:t>
      </w:r>
      <w:r w:rsidR="00551A26" w:rsidRPr="002A3AAE">
        <w:rPr>
          <w:rFonts w:ascii="Times New Roman" w:hAnsi="Times New Roman"/>
        </w:rPr>
        <w:t>the</w:t>
      </w:r>
      <w:r w:rsidR="00113FD0" w:rsidRPr="002A3AAE">
        <w:rPr>
          <w:rFonts w:ascii="Times New Roman" w:hAnsi="Times New Roman"/>
        </w:rPr>
        <w:t xml:space="preserve"> </w:t>
      </w:r>
      <w:r w:rsidR="004B30CB" w:rsidRPr="002A3AAE">
        <w:rPr>
          <w:rFonts w:ascii="Times New Roman" w:hAnsi="Times New Roman"/>
        </w:rPr>
        <w:t xml:space="preserve">two </w:t>
      </w:r>
      <w:r w:rsidR="001642B2" w:rsidRPr="002A3AAE">
        <w:rPr>
          <w:rFonts w:ascii="Times New Roman" w:hAnsi="Times New Roman"/>
        </w:rPr>
        <w:t>police reports of family violence involving the appellant.</w:t>
      </w:r>
      <w:r w:rsidR="003F6CD9" w:rsidRPr="002A3AAE">
        <w:rPr>
          <w:rFonts w:ascii="Times New Roman" w:hAnsi="Times New Roman"/>
        </w:rPr>
        <w:t xml:space="preserve"> </w:t>
      </w:r>
      <w:r w:rsidR="0091281A" w:rsidRPr="002A3AAE">
        <w:rPr>
          <w:rFonts w:ascii="Times New Roman" w:hAnsi="Times New Roman"/>
        </w:rPr>
        <w:t>The appellant made several admissions</w:t>
      </w:r>
      <w:r w:rsidR="003229D9" w:rsidRPr="002A3AAE">
        <w:rPr>
          <w:rFonts w:ascii="Times New Roman" w:hAnsi="Times New Roman"/>
        </w:rPr>
        <w:t xml:space="preserve">, </w:t>
      </w:r>
      <w:r w:rsidR="00951602" w:rsidRPr="002A3AAE">
        <w:rPr>
          <w:rFonts w:ascii="Times New Roman" w:hAnsi="Times New Roman"/>
        </w:rPr>
        <w:t xml:space="preserve">although he also </w:t>
      </w:r>
      <w:r w:rsidR="00A81A5F" w:rsidRPr="002A3AAE">
        <w:rPr>
          <w:rFonts w:ascii="Times New Roman" w:hAnsi="Times New Roman"/>
        </w:rPr>
        <w:t>gave evidence to the effect</w:t>
      </w:r>
      <w:r w:rsidR="00951602" w:rsidRPr="002A3AAE">
        <w:rPr>
          <w:rFonts w:ascii="Times New Roman" w:hAnsi="Times New Roman"/>
        </w:rPr>
        <w:t xml:space="preserve"> that he had no real recollection of either incident</w:t>
      </w:r>
      <w:r w:rsidR="0091281A" w:rsidRPr="002A3AAE">
        <w:rPr>
          <w:rFonts w:ascii="Times New Roman" w:hAnsi="Times New Roman"/>
        </w:rPr>
        <w:t xml:space="preserve">. </w:t>
      </w:r>
      <w:r w:rsidR="000E0869" w:rsidRPr="002A3AAE">
        <w:rPr>
          <w:rFonts w:ascii="Times New Roman" w:hAnsi="Times New Roman"/>
        </w:rPr>
        <w:t>Then, i</w:t>
      </w:r>
      <w:r w:rsidR="003F6CD9" w:rsidRPr="002A3AAE">
        <w:rPr>
          <w:rFonts w:ascii="Times New Roman" w:hAnsi="Times New Roman"/>
        </w:rPr>
        <w:t xml:space="preserve">n closing submissions, the Minister's </w:t>
      </w:r>
      <w:r w:rsidR="001F2F08" w:rsidRPr="002A3AAE">
        <w:rPr>
          <w:rFonts w:ascii="Times New Roman" w:hAnsi="Times New Roman"/>
        </w:rPr>
        <w:t>solicitor</w:t>
      </w:r>
      <w:r w:rsidR="003F6CD9" w:rsidRPr="002A3AAE">
        <w:rPr>
          <w:rFonts w:ascii="Times New Roman" w:hAnsi="Times New Roman"/>
        </w:rPr>
        <w:t xml:space="preserve"> </w:t>
      </w:r>
      <w:r w:rsidR="006463FB" w:rsidRPr="002A3AAE">
        <w:rPr>
          <w:rFonts w:ascii="Times New Roman" w:hAnsi="Times New Roman"/>
        </w:rPr>
        <w:t>contended</w:t>
      </w:r>
      <w:r w:rsidR="00E76780" w:rsidRPr="002A3AAE">
        <w:rPr>
          <w:rFonts w:ascii="Times New Roman" w:hAnsi="Times New Roman"/>
        </w:rPr>
        <w:t xml:space="preserve"> that </w:t>
      </w:r>
      <w:r w:rsidR="00FE665B" w:rsidRPr="002A3AAE">
        <w:rPr>
          <w:rFonts w:ascii="Times New Roman" w:hAnsi="Times New Roman"/>
        </w:rPr>
        <w:t>the</w:t>
      </w:r>
      <w:r w:rsidR="00313C5B" w:rsidRPr="002A3AAE">
        <w:rPr>
          <w:rFonts w:ascii="Times New Roman" w:hAnsi="Times New Roman"/>
        </w:rPr>
        <w:t xml:space="preserve"> appellant</w:t>
      </w:r>
      <w:r w:rsidR="00FE665B" w:rsidRPr="002A3AAE">
        <w:rPr>
          <w:rFonts w:ascii="Times New Roman" w:hAnsi="Times New Roman"/>
        </w:rPr>
        <w:t xml:space="preserve"> had been involved in violent conduct against his w</w:t>
      </w:r>
      <w:r w:rsidR="00313C5B" w:rsidRPr="002A3AAE">
        <w:rPr>
          <w:rFonts w:ascii="Times New Roman" w:hAnsi="Times New Roman"/>
        </w:rPr>
        <w:t>ife that was "extremely serious conduct, especially having regard to the new directions in Direction</w:t>
      </w:r>
      <w:r w:rsidR="00706214" w:rsidRPr="002A3AAE">
        <w:rPr>
          <w:rFonts w:ascii="Times New Roman" w:hAnsi="Times New Roman"/>
        </w:rPr>
        <w:t>s</w:t>
      </w:r>
      <w:r w:rsidR="005671C0" w:rsidRPr="002A3AAE">
        <w:rPr>
          <w:rFonts w:ascii="Times New Roman" w:hAnsi="Times New Roman"/>
        </w:rPr>
        <w:t xml:space="preserve"> [sic]</w:t>
      </w:r>
      <w:r w:rsidR="00313C5B" w:rsidRPr="002A3AAE">
        <w:rPr>
          <w:rFonts w:ascii="Times New Roman" w:hAnsi="Times New Roman"/>
        </w:rPr>
        <w:t xml:space="preserve"> 79 that any violent conduct against a female is serious, regardless of the sentence imposed</w:t>
      </w:r>
      <w:r w:rsidR="000E0869" w:rsidRPr="002A3AAE">
        <w:rPr>
          <w:rFonts w:ascii="Times New Roman" w:hAnsi="Times New Roman"/>
        </w:rPr>
        <w:t>"</w:t>
      </w:r>
      <w:r w:rsidR="00313C5B" w:rsidRPr="002A3AAE">
        <w:rPr>
          <w:rFonts w:ascii="Times New Roman" w:hAnsi="Times New Roman"/>
        </w:rPr>
        <w:t>.</w:t>
      </w:r>
    </w:p>
    <w:p w14:paraId="1FB96828" w14:textId="4A950F60" w:rsidR="000A31AC" w:rsidRPr="002A3AAE" w:rsidRDefault="00B902C9"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EE023E" w:rsidRPr="002A3AAE">
        <w:rPr>
          <w:rFonts w:ascii="Times New Roman" w:hAnsi="Times New Roman"/>
        </w:rPr>
        <w:t xml:space="preserve">The Tribunal took no steps to </w:t>
      </w:r>
      <w:r w:rsidR="00774F13" w:rsidRPr="002A3AAE">
        <w:rPr>
          <w:rFonts w:ascii="Times New Roman" w:hAnsi="Times New Roman"/>
        </w:rPr>
        <w:t xml:space="preserve">draw to the appellant's attention </w:t>
      </w:r>
      <w:r w:rsidR="008D50D9" w:rsidRPr="002A3AAE">
        <w:rPr>
          <w:rFonts w:ascii="Times New Roman" w:hAnsi="Times New Roman"/>
        </w:rPr>
        <w:t xml:space="preserve">that </w:t>
      </w:r>
      <w:r w:rsidR="0008531D" w:rsidRPr="002A3AAE">
        <w:rPr>
          <w:rFonts w:ascii="Times New Roman" w:hAnsi="Times New Roman"/>
        </w:rPr>
        <w:t>the Minister had</w:t>
      </w:r>
      <w:r w:rsidR="00652C9A" w:rsidRPr="002A3AAE">
        <w:rPr>
          <w:rFonts w:ascii="Times New Roman" w:hAnsi="Times New Roman"/>
        </w:rPr>
        <w:t xml:space="preserve"> raised a </w:t>
      </w:r>
      <w:r w:rsidR="00621A4D" w:rsidRPr="002A3AAE">
        <w:rPr>
          <w:rFonts w:ascii="Times New Roman" w:hAnsi="Times New Roman"/>
        </w:rPr>
        <w:t>new issue</w:t>
      </w:r>
      <w:r w:rsidR="00CC67F8" w:rsidRPr="002A3AAE">
        <w:rPr>
          <w:rFonts w:ascii="Times New Roman" w:hAnsi="Times New Roman"/>
        </w:rPr>
        <w:t xml:space="preserve"> based on para 13.1.1(1)(b)</w:t>
      </w:r>
      <w:r w:rsidR="00621A4D" w:rsidRPr="002A3AAE">
        <w:rPr>
          <w:rFonts w:ascii="Times New Roman" w:hAnsi="Times New Roman"/>
        </w:rPr>
        <w:t xml:space="preserve">, </w:t>
      </w:r>
      <w:r w:rsidR="00B51024" w:rsidRPr="002A3AAE">
        <w:rPr>
          <w:rFonts w:ascii="Times New Roman" w:hAnsi="Times New Roman"/>
        </w:rPr>
        <w:t xml:space="preserve">namely, that </w:t>
      </w:r>
      <w:r w:rsidR="00B33FF4" w:rsidRPr="002A3AAE">
        <w:rPr>
          <w:rFonts w:ascii="Times New Roman" w:hAnsi="Times New Roman"/>
        </w:rPr>
        <w:t xml:space="preserve">the </w:t>
      </w:r>
      <w:r w:rsidR="008B445B" w:rsidRPr="002A3AAE">
        <w:rPr>
          <w:rFonts w:ascii="Times New Roman" w:hAnsi="Times New Roman"/>
        </w:rPr>
        <w:t xml:space="preserve">evidence of domestic violence was to be viewed "very seriously" in assessing the </w:t>
      </w:r>
      <w:r w:rsidR="00C005CB" w:rsidRPr="002A3AAE">
        <w:rPr>
          <w:rFonts w:ascii="Times New Roman" w:hAnsi="Times New Roman"/>
        </w:rPr>
        <w:t xml:space="preserve">nature and </w:t>
      </w:r>
      <w:r w:rsidR="008B445B" w:rsidRPr="002A3AAE">
        <w:rPr>
          <w:rFonts w:ascii="Times New Roman" w:hAnsi="Times New Roman"/>
        </w:rPr>
        <w:t xml:space="preserve">seriousness of the appellant's </w:t>
      </w:r>
      <w:r w:rsidR="00C005CB" w:rsidRPr="002A3AAE">
        <w:rPr>
          <w:rFonts w:ascii="Times New Roman" w:hAnsi="Times New Roman"/>
        </w:rPr>
        <w:t xml:space="preserve">conduct </w:t>
      </w:r>
      <w:r w:rsidR="00F540F0" w:rsidRPr="002A3AAE">
        <w:rPr>
          <w:rFonts w:ascii="Times New Roman" w:hAnsi="Times New Roman"/>
        </w:rPr>
        <w:t>for the purpose of the primary consideration of protection of the Australian community.</w:t>
      </w:r>
      <w:r w:rsidR="004F62C1" w:rsidRPr="002A3AAE">
        <w:rPr>
          <w:rFonts w:ascii="Times New Roman" w:hAnsi="Times New Roman"/>
        </w:rPr>
        <w:t xml:space="preserve"> Nor did the Tribunal take </w:t>
      </w:r>
      <w:r w:rsidR="004F62C1" w:rsidRPr="002A3AAE">
        <w:rPr>
          <w:rFonts w:ascii="Times New Roman" w:hAnsi="Times New Roman"/>
        </w:rPr>
        <w:lastRenderedPageBreak/>
        <w:t>any</w:t>
      </w:r>
      <w:r w:rsidR="00774F13" w:rsidRPr="002A3AAE">
        <w:rPr>
          <w:rFonts w:ascii="Times New Roman" w:hAnsi="Times New Roman"/>
        </w:rPr>
        <w:t xml:space="preserve"> steps to give the appellant any opportunity to address the new issue. </w:t>
      </w:r>
      <w:r w:rsidR="00DA75C2" w:rsidRPr="002A3AAE">
        <w:rPr>
          <w:rFonts w:ascii="Times New Roman" w:hAnsi="Times New Roman"/>
        </w:rPr>
        <w:t>The appellant did not address the new issue in his closing submissions.</w:t>
      </w:r>
    </w:p>
    <w:p w14:paraId="658D7603" w14:textId="411BC2DA" w:rsidR="00FD2833" w:rsidRPr="002A3AAE" w:rsidRDefault="00B902C9"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990C01" w:rsidRPr="002A3AAE">
        <w:rPr>
          <w:rFonts w:ascii="Times New Roman" w:hAnsi="Times New Roman"/>
        </w:rPr>
        <w:t xml:space="preserve">On 4 April 2019, the </w:t>
      </w:r>
      <w:r w:rsidR="00D77E11" w:rsidRPr="002A3AAE">
        <w:rPr>
          <w:rFonts w:ascii="Times New Roman" w:hAnsi="Times New Roman"/>
        </w:rPr>
        <w:t xml:space="preserve">Tribunal </w:t>
      </w:r>
      <w:r w:rsidR="00990C01" w:rsidRPr="002A3AAE">
        <w:rPr>
          <w:rFonts w:ascii="Times New Roman" w:hAnsi="Times New Roman"/>
        </w:rPr>
        <w:t xml:space="preserve">affirmed the delegate's decision. </w:t>
      </w:r>
      <w:r w:rsidR="004F62C1" w:rsidRPr="002A3AAE">
        <w:rPr>
          <w:rFonts w:ascii="Times New Roman" w:hAnsi="Times New Roman"/>
        </w:rPr>
        <w:t>Relevantly, t</w:t>
      </w:r>
      <w:r w:rsidR="00D7569A" w:rsidRPr="002A3AAE">
        <w:rPr>
          <w:rFonts w:ascii="Times New Roman" w:hAnsi="Times New Roman"/>
        </w:rPr>
        <w:t xml:space="preserve">he Tribunal found </w:t>
      </w:r>
      <w:r w:rsidR="006A36E0" w:rsidRPr="002A3AAE">
        <w:rPr>
          <w:rFonts w:ascii="Times New Roman" w:hAnsi="Times New Roman"/>
        </w:rPr>
        <w:t xml:space="preserve">that the appellant had </w:t>
      </w:r>
      <w:r w:rsidR="00C77461" w:rsidRPr="002A3AAE">
        <w:rPr>
          <w:rFonts w:ascii="Times New Roman" w:hAnsi="Times New Roman"/>
        </w:rPr>
        <w:t xml:space="preserve">been involved in </w:t>
      </w:r>
      <w:r w:rsidR="00E3734F" w:rsidRPr="002A3AAE">
        <w:rPr>
          <w:rFonts w:ascii="Times New Roman" w:hAnsi="Times New Roman"/>
        </w:rPr>
        <w:t xml:space="preserve">two incidents of </w:t>
      </w:r>
      <w:r w:rsidR="00C77461" w:rsidRPr="002A3AAE">
        <w:rPr>
          <w:rFonts w:ascii="Times New Roman" w:hAnsi="Times New Roman"/>
        </w:rPr>
        <w:t>violent conduct against his wife within the family home</w:t>
      </w:r>
      <w:r w:rsidR="007958DD" w:rsidRPr="002A3AAE">
        <w:rPr>
          <w:rFonts w:ascii="Times New Roman" w:hAnsi="Times New Roman"/>
        </w:rPr>
        <w:t>, respectively</w:t>
      </w:r>
      <w:r w:rsidR="00C77461" w:rsidRPr="002A3AAE">
        <w:rPr>
          <w:rFonts w:ascii="Times New Roman" w:hAnsi="Times New Roman"/>
        </w:rPr>
        <w:t xml:space="preserve"> in 2012 and 2016</w:t>
      </w:r>
      <w:r w:rsidR="007958DD" w:rsidRPr="002A3AAE">
        <w:rPr>
          <w:rFonts w:ascii="Times New Roman" w:hAnsi="Times New Roman"/>
        </w:rPr>
        <w:t>,</w:t>
      </w:r>
      <w:r w:rsidR="00400C76" w:rsidRPr="002A3AAE">
        <w:rPr>
          <w:rFonts w:ascii="Times New Roman" w:hAnsi="Times New Roman"/>
        </w:rPr>
        <w:t xml:space="preserve"> and that the wife had declined to press charges but obtained an interim Violence Restraining Order against the appellant in 2016</w:t>
      </w:r>
      <w:r w:rsidR="00763A30" w:rsidRPr="002A3AAE">
        <w:rPr>
          <w:rFonts w:ascii="Times New Roman" w:hAnsi="Times New Roman"/>
        </w:rPr>
        <w:t xml:space="preserve">. </w:t>
      </w:r>
      <w:r w:rsidR="00851145" w:rsidRPr="002A3AAE">
        <w:rPr>
          <w:rFonts w:ascii="Times New Roman" w:hAnsi="Times New Roman"/>
        </w:rPr>
        <w:t xml:space="preserve">The Tribunal made detailed findings </w:t>
      </w:r>
      <w:r w:rsidR="0031640F" w:rsidRPr="002A3AAE">
        <w:rPr>
          <w:rFonts w:ascii="Times New Roman" w:hAnsi="Times New Roman"/>
        </w:rPr>
        <w:t>concerning this conduct including that the appellant accepted that two domestic violence inci</w:t>
      </w:r>
      <w:r w:rsidR="00BB6FDC" w:rsidRPr="002A3AAE">
        <w:rPr>
          <w:rFonts w:ascii="Times New Roman" w:hAnsi="Times New Roman"/>
        </w:rPr>
        <w:t xml:space="preserve">dents had occurred in his home. </w:t>
      </w:r>
      <w:r w:rsidR="00D0477C" w:rsidRPr="002A3AAE">
        <w:rPr>
          <w:rFonts w:ascii="Times New Roman" w:hAnsi="Times New Roman"/>
        </w:rPr>
        <w:t xml:space="preserve">The Tribunal found, having regard to the general principles expressed in Direction 79, that the conduct was to be regarded </w:t>
      </w:r>
      <w:r w:rsidR="006A36E0" w:rsidRPr="002A3AAE">
        <w:rPr>
          <w:rFonts w:ascii="Times New Roman" w:hAnsi="Times New Roman"/>
        </w:rPr>
        <w:t xml:space="preserve">"seriously". </w:t>
      </w:r>
      <w:r w:rsidR="007E718E" w:rsidRPr="002A3AAE">
        <w:rPr>
          <w:rFonts w:ascii="Times New Roman" w:hAnsi="Times New Roman"/>
        </w:rPr>
        <w:t xml:space="preserve">More generally, the Tribunal found that the appellant had a </w:t>
      </w:r>
      <w:r w:rsidR="00585632" w:rsidRPr="002A3AAE">
        <w:rPr>
          <w:rFonts w:ascii="Times New Roman" w:hAnsi="Times New Roman"/>
        </w:rPr>
        <w:t>history of repeated violent offences</w:t>
      </w:r>
      <w:r w:rsidR="00E253AE" w:rsidRPr="002A3AAE">
        <w:rPr>
          <w:rFonts w:ascii="Times New Roman" w:hAnsi="Times New Roman"/>
        </w:rPr>
        <w:t xml:space="preserve">. </w:t>
      </w:r>
      <w:r w:rsidR="00312827" w:rsidRPr="002A3AAE">
        <w:rPr>
          <w:rFonts w:ascii="Times New Roman" w:hAnsi="Times New Roman"/>
        </w:rPr>
        <w:t xml:space="preserve">The Tribunal concluded that </w:t>
      </w:r>
      <w:r w:rsidR="00CE31BA" w:rsidRPr="002A3AAE">
        <w:rPr>
          <w:rFonts w:ascii="Times New Roman" w:hAnsi="Times New Roman"/>
        </w:rPr>
        <w:t xml:space="preserve">the </w:t>
      </w:r>
      <w:r w:rsidR="004E2AB4" w:rsidRPr="002A3AAE">
        <w:rPr>
          <w:rFonts w:ascii="Times New Roman" w:hAnsi="Times New Roman"/>
        </w:rPr>
        <w:t>"</w:t>
      </w:r>
      <w:r w:rsidR="00CE31BA" w:rsidRPr="002A3AAE">
        <w:rPr>
          <w:rFonts w:ascii="Times New Roman" w:hAnsi="Times New Roman"/>
        </w:rPr>
        <w:t xml:space="preserve">nature of </w:t>
      </w:r>
      <w:r w:rsidR="00AA78BC" w:rsidRPr="002A3AAE">
        <w:rPr>
          <w:rFonts w:ascii="Times New Roman" w:hAnsi="Times New Roman"/>
        </w:rPr>
        <w:t xml:space="preserve">the </w:t>
      </w:r>
      <w:r w:rsidR="005C79AF" w:rsidRPr="002A3AAE">
        <w:rPr>
          <w:rFonts w:ascii="Times New Roman" w:hAnsi="Times New Roman"/>
        </w:rPr>
        <w:t>[</w:t>
      </w:r>
      <w:r w:rsidR="00AA78BC" w:rsidRPr="002A3AAE">
        <w:rPr>
          <w:rFonts w:ascii="Times New Roman" w:hAnsi="Times New Roman"/>
        </w:rPr>
        <w:t>appellant's</w:t>
      </w:r>
      <w:r w:rsidR="005C79AF" w:rsidRPr="002A3AAE">
        <w:rPr>
          <w:rFonts w:ascii="Times New Roman" w:hAnsi="Times New Roman"/>
        </w:rPr>
        <w:t>]</w:t>
      </w:r>
      <w:r w:rsidR="00AA78BC" w:rsidRPr="002A3AAE">
        <w:rPr>
          <w:rFonts w:ascii="Times New Roman" w:hAnsi="Times New Roman"/>
        </w:rPr>
        <w:t xml:space="preserve"> offending</w:t>
      </w:r>
      <w:r w:rsidR="00312827" w:rsidRPr="002A3AAE">
        <w:rPr>
          <w:rFonts w:ascii="Times New Roman" w:hAnsi="Times New Roman"/>
        </w:rPr>
        <w:t xml:space="preserve"> </w:t>
      </w:r>
      <w:r w:rsidR="004E2AB4" w:rsidRPr="002A3AAE">
        <w:rPr>
          <w:rFonts w:ascii="Times New Roman" w:hAnsi="Times New Roman"/>
        </w:rPr>
        <w:t>i</w:t>
      </w:r>
      <w:r w:rsidR="009743A7" w:rsidRPr="002A3AAE">
        <w:rPr>
          <w:rFonts w:ascii="Times New Roman" w:hAnsi="Times New Roman"/>
        </w:rPr>
        <w:t>s very serious"</w:t>
      </w:r>
      <w:r w:rsidR="004E2AB4" w:rsidRPr="002A3AAE">
        <w:rPr>
          <w:rFonts w:ascii="Times New Roman" w:hAnsi="Times New Roman"/>
        </w:rPr>
        <w:t xml:space="preserve"> </w:t>
      </w:r>
      <w:r w:rsidR="009743A7" w:rsidRPr="002A3AAE">
        <w:rPr>
          <w:rFonts w:ascii="Times New Roman" w:hAnsi="Times New Roman"/>
        </w:rPr>
        <w:t xml:space="preserve">and strongly weighed against exercising the discretion to revoke the cancellation of the visa. </w:t>
      </w:r>
      <w:r w:rsidR="00771756" w:rsidRPr="002A3AAE">
        <w:rPr>
          <w:rFonts w:ascii="Times New Roman" w:hAnsi="Times New Roman"/>
        </w:rPr>
        <w:t>The Tribunal further found that, were the appellant to continue to engage in violent conduct within the family home, the potential physical and psychological damage to his spouse and children would be serious</w:t>
      </w:r>
      <w:r w:rsidR="00C965F9" w:rsidRPr="002A3AAE">
        <w:rPr>
          <w:rFonts w:ascii="Times New Roman" w:hAnsi="Times New Roman"/>
        </w:rPr>
        <w:t>.</w:t>
      </w:r>
      <w:r w:rsidR="000026C4" w:rsidRPr="002A3AAE">
        <w:rPr>
          <w:rFonts w:ascii="Times New Roman" w:hAnsi="Times New Roman"/>
        </w:rPr>
        <w:t xml:space="preserve"> The Tribunal also found that, whilst under the influence of drugs, the appellant engages in violent behaviour</w:t>
      </w:r>
      <w:r w:rsidR="004C08A0" w:rsidRPr="002A3AAE">
        <w:rPr>
          <w:rFonts w:ascii="Times New Roman" w:hAnsi="Times New Roman"/>
        </w:rPr>
        <w:t xml:space="preserve"> but that at least one incident of family violence was committed in 2012 before the appellant said he began taking drugs. The Tribunal considered that this "leaves open the risk that the [appellant] may engage in violent conduct within the home even in the absence of a drug addiction". </w:t>
      </w:r>
    </w:p>
    <w:p w14:paraId="5B60D649" w14:textId="48E57AFB" w:rsidR="003A0ACE" w:rsidRPr="002A3AAE" w:rsidRDefault="00B902C9"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3A0ACE" w:rsidRPr="002A3AAE">
        <w:rPr>
          <w:rFonts w:ascii="Times New Roman" w:hAnsi="Times New Roman"/>
        </w:rPr>
        <w:t xml:space="preserve">Ultimately, </w:t>
      </w:r>
      <w:r w:rsidR="004C6F1B" w:rsidRPr="002A3AAE">
        <w:rPr>
          <w:rFonts w:ascii="Times New Roman" w:hAnsi="Times New Roman"/>
        </w:rPr>
        <w:t xml:space="preserve">the Tribunal </w:t>
      </w:r>
      <w:r w:rsidR="00142C3F" w:rsidRPr="002A3AAE">
        <w:rPr>
          <w:rFonts w:ascii="Times New Roman" w:hAnsi="Times New Roman"/>
        </w:rPr>
        <w:t xml:space="preserve">found that </w:t>
      </w:r>
      <w:r w:rsidR="00D708DE" w:rsidRPr="002A3AAE">
        <w:rPr>
          <w:rFonts w:ascii="Times New Roman" w:hAnsi="Times New Roman"/>
        </w:rPr>
        <w:t>its findings regarding the protection of the Australian community and the expectations of the Australian community weighed strongly in favour</w:t>
      </w:r>
      <w:r w:rsidR="00755FBD" w:rsidRPr="002A3AAE">
        <w:rPr>
          <w:rFonts w:ascii="Times New Roman" w:hAnsi="Times New Roman"/>
        </w:rPr>
        <w:t xml:space="preserve"> of</w:t>
      </w:r>
      <w:r w:rsidR="00D708DE" w:rsidRPr="002A3AAE">
        <w:rPr>
          <w:rFonts w:ascii="Times New Roman" w:hAnsi="Times New Roman"/>
        </w:rPr>
        <w:t xml:space="preserve"> the Tribunal refusing to revoke the visa cancellation. It </w:t>
      </w:r>
      <w:r w:rsidR="005652C4" w:rsidRPr="002A3AAE">
        <w:rPr>
          <w:rFonts w:ascii="Times New Roman" w:hAnsi="Times New Roman"/>
        </w:rPr>
        <w:t xml:space="preserve">formed the opinion that the </w:t>
      </w:r>
      <w:r w:rsidR="00B23BED" w:rsidRPr="002A3AAE">
        <w:rPr>
          <w:rFonts w:ascii="Times New Roman" w:hAnsi="Times New Roman"/>
        </w:rPr>
        <w:t xml:space="preserve">"primary </w:t>
      </w:r>
      <w:r w:rsidR="00DB0485" w:rsidRPr="002A3AAE">
        <w:rPr>
          <w:rFonts w:ascii="Times New Roman" w:hAnsi="Times New Roman"/>
        </w:rPr>
        <w:t>obligations</w:t>
      </w:r>
      <w:r w:rsidR="00B23BED" w:rsidRPr="002A3AAE">
        <w:rPr>
          <w:rFonts w:ascii="Times New Roman" w:hAnsi="Times New Roman"/>
        </w:rPr>
        <w:t>"</w:t>
      </w:r>
      <w:r w:rsidR="00DB0485" w:rsidRPr="002A3AAE">
        <w:rPr>
          <w:rFonts w:ascii="Times New Roman" w:hAnsi="Times New Roman"/>
        </w:rPr>
        <w:t xml:space="preserve"> of protection of the Australian community and the expectations of the Australian community outweighed the other considerations that were in favour of revocation of the decision to cancel the visa, namely, the best interests of minor children, the strength, </w:t>
      </w:r>
      <w:proofErr w:type="gramStart"/>
      <w:r w:rsidR="00DB0485" w:rsidRPr="002A3AAE">
        <w:rPr>
          <w:rFonts w:ascii="Times New Roman" w:hAnsi="Times New Roman"/>
        </w:rPr>
        <w:t>nature</w:t>
      </w:r>
      <w:proofErr w:type="gramEnd"/>
      <w:r w:rsidR="00DB0485" w:rsidRPr="002A3AAE">
        <w:rPr>
          <w:rFonts w:ascii="Times New Roman" w:hAnsi="Times New Roman"/>
        </w:rPr>
        <w:t xml:space="preserve"> and duration of the appellant's ties to Australia and the extent of the impediments to the appellant if he were removed from Australia. The Tribunal </w:t>
      </w:r>
      <w:r w:rsidR="004C6F1B" w:rsidRPr="002A3AAE">
        <w:rPr>
          <w:rFonts w:ascii="Times New Roman" w:hAnsi="Times New Roman"/>
        </w:rPr>
        <w:t>concluded</w:t>
      </w:r>
      <w:r w:rsidR="006772E4" w:rsidRPr="002A3AAE">
        <w:rPr>
          <w:rFonts w:ascii="Times New Roman" w:hAnsi="Times New Roman"/>
        </w:rPr>
        <w:t xml:space="preserve"> that</w:t>
      </w:r>
      <w:r w:rsidR="004C6F1B" w:rsidRPr="002A3AAE">
        <w:rPr>
          <w:rFonts w:ascii="Times New Roman" w:hAnsi="Times New Roman"/>
        </w:rPr>
        <w:t xml:space="preserve">, having regard to </w:t>
      </w:r>
      <w:proofErr w:type="gramStart"/>
      <w:r w:rsidR="004C6F1B" w:rsidRPr="002A3AAE">
        <w:rPr>
          <w:rFonts w:ascii="Times New Roman" w:hAnsi="Times New Roman"/>
        </w:rPr>
        <w:t>all of</w:t>
      </w:r>
      <w:proofErr w:type="gramEnd"/>
      <w:r w:rsidR="004C6F1B" w:rsidRPr="002A3AAE">
        <w:rPr>
          <w:rFonts w:ascii="Times New Roman" w:hAnsi="Times New Roman"/>
        </w:rPr>
        <w:t xml:space="preserve"> the relevant considerations in Direction 79, it would not be appropriate for the Tribunal to exercise the discretion to revoke the mandatory cancellation of the appellant's visa. </w:t>
      </w:r>
    </w:p>
    <w:p w14:paraId="532A557E" w14:textId="48B4CFE9" w:rsidR="009D3625" w:rsidRPr="002A3AAE" w:rsidRDefault="00160B08" w:rsidP="002A3AAE">
      <w:pPr>
        <w:pStyle w:val="HeadingL1"/>
        <w:spacing w:after="260" w:line="280" w:lineRule="exact"/>
        <w:ind w:right="0"/>
        <w:jc w:val="both"/>
        <w:rPr>
          <w:rFonts w:ascii="Times New Roman" w:hAnsi="Times New Roman"/>
        </w:rPr>
      </w:pPr>
      <w:r w:rsidRPr="002A3AAE">
        <w:rPr>
          <w:rFonts w:ascii="Times New Roman" w:hAnsi="Times New Roman"/>
        </w:rPr>
        <w:t xml:space="preserve">Primary judgment and </w:t>
      </w:r>
      <w:r w:rsidR="00CA436D" w:rsidRPr="002A3AAE">
        <w:rPr>
          <w:rFonts w:ascii="Times New Roman" w:hAnsi="Times New Roman"/>
        </w:rPr>
        <w:t xml:space="preserve">identification of </w:t>
      </w:r>
      <w:r w:rsidR="004F2099" w:rsidRPr="002A3AAE">
        <w:rPr>
          <w:rFonts w:ascii="Times New Roman" w:hAnsi="Times New Roman"/>
        </w:rPr>
        <w:t xml:space="preserve">the </w:t>
      </w:r>
      <w:r w:rsidR="00CA436D" w:rsidRPr="002A3AAE">
        <w:rPr>
          <w:rFonts w:ascii="Times New Roman" w:hAnsi="Times New Roman"/>
        </w:rPr>
        <w:t>Tribunal's error</w:t>
      </w:r>
    </w:p>
    <w:p w14:paraId="4C0F5476" w14:textId="1CE6B0F5" w:rsidR="00B73259" w:rsidRPr="002A3AAE" w:rsidRDefault="00B902C9"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B73259" w:rsidRPr="002A3AAE">
        <w:rPr>
          <w:rFonts w:ascii="Times New Roman" w:hAnsi="Times New Roman"/>
        </w:rPr>
        <w:t xml:space="preserve">On 18 October 2019, a single judge of the Federal Court of Australia (Colvin J) dismissed the appellant's application for judicial review of the Tribunal's </w:t>
      </w:r>
      <w:r w:rsidR="00B73259" w:rsidRPr="002A3AAE">
        <w:rPr>
          <w:rFonts w:ascii="Times New Roman" w:hAnsi="Times New Roman"/>
        </w:rPr>
        <w:lastRenderedPageBreak/>
        <w:t>decision. The primary judge found that the course taken by the Tribunal was procedurally unfair</w:t>
      </w:r>
      <w:r w:rsidR="000B5091" w:rsidRPr="002A3AAE">
        <w:rPr>
          <w:rFonts w:ascii="Times New Roman" w:hAnsi="Times New Roman"/>
        </w:rPr>
        <w:t xml:space="preserve"> but did not constitute jurisdictional error</w:t>
      </w:r>
      <w:r w:rsidR="002B0171" w:rsidRPr="002A3AAE">
        <w:rPr>
          <w:rStyle w:val="FootnoteReference"/>
          <w:rFonts w:ascii="Times New Roman" w:hAnsi="Times New Roman"/>
          <w:sz w:val="24"/>
        </w:rPr>
        <w:footnoteReference w:id="13"/>
      </w:r>
      <w:r w:rsidR="00B73259" w:rsidRPr="002A3AAE">
        <w:rPr>
          <w:rFonts w:ascii="Times New Roman" w:hAnsi="Times New Roman"/>
        </w:rPr>
        <w:t>.</w:t>
      </w:r>
      <w:r w:rsidR="003A10E6" w:rsidRPr="002A3AAE">
        <w:rPr>
          <w:rFonts w:ascii="Times New Roman" w:hAnsi="Times New Roman"/>
        </w:rPr>
        <w:t xml:space="preserve"> </w:t>
      </w:r>
    </w:p>
    <w:p w14:paraId="3C42C875" w14:textId="1B31A245" w:rsidR="00215852" w:rsidRPr="002A3AAE" w:rsidRDefault="00B902C9"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5A50D9" w:rsidRPr="002A3AAE">
        <w:rPr>
          <w:rFonts w:ascii="Times New Roman" w:hAnsi="Times New Roman"/>
        </w:rPr>
        <w:t>More particularly</w:t>
      </w:r>
      <w:r w:rsidR="00DB5202" w:rsidRPr="002A3AAE">
        <w:rPr>
          <w:rFonts w:ascii="Times New Roman" w:hAnsi="Times New Roman"/>
        </w:rPr>
        <w:t>, t</w:t>
      </w:r>
      <w:r w:rsidR="000B594C" w:rsidRPr="002A3AAE">
        <w:rPr>
          <w:rFonts w:ascii="Times New Roman" w:hAnsi="Times New Roman"/>
        </w:rPr>
        <w:t xml:space="preserve">he primary judge </w:t>
      </w:r>
      <w:r w:rsidR="00DB5202" w:rsidRPr="002A3AAE">
        <w:rPr>
          <w:rFonts w:ascii="Times New Roman" w:hAnsi="Times New Roman"/>
        </w:rPr>
        <w:t xml:space="preserve">made the following findings. </w:t>
      </w:r>
      <w:r w:rsidR="009511F0" w:rsidRPr="002A3AAE">
        <w:rPr>
          <w:rFonts w:ascii="Times New Roman" w:hAnsi="Times New Roman"/>
        </w:rPr>
        <w:t>U</w:t>
      </w:r>
      <w:r w:rsidR="00865F2B" w:rsidRPr="002A3AAE">
        <w:rPr>
          <w:rFonts w:ascii="Times New Roman" w:hAnsi="Times New Roman"/>
        </w:rPr>
        <w:t>ntil the Minister's closing submissions, t</w:t>
      </w:r>
      <w:r w:rsidR="00446954" w:rsidRPr="002A3AAE">
        <w:rPr>
          <w:rFonts w:ascii="Times New Roman" w:hAnsi="Times New Roman"/>
        </w:rPr>
        <w:t xml:space="preserve">he Tribunal hearing </w:t>
      </w:r>
      <w:r w:rsidR="00EE39CC" w:rsidRPr="002A3AAE">
        <w:rPr>
          <w:rFonts w:ascii="Times New Roman" w:hAnsi="Times New Roman"/>
        </w:rPr>
        <w:t>had been</w:t>
      </w:r>
      <w:r w:rsidR="00446954" w:rsidRPr="002A3AAE">
        <w:rPr>
          <w:rFonts w:ascii="Times New Roman" w:hAnsi="Times New Roman"/>
        </w:rPr>
        <w:t xml:space="preserve"> conducted on the basis that the </w:t>
      </w:r>
      <w:r w:rsidR="008F3974" w:rsidRPr="002A3AAE">
        <w:rPr>
          <w:rFonts w:ascii="Times New Roman" w:hAnsi="Times New Roman"/>
        </w:rPr>
        <w:t xml:space="preserve">Minister did not rely upon </w:t>
      </w:r>
      <w:r w:rsidR="00F24EE3" w:rsidRPr="002A3AAE">
        <w:rPr>
          <w:rFonts w:ascii="Times New Roman" w:hAnsi="Times New Roman"/>
        </w:rPr>
        <w:t xml:space="preserve">violent conduct by the appellant against his wife or children </w:t>
      </w:r>
      <w:r w:rsidR="00135F73" w:rsidRPr="002A3AAE">
        <w:rPr>
          <w:rFonts w:ascii="Times New Roman" w:hAnsi="Times New Roman"/>
        </w:rPr>
        <w:t xml:space="preserve">for the purpose of </w:t>
      </w:r>
      <w:r w:rsidR="007A0671" w:rsidRPr="002A3AAE">
        <w:rPr>
          <w:rFonts w:ascii="Times New Roman" w:hAnsi="Times New Roman"/>
        </w:rPr>
        <w:t xml:space="preserve">addressing the consideration of </w:t>
      </w:r>
      <w:r w:rsidR="00E96B4E" w:rsidRPr="002A3AAE">
        <w:rPr>
          <w:rFonts w:ascii="Times New Roman" w:hAnsi="Times New Roman"/>
        </w:rPr>
        <w:t>protection of the Australian community and, particularly, the nature and seriousness of the appellant's conduct</w:t>
      </w:r>
      <w:r w:rsidR="007A0671" w:rsidRPr="002A3AAE">
        <w:rPr>
          <w:rFonts w:ascii="Times New Roman" w:hAnsi="Times New Roman"/>
        </w:rPr>
        <w:t>.</w:t>
      </w:r>
      <w:r w:rsidR="006673B8" w:rsidRPr="002A3AAE">
        <w:rPr>
          <w:rFonts w:ascii="Times New Roman" w:hAnsi="Times New Roman"/>
        </w:rPr>
        <w:t xml:space="preserve"> </w:t>
      </w:r>
      <w:r w:rsidR="000F1E55" w:rsidRPr="002A3AAE">
        <w:rPr>
          <w:rFonts w:ascii="Times New Roman" w:hAnsi="Times New Roman"/>
        </w:rPr>
        <w:t>Prior to closing submissions, t</w:t>
      </w:r>
      <w:r w:rsidR="006673B8" w:rsidRPr="002A3AAE">
        <w:rPr>
          <w:rFonts w:ascii="Times New Roman" w:hAnsi="Times New Roman"/>
        </w:rPr>
        <w:t>he appellant was not informed of an issue</w:t>
      </w:r>
      <w:r w:rsidR="00A2308B" w:rsidRPr="002A3AAE">
        <w:rPr>
          <w:rFonts w:ascii="Times New Roman" w:hAnsi="Times New Roman"/>
        </w:rPr>
        <w:t xml:space="preserve"> </w:t>
      </w:r>
      <w:r w:rsidR="004B2656" w:rsidRPr="002A3AAE">
        <w:rPr>
          <w:rFonts w:ascii="Times New Roman" w:hAnsi="Times New Roman"/>
        </w:rPr>
        <w:t xml:space="preserve">raised by the Minister pursuant to </w:t>
      </w:r>
      <w:r w:rsidR="00F23F2A" w:rsidRPr="002A3AAE">
        <w:rPr>
          <w:rFonts w:ascii="Times New Roman" w:hAnsi="Times New Roman"/>
        </w:rPr>
        <w:t>para</w:t>
      </w:r>
      <w:r w:rsidR="00A2308B" w:rsidRPr="002A3AAE">
        <w:rPr>
          <w:rFonts w:ascii="Times New Roman" w:hAnsi="Times New Roman"/>
        </w:rPr>
        <w:t xml:space="preserve"> 13.1</w:t>
      </w:r>
      <w:r w:rsidR="00AA530A" w:rsidRPr="002A3AAE">
        <w:rPr>
          <w:rFonts w:ascii="Times New Roman" w:hAnsi="Times New Roman"/>
        </w:rPr>
        <w:t xml:space="preserve">.1(1)(b) of </w:t>
      </w:r>
      <w:r w:rsidR="004960DD" w:rsidRPr="002A3AAE">
        <w:rPr>
          <w:rFonts w:ascii="Times New Roman" w:hAnsi="Times New Roman"/>
        </w:rPr>
        <w:t xml:space="preserve">Ministerial </w:t>
      </w:r>
      <w:r w:rsidR="00AA530A" w:rsidRPr="002A3AAE">
        <w:rPr>
          <w:rFonts w:ascii="Times New Roman" w:hAnsi="Times New Roman"/>
        </w:rPr>
        <w:t>Direction 79</w:t>
      </w:r>
      <w:r w:rsidR="009336A4" w:rsidRPr="002A3AAE">
        <w:rPr>
          <w:rFonts w:ascii="Times New Roman" w:hAnsi="Times New Roman"/>
        </w:rPr>
        <w:t xml:space="preserve">. </w:t>
      </w:r>
      <w:r w:rsidR="00C359B3" w:rsidRPr="002A3AAE">
        <w:rPr>
          <w:rFonts w:ascii="Times New Roman" w:hAnsi="Times New Roman"/>
        </w:rPr>
        <w:t xml:space="preserve">To the contrary, </w:t>
      </w:r>
      <w:r w:rsidR="000F1E55" w:rsidRPr="002A3AAE">
        <w:rPr>
          <w:rFonts w:ascii="Times New Roman" w:hAnsi="Times New Roman"/>
        </w:rPr>
        <w:t xml:space="preserve">at the start of the Tribunal hearing, </w:t>
      </w:r>
      <w:r w:rsidR="00C359B3" w:rsidRPr="002A3AAE">
        <w:rPr>
          <w:rFonts w:ascii="Times New Roman" w:hAnsi="Times New Roman"/>
        </w:rPr>
        <w:t xml:space="preserve">the Tribunal </w:t>
      </w:r>
      <w:r w:rsidR="002417E0" w:rsidRPr="002A3AAE">
        <w:rPr>
          <w:rFonts w:ascii="Times New Roman" w:hAnsi="Times New Roman"/>
        </w:rPr>
        <w:t xml:space="preserve">member reassured the appellant that the changes to </w:t>
      </w:r>
      <w:r w:rsidR="00CE0E9C" w:rsidRPr="002A3AAE">
        <w:rPr>
          <w:rFonts w:ascii="Times New Roman" w:hAnsi="Times New Roman"/>
        </w:rPr>
        <w:t xml:space="preserve">the </w:t>
      </w:r>
      <w:r w:rsidR="002417E0" w:rsidRPr="002A3AAE">
        <w:rPr>
          <w:rFonts w:ascii="Times New Roman" w:hAnsi="Times New Roman"/>
        </w:rPr>
        <w:t xml:space="preserve">Direction were "of minor relevance". </w:t>
      </w:r>
      <w:r w:rsidR="009106F1" w:rsidRPr="002A3AAE">
        <w:rPr>
          <w:rFonts w:ascii="Times New Roman" w:hAnsi="Times New Roman"/>
        </w:rPr>
        <w:t xml:space="preserve">The Tribunal did not know what the appellant may have been able to </w:t>
      </w:r>
      <w:r w:rsidR="007F7F09" w:rsidRPr="002A3AAE">
        <w:rPr>
          <w:rFonts w:ascii="Times New Roman" w:hAnsi="Times New Roman"/>
        </w:rPr>
        <w:t xml:space="preserve">present by way of further evidence and submissions </w:t>
      </w:r>
      <w:r w:rsidR="002571BA" w:rsidRPr="002A3AAE">
        <w:rPr>
          <w:rFonts w:ascii="Times New Roman" w:hAnsi="Times New Roman"/>
        </w:rPr>
        <w:t>in answer to the M</w:t>
      </w:r>
      <w:r w:rsidR="00FA7B31" w:rsidRPr="002A3AAE">
        <w:rPr>
          <w:rFonts w:ascii="Times New Roman" w:hAnsi="Times New Roman"/>
        </w:rPr>
        <w:t xml:space="preserve">inister's new point. </w:t>
      </w:r>
      <w:r w:rsidR="00EE2734" w:rsidRPr="002A3AAE">
        <w:rPr>
          <w:rFonts w:ascii="Times New Roman" w:hAnsi="Times New Roman"/>
        </w:rPr>
        <w:t xml:space="preserve">Fairness required the Tribunal to give the appellant </w:t>
      </w:r>
      <w:r w:rsidR="00D51C38" w:rsidRPr="002A3AAE">
        <w:rPr>
          <w:rFonts w:ascii="Times New Roman" w:hAnsi="Times New Roman"/>
        </w:rPr>
        <w:t>an opportunity to address th</w:t>
      </w:r>
      <w:r w:rsidR="00632CCE" w:rsidRPr="002A3AAE">
        <w:rPr>
          <w:rFonts w:ascii="Times New Roman" w:hAnsi="Times New Roman"/>
        </w:rPr>
        <w:t>e</w:t>
      </w:r>
      <w:r w:rsidR="00D51C38" w:rsidRPr="002A3AAE">
        <w:rPr>
          <w:rFonts w:ascii="Times New Roman" w:hAnsi="Times New Roman"/>
        </w:rPr>
        <w:t xml:space="preserve"> </w:t>
      </w:r>
      <w:r w:rsidR="00E36E5F" w:rsidRPr="002A3AAE">
        <w:rPr>
          <w:rFonts w:ascii="Times New Roman" w:hAnsi="Times New Roman"/>
        </w:rPr>
        <w:t>issue, by presenting further evidence</w:t>
      </w:r>
      <w:r w:rsidR="00530FB2" w:rsidRPr="002A3AAE">
        <w:rPr>
          <w:rFonts w:ascii="Times New Roman" w:hAnsi="Times New Roman"/>
        </w:rPr>
        <w:t xml:space="preserve"> and making further submissions to the Tribunal</w:t>
      </w:r>
      <w:r w:rsidR="00EE2734" w:rsidRPr="002A3AAE">
        <w:rPr>
          <w:rFonts w:ascii="Times New Roman" w:hAnsi="Times New Roman"/>
        </w:rPr>
        <w:t xml:space="preserve">, before </w:t>
      </w:r>
      <w:r w:rsidR="00BD55F7" w:rsidRPr="002A3AAE">
        <w:rPr>
          <w:rFonts w:ascii="Times New Roman" w:hAnsi="Times New Roman"/>
        </w:rPr>
        <w:t xml:space="preserve">making findings </w:t>
      </w:r>
      <w:r w:rsidR="00A546A2" w:rsidRPr="002A3AAE">
        <w:rPr>
          <w:rFonts w:ascii="Times New Roman" w:hAnsi="Times New Roman"/>
        </w:rPr>
        <w:t xml:space="preserve">on the point adverse to the appellant. </w:t>
      </w:r>
      <w:r w:rsidR="00D52C59" w:rsidRPr="002A3AAE">
        <w:rPr>
          <w:rFonts w:ascii="Times New Roman" w:hAnsi="Times New Roman"/>
        </w:rPr>
        <w:t xml:space="preserve">Having failed to give the appellant that opportunity, </w:t>
      </w:r>
      <w:r w:rsidR="00C672E0" w:rsidRPr="002A3AAE">
        <w:rPr>
          <w:rFonts w:ascii="Times New Roman" w:hAnsi="Times New Roman"/>
        </w:rPr>
        <w:t xml:space="preserve">the Tribunal's subsequent </w:t>
      </w:r>
      <w:r w:rsidR="00215852" w:rsidRPr="002A3AAE">
        <w:rPr>
          <w:rFonts w:ascii="Times New Roman" w:hAnsi="Times New Roman"/>
        </w:rPr>
        <w:t xml:space="preserve">course </w:t>
      </w:r>
      <w:r w:rsidR="003D3C62" w:rsidRPr="002A3AAE">
        <w:rPr>
          <w:rFonts w:ascii="Times New Roman" w:hAnsi="Times New Roman"/>
        </w:rPr>
        <w:t>was procedurally unfair</w:t>
      </w:r>
      <w:r w:rsidR="005C7DF9" w:rsidRPr="002A3AAE">
        <w:rPr>
          <w:rStyle w:val="FootnoteReference"/>
          <w:rFonts w:ascii="Times New Roman" w:hAnsi="Times New Roman"/>
          <w:sz w:val="24"/>
        </w:rPr>
        <w:footnoteReference w:id="14"/>
      </w:r>
      <w:r w:rsidR="003D3C62" w:rsidRPr="002A3AAE">
        <w:rPr>
          <w:rFonts w:ascii="Times New Roman" w:hAnsi="Times New Roman"/>
        </w:rPr>
        <w:t>.</w:t>
      </w:r>
    </w:p>
    <w:p w14:paraId="3DD8EA60" w14:textId="047452DE" w:rsidR="00A2115D" w:rsidRPr="002A3AAE" w:rsidRDefault="00B902C9"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CD44D4" w:rsidRPr="002A3AAE">
        <w:rPr>
          <w:rFonts w:ascii="Times New Roman" w:hAnsi="Times New Roman"/>
        </w:rPr>
        <w:t xml:space="preserve">The primary judge </w:t>
      </w:r>
      <w:r w:rsidR="00A46610" w:rsidRPr="002A3AAE">
        <w:rPr>
          <w:rFonts w:ascii="Times New Roman" w:hAnsi="Times New Roman"/>
        </w:rPr>
        <w:t xml:space="preserve">also </w:t>
      </w:r>
      <w:r w:rsidR="00EF0CD9" w:rsidRPr="002A3AAE">
        <w:rPr>
          <w:rFonts w:ascii="Times New Roman" w:hAnsi="Times New Roman"/>
        </w:rPr>
        <w:t xml:space="preserve">found </w:t>
      </w:r>
      <w:r w:rsidR="00D311B6" w:rsidRPr="002A3AAE">
        <w:rPr>
          <w:rFonts w:ascii="Times New Roman" w:hAnsi="Times New Roman"/>
        </w:rPr>
        <w:t xml:space="preserve">that the Tribunal's characterisation </w:t>
      </w:r>
      <w:r w:rsidR="007C6DEF" w:rsidRPr="002A3AAE">
        <w:rPr>
          <w:rFonts w:ascii="Times New Roman" w:hAnsi="Times New Roman"/>
        </w:rPr>
        <w:t xml:space="preserve">of </w:t>
      </w:r>
      <w:r w:rsidR="00BF463E" w:rsidRPr="002A3AAE">
        <w:rPr>
          <w:rFonts w:ascii="Times New Roman" w:hAnsi="Times New Roman"/>
        </w:rPr>
        <w:t xml:space="preserve">the nature of the appellant's offending as "very serious" derived from the </w:t>
      </w:r>
      <w:r w:rsidR="00E915A2" w:rsidRPr="002A3AAE">
        <w:rPr>
          <w:rFonts w:ascii="Times New Roman" w:hAnsi="Times New Roman"/>
        </w:rPr>
        <w:t>Tribunal's consideration of the evidence of domestic violence and did not accept that the same characterisation would have been reached</w:t>
      </w:r>
      <w:r w:rsidR="00A2115D" w:rsidRPr="002A3AAE">
        <w:rPr>
          <w:rFonts w:ascii="Times New Roman" w:hAnsi="Times New Roman"/>
        </w:rPr>
        <w:t xml:space="preserve"> by the Tribunal without regard to that evidence</w:t>
      </w:r>
      <w:r w:rsidR="00A2115D" w:rsidRPr="002A3AAE">
        <w:rPr>
          <w:rStyle w:val="FootnoteReference"/>
          <w:rFonts w:ascii="Times New Roman" w:hAnsi="Times New Roman"/>
          <w:sz w:val="24"/>
        </w:rPr>
        <w:footnoteReference w:id="15"/>
      </w:r>
      <w:r w:rsidR="00A2115D" w:rsidRPr="002A3AAE">
        <w:rPr>
          <w:rFonts w:ascii="Times New Roman" w:hAnsi="Times New Roman"/>
        </w:rPr>
        <w:t>.</w:t>
      </w:r>
    </w:p>
    <w:p w14:paraId="125A87DE" w14:textId="4CE0A46D" w:rsidR="003A10E6" w:rsidRPr="002A3AAE" w:rsidRDefault="00B902C9"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683FFF" w:rsidRPr="002A3AAE">
        <w:rPr>
          <w:rFonts w:ascii="Times New Roman" w:hAnsi="Times New Roman"/>
        </w:rPr>
        <w:t>Even so, the primary judge concluded that the Tribunal's decision was not affected by jurisdictional error because the appellant had failed to point to a "sufficient factual basis" upon which the Court could conclude that the breach was material</w:t>
      </w:r>
      <w:r w:rsidR="00683FFF" w:rsidRPr="002A3AAE">
        <w:rPr>
          <w:rStyle w:val="FootnoteReference"/>
          <w:rFonts w:ascii="Times New Roman" w:hAnsi="Times New Roman"/>
          <w:sz w:val="24"/>
        </w:rPr>
        <w:footnoteReference w:id="16"/>
      </w:r>
      <w:r w:rsidR="00683FFF" w:rsidRPr="002A3AAE">
        <w:rPr>
          <w:rFonts w:ascii="Times New Roman" w:hAnsi="Times New Roman"/>
        </w:rPr>
        <w:t xml:space="preserve">. </w:t>
      </w:r>
      <w:r w:rsidR="00A46610" w:rsidRPr="002A3AAE">
        <w:rPr>
          <w:rFonts w:ascii="Times New Roman" w:hAnsi="Times New Roman"/>
        </w:rPr>
        <w:t>His Honour</w:t>
      </w:r>
      <w:r w:rsidR="00AF5076" w:rsidRPr="002A3AAE">
        <w:rPr>
          <w:rFonts w:ascii="Times New Roman" w:hAnsi="Times New Roman"/>
        </w:rPr>
        <w:t xml:space="preserve"> stated</w:t>
      </w:r>
      <w:r w:rsidR="000A18C1" w:rsidRPr="002A3AAE">
        <w:rPr>
          <w:rFonts w:ascii="Times New Roman" w:hAnsi="Times New Roman"/>
        </w:rPr>
        <w:t xml:space="preserve"> that the</w:t>
      </w:r>
      <w:r w:rsidR="00EB3514" w:rsidRPr="002A3AAE">
        <w:rPr>
          <w:rFonts w:ascii="Times New Roman" w:hAnsi="Times New Roman"/>
        </w:rPr>
        <w:t xml:space="preserve"> appellant did not </w:t>
      </w:r>
      <w:r w:rsidR="0061089F" w:rsidRPr="002A3AAE">
        <w:rPr>
          <w:rFonts w:ascii="Times New Roman" w:hAnsi="Times New Roman"/>
        </w:rPr>
        <w:t xml:space="preserve">identify any </w:t>
      </w:r>
      <w:proofErr w:type="gramStart"/>
      <w:r w:rsidR="0061089F" w:rsidRPr="002A3AAE">
        <w:rPr>
          <w:rFonts w:ascii="Times New Roman" w:hAnsi="Times New Roman"/>
        </w:rPr>
        <w:t>particular evidence</w:t>
      </w:r>
      <w:proofErr w:type="gramEnd"/>
      <w:r w:rsidR="005D0843" w:rsidRPr="002A3AAE">
        <w:rPr>
          <w:rFonts w:ascii="Times New Roman" w:hAnsi="Times New Roman"/>
        </w:rPr>
        <w:t xml:space="preserve"> or any particular submission</w:t>
      </w:r>
      <w:r w:rsidR="0061089F" w:rsidRPr="002A3AAE">
        <w:rPr>
          <w:rFonts w:ascii="Times New Roman" w:hAnsi="Times New Roman"/>
        </w:rPr>
        <w:t xml:space="preserve"> that might have been presented </w:t>
      </w:r>
      <w:r w:rsidR="0052377B" w:rsidRPr="002A3AAE">
        <w:rPr>
          <w:rFonts w:ascii="Times New Roman" w:hAnsi="Times New Roman"/>
        </w:rPr>
        <w:t xml:space="preserve">to the Tribunal </w:t>
      </w:r>
      <w:r w:rsidR="0061089F" w:rsidRPr="002A3AAE">
        <w:rPr>
          <w:rFonts w:ascii="Times New Roman" w:hAnsi="Times New Roman"/>
        </w:rPr>
        <w:t xml:space="preserve">if he had been </w:t>
      </w:r>
      <w:r w:rsidR="005D0843" w:rsidRPr="002A3AAE">
        <w:rPr>
          <w:rFonts w:ascii="Times New Roman" w:hAnsi="Times New Roman"/>
        </w:rPr>
        <w:t>afforded procedural fairness</w:t>
      </w:r>
      <w:r w:rsidR="00E25178" w:rsidRPr="002A3AAE">
        <w:rPr>
          <w:rFonts w:ascii="Times New Roman" w:hAnsi="Times New Roman"/>
        </w:rPr>
        <w:t xml:space="preserve"> and </w:t>
      </w:r>
      <w:r w:rsidR="00480CCA" w:rsidRPr="002A3AAE">
        <w:rPr>
          <w:rFonts w:ascii="Times New Roman" w:hAnsi="Times New Roman"/>
        </w:rPr>
        <w:t xml:space="preserve">which </w:t>
      </w:r>
      <w:r w:rsidR="00E25178" w:rsidRPr="002A3AAE">
        <w:rPr>
          <w:rFonts w:ascii="Times New Roman" w:hAnsi="Times New Roman"/>
        </w:rPr>
        <w:t xml:space="preserve">might have caused the Tribunal to </w:t>
      </w:r>
      <w:r w:rsidR="00DE5EB6" w:rsidRPr="002A3AAE">
        <w:rPr>
          <w:rFonts w:ascii="Times New Roman" w:hAnsi="Times New Roman"/>
        </w:rPr>
        <w:t>reach a different conclusion about the seriousness of the appellant's conduct</w:t>
      </w:r>
      <w:r w:rsidR="00D7611F" w:rsidRPr="002A3AAE">
        <w:rPr>
          <w:rFonts w:ascii="Times New Roman" w:hAnsi="Times New Roman"/>
        </w:rPr>
        <w:t xml:space="preserve"> and, consequently, a different outcome</w:t>
      </w:r>
      <w:r w:rsidR="0052377B" w:rsidRPr="002A3AAE">
        <w:rPr>
          <w:rStyle w:val="FootnoteReference"/>
          <w:rFonts w:ascii="Times New Roman" w:hAnsi="Times New Roman"/>
          <w:sz w:val="24"/>
        </w:rPr>
        <w:footnoteReference w:id="17"/>
      </w:r>
      <w:r w:rsidR="00DE5EB6" w:rsidRPr="002A3AAE">
        <w:rPr>
          <w:rFonts w:ascii="Times New Roman" w:hAnsi="Times New Roman"/>
        </w:rPr>
        <w:t xml:space="preserve">. </w:t>
      </w:r>
      <w:r w:rsidR="001E7FFE" w:rsidRPr="002A3AAE">
        <w:rPr>
          <w:rFonts w:ascii="Times New Roman" w:hAnsi="Times New Roman"/>
        </w:rPr>
        <w:t xml:space="preserve">By way of example, the primary </w:t>
      </w:r>
      <w:r w:rsidR="001E7FFE" w:rsidRPr="002A3AAE">
        <w:rPr>
          <w:rFonts w:ascii="Times New Roman" w:hAnsi="Times New Roman"/>
        </w:rPr>
        <w:lastRenderedPageBreak/>
        <w:t>judge noted that there was "no indication of the different perspective that might have been presented to the Tribunal concerning the evidence of domestic violence"</w:t>
      </w:r>
      <w:r w:rsidR="00B455CD" w:rsidRPr="002A3AAE">
        <w:rPr>
          <w:rStyle w:val="FootnoteReference"/>
          <w:rFonts w:ascii="Times New Roman" w:hAnsi="Times New Roman"/>
          <w:sz w:val="24"/>
        </w:rPr>
        <w:footnoteReference w:id="18"/>
      </w:r>
      <w:r w:rsidR="001E7FFE" w:rsidRPr="002A3AAE">
        <w:rPr>
          <w:rFonts w:ascii="Times New Roman" w:hAnsi="Times New Roman"/>
        </w:rPr>
        <w:t xml:space="preserve">. </w:t>
      </w:r>
      <w:r w:rsidR="003A10E6" w:rsidRPr="002A3AAE">
        <w:rPr>
          <w:rFonts w:ascii="Times New Roman" w:hAnsi="Times New Roman"/>
        </w:rPr>
        <w:t xml:space="preserve">Accordingly, </w:t>
      </w:r>
      <w:r w:rsidR="000910E8" w:rsidRPr="002A3AAE">
        <w:rPr>
          <w:rFonts w:ascii="Times New Roman" w:hAnsi="Times New Roman"/>
        </w:rPr>
        <w:t>i</w:t>
      </w:r>
      <w:r w:rsidR="00C25F79" w:rsidRPr="002A3AAE">
        <w:rPr>
          <w:rFonts w:ascii="Times New Roman" w:hAnsi="Times New Roman"/>
        </w:rPr>
        <w:t>n</w:t>
      </w:r>
      <w:r w:rsidR="00BF4040" w:rsidRPr="002A3AAE">
        <w:rPr>
          <w:rFonts w:ascii="Times New Roman" w:hAnsi="Times New Roman"/>
        </w:rPr>
        <w:t xml:space="preserve"> the circumstances of the case, which included the appellant's awareness </w:t>
      </w:r>
      <w:r w:rsidR="00962936" w:rsidRPr="002A3AAE">
        <w:rPr>
          <w:rFonts w:ascii="Times New Roman" w:hAnsi="Times New Roman"/>
        </w:rPr>
        <w:t>that the police reports concerning domestic violence were in issue and</w:t>
      </w:r>
      <w:r w:rsidR="00604267" w:rsidRPr="002A3AAE">
        <w:rPr>
          <w:rFonts w:ascii="Times New Roman" w:hAnsi="Times New Roman"/>
        </w:rPr>
        <w:t xml:space="preserve"> </w:t>
      </w:r>
      <w:r w:rsidR="00962936" w:rsidRPr="002A3AAE">
        <w:rPr>
          <w:rFonts w:ascii="Times New Roman" w:hAnsi="Times New Roman"/>
        </w:rPr>
        <w:t>the app</w:t>
      </w:r>
      <w:r w:rsidR="00070424" w:rsidRPr="002A3AAE">
        <w:rPr>
          <w:rFonts w:ascii="Times New Roman" w:hAnsi="Times New Roman"/>
        </w:rPr>
        <w:t>ellant's</w:t>
      </w:r>
      <w:r w:rsidR="00962936" w:rsidRPr="002A3AAE">
        <w:rPr>
          <w:rFonts w:ascii="Times New Roman" w:hAnsi="Times New Roman"/>
        </w:rPr>
        <w:t xml:space="preserve"> accept</w:t>
      </w:r>
      <w:r w:rsidR="00070424" w:rsidRPr="002A3AAE">
        <w:rPr>
          <w:rFonts w:ascii="Times New Roman" w:hAnsi="Times New Roman"/>
        </w:rPr>
        <w:t>ance</w:t>
      </w:r>
      <w:r w:rsidR="00962936" w:rsidRPr="002A3AAE">
        <w:rPr>
          <w:rFonts w:ascii="Times New Roman" w:hAnsi="Times New Roman"/>
        </w:rPr>
        <w:t xml:space="preserve"> that the conduct described in the reports had occurred, </w:t>
      </w:r>
      <w:r w:rsidR="001043FC" w:rsidRPr="002A3AAE">
        <w:rPr>
          <w:rFonts w:ascii="Times New Roman" w:hAnsi="Times New Roman"/>
        </w:rPr>
        <w:t>the Tribunal's procedural unfairness was only material</w:t>
      </w:r>
      <w:r w:rsidR="00887159" w:rsidRPr="002A3AAE">
        <w:rPr>
          <w:rFonts w:ascii="Times New Roman" w:hAnsi="Times New Roman"/>
        </w:rPr>
        <w:t>, in the primary judge's opinion,</w:t>
      </w:r>
      <w:r w:rsidR="001043FC" w:rsidRPr="002A3AAE">
        <w:rPr>
          <w:rFonts w:ascii="Times New Roman" w:hAnsi="Times New Roman"/>
        </w:rPr>
        <w:t xml:space="preserve"> </w:t>
      </w:r>
      <w:r w:rsidR="00C514BD" w:rsidRPr="002A3AAE">
        <w:rPr>
          <w:rFonts w:ascii="Times New Roman" w:hAnsi="Times New Roman"/>
        </w:rPr>
        <w:t>"if there was something that could have been put to the Tribunal that might have resulted in a different outcome on that aspect".</w:t>
      </w:r>
      <w:r w:rsidR="000F31D1" w:rsidRPr="002A3AAE">
        <w:rPr>
          <w:rStyle w:val="FootnoteReference"/>
          <w:rFonts w:ascii="Times New Roman" w:hAnsi="Times New Roman"/>
          <w:sz w:val="24"/>
        </w:rPr>
        <w:footnoteReference w:id="19"/>
      </w:r>
      <w:r w:rsidR="00C514BD" w:rsidRPr="002A3AAE">
        <w:rPr>
          <w:rFonts w:ascii="Times New Roman" w:hAnsi="Times New Roman"/>
        </w:rPr>
        <w:t xml:space="preserve"> The primary judge considered that the app</w:t>
      </w:r>
      <w:r w:rsidR="00CD2A3F" w:rsidRPr="002A3AAE">
        <w:rPr>
          <w:rFonts w:ascii="Times New Roman" w:hAnsi="Times New Roman"/>
        </w:rPr>
        <w:t xml:space="preserve">ellant failed to demonstrate </w:t>
      </w:r>
      <w:r w:rsidR="0075025D" w:rsidRPr="002A3AAE">
        <w:rPr>
          <w:rFonts w:ascii="Times New Roman" w:hAnsi="Times New Roman"/>
        </w:rPr>
        <w:t>this to be the case</w:t>
      </w:r>
      <w:r w:rsidR="0075025D" w:rsidRPr="002A3AAE">
        <w:rPr>
          <w:rStyle w:val="FootnoteReference"/>
          <w:rFonts w:ascii="Times New Roman" w:hAnsi="Times New Roman"/>
          <w:sz w:val="24"/>
        </w:rPr>
        <w:footnoteReference w:id="20"/>
      </w:r>
      <w:r w:rsidR="0075025D" w:rsidRPr="002A3AAE">
        <w:rPr>
          <w:rFonts w:ascii="Times New Roman" w:hAnsi="Times New Roman"/>
        </w:rPr>
        <w:t>.</w:t>
      </w:r>
    </w:p>
    <w:p w14:paraId="0E77F1D1" w14:textId="77777777" w:rsidR="007450DA" w:rsidRPr="002A3AAE" w:rsidRDefault="007450DA" w:rsidP="002A3AAE">
      <w:pPr>
        <w:pStyle w:val="HeadingL1"/>
        <w:spacing w:after="260" w:line="280" w:lineRule="exact"/>
        <w:ind w:right="0"/>
        <w:jc w:val="both"/>
        <w:rPr>
          <w:rFonts w:ascii="Times New Roman" w:hAnsi="Times New Roman"/>
        </w:rPr>
      </w:pPr>
      <w:r w:rsidRPr="002A3AAE">
        <w:rPr>
          <w:rFonts w:ascii="Times New Roman" w:hAnsi="Times New Roman"/>
        </w:rPr>
        <w:t>Full Court's reasons for concluding that the procedural unfairness was immaterial</w:t>
      </w:r>
    </w:p>
    <w:p w14:paraId="3FF6BA59" w14:textId="6110CF33" w:rsidR="00D41DF8" w:rsidRPr="002A3AAE" w:rsidRDefault="00B902C9"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25571F" w:rsidRPr="002A3AAE">
        <w:rPr>
          <w:rFonts w:ascii="Times New Roman" w:hAnsi="Times New Roman"/>
        </w:rPr>
        <w:t xml:space="preserve">A Full Court of the Federal Court of Australia (Steward and Jackson JJ, </w:t>
      </w:r>
      <w:proofErr w:type="spellStart"/>
      <w:r w:rsidR="0025571F" w:rsidRPr="002A3AAE">
        <w:rPr>
          <w:rFonts w:ascii="Times New Roman" w:hAnsi="Times New Roman"/>
        </w:rPr>
        <w:t>Wigney</w:t>
      </w:r>
      <w:proofErr w:type="spellEnd"/>
      <w:r w:rsidR="0025571F" w:rsidRPr="002A3AAE">
        <w:rPr>
          <w:rFonts w:ascii="Times New Roman" w:hAnsi="Times New Roman"/>
        </w:rPr>
        <w:t xml:space="preserve"> J dissenting) dismissed the appellant's appeal</w:t>
      </w:r>
      <w:r w:rsidR="00AB18AB" w:rsidRPr="002A3AAE">
        <w:rPr>
          <w:rStyle w:val="FootnoteReference"/>
          <w:rFonts w:ascii="Times New Roman" w:hAnsi="Times New Roman"/>
          <w:sz w:val="24"/>
        </w:rPr>
        <w:footnoteReference w:id="21"/>
      </w:r>
      <w:r w:rsidR="00AB18AB" w:rsidRPr="002A3AAE">
        <w:rPr>
          <w:rFonts w:ascii="Times New Roman" w:hAnsi="Times New Roman"/>
        </w:rPr>
        <w:t xml:space="preserve">. </w:t>
      </w:r>
      <w:r w:rsidR="0025571F" w:rsidRPr="002A3AAE">
        <w:rPr>
          <w:rFonts w:ascii="Times New Roman" w:hAnsi="Times New Roman"/>
        </w:rPr>
        <w:t xml:space="preserve">The primary judge's finding of </w:t>
      </w:r>
      <w:r w:rsidR="00BA5621" w:rsidRPr="002A3AAE">
        <w:rPr>
          <w:rFonts w:ascii="Times New Roman" w:hAnsi="Times New Roman"/>
        </w:rPr>
        <w:t>error by the Tribunal, being a</w:t>
      </w:r>
      <w:r w:rsidR="007337FF" w:rsidRPr="002A3AAE">
        <w:rPr>
          <w:rFonts w:ascii="Times New Roman" w:hAnsi="Times New Roman"/>
        </w:rPr>
        <w:t xml:space="preserve"> finding of</w:t>
      </w:r>
      <w:r w:rsidR="00BA5621" w:rsidRPr="002A3AAE">
        <w:rPr>
          <w:rFonts w:ascii="Times New Roman" w:hAnsi="Times New Roman"/>
        </w:rPr>
        <w:t xml:space="preserve"> denial of </w:t>
      </w:r>
      <w:r w:rsidR="0025571F" w:rsidRPr="002A3AAE">
        <w:rPr>
          <w:rFonts w:ascii="Times New Roman" w:hAnsi="Times New Roman"/>
        </w:rPr>
        <w:t>procedural fairness</w:t>
      </w:r>
      <w:r w:rsidR="00BA5621" w:rsidRPr="002A3AAE">
        <w:rPr>
          <w:rFonts w:ascii="Times New Roman" w:hAnsi="Times New Roman"/>
        </w:rPr>
        <w:t>,</w:t>
      </w:r>
      <w:r w:rsidR="0025571F" w:rsidRPr="002A3AAE">
        <w:rPr>
          <w:rFonts w:ascii="Times New Roman" w:hAnsi="Times New Roman"/>
        </w:rPr>
        <w:t xml:space="preserve"> was not in issue. </w:t>
      </w:r>
      <w:r w:rsidR="006C768E" w:rsidRPr="002A3AAE">
        <w:rPr>
          <w:rFonts w:ascii="Times New Roman" w:hAnsi="Times New Roman"/>
        </w:rPr>
        <w:t>Steward and Jackson JJ</w:t>
      </w:r>
      <w:r w:rsidR="006C768E" w:rsidRPr="002A3AAE" w:rsidDel="006C768E">
        <w:rPr>
          <w:rFonts w:ascii="Times New Roman" w:hAnsi="Times New Roman"/>
        </w:rPr>
        <w:t xml:space="preserve"> </w:t>
      </w:r>
      <w:r w:rsidR="00844596" w:rsidRPr="002A3AAE">
        <w:rPr>
          <w:rFonts w:ascii="Times New Roman" w:hAnsi="Times New Roman"/>
        </w:rPr>
        <w:t>concluded that</w:t>
      </w:r>
      <w:r w:rsidR="0025571F" w:rsidRPr="002A3AAE">
        <w:rPr>
          <w:rFonts w:ascii="Times New Roman" w:hAnsi="Times New Roman"/>
        </w:rPr>
        <w:t xml:space="preserve"> the primary judge was correct to find that the unfairness was not material</w:t>
      </w:r>
      <w:r w:rsidR="00E45BC1" w:rsidRPr="002A3AAE">
        <w:rPr>
          <w:rStyle w:val="FootnoteReference"/>
          <w:rFonts w:ascii="Times New Roman" w:hAnsi="Times New Roman"/>
          <w:sz w:val="24"/>
        </w:rPr>
        <w:footnoteReference w:id="22"/>
      </w:r>
      <w:r w:rsidR="0025571F" w:rsidRPr="002A3AAE">
        <w:rPr>
          <w:rFonts w:ascii="Times New Roman" w:hAnsi="Times New Roman"/>
        </w:rPr>
        <w:t xml:space="preserve">. </w:t>
      </w:r>
      <w:r w:rsidR="000D0F2B" w:rsidRPr="002A3AAE">
        <w:rPr>
          <w:rFonts w:ascii="Times New Roman" w:hAnsi="Times New Roman"/>
        </w:rPr>
        <w:t xml:space="preserve">In dissent, </w:t>
      </w:r>
      <w:proofErr w:type="spellStart"/>
      <w:r w:rsidR="000D0F2B" w:rsidRPr="002A3AAE">
        <w:rPr>
          <w:rFonts w:ascii="Times New Roman" w:hAnsi="Times New Roman"/>
        </w:rPr>
        <w:t>Wigney</w:t>
      </w:r>
      <w:proofErr w:type="spellEnd"/>
      <w:r w:rsidR="000D0F2B" w:rsidRPr="002A3AAE">
        <w:rPr>
          <w:rFonts w:ascii="Times New Roman" w:hAnsi="Times New Roman"/>
        </w:rPr>
        <w:t xml:space="preserve"> J found that the Tribunal's error was material and would have allowed the appeal and set aside the Tribunal's decision</w:t>
      </w:r>
      <w:r w:rsidR="002E46F1" w:rsidRPr="002A3AAE">
        <w:rPr>
          <w:rStyle w:val="FootnoteReference"/>
          <w:rFonts w:ascii="Times New Roman" w:hAnsi="Times New Roman"/>
          <w:sz w:val="24"/>
        </w:rPr>
        <w:footnoteReference w:id="23"/>
      </w:r>
      <w:r w:rsidR="000D0F2B" w:rsidRPr="002A3AAE">
        <w:rPr>
          <w:rFonts w:ascii="Times New Roman" w:hAnsi="Times New Roman"/>
        </w:rPr>
        <w:t>.</w:t>
      </w:r>
      <w:r w:rsidR="006C19B2" w:rsidRPr="002A3AAE">
        <w:rPr>
          <w:rFonts w:ascii="Times New Roman" w:hAnsi="Times New Roman"/>
        </w:rPr>
        <w:t xml:space="preserve"> </w:t>
      </w:r>
    </w:p>
    <w:p w14:paraId="3AB31398" w14:textId="72007147" w:rsidR="00F93172" w:rsidRPr="002A3AAE" w:rsidRDefault="00B902C9"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1C7750" w:rsidRPr="002A3AAE">
        <w:rPr>
          <w:rFonts w:ascii="Times New Roman" w:hAnsi="Times New Roman"/>
        </w:rPr>
        <w:t>T</w:t>
      </w:r>
      <w:r w:rsidR="00FB2CF0" w:rsidRPr="002A3AAE">
        <w:rPr>
          <w:rFonts w:ascii="Times New Roman" w:hAnsi="Times New Roman"/>
        </w:rPr>
        <w:t xml:space="preserve">he majority noted that it was "effectively </w:t>
      </w:r>
      <w:r w:rsidR="002556F8" w:rsidRPr="002A3AAE">
        <w:rPr>
          <w:rFonts w:ascii="Times New Roman" w:hAnsi="Times New Roman"/>
        </w:rPr>
        <w:t>common ground</w:t>
      </w:r>
      <w:r w:rsidR="00FB2CF0" w:rsidRPr="002A3AAE">
        <w:rPr>
          <w:rFonts w:ascii="Times New Roman" w:hAnsi="Times New Roman"/>
        </w:rPr>
        <w:t>"</w:t>
      </w:r>
      <w:r w:rsidR="002556F8" w:rsidRPr="002A3AAE">
        <w:rPr>
          <w:rFonts w:ascii="Times New Roman" w:hAnsi="Times New Roman"/>
        </w:rPr>
        <w:t xml:space="preserve"> that </w:t>
      </w:r>
      <w:r w:rsidR="009A5320" w:rsidRPr="002A3AAE">
        <w:rPr>
          <w:rFonts w:ascii="Times New Roman" w:hAnsi="Times New Roman"/>
        </w:rPr>
        <w:t xml:space="preserve">the standard of materiality articulated in </w:t>
      </w:r>
      <w:r w:rsidR="004619BD" w:rsidRPr="002A3AAE">
        <w:rPr>
          <w:rFonts w:ascii="Times New Roman" w:hAnsi="Times New Roman"/>
          <w:i/>
          <w:iCs/>
        </w:rPr>
        <w:t xml:space="preserve">Minister for Immigration and Border Protection v </w:t>
      </w:r>
      <w:r w:rsidR="009A5320" w:rsidRPr="002A3AAE">
        <w:rPr>
          <w:rFonts w:ascii="Times New Roman" w:hAnsi="Times New Roman"/>
          <w:i/>
        </w:rPr>
        <w:t>SZMTA</w:t>
      </w:r>
      <w:r w:rsidR="004619BD" w:rsidRPr="002A3AAE">
        <w:rPr>
          <w:rStyle w:val="FootnoteReference"/>
          <w:rFonts w:ascii="Times New Roman" w:hAnsi="Times New Roman"/>
          <w:sz w:val="24"/>
        </w:rPr>
        <w:footnoteReference w:id="24"/>
      </w:r>
      <w:r w:rsidR="009A5320" w:rsidRPr="002A3AAE">
        <w:rPr>
          <w:rFonts w:ascii="Times New Roman" w:hAnsi="Times New Roman"/>
          <w:i/>
        </w:rPr>
        <w:t xml:space="preserve"> </w:t>
      </w:r>
      <w:r w:rsidR="00EC28E1" w:rsidRPr="002A3AAE">
        <w:rPr>
          <w:rFonts w:ascii="Times New Roman" w:hAnsi="Times New Roman"/>
        </w:rPr>
        <w:t>was determinative of whether there was jurisdictional error in this case</w:t>
      </w:r>
      <w:r w:rsidR="00121082" w:rsidRPr="002A3AAE">
        <w:rPr>
          <w:rStyle w:val="FootnoteReference"/>
          <w:rFonts w:ascii="Times New Roman" w:hAnsi="Times New Roman"/>
          <w:sz w:val="24"/>
        </w:rPr>
        <w:footnoteReference w:id="25"/>
      </w:r>
      <w:r w:rsidR="009A5320" w:rsidRPr="002A3AAE">
        <w:rPr>
          <w:rFonts w:ascii="Times New Roman" w:hAnsi="Times New Roman"/>
        </w:rPr>
        <w:t xml:space="preserve">. </w:t>
      </w:r>
      <w:r w:rsidR="00A01DD6" w:rsidRPr="002A3AAE">
        <w:rPr>
          <w:rFonts w:ascii="Times New Roman" w:hAnsi="Times New Roman"/>
        </w:rPr>
        <w:t xml:space="preserve">In </w:t>
      </w:r>
      <w:r w:rsidR="00A01DD6" w:rsidRPr="002A3AAE">
        <w:rPr>
          <w:rFonts w:ascii="Times New Roman" w:hAnsi="Times New Roman"/>
          <w:i/>
        </w:rPr>
        <w:t>SZMTA</w:t>
      </w:r>
      <w:r w:rsidR="00A01DD6" w:rsidRPr="002A3AAE">
        <w:rPr>
          <w:rFonts w:ascii="Times New Roman" w:hAnsi="Times New Roman"/>
        </w:rPr>
        <w:t xml:space="preserve">, a majority comprising Bell, </w:t>
      </w:r>
      <w:proofErr w:type="spellStart"/>
      <w:r w:rsidR="00A01DD6" w:rsidRPr="002A3AAE">
        <w:rPr>
          <w:rFonts w:ascii="Times New Roman" w:hAnsi="Times New Roman"/>
        </w:rPr>
        <w:t>Gageler</w:t>
      </w:r>
      <w:proofErr w:type="spellEnd"/>
      <w:r w:rsidR="00A01DD6" w:rsidRPr="002A3AAE">
        <w:rPr>
          <w:rFonts w:ascii="Times New Roman" w:hAnsi="Times New Roman"/>
        </w:rPr>
        <w:t xml:space="preserve"> and Keane JJ held that "[a] breach is material to a decision only if compliance could realistically have resulted in a different decision" and that "the question of the materiality of the breach is an ordinary question of fact in respect of which the applicant [for judicial </w:t>
      </w:r>
      <w:r w:rsidR="00A01DD6" w:rsidRPr="002A3AAE">
        <w:rPr>
          <w:rFonts w:ascii="Times New Roman" w:hAnsi="Times New Roman"/>
        </w:rPr>
        <w:lastRenderedPageBreak/>
        <w:t>review] bears the onus of proof"</w:t>
      </w:r>
      <w:r w:rsidR="00A01DD6" w:rsidRPr="002A3AAE">
        <w:rPr>
          <w:rStyle w:val="FootnoteReference"/>
          <w:rFonts w:ascii="Times New Roman" w:hAnsi="Times New Roman"/>
          <w:sz w:val="24"/>
        </w:rPr>
        <w:footnoteReference w:id="26"/>
      </w:r>
      <w:r w:rsidR="00A01DD6" w:rsidRPr="002A3AAE">
        <w:rPr>
          <w:rFonts w:ascii="Times New Roman" w:hAnsi="Times New Roman"/>
        </w:rPr>
        <w:t xml:space="preserve">. </w:t>
      </w:r>
      <w:r w:rsidR="00827FE4" w:rsidRPr="002A3AAE">
        <w:rPr>
          <w:rFonts w:ascii="Times New Roman" w:hAnsi="Times New Roman"/>
        </w:rPr>
        <w:t xml:space="preserve">The Full Court's decision was delivered before this Court's judgment in </w:t>
      </w:r>
      <w:r w:rsidR="00827FE4" w:rsidRPr="002A3AAE">
        <w:rPr>
          <w:rFonts w:ascii="Times New Roman" w:hAnsi="Times New Roman"/>
          <w:i/>
        </w:rPr>
        <w:t>MZAPC</w:t>
      </w:r>
      <w:r w:rsidR="00827FE4" w:rsidRPr="002A3AAE">
        <w:rPr>
          <w:rFonts w:ascii="Times New Roman" w:hAnsi="Times New Roman"/>
          <w:i/>
          <w:iCs/>
        </w:rPr>
        <w:t xml:space="preserve"> v Minister for Immigration and Border Protection</w:t>
      </w:r>
      <w:r w:rsidR="00827FE4" w:rsidRPr="002A3AAE">
        <w:rPr>
          <w:rStyle w:val="FootnoteReference"/>
          <w:rFonts w:ascii="Times New Roman" w:hAnsi="Times New Roman"/>
          <w:sz w:val="24"/>
        </w:rPr>
        <w:footnoteReference w:id="27"/>
      </w:r>
      <w:r w:rsidR="00A37C6E" w:rsidRPr="002A3AAE">
        <w:rPr>
          <w:rFonts w:ascii="Times New Roman" w:hAnsi="Times New Roman"/>
          <w:iCs/>
        </w:rPr>
        <w:t>,</w:t>
      </w:r>
      <w:r w:rsidR="00A37C6E" w:rsidRPr="002A3AAE">
        <w:rPr>
          <w:rFonts w:ascii="Times New Roman" w:hAnsi="Times New Roman"/>
          <w:i/>
        </w:rPr>
        <w:t xml:space="preserve"> </w:t>
      </w:r>
      <w:r w:rsidR="00A37C6E" w:rsidRPr="002A3AAE">
        <w:rPr>
          <w:rFonts w:ascii="Times New Roman" w:hAnsi="Times New Roman"/>
        </w:rPr>
        <w:t xml:space="preserve">in which </w:t>
      </w:r>
      <w:proofErr w:type="gramStart"/>
      <w:r w:rsidR="00324B6E" w:rsidRPr="002A3AAE">
        <w:rPr>
          <w:rFonts w:ascii="Times New Roman" w:hAnsi="Times New Roman"/>
        </w:rPr>
        <w:t>a majority of</w:t>
      </w:r>
      <w:proofErr w:type="gramEnd"/>
      <w:r w:rsidR="00324B6E" w:rsidRPr="002A3AAE">
        <w:rPr>
          <w:rFonts w:ascii="Times New Roman" w:hAnsi="Times New Roman"/>
        </w:rPr>
        <w:t xml:space="preserve"> this </w:t>
      </w:r>
      <w:r w:rsidR="00A53EFD" w:rsidRPr="002A3AAE">
        <w:rPr>
          <w:rFonts w:ascii="Times New Roman" w:hAnsi="Times New Roman"/>
        </w:rPr>
        <w:t xml:space="preserve">Court affirmed the explanation of materiality in </w:t>
      </w:r>
      <w:r w:rsidR="00A53EFD" w:rsidRPr="002A3AAE">
        <w:rPr>
          <w:rFonts w:ascii="Times New Roman" w:hAnsi="Times New Roman"/>
          <w:i/>
        </w:rPr>
        <w:t>SZMTA</w:t>
      </w:r>
      <w:r w:rsidR="00A53EFD" w:rsidRPr="002A3AAE">
        <w:rPr>
          <w:rStyle w:val="FootnoteReference"/>
          <w:rFonts w:ascii="Times New Roman" w:hAnsi="Times New Roman"/>
          <w:sz w:val="24"/>
        </w:rPr>
        <w:footnoteReference w:id="28"/>
      </w:r>
      <w:r w:rsidR="00A53EFD" w:rsidRPr="002A3AAE">
        <w:rPr>
          <w:rFonts w:ascii="Times New Roman" w:hAnsi="Times New Roman"/>
          <w:i/>
        </w:rPr>
        <w:t>.</w:t>
      </w:r>
    </w:p>
    <w:p w14:paraId="253961BE" w14:textId="5A949DCE" w:rsidR="00F94D33" w:rsidRPr="002A3AAE" w:rsidRDefault="00B902C9"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8C5EA0" w:rsidRPr="002A3AAE">
        <w:rPr>
          <w:rFonts w:ascii="Times New Roman" w:hAnsi="Times New Roman"/>
        </w:rPr>
        <w:t xml:space="preserve">The </w:t>
      </w:r>
      <w:r w:rsidR="00D52409" w:rsidRPr="002A3AAE">
        <w:rPr>
          <w:rFonts w:ascii="Times New Roman" w:hAnsi="Times New Roman"/>
        </w:rPr>
        <w:t xml:space="preserve">Full Court </w:t>
      </w:r>
      <w:r w:rsidR="008C5EA0" w:rsidRPr="002A3AAE">
        <w:rPr>
          <w:rFonts w:ascii="Times New Roman" w:hAnsi="Times New Roman"/>
        </w:rPr>
        <w:t xml:space="preserve">majority </w:t>
      </w:r>
      <w:r w:rsidR="00905F7C" w:rsidRPr="002A3AAE">
        <w:rPr>
          <w:rFonts w:ascii="Times New Roman" w:hAnsi="Times New Roman"/>
        </w:rPr>
        <w:t xml:space="preserve">identified three </w:t>
      </w:r>
      <w:proofErr w:type="gramStart"/>
      <w:r w:rsidR="00905F7C" w:rsidRPr="002A3AAE">
        <w:rPr>
          <w:rFonts w:ascii="Times New Roman" w:hAnsi="Times New Roman"/>
        </w:rPr>
        <w:t xml:space="preserve">particular </w:t>
      </w:r>
      <w:r w:rsidR="00BF06D7" w:rsidRPr="002A3AAE">
        <w:rPr>
          <w:rFonts w:ascii="Times New Roman" w:hAnsi="Times New Roman"/>
        </w:rPr>
        <w:t>circumstances</w:t>
      </w:r>
      <w:proofErr w:type="gramEnd"/>
      <w:r w:rsidR="00BF06D7" w:rsidRPr="002A3AAE">
        <w:rPr>
          <w:rFonts w:ascii="Times New Roman" w:hAnsi="Times New Roman"/>
        </w:rPr>
        <w:t xml:space="preserve"> </w:t>
      </w:r>
      <w:r w:rsidR="00905F7C" w:rsidRPr="002A3AAE">
        <w:rPr>
          <w:rFonts w:ascii="Times New Roman" w:hAnsi="Times New Roman"/>
        </w:rPr>
        <w:t>which, they considered, meant that it was incumbent on the appellant to identify before the primary judge a matter or matters that could have been put before the Tribunal, from which the primary judge could infer that there was a realistic possibility of a different outcome</w:t>
      </w:r>
      <w:r w:rsidR="0077197F" w:rsidRPr="002A3AAE">
        <w:rPr>
          <w:rStyle w:val="FootnoteReference"/>
          <w:rFonts w:ascii="Times New Roman" w:hAnsi="Times New Roman"/>
          <w:sz w:val="24"/>
        </w:rPr>
        <w:footnoteReference w:id="29"/>
      </w:r>
      <w:r w:rsidR="00905F7C" w:rsidRPr="002A3AAE">
        <w:rPr>
          <w:rFonts w:ascii="Times New Roman" w:hAnsi="Times New Roman"/>
        </w:rPr>
        <w:t>.</w:t>
      </w:r>
      <w:r w:rsidR="0077197F" w:rsidRPr="002A3AAE">
        <w:rPr>
          <w:rFonts w:ascii="Times New Roman" w:hAnsi="Times New Roman"/>
        </w:rPr>
        <w:t xml:space="preserve"> The</w:t>
      </w:r>
      <w:r w:rsidR="00C01884" w:rsidRPr="002A3AAE">
        <w:rPr>
          <w:rFonts w:ascii="Times New Roman" w:hAnsi="Times New Roman"/>
        </w:rPr>
        <w:t xml:space="preserve"> first was</w:t>
      </w:r>
      <w:r w:rsidR="0077197F" w:rsidRPr="002A3AAE">
        <w:rPr>
          <w:rFonts w:ascii="Times New Roman" w:hAnsi="Times New Roman"/>
        </w:rPr>
        <w:t xml:space="preserve"> </w:t>
      </w:r>
      <w:r w:rsidR="000C6998" w:rsidRPr="002A3AAE">
        <w:rPr>
          <w:rFonts w:ascii="Times New Roman" w:hAnsi="Times New Roman"/>
        </w:rPr>
        <w:t>the general importance of the allegations of domestic violence</w:t>
      </w:r>
      <w:r w:rsidR="00D428E0" w:rsidRPr="002A3AAE">
        <w:rPr>
          <w:rFonts w:ascii="Times New Roman" w:hAnsi="Times New Roman"/>
        </w:rPr>
        <w:t>,</w:t>
      </w:r>
      <w:r w:rsidR="000C6998" w:rsidRPr="002A3AAE">
        <w:rPr>
          <w:rFonts w:ascii="Times New Roman" w:hAnsi="Times New Roman"/>
        </w:rPr>
        <w:t xml:space="preserve"> </w:t>
      </w:r>
      <w:r w:rsidR="00DE6E12" w:rsidRPr="002A3AAE">
        <w:rPr>
          <w:rFonts w:ascii="Times New Roman" w:hAnsi="Times New Roman"/>
        </w:rPr>
        <w:t xml:space="preserve">which </w:t>
      </w:r>
      <w:r w:rsidR="000C6998" w:rsidRPr="002A3AAE">
        <w:rPr>
          <w:rFonts w:ascii="Times New Roman" w:hAnsi="Times New Roman"/>
        </w:rPr>
        <w:t>w</w:t>
      </w:r>
      <w:r w:rsidR="00C01884" w:rsidRPr="002A3AAE">
        <w:rPr>
          <w:rFonts w:ascii="Times New Roman" w:hAnsi="Times New Roman"/>
        </w:rPr>
        <w:t>as</w:t>
      </w:r>
      <w:r w:rsidR="000C6998" w:rsidRPr="002A3AAE">
        <w:rPr>
          <w:rFonts w:ascii="Times New Roman" w:hAnsi="Times New Roman"/>
        </w:rPr>
        <w:t xml:space="preserve">, or should have been, apparent to the appellant from before the commencement of the Tribunal hearing. </w:t>
      </w:r>
      <w:r w:rsidR="005542A2" w:rsidRPr="002A3AAE">
        <w:rPr>
          <w:rFonts w:ascii="Times New Roman" w:hAnsi="Times New Roman"/>
        </w:rPr>
        <w:t>The</w:t>
      </w:r>
      <w:r w:rsidR="00ED0317" w:rsidRPr="002A3AAE">
        <w:rPr>
          <w:rFonts w:ascii="Times New Roman" w:hAnsi="Times New Roman"/>
        </w:rPr>
        <w:t>ir Honours</w:t>
      </w:r>
      <w:r w:rsidR="005542A2" w:rsidRPr="002A3AAE">
        <w:rPr>
          <w:rFonts w:ascii="Times New Roman" w:hAnsi="Times New Roman"/>
        </w:rPr>
        <w:t xml:space="preserve"> considered that it must have been apparent to the appellant that the question of his character and propensity to engage in violence was going to be important and that the allegations of domestic violence would be relevant to that question. </w:t>
      </w:r>
    </w:p>
    <w:p w14:paraId="11CBC72F" w14:textId="17A34B62" w:rsidR="005542A2" w:rsidRPr="002A3AAE" w:rsidRDefault="00B902C9"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5542A2" w:rsidRPr="002A3AAE">
        <w:rPr>
          <w:rFonts w:ascii="Times New Roman" w:hAnsi="Times New Roman"/>
        </w:rPr>
        <w:t xml:space="preserve">The second </w:t>
      </w:r>
      <w:r w:rsidR="006062C7" w:rsidRPr="002A3AAE">
        <w:rPr>
          <w:rFonts w:ascii="Times New Roman" w:hAnsi="Times New Roman"/>
        </w:rPr>
        <w:t xml:space="preserve">relevant </w:t>
      </w:r>
      <w:r w:rsidR="00BF06D7" w:rsidRPr="002A3AAE">
        <w:rPr>
          <w:rFonts w:ascii="Times New Roman" w:hAnsi="Times New Roman"/>
        </w:rPr>
        <w:t xml:space="preserve">circumstance </w:t>
      </w:r>
      <w:r w:rsidR="006062C7" w:rsidRPr="002A3AAE">
        <w:rPr>
          <w:rFonts w:ascii="Times New Roman" w:hAnsi="Times New Roman"/>
        </w:rPr>
        <w:t xml:space="preserve">was </w:t>
      </w:r>
      <w:r w:rsidR="00271AFA" w:rsidRPr="002A3AAE">
        <w:rPr>
          <w:rFonts w:ascii="Times New Roman" w:hAnsi="Times New Roman"/>
        </w:rPr>
        <w:t xml:space="preserve">the </w:t>
      </w:r>
      <w:r w:rsidR="008A355B" w:rsidRPr="002A3AAE">
        <w:rPr>
          <w:rFonts w:ascii="Times New Roman" w:hAnsi="Times New Roman"/>
        </w:rPr>
        <w:t xml:space="preserve">letter of support from the appellant's wife </w:t>
      </w:r>
      <w:r w:rsidR="00BD0447" w:rsidRPr="002A3AAE">
        <w:rPr>
          <w:rFonts w:ascii="Times New Roman" w:hAnsi="Times New Roman"/>
        </w:rPr>
        <w:t xml:space="preserve">to the Tribunal which dealt with domestic violence allegations. Although it did not address the allegations directly and did not indicate whether the appellant's wife </w:t>
      </w:r>
      <w:proofErr w:type="gramStart"/>
      <w:r w:rsidR="00BD0447" w:rsidRPr="002A3AAE">
        <w:rPr>
          <w:rFonts w:ascii="Times New Roman" w:hAnsi="Times New Roman"/>
        </w:rPr>
        <w:t>accepted</w:t>
      </w:r>
      <w:proofErr w:type="gramEnd"/>
      <w:r w:rsidR="00BD0447" w:rsidRPr="002A3AAE">
        <w:rPr>
          <w:rFonts w:ascii="Times New Roman" w:hAnsi="Times New Roman"/>
        </w:rPr>
        <w:t xml:space="preserve"> they occurred, the majority consider</w:t>
      </w:r>
      <w:r w:rsidR="00FA4A1F" w:rsidRPr="002A3AAE">
        <w:rPr>
          <w:rFonts w:ascii="Times New Roman" w:hAnsi="Times New Roman"/>
        </w:rPr>
        <w:t>ed</w:t>
      </w:r>
      <w:r w:rsidR="00BD0447" w:rsidRPr="002A3AAE">
        <w:rPr>
          <w:rFonts w:ascii="Times New Roman" w:hAnsi="Times New Roman"/>
        </w:rPr>
        <w:t xml:space="preserve"> that </w:t>
      </w:r>
      <w:r w:rsidR="00D310D8" w:rsidRPr="002A3AAE">
        <w:rPr>
          <w:rFonts w:ascii="Times New Roman" w:hAnsi="Times New Roman"/>
        </w:rPr>
        <w:t xml:space="preserve">the statement tended to confirm the state of mind that was the first relevant </w:t>
      </w:r>
      <w:r w:rsidR="009A5881" w:rsidRPr="002A3AAE">
        <w:rPr>
          <w:rFonts w:ascii="Times New Roman" w:hAnsi="Times New Roman"/>
        </w:rPr>
        <w:t>circumstance</w:t>
      </w:r>
      <w:r w:rsidR="00D310D8" w:rsidRPr="002A3AAE">
        <w:rPr>
          <w:rFonts w:ascii="Times New Roman" w:hAnsi="Times New Roman"/>
        </w:rPr>
        <w:t>.</w:t>
      </w:r>
      <w:r w:rsidR="00D854E6" w:rsidRPr="002A3AAE">
        <w:rPr>
          <w:rFonts w:ascii="Times New Roman" w:hAnsi="Times New Roman"/>
        </w:rPr>
        <w:t xml:space="preserve"> Further, </w:t>
      </w:r>
      <w:r w:rsidR="00AA2404" w:rsidRPr="002A3AAE">
        <w:rPr>
          <w:rFonts w:ascii="Times New Roman" w:hAnsi="Times New Roman"/>
        </w:rPr>
        <w:t xml:space="preserve">it was said, </w:t>
      </w:r>
      <w:r w:rsidR="00D854E6" w:rsidRPr="002A3AAE">
        <w:rPr>
          <w:rFonts w:ascii="Times New Roman" w:hAnsi="Times New Roman"/>
        </w:rPr>
        <w:t xml:space="preserve">the statement presented bases </w:t>
      </w:r>
      <w:r w:rsidR="00AA2404" w:rsidRPr="002A3AAE">
        <w:rPr>
          <w:rFonts w:ascii="Times New Roman" w:hAnsi="Times New Roman"/>
        </w:rPr>
        <w:t>on which the Tribunal might have found that the allegations were of lesser importance than they might otherwise appear.</w:t>
      </w:r>
    </w:p>
    <w:p w14:paraId="5EFBE354" w14:textId="0C3C2617" w:rsidR="009222F0" w:rsidRPr="002A3AAE" w:rsidRDefault="00B902C9"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AA2404" w:rsidRPr="002A3AAE">
        <w:rPr>
          <w:rFonts w:ascii="Times New Roman" w:hAnsi="Times New Roman"/>
        </w:rPr>
        <w:t xml:space="preserve">The third relevant </w:t>
      </w:r>
      <w:r w:rsidR="00BF06D7" w:rsidRPr="002A3AAE">
        <w:rPr>
          <w:rFonts w:ascii="Times New Roman" w:hAnsi="Times New Roman"/>
        </w:rPr>
        <w:t xml:space="preserve">circumstance </w:t>
      </w:r>
      <w:r w:rsidR="00AA2404" w:rsidRPr="002A3AAE">
        <w:rPr>
          <w:rFonts w:ascii="Times New Roman" w:hAnsi="Times New Roman"/>
        </w:rPr>
        <w:t xml:space="preserve">was </w:t>
      </w:r>
      <w:r w:rsidR="00A509B1" w:rsidRPr="002A3AAE">
        <w:rPr>
          <w:rFonts w:ascii="Times New Roman" w:hAnsi="Times New Roman"/>
        </w:rPr>
        <w:t xml:space="preserve">the appellant's admissions to the Tribunal concerning the </w:t>
      </w:r>
      <w:r w:rsidR="00E3734F" w:rsidRPr="002A3AAE">
        <w:rPr>
          <w:rFonts w:ascii="Times New Roman" w:hAnsi="Times New Roman"/>
        </w:rPr>
        <w:t xml:space="preserve">two </w:t>
      </w:r>
      <w:r w:rsidR="00830817" w:rsidRPr="002A3AAE">
        <w:rPr>
          <w:rFonts w:ascii="Times New Roman" w:hAnsi="Times New Roman"/>
        </w:rPr>
        <w:t xml:space="preserve">incidents </w:t>
      </w:r>
      <w:r w:rsidR="00C73745" w:rsidRPr="002A3AAE">
        <w:rPr>
          <w:rFonts w:ascii="Times New Roman" w:hAnsi="Times New Roman"/>
        </w:rPr>
        <w:t xml:space="preserve">of domestic or family violence </w:t>
      </w:r>
      <w:r w:rsidR="00830817" w:rsidRPr="002A3AAE">
        <w:rPr>
          <w:rFonts w:ascii="Times New Roman" w:hAnsi="Times New Roman"/>
        </w:rPr>
        <w:t xml:space="preserve">recorded in the police reports. </w:t>
      </w:r>
      <w:r w:rsidR="00A565A6" w:rsidRPr="002A3AAE">
        <w:rPr>
          <w:rFonts w:ascii="Times New Roman" w:hAnsi="Times New Roman"/>
        </w:rPr>
        <w:t xml:space="preserve">Even though the admissions were qualified </w:t>
      </w:r>
      <w:r w:rsidR="00372FA1" w:rsidRPr="002A3AAE">
        <w:rPr>
          <w:rFonts w:ascii="Times New Roman" w:hAnsi="Times New Roman"/>
        </w:rPr>
        <w:t>because the appellant said that he could not remember the incidents</w:t>
      </w:r>
      <w:r w:rsidR="00C73745" w:rsidRPr="002A3AAE">
        <w:rPr>
          <w:rFonts w:ascii="Times New Roman" w:hAnsi="Times New Roman"/>
        </w:rPr>
        <w:t>, the appellant</w:t>
      </w:r>
      <w:r w:rsidR="0007199F" w:rsidRPr="002A3AAE">
        <w:rPr>
          <w:rFonts w:ascii="Times New Roman" w:hAnsi="Times New Roman"/>
        </w:rPr>
        <w:t xml:space="preserve"> did not doubt that his wife had given an accurate account to the police</w:t>
      </w:r>
      <w:r w:rsidR="00EA5F58" w:rsidRPr="002A3AAE">
        <w:rPr>
          <w:rFonts w:ascii="Times New Roman" w:hAnsi="Times New Roman"/>
        </w:rPr>
        <w:t>. T</w:t>
      </w:r>
      <w:r w:rsidR="00203DF9" w:rsidRPr="002A3AAE">
        <w:rPr>
          <w:rFonts w:ascii="Times New Roman" w:hAnsi="Times New Roman"/>
        </w:rPr>
        <w:t>h</w:t>
      </w:r>
      <w:r w:rsidR="003F3510" w:rsidRPr="002A3AAE">
        <w:rPr>
          <w:rFonts w:ascii="Times New Roman" w:hAnsi="Times New Roman"/>
        </w:rPr>
        <w:t>e Full Court majority held that th</w:t>
      </w:r>
      <w:r w:rsidR="00203DF9" w:rsidRPr="002A3AAE">
        <w:rPr>
          <w:rFonts w:ascii="Times New Roman" w:hAnsi="Times New Roman"/>
        </w:rPr>
        <w:t xml:space="preserve">is qualification did not provide a basis for the Tribunal failing to find that the incidents </w:t>
      </w:r>
      <w:r w:rsidR="005A50D9" w:rsidRPr="002A3AAE">
        <w:rPr>
          <w:rFonts w:ascii="Times New Roman" w:hAnsi="Times New Roman"/>
        </w:rPr>
        <w:t xml:space="preserve">had </w:t>
      </w:r>
      <w:proofErr w:type="gramStart"/>
      <w:r w:rsidR="00203DF9" w:rsidRPr="002A3AAE">
        <w:rPr>
          <w:rFonts w:ascii="Times New Roman" w:hAnsi="Times New Roman"/>
        </w:rPr>
        <w:t>occurred</w:t>
      </w:r>
      <w:proofErr w:type="gramEnd"/>
      <w:r w:rsidR="00203DF9" w:rsidRPr="002A3AAE">
        <w:rPr>
          <w:rFonts w:ascii="Times New Roman" w:hAnsi="Times New Roman"/>
        </w:rPr>
        <w:t xml:space="preserve"> and th</w:t>
      </w:r>
      <w:r w:rsidR="0039077F" w:rsidRPr="002A3AAE">
        <w:rPr>
          <w:rFonts w:ascii="Times New Roman" w:hAnsi="Times New Roman"/>
        </w:rPr>
        <w:t>ose findings would always be viewed as serious by the Tribunal.</w:t>
      </w:r>
    </w:p>
    <w:p w14:paraId="1C5AC3D8" w14:textId="56DF5C73" w:rsidR="00DE03C8" w:rsidRPr="002A3AAE" w:rsidRDefault="00B902C9" w:rsidP="002A3AAE">
      <w:pPr>
        <w:pStyle w:val="FixListStyle"/>
        <w:spacing w:after="260" w:line="280" w:lineRule="exact"/>
        <w:ind w:right="0"/>
        <w:jc w:val="both"/>
        <w:rPr>
          <w:rFonts w:ascii="Times New Roman" w:hAnsi="Times New Roman"/>
        </w:rPr>
      </w:pPr>
      <w:r w:rsidRPr="002A3AAE">
        <w:rPr>
          <w:rFonts w:ascii="Times New Roman" w:hAnsi="Times New Roman"/>
        </w:rPr>
        <w:lastRenderedPageBreak/>
        <w:tab/>
      </w:r>
      <w:r w:rsidR="00E82E07" w:rsidRPr="002A3AAE">
        <w:rPr>
          <w:rFonts w:ascii="Times New Roman" w:hAnsi="Times New Roman"/>
        </w:rPr>
        <w:t xml:space="preserve">In the light of these </w:t>
      </w:r>
      <w:r w:rsidR="00E11946" w:rsidRPr="002A3AAE">
        <w:rPr>
          <w:rFonts w:ascii="Times New Roman" w:hAnsi="Times New Roman"/>
        </w:rPr>
        <w:t xml:space="preserve">three </w:t>
      </w:r>
      <w:r w:rsidR="00886CA7" w:rsidRPr="002A3AAE">
        <w:rPr>
          <w:rFonts w:ascii="Times New Roman" w:hAnsi="Times New Roman"/>
        </w:rPr>
        <w:t>circumstances</w:t>
      </w:r>
      <w:r w:rsidR="000320FA" w:rsidRPr="002A3AAE">
        <w:rPr>
          <w:rFonts w:ascii="Times New Roman" w:hAnsi="Times New Roman"/>
        </w:rPr>
        <w:t xml:space="preserve">, the majority concluded that "the scope for the court to infer that [the appellant] could have produced further </w:t>
      </w:r>
      <w:proofErr w:type="gramStart"/>
      <w:r w:rsidR="000320FA" w:rsidRPr="002A3AAE">
        <w:rPr>
          <w:rFonts w:ascii="Times New Roman" w:hAnsi="Times New Roman"/>
        </w:rPr>
        <w:t>evidence, or</w:t>
      </w:r>
      <w:proofErr w:type="gramEnd"/>
      <w:r w:rsidR="000320FA" w:rsidRPr="002A3AAE">
        <w:rPr>
          <w:rFonts w:ascii="Times New Roman" w:hAnsi="Times New Roman"/>
        </w:rPr>
        <w:t xml:space="preserve"> said something more which could possibly have changed the outcome</w:t>
      </w:r>
      <w:r w:rsidR="003637FD" w:rsidRPr="002A3AAE">
        <w:rPr>
          <w:rFonts w:ascii="Times New Roman" w:hAnsi="Times New Roman"/>
        </w:rPr>
        <w:t>,</w:t>
      </w:r>
      <w:r w:rsidR="000320FA" w:rsidRPr="002A3AAE">
        <w:rPr>
          <w:rFonts w:ascii="Times New Roman" w:hAnsi="Times New Roman"/>
        </w:rPr>
        <w:t xml:space="preserve"> </w:t>
      </w:r>
      <w:r w:rsidR="00C8725C" w:rsidRPr="002A3AAE">
        <w:rPr>
          <w:rFonts w:ascii="Times New Roman" w:hAnsi="Times New Roman"/>
        </w:rPr>
        <w:t>[was]</w:t>
      </w:r>
      <w:r w:rsidR="000320FA" w:rsidRPr="002A3AAE">
        <w:rPr>
          <w:rFonts w:ascii="Times New Roman" w:hAnsi="Times New Roman"/>
        </w:rPr>
        <w:t xml:space="preserve"> substantially curtailed</w:t>
      </w:r>
      <w:r w:rsidR="003637FD" w:rsidRPr="002A3AAE">
        <w:rPr>
          <w:rFonts w:ascii="Times New Roman" w:hAnsi="Times New Roman"/>
        </w:rPr>
        <w:t>"</w:t>
      </w:r>
      <w:r w:rsidR="003637FD" w:rsidRPr="002A3AAE">
        <w:rPr>
          <w:rStyle w:val="FootnoteReference"/>
          <w:rFonts w:ascii="Times New Roman" w:hAnsi="Times New Roman"/>
          <w:sz w:val="24"/>
        </w:rPr>
        <w:footnoteReference w:id="30"/>
      </w:r>
      <w:r w:rsidR="003637FD" w:rsidRPr="002A3AAE">
        <w:rPr>
          <w:rFonts w:ascii="Times New Roman" w:hAnsi="Times New Roman"/>
        </w:rPr>
        <w:t>. Their Honour</w:t>
      </w:r>
      <w:r w:rsidR="00FD1D63" w:rsidRPr="002A3AAE">
        <w:rPr>
          <w:rFonts w:ascii="Times New Roman" w:hAnsi="Times New Roman"/>
        </w:rPr>
        <w:t>s considered that the valuable nature of the opportunity lost by the appellant was "not obvious"</w:t>
      </w:r>
      <w:r w:rsidR="006E5AE8" w:rsidRPr="002A3AAE">
        <w:rPr>
          <w:rFonts w:ascii="Times New Roman" w:hAnsi="Times New Roman"/>
        </w:rPr>
        <w:t xml:space="preserve"> </w:t>
      </w:r>
      <w:r w:rsidR="00DE03C8" w:rsidRPr="002A3AAE">
        <w:rPr>
          <w:rFonts w:ascii="Times New Roman" w:hAnsi="Times New Roman"/>
        </w:rPr>
        <w:t xml:space="preserve">and, </w:t>
      </w:r>
      <w:proofErr w:type="gramStart"/>
      <w:r w:rsidR="00DE03C8" w:rsidRPr="002A3AAE">
        <w:rPr>
          <w:rFonts w:ascii="Times New Roman" w:hAnsi="Times New Roman"/>
        </w:rPr>
        <w:t>whether or not</w:t>
      </w:r>
      <w:proofErr w:type="gramEnd"/>
      <w:r w:rsidR="00DE03C8" w:rsidRPr="002A3AAE">
        <w:rPr>
          <w:rFonts w:ascii="Times New Roman" w:hAnsi="Times New Roman"/>
        </w:rPr>
        <w:t xml:space="preserve"> he needed to adduce evidence, the appellant "did at least need to articulate</w:t>
      </w:r>
      <w:r w:rsidR="0062491D" w:rsidRPr="002A3AAE">
        <w:rPr>
          <w:rFonts w:ascii="Times New Roman" w:hAnsi="Times New Roman"/>
        </w:rPr>
        <w:t xml:space="preserve"> </w:t>
      </w:r>
      <w:r w:rsidR="00DE03C8" w:rsidRPr="002A3AAE">
        <w:rPr>
          <w:rFonts w:ascii="Times New Roman" w:hAnsi="Times New Roman"/>
        </w:rPr>
        <w:t>...</w:t>
      </w:r>
      <w:r w:rsidR="0062491D" w:rsidRPr="002A3AAE">
        <w:rPr>
          <w:rFonts w:ascii="Times New Roman" w:hAnsi="Times New Roman"/>
        </w:rPr>
        <w:t xml:space="preserve"> </w:t>
      </w:r>
      <w:r w:rsidR="00DE03C8" w:rsidRPr="002A3AAE">
        <w:rPr>
          <w:rFonts w:ascii="Times New Roman" w:hAnsi="Times New Roman"/>
        </w:rPr>
        <w:t>a specific course of action which could realistically have changed the result"</w:t>
      </w:r>
      <w:r w:rsidR="0062491D" w:rsidRPr="002A3AAE">
        <w:rPr>
          <w:rStyle w:val="FootnoteReference"/>
          <w:rFonts w:ascii="Times New Roman" w:hAnsi="Times New Roman"/>
          <w:sz w:val="24"/>
        </w:rPr>
        <w:footnoteReference w:id="31"/>
      </w:r>
      <w:r w:rsidR="00DE03C8" w:rsidRPr="002A3AAE">
        <w:rPr>
          <w:rFonts w:ascii="Times New Roman" w:hAnsi="Times New Roman"/>
        </w:rPr>
        <w:t>. This, the majority concluded, the appellant had failed to do</w:t>
      </w:r>
      <w:r w:rsidR="001255E7" w:rsidRPr="002A3AAE">
        <w:rPr>
          <w:rStyle w:val="FootnoteReference"/>
          <w:rFonts w:ascii="Times New Roman" w:hAnsi="Times New Roman"/>
          <w:sz w:val="24"/>
        </w:rPr>
        <w:footnoteReference w:id="32"/>
      </w:r>
      <w:r w:rsidR="00DE03C8" w:rsidRPr="002A3AAE">
        <w:rPr>
          <w:rFonts w:ascii="Times New Roman" w:hAnsi="Times New Roman"/>
        </w:rPr>
        <w:t>.</w:t>
      </w:r>
    </w:p>
    <w:p w14:paraId="74A9E6D5" w14:textId="67BD935B" w:rsidR="00DE7F5B" w:rsidRPr="002A3AAE" w:rsidRDefault="00B902C9"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FB54EC" w:rsidRPr="002A3AAE">
        <w:rPr>
          <w:rFonts w:ascii="Times New Roman" w:hAnsi="Times New Roman"/>
        </w:rPr>
        <w:t xml:space="preserve">The majority </w:t>
      </w:r>
      <w:r w:rsidR="00E34906" w:rsidRPr="002A3AAE">
        <w:rPr>
          <w:rFonts w:ascii="Times New Roman" w:hAnsi="Times New Roman"/>
        </w:rPr>
        <w:t xml:space="preserve">also rejected the appellant's contention </w:t>
      </w:r>
      <w:r w:rsidR="00297DE3" w:rsidRPr="002A3AAE">
        <w:rPr>
          <w:rFonts w:ascii="Times New Roman" w:hAnsi="Times New Roman"/>
        </w:rPr>
        <w:t xml:space="preserve">that there were </w:t>
      </w:r>
      <w:r w:rsidR="00296DDC" w:rsidRPr="002A3AAE">
        <w:rPr>
          <w:rFonts w:ascii="Times New Roman" w:hAnsi="Times New Roman"/>
        </w:rPr>
        <w:t>three things</w:t>
      </w:r>
      <w:r w:rsidR="00E34906" w:rsidRPr="002A3AAE">
        <w:rPr>
          <w:rFonts w:ascii="Times New Roman" w:hAnsi="Times New Roman"/>
        </w:rPr>
        <w:t xml:space="preserve"> he could have done if given a fair hearing. </w:t>
      </w:r>
      <w:r w:rsidR="00DE7F5B" w:rsidRPr="002A3AAE">
        <w:rPr>
          <w:rFonts w:ascii="Times New Roman" w:hAnsi="Times New Roman"/>
        </w:rPr>
        <w:t xml:space="preserve">The first </w:t>
      </w:r>
      <w:r w:rsidR="00297DE3" w:rsidRPr="002A3AAE">
        <w:rPr>
          <w:rFonts w:ascii="Times New Roman" w:hAnsi="Times New Roman"/>
        </w:rPr>
        <w:t xml:space="preserve">of those </w:t>
      </w:r>
      <w:r w:rsidR="00296DDC" w:rsidRPr="002A3AAE">
        <w:rPr>
          <w:rFonts w:ascii="Times New Roman" w:hAnsi="Times New Roman"/>
        </w:rPr>
        <w:t>thing</w:t>
      </w:r>
      <w:r w:rsidR="00297DE3" w:rsidRPr="002A3AAE">
        <w:rPr>
          <w:rFonts w:ascii="Times New Roman" w:hAnsi="Times New Roman"/>
        </w:rPr>
        <w:t>s</w:t>
      </w:r>
      <w:r w:rsidR="00296DDC" w:rsidRPr="002A3AAE">
        <w:rPr>
          <w:rFonts w:ascii="Times New Roman" w:hAnsi="Times New Roman"/>
        </w:rPr>
        <w:t xml:space="preserve"> </w:t>
      </w:r>
      <w:r w:rsidR="00DE7F5B" w:rsidRPr="002A3AAE">
        <w:rPr>
          <w:rFonts w:ascii="Times New Roman" w:hAnsi="Times New Roman"/>
        </w:rPr>
        <w:t xml:space="preserve">was to adduce evidence from the appellant's wife. </w:t>
      </w:r>
      <w:r w:rsidR="00B55E00" w:rsidRPr="002A3AAE">
        <w:rPr>
          <w:rFonts w:ascii="Times New Roman" w:hAnsi="Times New Roman"/>
        </w:rPr>
        <w:t xml:space="preserve">The majority said that there was no basis to infer that she may have said anything </w:t>
      </w:r>
      <w:r w:rsidR="00A14D3E" w:rsidRPr="002A3AAE">
        <w:rPr>
          <w:rFonts w:ascii="Times New Roman" w:hAnsi="Times New Roman"/>
        </w:rPr>
        <w:t xml:space="preserve">different from what she had included in her letter to the </w:t>
      </w:r>
      <w:proofErr w:type="gramStart"/>
      <w:r w:rsidR="00A14D3E" w:rsidRPr="002A3AAE">
        <w:rPr>
          <w:rFonts w:ascii="Times New Roman" w:hAnsi="Times New Roman"/>
        </w:rPr>
        <w:t>Tribunal</w:t>
      </w:r>
      <w:proofErr w:type="gramEnd"/>
      <w:r w:rsidR="006D5674" w:rsidRPr="002A3AAE">
        <w:rPr>
          <w:rFonts w:ascii="Times New Roman" w:hAnsi="Times New Roman"/>
        </w:rPr>
        <w:t xml:space="preserve"> and it could "readily be inferred that if she had said more, she may have been cross-examined in a way that made matters worse for her husband"</w:t>
      </w:r>
      <w:r w:rsidR="00C65036" w:rsidRPr="002A3AAE">
        <w:rPr>
          <w:rStyle w:val="FootnoteReference"/>
          <w:rFonts w:ascii="Times New Roman" w:hAnsi="Times New Roman"/>
          <w:sz w:val="24"/>
        </w:rPr>
        <w:footnoteReference w:id="33"/>
      </w:r>
      <w:r w:rsidR="007E0B09" w:rsidRPr="002A3AAE">
        <w:rPr>
          <w:rFonts w:ascii="Times New Roman" w:hAnsi="Times New Roman"/>
        </w:rPr>
        <w:t xml:space="preserve">. The second </w:t>
      </w:r>
      <w:r w:rsidR="00296DDC" w:rsidRPr="002A3AAE">
        <w:rPr>
          <w:rFonts w:ascii="Times New Roman" w:hAnsi="Times New Roman"/>
        </w:rPr>
        <w:t xml:space="preserve">thing </w:t>
      </w:r>
      <w:r w:rsidR="007E0B09" w:rsidRPr="002A3AAE">
        <w:rPr>
          <w:rFonts w:ascii="Times New Roman" w:hAnsi="Times New Roman"/>
        </w:rPr>
        <w:t xml:space="preserve">was to submit that the appellant's domestic violence should not be viewed as being "very seriously" adverse to his interests in the review because he had not been charged with or convicted of any crime in respect of that conduct. </w:t>
      </w:r>
      <w:r w:rsidR="00296DDC" w:rsidRPr="002A3AAE">
        <w:rPr>
          <w:rFonts w:ascii="Times New Roman" w:hAnsi="Times New Roman"/>
        </w:rPr>
        <w:t>The majority observed that the Tribunal was already aware of that point</w:t>
      </w:r>
      <w:r w:rsidR="00A02193" w:rsidRPr="002A3AAE">
        <w:rPr>
          <w:rStyle w:val="FootnoteReference"/>
          <w:rFonts w:ascii="Times New Roman" w:hAnsi="Times New Roman"/>
          <w:sz w:val="24"/>
        </w:rPr>
        <w:footnoteReference w:id="34"/>
      </w:r>
      <w:r w:rsidR="00296DDC" w:rsidRPr="002A3AAE">
        <w:rPr>
          <w:rFonts w:ascii="Times New Roman" w:hAnsi="Times New Roman"/>
        </w:rPr>
        <w:t xml:space="preserve">. The third thing </w:t>
      </w:r>
      <w:r w:rsidR="00A13308" w:rsidRPr="002A3AAE">
        <w:rPr>
          <w:rFonts w:ascii="Times New Roman" w:hAnsi="Times New Roman"/>
        </w:rPr>
        <w:t>was to submit that, even if his domestic violence was to be viewed very seriously in relation to protection of the Australian community</w:t>
      </w:r>
      <w:r w:rsidR="00117419" w:rsidRPr="002A3AAE">
        <w:rPr>
          <w:rFonts w:ascii="Times New Roman" w:hAnsi="Times New Roman"/>
        </w:rPr>
        <w:t xml:space="preserve">, that conduct should not diminish the weight to be given to the best interests of the appellant's children. </w:t>
      </w:r>
      <w:r w:rsidR="004141CF" w:rsidRPr="002A3AAE">
        <w:rPr>
          <w:rFonts w:ascii="Times New Roman" w:hAnsi="Times New Roman"/>
        </w:rPr>
        <w:t xml:space="preserve">The majority considered that, as the appellant was on notice of the relevance of the domestic violence issues </w:t>
      </w:r>
      <w:r w:rsidR="00945CB8" w:rsidRPr="002A3AAE">
        <w:rPr>
          <w:rFonts w:ascii="Times New Roman" w:hAnsi="Times New Roman"/>
        </w:rPr>
        <w:t>to</w:t>
      </w:r>
      <w:r w:rsidR="004141CF" w:rsidRPr="002A3AAE">
        <w:rPr>
          <w:rFonts w:ascii="Times New Roman" w:hAnsi="Times New Roman"/>
        </w:rPr>
        <w:t xml:space="preserve"> the question of his children's best interests, </w:t>
      </w:r>
      <w:r w:rsidR="00BE2C19" w:rsidRPr="002A3AAE">
        <w:rPr>
          <w:rFonts w:ascii="Times New Roman" w:hAnsi="Times New Roman"/>
        </w:rPr>
        <w:t>"</w:t>
      </w:r>
      <w:r w:rsidR="004141CF" w:rsidRPr="002A3AAE">
        <w:rPr>
          <w:rFonts w:ascii="Times New Roman" w:hAnsi="Times New Roman"/>
        </w:rPr>
        <w:t>it is</w:t>
      </w:r>
      <w:r w:rsidR="003771B9" w:rsidRPr="002A3AAE">
        <w:rPr>
          <w:rFonts w:ascii="Times New Roman" w:hAnsi="Times New Roman"/>
        </w:rPr>
        <w:t xml:space="preserve"> difficult to see what more he would have said" to change the Tribunal's conclusion on that issue</w:t>
      </w:r>
      <w:r w:rsidR="007926BD" w:rsidRPr="002A3AAE">
        <w:rPr>
          <w:rStyle w:val="FootnoteReference"/>
          <w:rFonts w:ascii="Times New Roman" w:hAnsi="Times New Roman"/>
          <w:sz w:val="24"/>
        </w:rPr>
        <w:footnoteReference w:id="35"/>
      </w:r>
      <w:r w:rsidR="003771B9" w:rsidRPr="002A3AAE">
        <w:rPr>
          <w:rFonts w:ascii="Times New Roman" w:hAnsi="Times New Roman"/>
        </w:rPr>
        <w:t>.</w:t>
      </w:r>
    </w:p>
    <w:p w14:paraId="282FE716" w14:textId="71013032" w:rsidR="00F54DE1" w:rsidRPr="002A3AAE" w:rsidRDefault="00B902C9"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F54DE1" w:rsidRPr="002A3AAE">
        <w:rPr>
          <w:rFonts w:ascii="Times New Roman" w:hAnsi="Times New Roman"/>
        </w:rPr>
        <w:t xml:space="preserve">In dissent, </w:t>
      </w:r>
      <w:proofErr w:type="spellStart"/>
      <w:r w:rsidR="00F54DE1" w:rsidRPr="002A3AAE">
        <w:rPr>
          <w:rFonts w:ascii="Times New Roman" w:hAnsi="Times New Roman"/>
        </w:rPr>
        <w:t>Wigney</w:t>
      </w:r>
      <w:proofErr w:type="spellEnd"/>
      <w:r w:rsidR="00F54DE1" w:rsidRPr="002A3AAE">
        <w:rPr>
          <w:rFonts w:ascii="Times New Roman" w:hAnsi="Times New Roman"/>
        </w:rPr>
        <w:t xml:space="preserve"> J </w:t>
      </w:r>
      <w:r w:rsidR="00710001" w:rsidRPr="002A3AAE">
        <w:rPr>
          <w:rFonts w:ascii="Times New Roman" w:hAnsi="Times New Roman"/>
        </w:rPr>
        <w:t xml:space="preserve">was satisfied that, </w:t>
      </w:r>
      <w:r w:rsidR="004F3D4F" w:rsidRPr="002A3AAE">
        <w:rPr>
          <w:rFonts w:ascii="Times New Roman" w:hAnsi="Times New Roman"/>
        </w:rPr>
        <w:t xml:space="preserve">if given a fair hearing, </w:t>
      </w:r>
      <w:r w:rsidR="008B41B9" w:rsidRPr="002A3AAE">
        <w:rPr>
          <w:rFonts w:ascii="Times New Roman" w:hAnsi="Times New Roman"/>
        </w:rPr>
        <w:t>t</w:t>
      </w:r>
      <w:r w:rsidR="004F3D4F" w:rsidRPr="002A3AAE">
        <w:rPr>
          <w:rFonts w:ascii="Times New Roman" w:hAnsi="Times New Roman"/>
        </w:rPr>
        <w:t xml:space="preserve">he </w:t>
      </w:r>
      <w:r w:rsidR="008B41B9" w:rsidRPr="002A3AAE">
        <w:rPr>
          <w:rFonts w:ascii="Times New Roman" w:hAnsi="Times New Roman"/>
        </w:rPr>
        <w:t xml:space="preserve">appellant </w:t>
      </w:r>
      <w:r w:rsidR="004F3D4F" w:rsidRPr="002A3AAE">
        <w:rPr>
          <w:rFonts w:ascii="Times New Roman" w:hAnsi="Times New Roman"/>
        </w:rPr>
        <w:t xml:space="preserve">may have been able to persuade the Tribunal to </w:t>
      </w:r>
      <w:proofErr w:type="gramStart"/>
      <w:r w:rsidR="004F3D4F" w:rsidRPr="002A3AAE">
        <w:rPr>
          <w:rFonts w:ascii="Times New Roman" w:hAnsi="Times New Roman"/>
        </w:rPr>
        <w:t>make a decision</w:t>
      </w:r>
      <w:proofErr w:type="gramEnd"/>
      <w:r w:rsidR="004F3D4F" w:rsidRPr="002A3AAE">
        <w:rPr>
          <w:rFonts w:ascii="Times New Roman" w:hAnsi="Times New Roman"/>
        </w:rPr>
        <w:t xml:space="preserve"> in the appellant's favour</w:t>
      </w:r>
      <w:r w:rsidR="004F3D4F" w:rsidRPr="002A3AAE">
        <w:rPr>
          <w:rStyle w:val="FootnoteReference"/>
          <w:rFonts w:ascii="Times New Roman" w:hAnsi="Times New Roman"/>
          <w:sz w:val="24"/>
        </w:rPr>
        <w:footnoteReference w:id="36"/>
      </w:r>
      <w:r w:rsidR="004F3D4F" w:rsidRPr="002A3AAE">
        <w:rPr>
          <w:rFonts w:ascii="Times New Roman" w:hAnsi="Times New Roman"/>
        </w:rPr>
        <w:t>.</w:t>
      </w:r>
      <w:r w:rsidR="00AB7106" w:rsidRPr="002A3AAE">
        <w:rPr>
          <w:rFonts w:ascii="Times New Roman" w:hAnsi="Times New Roman"/>
        </w:rPr>
        <w:t xml:space="preserve"> </w:t>
      </w:r>
      <w:r w:rsidR="00ED45E3" w:rsidRPr="002A3AAE">
        <w:rPr>
          <w:rFonts w:ascii="Times New Roman" w:hAnsi="Times New Roman"/>
        </w:rPr>
        <w:t xml:space="preserve">Given the gravity of the consequences of the Tribunal's decision for the </w:t>
      </w:r>
      <w:r w:rsidR="00ED45E3" w:rsidRPr="002A3AAE">
        <w:rPr>
          <w:rFonts w:ascii="Times New Roman" w:hAnsi="Times New Roman"/>
        </w:rPr>
        <w:lastRenderedPageBreak/>
        <w:t>appellant, his Honour readily inferred that</w:t>
      </w:r>
      <w:r w:rsidR="009A6A73" w:rsidRPr="002A3AAE">
        <w:rPr>
          <w:rFonts w:ascii="Times New Roman" w:hAnsi="Times New Roman"/>
        </w:rPr>
        <w:t xml:space="preserve"> the appellant would have addressed the new issue if given the opportunity</w:t>
      </w:r>
      <w:r w:rsidR="00B84D70" w:rsidRPr="002A3AAE">
        <w:rPr>
          <w:rStyle w:val="FootnoteReference"/>
          <w:rFonts w:ascii="Times New Roman" w:hAnsi="Times New Roman"/>
          <w:sz w:val="24"/>
        </w:rPr>
        <w:footnoteReference w:id="37"/>
      </w:r>
      <w:r w:rsidR="009A6A73" w:rsidRPr="002A3AAE">
        <w:rPr>
          <w:rFonts w:ascii="Times New Roman" w:hAnsi="Times New Roman"/>
        </w:rPr>
        <w:t xml:space="preserve">. </w:t>
      </w:r>
      <w:proofErr w:type="spellStart"/>
      <w:r w:rsidR="009A6A73" w:rsidRPr="002A3AAE">
        <w:rPr>
          <w:rFonts w:ascii="Times New Roman" w:hAnsi="Times New Roman"/>
        </w:rPr>
        <w:t>Wigney</w:t>
      </w:r>
      <w:proofErr w:type="spellEnd"/>
      <w:r w:rsidR="009A6A73" w:rsidRPr="002A3AAE">
        <w:rPr>
          <w:rFonts w:ascii="Times New Roman" w:hAnsi="Times New Roman"/>
        </w:rPr>
        <w:t xml:space="preserve"> J identified </w:t>
      </w:r>
      <w:r w:rsidR="00F82C89" w:rsidRPr="002A3AAE">
        <w:rPr>
          <w:rFonts w:ascii="Times New Roman" w:hAnsi="Times New Roman"/>
        </w:rPr>
        <w:t xml:space="preserve">ways in which the appellant may have done </w:t>
      </w:r>
      <w:proofErr w:type="gramStart"/>
      <w:r w:rsidR="00F82C89" w:rsidRPr="002A3AAE">
        <w:rPr>
          <w:rFonts w:ascii="Times New Roman" w:hAnsi="Times New Roman"/>
        </w:rPr>
        <w:t>so</w:t>
      </w:r>
      <w:proofErr w:type="gramEnd"/>
      <w:r w:rsidR="00D44C9A" w:rsidRPr="002A3AAE">
        <w:rPr>
          <w:rFonts w:ascii="Times New Roman" w:hAnsi="Times New Roman"/>
        </w:rPr>
        <w:t xml:space="preserve"> and which could have made a difference to the outcome</w:t>
      </w:r>
      <w:r w:rsidR="000E37A9" w:rsidRPr="002A3AAE">
        <w:rPr>
          <w:rFonts w:ascii="Times New Roman" w:hAnsi="Times New Roman"/>
        </w:rPr>
        <w:t>. First</w:t>
      </w:r>
      <w:r w:rsidR="000A6F51" w:rsidRPr="002A3AAE">
        <w:rPr>
          <w:rFonts w:ascii="Times New Roman" w:hAnsi="Times New Roman"/>
        </w:rPr>
        <w:t>,</w:t>
      </w:r>
      <w:r w:rsidR="000E37A9" w:rsidRPr="002A3AAE">
        <w:rPr>
          <w:rFonts w:ascii="Times New Roman" w:hAnsi="Times New Roman"/>
        </w:rPr>
        <w:t xml:space="preserve"> he may have </w:t>
      </w:r>
      <w:r w:rsidR="00F82C89" w:rsidRPr="002A3AAE">
        <w:rPr>
          <w:rFonts w:ascii="Times New Roman" w:hAnsi="Times New Roman"/>
        </w:rPr>
        <w:t>given further evidence himself</w:t>
      </w:r>
      <w:r w:rsidR="00780542" w:rsidRPr="002A3AAE">
        <w:rPr>
          <w:rFonts w:ascii="Times New Roman" w:hAnsi="Times New Roman"/>
        </w:rPr>
        <w:t>, whether about the incidents themselves, or about the context and circumstances in which the incidents occurred</w:t>
      </w:r>
      <w:r w:rsidR="00626796" w:rsidRPr="002A3AAE">
        <w:rPr>
          <w:rFonts w:ascii="Times New Roman" w:hAnsi="Times New Roman"/>
        </w:rPr>
        <w:t xml:space="preserve"> to provide some explanation about how and why they occurred. The appellant may</w:t>
      </w:r>
      <w:r w:rsidR="000A6F51" w:rsidRPr="002A3AAE">
        <w:rPr>
          <w:rFonts w:ascii="Times New Roman" w:hAnsi="Times New Roman"/>
        </w:rPr>
        <w:t xml:space="preserve"> also have been able to adduce further evidence about his subsequent reconciliation with his wife </w:t>
      </w:r>
      <w:proofErr w:type="gramStart"/>
      <w:r w:rsidR="000A6F51" w:rsidRPr="002A3AAE">
        <w:rPr>
          <w:rFonts w:ascii="Times New Roman" w:hAnsi="Times New Roman"/>
        </w:rPr>
        <w:t>so as to</w:t>
      </w:r>
      <w:proofErr w:type="gramEnd"/>
      <w:r w:rsidR="000A6F51" w:rsidRPr="002A3AAE">
        <w:rPr>
          <w:rFonts w:ascii="Times New Roman" w:hAnsi="Times New Roman"/>
        </w:rPr>
        <w:t xml:space="preserve"> provide support for a submission that those sort</w:t>
      </w:r>
      <w:r w:rsidR="006B272F">
        <w:rPr>
          <w:rFonts w:ascii="Times New Roman" w:hAnsi="Times New Roman"/>
        </w:rPr>
        <w:t>s</w:t>
      </w:r>
      <w:r w:rsidR="000A6F51" w:rsidRPr="002A3AAE">
        <w:rPr>
          <w:rFonts w:ascii="Times New Roman" w:hAnsi="Times New Roman"/>
        </w:rPr>
        <w:t xml:space="preserve"> of incidents would not be repeated in the future</w:t>
      </w:r>
      <w:r w:rsidR="00E91F0F" w:rsidRPr="002A3AAE">
        <w:rPr>
          <w:rStyle w:val="FootnoteReference"/>
          <w:rFonts w:ascii="Times New Roman" w:hAnsi="Times New Roman"/>
          <w:sz w:val="24"/>
        </w:rPr>
        <w:footnoteReference w:id="38"/>
      </w:r>
      <w:r w:rsidR="000A6F51" w:rsidRPr="002A3AAE">
        <w:rPr>
          <w:rFonts w:ascii="Times New Roman" w:hAnsi="Times New Roman"/>
        </w:rPr>
        <w:t xml:space="preserve">. Secondly, </w:t>
      </w:r>
      <w:r w:rsidR="008A47C6" w:rsidRPr="002A3AAE">
        <w:rPr>
          <w:rFonts w:ascii="Times New Roman" w:hAnsi="Times New Roman"/>
        </w:rPr>
        <w:t>the appellant may have called his wife to give evidence about the same sort of matters</w:t>
      </w:r>
      <w:r w:rsidR="00E91F0F" w:rsidRPr="002A3AAE">
        <w:rPr>
          <w:rStyle w:val="FootnoteReference"/>
          <w:rFonts w:ascii="Times New Roman" w:hAnsi="Times New Roman"/>
          <w:sz w:val="24"/>
        </w:rPr>
        <w:footnoteReference w:id="39"/>
      </w:r>
      <w:r w:rsidR="008A47C6" w:rsidRPr="002A3AAE">
        <w:rPr>
          <w:rFonts w:ascii="Times New Roman" w:hAnsi="Times New Roman"/>
        </w:rPr>
        <w:t xml:space="preserve">. Thirdly, </w:t>
      </w:r>
      <w:r w:rsidR="004C3B3B" w:rsidRPr="002A3AAE">
        <w:rPr>
          <w:rFonts w:ascii="Times New Roman" w:hAnsi="Times New Roman"/>
        </w:rPr>
        <w:t xml:space="preserve">the appellant may have made submissions as to why, in all the circumstances, the incidents did not relevantly engage </w:t>
      </w:r>
      <w:r w:rsidR="00686C29" w:rsidRPr="002A3AAE">
        <w:rPr>
          <w:rFonts w:ascii="Times New Roman" w:hAnsi="Times New Roman"/>
        </w:rPr>
        <w:t>para</w:t>
      </w:r>
      <w:r w:rsidR="00F23F2A" w:rsidRPr="002A3AAE">
        <w:rPr>
          <w:rFonts w:ascii="Times New Roman" w:hAnsi="Times New Roman"/>
        </w:rPr>
        <w:t> </w:t>
      </w:r>
      <w:r w:rsidR="004C3B3B" w:rsidRPr="002A3AAE">
        <w:rPr>
          <w:rFonts w:ascii="Times New Roman" w:hAnsi="Times New Roman"/>
        </w:rPr>
        <w:t>13.1.1(1)</w:t>
      </w:r>
      <w:r w:rsidR="006662B2" w:rsidRPr="002A3AAE">
        <w:rPr>
          <w:rFonts w:ascii="Times New Roman" w:hAnsi="Times New Roman"/>
        </w:rPr>
        <w:t>(</w:t>
      </w:r>
      <w:r w:rsidR="004C3B3B" w:rsidRPr="002A3AAE">
        <w:rPr>
          <w:rFonts w:ascii="Times New Roman" w:hAnsi="Times New Roman"/>
        </w:rPr>
        <w:t xml:space="preserve">b) of </w:t>
      </w:r>
      <w:r w:rsidR="006662B2" w:rsidRPr="002A3AAE">
        <w:rPr>
          <w:rFonts w:ascii="Times New Roman" w:hAnsi="Times New Roman"/>
        </w:rPr>
        <w:t>Ministerial Direction 79 and should not otherwise be used against him. As to this la</w:t>
      </w:r>
      <w:r w:rsidR="00F304EF" w:rsidRPr="002A3AAE">
        <w:rPr>
          <w:rFonts w:ascii="Times New Roman" w:hAnsi="Times New Roman"/>
        </w:rPr>
        <w:t>st</w:t>
      </w:r>
      <w:r w:rsidR="006662B2" w:rsidRPr="002A3AAE">
        <w:rPr>
          <w:rFonts w:ascii="Times New Roman" w:hAnsi="Times New Roman"/>
        </w:rPr>
        <w:t xml:space="preserve"> matter, </w:t>
      </w:r>
      <w:proofErr w:type="spellStart"/>
      <w:r w:rsidR="006662B2" w:rsidRPr="002A3AAE">
        <w:rPr>
          <w:rFonts w:ascii="Times New Roman" w:hAnsi="Times New Roman"/>
        </w:rPr>
        <w:t>Wigney</w:t>
      </w:r>
      <w:proofErr w:type="spellEnd"/>
      <w:r w:rsidR="006662B2" w:rsidRPr="002A3AAE">
        <w:rPr>
          <w:rFonts w:ascii="Times New Roman" w:hAnsi="Times New Roman"/>
        </w:rPr>
        <w:t xml:space="preserve"> J </w:t>
      </w:r>
      <w:r w:rsidR="00083627" w:rsidRPr="002A3AAE">
        <w:rPr>
          <w:rFonts w:ascii="Times New Roman" w:hAnsi="Times New Roman"/>
        </w:rPr>
        <w:t xml:space="preserve">expressed doubts about the applicability of </w:t>
      </w:r>
      <w:r w:rsidR="00CE430F" w:rsidRPr="002A3AAE">
        <w:rPr>
          <w:rFonts w:ascii="Times New Roman" w:hAnsi="Times New Roman"/>
        </w:rPr>
        <w:t>para</w:t>
      </w:r>
      <w:r w:rsidR="00F23F2A" w:rsidRPr="002A3AAE">
        <w:rPr>
          <w:rFonts w:ascii="Times New Roman" w:hAnsi="Times New Roman"/>
        </w:rPr>
        <w:t> </w:t>
      </w:r>
      <w:r w:rsidR="00083627" w:rsidRPr="002A3AAE">
        <w:rPr>
          <w:rFonts w:ascii="Times New Roman" w:hAnsi="Times New Roman"/>
        </w:rPr>
        <w:t>13.1.1(1)(b) in the absence of any conviction of the appellant for a domestic violence offence</w:t>
      </w:r>
      <w:r w:rsidR="00E91F0F" w:rsidRPr="002A3AAE">
        <w:rPr>
          <w:rStyle w:val="FootnoteReference"/>
          <w:rFonts w:ascii="Times New Roman" w:hAnsi="Times New Roman"/>
          <w:sz w:val="24"/>
        </w:rPr>
        <w:footnoteReference w:id="40"/>
      </w:r>
      <w:r w:rsidR="00083627" w:rsidRPr="002A3AAE">
        <w:rPr>
          <w:rFonts w:ascii="Times New Roman" w:hAnsi="Times New Roman"/>
        </w:rPr>
        <w:t>.</w:t>
      </w:r>
    </w:p>
    <w:p w14:paraId="33D30555" w14:textId="3FFD1126" w:rsidR="008162D0" w:rsidRPr="002A3AAE" w:rsidRDefault="00294DE9" w:rsidP="002A3AAE">
      <w:pPr>
        <w:pStyle w:val="HeadingL1"/>
        <w:spacing w:after="260" w:line="280" w:lineRule="exact"/>
        <w:ind w:right="0"/>
        <w:jc w:val="both"/>
        <w:rPr>
          <w:rFonts w:ascii="Times New Roman" w:hAnsi="Times New Roman"/>
        </w:rPr>
      </w:pPr>
      <w:r w:rsidRPr="002A3AAE">
        <w:rPr>
          <w:rFonts w:ascii="Times New Roman" w:hAnsi="Times New Roman"/>
        </w:rPr>
        <w:t xml:space="preserve">Content and proof of materiality of a </w:t>
      </w:r>
      <w:r w:rsidR="00C85A17" w:rsidRPr="002A3AAE">
        <w:rPr>
          <w:rFonts w:ascii="Times New Roman" w:hAnsi="Times New Roman"/>
        </w:rPr>
        <w:t>denial of procedural fairness</w:t>
      </w:r>
    </w:p>
    <w:p w14:paraId="30006BD2" w14:textId="5CE9BD0E" w:rsidR="000C6DEA" w:rsidRPr="002A3AAE" w:rsidRDefault="00B902C9"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ED3041" w:rsidRPr="002A3AAE">
        <w:rPr>
          <w:rFonts w:ascii="Times New Roman" w:hAnsi="Times New Roman"/>
        </w:rPr>
        <w:t xml:space="preserve">In </w:t>
      </w:r>
      <w:r w:rsidR="006F2429" w:rsidRPr="002A3AAE">
        <w:rPr>
          <w:rFonts w:ascii="Times New Roman" w:hAnsi="Times New Roman"/>
          <w:i/>
        </w:rPr>
        <w:t>Hossain</w:t>
      </w:r>
      <w:r w:rsidR="00EB3A4E" w:rsidRPr="002A3AAE">
        <w:rPr>
          <w:rFonts w:ascii="Times New Roman" w:hAnsi="Times New Roman"/>
        </w:rPr>
        <w:t xml:space="preserve"> </w:t>
      </w:r>
      <w:r w:rsidR="00EB3A4E" w:rsidRPr="002A3AAE">
        <w:rPr>
          <w:rFonts w:ascii="Times New Roman" w:hAnsi="Times New Roman"/>
          <w:i/>
          <w:iCs/>
        </w:rPr>
        <w:t>v Minister for Immigration and Border Protection</w:t>
      </w:r>
      <w:r w:rsidR="00192A95" w:rsidRPr="00D03812">
        <w:rPr>
          <w:rStyle w:val="FootnoteReference"/>
          <w:rFonts w:ascii="Times New Roman" w:hAnsi="Times New Roman"/>
          <w:iCs/>
          <w:sz w:val="24"/>
        </w:rPr>
        <w:footnoteReference w:id="41"/>
      </w:r>
      <w:r w:rsidR="006F2429" w:rsidRPr="002A3AAE">
        <w:rPr>
          <w:rFonts w:ascii="Times New Roman" w:hAnsi="Times New Roman"/>
          <w:i/>
        </w:rPr>
        <w:t>,</w:t>
      </w:r>
      <w:r w:rsidR="00CE2268" w:rsidRPr="002A3AAE">
        <w:rPr>
          <w:rFonts w:ascii="Times New Roman" w:hAnsi="Times New Roman"/>
          <w:i/>
        </w:rPr>
        <w:t xml:space="preserve"> </w:t>
      </w:r>
      <w:r w:rsidR="00CE2268" w:rsidRPr="002A3AAE">
        <w:rPr>
          <w:rFonts w:ascii="Times New Roman" w:hAnsi="Times New Roman"/>
        </w:rPr>
        <w:t>a</w:t>
      </w:r>
      <w:r w:rsidR="006F2429" w:rsidRPr="002A3AAE">
        <w:rPr>
          <w:rFonts w:ascii="Times New Roman" w:hAnsi="Times New Roman"/>
        </w:rPr>
        <w:t xml:space="preserve"> </w:t>
      </w:r>
      <w:r w:rsidR="00C72AAA" w:rsidRPr="002A3AAE">
        <w:rPr>
          <w:rFonts w:ascii="Times New Roman" w:hAnsi="Times New Roman"/>
        </w:rPr>
        <w:t>majority</w:t>
      </w:r>
      <w:r w:rsidR="006F2429" w:rsidRPr="002A3AAE">
        <w:rPr>
          <w:rFonts w:ascii="Times New Roman" w:hAnsi="Times New Roman"/>
        </w:rPr>
        <w:t xml:space="preserve"> </w:t>
      </w:r>
      <w:r w:rsidR="00CE2268" w:rsidRPr="002A3AAE">
        <w:rPr>
          <w:rFonts w:ascii="Times New Roman" w:hAnsi="Times New Roman"/>
        </w:rPr>
        <w:t xml:space="preserve">comprising Kiefel CJ, </w:t>
      </w:r>
      <w:proofErr w:type="spellStart"/>
      <w:r w:rsidR="00CE2268" w:rsidRPr="002A3AAE">
        <w:rPr>
          <w:rFonts w:ascii="Times New Roman" w:hAnsi="Times New Roman"/>
        </w:rPr>
        <w:t>Gageler</w:t>
      </w:r>
      <w:proofErr w:type="spellEnd"/>
      <w:r w:rsidR="00CE2268" w:rsidRPr="002A3AAE">
        <w:rPr>
          <w:rFonts w:ascii="Times New Roman" w:hAnsi="Times New Roman"/>
        </w:rPr>
        <w:t xml:space="preserve"> and Keane JJ </w:t>
      </w:r>
      <w:r w:rsidR="00FB09E0" w:rsidRPr="002A3AAE">
        <w:rPr>
          <w:rFonts w:ascii="Times New Roman" w:hAnsi="Times New Roman"/>
        </w:rPr>
        <w:t>enunciated a common law principle of statutory interpretation</w:t>
      </w:r>
      <w:r w:rsidR="00535A60" w:rsidRPr="002A3AAE">
        <w:rPr>
          <w:rFonts w:ascii="Times New Roman" w:hAnsi="Times New Roman"/>
        </w:rPr>
        <w:t>. That principle</w:t>
      </w:r>
      <w:r w:rsidR="00F93F7C" w:rsidRPr="002A3AAE">
        <w:rPr>
          <w:rFonts w:ascii="Times New Roman" w:hAnsi="Times New Roman"/>
        </w:rPr>
        <w:t xml:space="preserve"> is</w:t>
      </w:r>
      <w:r w:rsidR="00FB09E0" w:rsidRPr="002A3AAE">
        <w:rPr>
          <w:rFonts w:ascii="Times New Roman" w:hAnsi="Times New Roman"/>
        </w:rPr>
        <w:t xml:space="preserve"> that a statute conferring decision-making authority is </w:t>
      </w:r>
      <w:r w:rsidR="003C0552" w:rsidRPr="002A3AAE">
        <w:rPr>
          <w:rFonts w:ascii="Times New Roman" w:hAnsi="Times New Roman"/>
        </w:rPr>
        <w:t xml:space="preserve">"ordinarily to be interpreted as incorporating a threshold of </w:t>
      </w:r>
      <w:r w:rsidR="00FC5962" w:rsidRPr="002A3AAE">
        <w:rPr>
          <w:rFonts w:ascii="Times New Roman" w:hAnsi="Times New Roman"/>
        </w:rPr>
        <w:t>materiality in the event of non-compliance"</w:t>
      </w:r>
      <w:r w:rsidR="00E91F0F" w:rsidRPr="002A3AAE">
        <w:rPr>
          <w:rStyle w:val="FootnoteReference"/>
          <w:rFonts w:ascii="Times New Roman" w:hAnsi="Times New Roman"/>
          <w:sz w:val="24"/>
        </w:rPr>
        <w:footnoteReference w:id="42"/>
      </w:r>
      <w:r w:rsidR="00BF773C" w:rsidRPr="002A3AAE">
        <w:rPr>
          <w:rFonts w:ascii="Times New Roman" w:hAnsi="Times New Roman"/>
        </w:rPr>
        <w:t xml:space="preserve">. </w:t>
      </w:r>
      <w:r w:rsidR="00E60E9F" w:rsidRPr="002A3AAE">
        <w:rPr>
          <w:rFonts w:ascii="Times New Roman" w:hAnsi="Times New Roman"/>
        </w:rPr>
        <w:t>It is well</w:t>
      </w:r>
      <w:r w:rsidR="00DD4CEE" w:rsidRPr="002A3AAE">
        <w:rPr>
          <w:rFonts w:ascii="Times New Roman" w:hAnsi="Times New Roman"/>
        </w:rPr>
        <w:t xml:space="preserve"> </w:t>
      </w:r>
      <w:r w:rsidR="00E60E9F" w:rsidRPr="002A3AAE">
        <w:rPr>
          <w:rFonts w:ascii="Times New Roman" w:hAnsi="Times New Roman"/>
        </w:rPr>
        <w:t>recognised that</w:t>
      </w:r>
      <w:proofErr w:type="gramStart"/>
      <w:r w:rsidR="00E60E9F" w:rsidRPr="002A3AAE">
        <w:rPr>
          <w:rFonts w:ascii="Times New Roman" w:hAnsi="Times New Roman"/>
        </w:rPr>
        <w:t>, generally speaking, legislation</w:t>
      </w:r>
      <w:proofErr w:type="gramEnd"/>
      <w:r w:rsidR="00E60E9F" w:rsidRPr="002A3AAE">
        <w:rPr>
          <w:rFonts w:ascii="Times New Roman" w:hAnsi="Times New Roman"/>
        </w:rPr>
        <w:t xml:space="preserve"> should be construed to discourage unnecessary litigation, to reduce wasting time and cost and to preserve the dignity of the law</w:t>
      </w:r>
      <w:r w:rsidR="000C3588" w:rsidRPr="002A3AAE">
        <w:rPr>
          <w:rStyle w:val="FootnoteReference"/>
          <w:rFonts w:ascii="Times New Roman" w:hAnsi="Times New Roman"/>
          <w:sz w:val="24"/>
        </w:rPr>
        <w:footnoteReference w:id="43"/>
      </w:r>
      <w:r w:rsidR="003E6070" w:rsidRPr="002A3AAE">
        <w:rPr>
          <w:rFonts w:ascii="Times New Roman" w:hAnsi="Times New Roman"/>
        </w:rPr>
        <w:t>.</w:t>
      </w:r>
      <w:r w:rsidR="00E60E9F" w:rsidRPr="002A3AAE">
        <w:rPr>
          <w:rFonts w:ascii="Times New Roman" w:hAnsi="Times New Roman"/>
        </w:rPr>
        <w:t xml:space="preserve"> And</w:t>
      </w:r>
      <w:proofErr w:type="gramStart"/>
      <w:r w:rsidR="00E60E9F" w:rsidRPr="002A3AAE">
        <w:rPr>
          <w:rFonts w:ascii="Times New Roman" w:hAnsi="Times New Roman"/>
        </w:rPr>
        <w:t>, in particular, in</w:t>
      </w:r>
      <w:proofErr w:type="gramEnd"/>
      <w:r w:rsidR="00E60E9F" w:rsidRPr="002A3AAE">
        <w:rPr>
          <w:rFonts w:ascii="Times New Roman" w:hAnsi="Times New Roman"/>
        </w:rPr>
        <w:t xml:space="preserve"> relation to the Act, this Court has declined to attribute to the </w:t>
      </w:r>
      <w:r w:rsidR="00E60E9F" w:rsidRPr="002A3AAE">
        <w:rPr>
          <w:rFonts w:ascii="Times New Roman" w:hAnsi="Times New Roman"/>
        </w:rPr>
        <w:lastRenderedPageBreak/>
        <w:t xml:space="preserve">legislation the </w:t>
      </w:r>
      <w:r w:rsidR="001C2246" w:rsidRPr="002A3AAE">
        <w:rPr>
          <w:rFonts w:ascii="Times New Roman" w:hAnsi="Times New Roman"/>
        </w:rPr>
        <w:t>impractical</w:t>
      </w:r>
      <w:r w:rsidR="00E60E9F" w:rsidRPr="002A3AAE">
        <w:rPr>
          <w:rFonts w:ascii="Times New Roman" w:hAnsi="Times New Roman"/>
        </w:rPr>
        <w:t xml:space="preserve"> intention that an error in process, which cannot have affected the outcome of the process, requires that the process be repeated</w:t>
      </w:r>
      <w:r w:rsidR="006746ED" w:rsidRPr="002A3AAE">
        <w:rPr>
          <w:rStyle w:val="FootnoteReference"/>
          <w:rFonts w:ascii="Times New Roman" w:hAnsi="Times New Roman"/>
          <w:sz w:val="24"/>
        </w:rPr>
        <w:footnoteReference w:id="44"/>
      </w:r>
      <w:r w:rsidR="00F62A1D" w:rsidRPr="002A3AAE">
        <w:rPr>
          <w:rFonts w:ascii="Times New Roman" w:hAnsi="Times New Roman"/>
        </w:rPr>
        <w:t>.</w:t>
      </w:r>
    </w:p>
    <w:p w14:paraId="79E817A9" w14:textId="66F879F5" w:rsidR="005178BC" w:rsidRPr="002A3AAE" w:rsidRDefault="007D4FDC"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BF773C" w:rsidRPr="002A3AAE">
        <w:rPr>
          <w:rFonts w:ascii="Times New Roman" w:hAnsi="Times New Roman"/>
        </w:rPr>
        <w:t xml:space="preserve">In </w:t>
      </w:r>
      <w:r w:rsidR="00BF773C" w:rsidRPr="002A3AAE">
        <w:rPr>
          <w:rFonts w:ascii="Times New Roman" w:hAnsi="Times New Roman"/>
          <w:i/>
        </w:rPr>
        <w:t>MZAPC</w:t>
      </w:r>
      <w:r w:rsidR="00BF773C" w:rsidRPr="002A3AAE">
        <w:rPr>
          <w:rFonts w:ascii="Times New Roman" w:hAnsi="Times New Roman"/>
          <w:iCs/>
        </w:rPr>
        <w:t>,</w:t>
      </w:r>
      <w:r w:rsidR="00BF773C" w:rsidRPr="002A3AAE">
        <w:rPr>
          <w:rFonts w:ascii="Times New Roman" w:hAnsi="Times New Roman"/>
          <w:i/>
        </w:rPr>
        <w:t xml:space="preserve"> </w:t>
      </w:r>
      <w:r w:rsidR="00C72AAA" w:rsidRPr="002A3AAE">
        <w:rPr>
          <w:rFonts w:ascii="Times New Roman" w:hAnsi="Times New Roman"/>
        </w:rPr>
        <w:t>a majority</w:t>
      </w:r>
      <w:r w:rsidR="003B3280" w:rsidRPr="002A3AAE">
        <w:rPr>
          <w:rFonts w:ascii="Times New Roman" w:hAnsi="Times New Roman"/>
        </w:rPr>
        <w:t xml:space="preserve"> </w:t>
      </w:r>
      <w:r w:rsidR="00A32F24" w:rsidRPr="002A3AAE">
        <w:rPr>
          <w:rFonts w:ascii="Times New Roman" w:hAnsi="Times New Roman"/>
        </w:rPr>
        <w:t xml:space="preserve">comprising Kiefel CJ, </w:t>
      </w:r>
      <w:proofErr w:type="spellStart"/>
      <w:r w:rsidR="00A32F24" w:rsidRPr="002A3AAE">
        <w:rPr>
          <w:rFonts w:ascii="Times New Roman" w:hAnsi="Times New Roman"/>
        </w:rPr>
        <w:t>Gageler</w:t>
      </w:r>
      <w:proofErr w:type="spellEnd"/>
      <w:r w:rsidR="00A32F24" w:rsidRPr="002A3AAE">
        <w:rPr>
          <w:rFonts w:ascii="Times New Roman" w:hAnsi="Times New Roman"/>
        </w:rPr>
        <w:t>, Keane and Gleeson</w:t>
      </w:r>
      <w:r w:rsidR="006B272F">
        <w:rPr>
          <w:rFonts w:ascii="Times New Roman" w:hAnsi="Times New Roman"/>
        </w:rPr>
        <w:t> </w:t>
      </w:r>
      <w:r w:rsidR="00A32F24" w:rsidRPr="002A3AAE">
        <w:rPr>
          <w:rFonts w:ascii="Times New Roman" w:hAnsi="Times New Roman"/>
        </w:rPr>
        <w:t xml:space="preserve">JJ </w:t>
      </w:r>
      <w:r w:rsidR="00F651D8" w:rsidRPr="002A3AAE">
        <w:rPr>
          <w:rFonts w:ascii="Times New Roman" w:hAnsi="Times New Roman"/>
        </w:rPr>
        <w:t xml:space="preserve">explained </w:t>
      </w:r>
      <w:r w:rsidR="00146121" w:rsidRPr="002A3AAE">
        <w:rPr>
          <w:rFonts w:ascii="Times New Roman" w:hAnsi="Times New Roman"/>
        </w:rPr>
        <w:t xml:space="preserve">the evolution of </w:t>
      </w:r>
      <w:r w:rsidR="00BF5109" w:rsidRPr="002A3AAE">
        <w:rPr>
          <w:rFonts w:ascii="Times New Roman" w:hAnsi="Times New Roman"/>
        </w:rPr>
        <w:t xml:space="preserve">the </w:t>
      </w:r>
      <w:r w:rsidR="00F72585" w:rsidRPr="002A3AAE">
        <w:rPr>
          <w:rFonts w:ascii="Times New Roman" w:hAnsi="Times New Roman"/>
        </w:rPr>
        <w:t>contemporary understanding of jurisdictional error that supported that principle</w:t>
      </w:r>
      <w:r w:rsidR="00F6262C" w:rsidRPr="002A3AAE">
        <w:rPr>
          <w:rFonts w:ascii="Times New Roman" w:hAnsi="Times New Roman"/>
        </w:rPr>
        <w:t xml:space="preserve"> of interpretation</w:t>
      </w:r>
      <w:r w:rsidR="007045D1" w:rsidRPr="002A3AAE">
        <w:rPr>
          <w:rStyle w:val="FootnoteReference"/>
          <w:rFonts w:ascii="Times New Roman" w:hAnsi="Times New Roman"/>
          <w:sz w:val="24"/>
        </w:rPr>
        <w:footnoteReference w:id="45"/>
      </w:r>
      <w:r w:rsidR="00F72585" w:rsidRPr="002A3AAE">
        <w:rPr>
          <w:rFonts w:ascii="Times New Roman" w:hAnsi="Times New Roman"/>
        </w:rPr>
        <w:t xml:space="preserve">. </w:t>
      </w:r>
      <w:r w:rsidR="005178BC" w:rsidRPr="002A3AAE">
        <w:rPr>
          <w:rFonts w:ascii="Times New Roman" w:hAnsi="Times New Roman"/>
        </w:rPr>
        <w:t>The</w:t>
      </w:r>
      <w:r w:rsidR="00BA3205" w:rsidRPr="002A3AAE">
        <w:rPr>
          <w:rFonts w:ascii="Times New Roman" w:hAnsi="Times New Roman"/>
        </w:rPr>
        <w:t>ir</w:t>
      </w:r>
      <w:r w:rsidR="005178BC" w:rsidRPr="002A3AAE">
        <w:rPr>
          <w:rFonts w:ascii="Times New Roman" w:hAnsi="Times New Roman"/>
        </w:rPr>
        <w:t xml:space="preserve"> </w:t>
      </w:r>
      <w:r w:rsidR="00BA3205" w:rsidRPr="002A3AAE">
        <w:rPr>
          <w:rFonts w:ascii="Times New Roman" w:hAnsi="Times New Roman"/>
        </w:rPr>
        <w:t>Honours</w:t>
      </w:r>
      <w:r w:rsidR="005178BC" w:rsidRPr="002A3AAE">
        <w:rPr>
          <w:rFonts w:ascii="Times New Roman" w:hAnsi="Times New Roman"/>
        </w:rPr>
        <w:t xml:space="preserve"> further explained</w:t>
      </w:r>
      <w:r w:rsidR="00EE67E0" w:rsidRPr="002A3AAE">
        <w:rPr>
          <w:rStyle w:val="FootnoteReference"/>
          <w:rFonts w:ascii="Times New Roman" w:hAnsi="Times New Roman"/>
          <w:sz w:val="24"/>
        </w:rPr>
        <w:footnoteReference w:id="46"/>
      </w:r>
      <w:r w:rsidR="005178BC" w:rsidRPr="002A3AAE">
        <w:rPr>
          <w:rFonts w:ascii="Times New Roman" w:hAnsi="Times New Roman"/>
        </w:rPr>
        <w:t>:</w:t>
      </w:r>
    </w:p>
    <w:p w14:paraId="03528C02" w14:textId="77777777" w:rsidR="002A3AAE" w:rsidRDefault="001C4C7A" w:rsidP="002A3AAE">
      <w:pPr>
        <w:pStyle w:val="leftright"/>
        <w:spacing w:before="0" w:after="260" w:line="280" w:lineRule="exact"/>
        <w:ind w:right="0"/>
        <w:jc w:val="both"/>
        <w:rPr>
          <w:rFonts w:ascii="Times New Roman" w:hAnsi="Times New Roman"/>
        </w:rPr>
      </w:pPr>
      <w:r w:rsidRPr="002A3AAE">
        <w:rPr>
          <w:rFonts w:ascii="Times New Roman" w:hAnsi="Times New Roman"/>
        </w:rPr>
        <w:t>"</w:t>
      </w:r>
      <w:r w:rsidR="00192A95" w:rsidRPr="002A3AAE">
        <w:rPr>
          <w:rFonts w:ascii="Times New Roman" w:hAnsi="Times New Roman"/>
        </w:rPr>
        <w:t xml:space="preserve">The principle accommodates determination of the limits of decision-making authority conferred by statute to the reality that </w:t>
      </w:r>
      <w:r w:rsidRPr="002A3AAE">
        <w:rPr>
          <w:rFonts w:ascii="Times New Roman" w:hAnsi="Times New Roman"/>
        </w:rPr>
        <w:t>'</w:t>
      </w:r>
      <w:r w:rsidR="00192A95" w:rsidRPr="002A3AAE">
        <w:rPr>
          <w:rFonts w:ascii="Times New Roman" w:hAnsi="Times New Roman"/>
        </w:rPr>
        <w:t>[d]</w:t>
      </w:r>
      <w:proofErr w:type="spellStart"/>
      <w:r w:rsidR="00192A95" w:rsidRPr="002A3AAE">
        <w:rPr>
          <w:rFonts w:ascii="Times New Roman" w:hAnsi="Times New Roman"/>
        </w:rPr>
        <w:t>ecision</w:t>
      </w:r>
      <w:proofErr w:type="spellEnd"/>
      <w:r w:rsidR="00192A95" w:rsidRPr="002A3AAE">
        <w:rPr>
          <w:rFonts w:ascii="Times New Roman" w:hAnsi="Times New Roman"/>
        </w:rPr>
        <w:t>-making is a function of the real world</w:t>
      </w:r>
      <w:r w:rsidRPr="002A3AAE">
        <w:rPr>
          <w:rFonts w:ascii="Times New Roman" w:hAnsi="Times New Roman"/>
        </w:rPr>
        <w:t>'</w:t>
      </w:r>
      <w:r w:rsidR="00192A95" w:rsidRPr="002A3AAE">
        <w:rPr>
          <w:rStyle w:val="FootnoteReference"/>
          <w:rFonts w:ascii="Times New Roman" w:hAnsi="Times New Roman"/>
          <w:sz w:val="24"/>
        </w:rPr>
        <w:footnoteReference w:id="47"/>
      </w:r>
      <w:r w:rsidR="00192A95" w:rsidRPr="002A3AAE">
        <w:rPr>
          <w:rFonts w:ascii="Times New Roman" w:hAnsi="Times New Roman"/>
        </w:rPr>
        <w:t xml:space="preserve"> by distinguishing the express and implied statutory conditions of the conferral from the statutory consequences of breach and by recognising that the legislature is not likely to have intended that a breach that occasions no </w:t>
      </w:r>
      <w:r w:rsidRPr="002A3AAE">
        <w:rPr>
          <w:rFonts w:ascii="Times New Roman" w:hAnsi="Times New Roman"/>
        </w:rPr>
        <w:t>'</w:t>
      </w:r>
      <w:r w:rsidR="00192A95" w:rsidRPr="002A3AAE">
        <w:rPr>
          <w:rFonts w:ascii="Times New Roman" w:hAnsi="Times New Roman"/>
        </w:rPr>
        <w:t>practical injustice</w:t>
      </w:r>
      <w:r w:rsidRPr="002A3AAE">
        <w:rPr>
          <w:rFonts w:ascii="Times New Roman" w:hAnsi="Times New Roman"/>
        </w:rPr>
        <w:t>'</w:t>
      </w:r>
      <w:r w:rsidR="00192A95" w:rsidRPr="002A3AAE">
        <w:rPr>
          <w:rStyle w:val="FootnoteReference"/>
          <w:rFonts w:ascii="Times New Roman" w:hAnsi="Times New Roman"/>
          <w:sz w:val="24"/>
        </w:rPr>
        <w:footnoteReference w:id="48"/>
      </w:r>
      <w:r w:rsidR="00192A95" w:rsidRPr="002A3AAE">
        <w:rPr>
          <w:rFonts w:ascii="Times New Roman" w:hAnsi="Times New Roman"/>
        </w:rPr>
        <w:t xml:space="preserve"> will deprive a decision of statutory force.</w:t>
      </w:r>
      <w:r w:rsidRPr="002A3AAE">
        <w:rPr>
          <w:rFonts w:ascii="Times New Roman" w:hAnsi="Times New Roman"/>
        </w:rPr>
        <w:t>"</w:t>
      </w:r>
      <w:r w:rsidR="00FC5962" w:rsidRPr="002A3AAE">
        <w:rPr>
          <w:rFonts w:ascii="Times New Roman" w:hAnsi="Times New Roman"/>
        </w:rPr>
        <w:t xml:space="preserve"> </w:t>
      </w:r>
    </w:p>
    <w:p w14:paraId="744B84C0" w14:textId="4C521092" w:rsidR="00FF7F1A" w:rsidRPr="002A3AAE" w:rsidRDefault="00B902C9"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C31E0F" w:rsidRPr="002A3AAE">
        <w:rPr>
          <w:rFonts w:ascii="Times New Roman" w:hAnsi="Times New Roman"/>
        </w:rPr>
        <w:t xml:space="preserve">As explained in </w:t>
      </w:r>
      <w:r w:rsidR="00C31E0F" w:rsidRPr="002A3AAE">
        <w:rPr>
          <w:rFonts w:ascii="Times New Roman" w:hAnsi="Times New Roman"/>
          <w:i/>
        </w:rPr>
        <w:t>MZAPC</w:t>
      </w:r>
      <w:r w:rsidR="00C31E0F" w:rsidRPr="002A3AAE">
        <w:rPr>
          <w:rFonts w:ascii="Times New Roman" w:hAnsi="Times New Roman"/>
          <w:iCs/>
        </w:rPr>
        <w:t>,</w:t>
      </w:r>
      <w:r w:rsidR="00C31E0F" w:rsidRPr="002A3AAE">
        <w:rPr>
          <w:rFonts w:ascii="Times New Roman" w:hAnsi="Times New Roman"/>
          <w:i/>
        </w:rPr>
        <w:t xml:space="preserve"> </w:t>
      </w:r>
      <w:r w:rsidR="00C31E0F" w:rsidRPr="002A3AAE">
        <w:rPr>
          <w:rFonts w:ascii="Times New Roman" w:hAnsi="Times New Roman"/>
        </w:rPr>
        <w:t>t</w:t>
      </w:r>
      <w:r w:rsidR="00A61805" w:rsidRPr="002A3AAE">
        <w:rPr>
          <w:rFonts w:ascii="Times New Roman" w:hAnsi="Times New Roman"/>
        </w:rPr>
        <w:t>he materiality of a breach</w:t>
      </w:r>
      <w:r w:rsidR="003822F9" w:rsidRPr="002A3AAE">
        <w:rPr>
          <w:rFonts w:ascii="Times New Roman" w:hAnsi="Times New Roman"/>
        </w:rPr>
        <w:t xml:space="preserve"> requires consideration of "the basal factual question of how the decision that was in fact made</w:t>
      </w:r>
      <w:r w:rsidR="008F4B1E" w:rsidRPr="002A3AAE">
        <w:rPr>
          <w:rFonts w:ascii="Times New Roman" w:hAnsi="Times New Roman"/>
        </w:rPr>
        <w:t xml:space="preserve"> was in fact made</w:t>
      </w:r>
      <w:r w:rsidR="003822F9" w:rsidRPr="002A3AAE">
        <w:rPr>
          <w:rFonts w:ascii="Times New Roman" w:hAnsi="Times New Roman"/>
        </w:rPr>
        <w:t>"</w:t>
      </w:r>
      <w:r w:rsidR="003822F9" w:rsidRPr="002A3AAE">
        <w:rPr>
          <w:rStyle w:val="FootnoteReference"/>
          <w:rFonts w:ascii="Times New Roman" w:hAnsi="Times New Roman"/>
          <w:sz w:val="24"/>
        </w:rPr>
        <w:footnoteReference w:id="49"/>
      </w:r>
      <w:r w:rsidR="009F47A8" w:rsidRPr="002A3AAE">
        <w:rPr>
          <w:rFonts w:ascii="Times New Roman" w:hAnsi="Times New Roman"/>
        </w:rPr>
        <w:t>.</w:t>
      </w:r>
      <w:r w:rsidR="00626111" w:rsidRPr="002A3AAE">
        <w:rPr>
          <w:rFonts w:ascii="Times New Roman" w:hAnsi="Times New Roman"/>
        </w:rPr>
        <w:t xml:space="preserve"> </w:t>
      </w:r>
      <w:r w:rsidR="00DF3BD8" w:rsidRPr="002A3AAE">
        <w:rPr>
          <w:rFonts w:ascii="Times New Roman" w:hAnsi="Times New Roman"/>
        </w:rPr>
        <w:t>This question is determined by proof of historical facts</w:t>
      </w:r>
      <w:r w:rsidR="00C951C6" w:rsidRPr="002A3AAE">
        <w:rPr>
          <w:rFonts w:ascii="Times New Roman" w:hAnsi="Times New Roman"/>
        </w:rPr>
        <w:t xml:space="preserve"> on the balance of probabilities. </w:t>
      </w:r>
      <w:r w:rsidR="00CA796E" w:rsidRPr="002A3AAE">
        <w:rPr>
          <w:rFonts w:ascii="Times New Roman" w:hAnsi="Times New Roman"/>
        </w:rPr>
        <w:t>Then, it is necessary to consider whether the decision that was in fact made could have been different had the</w:t>
      </w:r>
      <w:r w:rsidR="008F2D1A" w:rsidRPr="002A3AAE">
        <w:rPr>
          <w:rFonts w:ascii="Times New Roman" w:hAnsi="Times New Roman"/>
        </w:rPr>
        <w:t xml:space="preserve"> relevant condition been complied with "as a matter of reasonable conjecture within the parameters set by the historical facts that have been determined</w:t>
      </w:r>
      <w:r w:rsidR="0095175B" w:rsidRPr="002A3AAE">
        <w:rPr>
          <w:rFonts w:ascii="Times New Roman" w:hAnsi="Times New Roman"/>
        </w:rPr>
        <w:t>"</w:t>
      </w:r>
      <w:r w:rsidR="00E91F0F" w:rsidRPr="002A3AAE">
        <w:rPr>
          <w:rStyle w:val="FootnoteReference"/>
          <w:rFonts w:ascii="Times New Roman" w:hAnsi="Times New Roman"/>
          <w:sz w:val="24"/>
        </w:rPr>
        <w:footnoteReference w:id="50"/>
      </w:r>
      <w:r w:rsidR="0095175B" w:rsidRPr="002A3AAE">
        <w:rPr>
          <w:rFonts w:ascii="Times New Roman" w:hAnsi="Times New Roman"/>
        </w:rPr>
        <w:t>.</w:t>
      </w:r>
      <w:r w:rsidR="00051898" w:rsidRPr="002A3AAE">
        <w:rPr>
          <w:rFonts w:ascii="Times New Roman" w:hAnsi="Times New Roman"/>
        </w:rPr>
        <w:t xml:space="preserve"> </w:t>
      </w:r>
      <w:r w:rsidR="00B10C54" w:rsidRPr="002A3AAE">
        <w:rPr>
          <w:rFonts w:ascii="Times New Roman" w:hAnsi="Times New Roman"/>
        </w:rPr>
        <w:t xml:space="preserve">The burden falls on the plaintiff to prove </w:t>
      </w:r>
      <w:r w:rsidR="0045584D" w:rsidRPr="002A3AAE">
        <w:rPr>
          <w:rFonts w:ascii="Times New Roman" w:hAnsi="Times New Roman"/>
        </w:rPr>
        <w:t>"</w:t>
      </w:r>
      <w:r w:rsidR="00B10C54" w:rsidRPr="002A3AAE">
        <w:rPr>
          <w:rFonts w:ascii="Times New Roman" w:hAnsi="Times New Roman"/>
        </w:rPr>
        <w:t xml:space="preserve">on the balance of probabilities </w:t>
      </w:r>
      <w:r w:rsidR="00AD4816" w:rsidRPr="002A3AAE">
        <w:rPr>
          <w:rFonts w:ascii="Times New Roman" w:hAnsi="Times New Roman"/>
        </w:rPr>
        <w:t>the</w:t>
      </w:r>
      <w:r w:rsidR="00B10C54" w:rsidRPr="002A3AAE">
        <w:rPr>
          <w:rFonts w:ascii="Times New Roman" w:hAnsi="Times New Roman"/>
        </w:rPr>
        <w:t xml:space="preserve"> historical facts necessary to </w:t>
      </w:r>
      <w:r w:rsidR="00DB0484" w:rsidRPr="002A3AAE">
        <w:rPr>
          <w:rFonts w:ascii="Times New Roman" w:hAnsi="Times New Roman"/>
        </w:rPr>
        <w:t xml:space="preserve">enable the court to be </w:t>
      </w:r>
      <w:r w:rsidR="00DB0484" w:rsidRPr="002A3AAE">
        <w:rPr>
          <w:rFonts w:ascii="Times New Roman" w:hAnsi="Times New Roman"/>
        </w:rPr>
        <w:lastRenderedPageBreak/>
        <w:t xml:space="preserve">satisfied of the realistic possibility that a different decision </w:t>
      </w:r>
      <w:r w:rsidR="00DB0484" w:rsidRPr="002A3AAE">
        <w:rPr>
          <w:rFonts w:ascii="Times New Roman" w:hAnsi="Times New Roman"/>
          <w:i/>
        </w:rPr>
        <w:t>could</w:t>
      </w:r>
      <w:r w:rsidR="00DB0484" w:rsidRPr="002A3AAE">
        <w:rPr>
          <w:rFonts w:ascii="Times New Roman" w:hAnsi="Times New Roman"/>
        </w:rPr>
        <w:t xml:space="preserve"> have been made had there been compliance with that condition"</w:t>
      </w:r>
      <w:r w:rsidR="00911F06" w:rsidRPr="002A3AAE">
        <w:rPr>
          <w:rStyle w:val="FootnoteReference"/>
          <w:rFonts w:ascii="Times New Roman" w:hAnsi="Times New Roman"/>
          <w:sz w:val="24"/>
        </w:rPr>
        <w:footnoteReference w:id="51"/>
      </w:r>
      <w:r w:rsidR="00DB0484" w:rsidRPr="002A3AAE">
        <w:rPr>
          <w:rFonts w:ascii="Times New Roman" w:hAnsi="Times New Roman"/>
        </w:rPr>
        <w:t>.</w:t>
      </w:r>
    </w:p>
    <w:p w14:paraId="5DB4CAB8" w14:textId="18D9FC5E" w:rsidR="001855B5" w:rsidRPr="002A3AAE" w:rsidRDefault="00B902C9"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C25683" w:rsidRPr="002A3AAE">
        <w:rPr>
          <w:rFonts w:ascii="Times New Roman" w:hAnsi="Times New Roman"/>
        </w:rPr>
        <w:t>T</w:t>
      </w:r>
      <w:r w:rsidR="00354224" w:rsidRPr="002A3AAE">
        <w:rPr>
          <w:rFonts w:ascii="Times New Roman" w:hAnsi="Times New Roman"/>
        </w:rPr>
        <w:t xml:space="preserve">here will generally be a realistic possibility that a decision-making process could have resulted in a different outcome if a party was denied an opportunity to present evidence or make submissions on an issue </w:t>
      </w:r>
      <w:r w:rsidR="00F9660A" w:rsidRPr="002A3AAE">
        <w:rPr>
          <w:rFonts w:ascii="Times New Roman" w:hAnsi="Times New Roman"/>
        </w:rPr>
        <w:t>that required consideration</w:t>
      </w:r>
      <w:r w:rsidR="00354224" w:rsidRPr="002A3AAE">
        <w:rPr>
          <w:rStyle w:val="FootnoteReference"/>
          <w:rFonts w:ascii="Times New Roman" w:hAnsi="Times New Roman"/>
          <w:sz w:val="24"/>
        </w:rPr>
        <w:footnoteReference w:id="52"/>
      </w:r>
      <w:r w:rsidR="00354224" w:rsidRPr="002A3AAE">
        <w:rPr>
          <w:rFonts w:ascii="Times New Roman" w:hAnsi="Times New Roman"/>
        </w:rPr>
        <w:t xml:space="preserve">. </w:t>
      </w:r>
      <w:r w:rsidR="00E41E1C" w:rsidRPr="002A3AAE">
        <w:rPr>
          <w:rFonts w:ascii="Times New Roman" w:hAnsi="Times New Roman"/>
        </w:rPr>
        <w:t xml:space="preserve">The standard of </w:t>
      </w:r>
      <w:r w:rsidR="00A14BE7" w:rsidRPr="002A3AAE">
        <w:rPr>
          <w:rFonts w:ascii="Times New Roman" w:hAnsi="Times New Roman"/>
        </w:rPr>
        <w:t>"</w:t>
      </w:r>
      <w:r w:rsidR="00F33674" w:rsidRPr="002A3AAE">
        <w:rPr>
          <w:rFonts w:ascii="Times New Roman" w:hAnsi="Times New Roman"/>
        </w:rPr>
        <w:t>r</w:t>
      </w:r>
      <w:r w:rsidR="00867727" w:rsidRPr="002A3AAE">
        <w:rPr>
          <w:rFonts w:ascii="Times New Roman" w:hAnsi="Times New Roman"/>
        </w:rPr>
        <w:t>easonable conjecture</w:t>
      </w:r>
      <w:r w:rsidR="00A14BE7" w:rsidRPr="002A3AAE">
        <w:rPr>
          <w:rFonts w:ascii="Times New Roman" w:hAnsi="Times New Roman"/>
        </w:rPr>
        <w:t>"</w:t>
      </w:r>
      <w:r w:rsidR="00F33674" w:rsidRPr="002A3AAE">
        <w:rPr>
          <w:rFonts w:ascii="Times New Roman" w:hAnsi="Times New Roman"/>
        </w:rPr>
        <w:t xml:space="preserve"> </w:t>
      </w:r>
      <w:r w:rsidR="00865C28" w:rsidRPr="002A3AAE">
        <w:rPr>
          <w:rFonts w:ascii="Times New Roman" w:hAnsi="Times New Roman"/>
        </w:rPr>
        <w:t>is und</w:t>
      </w:r>
      <w:r w:rsidR="0057236C" w:rsidRPr="002A3AAE">
        <w:rPr>
          <w:rFonts w:ascii="Times New Roman" w:hAnsi="Times New Roman"/>
        </w:rPr>
        <w:t xml:space="preserve">emanding. It </w:t>
      </w:r>
      <w:r w:rsidR="00F33674" w:rsidRPr="002A3AAE">
        <w:rPr>
          <w:rFonts w:ascii="Times New Roman" w:hAnsi="Times New Roman"/>
        </w:rPr>
        <w:t>recognises</w:t>
      </w:r>
      <w:r w:rsidR="009B1AFB" w:rsidRPr="002A3AAE">
        <w:rPr>
          <w:rFonts w:ascii="Times New Roman" w:hAnsi="Times New Roman"/>
        </w:rPr>
        <w:t xml:space="preserve"> that a</w:t>
      </w:r>
      <w:r w:rsidR="00E63566" w:rsidRPr="002A3AAE">
        <w:rPr>
          <w:rFonts w:ascii="Times New Roman" w:hAnsi="Times New Roman"/>
        </w:rPr>
        <w:t xml:space="preserve"> fundamental</w:t>
      </w:r>
      <w:r w:rsidR="009B1AFB" w:rsidRPr="002A3AAE">
        <w:rPr>
          <w:rFonts w:ascii="Times New Roman" w:hAnsi="Times New Roman"/>
        </w:rPr>
        <w:t xml:space="preserve"> purpose of affording </w:t>
      </w:r>
      <w:r w:rsidR="00E63566" w:rsidRPr="002A3AAE">
        <w:rPr>
          <w:rFonts w:ascii="Times New Roman" w:hAnsi="Times New Roman"/>
        </w:rPr>
        <w:t xml:space="preserve">procedural fairness is to </w:t>
      </w:r>
      <w:r w:rsidR="00FB66A6" w:rsidRPr="002A3AAE">
        <w:rPr>
          <w:rFonts w:ascii="Times New Roman" w:hAnsi="Times New Roman"/>
        </w:rPr>
        <w:t xml:space="preserve">afford </w:t>
      </w:r>
      <w:r w:rsidR="00E63566" w:rsidRPr="002A3AAE">
        <w:rPr>
          <w:rFonts w:ascii="Times New Roman" w:hAnsi="Times New Roman"/>
        </w:rPr>
        <w:t xml:space="preserve">an opportunity to raise </w:t>
      </w:r>
      <w:r w:rsidR="00FB66A6" w:rsidRPr="002A3AAE">
        <w:rPr>
          <w:rFonts w:ascii="Times New Roman" w:hAnsi="Times New Roman"/>
        </w:rPr>
        <w:t xml:space="preserve">relevant </w:t>
      </w:r>
      <w:r w:rsidR="00E63566" w:rsidRPr="002A3AAE">
        <w:rPr>
          <w:rFonts w:ascii="Times New Roman" w:hAnsi="Times New Roman"/>
        </w:rPr>
        <w:t>matters which are not already obvious</w:t>
      </w:r>
      <w:r w:rsidR="00121D87" w:rsidRPr="002A3AAE">
        <w:rPr>
          <w:rFonts w:ascii="Times New Roman" w:hAnsi="Times New Roman"/>
        </w:rPr>
        <w:t>, or not liable</w:t>
      </w:r>
      <w:r w:rsidR="005E7F42" w:rsidRPr="002A3AAE">
        <w:rPr>
          <w:rFonts w:ascii="Times New Roman" w:hAnsi="Times New Roman"/>
        </w:rPr>
        <w:t xml:space="preserve"> to be advanced by the </w:t>
      </w:r>
      <w:r w:rsidR="00DD50D0" w:rsidRPr="002A3AAE">
        <w:rPr>
          <w:rFonts w:ascii="Times New Roman" w:hAnsi="Times New Roman"/>
        </w:rPr>
        <w:t xml:space="preserve">apparently </w:t>
      </w:r>
      <w:r w:rsidR="007B3D0E" w:rsidRPr="002A3AAE">
        <w:rPr>
          <w:rFonts w:ascii="Times New Roman" w:hAnsi="Times New Roman"/>
        </w:rPr>
        <w:t>persuasive</w:t>
      </w:r>
      <w:r w:rsidR="00722A9D" w:rsidRPr="002A3AAE">
        <w:rPr>
          <w:rFonts w:ascii="Times New Roman" w:hAnsi="Times New Roman"/>
        </w:rPr>
        <w:t xml:space="preserve"> </w:t>
      </w:r>
      <w:r w:rsidR="00AD7203" w:rsidRPr="002A3AAE">
        <w:rPr>
          <w:rFonts w:ascii="Times New Roman" w:hAnsi="Times New Roman"/>
        </w:rPr>
        <w:t>"</w:t>
      </w:r>
      <w:r w:rsidR="005E7F42" w:rsidRPr="002A3AAE">
        <w:rPr>
          <w:rFonts w:ascii="Times New Roman" w:hAnsi="Times New Roman"/>
        </w:rPr>
        <w:t>story</w:t>
      </w:r>
      <w:r w:rsidR="00AD7203" w:rsidRPr="002A3AAE">
        <w:rPr>
          <w:rFonts w:ascii="Times New Roman" w:hAnsi="Times New Roman"/>
        </w:rPr>
        <w:t>"</w:t>
      </w:r>
      <w:r w:rsidR="005E7F42" w:rsidRPr="002A3AAE">
        <w:rPr>
          <w:rFonts w:ascii="Times New Roman" w:hAnsi="Times New Roman"/>
        </w:rPr>
        <w:t xml:space="preserve"> of </w:t>
      </w:r>
      <w:r w:rsidR="00CF7145" w:rsidRPr="002A3AAE">
        <w:rPr>
          <w:rFonts w:ascii="Times New Roman" w:hAnsi="Times New Roman"/>
        </w:rPr>
        <w:t>the opposing party</w:t>
      </w:r>
      <w:r w:rsidR="00E63566" w:rsidRPr="002A3AAE">
        <w:rPr>
          <w:rStyle w:val="FootnoteReference"/>
          <w:rFonts w:ascii="Times New Roman" w:hAnsi="Times New Roman"/>
          <w:sz w:val="24"/>
        </w:rPr>
        <w:footnoteReference w:id="53"/>
      </w:r>
      <w:r w:rsidR="00E63566" w:rsidRPr="002A3AAE">
        <w:rPr>
          <w:rFonts w:ascii="Times New Roman" w:hAnsi="Times New Roman"/>
        </w:rPr>
        <w:t xml:space="preserve">. </w:t>
      </w:r>
      <w:r w:rsidR="00983911" w:rsidRPr="002A3AAE">
        <w:rPr>
          <w:rFonts w:ascii="Times New Roman" w:hAnsi="Times New Roman"/>
        </w:rPr>
        <w:t xml:space="preserve">Where </w:t>
      </w:r>
      <w:r w:rsidR="008F1429" w:rsidRPr="002A3AAE">
        <w:rPr>
          <w:rFonts w:ascii="Times New Roman" w:hAnsi="Times New Roman"/>
        </w:rPr>
        <w:t xml:space="preserve">a </w:t>
      </w:r>
      <w:r w:rsidR="003500DF" w:rsidRPr="002A3AAE">
        <w:rPr>
          <w:rFonts w:ascii="Times New Roman" w:hAnsi="Times New Roman"/>
        </w:rPr>
        <w:t xml:space="preserve">Tribunal errs by denying a </w:t>
      </w:r>
      <w:r w:rsidR="008F1429" w:rsidRPr="002A3AAE">
        <w:rPr>
          <w:rFonts w:ascii="Times New Roman" w:hAnsi="Times New Roman"/>
        </w:rPr>
        <w:t xml:space="preserve">party a reasonable opportunity to present their case, </w:t>
      </w:r>
      <w:r w:rsidR="006A5631" w:rsidRPr="002A3AAE">
        <w:rPr>
          <w:rFonts w:ascii="Times New Roman" w:hAnsi="Times New Roman"/>
        </w:rPr>
        <w:t xml:space="preserve">"reasonable conjecture" </w:t>
      </w:r>
      <w:r w:rsidR="003500DF" w:rsidRPr="002A3AAE">
        <w:rPr>
          <w:rFonts w:ascii="Times New Roman" w:hAnsi="Times New Roman"/>
        </w:rPr>
        <w:t xml:space="preserve">does not require </w:t>
      </w:r>
      <w:r w:rsidR="005E795B" w:rsidRPr="002A3AAE">
        <w:rPr>
          <w:rFonts w:ascii="Times New Roman" w:hAnsi="Times New Roman"/>
        </w:rPr>
        <w:t>demonstration</w:t>
      </w:r>
      <w:r w:rsidR="00AF6988" w:rsidRPr="002A3AAE">
        <w:rPr>
          <w:rFonts w:ascii="Times New Roman" w:hAnsi="Times New Roman"/>
        </w:rPr>
        <w:t xml:space="preserve"> </w:t>
      </w:r>
      <w:r w:rsidR="00D92CCC" w:rsidRPr="002A3AAE">
        <w:rPr>
          <w:rFonts w:ascii="Times New Roman" w:hAnsi="Times New Roman"/>
        </w:rPr>
        <w:t xml:space="preserve">of </w:t>
      </w:r>
      <w:r w:rsidR="008A24D0" w:rsidRPr="002A3AAE">
        <w:rPr>
          <w:rFonts w:ascii="Times New Roman" w:hAnsi="Times New Roman"/>
        </w:rPr>
        <w:t xml:space="preserve">how </w:t>
      </w:r>
      <w:r w:rsidR="006316FB" w:rsidRPr="002A3AAE">
        <w:rPr>
          <w:rFonts w:ascii="Times New Roman" w:hAnsi="Times New Roman"/>
        </w:rPr>
        <w:t xml:space="preserve">that party </w:t>
      </w:r>
      <w:r w:rsidR="005175C7" w:rsidRPr="002A3AAE">
        <w:rPr>
          <w:rFonts w:ascii="Times New Roman" w:hAnsi="Times New Roman"/>
        </w:rPr>
        <w:t>might have taken</w:t>
      </w:r>
      <w:r w:rsidR="00D92CCC" w:rsidRPr="002A3AAE">
        <w:rPr>
          <w:rFonts w:ascii="Times New Roman" w:hAnsi="Times New Roman"/>
        </w:rPr>
        <w:t xml:space="preserve"> </w:t>
      </w:r>
      <w:r w:rsidR="005175C7" w:rsidRPr="002A3AAE">
        <w:rPr>
          <w:rFonts w:ascii="Times New Roman" w:hAnsi="Times New Roman"/>
        </w:rPr>
        <w:t xml:space="preserve">advantage </w:t>
      </w:r>
      <w:r w:rsidR="00D92CCC" w:rsidRPr="002A3AAE">
        <w:rPr>
          <w:rFonts w:ascii="Times New Roman" w:hAnsi="Times New Roman"/>
        </w:rPr>
        <w:t xml:space="preserve">of </w:t>
      </w:r>
      <w:r w:rsidR="00026578" w:rsidRPr="002A3AAE">
        <w:rPr>
          <w:rFonts w:ascii="Times New Roman" w:hAnsi="Times New Roman"/>
        </w:rPr>
        <w:t xml:space="preserve">that </w:t>
      </w:r>
      <w:r w:rsidR="003B237E" w:rsidRPr="002A3AAE">
        <w:rPr>
          <w:rFonts w:ascii="Times New Roman" w:hAnsi="Times New Roman"/>
        </w:rPr>
        <w:t>lost opportunity</w:t>
      </w:r>
      <w:r w:rsidR="000B3EAE" w:rsidRPr="002A3AAE">
        <w:rPr>
          <w:rStyle w:val="FootnoteReference"/>
          <w:rFonts w:ascii="Times New Roman" w:hAnsi="Times New Roman"/>
          <w:sz w:val="24"/>
        </w:rPr>
        <w:footnoteReference w:id="54"/>
      </w:r>
      <w:r w:rsidR="0083029A" w:rsidRPr="002A3AAE">
        <w:rPr>
          <w:rFonts w:ascii="Times New Roman" w:hAnsi="Times New Roman"/>
        </w:rPr>
        <w:t xml:space="preserve">. </w:t>
      </w:r>
      <w:r w:rsidR="007D721C" w:rsidRPr="002A3AAE">
        <w:rPr>
          <w:rFonts w:ascii="Times New Roman" w:hAnsi="Times New Roman"/>
        </w:rPr>
        <w:t xml:space="preserve">Nothing said in </w:t>
      </w:r>
      <w:r w:rsidR="007D721C" w:rsidRPr="002A3AAE">
        <w:rPr>
          <w:rFonts w:ascii="Times New Roman" w:hAnsi="Times New Roman"/>
          <w:i/>
        </w:rPr>
        <w:t xml:space="preserve">MZAPC </w:t>
      </w:r>
      <w:r w:rsidR="007D721C" w:rsidRPr="002A3AAE">
        <w:rPr>
          <w:rFonts w:ascii="Times New Roman" w:hAnsi="Times New Roman"/>
        </w:rPr>
        <w:t xml:space="preserve">denies this. </w:t>
      </w:r>
      <w:r w:rsidR="00FF67EE" w:rsidRPr="002A3AAE">
        <w:rPr>
          <w:rFonts w:ascii="Times New Roman" w:hAnsi="Times New Roman"/>
        </w:rPr>
        <w:t xml:space="preserve">To the contrary, </w:t>
      </w:r>
      <w:r w:rsidR="00CC7E42" w:rsidRPr="002A3AAE">
        <w:rPr>
          <w:rFonts w:ascii="Times New Roman" w:hAnsi="Times New Roman"/>
        </w:rPr>
        <w:t>the standard of "</w:t>
      </w:r>
      <w:r w:rsidR="00AA6188" w:rsidRPr="002A3AAE">
        <w:rPr>
          <w:rFonts w:ascii="Times New Roman" w:hAnsi="Times New Roman"/>
        </w:rPr>
        <w:t>reasonable conjecture</w:t>
      </w:r>
      <w:r w:rsidR="00CC7E42" w:rsidRPr="002A3AAE">
        <w:rPr>
          <w:rFonts w:ascii="Times New Roman" w:hAnsi="Times New Roman"/>
        </w:rPr>
        <w:t xml:space="preserve">", </w:t>
      </w:r>
      <w:r w:rsidR="00A64860" w:rsidRPr="002A3AAE">
        <w:rPr>
          <w:rFonts w:ascii="Times New Roman" w:hAnsi="Times New Roman"/>
        </w:rPr>
        <w:t xml:space="preserve">correctly applied, </w:t>
      </w:r>
      <w:r w:rsidR="00FB1D0B" w:rsidRPr="002A3AAE">
        <w:rPr>
          <w:rFonts w:ascii="Times New Roman" w:hAnsi="Times New Roman"/>
        </w:rPr>
        <w:t>proceeds on assumption</w:t>
      </w:r>
      <w:r w:rsidR="003C20B8" w:rsidRPr="002A3AAE">
        <w:rPr>
          <w:rFonts w:ascii="Times New Roman" w:hAnsi="Times New Roman"/>
        </w:rPr>
        <w:t>s</w:t>
      </w:r>
      <w:r w:rsidR="00FB1D0B" w:rsidRPr="002A3AAE">
        <w:rPr>
          <w:rFonts w:ascii="Times New Roman" w:hAnsi="Times New Roman"/>
        </w:rPr>
        <w:t xml:space="preserve"> that</w:t>
      </w:r>
      <w:r w:rsidR="00CB4AB3" w:rsidRPr="002A3AAE">
        <w:rPr>
          <w:rFonts w:ascii="Times New Roman" w:hAnsi="Times New Roman"/>
        </w:rPr>
        <w:t xml:space="preserve"> </w:t>
      </w:r>
      <w:r w:rsidR="00D46074" w:rsidRPr="002A3AAE">
        <w:rPr>
          <w:rFonts w:ascii="Times New Roman" w:hAnsi="Times New Roman"/>
        </w:rPr>
        <w:t xml:space="preserve">are derived from the </w:t>
      </w:r>
      <w:r w:rsidR="009B1089" w:rsidRPr="002A3AAE">
        <w:rPr>
          <w:rFonts w:ascii="Times New Roman" w:hAnsi="Times New Roman"/>
        </w:rPr>
        <w:t xml:space="preserve">rationale for </w:t>
      </w:r>
      <w:r w:rsidR="00A17D8B" w:rsidRPr="002A3AAE">
        <w:rPr>
          <w:rFonts w:ascii="Times New Roman" w:hAnsi="Times New Roman"/>
        </w:rPr>
        <w:t>procedural fairness</w:t>
      </w:r>
      <w:r w:rsidR="00EA3E65" w:rsidRPr="002A3AAE">
        <w:rPr>
          <w:rFonts w:ascii="Times New Roman" w:hAnsi="Times New Roman"/>
        </w:rPr>
        <w:t xml:space="preserve">, </w:t>
      </w:r>
      <w:r w:rsidR="00E27B92" w:rsidRPr="002A3AAE">
        <w:rPr>
          <w:rFonts w:ascii="Times New Roman" w:hAnsi="Times New Roman"/>
        </w:rPr>
        <w:t>namely that</w:t>
      </w:r>
      <w:r w:rsidR="00FB1D0B" w:rsidRPr="002A3AAE">
        <w:rPr>
          <w:rFonts w:ascii="Times New Roman" w:hAnsi="Times New Roman"/>
        </w:rPr>
        <w:t xml:space="preserve">, if given a fair opportunity to present their case, a </w:t>
      </w:r>
      <w:r w:rsidR="00E40F68" w:rsidRPr="002A3AAE">
        <w:rPr>
          <w:rFonts w:ascii="Times New Roman" w:hAnsi="Times New Roman"/>
        </w:rPr>
        <w:t>party</w:t>
      </w:r>
      <w:r w:rsidR="00FB1D0B" w:rsidRPr="002A3AAE">
        <w:rPr>
          <w:rFonts w:ascii="Times New Roman" w:hAnsi="Times New Roman"/>
        </w:rPr>
        <w:t xml:space="preserve"> will take advantage of that opportunity</w:t>
      </w:r>
      <w:r w:rsidR="00D84A8C" w:rsidRPr="002A3AAE">
        <w:rPr>
          <w:rFonts w:ascii="Times New Roman" w:hAnsi="Times New Roman"/>
        </w:rPr>
        <w:t xml:space="preserve"> and</w:t>
      </w:r>
      <w:r w:rsidR="00F47DA1" w:rsidRPr="002A3AAE">
        <w:rPr>
          <w:rFonts w:ascii="Times New Roman" w:hAnsi="Times New Roman"/>
        </w:rPr>
        <w:t xml:space="preserve"> that</w:t>
      </w:r>
      <w:r w:rsidR="003C20B8" w:rsidRPr="002A3AAE">
        <w:rPr>
          <w:rFonts w:ascii="Times New Roman" w:hAnsi="Times New Roman"/>
        </w:rPr>
        <w:t xml:space="preserve">, by </w:t>
      </w:r>
      <w:r w:rsidR="00797E40" w:rsidRPr="002A3AAE">
        <w:rPr>
          <w:rFonts w:ascii="Times New Roman" w:hAnsi="Times New Roman"/>
        </w:rPr>
        <w:t>doing so</w:t>
      </w:r>
      <w:r w:rsidR="003C20B8" w:rsidRPr="002A3AAE">
        <w:rPr>
          <w:rFonts w:ascii="Times New Roman" w:hAnsi="Times New Roman"/>
        </w:rPr>
        <w:t>,</w:t>
      </w:r>
      <w:r w:rsidR="00D84A8C" w:rsidRPr="002A3AAE">
        <w:rPr>
          <w:rFonts w:ascii="Times New Roman" w:hAnsi="Times New Roman"/>
        </w:rPr>
        <w:t xml:space="preserve"> </w:t>
      </w:r>
      <w:r w:rsidR="00F47DA1" w:rsidRPr="002A3AAE">
        <w:rPr>
          <w:rFonts w:ascii="Times New Roman" w:hAnsi="Times New Roman"/>
        </w:rPr>
        <w:t xml:space="preserve">the </w:t>
      </w:r>
      <w:r w:rsidR="00C172FA" w:rsidRPr="002A3AAE">
        <w:rPr>
          <w:rFonts w:ascii="Times New Roman" w:hAnsi="Times New Roman"/>
        </w:rPr>
        <w:t>party</w:t>
      </w:r>
      <w:r w:rsidR="00F47DA1" w:rsidRPr="002A3AAE">
        <w:rPr>
          <w:rFonts w:ascii="Times New Roman" w:hAnsi="Times New Roman"/>
        </w:rPr>
        <w:t xml:space="preserve"> </w:t>
      </w:r>
      <w:r w:rsidR="00D84A8C" w:rsidRPr="002A3AAE">
        <w:rPr>
          <w:rFonts w:ascii="Times New Roman" w:hAnsi="Times New Roman"/>
        </w:rPr>
        <w:t xml:space="preserve">could </w:t>
      </w:r>
      <w:r w:rsidR="003C20B8" w:rsidRPr="002A3AAE">
        <w:rPr>
          <w:rFonts w:ascii="Times New Roman" w:hAnsi="Times New Roman"/>
        </w:rPr>
        <w:t>achieve a favourable outcome</w:t>
      </w:r>
      <w:r w:rsidR="009304D1" w:rsidRPr="002A3AAE">
        <w:rPr>
          <w:rFonts w:ascii="Times New Roman" w:hAnsi="Times New Roman"/>
        </w:rPr>
        <w:t>.</w:t>
      </w:r>
      <w:r w:rsidR="0086473D" w:rsidRPr="002A3AAE">
        <w:rPr>
          <w:rFonts w:ascii="Times New Roman" w:hAnsi="Times New Roman"/>
        </w:rPr>
        <w:t xml:space="preserve"> </w:t>
      </w:r>
      <w:r w:rsidRPr="002A3AAE">
        <w:rPr>
          <w:rFonts w:ascii="Times New Roman" w:hAnsi="Times New Roman"/>
        </w:rPr>
        <w:tab/>
      </w:r>
      <w:r w:rsidR="00847C5C" w:rsidRPr="002A3AAE">
        <w:rPr>
          <w:rFonts w:ascii="Times New Roman" w:hAnsi="Times New Roman"/>
        </w:rPr>
        <w:t xml:space="preserve"> </w:t>
      </w:r>
    </w:p>
    <w:p w14:paraId="6F7889F0" w14:textId="77777777" w:rsidR="00B27CA9" w:rsidRPr="002A3AAE" w:rsidRDefault="00B27CA9" w:rsidP="002A3AAE">
      <w:pPr>
        <w:pStyle w:val="HeadingL1"/>
        <w:spacing w:after="260" w:line="280" w:lineRule="exact"/>
        <w:ind w:right="0"/>
        <w:jc w:val="both"/>
        <w:rPr>
          <w:rFonts w:ascii="Times New Roman" w:hAnsi="Times New Roman"/>
        </w:rPr>
      </w:pPr>
      <w:r w:rsidRPr="002A3AAE">
        <w:rPr>
          <w:rFonts w:ascii="Times New Roman" w:hAnsi="Times New Roman"/>
        </w:rPr>
        <w:t>Proof of materiality in this case</w:t>
      </w:r>
    </w:p>
    <w:p w14:paraId="15F3F27A" w14:textId="146FE222" w:rsidR="007C0E25" w:rsidRPr="002A3AAE" w:rsidRDefault="00B902C9"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2D743F" w:rsidRPr="002A3AAE">
        <w:rPr>
          <w:rFonts w:ascii="Times New Roman" w:hAnsi="Times New Roman"/>
        </w:rPr>
        <w:t>T</w:t>
      </w:r>
      <w:r w:rsidR="00A636BE" w:rsidRPr="002A3AAE">
        <w:rPr>
          <w:rFonts w:ascii="Times New Roman" w:hAnsi="Times New Roman"/>
        </w:rPr>
        <w:t xml:space="preserve">his case is analogous to </w:t>
      </w:r>
      <w:r w:rsidR="00A636BE" w:rsidRPr="002A3AAE">
        <w:rPr>
          <w:rFonts w:ascii="Times New Roman" w:hAnsi="Times New Roman"/>
          <w:i/>
        </w:rPr>
        <w:t>Stead v State Government Insurance Commission</w:t>
      </w:r>
      <w:r w:rsidR="00A636BE" w:rsidRPr="002A3AAE">
        <w:rPr>
          <w:rStyle w:val="FootnoteReference"/>
          <w:rFonts w:ascii="Times New Roman" w:hAnsi="Times New Roman"/>
          <w:sz w:val="24"/>
        </w:rPr>
        <w:footnoteReference w:id="55"/>
      </w:r>
      <w:r w:rsidR="00A636BE" w:rsidRPr="002A3AAE">
        <w:rPr>
          <w:rFonts w:ascii="Times New Roman" w:hAnsi="Times New Roman"/>
        </w:rPr>
        <w:t xml:space="preserve">. There, the </w:t>
      </w:r>
      <w:r w:rsidR="00EF51EE" w:rsidRPr="002A3AAE">
        <w:rPr>
          <w:rFonts w:ascii="Times New Roman" w:hAnsi="Times New Roman"/>
        </w:rPr>
        <w:t xml:space="preserve">record before the intermediate appellate court showed that </w:t>
      </w:r>
      <w:r w:rsidR="001D58B1" w:rsidRPr="002A3AAE">
        <w:rPr>
          <w:rFonts w:ascii="Times New Roman" w:hAnsi="Times New Roman"/>
        </w:rPr>
        <w:t xml:space="preserve">the plaintiff's </w:t>
      </w:r>
      <w:r w:rsidR="00B221A1" w:rsidRPr="002A3AAE">
        <w:rPr>
          <w:rFonts w:ascii="Times New Roman" w:hAnsi="Times New Roman"/>
        </w:rPr>
        <w:t>counsel was stop</w:t>
      </w:r>
      <w:r w:rsidR="00142FD0" w:rsidRPr="002A3AAE">
        <w:rPr>
          <w:rFonts w:ascii="Times New Roman" w:hAnsi="Times New Roman"/>
        </w:rPr>
        <w:t>p</w:t>
      </w:r>
      <w:r w:rsidR="00B221A1" w:rsidRPr="002A3AAE">
        <w:rPr>
          <w:rFonts w:ascii="Times New Roman" w:hAnsi="Times New Roman"/>
        </w:rPr>
        <w:t xml:space="preserve">ed by the trial judge from </w:t>
      </w:r>
      <w:r w:rsidR="00142FD0" w:rsidRPr="002A3AAE">
        <w:rPr>
          <w:rFonts w:ascii="Times New Roman" w:hAnsi="Times New Roman"/>
        </w:rPr>
        <w:t xml:space="preserve">submitting that </w:t>
      </w:r>
      <w:r w:rsidR="00F50787" w:rsidRPr="002A3AAE">
        <w:rPr>
          <w:rFonts w:ascii="Times New Roman" w:hAnsi="Times New Roman"/>
        </w:rPr>
        <w:t xml:space="preserve">a witness's evidence should </w:t>
      </w:r>
      <w:r w:rsidR="00466909" w:rsidRPr="002A3AAE">
        <w:rPr>
          <w:rFonts w:ascii="Times New Roman" w:hAnsi="Times New Roman"/>
        </w:rPr>
        <w:t>be disbelieved</w:t>
      </w:r>
      <w:r w:rsidR="00F50787" w:rsidRPr="002A3AAE">
        <w:rPr>
          <w:rFonts w:ascii="Times New Roman" w:hAnsi="Times New Roman"/>
        </w:rPr>
        <w:t xml:space="preserve">. </w:t>
      </w:r>
      <w:r w:rsidR="00615B0A" w:rsidRPr="002A3AAE">
        <w:rPr>
          <w:rFonts w:ascii="Times New Roman" w:hAnsi="Times New Roman"/>
        </w:rPr>
        <w:t xml:space="preserve">The witness had given evidence that there was no causal link between </w:t>
      </w:r>
      <w:r w:rsidR="00551CF3" w:rsidRPr="002A3AAE">
        <w:rPr>
          <w:rFonts w:ascii="Times New Roman" w:hAnsi="Times New Roman"/>
        </w:rPr>
        <w:t xml:space="preserve">the plaintiff's personal injury and a motor vehicle accident. </w:t>
      </w:r>
      <w:r w:rsidR="00F50787" w:rsidRPr="002A3AAE">
        <w:rPr>
          <w:rFonts w:ascii="Times New Roman" w:hAnsi="Times New Roman"/>
        </w:rPr>
        <w:t>In his judgment, the trial judge accepted the witness's evidence</w:t>
      </w:r>
      <w:r w:rsidR="00551CF3" w:rsidRPr="002A3AAE">
        <w:rPr>
          <w:rFonts w:ascii="Times New Roman" w:hAnsi="Times New Roman"/>
        </w:rPr>
        <w:t xml:space="preserve"> and </w:t>
      </w:r>
      <w:r w:rsidR="001D58B1" w:rsidRPr="002A3AAE">
        <w:rPr>
          <w:rFonts w:ascii="Times New Roman" w:hAnsi="Times New Roman"/>
        </w:rPr>
        <w:t>rejected the plaintiff's case on causation</w:t>
      </w:r>
      <w:r w:rsidR="00B56884" w:rsidRPr="002A3AAE">
        <w:rPr>
          <w:rFonts w:ascii="Times New Roman" w:hAnsi="Times New Roman"/>
        </w:rPr>
        <w:t>.</w:t>
      </w:r>
      <w:r w:rsidR="00761740" w:rsidRPr="002A3AAE">
        <w:rPr>
          <w:rFonts w:ascii="Times New Roman" w:hAnsi="Times New Roman"/>
        </w:rPr>
        <w:t xml:space="preserve"> The realistic possibility of a different outcome was demonstrated on the face of </w:t>
      </w:r>
      <w:r w:rsidR="00BB3739" w:rsidRPr="002A3AAE">
        <w:rPr>
          <w:rFonts w:ascii="Times New Roman" w:hAnsi="Times New Roman"/>
        </w:rPr>
        <w:t xml:space="preserve">those elements of the </w:t>
      </w:r>
      <w:r w:rsidR="00761740" w:rsidRPr="002A3AAE">
        <w:rPr>
          <w:rFonts w:ascii="Times New Roman" w:hAnsi="Times New Roman"/>
        </w:rPr>
        <w:t>appellate record</w:t>
      </w:r>
      <w:r w:rsidR="00CB2322" w:rsidRPr="002A3AAE">
        <w:rPr>
          <w:rFonts w:ascii="Times New Roman" w:hAnsi="Times New Roman"/>
        </w:rPr>
        <w:t xml:space="preserve"> of the trial</w:t>
      </w:r>
      <w:r w:rsidR="00761740" w:rsidRPr="002A3AAE">
        <w:rPr>
          <w:rFonts w:ascii="Times New Roman" w:hAnsi="Times New Roman"/>
        </w:rPr>
        <w:t xml:space="preserve">, without any </w:t>
      </w:r>
      <w:r w:rsidR="0059299B" w:rsidRPr="002A3AAE">
        <w:rPr>
          <w:rFonts w:ascii="Times New Roman" w:hAnsi="Times New Roman"/>
        </w:rPr>
        <w:t>evidence as to what counsel could have s</w:t>
      </w:r>
      <w:r w:rsidR="001405EB" w:rsidRPr="002A3AAE">
        <w:rPr>
          <w:rFonts w:ascii="Times New Roman" w:hAnsi="Times New Roman"/>
        </w:rPr>
        <w:t>aid</w:t>
      </w:r>
      <w:r w:rsidR="0059299B" w:rsidRPr="002A3AAE">
        <w:rPr>
          <w:rFonts w:ascii="Times New Roman" w:hAnsi="Times New Roman"/>
        </w:rPr>
        <w:t xml:space="preserve"> </w:t>
      </w:r>
      <w:r w:rsidR="001405EB" w:rsidRPr="002A3AAE">
        <w:rPr>
          <w:rFonts w:ascii="Times New Roman" w:hAnsi="Times New Roman"/>
        </w:rPr>
        <w:t xml:space="preserve">if he had been </w:t>
      </w:r>
      <w:r w:rsidR="001405EB" w:rsidRPr="002A3AAE">
        <w:rPr>
          <w:rFonts w:ascii="Times New Roman" w:hAnsi="Times New Roman"/>
        </w:rPr>
        <w:lastRenderedPageBreak/>
        <w:t>allowed to</w:t>
      </w:r>
      <w:r w:rsidR="006E7B8A" w:rsidRPr="002A3AAE">
        <w:rPr>
          <w:rFonts w:ascii="Times New Roman" w:hAnsi="Times New Roman"/>
        </w:rPr>
        <w:t xml:space="preserve"> complete his submission.</w:t>
      </w:r>
      <w:r w:rsidR="00B27CA9" w:rsidRPr="002A3AAE">
        <w:rPr>
          <w:rFonts w:ascii="Times New Roman" w:hAnsi="Times New Roman"/>
        </w:rPr>
        <w:t xml:space="preserve"> </w:t>
      </w:r>
      <w:r w:rsidR="007C0E25" w:rsidRPr="002A3AAE">
        <w:rPr>
          <w:rFonts w:ascii="Times New Roman" w:hAnsi="Times New Roman"/>
        </w:rPr>
        <w:t xml:space="preserve">Similarly, in this case the </w:t>
      </w:r>
      <w:r w:rsidR="00F86511" w:rsidRPr="002A3AAE">
        <w:rPr>
          <w:rFonts w:ascii="Times New Roman" w:hAnsi="Times New Roman"/>
        </w:rPr>
        <w:t xml:space="preserve">only historical facts that the </w:t>
      </w:r>
      <w:r w:rsidR="007C0E25" w:rsidRPr="002A3AAE">
        <w:rPr>
          <w:rFonts w:ascii="Times New Roman" w:hAnsi="Times New Roman"/>
        </w:rPr>
        <w:t xml:space="preserve">appellant was required </w:t>
      </w:r>
      <w:r w:rsidR="00F86511" w:rsidRPr="002A3AAE">
        <w:rPr>
          <w:rFonts w:ascii="Times New Roman" w:hAnsi="Times New Roman"/>
        </w:rPr>
        <w:t>to prove appeared from</w:t>
      </w:r>
      <w:r w:rsidR="007C0E25" w:rsidRPr="002A3AAE">
        <w:rPr>
          <w:rFonts w:ascii="Times New Roman" w:hAnsi="Times New Roman"/>
        </w:rPr>
        <w:t xml:space="preserve"> the </w:t>
      </w:r>
      <w:r w:rsidR="00252765" w:rsidRPr="002A3AAE">
        <w:rPr>
          <w:rFonts w:ascii="Times New Roman" w:hAnsi="Times New Roman"/>
        </w:rPr>
        <w:t xml:space="preserve">Tribunal's reasons for decision. </w:t>
      </w:r>
    </w:p>
    <w:p w14:paraId="286C7A5E" w14:textId="2F4DBCA0" w:rsidR="00C82C2F" w:rsidRPr="002A3AAE" w:rsidRDefault="00B902C9"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68241E" w:rsidRPr="002A3AAE">
        <w:rPr>
          <w:rFonts w:ascii="Times New Roman" w:hAnsi="Times New Roman"/>
        </w:rPr>
        <w:t>The Minister correctly acknowledged</w:t>
      </w:r>
      <w:r w:rsidR="00294B70" w:rsidRPr="002A3AAE">
        <w:rPr>
          <w:rFonts w:ascii="Times New Roman" w:hAnsi="Times New Roman"/>
        </w:rPr>
        <w:t xml:space="preserve"> that</w:t>
      </w:r>
      <w:r w:rsidR="0068241E" w:rsidRPr="002A3AAE">
        <w:rPr>
          <w:rFonts w:ascii="Times New Roman" w:hAnsi="Times New Roman"/>
        </w:rPr>
        <w:t xml:space="preserve">, </w:t>
      </w:r>
      <w:r w:rsidR="00401E07" w:rsidRPr="002A3AAE">
        <w:rPr>
          <w:rFonts w:ascii="Times New Roman" w:hAnsi="Times New Roman"/>
        </w:rPr>
        <w:t xml:space="preserve">in many, if not most, cases where an applicant has been deprived of a chance to make submissions on a topic of relevance, </w:t>
      </w:r>
      <w:r w:rsidR="00EE04E1" w:rsidRPr="002A3AAE">
        <w:rPr>
          <w:rFonts w:ascii="Times New Roman" w:hAnsi="Times New Roman"/>
        </w:rPr>
        <w:t>"</w:t>
      </w:r>
      <w:r w:rsidR="00401E07" w:rsidRPr="002A3AAE">
        <w:rPr>
          <w:rFonts w:ascii="Times New Roman" w:hAnsi="Times New Roman"/>
        </w:rPr>
        <w:t>reasonable conject</w:t>
      </w:r>
      <w:r w:rsidR="00C82C2F" w:rsidRPr="002A3AAE">
        <w:rPr>
          <w:rFonts w:ascii="Times New Roman" w:hAnsi="Times New Roman"/>
        </w:rPr>
        <w:t>ur</w:t>
      </w:r>
      <w:r w:rsidR="00401E07" w:rsidRPr="002A3AAE">
        <w:rPr>
          <w:rFonts w:ascii="Times New Roman" w:hAnsi="Times New Roman"/>
        </w:rPr>
        <w:t>e</w:t>
      </w:r>
      <w:r w:rsidR="00A22F54" w:rsidRPr="002A3AAE">
        <w:rPr>
          <w:rFonts w:ascii="Times New Roman" w:hAnsi="Times New Roman"/>
        </w:rPr>
        <w:t xml:space="preserve">" </w:t>
      </w:r>
      <w:r w:rsidR="00401E07" w:rsidRPr="002A3AAE">
        <w:rPr>
          <w:rFonts w:ascii="Times New Roman" w:hAnsi="Times New Roman"/>
        </w:rPr>
        <w:t>from established facts about the decision</w:t>
      </w:r>
      <w:r w:rsidR="00F97F4E" w:rsidRPr="002A3AAE">
        <w:rPr>
          <w:rFonts w:ascii="Times New Roman" w:hAnsi="Times New Roman"/>
        </w:rPr>
        <w:t>-</w:t>
      </w:r>
      <w:r w:rsidR="00401E07" w:rsidRPr="002A3AAE">
        <w:rPr>
          <w:rFonts w:ascii="Times New Roman" w:hAnsi="Times New Roman"/>
        </w:rPr>
        <w:t xml:space="preserve">making process will readily show a reasonable possibility that the outcome </w:t>
      </w:r>
      <w:r w:rsidR="00980939" w:rsidRPr="002A3AAE">
        <w:rPr>
          <w:rFonts w:ascii="Times New Roman" w:hAnsi="Times New Roman"/>
        </w:rPr>
        <w:t>w</w:t>
      </w:r>
      <w:r w:rsidR="00401E07" w:rsidRPr="002A3AAE">
        <w:rPr>
          <w:rFonts w:ascii="Times New Roman" w:hAnsi="Times New Roman"/>
        </w:rPr>
        <w:t>ould have been different</w:t>
      </w:r>
      <w:r w:rsidR="00C031F0" w:rsidRPr="002A3AAE">
        <w:rPr>
          <w:rFonts w:ascii="Times New Roman" w:hAnsi="Times New Roman"/>
        </w:rPr>
        <w:t xml:space="preserve">. </w:t>
      </w:r>
      <w:r w:rsidR="00C82C2F" w:rsidRPr="002A3AAE">
        <w:rPr>
          <w:rFonts w:ascii="Times New Roman" w:hAnsi="Times New Roman"/>
        </w:rPr>
        <w:t>The Minister submitted that</w:t>
      </w:r>
      <w:r w:rsidR="007D2532" w:rsidRPr="002A3AAE">
        <w:rPr>
          <w:rFonts w:ascii="Times New Roman" w:hAnsi="Times New Roman"/>
        </w:rPr>
        <w:t xml:space="preserve">, because of the "quite particular circumstances" of this case, the appellant was required to adduce evidence of how </w:t>
      </w:r>
      <w:r w:rsidR="007B63DE" w:rsidRPr="002A3AAE">
        <w:rPr>
          <w:rFonts w:ascii="Times New Roman" w:hAnsi="Times New Roman"/>
        </w:rPr>
        <w:t>the question of domestic violence could have been addressed by him or his wife in further material.</w:t>
      </w:r>
      <w:r w:rsidR="00C82C2F" w:rsidRPr="002A3AAE">
        <w:rPr>
          <w:rFonts w:ascii="Times New Roman" w:hAnsi="Times New Roman"/>
        </w:rPr>
        <w:t xml:space="preserve"> </w:t>
      </w:r>
      <w:r w:rsidR="00504831" w:rsidRPr="002A3AAE">
        <w:rPr>
          <w:rFonts w:ascii="Times New Roman" w:hAnsi="Times New Roman"/>
        </w:rPr>
        <w:t xml:space="preserve">The "particular circumstances" were </w:t>
      </w:r>
      <w:r w:rsidR="00CD233A" w:rsidRPr="002A3AAE">
        <w:rPr>
          <w:rFonts w:ascii="Times New Roman" w:hAnsi="Times New Roman"/>
        </w:rPr>
        <w:t xml:space="preserve">said to be </w:t>
      </w:r>
      <w:r w:rsidR="00504831" w:rsidRPr="002A3AAE">
        <w:rPr>
          <w:rFonts w:ascii="Times New Roman" w:hAnsi="Times New Roman"/>
        </w:rPr>
        <w:t>that the topic of domestic violence had already been addressed in the</w:t>
      </w:r>
      <w:r w:rsidR="007709CB" w:rsidRPr="002A3AAE">
        <w:rPr>
          <w:rFonts w:ascii="Times New Roman" w:hAnsi="Times New Roman"/>
        </w:rPr>
        <w:t xml:space="preserve"> evidence to some degree, albeit in relation to a different issue.</w:t>
      </w:r>
    </w:p>
    <w:p w14:paraId="13E7E205" w14:textId="26E3959A" w:rsidR="000C3C1C" w:rsidRPr="002A3AAE" w:rsidRDefault="00B902C9"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0C3C1C" w:rsidRPr="002A3AAE">
        <w:rPr>
          <w:rFonts w:ascii="Times New Roman" w:hAnsi="Times New Roman"/>
        </w:rPr>
        <w:t xml:space="preserve">Further, the Minister accepted that if, </w:t>
      </w:r>
      <w:r w:rsidR="00855B40" w:rsidRPr="002A3AAE">
        <w:rPr>
          <w:rFonts w:ascii="Times New Roman" w:hAnsi="Times New Roman"/>
        </w:rPr>
        <w:t>when the Minister sought to rely on the material about domestic violence in connection with the consideration of protection of the Australian community, the appellant had been invited to address that new issue by way of further evidence or submissions, the appellant would</w:t>
      </w:r>
      <w:r w:rsidR="00F33FC8" w:rsidRPr="002A3AAE">
        <w:rPr>
          <w:rFonts w:ascii="Times New Roman" w:hAnsi="Times New Roman"/>
        </w:rPr>
        <w:t xml:space="preserve"> have</w:t>
      </w:r>
      <w:r w:rsidR="00855B40" w:rsidRPr="002A3AAE">
        <w:rPr>
          <w:rFonts w:ascii="Times New Roman" w:hAnsi="Times New Roman"/>
        </w:rPr>
        <w:t xml:space="preserve"> taken that opportunity to address the new issue by leading evidence and</w:t>
      </w:r>
      <w:r w:rsidR="00246286" w:rsidRPr="002A3AAE">
        <w:rPr>
          <w:rFonts w:ascii="Times New Roman" w:hAnsi="Times New Roman"/>
        </w:rPr>
        <w:t>/</w:t>
      </w:r>
      <w:r w:rsidR="00855B40" w:rsidRPr="002A3AAE">
        <w:rPr>
          <w:rFonts w:ascii="Times New Roman" w:hAnsi="Times New Roman"/>
        </w:rPr>
        <w:t xml:space="preserve">or presenting submissions to the Tribunal. </w:t>
      </w:r>
    </w:p>
    <w:p w14:paraId="736305D6" w14:textId="5A71910E" w:rsidR="00290762" w:rsidRPr="002A3AAE" w:rsidRDefault="00B902C9"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155E66" w:rsidRPr="002A3AAE">
        <w:rPr>
          <w:rFonts w:ascii="Times New Roman" w:hAnsi="Times New Roman"/>
        </w:rPr>
        <w:t xml:space="preserve">It </w:t>
      </w:r>
      <w:r w:rsidR="008E20E0" w:rsidRPr="002A3AAE">
        <w:rPr>
          <w:rFonts w:ascii="Times New Roman" w:hAnsi="Times New Roman"/>
        </w:rPr>
        <w:t>may be accepted that,</w:t>
      </w:r>
      <w:r w:rsidR="00155E66" w:rsidRPr="002A3AAE">
        <w:rPr>
          <w:rFonts w:ascii="Times New Roman" w:hAnsi="Times New Roman"/>
        </w:rPr>
        <w:t xml:space="preserve"> the </w:t>
      </w:r>
      <w:r w:rsidR="00814FFD" w:rsidRPr="002A3AAE">
        <w:rPr>
          <w:rFonts w:ascii="Times New Roman" w:hAnsi="Times New Roman"/>
        </w:rPr>
        <w:t xml:space="preserve">Minister having raised </w:t>
      </w:r>
      <w:r w:rsidR="00F33FC8" w:rsidRPr="002A3AAE">
        <w:rPr>
          <w:rFonts w:ascii="Times New Roman" w:hAnsi="Times New Roman"/>
        </w:rPr>
        <w:t xml:space="preserve">the </w:t>
      </w:r>
      <w:r w:rsidR="00A42049" w:rsidRPr="002A3AAE">
        <w:rPr>
          <w:rFonts w:ascii="Times New Roman" w:hAnsi="Times New Roman"/>
        </w:rPr>
        <w:t xml:space="preserve">issue of domestic violence by the appellant </w:t>
      </w:r>
      <w:r w:rsidR="00D85A73" w:rsidRPr="002A3AAE">
        <w:rPr>
          <w:rFonts w:ascii="Times New Roman" w:hAnsi="Times New Roman"/>
        </w:rPr>
        <w:t>as it affected</w:t>
      </w:r>
      <w:r w:rsidR="00CB7534" w:rsidRPr="002A3AAE">
        <w:rPr>
          <w:rFonts w:ascii="Times New Roman" w:hAnsi="Times New Roman"/>
        </w:rPr>
        <w:t xml:space="preserve"> the </w:t>
      </w:r>
      <w:r w:rsidR="008E20E0" w:rsidRPr="002A3AAE">
        <w:rPr>
          <w:rFonts w:ascii="Times New Roman" w:hAnsi="Times New Roman"/>
        </w:rPr>
        <w:t xml:space="preserve">best interests of the appellant's children, </w:t>
      </w:r>
      <w:r w:rsidR="00F54F28" w:rsidRPr="002A3AAE">
        <w:rPr>
          <w:rFonts w:ascii="Times New Roman" w:hAnsi="Times New Roman"/>
        </w:rPr>
        <w:t xml:space="preserve">the appellant had strong reasons to rebut the material </w:t>
      </w:r>
      <w:r w:rsidR="004A03AA" w:rsidRPr="002A3AAE">
        <w:rPr>
          <w:rFonts w:ascii="Times New Roman" w:hAnsi="Times New Roman"/>
        </w:rPr>
        <w:t xml:space="preserve">before the Tribunal on that issue, </w:t>
      </w:r>
      <w:r w:rsidR="00401DF7" w:rsidRPr="002A3AAE">
        <w:rPr>
          <w:rFonts w:ascii="Times New Roman" w:hAnsi="Times New Roman"/>
        </w:rPr>
        <w:t>to the extent that he could</w:t>
      </w:r>
      <w:r w:rsidR="004A03AA" w:rsidRPr="002A3AAE">
        <w:rPr>
          <w:rFonts w:ascii="Times New Roman" w:hAnsi="Times New Roman"/>
        </w:rPr>
        <w:t>,</w:t>
      </w:r>
      <w:r w:rsidR="00290762" w:rsidRPr="002A3AAE">
        <w:rPr>
          <w:rFonts w:ascii="Times New Roman" w:hAnsi="Times New Roman"/>
        </w:rPr>
        <w:t xml:space="preserve"> or otherwise to negate or minimise its significance</w:t>
      </w:r>
      <w:r w:rsidR="00456D3D" w:rsidRPr="002A3AAE">
        <w:rPr>
          <w:rFonts w:ascii="Times New Roman" w:hAnsi="Times New Roman"/>
        </w:rPr>
        <w:t xml:space="preserve"> in relation to that </w:t>
      </w:r>
      <w:r w:rsidR="00CB7534" w:rsidRPr="002A3AAE">
        <w:rPr>
          <w:rFonts w:ascii="Times New Roman" w:hAnsi="Times New Roman"/>
        </w:rPr>
        <w:t>consideration</w:t>
      </w:r>
      <w:r w:rsidR="00290762" w:rsidRPr="002A3AAE">
        <w:rPr>
          <w:rFonts w:ascii="Times New Roman" w:hAnsi="Times New Roman"/>
        </w:rPr>
        <w:t>.</w:t>
      </w:r>
      <w:r w:rsidR="002D0738" w:rsidRPr="002A3AAE">
        <w:rPr>
          <w:rFonts w:ascii="Times New Roman" w:hAnsi="Times New Roman"/>
        </w:rPr>
        <w:t xml:space="preserve"> It may also be accepted that the appellant addressed the issue </w:t>
      </w:r>
      <w:r w:rsidR="004409E5" w:rsidRPr="002A3AAE">
        <w:rPr>
          <w:rFonts w:ascii="Times New Roman" w:hAnsi="Times New Roman"/>
        </w:rPr>
        <w:t xml:space="preserve">raised by the Minister by providing the wife's letter to the Tribunal. </w:t>
      </w:r>
      <w:r w:rsidR="00587122" w:rsidRPr="002A3AAE">
        <w:rPr>
          <w:rFonts w:ascii="Times New Roman" w:hAnsi="Times New Roman"/>
        </w:rPr>
        <w:t>It is reasonable to infer that the letter was prepared in response to the police reports</w:t>
      </w:r>
      <w:r w:rsidR="00E67C15" w:rsidRPr="002A3AAE">
        <w:rPr>
          <w:rFonts w:ascii="Times New Roman" w:hAnsi="Times New Roman"/>
        </w:rPr>
        <w:t xml:space="preserve"> obtained by the Minister under summons</w:t>
      </w:r>
      <w:r w:rsidR="00587122" w:rsidRPr="002A3AAE">
        <w:rPr>
          <w:rFonts w:ascii="Times New Roman" w:hAnsi="Times New Roman"/>
        </w:rPr>
        <w:t>.</w:t>
      </w:r>
      <w:r w:rsidR="00D80AE4" w:rsidRPr="002A3AAE">
        <w:rPr>
          <w:rFonts w:ascii="Times New Roman" w:hAnsi="Times New Roman"/>
        </w:rPr>
        <w:t xml:space="preserve"> It may also be accepted that the appellant was afforded an opportunity to address the </w:t>
      </w:r>
      <w:r w:rsidR="00CD0698" w:rsidRPr="002A3AAE">
        <w:rPr>
          <w:rFonts w:ascii="Times New Roman" w:hAnsi="Times New Roman"/>
        </w:rPr>
        <w:t xml:space="preserve">issue raised </w:t>
      </w:r>
      <w:r w:rsidR="00FB54D4" w:rsidRPr="002A3AAE">
        <w:rPr>
          <w:rFonts w:ascii="Times New Roman" w:hAnsi="Times New Roman"/>
        </w:rPr>
        <w:t xml:space="preserve">by the Minister through </w:t>
      </w:r>
      <w:r w:rsidR="004F4E0D" w:rsidRPr="002A3AAE">
        <w:rPr>
          <w:rFonts w:ascii="Times New Roman" w:hAnsi="Times New Roman"/>
        </w:rPr>
        <w:t>cross-examination and questions from the Tribunal at the hearing.</w:t>
      </w:r>
      <w:r w:rsidR="006B5799" w:rsidRPr="002A3AAE">
        <w:rPr>
          <w:rFonts w:ascii="Times New Roman" w:hAnsi="Times New Roman"/>
        </w:rPr>
        <w:t xml:space="preserve"> Further, it may be accepted</w:t>
      </w:r>
      <w:r w:rsidR="00953F91" w:rsidRPr="002A3AAE">
        <w:rPr>
          <w:rFonts w:ascii="Times New Roman" w:hAnsi="Times New Roman"/>
        </w:rPr>
        <w:t>, given that the appellant accepted the correctness of the police re</w:t>
      </w:r>
      <w:r w:rsidR="00221392" w:rsidRPr="002A3AAE">
        <w:rPr>
          <w:rFonts w:ascii="Times New Roman" w:hAnsi="Times New Roman"/>
        </w:rPr>
        <w:t>ports</w:t>
      </w:r>
      <w:r w:rsidR="00953F91" w:rsidRPr="002A3AAE">
        <w:rPr>
          <w:rFonts w:ascii="Times New Roman" w:hAnsi="Times New Roman"/>
        </w:rPr>
        <w:t xml:space="preserve">, that </w:t>
      </w:r>
      <w:r w:rsidR="00371DEC" w:rsidRPr="002A3AAE">
        <w:rPr>
          <w:rFonts w:ascii="Times New Roman" w:hAnsi="Times New Roman"/>
        </w:rPr>
        <w:t xml:space="preserve">it is extremely unlikely that </w:t>
      </w:r>
      <w:r w:rsidR="007436E8" w:rsidRPr="002A3AAE">
        <w:rPr>
          <w:rFonts w:ascii="Times New Roman" w:hAnsi="Times New Roman"/>
        </w:rPr>
        <w:t xml:space="preserve">the appellant could have said or done anything to avoid findings that </w:t>
      </w:r>
      <w:r w:rsidR="00953F91" w:rsidRPr="002A3AAE">
        <w:rPr>
          <w:rFonts w:ascii="Times New Roman" w:hAnsi="Times New Roman"/>
        </w:rPr>
        <w:t xml:space="preserve">the </w:t>
      </w:r>
      <w:r w:rsidR="00967A76" w:rsidRPr="002A3AAE">
        <w:rPr>
          <w:rFonts w:ascii="Times New Roman" w:hAnsi="Times New Roman"/>
        </w:rPr>
        <w:t xml:space="preserve">two incidents of domestic violence </w:t>
      </w:r>
      <w:r w:rsidR="00371DEC" w:rsidRPr="002A3AAE">
        <w:rPr>
          <w:rFonts w:ascii="Times New Roman" w:hAnsi="Times New Roman"/>
        </w:rPr>
        <w:t>described in those re</w:t>
      </w:r>
      <w:r w:rsidR="00221392" w:rsidRPr="002A3AAE">
        <w:rPr>
          <w:rFonts w:ascii="Times New Roman" w:hAnsi="Times New Roman"/>
        </w:rPr>
        <w:t>ports</w:t>
      </w:r>
      <w:r w:rsidR="008D4D17" w:rsidRPr="002A3AAE">
        <w:rPr>
          <w:rFonts w:ascii="Times New Roman" w:hAnsi="Times New Roman"/>
        </w:rPr>
        <w:t xml:space="preserve"> </w:t>
      </w:r>
      <w:r w:rsidR="00371DEC" w:rsidRPr="002A3AAE">
        <w:rPr>
          <w:rFonts w:ascii="Times New Roman" w:hAnsi="Times New Roman"/>
        </w:rPr>
        <w:t xml:space="preserve">did </w:t>
      </w:r>
      <w:r w:rsidR="007436E8" w:rsidRPr="002A3AAE">
        <w:rPr>
          <w:rFonts w:ascii="Times New Roman" w:hAnsi="Times New Roman"/>
        </w:rPr>
        <w:t>occur.</w:t>
      </w:r>
    </w:p>
    <w:p w14:paraId="353CC184" w14:textId="5A72E8A8" w:rsidR="00C6256C" w:rsidRPr="002A3AAE" w:rsidRDefault="00B902C9"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FC2B8E" w:rsidRPr="002A3AAE">
        <w:rPr>
          <w:rFonts w:ascii="Times New Roman" w:hAnsi="Times New Roman"/>
        </w:rPr>
        <w:t xml:space="preserve">As the Minister put it, </w:t>
      </w:r>
      <w:r w:rsidR="00201E86" w:rsidRPr="002A3AAE">
        <w:rPr>
          <w:rFonts w:ascii="Times New Roman" w:hAnsi="Times New Roman"/>
        </w:rPr>
        <w:t xml:space="preserve">had the appellant been afforded procedural fairness, the best he </w:t>
      </w:r>
      <w:r w:rsidR="009A110A" w:rsidRPr="002A3AAE">
        <w:rPr>
          <w:rFonts w:ascii="Times New Roman" w:hAnsi="Times New Roman"/>
        </w:rPr>
        <w:t xml:space="preserve">probably </w:t>
      </w:r>
      <w:r w:rsidR="00201E86" w:rsidRPr="002A3AAE">
        <w:rPr>
          <w:rFonts w:ascii="Times New Roman" w:hAnsi="Times New Roman"/>
        </w:rPr>
        <w:t xml:space="preserve">could have done was to </w:t>
      </w:r>
      <w:r w:rsidR="008D0731" w:rsidRPr="002A3AAE">
        <w:rPr>
          <w:rFonts w:ascii="Times New Roman" w:hAnsi="Times New Roman"/>
        </w:rPr>
        <w:t xml:space="preserve">place the domestic violence incidents in </w:t>
      </w:r>
      <w:r w:rsidR="00956C12" w:rsidRPr="002A3AAE">
        <w:rPr>
          <w:rFonts w:ascii="Times New Roman" w:hAnsi="Times New Roman"/>
        </w:rPr>
        <w:t xml:space="preserve">some context that might have persuaded the Tribunal that they were less serious than they appeared from the police reports or otherwise </w:t>
      </w:r>
      <w:r w:rsidR="008648F7" w:rsidRPr="002A3AAE">
        <w:rPr>
          <w:rFonts w:ascii="Times New Roman" w:hAnsi="Times New Roman"/>
        </w:rPr>
        <w:t xml:space="preserve">that they should not be viewed "very seriously" in </w:t>
      </w:r>
      <w:r w:rsidR="00D90095" w:rsidRPr="002A3AAE">
        <w:rPr>
          <w:rFonts w:ascii="Times New Roman" w:hAnsi="Times New Roman"/>
        </w:rPr>
        <w:t>connection with the consideration of protection of the Australian community</w:t>
      </w:r>
      <w:r w:rsidR="008A3EA3" w:rsidRPr="002A3AAE">
        <w:rPr>
          <w:rFonts w:ascii="Times New Roman" w:hAnsi="Times New Roman"/>
        </w:rPr>
        <w:t xml:space="preserve">. The Minister argued that </w:t>
      </w:r>
      <w:r w:rsidR="006B4E3B" w:rsidRPr="002A3AAE">
        <w:rPr>
          <w:rFonts w:ascii="Times New Roman" w:hAnsi="Times New Roman"/>
        </w:rPr>
        <w:t>this possibility was immaterial because the incidents</w:t>
      </w:r>
      <w:r w:rsidR="00111485" w:rsidRPr="002A3AAE">
        <w:rPr>
          <w:rFonts w:ascii="Times New Roman" w:hAnsi="Times New Roman"/>
        </w:rPr>
        <w:t>, as recorded in the police reports and explored in cross-</w:t>
      </w:r>
      <w:r w:rsidR="00111485" w:rsidRPr="002A3AAE">
        <w:rPr>
          <w:rFonts w:ascii="Times New Roman" w:hAnsi="Times New Roman"/>
        </w:rPr>
        <w:lastRenderedPageBreak/>
        <w:t>examination,</w:t>
      </w:r>
      <w:r w:rsidR="006B4E3B" w:rsidRPr="002A3AAE">
        <w:rPr>
          <w:rFonts w:ascii="Times New Roman" w:hAnsi="Times New Roman"/>
        </w:rPr>
        <w:t xml:space="preserve"> were objectively serious</w:t>
      </w:r>
      <w:r w:rsidR="00111485" w:rsidRPr="002A3AAE">
        <w:rPr>
          <w:rFonts w:ascii="Times New Roman" w:hAnsi="Times New Roman"/>
        </w:rPr>
        <w:t>; the wife's letter already sought to contextualise the appellant'</w:t>
      </w:r>
      <w:r w:rsidR="00C6256C" w:rsidRPr="002A3AAE">
        <w:rPr>
          <w:rFonts w:ascii="Times New Roman" w:hAnsi="Times New Roman"/>
        </w:rPr>
        <w:t xml:space="preserve">s conduct and </w:t>
      </w:r>
      <w:r w:rsidR="00117F91" w:rsidRPr="002A3AAE">
        <w:rPr>
          <w:rFonts w:ascii="Times New Roman" w:hAnsi="Times New Roman"/>
        </w:rPr>
        <w:t xml:space="preserve">to </w:t>
      </w:r>
      <w:r w:rsidR="00C6256C" w:rsidRPr="002A3AAE">
        <w:rPr>
          <w:rFonts w:ascii="Times New Roman" w:hAnsi="Times New Roman"/>
        </w:rPr>
        <w:t>stress their mutual commitment to their relationship</w:t>
      </w:r>
      <w:r w:rsidR="00EA4C1A" w:rsidRPr="002A3AAE">
        <w:rPr>
          <w:rFonts w:ascii="Times New Roman" w:hAnsi="Times New Roman"/>
        </w:rPr>
        <w:t xml:space="preserve">; and the appellant's case was that he was remorseful for everything he had done and was a </w:t>
      </w:r>
      <w:r w:rsidR="00A17FEC" w:rsidRPr="002A3AAE">
        <w:rPr>
          <w:rFonts w:ascii="Times New Roman" w:hAnsi="Times New Roman"/>
        </w:rPr>
        <w:t>"</w:t>
      </w:r>
      <w:r w:rsidR="00EA4C1A" w:rsidRPr="002A3AAE">
        <w:rPr>
          <w:rFonts w:ascii="Times New Roman" w:hAnsi="Times New Roman"/>
        </w:rPr>
        <w:t>changed man</w:t>
      </w:r>
      <w:r w:rsidR="00A17FEC" w:rsidRPr="002A3AAE">
        <w:rPr>
          <w:rFonts w:ascii="Times New Roman" w:hAnsi="Times New Roman"/>
        </w:rPr>
        <w:t>"</w:t>
      </w:r>
      <w:r w:rsidR="00C6256C" w:rsidRPr="002A3AAE">
        <w:rPr>
          <w:rFonts w:ascii="Times New Roman" w:hAnsi="Times New Roman"/>
        </w:rPr>
        <w:t xml:space="preserve">. </w:t>
      </w:r>
    </w:p>
    <w:p w14:paraId="0B9FD8C9" w14:textId="585E5CD4" w:rsidR="003822F9" w:rsidRPr="002A3AAE" w:rsidRDefault="00B902C9"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8038F5" w:rsidRPr="002A3AAE">
        <w:rPr>
          <w:rFonts w:ascii="Times New Roman" w:hAnsi="Times New Roman"/>
        </w:rPr>
        <w:t xml:space="preserve">The Minister's argument must be rejected. As explained in </w:t>
      </w:r>
      <w:r w:rsidR="008038F5" w:rsidRPr="002A3AAE">
        <w:rPr>
          <w:rFonts w:ascii="Times New Roman" w:hAnsi="Times New Roman"/>
          <w:i/>
        </w:rPr>
        <w:t>MZAPC</w:t>
      </w:r>
      <w:r w:rsidR="008038F5" w:rsidRPr="002A3AAE">
        <w:rPr>
          <w:rFonts w:ascii="Times New Roman" w:hAnsi="Times New Roman"/>
          <w:iCs/>
        </w:rPr>
        <w:t>,</w:t>
      </w:r>
      <w:r w:rsidR="008038F5" w:rsidRPr="002A3AAE">
        <w:rPr>
          <w:rFonts w:ascii="Times New Roman" w:hAnsi="Times New Roman"/>
          <w:i/>
        </w:rPr>
        <w:t xml:space="preserve"> </w:t>
      </w:r>
      <w:r w:rsidR="008038F5" w:rsidRPr="002A3AAE">
        <w:rPr>
          <w:rFonts w:ascii="Times New Roman" w:hAnsi="Times New Roman"/>
        </w:rPr>
        <w:t xml:space="preserve">it is necessary to consider how the Tribunal's decision was in fact made. </w:t>
      </w:r>
      <w:r w:rsidR="005E7DDD" w:rsidRPr="002A3AAE">
        <w:rPr>
          <w:rFonts w:ascii="Times New Roman" w:hAnsi="Times New Roman"/>
        </w:rPr>
        <w:t xml:space="preserve">That decision was made by weighing </w:t>
      </w:r>
      <w:r w:rsidR="000C1968" w:rsidRPr="002A3AAE">
        <w:rPr>
          <w:rFonts w:ascii="Times New Roman" w:hAnsi="Times New Roman"/>
        </w:rPr>
        <w:t>the</w:t>
      </w:r>
      <w:r w:rsidR="005E7DDD" w:rsidRPr="002A3AAE">
        <w:rPr>
          <w:rFonts w:ascii="Times New Roman" w:hAnsi="Times New Roman"/>
        </w:rPr>
        <w:t xml:space="preserve"> range of considerations</w:t>
      </w:r>
      <w:r w:rsidR="000C1968" w:rsidRPr="002A3AAE">
        <w:rPr>
          <w:rFonts w:ascii="Times New Roman" w:hAnsi="Times New Roman"/>
        </w:rPr>
        <w:t xml:space="preserve"> in </w:t>
      </w:r>
      <w:r w:rsidR="006C6062" w:rsidRPr="002A3AAE">
        <w:rPr>
          <w:rFonts w:ascii="Times New Roman" w:hAnsi="Times New Roman"/>
        </w:rPr>
        <w:t xml:space="preserve">Ministerial </w:t>
      </w:r>
      <w:r w:rsidR="000C1968" w:rsidRPr="002A3AAE">
        <w:rPr>
          <w:rFonts w:ascii="Times New Roman" w:hAnsi="Times New Roman"/>
        </w:rPr>
        <w:t>Direction 79 that were of relevance to the appellant</w:t>
      </w:r>
      <w:r w:rsidR="00B05E28" w:rsidRPr="002A3AAE">
        <w:rPr>
          <w:rFonts w:ascii="Times New Roman" w:hAnsi="Times New Roman"/>
        </w:rPr>
        <w:t xml:space="preserve">, following an evaluation of </w:t>
      </w:r>
      <w:r w:rsidR="00C80E96" w:rsidRPr="002A3AAE">
        <w:rPr>
          <w:rFonts w:ascii="Times New Roman" w:hAnsi="Times New Roman"/>
        </w:rPr>
        <w:t xml:space="preserve">the appellant's history, </w:t>
      </w:r>
      <w:proofErr w:type="gramStart"/>
      <w:r w:rsidR="00C80E96" w:rsidRPr="002A3AAE">
        <w:rPr>
          <w:rFonts w:ascii="Times New Roman" w:hAnsi="Times New Roman"/>
        </w:rPr>
        <w:t>circumstances</w:t>
      </w:r>
      <w:proofErr w:type="gramEnd"/>
      <w:r w:rsidR="00C80E96" w:rsidRPr="002A3AAE">
        <w:rPr>
          <w:rFonts w:ascii="Times New Roman" w:hAnsi="Times New Roman"/>
        </w:rPr>
        <w:t xml:space="preserve"> and prospects as appropriate</w:t>
      </w:r>
      <w:r w:rsidR="00397F66" w:rsidRPr="002A3AAE">
        <w:rPr>
          <w:rFonts w:ascii="Times New Roman" w:hAnsi="Times New Roman"/>
        </w:rPr>
        <w:t>,</w:t>
      </w:r>
      <w:r w:rsidR="006D7CE6" w:rsidRPr="002A3AAE">
        <w:rPr>
          <w:rFonts w:ascii="Times New Roman" w:hAnsi="Times New Roman"/>
        </w:rPr>
        <w:t xml:space="preserve"> in order to make findings about each of those consideration</w:t>
      </w:r>
      <w:r w:rsidR="007A399E" w:rsidRPr="002A3AAE">
        <w:rPr>
          <w:rFonts w:ascii="Times New Roman" w:hAnsi="Times New Roman"/>
        </w:rPr>
        <w:t>s</w:t>
      </w:r>
      <w:r w:rsidR="006D7CE6" w:rsidRPr="002A3AAE">
        <w:rPr>
          <w:rFonts w:ascii="Times New Roman" w:hAnsi="Times New Roman"/>
        </w:rPr>
        <w:t>.</w:t>
      </w:r>
      <w:r w:rsidR="00ED2761" w:rsidRPr="002A3AAE">
        <w:rPr>
          <w:rFonts w:ascii="Times New Roman" w:hAnsi="Times New Roman"/>
        </w:rPr>
        <w:t xml:space="preserve"> </w:t>
      </w:r>
      <w:r w:rsidR="00093668" w:rsidRPr="002A3AAE">
        <w:rPr>
          <w:rFonts w:ascii="Times New Roman" w:hAnsi="Times New Roman"/>
        </w:rPr>
        <w:t xml:space="preserve">In that context, additional evidence and submissions </w:t>
      </w:r>
      <w:r w:rsidR="00474AC6" w:rsidRPr="002A3AAE">
        <w:rPr>
          <w:rFonts w:ascii="Times New Roman" w:hAnsi="Times New Roman"/>
        </w:rPr>
        <w:t xml:space="preserve">directed to mitigating the </w:t>
      </w:r>
      <w:r w:rsidR="004F0404" w:rsidRPr="002A3AAE">
        <w:rPr>
          <w:rFonts w:ascii="Times New Roman" w:hAnsi="Times New Roman"/>
        </w:rPr>
        <w:t xml:space="preserve">significance of the evidence of domestic violence </w:t>
      </w:r>
      <w:r w:rsidR="00474AC6" w:rsidRPr="002A3AAE">
        <w:rPr>
          <w:rFonts w:ascii="Times New Roman" w:hAnsi="Times New Roman"/>
        </w:rPr>
        <w:t xml:space="preserve">could realistically have affected the Tribunal's evaluative fact finding </w:t>
      </w:r>
      <w:r w:rsidR="00DA0995" w:rsidRPr="002A3AAE">
        <w:rPr>
          <w:rFonts w:ascii="Times New Roman" w:hAnsi="Times New Roman"/>
        </w:rPr>
        <w:t xml:space="preserve">concerning the nature and seriousness of the appellant's </w:t>
      </w:r>
      <w:r w:rsidR="004A2890" w:rsidRPr="002A3AAE">
        <w:rPr>
          <w:rFonts w:ascii="Times New Roman" w:hAnsi="Times New Roman"/>
        </w:rPr>
        <w:t>conduct</w:t>
      </w:r>
      <w:r w:rsidR="00DA0995" w:rsidRPr="002A3AAE">
        <w:rPr>
          <w:rFonts w:ascii="Times New Roman" w:hAnsi="Times New Roman"/>
        </w:rPr>
        <w:t xml:space="preserve"> </w:t>
      </w:r>
      <w:r w:rsidR="00474AC6" w:rsidRPr="002A3AAE">
        <w:rPr>
          <w:rFonts w:ascii="Times New Roman" w:hAnsi="Times New Roman"/>
        </w:rPr>
        <w:t xml:space="preserve">and, ultimately, the outcome of the Tribunal's review. </w:t>
      </w:r>
      <w:r w:rsidR="00404848" w:rsidRPr="002A3AAE">
        <w:rPr>
          <w:rFonts w:ascii="Times New Roman" w:hAnsi="Times New Roman"/>
        </w:rPr>
        <w:t>There was no need for the appellant to establish the nature of any additional evidence or submissions that might have been presented at the Tribunal hearing, had that hearing been procedurally fair</w:t>
      </w:r>
      <w:r w:rsidR="00875BD6" w:rsidRPr="002A3AAE">
        <w:rPr>
          <w:rFonts w:ascii="Times New Roman" w:hAnsi="Times New Roman"/>
        </w:rPr>
        <w:t xml:space="preserve">. </w:t>
      </w:r>
      <w:r w:rsidR="002907FC" w:rsidRPr="002A3AAE">
        <w:rPr>
          <w:rFonts w:ascii="Times New Roman" w:hAnsi="Times New Roman"/>
        </w:rPr>
        <w:t xml:space="preserve">As a matter of reasonable conjecture, </w:t>
      </w:r>
      <w:r w:rsidR="00906438" w:rsidRPr="002A3AAE">
        <w:rPr>
          <w:rFonts w:ascii="Times New Roman" w:hAnsi="Times New Roman"/>
        </w:rPr>
        <w:t xml:space="preserve">and as </w:t>
      </w:r>
      <w:proofErr w:type="spellStart"/>
      <w:r w:rsidR="00906438" w:rsidRPr="002A3AAE">
        <w:rPr>
          <w:rFonts w:ascii="Times New Roman" w:hAnsi="Times New Roman"/>
        </w:rPr>
        <w:t>Wigney</w:t>
      </w:r>
      <w:proofErr w:type="spellEnd"/>
      <w:r w:rsidR="00906438" w:rsidRPr="002A3AAE">
        <w:rPr>
          <w:rFonts w:ascii="Times New Roman" w:hAnsi="Times New Roman"/>
        </w:rPr>
        <w:t xml:space="preserve"> J reasoned, </w:t>
      </w:r>
      <w:r w:rsidR="003C2C51" w:rsidRPr="002A3AAE">
        <w:rPr>
          <w:rFonts w:ascii="Times New Roman" w:hAnsi="Times New Roman"/>
        </w:rPr>
        <w:t xml:space="preserve">the appellant may have been able to present evidence </w:t>
      </w:r>
      <w:r w:rsidR="002E471E" w:rsidRPr="002A3AAE">
        <w:rPr>
          <w:rFonts w:ascii="Times New Roman" w:hAnsi="Times New Roman"/>
        </w:rPr>
        <w:t xml:space="preserve">on his own behalf </w:t>
      </w:r>
      <w:r w:rsidR="00951B27" w:rsidRPr="002A3AAE">
        <w:rPr>
          <w:rFonts w:ascii="Times New Roman" w:hAnsi="Times New Roman"/>
        </w:rPr>
        <w:t>or</w:t>
      </w:r>
      <w:r w:rsidR="002E471E" w:rsidRPr="002A3AAE">
        <w:rPr>
          <w:rFonts w:ascii="Times New Roman" w:hAnsi="Times New Roman"/>
        </w:rPr>
        <w:t xml:space="preserve"> from his wife, </w:t>
      </w:r>
      <w:r w:rsidR="0003309C" w:rsidRPr="002A3AAE">
        <w:rPr>
          <w:rFonts w:ascii="Times New Roman" w:hAnsi="Times New Roman"/>
        </w:rPr>
        <w:t>and to make</w:t>
      </w:r>
      <w:r w:rsidR="003C2C51" w:rsidRPr="002A3AAE">
        <w:rPr>
          <w:rFonts w:ascii="Times New Roman" w:hAnsi="Times New Roman"/>
        </w:rPr>
        <w:t xml:space="preserve"> submissions that </w:t>
      </w:r>
      <w:r w:rsidR="00693BD5" w:rsidRPr="002A3AAE">
        <w:rPr>
          <w:rFonts w:ascii="Times New Roman" w:hAnsi="Times New Roman"/>
        </w:rPr>
        <w:t xml:space="preserve">could have led to a </w:t>
      </w:r>
      <w:r w:rsidR="002210D0" w:rsidRPr="002A3AAE">
        <w:rPr>
          <w:rFonts w:ascii="Times New Roman" w:hAnsi="Times New Roman"/>
        </w:rPr>
        <w:t>different characterisation by the Tribunal of the nature of the appellant's offending</w:t>
      </w:r>
      <w:r w:rsidR="002935FD" w:rsidRPr="002A3AAE">
        <w:rPr>
          <w:rFonts w:ascii="Times New Roman" w:hAnsi="Times New Roman"/>
        </w:rPr>
        <w:t xml:space="preserve">. </w:t>
      </w:r>
      <w:r w:rsidR="008C4B8B" w:rsidRPr="002A3AAE">
        <w:rPr>
          <w:rFonts w:ascii="Times New Roman" w:hAnsi="Times New Roman"/>
        </w:rPr>
        <w:t>That evidence</w:t>
      </w:r>
      <w:r w:rsidR="006D0CC6" w:rsidRPr="002A3AAE">
        <w:rPr>
          <w:rFonts w:ascii="Times New Roman" w:hAnsi="Times New Roman"/>
        </w:rPr>
        <w:t xml:space="preserve"> and those submissions may have provided more detail about the domestic violence incidents, placing them in</w:t>
      </w:r>
      <w:r w:rsidR="008025AA" w:rsidRPr="002A3AAE">
        <w:rPr>
          <w:rFonts w:ascii="Times New Roman" w:hAnsi="Times New Roman"/>
        </w:rPr>
        <w:t xml:space="preserve"> the</w:t>
      </w:r>
      <w:r w:rsidR="006D0CC6" w:rsidRPr="002A3AAE">
        <w:rPr>
          <w:rFonts w:ascii="Times New Roman" w:hAnsi="Times New Roman"/>
        </w:rPr>
        <w:t xml:space="preserve"> relevant context or </w:t>
      </w:r>
      <w:r w:rsidR="00CD6591" w:rsidRPr="002A3AAE">
        <w:rPr>
          <w:rFonts w:ascii="Times New Roman" w:hAnsi="Times New Roman"/>
        </w:rPr>
        <w:t xml:space="preserve">providing relevant detail. The possibility that the appellant could have </w:t>
      </w:r>
      <w:r w:rsidR="009048F4" w:rsidRPr="002A3AAE">
        <w:rPr>
          <w:rFonts w:ascii="Times New Roman" w:hAnsi="Times New Roman"/>
        </w:rPr>
        <w:t>presented</w:t>
      </w:r>
      <w:r w:rsidR="00CD6591" w:rsidRPr="002A3AAE">
        <w:rPr>
          <w:rFonts w:ascii="Times New Roman" w:hAnsi="Times New Roman"/>
        </w:rPr>
        <w:t xml:space="preserve"> more </w:t>
      </w:r>
      <w:r w:rsidR="009048F4" w:rsidRPr="002A3AAE">
        <w:rPr>
          <w:rFonts w:ascii="Times New Roman" w:hAnsi="Times New Roman"/>
        </w:rPr>
        <w:t xml:space="preserve">to the Tribunal </w:t>
      </w:r>
      <w:r w:rsidR="009F768B" w:rsidRPr="002A3AAE">
        <w:rPr>
          <w:rFonts w:ascii="Times New Roman" w:hAnsi="Times New Roman"/>
        </w:rPr>
        <w:t>about</w:t>
      </w:r>
      <w:r w:rsidR="00015588" w:rsidRPr="002A3AAE">
        <w:rPr>
          <w:rFonts w:ascii="Times New Roman" w:hAnsi="Times New Roman"/>
        </w:rPr>
        <w:t xml:space="preserve"> how the incidents were to be evaluated </w:t>
      </w:r>
      <w:r w:rsidR="00E415DB" w:rsidRPr="002A3AAE">
        <w:rPr>
          <w:rFonts w:ascii="Times New Roman" w:hAnsi="Times New Roman"/>
        </w:rPr>
        <w:t xml:space="preserve">could not be foreclosed by </w:t>
      </w:r>
      <w:r w:rsidR="009F768B" w:rsidRPr="002A3AAE">
        <w:rPr>
          <w:rFonts w:ascii="Times New Roman" w:hAnsi="Times New Roman"/>
        </w:rPr>
        <w:t>what was already before the Tribunal</w:t>
      </w:r>
      <w:r w:rsidR="00977E90" w:rsidRPr="002A3AAE">
        <w:rPr>
          <w:rFonts w:ascii="Times New Roman" w:hAnsi="Times New Roman"/>
        </w:rPr>
        <w:t xml:space="preserve">. </w:t>
      </w:r>
    </w:p>
    <w:p w14:paraId="41386A8F" w14:textId="0CF34864" w:rsidR="00094162" w:rsidRPr="002A3AAE" w:rsidRDefault="003C1206" w:rsidP="002A3AAE">
      <w:pPr>
        <w:pStyle w:val="HeadingL1"/>
        <w:spacing w:after="260" w:line="280" w:lineRule="exact"/>
        <w:ind w:right="0"/>
        <w:jc w:val="both"/>
        <w:rPr>
          <w:rFonts w:ascii="Times New Roman" w:hAnsi="Times New Roman"/>
        </w:rPr>
      </w:pPr>
      <w:r w:rsidRPr="002A3AAE">
        <w:rPr>
          <w:rFonts w:ascii="Times New Roman" w:hAnsi="Times New Roman"/>
        </w:rPr>
        <w:t>Orders</w:t>
      </w:r>
    </w:p>
    <w:p w14:paraId="47933097" w14:textId="77777777" w:rsidR="0042544D" w:rsidRDefault="00B902C9" w:rsidP="002A3AAE">
      <w:pPr>
        <w:pStyle w:val="FixListStyle"/>
        <w:spacing w:after="260" w:line="280" w:lineRule="exact"/>
        <w:ind w:right="0"/>
        <w:jc w:val="both"/>
        <w:rPr>
          <w:rFonts w:ascii="Times New Roman" w:hAnsi="Times New Roman"/>
        </w:rPr>
      </w:pPr>
      <w:r w:rsidRPr="002A3AAE">
        <w:rPr>
          <w:rFonts w:ascii="Times New Roman" w:hAnsi="Times New Roman"/>
        </w:rPr>
        <w:tab/>
      </w:r>
      <w:r w:rsidR="00890F14" w:rsidRPr="002A3AAE">
        <w:rPr>
          <w:rFonts w:ascii="Times New Roman" w:hAnsi="Times New Roman"/>
        </w:rPr>
        <w:t xml:space="preserve">The appeal should be </w:t>
      </w:r>
      <w:proofErr w:type="gramStart"/>
      <w:r w:rsidR="00890F14" w:rsidRPr="002A3AAE">
        <w:rPr>
          <w:rFonts w:ascii="Times New Roman" w:hAnsi="Times New Roman"/>
        </w:rPr>
        <w:t>allowed</w:t>
      </w:r>
      <w:proofErr w:type="gramEnd"/>
      <w:r w:rsidR="00A83195" w:rsidRPr="002A3AAE">
        <w:rPr>
          <w:rFonts w:ascii="Times New Roman" w:hAnsi="Times New Roman"/>
        </w:rPr>
        <w:t xml:space="preserve"> and the first respondent </w:t>
      </w:r>
      <w:r w:rsidR="0070399F" w:rsidRPr="002A3AAE">
        <w:rPr>
          <w:rFonts w:ascii="Times New Roman" w:hAnsi="Times New Roman"/>
        </w:rPr>
        <w:t>should pay the appellant's costs of the appeal</w:t>
      </w:r>
      <w:r w:rsidR="00890F14" w:rsidRPr="002A3AAE">
        <w:rPr>
          <w:rFonts w:ascii="Times New Roman" w:hAnsi="Times New Roman"/>
        </w:rPr>
        <w:t xml:space="preserve">. </w:t>
      </w:r>
      <w:r w:rsidR="008359E9" w:rsidRPr="002A3AAE">
        <w:rPr>
          <w:rFonts w:ascii="Times New Roman" w:hAnsi="Times New Roman"/>
        </w:rPr>
        <w:t xml:space="preserve">Orders 1 to 4 of the </w:t>
      </w:r>
      <w:r w:rsidR="00B3237C" w:rsidRPr="002A3AAE">
        <w:rPr>
          <w:rFonts w:ascii="Times New Roman" w:hAnsi="Times New Roman"/>
        </w:rPr>
        <w:t xml:space="preserve">Full Court of the </w:t>
      </w:r>
      <w:r w:rsidR="008359E9" w:rsidRPr="002A3AAE">
        <w:rPr>
          <w:rFonts w:ascii="Times New Roman" w:hAnsi="Times New Roman"/>
        </w:rPr>
        <w:t>Federal Court of Australia dated 9 October 2020 should be set aside and</w:t>
      </w:r>
      <w:r w:rsidR="00E956C7" w:rsidRPr="002A3AAE">
        <w:rPr>
          <w:rFonts w:ascii="Times New Roman" w:hAnsi="Times New Roman"/>
        </w:rPr>
        <w:t>,</w:t>
      </w:r>
      <w:r w:rsidR="008359E9" w:rsidRPr="002A3AAE">
        <w:rPr>
          <w:rFonts w:ascii="Times New Roman" w:hAnsi="Times New Roman"/>
        </w:rPr>
        <w:t xml:space="preserve"> in lieu thereof, it be ordered </w:t>
      </w:r>
      <w:r w:rsidR="00796CFC" w:rsidRPr="002A3AAE">
        <w:rPr>
          <w:rFonts w:ascii="Times New Roman" w:hAnsi="Times New Roman"/>
        </w:rPr>
        <w:t>that</w:t>
      </w:r>
      <w:r w:rsidR="0070399F" w:rsidRPr="002A3AAE">
        <w:rPr>
          <w:rFonts w:ascii="Times New Roman" w:hAnsi="Times New Roman"/>
        </w:rPr>
        <w:t>: (1)</w:t>
      </w:r>
      <w:r w:rsidR="00796CFC" w:rsidRPr="002A3AAE">
        <w:rPr>
          <w:rFonts w:ascii="Times New Roman" w:hAnsi="Times New Roman"/>
        </w:rPr>
        <w:t xml:space="preserve"> the </w:t>
      </w:r>
      <w:r w:rsidR="009D39DF" w:rsidRPr="002A3AAE">
        <w:rPr>
          <w:rFonts w:ascii="Times New Roman" w:hAnsi="Times New Roman"/>
        </w:rPr>
        <w:t xml:space="preserve">appeal to the Full Court of the Federal Court </w:t>
      </w:r>
      <w:r w:rsidR="00B566C0" w:rsidRPr="002A3AAE">
        <w:rPr>
          <w:rFonts w:ascii="Times New Roman" w:hAnsi="Times New Roman"/>
        </w:rPr>
        <w:t>of Australia</w:t>
      </w:r>
      <w:r w:rsidR="009D39DF" w:rsidRPr="002A3AAE">
        <w:rPr>
          <w:rFonts w:ascii="Times New Roman" w:hAnsi="Times New Roman"/>
        </w:rPr>
        <w:t xml:space="preserve"> be allowed</w:t>
      </w:r>
      <w:r w:rsidR="00DF4AC7" w:rsidRPr="002A3AAE">
        <w:rPr>
          <w:rFonts w:ascii="Times New Roman" w:hAnsi="Times New Roman"/>
        </w:rPr>
        <w:t>;</w:t>
      </w:r>
      <w:r w:rsidR="00DB0CC8" w:rsidRPr="002A3AAE">
        <w:rPr>
          <w:rFonts w:ascii="Times New Roman" w:hAnsi="Times New Roman"/>
        </w:rPr>
        <w:t xml:space="preserve"> </w:t>
      </w:r>
      <w:r w:rsidR="0070399F" w:rsidRPr="002A3AAE">
        <w:rPr>
          <w:rFonts w:ascii="Times New Roman" w:hAnsi="Times New Roman"/>
        </w:rPr>
        <w:t xml:space="preserve">(2) </w:t>
      </w:r>
      <w:r w:rsidR="009D39DF" w:rsidRPr="002A3AAE">
        <w:rPr>
          <w:rFonts w:ascii="Times New Roman" w:hAnsi="Times New Roman"/>
        </w:rPr>
        <w:t xml:space="preserve">the orders made by Colvin J </w:t>
      </w:r>
      <w:r w:rsidR="000520FB" w:rsidRPr="002A3AAE">
        <w:rPr>
          <w:rFonts w:ascii="Times New Roman" w:hAnsi="Times New Roman"/>
        </w:rPr>
        <w:t>dated 18 October 2019 be set aside and</w:t>
      </w:r>
      <w:r w:rsidR="00766E15" w:rsidRPr="002A3AAE">
        <w:rPr>
          <w:rFonts w:ascii="Times New Roman" w:hAnsi="Times New Roman"/>
        </w:rPr>
        <w:t>,</w:t>
      </w:r>
      <w:r w:rsidR="000520FB" w:rsidRPr="002A3AAE">
        <w:rPr>
          <w:rFonts w:ascii="Times New Roman" w:hAnsi="Times New Roman"/>
        </w:rPr>
        <w:t xml:space="preserve"> in lieu thereof</w:t>
      </w:r>
      <w:r w:rsidR="00766E15" w:rsidRPr="002A3AAE">
        <w:rPr>
          <w:rFonts w:ascii="Times New Roman" w:hAnsi="Times New Roman"/>
        </w:rPr>
        <w:t>,</w:t>
      </w:r>
      <w:r w:rsidR="000520FB" w:rsidRPr="002A3AAE">
        <w:rPr>
          <w:rFonts w:ascii="Times New Roman" w:hAnsi="Times New Roman"/>
        </w:rPr>
        <w:t xml:space="preserve"> it be order</w:t>
      </w:r>
      <w:r w:rsidR="00202158" w:rsidRPr="002A3AAE">
        <w:rPr>
          <w:rFonts w:ascii="Times New Roman" w:hAnsi="Times New Roman"/>
        </w:rPr>
        <w:t>ed</w:t>
      </w:r>
      <w:r w:rsidR="000520FB" w:rsidRPr="002A3AAE">
        <w:rPr>
          <w:rFonts w:ascii="Times New Roman" w:hAnsi="Times New Roman"/>
        </w:rPr>
        <w:t xml:space="preserve"> that</w:t>
      </w:r>
      <w:r w:rsidR="00766E15" w:rsidRPr="002A3AAE">
        <w:rPr>
          <w:rFonts w:ascii="Times New Roman" w:hAnsi="Times New Roman"/>
        </w:rPr>
        <w:t>:</w:t>
      </w:r>
      <w:r w:rsidR="000520FB" w:rsidRPr="002A3AAE">
        <w:rPr>
          <w:rFonts w:ascii="Times New Roman" w:hAnsi="Times New Roman"/>
        </w:rPr>
        <w:t xml:space="preserve"> the application for review </w:t>
      </w:r>
      <w:r w:rsidR="004C2C6D" w:rsidRPr="002A3AAE">
        <w:rPr>
          <w:rFonts w:ascii="Times New Roman" w:hAnsi="Times New Roman"/>
        </w:rPr>
        <w:t>be</w:t>
      </w:r>
      <w:r w:rsidR="000520FB" w:rsidRPr="002A3AAE">
        <w:rPr>
          <w:rFonts w:ascii="Times New Roman" w:hAnsi="Times New Roman"/>
        </w:rPr>
        <w:t xml:space="preserve"> allowed; </w:t>
      </w:r>
      <w:r w:rsidR="00202158" w:rsidRPr="002A3AAE">
        <w:rPr>
          <w:rFonts w:ascii="Times New Roman" w:hAnsi="Times New Roman"/>
        </w:rPr>
        <w:t xml:space="preserve">the decision of the Tribunal </w:t>
      </w:r>
      <w:r w:rsidR="00581C56" w:rsidRPr="002A3AAE">
        <w:rPr>
          <w:rFonts w:ascii="Times New Roman" w:hAnsi="Times New Roman"/>
        </w:rPr>
        <w:t xml:space="preserve">dated 4 April 2019 </w:t>
      </w:r>
      <w:r w:rsidR="004C2C6D" w:rsidRPr="002A3AAE">
        <w:rPr>
          <w:rFonts w:ascii="Times New Roman" w:hAnsi="Times New Roman"/>
        </w:rPr>
        <w:t>be</w:t>
      </w:r>
      <w:r w:rsidR="00202158" w:rsidRPr="002A3AAE">
        <w:rPr>
          <w:rFonts w:ascii="Times New Roman" w:hAnsi="Times New Roman"/>
        </w:rPr>
        <w:t xml:space="preserve"> set aside; the application be remitted to the Tribunal to be heard and determined according to law</w:t>
      </w:r>
      <w:r w:rsidR="00766E15" w:rsidRPr="002A3AAE">
        <w:rPr>
          <w:rFonts w:ascii="Times New Roman" w:hAnsi="Times New Roman"/>
        </w:rPr>
        <w:t>;</w:t>
      </w:r>
      <w:r w:rsidR="00202158" w:rsidRPr="002A3AAE">
        <w:rPr>
          <w:rFonts w:ascii="Times New Roman" w:hAnsi="Times New Roman"/>
        </w:rPr>
        <w:t xml:space="preserve"> and the </w:t>
      </w:r>
      <w:r w:rsidR="00494E2F" w:rsidRPr="002A3AAE">
        <w:rPr>
          <w:rFonts w:ascii="Times New Roman" w:hAnsi="Times New Roman"/>
        </w:rPr>
        <w:t xml:space="preserve">first </w:t>
      </w:r>
      <w:r w:rsidR="00202158" w:rsidRPr="002A3AAE">
        <w:rPr>
          <w:rFonts w:ascii="Times New Roman" w:hAnsi="Times New Roman"/>
        </w:rPr>
        <w:t>respondent pay the applicant</w:t>
      </w:r>
      <w:r w:rsidR="00581C56" w:rsidRPr="002A3AAE">
        <w:rPr>
          <w:rFonts w:ascii="Times New Roman" w:hAnsi="Times New Roman"/>
        </w:rPr>
        <w:t>'</w:t>
      </w:r>
      <w:r w:rsidR="00202158" w:rsidRPr="002A3AAE">
        <w:rPr>
          <w:rFonts w:ascii="Times New Roman" w:hAnsi="Times New Roman"/>
        </w:rPr>
        <w:t>s costs</w:t>
      </w:r>
      <w:r w:rsidR="00DF4AC7" w:rsidRPr="002A3AAE">
        <w:rPr>
          <w:rFonts w:ascii="Times New Roman" w:hAnsi="Times New Roman"/>
        </w:rPr>
        <w:t xml:space="preserve">; </w:t>
      </w:r>
      <w:r w:rsidR="0070399F" w:rsidRPr="002A3AAE">
        <w:rPr>
          <w:rFonts w:ascii="Times New Roman" w:hAnsi="Times New Roman"/>
        </w:rPr>
        <w:t xml:space="preserve">and (3) the first respondent is to pay the </w:t>
      </w:r>
      <w:r w:rsidR="003D262B" w:rsidRPr="002A3AAE">
        <w:rPr>
          <w:rFonts w:ascii="Times New Roman" w:hAnsi="Times New Roman"/>
        </w:rPr>
        <w:t xml:space="preserve">appellant's </w:t>
      </w:r>
      <w:r w:rsidR="0070399F" w:rsidRPr="002A3AAE">
        <w:rPr>
          <w:rFonts w:ascii="Times New Roman" w:hAnsi="Times New Roman"/>
        </w:rPr>
        <w:t>costs of the appeal</w:t>
      </w:r>
      <w:r w:rsidR="008D4D17" w:rsidRPr="002A3AAE">
        <w:rPr>
          <w:rFonts w:ascii="Times New Roman" w:hAnsi="Times New Roman"/>
        </w:rPr>
        <w:t xml:space="preserve"> to the Full Court of the Federal Court of Australia.</w:t>
      </w:r>
      <w:r w:rsidR="00B3237C" w:rsidRPr="002A3AAE">
        <w:rPr>
          <w:rFonts w:ascii="Times New Roman" w:hAnsi="Times New Roman"/>
        </w:rPr>
        <w:t xml:space="preserve"> </w:t>
      </w:r>
    </w:p>
    <w:p w14:paraId="1F1A439B" w14:textId="77777777" w:rsidR="0042544D" w:rsidRDefault="0042544D" w:rsidP="002A3AAE">
      <w:pPr>
        <w:pStyle w:val="FixListStyle"/>
        <w:spacing w:after="260" w:line="280" w:lineRule="exact"/>
        <w:ind w:right="0"/>
        <w:jc w:val="both"/>
        <w:rPr>
          <w:rFonts w:ascii="Times New Roman" w:hAnsi="Times New Roman"/>
        </w:rPr>
        <w:sectPr w:rsidR="0042544D" w:rsidSect="00594E3E">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4F1322A6" w14:textId="77777777" w:rsidR="0042544D" w:rsidRPr="00B379C9" w:rsidRDefault="0042544D" w:rsidP="0042544D">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B379C9">
        <w:rPr>
          <w:rFonts w:ascii="Times New Roman" w:hAnsi="Times New Roman"/>
        </w:rPr>
        <w:lastRenderedPageBreak/>
        <w:t xml:space="preserve">GAGELER J.   In </w:t>
      </w:r>
      <w:r w:rsidRPr="00B379C9">
        <w:rPr>
          <w:rFonts w:ascii="Times New Roman" w:hAnsi="Times New Roman"/>
          <w:i/>
        </w:rPr>
        <w:t>Minister for Immigration and Border Protection v WZARH</w:t>
      </w:r>
      <w:r w:rsidRPr="00B379C9">
        <w:rPr>
          <w:rStyle w:val="FootnoteReference"/>
          <w:rFonts w:ascii="Times New Roman" w:hAnsi="Times New Roman"/>
          <w:sz w:val="24"/>
        </w:rPr>
        <w:footnoteReference w:id="56"/>
      </w:r>
      <w:r w:rsidRPr="00B379C9">
        <w:rPr>
          <w:rFonts w:ascii="Times New Roman" w:hAnsi="Times New Roman"/>
          <w:iCs/>
        </w:rPr>
        <w:t xml:space="preserve"> a denial of procedural fairness was found to have been established by a failure to afford an applicant for a refugee status assessment a reasonable opportunity to be heard </w:t>
      </w:r>
      <w:proofErr w:type="gramStart"/>
      <w:r w:rsidRPr="00B379C9">
        <w:rPr>
          <w:rFonts w:ascii="Times New Roman" w:hAnsi="Times New Roman"/>
          <w:iCs/>
        </w:rPr>
        <w:t>in light of</w:t>
      </w:r>
      <w:proofErr w:type="gramEnd"/>
      <w:r w:rsidRPr="00B379C9">
        <w:rPr>
          <w:rFonts w:ascii="Times New Roman" w:hAnsi="Times New Roman"/>
          <w:iCs/>
        </w:rPr>
        <w:t xml:space="preserve"> a significant change in the decision-making procedure of which he was not informed. </w:t>
      </w:r>
      <w:r w:rsidRPr="00B379C9">
        <w:rPr>
          <w:rFonts w:ascii="Times New Roman" w:hAnsi="Times New Roman"/>
        </w:rPr>
        <w:t xml:space="preserve">Noting that </w:t>
      </w:r>
      <w:r w:rsidRPr="00B379C9">
        <w:rPr>
          <w:rFonts w:ascii="Times New Roman" w:hAnsi="Times New Roman"/>
          <w:iCs/>
        </w:rPr>
        <w:t xml:space="preserve">denials of procedural fairness can take different forms in different contexts, </w:t>
      </w:r>
      <w:r w:rsidRPr="00B379C9">
        <w:rPr>
          <w:rFonts w:ascii="Times New Roman" w:hAnsi="Times New Roman"/>
        </w:rPr>
        <w:t>Gordon J and I said</w:t>
      </w:r>
      <w:r w:rsidRPr="00B379C9">
        <w:rPr>
          <w:rStyle w:val="FootnoteReference"/>
          <w:rFonts w:ascii="Times New Roman" w:hAnsi="Times New Roman"/>
          <w:sz w:val="24"/>
        </w:rPr>
        <w:footnoteReference w:id="57"/>
      </w:r>
      <w:r w:rsidRPr="00B379C9">
        <w:rPr>
          <w:rFonts w:ascii="Times New Roman" w:hAnsi="Times New Roman"/>
        </w:rPr>
        <w:t xml:space="preserve">: </w:t>
      </w:r>
    </w:p>
    <w:p w14:paraId="2C250D40" w14:textId="77777777" w:rsidR="0042544D" w:rsidRPr="00B379C9" w:rsidRDefault="0042544D" w:rsidP="00B379C9">
      <w:pPr>
        <w:pStyle w:val="leftright"/>
        <w:spacing w:before="0" w:after="260" w:line="280" w:lineRule="exact"/>
        <w:ind w:right="0"/>
        <w:jc w:val="both"/>
        <w:rPr>
          <w:rFonts w:ascii="Times New Roman" w:hAnsi="Times New Roman"/>
        </w:rPr>
      </w:pPr>
      <w:r w:rsidRPr="00B379C9">
        <w:rPr>
          <w:rFonts w:ascii="Times New Roman" w:hAnsi="Times New Roman"/>
        </w:rPr>
        <w:tab/>
        <w:t>"There are cases in which conduct on the part of an administrator in the course of a hearing can be demonstrated to have misled a person into refraining from taking up an opportunity to be heard that was available to that person in accordance with an applicable procedure which was otherwise fair. To demonstrate that the person would have taken some step if that conduct had not occurred is, in such a case, part of establishing that the person has in fact been denied a reasonable opportunity to be heard.</w:t>
      </w:r>
    </w:p>
    <w:p w14:paraId="247A2D03" w14:textId="77777777" w:rsidR="0042544D" w:rsidRDefault="0042544D" w:rsidP="00B379C9">
      <w:pPr>
        <w:pStyle w:val="leftright"/>
        <w:spacing w:before="0" w:after="260" w:line="280" w:lineRule="exact"/>
        <w:ind w:right="0"/>
        <w:jc w:val="both"/>
        <w:rPr>
          <w:rFonts w:ascii="Times New Roman" w:hAnsi="Times New Roman"/>
        </w:rPr>
      </w:pPr>
      <w:r w:rsidRPr="00B379C9">
        <w:rPr>
          <w:rFonts w:ascii="Times New Roman" w:hAnsi="Times New Roman"/>
        </w:rPr>
        <w:tab/>
        <w:t xml:space="preserve">Where, however, the procedure adopted by an administrator can be shown itself to have failed to afford a fair opportunity to be heard, a denial of procedural fairness is established by nothing more than that failure, and the granting of curial relief is justified unless it can be shown that the failure did not deprive the person of the possibility of a successful outcome. The practical injustice in such a case lies in the denial of an opportunity which in fairness ought to have been given." </w:t>
      </w:r>
    </w:p>
    <w:p w14:paraId="7E1DA0FB" w14:textId="77777777" w:rsidR="0042544D" w:rsidRPr="00B379C9" w:rsidRDefault="0042544D" w:rsidP="00B379C9">
      <w:pPr>
        <w:pStyle w:val="NormalBody"/>
        <w:spacing w:after="260" w:line="280" w:lineRule="exact"/>
        <w:ind w:right="0"/>
        <w:jc w:val="both"/>
        <w:rPr>
          <w:rFonts w:ascii="Times New Roman" w:hAnsi="Times New Roman"/>
        </w:rPr>
      </w:pPr>
      <w:r w:rsidRPr="00B379C9">
        <w:rPr>
          <w:rFonts w:ascii="Times New Roman" w:hAnsi="Times New Roman"/>
        </w:rPr>
        <w:t>That statement has since often been quoted and applied in the Federal Court</w:t>
      </w:r>
      <w:r w:rsidRPr="00B379C9">
        <w:rPr>
          <w:rStyle w:val="FootnoteReference"/>
          <w:rFonts w:ascii="Times New Roman" w:hAnsi="Times New Roman"/>
          <w:sz w:val="24"/>
        </w:rPr>
        <w:footnoteReference w:id="58"/>
      </w:r>
      <w:r w:rsidRPr="00B379C9">
        <w:rPr>
          <w:rFonts w:ascii="Times New Roman" w:hAnsi="Times New Roman"/>
        </w:rPr>
        <w:t xml:space="preserve">. </w:t>
      </w:r>
      <w:proofErr w:type="spellStart"/>
      <w:r w:rsidRPr="00B379C9">
        <w:rPr>
          <w:rFonts w:ascii="Times New Roman" w:hAnsi="Times New Roman"/>
        </w:rPr>
        <w:t>Wigney</w:t>
      </w:r>
      <w:proofErr w:type="spellEnd"/>
      <w:r w:rsidRPr="00B379C9">
        <w:rPr>
          <w:rFonts w:ascii="Times New Roman" w:hAnsi="Times New Roman"/>
        </w:rPr>
        <w:t> J relied on it in dissent in the decision now under appeal</w:t>
      </w:r>
      <w:r w:rsidRPr="00B379C9">
        <w:rPr>
          <w:rStyle w:val="FootnoteReference"/>
          <w:rFonts w:ascii="Times New Roman" w:hAnsi="Times New Roman"/>
          <w:sz w:val="24"/>
        </w:rPr>
        <w:footnoteReference w:id="59"/>
      </w:r>
      <w:r w:rsidRPr="00B379C9">
        <w:rPr>
          <w:rFonts w:ascii="Times New Roman" w:hAnsi="Times New Roman"/>
        </w:rPr>
        <w:t>.</w:t>
      </w:r>
    </w:p>
    <w:p w14:paraId="51B5B5AB" w14:textId="77777777" w:rsidR="0042544D" w:rsidRPr="00B379C9" w:rsidRDefault="0042544D" w:rsidP="0042544D">
      <w:pPr>
        <w:pStyle w:val="FixListStyle"/>
        <w:numPr>
          <w:ilvl w:val="0"/>
          <w:numId w:val="18"/>
        </w:numPr>
        <w:spacing w:after="260" w:line="280" w:lineRule="exact"/>
        <w:ind w:left="0" w:right="0" w:hanging="720"/>
        <w:jc w:val="both"/>
        <w:rPr>
          <w:rFonts w:ascii="Times New Roman" w:hAnsi="Times New Roman"/>
        </w:rPr>
      </w:pPr>
      <w:r w:rsidRPr="00B379C9">
        <w:rPr>
          <w:rFonts w:ascii="Times New Roman" w:hAnsi="Times New Roman"/>
        </w:rPr>
        <w:tab/>
        <w:t xml:space="preserve">The statement in </w:t>
      </w:r>
      <w:r w:rsidRPr="00B379C9">
        <w:rPr>
          <w:rFonts w:ascii="Times New Roman" w:hAnsi="Times New Roman"/>
          <w:i/>
        </w:rPr>
        <w:t>WZARH</w:t>
      </w:r>
      <w:r w:rsidRPr="00B379C9">
        <w:rPr>
          <w:rFonts w:ascii="Times New Roman" w:hAnsi="Times New Roman"/>
        </w:rPr>
        <w:t xml:space="preserve"> was formulated in response to, and in rejection of, an argument put by the Minister in that case. The argument sought to rely on the observation of Gleeson CJ in </w:t>
      </w:r>
      <w:r w:rsidRPr="00B379C9">
        <w:rPr>
          <w:rFonts w:ascii="Times New Roman" w:hAnsi="Times New Roman"/>
          <w:i/>
        </w:rPr>
        <w:t xml:space="preserve">Re Minister for Immigration and Multicultural and Indigenous Affairs; Ex </w:t>
      </w:r>
      <w:proofErr w:type="spellStart"/>
      <w:r w:rsidRPr="00B379C9">
        <w:rPr>
          <w:rFonts w:ascii="Times New Roman" w:hAnsi="Times New Roman"/>
          <w:i/>
        </w:rPr>
        <w:t>parte</w:t>
      </w:r>
      <w:proofErr w:type="spellEnd"/>
      <w:r w:rsidRPr="00B379C9">
        <w:rPr>
          <w:rFonts w:ascii="Times New Roman" w:hAnsi="Times New Roman"/>
          <w:i/>
        </w:rPr>
        <w:t xml:space="preserve"> Lam</w:t>
      </w:r>
      <w:r w:rsidRPr="00B379C9">
        <w:rPr>
          <w:rStyle w:val="FootnoteReference"/>
          <w:rFonts w:ascii="Times New Roman" w:hAnsi="Times New Roman"/>
          <w:sz w:val="24"/>
        </w:rPr>
        <w:footnoteReference w:id="60"/>
      </w:r>
      <w:r w:rsidRPr="00B379C9">
        <w:rPr>
          <w:rFonts w:ascii="Times New Roman" w:hAnsi="Times New Roman"/>
        </w:rPr>
        <w:t xml:space="preserve"> that the concern of procedural fairness is "to avoid practical injustice". The argument was that</w:t>
      </w:r>
      <w:r w:rsidRPr="00B379C9">
        <w:rPr>
          <w:rFonts w:ascii="Times New Roman" w:hAnsi="Times New Roman"/>
          <w:i/>
        </w:rPr>
        <w:t xml:space="preserve"> Lam</w:t>
      </w:r>
      <w:r w:rsidRPr="00B379C9">
        <w:rPr>
          <w:rFonts w:ascii="Times New Roman" w:hAnsi="Times New Roman"/>
        </w:rPr>
        <w:t xml:space="preserve"> should be treated as "authority for the proposition that it is incumbent on a person who seeks to </w:t>
      </w:r>
      <w:r w:rsidRPr="00B379C9">
        <w:rPr>
          <w:rFonts w:ascii="Times New Roman" w:hAnsi="Times New Roman"/>
        </w:rPr>
        <w:lastRenderedPageBreak/>
        <w:t xml:space="preserve">establish denial of procedural fairness always to demonstrate what </w:t>
      </w:r>
      <w:r w:rsidRPr="00B379C9">
        <w:rPr>
          <w:rFonts w:ascii="Times New Roman" w:hAnsi="Times New Roman"/>
          <w:i/>
        </w:rPr>
        <w:t>would</w:t>
      </w:r>
      <w:r w:rsidRPr="00B379C9">
        <w:rPr>
          <w:rFonts w:ascii="Times New Roman" w:hAnsi="Times New Roman"/>
        </w:rPr>
        <w:t xml:space="preserve"> have occurred if procedural fairness had been observed"</w:t>
      </w:r>
      <w:r w:rsidRPr="00B379C9">
        <w:rPr>
          <w:rStyle w:val="FootnoteReference"/>
          <w:rFonts w:ascii="Times New Roman" w:hAnsi="Times New Roman"/>
          <w:sz w:val="24"/>
        </w:rPr>
        <w:footnoteReference w:id="61"/>
      </w:r>
      <w:r w:rsidRPr="00B379C9">
        <w:rPr>
          <w:rFonts w:ascii="Times New Roman" w:hAnsi="Times New Roman"/>
        </w:rPr>
        <w:t xml:space="preserve">. </w:t>
      </w:r>
    </w:p>
    <w:p w14:paraId="43073DF5" w14:textId="77777777" w:rsidR="0042544D" w:rsidRPr="00B379C9" w:rsidRDefault="0042544D" w:rsidP="0042544D">
      <w:pPr>
        <w:pStyle w:val="FixListStyle"/>
        <w:numPr>
          <w:ilvl w:val="0"/>
          <w:numId w:val="18"/>
        </w:numPr>
        <w:spacing w:after="260" w:line="280" w:lineRule="exact"/>
        <w:ind w:left="0" w:right="0" w:hanging="720"/>
        <w:jc w:val="both"/>
        <w:rPr>
          <w:rFonts w:ascii="Times New Roman" w:hAnsi="Times New Roman"/>
        </w:rPr>
      </w:pPr>
      <w:r w:rsidRPr="00B379C9">
        <w:rPr>
          <w:rFonts w:ascii="Times New Roman" w:hAnsi="Times New Roman"/>
        </w:rPr>
        <w:tab/>
        <w:t xml:space="preserve">That argument re-emerged in a mutated form in the argument put by the Minister on the hearing of the present appeal. The Minister argued that sometimes it is incumbent on an applicant who seeks to establish the materiality of a denial of procedural fairness to demonstrate by evidence how an opportunity to be heard would have been used had it been afforded. </w:t>
      </w:r>
    </w:p>
    <w:p w14:paraId="07E0BBDF" w14:textId="77777777" w:rsidR="0042544D" w:rsidRPr="00B379C9" w:rsidRDefault="0042544D" w:rsidP="0042544D">
      <w:pPr>
        <w:pStyle w:val="FixListStyle"/>
        <w:numPr>
          <w:ilvl w:val="0"/>
          <w:numId w:val="18"/>
        </w:numPr>
        <w:spacing w:after="260" w:line="280" w:lineRule="exact"/>
        <w:ind w:left="0" w:right="0" w:hanging="720"/>
        <w:jc w:val="both"/>
        <w:rPr>
          <w:rFonts w:ascii="Times New Roman" w:hAnsi="Times New Roman"/>
        </w:rPr>
      </w:pPr>
      <w:r w:rsidRPr="00B379C9">
        <w:rPr>
          <w:rFonts w:ascii="Times New Roman" w:hAnsi="Times New Roman"/>
        </w:rPr>
        <w:tab/>
        <w:t>The appearance of that new strain of a previously rejected argument, in combination with the division of opinion in the Full Court of the Federal Court in the decision under appeal, suggest</w:t>
      </w:r>
      <w:r>
        <w:rPr>
          <w:rFonts w:ascii="Times New Roman" w:hAnsi="Times New Roman"/>
        </w:rPr>
        <w:t>s</w:t>
      </w:r>
      <w:r w:rsidRPr="00B379C9">
        <w:rPr>
          <w:rFonts w:ascii="Times New Roman" w:hAnsi="Times New Roman"/>
        </w:rPr>
        <w:t xml:space="preserve"> that some elaboration of what was said in </w:t>
      </w:r>
      <w:r w:rsidRPr="00B379C9">
        <w:rPr>
          <w:rFonts w:ascii="Times New Roman" w:hAnsi="Times New Roman"/>
          <w:i/>
        </w:rPr>
        <w:t>WZARH</w:t>
      </w:r>
      <w:r w:rsidRPr="00B379C9">
        <w:rPr>
          <w:rFonts w:ascii="Times New Roman" w:hAnsi="Times New Roman"/>
        </w:rPr>
        <w:t xml:space="preserve"> may be warranted </w:t>
      </w:r>
      <w:proofErr w:type="gramStart"/>
      <w:r w:rsidRPr="00B379C9">
        <w:rPr>
          <w:rFonts w:ascii="Times New Roman" w:hAnsi="Times New Roman"/>
        </w:rPr>
        <w:t>in light of</w:t>
      </w:r>
      <w:proofErr w:type="gramEnd"/>
      <w:r w:rsidRPr="00B379C9">
        <w:rPr>
          <w:rFonts w:ascii="Times New Roman" w:hAnsi="Times New Roman"/>
        </w:rPr>
        <w:t xml:space="preserve"> the subsequent decisions in </w:t>
      </w:r>
      <w:r w:rsidRPr="00B379C9">
        <w:rPr>
          <w:rFonts w:ascii="Times New Roman" w:hAnsi="Times New Roman"/>
          <w:i/>
        </w:rPr>
        <w:t>Minister for Immigration and Border Protection v SZMTA</w:t>
      </w:r>
      <w:r w:rsidRPr="00B379C9">
        <w:rPr>
          <w:rStyle w:val="FootnoteReference"/>
          <w:rFonts w:ascii="Times New Roman" w:hAnsi="Times New Roman"/>
          <w:sz w:val="24"/>
        </w:rPr>
        <w:footnoteReference w:id="62"/>
      </w:r>
      <w:r w:rsidRPr="00B379C9">
        <w:rPr>
          <w:rFonts w:ascii="Times New Roman" w:hAnsi="Times New Roman"/>
        </w:rPr>
        <w:t xml:space="preserve"> and </w:t>
      </w:r>
      <w:r w:rsidRPr="00B379C9">
        <w:rPr>
          <w:rFonts w:ascii="Times New Roman" w:hAnsi="Times New Roman"/>
          <w:i/>
        </w:rPr>
        <w:t>MZAPC v Minister for Immigration and Border Protection</w:t>
      </w:r>
      <w:r w:rsidRPr="00B379C9">
        <w:rPr>
          <w:rStyle w:val="FootnoteReference"/>
          <w:rFonts w:ascii="Times New Roman" w:hAnsi="Times New Roman"/>
          <w:sz w:val="24"/>
        </w:rPr>
        <w:footnoteReference w:id="63"/>
      </w:r>
      <w:r w:rsidRPr="00B379C9">
        <w:rPr>
          <w:rFonts w:ascii="Times New Roman" w:hAnsi="Times New Roman"/>
        </w:rPr>
        <w:t xml:space="preserve">. </w:t>
      </w:r>
    </w:p>
    <w:p w14:paraId="539401A6" w14:textId="77777777" w:rsidR="0042544D" w:rsidRPr="00B379C9" w:rsidRDefault="0042544D" w:rsidP="0042544D">
      <w:pPr>
        <w:pStyle w:val="FixListStyle"/>
        <w:numPr>
          <w:ilvl w:val="0"/>
          <w:numId w:val="18"/>
        </w:numPr>
        <w:spacing w:after="260" w:line="280" w:lineRule="exact"/>
        <w:ind w:left="0" w:right="0" w:hanging="720"/>
        <w:jc w:val="both"/>
        <w:rPr>
          <w:rFonts w:ascii="Times New Roman" w:hAnsi="Times New Roman"/>
        </w:rPr>
      </w:pPr>
      <w:r w:rsidRPr="00B379C9">
        <w:rPr>
          <w:rFonts w:ascii="Times New Roman" w:hAnsi="Times New Roman"/>
          <w:i/>
        </w:rPr>
        <w:tab/>
        <w:t>SZMTA</w:t>
      </w:r>
      <w:r w:rsidRPr="00B379C9">
        <w:rPr>
          <w:rFonts w:ascii="Times New Roman" w:hAnsi="Times New Roman"/>
        </w:rPr>
        <w:t xml:space="preserve"> and </w:t>
      </w:r>
      <w:r w:rsidRPr="00B379C9">
        <w:rPr>
          <w:rFonts w:ascii="Times New Roman" w:hAnsi="Times New Roman"/>
          <w:i/>
        </w:rPr>
        <w:t xml:space="preserve">MZAPC </w:t>
      </w:r>
      <w:r w:rsidRPr="00B379C9">
        <w:rPr>
          <w:rFonts w:ascii="Times New Roman" w:hAnsi="Times New Roman"/>
          <w:iCs/>
        </w:rPr>
        <w:t>are together authority for two cumulative propositions. The first is that a</w:t>
      </w:r>
      <w:r w:rsidRPr="00B379C9">
        <w:rPr>
          <w:rFonts w:ascii="Times New Roman" w:hAnsi="Times New Roman"/>
        </w:rPr>
        <w:t xml:space="preserve"> denial of procedural fairness results in a decision being affected by jurisdictional error, </w:t>
      </w:r>
      <w:proofErr w:type="gramStart"/>
      <w:r w:rsidRPr="00B379C9">
        <w:rPr>
          <w:rFonts w:ascii="Times New Roman" w:hAnsi="Times New Roman"/>
        </w:rPr>
        <w:t>so as to</w:t>
      </w:r>
      <w:proofErr w:type="gramEnd"/>
      <w:r w:rsidRPr="00B379C9">
        <w:rPr>
          <w:rFonts w:ascii="Times New Roman" w:hAnsi="Times New Roman"/>
        </w:rPr>
        <w:t xml:space="preserve"> be capable of justifying the grant of curial relief, only if that denial is shown by the applicant to have been material to the decision. The second is that the materiality of a denial of procedural fairness is shown by the existence of a realistic possibility that the decision could have been different had procedural fairness been observed. </w:t>
      </w:r>
    </w:p>
    <w:p w14:paraId="70101A83" w14:textId="77777777" w:rsidR="0042544D" w:rsidRPr="00B379C9" w:rsidRDefault="0042544D" w:rsidP="0042544D">
      <w:pPr>
        <w:pStyle w:val="FixListStyle"/>
        <w:numPr>
          <w:ilvl w:val="0"/>
          <w:numId w:val="18"/>
        </w:numPr>
        <w:spacing w:after="260" w:line="280" w:lineRule="exact"/>
        <w:ind w:left="0" w:right="0" w:hanging="720"/>
        <w:jc w:val="both"/>
        <w:rPr>
          <w:rFonts w:ascii="Times New Roman" w:hAnsi="Times New Roman"/>
        </w:rPr>
      </w:pPr>
      <w:r w:rsidRPr="00B379C9">
        <w:rPr>
          <w:rFonts w:ascii="Times New Roman" w:hAnsi="Times New Roman"/>
        </w:rPr>
        <w:tab/>
      </w:r>
      <w:r w:rsidRPr="00B379C9">
        <w:rPr>
          <w:rFonts w:ascii="Times New Roman" w:hAnsi="Times New Roman"/>
          <w:i/>
        </w:rPr>
        <w:t>SZMTA</w:t>
      </w:r>
      <w:r w:rsidRPr="00B379C9">
        <w:rPr>
          <w:rFonts w:ascii="Times New Roman" w:hAnsi="Times New Roman"/>
        </w:rPr>
        <w:t xml:space="preserve"> and </w:t>
      </w:r>
      <w:r w:rsidRPr="00B379C9">
        <w:rPr>
          <w:rFonts w:ascii="Times New Roman" w:hAnsi="Times New Roman"/>
          <w:i/>
        </w:rPr>
        <w:t>MZAPC</w:t>
      </w:r>
      <w:r w:rsidRPr="00B379C9">
        <w:rPr>
          <w:rFonts w:ascii="Times New Roman" w:hAnsi="Times New Roman"/>
        </w:rPr>
        <w:t xml:space="preserve"> do not hold that, </w:t>
      </w:r>
      <w:proofErr w:type="gramStart"/>
      <w:r w:rsidRPr="00B379C9">
        <w:rPr>
          <w:rFonts w:ascii="Times New Roman" w:hAnsi="Times New Roman"/>
        </w:rPr>
        <w:t>in order to</w:t>
      </w:r>
      <w:proofErr w:type="gramEnd"/>
      <w:r w:rsidRPr="00B379C9">
        <w:rPr>
          <w:rFonts w:ascii="Times New Roman" w:hAnsi="Times New Roman"/>
        </w:rPr>
        <w:t xml:space="preserve"> meet the threshold of materiality, an applicant for relief must establish any part of what </w:t>
      </w:r>
      <w:r w:rsidRPr="00B379C9">
        <w:rPr>
          <w:rFonts w:ascii="Times New Roman" w:hAnsi="Times New Roman"/>
          <w:i/>
        </w:rPr>
        <w:t>would</w:t>
      </w:r>
      <w:r w:rsidRPr="00B379C9">
        <w:rPr>
          <w:rFonts w:ascii="Times New Roman" w:hAnsi="Times New Roman"/>
        </w:rPr>
        <w:t xml:space="preserve"> have occurred on the balance of probabilities had a fair opportunity to be heard been afforded. The onus which the applicant bears to establish materiality is no greater than to show that, as a matter of reasonable conjecture within the parameters set by the historical facts established on the balance of probabilities, the decision </w:t>
      </w:r>
      <w:r w:rsidRPr="00B379C9">
        <w:rPr>
          <w:rFonts w:ascii="Times New Roman" w:hAnsi="Times New Roman"/>
          <w:i/>
        </w:rPr>
        <w:t>could</w:t>
      </w:r>
      <w:r w:rsidRPr="00B379C9">
        <w:rPr>
          <w:rFonts w:ascii="Times New Roman" w:hAnsi="Times New Roman"/>
        </w:rPr>
        <w:t xml:space="preserve"> have been different had a fair opportunity to be heard been afforded. </w:t>
      </w:r>
    </w:p>
    <w:p w14:paraId="34D6124B" w14:textId="77777777" w:rsidR="0042544D" w:rsidRPr="00B379C9" w:rsidRDefault="0042544D" w:rsidP="0042544D">
      <w:pPr>
        <w:pStyle w:val="FixListStyle"/>
        <w:numPr>
          <w:ilvl w:val="0"/>
          <w:numId w:val="18"/>
        </w:numPr>
        <w:spacing w:after="260" w:line="280" w:lineRule="exact"/>
        <w:ind w:left="0" w:right="0" w:hanging="720"/>
        <w:jc w:val="both"/>
        <w:rPr>
          <w:rFonts w:ascii="Times New Roman" w:hAnsi="Times New Roman"/>
        </w:rPr>
      </w:pPr>
      <w:r w:rsidRPr="00B379C9">
        <w:rPr>
          <w:rFonts w:ascii="Times New Roman" w:hAnsi="Times New Roman"/>
        </w:rPr>
        <w:tab/>
        <w:t xml:space="preserve">Establishing that threshold of materiality is not onerous. The explanations in </w:t>
      </w:r>
      <w:r w:rsidRPr="00B379C9">
        <w:rPr>
          <w:rFonts w:ascii="Times New Roman" w:hAnsi="Times New Roman"/>
          <w:i/>
        </w:rPr>
        <w:t>MZAPC</w:t>
      </w:r>
      <w:r w:rsidRPr="00B379C9">
        <w:rPr>
          <w:rStyle w:val="FootnoteReference"/>
          <w:rFonts w:ascii="Times New Roman" w:hAnsi="Times New Roman"/>
          <w:sz w:val="24"/>
        </w:rPr>
        <w:footnoteReference w:id="64"/>
      </w:r>
      <w:r w:rsidRPr="00B379C9">
        <w:rPr>
          <w:rFonts w:ascii="Times New Roman" w:hAnsi="Times New Roman"/>
        </w:rPr>
        <w:t xml:space="preserve"> of the materiality of the denials of procedural fairness which had been found in </w:t>
      </w:r>
      <w:r w:rsidRPr="00B379C9">
        <w:rPr>
          <w:rFonts w:ascii="Times New Roman" w:hAnsi="Times New Roman"/>
          <w:i/>
          <w:iCs/>
        </w:rPr>
        <w:t>Stead v State Government Insurance Commission</w:t>
      </w:r>
      <w:r w:rsidRPr="00B379C9">
        <w:rPr>
          <w:rStyle w:val="FootnoteReference"/>
          <w:rFonts w:ascii="Times New Roman" w:hAnsi="Times New Roman"/>
          <w:sz w:val="24"/>
        </w:rPr>
        <w:footnoteReference w:id="65"/>
      </w:r>
      <w:r w:rsidRPr="00B379C9">
        <w:rPr>
          <w:rFonts w:ascii="Times New Roman" w:hAnsi="Times New Roman"/>
        </w:rPr>
        <w:t xml:space="preserve"> and in </w:t>
      </w:r>
      <w:r w:rsidRPr="00B379C9">
        <w:rPr>
          <w:rFonts w:ascii="Times New Roman" w:hAnsi="Times New Roman"/>
          <w:i/>
          <w:iCs/>
        </w:rPr>
        <w:t xml:space="preserve">Re Refugee </w:t>
      </w:r>
      <w:r w:rsidRPr="00B379C9">
        <w:rPr>
          <w:rFonts w:ascii="Times New Roman" w:hAnsi="Times New Roman"/>
          <w:i/>
          <w:iCs/>
        </w:rPr>
        <w:lastRenderedPageBreak/>
        <w:t xml:space="preserve">Review Tribunal; Ex </w:t>
      </w:r>
      <w:proofErr w:type="spellStart"/>
      <w:r w:rsidRPr="00B379C9">
        <w:rPr>
          <w:rFonts w:ascii="Times New Roman" w:hAnsi="Times New Roman"/>
          <w:i/>
          <w:iCs/>
        </w:rPr>
        <w:t>parte</w:t>
      </w:r>
      <w:proofErr w:type="spellEnd"/>
      <w:r w:rsidRPr="00B379C9">
        <w:rPr>
          <w:rFonts w:ascii="Times New Roman" w:hAnsi="Times New Roman"/>
          <w:i/>
          <w:iCs/>
        </w:rPr>
        <w:t xml:space="preserve"> </w:t>
      </w:r>
      <w:proofErr w:type="spellStart"/>
      <w:r w:rsidRPr="00B379C9">
        <w:rPr>
          <w:rFonts w:ascii="Times New Roman" w:hAnsi="Times New Roman"/>
          <w:i/>
          <w:iCs/>
        </w:rPr>
        <w:t>Aala</w:t>
      </w:r>
      <w:proofErr w:type="spellEnd"/>
      <w:r w:rsidRPr="00B379C9">
        <w:rPr>
          <w:rStyle w:val="FootnoteReference"/>
          <w:rFonts w:ascii="Times New Roman" w:hAnsi="Times New Roman"/>
          <w:sz w:val="24"/>
        </w:rPr>
        <w:footnoteReference w:id="66"/>
      </w:r>
      <w:r w:rsidRPr="00B379C9">
        <w:rPr>
          <w:rFonts w:ascii="Times New Roman" w:hAnsi="Times New Roman"/>
          <w:i/>
          <w:iCs/>
        </w:rPr>
        <w:t xml:space="preserve"> </w:t>
      </w:r>
      <w:r w:rsidRPr="00B379C9">
        <w:rPr>
          <w:rFonts w:ascii="Times New Roman" w:hAnsi="Times New Roman"/>
        </w:rPr>
        <w:t>are consistent with the observation that "[</w:t>
      </w:r>
      <w:proofErr w:type="spellStart"/>
      <w:r w:rsidRPr="00B379C9">
        <w:rPr>
          <w:rFonts w:ascii="Times New Roman" w:hAnsi="Times New Roman"/>
        </w:rPr>
        <w:t>i</w:t>
      </w:r>
      <w:proofErr w:type="spellEnd"/>
      <w:r w:rsidRPr="00B379C9">
        <w:rPr>
          <w:rFonts w:ascii="Times New Roman" w:hAnsi="Times New Roman"/>
        </w:rPr>
        <w:t>]t is no easy task for a court ... to satisfy itself that what appears on its face to have been a denial of natural justice could have had no bearing on the outcome"</w:t>
      </w:r>
      <w:r w:rsidRPr="00B379C9">
        <w:rPr>
          <w:rStyle w:val="FootnoteReference"/>
          <w:rFonts w:ascii="Times New Roman" w:hAnsi="Times New Roman"/>
          <w:sz w:val="24"/>
        </w:rPr>
        <w:footnoteReference w:id="67"/>
      </w:r>
      <w:r w:rsidRPr="00B379C9">
        <w:rPr>
          <w:rFonts w:ascii="Times New Roman" w:hAnsi="Times New Roman"/>
        </w:rPr>
        <w:t xml:space="preserve">. </w:t>
      </w:r>
    </w:p>
    <w:p w14:paraId="1388A715" w14:textId="77777777" w:rsidR="0042544D" w:rsidRPr="00B379C9" w:rsidRDefault="0042544D" w:rsidP="0042544D">
      <w:pPr>
        <w:pStyle w:val="FixListStyle"/>
        <w:numPr>
          <w:ilvl w:val="0"/>
          <w:numId w:val="18"/>
        </w:numPr>
        <w:spacing w:after="260" w:line="280" w:lineRule="exact"/>
        <w:ind w:left="0" w:right="0" w:hanging="720"/>
        <w:jc w:val="both"/>
        <w:rPr>
          <w:rFonts w:ascii="Times New Roman" w:hAnsi="Times New Roman"/>
        </w:rPr>
      </w:pPr>
      <w:r w:rsidRPr="00B379C9">
        <w:rPr>
          <w:rFonts w:ascii="Times New Roman" w:hAnsi="Times New Roman"/>
        </w:rPr>
        <w:tab/>
        <w:t xml:space="preserve">The denial of procedural fairness found in </w:t>
      </w:r>
      <w:r w:rsidRPr="00B379C9">
        <w:rPr>
          <w:rFonts w:ascii="Times New Roman" w:hAnsi="Times New Roman"/>
          <w:i/>
          <w:iCs/>
        </w:rPr>
        <w:t xml:space="preserve">Stead </w:t>
      </w:r>
      <w:r w:rsidRPr="00B379C9">
        <w:rPr>
          <w:rFonts w:ascii="Times New Roman" w:hAnsi="Times New Roman"/>
          <w:iCs/>
        </w:rPr>
        <w:t xml:space="preserve">occurred </w:t>
      </w:r>
      <w:proofErr w:type="gramStart"/>
      <w:r w:rsidRPr="00B379C9">
        <w:rPr>
          <w:rFonts w:ascii="Times New Roman" w:hAnsi="Times New Roman"/>
          <w:iCs/>
        </w:rPr>
        <w:t>in the course of</w:t>
      </w:r>
      <w:proofErr w:type="gramEnd"/>
      <w:r w:rsidRPr="00B379C9">
        <w:rPr>
          <w:rFonts w:ascii="Times New Roman" w:hAnsi="Times New Roman"/>
          <w:iCs/>
        </w:rPr>
        <w:t xml:space="preserve"> final submissions in a trial when counsel was stopped from submitting that the trial judge should disbelieve certain evidence which had been adduced at the trial. The evidence, which had been given by a doctor, was to the effect that there was no causal link between a motor vehicle accident and the appellant's condition. The trial judge had gone on in a reserved judgment to accept the evidence of the doctor and to find that there was no such causal link. The holding in </w:t>
      </w:r>
      <w:r w:rsidRPr="00B379C9">
        <w:rPr>
          <w:rFonts w:ascii="Times New Roman" w:hAnsi="Times New Roman"/>
          <w:i/>
        </w:rPr>
        <w:t>Stead</w:t>
      </w:r>
      <w:r w:rsidRPr="00B379C9">
        <w:rPr>
          <w:rFonts w:ascii="Times New Roman" w:hAnsi="Times New Roman"/>
          <w:iCs/>
        </w:rPr>
        <w:t xml:space="preserve"> as explained in </w:t>
      </w:r>
      <w:r w:rsidRPr="00B379C9">
        <w:rPr>
          <w:rFonts w:ascii="Times New Roman" w:hAnsi="Times New Roman"/>
          <w:i/>
          <w:iCs/>
        </w:rPr>
        <w:t>MZAPC</w:t>
      </w:r>
      <w:r w:rsidRPr="00B379C9">
        <w:rPr>
          <w:rFonts w:ascii="Times New Roman" w:hAnsi="Times New Roman"/>
          <w:iCs/>
        </w:rPr>
        <w:t xml:space="preserve"> </w:t>
      </w:r>
      <w:r w:rsidRPr="00B379C9">
        <w:rPr>
          <w:rFonts w:ascii="Times New Roman" w:hAnsi="Times New Roman"/>
        </w:rPr>
        <w:t>was that those historical facts, which were established by nothing more than the appellate record, "should have been sufficient to satisfy the intermediate appellate court that there was a realistic possibility that the trial judge could have found a causal link between the accident and the appellant's condition had counsel been permitted to complete his submission"</w:t>
      </w:r>
      <w:r w:rsidRPr="00B379C9">
        <w:rPr>
          <w:rStyle w:val="FootnoteReference"/>
          <w:rFonts w:ascii="Times New Roman" w:hAnsi="Times New Roman"/>
          <w:iCs/>
          <w:sz w:val="24"/>
        </w:rPr>
        <w:footnoteReference w:id="68"/>
      </w:r>
      <w:r w:rsidRPr="00B379C9">
        <w:rPr>
          <w:rFonts w:ascii="Times New Roman" w:hAnsi="Times New Roman"/>
        </w:rPr>
        <w:t xml:space="preserve">. </w:t>
      </w:r>
      <w:r w:rsidRPr="00B379C9">
        <w:rPr>
          <w:rFonts w:ascii="Times New Roman" w:hAnsi="Times New Roman"/>
          <w:iCs/>
        </w:rPr>
        <w:t>The explanation continued</w:t>
      </w:r>
      <w:r w:rsidRPr="00B379C9">
        <w:rPr>
          <w:rStyle w:val="FootnoteReference"/>
          <w:rFonts w:ascii="Times New Roman" w:hAnsi="Times New Roman"/>
          <w:iCs/>
          <w:sz w:val="24"/>
        </w:rPr>
        <w:footnoteReference w:id="69"/>
      </w:r>
      <w:r w:rsidRPr="00B379C9">
        <w:rPr>
          <w:rFonts w:ascii="Times New Roman" w:hAnsi="Times New Roman"/>
          <w:iCs/>
        </w:rPr>
        <w:t>:</w:t>
      </w:r>
    </w:p>
    <w:p w14:paraId="7C7E9051" w14:textId="77777777" w:rsidR="0042544D" w:rsidRDefault="0042544D" w:rsidP="00B379C9">
      <w:pPr>
        <w:pStyle w:val="leftright"/>
        <w:spacing w:before="0" w:after="260" w:line="280" w:lineRule="exact"/>
        <w:ind w:right="0"/>
        <w:jc w:val="both"/>
        <w:rPr>
          <w:rFonts w:ascii="Times New Roman" w:hAnsi="Times New Roman"/>
        </w:rPr>
      </w:pPr>
      <w:r w:rsidRPr="00B379C9">
        <w:rPr>
          <w:rFonts w:ascii="Times New Roman" w:hAnsi="Times New Roman"/>
        </w:rPr>
        <w:t>"There was no need for the appellant to lead evidence of what counsel would have submitted to the trial judge about why the evidence of the doctor should not have been believed and there was no need for the appellant to prove on the balance of probabilities that the trial judge would have found the submission of counsel persuasive."</w:t>
      </w:r>
    </w:p>
    <w:p w14:paraId="1E735C67" w14:textId="77777777" w:rsidR="0042544D" w:rsidRPr="00B379C9" w:rsidRDefault="0042544D" w:rsidP="0042544D">
      <w:pPr>
        <w:pStyle w:val="FixListStyle"/>
        <w:numPr>
          <w:ilvl w:val="0"/>
          <w:numId w:val="18"/>
        </w:numPr>
        <w:spacing w:after="260" w:line="280" w:lineRule="exact"/>
        <w:ind w:left="0" w:right="0" w:hanging="720"/>
        <w:jc w:val="both"/>
        <w:rPr>
          <w:rFonts w:ascii="Times New Roman" w:hAnsi="Times New Roman"/>
        </w:rPr>
      </w:pPr>
      <w:r w:rsidRPr="00B379C9">
        <w:rPr>
          <w:rFonts w:ascii="Times New Roman" w:hAnsi="Times New Roman"/>
          <w:iCs/>
        </w:rPr>
        <w:tab/>
      </w:r>
      <w:r w:rsidRPr="00B379C9">
        <w:rPr>
          <w:rFonts w:ascii="Times New Roman" w:hAnsi="Times New Roman"/>
        </w:rPr>
        <w:t xml:space="preserve">The denial of procedural fairness found in </w:t>
      </w:r>
      <w:proofErr w:type="spellStart"/>
      <w:r w:rsidRPr="00B379C9">
        <w:rPr>
          <w:rFonts w:ascii="Times New Roman" w:hAnsi="Times New Roman"/>
          <w:i/>
          <w:iCs/>
        </w:rPr>
        <w:t>Aala</w:t>
      </w:r>
      <w:proofErr w:type="spellEnd"/>
      <w:r w:rsidRPr="00B379C9">
        <w:rPr>
          <w:rFonts w:ascii="Times New Roman" w:hAnsi="Times New Roman"/>
          <w:i/>
          <w:iCs/>
        </w:rPr>
        <w:t xml:space="preserve"> </w:t>
      </w:r>
      <w:r w:rsidRPr="00B379C9">
        <w:rPr>
          <w:rFonts w:ascii="Times New Roman" w:hAnsi="Times New Roman"/>
          <w:iCs/>
        </w:rPr>
        <w:t xml:space="preserve">was deprivation of an opportunity to lead evidence and present argument to answer inferences of fact which had resulted in the Refugee Review Tribunal making findings adverse to credit in concluding that the applicant did not have a well-founded fear of persecution. McHugh J in dissent found that the Tribunal would still have concluded that the applicant did not have a well-founded fear of persecution given </w:t>
      </w:r>
      <w:r w:rsidRPr="00B379C9">
        <w:rPr>
          <w:rFonts w:ascii="Times New Roman" w:hAnsi="Times New Roman"/>
          <w:iCs/>
        </w:rPr>
        <w:lastRenderedPageBreak/>
        <w:t>the overwhelming weight of evidence from independent sources</w:t>
      </w:r>
      <w:r w:rsidRPr="00B379C9">
        <w:rPr>
          <w:rStyle w:val="FootnoteReference"/>
          <w:rFonts w:ascii="Times New Roman" w:hAnsi="Times New Roman"/>
          <w:iCs/>
          <w:sz w:val="24"/>
        </w:rPr>
        <w:footnoteReference w:id="70"/>
      </w:r>
      <w:r w:rsidRPr="00B379C9">
        <w:rPr>
          <w:rFonts w:ascii="Times New Roman" w:hAnsi="Times New Roman"/>
          <w:iCs/>
        </w:rPr>
        <w:t>. The majority</w:t>
      </w:r>
      <w:r w:rsidRPr="00B379C9">
        <w:rPr>
          <w:rStyle w:val="FootnoteReference"/>
          <w:rFonts w:ascii="Times New Roman" w:hAnsi="Times New Roman"/>
          <w:iCs/>
          <w:sz w:val="24"/>
        </w:rPr>
        <w:footnoteReference w:id="71"/>
      </w:r>
      <w:r w:rsidRPr="00B379C9">
        <w:rPr>
          <w:rFonts w:ascii="Times New Roman" w:hAnsi="Times New Roman"/>
          <w:iCs/>
        </w:rPr>
        <w:t xml:space="preserve"> was unable to reach that finding. Gleeson CJ explained</w:t>
      </w:r>
      <w:r w:rsidRPr="00B379C9">
        <w:rPr>
          <w:rStyle w:val="FootnoteReference"/>
          <w:rFonts w:ascii="Times New Roman" w:hAnsi="Times New Roman"/>
          <w:iCs/>
          <w:sz w:val="24"/>
        </w:rPr>
        <w:footnoteReference w:id="72"/>
      </w:r>
      <w:r w:rsidRPr="00B379C9">
        <w:rPr>
          <w:rFonts w:ascii="Times New Roman" w:hAnsi="Times New Roman"/>
          <w:iCs/>
        </w:rPr>
        <w:t>:</w:t>
      </w:r>
    </w:p>
    <w:p w14:paraId="4AACA153" w14:textId="77777777" w:rsidR="0042544D" w:rsidRDefault="0042544D" w:rsidP="00B379C9">
      <w:pPr>
        <w:pStyle w:val="leftright"/>
        <w:spacing w:before="0" w:after="260" w:line="280" w:lineRule="exact"/>
        <w:ind w:right="0"/>
        <w:jc w:val="both"/>
        <w:rPr>
          <w:rFonts w:ascii="Times New Roman" w:hAnsi="Times New Roman"/>
        </w:rPr>
      </w:pPr>
      <w:r w:rsidRPr="00B379C9">
        <w:rPr>
          <w:rFonts w:ascii="Times New Roman" w:hAnsi="Times New Roman"/>
          <w:iCs/>
        </w:rPr>
        <w:t xml:space="preserve">"It is possible that, even if the [applicant] had been given an opportunity to deal with the point, the Tribunal's </w:t>
      </w:r>
      <w:proofErr w:type="gramStart"/>
      <w:r w:rsidRPr="00B379C9">
        <w:rPr>
          <w:rFonts w:ascii="Times New Roman" w:hAnsi="Times New Roman"/>
          <w:iCs/>
        </w:rPr>
        <w:t>ultimate conclusion</w:t>
      </w:r>
      <w:proofErr w:type="gramEnd"/>
      <w:r w:rsidRPr="00B379C9">
        <w:rPr>
          <w:rFonts w:ascii="Times New Roman" w:hAnsi="Times New Roman"/>
          <w:iCs/>
        </w:rPr>
        <w:t xml:space="preserve"> would have been the same. But no one can be sure of that. Decisions as to credibility are often based upon matters of impression, and an unfavourable view taken upon an otherwise minor issue may be decisive."</w:t>
      </w:r>
    </w:p>
    <w:p w14:paraId="5BB5D90C" w14:textId="77777777" w:rsidR="0042544D" w:rsidRPr="00B379C9" w:rsidRDefault="0042544D" w:rsidP="0042544D">
      <w:pPr>
        <w:pStyle w:val="FixListStyle"/>
        <w:numPr>
          <w:ilvl w:val="0"/>
          <w:numId w:val="18"/>
        </w:numPr>
        <w:spacing w:after="260" w:line="280" w:lineRule="exact"/>
        <w:ind w:left="0" w:right="0" w:hanging="720"/>
        <w:jc w:val="both"/>
        <w:rPr>
          <w:rFonts w:ascii="Times New Roman" w:hAnsi="Times New Roman"/>
        </w:rPr>
      </w:pPr>
      <w:r w:rsidRPr="00B379C9">
        <w:rPr>
          <w:rFonts w:ascii="Times New Roman" w:hAnsi="Times New Roman"/>
        </w:rPr>
        <w:tab/>
        <w:t>The approach to the assessment of the reasonableness of a conjecture that a decision could have been different had a fair opportunity to be heard been afforded</w:t>
      </w:r>
      <w:r>
        <w:rPr>
          <w:rFonts w:ascii="Times New Roman" w:hAnsi="Times New Roman"/>
        </w:rPr>
        <w:t> </w:t>
      </w:r>
      <w:r w:rsidRPr="00B379C9">
        <w:rPr>
          <w:rFonts w:ascii="Times New Roman" w:hAnsi="Times New Roman"/>
        </w:rPr>
        <w:t xml:space="preserve">– exemplified by both the holding in </w:t>
      </w:r>
      <w:r w:rsidRPr="00B379C9">
        <w:rPr>
          <w:rFonts w:ascii="Times New Roman" w:hAnsi="Times New Roman"/>
          <w:i/>
        </w:rPr>
        <w:t>Stead</w:t>
      </w:r>
      <w:r w:rsidRPr="00B379C9">
        <w:rPr>
          <w:rFonts w:ascii="Times New Roman" w:hAnsi="Times New Roman"/>
        </w:rPr>
        <w:t xml:space="preserve"> and the view taken by the majority in </w:t>
      </w:r>
      <w:proofErr w:type="spellStart"/>
      <w:r w:rsidRPr="00B379C9">
        <w:rPr>
          <w:rFonts w:ascii="Times New Roman" w:hAnsi="Times New Roman"/>
          <w:i/>
        </w:rPr>
        <w:t>Aala</w:t>
      </w:r>
      <w:proofErr w:type="spellEnd"/>
      <w:r w:rsidRPr="00B379C9">
        <w:rPr>
          <w:rFonts w:ascii="Times New Roman" w:hAnsi="Times New Roman"/>
          <w:i/>
        </w:rPr>
        <w:t xml:space="preserve"> </w:t>
      </w:r>
      <w:r w:rsidRPr="00B379C9">
        <w:rPr>
          <w:rFonts w:ascii="Times New Roman" w:hAnsi="Times New Roman"/>
          <w:iCs/>
        </w:rPr>
        <w:t>–</w:t>
      </w:r>
      <w:r w:rsidRPr="00B379C9">
        <w:rPr>
          <w:rFonts w:ascii="Times New Roman" w:hAnsi="Times New Roman"/>
          <w:i/>
        </w:rPr>
        <w:t xml:space="preserve"> </w:t>
      </w:r>
      <w:r w:rsidRPr="00B379C9">
        <w:rPr>
          <w:rFonts w:ascii="Times New Roman" w:hAnsi="Times New Roman"/>
        </w:rPr>
        <w:t>has been informed by the cumulation of curial experience. "[T]</w:t>
      </w:r>
      <w:proofErr w:type="gramStart"/>
      <w:r w:rsidRPr="00B379C9">
        <w:rPr>
          <w:rFonts w:ascii="Times New Roman" w:hAnsi="Times New Roman"/>
        </w:rPr>
        <w:t>he</w:t>
      </w:r>
      <w:proofErr w:type="gramEnd"/>
      <w:r w:rsidRPr="00B379C9">
        <w:rPr>
          <w:rFonts w:ascii="Times New Roman" w:hAnsi="Times New Roman"/>
        </w:rPr>
        <w:t xml:space="preserve"> path of the law is strewn with examples of open and shut cases which, somehow, were not; ... of inexplicable conduct which was fully explained; of fixed and unalterable determinations that, by discussion, suffered a change</w:t>
      </w:r>
      <w:r w:rsidRPr="00B379C9">
        <w:rPr>
          <w:rStyle w:val="FootnoteReference"/>
          <w:rFonts w:ascii="Times New Roman" w:hAnsi="Times New Roman"/>
          <w:sz w:val="24"/>
        </w:rPr>
        <w:footnoteReference w:id="73"/>
      </w:r>
      <w:r w:rsidRPr="00B379C9">
        <w:rPr>
          <w:rFonts w:ascii="Times New Roman" w:hAnsi="Times New Roman"/>
        </w:rPr>
        <w:t>."</w:t>
      </w:r>
    </w:p>
    <w:p w14:paraId="6A5490C7" w14:textId="77777777" w:rsidR="0042544D" w:rsidRPr="00B379C9" w:rsidRDefault="0042544D" w:rsidP="0042544D">
      <w:pPr>
        <w:pStyle w:val="FixListStyle"/>
        <w:numPr>
          <w:ilvl w:val="0"/>
          <w:numId w:val="18"/>
        </w:numPr>
        <w:spacing w:after="260" w:line="280" w:lineRule="exact"/>
        <w:ind w:left="0" w:right="0" w:hanging="720"/>
        <w:jc w:val="both"/>
        <w:rPr>
          <w:rFonts w:ascii="Times New Roman" w:hAnsi="Times New Roman"/>
        </w:rPr>
      </w:pPr>
      <w:r w:rsidRPr="00B379C9">
        <w:rPr>
          <w:rFonts w:ascii="Times New Roman" w:hAnsi="Times New Roman"/>
        </w:rPr>
        <w:tab/>
        <w:t>That approach also accords with one of the main justifications underlying the existence of the common law principle of statutory interpretation by operation of which procedural fairness is implied as a condition of the conferral of statutory decision-making authority: reduction of the risk of the decision-maker reaching an unsound conclusion and thereby reduction of the associated risks of injustice and inefficiency</w:t>
      </w:r>
      <w:r w:rsidRPr="00B379C9">
        <w:rPr>
          <w:rStyle w:val="FootnoteReference"/>
          <w:rFonts w:ascii="Times New Roman" w:hAnsi="Times New Roman"/>
          <w:sz w:val="24"/>
        </w:rPr>
        <w:footnoteReference w:id="74"/>
      </w:r>
      <w:r w:rsidRPr="00B379C9">
        <w:rPr>
          <w:rFonts w:ascii="Times New Roman" w:hAnsi="Times New Roman"/>
        </w:rPr>
        <w:t>. The importance of ensuring that a person whose interests are affected by a decision be given an opportunity to be heard before the decision is made is never greater than in those cases where there is a danger of thinking that nothing the person would be able to say could make any difference to the decision</w:t>
      </w:r>
      <w:r w:rsidRPr="00B379C9">
        <w:rPr>
          <w:rStyle w:val="FootnoteReference"/>
          <w:rFonts w:ascii="Times New Roman" w:hAnsi="Times New Roman"/>
          <w:sz w:val="24"/>
        </w:rPr>
        <w:footnoteReference w:id="75"/>
      </w:r>
      <w:r w:rsidRPr="00B379C9">
        <w:rPr>
          <w:rFonts w:ascii="Times New Roman" w:hAnsi="Times New Roman"/>
        </w:rPr>
        <w:t>.</w:t>
      </w:r>
    </w:p>
    <w:p w14:paraId="4942FFF4" w14:textId="77777777" w:rsidR="0042544D" w:rsidRPr="00B379C9" w:rsidRDefault="0042544D" w:rsidP="0042544D">
      <w:pPr>
        <w:pStyle w:val="FixListStyle"/>
        <w:numPr>
          <w:ilvl w:val="0"/>
          <w:numId w:val="18"/>
        </w:numPr>
        <w:spacing w:after="260" w:line="280" w:lineRule="exact"/>
        <w:ind w:left="0" w:right="0" w:hanging="720"/>
        <w:jc w:val="both"/>
        <w:rPr>
          <w:rFonts w:ascii="Times New Roman" w:hAnsi="Times New Roman"/>
        </w:rPr>
      </w:pPr>
      <w:r w:rsidRPr="00B379C9">
        <w:rPr>
          <w:rFonts w:ascii="Times New Roman" w:hAnsi="Times New Roman"/>
        </w:rPr>
        <w:tab/>
        <w:t xml:space="preserve">The emphasis in </w:t>
      </w:r>
      <w:r w:rsidRPr="00B379C9">
        <w:rPr>
          <w:rFonts w:ascii="Times New Roman" w:hAnsi="Times New Roman"/>
          <w:i/>
        </w:rPr>
        <w:t>SZMTA</w:t>
      </w:r>
      <w:r w:rsidRPr="00B379C9">
        <w:rPr>
          <w:rFonts w:ascii="Times New Roman" w:hAnsi="Times New Roman"/>
        </w:rPr>
        <w:t xml:space="preserve"> and </w:t>
      </w:r>
      <w:r w:rsidRPr="00B379C9">
        <w:rPr>
          <w:rFonts w:ascii="Times New Roman" w:hAnsi="Times New Roman"/>
          <w:i/>
        </w:rPr>
        <w:t xml:space="preserve">MZAPC </w:t>
      </w:r>
      <w:r w:rsidRPr="00B379C9">
        <w:rPr>
          <w:rFonts w:ascii="Times New Roman" w:hAnsi="Times New Roman"/>
          <w:iCs/>
        </w:rPr>
        <w:t>on the need for a denial of procedural fairness to meet the</w:t>
      </w:r>
      <w:r w:rsidRPr="00B379C9">
        <w:rPr>
          <w:rFonts w:ascii="Times New Roman" w:hAnsi="Times New Roman"/>
          <w:i/>
        </w:rPr>
        <w:t xml:space="preserve"> </w:t>
      </w:r>
      <w:r w:rsidRPr="00B379C9">
        <w:rPr>
          <w:rFonts w:ascii="Times New Roman" w:hAnsi="Times New Roman"/>
        </w:rPr>
        <w:t xml:space="preserve">threshold of materiality </w:t>
      </w:r>
      <w:proofErr w:type="gramStart"/>
      <w:r w:rsidRPr="00B379C9">
        <w:rPr>
          <w:rFonts w:ascii="Times New Roman" w:hAnsi="Times New Roman"/>
        </w:rPr>
        <w:t>in order to</w:t>
      </w:r>
      <w:proofErr w:type="gramEnd"/>
      <w:r w:rsidRPr="00B379C9">
        <w:rPr>
          <w:rFonts w:ascii="Times New Roman" w:hAnsi="Times New Roman"/>
        </w:rPr>
        <w:t xml:space="preserve"> give rise to jurisdictional error does not ignore that curial experience or depart from that underlying </w:t>
      </w:r>
      <w:r w:rsidRPr="00B379C9">
        <w:rPr>
          <w:rFonts w:ascii="Times New Roman" w:hAnsi="Times New Roman"/>
        </w:rPr>
        <w:lastRenderedPageBreak/>
        <w:t xml:space="preserve">justification for the implication of a condition of procedural fairness. In each of </w:t>
      </w:r>
      <w:r w:rsidRPr="00B379C9">
        <w:rPr>
          <w:rFonts w:ascii="Times New Roman" w:hAnsi="Times New Roman"/>
          <w:i/>
        </w:rPr>
        <w:t>SZMTA</w:t>
      </w:r>
      <w:r w:rsidRPr="00B379C9">
        <w:rPr>
          <w:rStyle w:val="FootnoteReference"/>
          <w:rFonts w:ascii="Times New Roman" w:hAnsi="Times New Roman"/>
          <w:iCs/>
          <w:sz w:val="24"/>
        </w:rPr>
        <w:footnoteReference w:id="76"/>
      </w:r>
      <w:r w:rsidRPr="00B379C9">
        <w:rPr>
          <w:rFonts w:ascii="Times New Roman" w:hAnsi="Times New Roman"/>
          <w:iCs/>
        </w:rPr>
        <w:t xml:space="preserve"> </w:t>
      </w:r>
      <w:r w:rsidRPr="00B379C9">
        <w:rPr>
          <w:rFonts w:ascii="Times New Roman" w:hAnsi="Times New Roman"/>
        </w:rPr>
        <w:t xml:space="preserve">and </w:t>
      </w:r>
      <w:r w:rsidRPr="00B379C9">
        <w:rPr>
          <w:rFonts w:ascii="Times New Roman" w:hAnsi="Times New Roman"/>
          <w:i/>
        </w:rPr>
        <w:t>MZAPC</w:t>
      </w:r>
      <w:r w:rsidRPr="00B379C9">
        <w:rPr>
          <w:rStyle w:val="FootnoteReference"/>
          <w:rFonts w:ascii="Times New Roman" w:hAnsi="Times New Roman"/>
          <w:iCs/>
          <w:sz w:val="24"/>
        </w:rPr>
        <w:footnoteReference w:id="77"/>
      </w:r>
      <w:r w:rsidRPr="00B379C9">
        <w:rPr>
          <w:rFonts w:ascii="Times New Roman" w:hAnsi="Times New Roman"/>
          <w:iCs/>
        </w:rPr>
        <w:t xml:space="preserve"> </w:t>
      </w:r>
      <w:r w:rsidRPr="00B379C9">
        <w:rPr>
          <w:rFonts w:ascii="Times New Roman" w:hAnsi="Times New Roman"/>
        </w:rPr>
        <w:t xml:space="preserve">the denial of procedural fairness was a failure on the part of the Administrative Appeals Tribunal to inform the applicant of the triggering of a procedural impediment to the Tribunal considering information forwarded by the Secretary of the Department of Immigration and Border Protection to the Registrar of the Tribunal. </w:t>
      </w:r>
    </w:p>
    <w:p w14:paraId="2A620F6E" w14:textId="77777777" w:rsidR="0042544D" w:rsidRPr="00B379C9" w:rsidRDefault="0042544D" w:rsidP="0042544D">
      <w:pPr>
        <w:pStyle w:val="FixListStyle"/>
        <w:numPr>
          <w:ilvl w:val="0"/>
          <w:numId w:val="18"/>
        </w:numPr>
        <w:spacing w:after="260" w:line="280" w:lineRule="exact"/>
        <w:ind w:left="0" w:right="0" w:hanging="720"/>
        <w:jc w:val="both"/>
        <w:rPr>
          <w:rFonts w:ascii="Times New Roman" w:hAnsi="Times New Roman"/>
        </w:rPr>
      </w:pPr>
      <w:r w:rsidRPr="00B379C9">
        <w:rPr>
          <w:rFonts w:ascii="Times New Roman" w:hAnsi="Times New Roman"/>
        </w:rPr>
        <w:tab/>
        <w:t xml:space="preserve">In </w:t>
      </w:r>
      <w:r w:rsidRPr="00B379C9">
        <w:rPr>
          <w:rFonts w:ascii="Times New Roman" w:hAnsi="Times New Roman"/>
          <w:i/>
        </w:rPr>
        <w:t>SZMTA</w:t>
      </w:r>
      <w:r w:rsidRPr="00B379C9">
        <w:rPr>
          <w:rStyle w:val="FootnoteReference"/>
          <w:rFonts w:ascii="Times New Roman" w:hAnsi="Times New Roman"/>
          <w:sz w:val="24"/>
        </w:rPr>
        <w:footnoteReference w:id="78"/>
      </w:r>
      <w:r w:rsidRPr="00B379C9">
        <w:rPr>
          <w:rFonts w:ascii="Times New Roman" w:hAnsi="Times New Roman"/>
        </w:rPr>
        <w:t xml:space="preserve"> it was established that some of the information, if considered, had the potential to have borne on the decision of the Tribunal in a manner favourable to </w:t>
      </w:r>
      <w:r w:rsidRPr="00B379C9">
        <w:rPr>
          <w:rFonts w:ascii="Times New Roman" w:hAnsi="Times New Roman"/>
          <w:iCs/>
        </w:rPr>
        <w:t xml:space="preserve">the applicant. However, the applicant in </w:t>
      </w:r>
      <w:r w:rsidRPr="00B379C9">
        <w:rPr>
          <w:rFonts w:ascii="Times New Roman" w:hAnsi="Times New Roman"/>
          <w:i/>
        </w:rPr>
        <w:t>SZMTA</w:t>
      </w:r>
      <w:r w:rsidRPr="00B379C9">
        <w:rPr>
          <w:rFonts w:ascii="Times New Roman" w:hAnsi="Times New Roman"/>
          <w:iCs/>
        </w:rPr>
        <w:t xml:space="preserve"> failed to show that the </w:t>
      </w:r>
      <w:r w:rsidRPr="00B379C9">
        <w:rPr>
          <w:rFonts w:ascii="Times New Roman" w:hAnsi="Times New Roman"/>
        </w:rPr>
        <w:t>denial of procedural fairness was material in that procedural context because, although it was to be inferred as an historical fact on the balance of probabilities that the Tribunal did not consider the potentially favourable information in making the decision, the information was "of such marginal significance" that it was not reasonable to conjecture that considering the information could realistically have made a difference to the decision</w:t>
      </w:r>
      <w:r w:rsidRPr="00B379C9">
        <w:rPr>
          <w:rStyle w:val="FootnoteReference"/>
          <w:rFonts w:ascii="Times New Roman" w:hAnsi="Times New Roman"/>
          <w:iCs/>
          <w:sz w:val="24"/>
        </w:rPr>
        <w:footnoteReference w:id="79"/>
      </w:r>
      <w:r w:rsidRPr="00B379C9">
        <w:rPr>
          <w:rFonts w:ascii="Times New Roman" w:hAnsi="Times New Roman"/>
        </w:rPr>
        <w:t xml:space="preserve">. </w:t>
      </w:r>
    </w:p>
    <w:p w14:paraId="0EF6B5FF" w14:textId="77777777" w:rsidR="0042544D" w:rsidRPr="00B379C9" w:rsidRDefault="0042544D" w:rsidP="0042544D">
      <w:pPr>
        <w:pStyle w:val="FixListStyle"/>
        <w:numPr>
          <w:ilvl w:val="0"/>
          <w:numId w:val="18"/>
        </w:numPr>
        <w:spacing w:after="260" w:line="280" w:lineRule="exact"/>
        <w:ind w:left="0" w:right="0" w:hanging="720"/>
        <w:jc w:val="both"/>
        <w:rPr>
          <w:rFonts w:ascii="Times New Roman" w:hAnsi="Times New Roman"/>
        </w:rPr>
      </w:pPr>
      <w:r w:rsidRPr="00B379C9">
        <w:rPr>
          <w:rFonts w:ascii="Times New Roman" w:hAnsi="Times New Roman"/>
          <w:iCs/>
        </w:rPr>
        <w:tab/>
        <w:t xml:space="preserve">Conversely, the information </w:t>
      </w:r>
      <w:r w:rsidRPr="00B379C9">
        <w:rPr>
          <w:rFonts w:ascii="Times New Roman" w:hAnsi="Times New Roman"/>
        </w:rPr>
        <w:t xml:space="preserve">in </w:t>
      </w:r>
      <w:r w:rsidRPr="00B379C9">
        <w:rPr>
          <w:rFonts w:ascii="Times New Roman" w:hAnsi="Times New Roman"/>
          <w:i/>
        </w:rPr>
        <w:t>MZAPC</w:t>
      </w:r>
      <w:r w:rsidRPr="00B379C9">
        <w:rPr>
          <w:rFonts w:ascii="Times New Roman" w:hAnsi="Times New Roman"/>
          <w:iCs/>
        </w:rPr>
        <w:t xml:space="preserve"> had the potential to have borne adversely on the credit of the applicant. The applicant in that case still failed to show that the </w:t>
      </w:r>
      <w:r w:rsidRPr="00B379C9">
        <w:rPr>
          <w:rFonts w:ascii="Times New Roman" w:hAnsi="Times New Roman"/>
        </w:rPr>
        <w:t>denial of procedural fairness was material. That was because no inference was able to be drawn on the balance of probabilities that the Tribunal in fact took the potentially adverse information into account in making the decision</w:t>
      </w:r>
      <w:r w:rsidRPr="00B379C9">
        <w:rPr>
          <w:rStyle w:val="FootnoteReference"/>
          <w:rFonts w:ascii="Times New Roman" w:hAnsi="Times New Roman"/>
          <w:iCs/>
          <w:sz w:val="24"/>
        </w:rPr>
        <w:footnoteReference w:id="80"/>
      </w:r>
      <w:r w:rsidRPr="00B379C9">
        <w:rPr>
          <w:rFonts w:ascii="Times New Roman" w:hAnsi="Times New Roman"/>
        </w:rPr>
        <w:t>. A majority</w:t>
      </w:r>
      <w:r w:rsidRPr="00B379C9">
        <w:rPr>
          <w:rFonts w:ascii="Times New Roman" w:hAnsi="Times New Roman"/>
          <w:i/>
        </w:rPr>
        <w:t xml:space="preserve"> </w:t>
      </w:r>
      <w:r w:rsidRPr="00B379C9">
        <w:rPr>
          <w:rFonts w:ascii="Times New Roman" w:hAnsi="Times New Roman"/>
        </w:rPr>
        <w:t xml:space="preserve">nevertheless readily accepted as realistic the possibility that the decision of the Tribunal could have been different had the Tribunal in fact taken the information into account </w:t>
      </w:r>
      <w:r w:rsidRPr="00B379C9">
        <w:rPr>
          <w:rFonts w:ascii="Times New Roman" w:hAnsi="Times New Roman"/>
          <w:iCs/>
        </w:rPr>
        <w:t>in assessing the credit of the applicant</w:t>
      </w:r>
      <w:r w:rsidRPr="00B379C9">
        <w:rPr>
          <w:rStyle w:val="FootnoteReference"/>
          <w:rFonts w:ascii="Times New Roman" w:hAnsi="Times New Roman"/>
          <w:iCs/>
          <w:sz w:val="24"/>
        </w:rPr>
        <w:footnoteReference w:id="81"/>
      </w:r>
      <w:r w:rsidRPr="00B379C9">
        <w:rPr>
          <w:rFonts w:ascii="Times New Roman" w:hAnsi="Times New Roman"/>
        </w:rPr>
        <w:t>.</w:t>
      </w:r>
    </w:p>
    <w:p w14:paraId="29B0B29B" w14:textId="77777777" w:rsidR="0042544D" w:rsidRPr="00B379C9" w:rsidRDefault="0042544D" w:rsidP="0042544D">
      <w:pPr>
        <w:pStyle w:val="FixListStyle"/>
        <w:numPr>
          <w:ilvl w:val="0"/>
          <w:numId w:val="18"/>
        </w:numPr>
        <w:spacing w:after="260" w:line="280" w:lineRule="exact"/>
        <w:ind w:left="0" w:right="0" w:hanging="720"/>
        <w:jc w:val="both"/>
        <w:rPr>
          <w:rFonts w:ascii="Times New Roman" w:hAnsi="Times New Roman"/>
        </w:rPr>
      </w:pPr>
      <w:r w:rsidRPr="00B379C9">
        <w:rPr>
          <w:rFonts w:ascii="Times New Roman" w:hAnsi="Times New Roman"/>
        </w:rPr>
        <w:tab/>
        <w:t xml:space="preserve">Returning to the statement in </w:t>
      </w:r>
      <w:r w:rsidRPr="00B379C9">
        <w:rPr>
          <w:rFonts w:ascii="Times New Roman" w:hAnsi="Times New Roman"/>
          <w:i/>
        </w:rPr>
        <w:t>WZARH</w:t>
      </w:r>
      <w:r w:rsidRPr="00B379C9">
        <w:rPr>
          <w:rFonts w:ascii="Times New Roman" w:hAnsi="Times New Roman"/>
        </w:rPr>
        <w:t xml:space="preserve">, and now explaining it </w:t>
      </w:r>
      <w:proofErr w:type="gramStart"/>
      <w:r w:rsidRPr="00B379C9">
        <w:rPr>
          <w:rFonts w:ascii="Times New Roman" w:hAnsi="Times New Roman"/>
        </w:rPr>
        <w:t>in light of</w:t>
      </w:r>
      <w:proofErr w:type="gramEnd"/>
      <w:r w:rsidRPr="00B379C9">
        <w:rPr>
          <w:rFonts w:ascii="Times New Roman" w:hAnsi="Times New Roman"/>
        </w:rPr>
        <w:t xml:space="preserve"> </w:t>
      </w:r>
      <w:r w:rsidRPr="00B379C9">
        <w:rPr>
          <w:rFonts w:ascii="Times New Roman" w:hAnsi="Times New Roman"/>
          <w:i/>
        </w:rPr>
        <w:t>SZMTA</w:t>
      </w:r>
      <w:r w:rsidRPr="00B379C9">
        <w:rPr>
          <w:rFonts w:ascii="Times New Roman" w:hAnsi="Times New Roman"/>
        </w:rPr>
        <w:t xml:space="preserve"> and </w:t>
      </w:r>
      <w:r w:rsidRPr="00B379C9">
        <w:rPr>
          <w:rFonts w:ascii="Times New Roman" w:hAnsi="Times New Roman"/>
          <w:i/>
        </w:rPr>
        <w:t>MZAPC</w:t>
      </w:r>
      <w:r w:rsidRPr="00B379C9">
        <w:rPr>
          <w:rFonts w:ascii="Times New Roman" w:hAnsi="Times New Roman"/>
          <w:iCs/>
        </w:rPr>
        <w:t xml:space="preserve">, the starting point is to highlight its foundational proposition that </w:t>
      </w:r>
      <w:r w:rsidRPr="00B379C9">
        <w:rPr>
          <w:rFonts w:ascii="Times New Roman" w:hAnsi="Times New Roman"/>
        </w:rPr>
        <w:t xml:space="preserve">where the procedure adopted by an administrator can be shown on the balance of probabilities itself to have failed to afford a fair opportunity to be heard, a denial of procedural fairness will be established by nothing more than that failure. Building on that foundation, the statement can be taken to underscore that the denial of procedural fairness so established on the balance of probabilities will </w:t>
      </w:r>
      <w:r w:rsidRPr="00B379C9">
        <w:rPr>
          <w:rFonts w:ascii="Times New Roman" w:hAnsi="Times New Roman"/>
        </w:rPr>
        <w:lastRenderedPageBreak/>
        <w:t xml:space="preserve">result in a finding of jurisdictional error if the applicant for relief establishes nothing more than the reasonableness, within the parameters set by the historical facts established on the balance of probabilities, of the conjecture that the decision </w:t>
      </w:r>
      <w:r w:rsidRPr="00B379C9">
        <w:rPr>
          <w:rFonts w:ascii="Times New Roman" w:hAnsi="Times New Roman"/>
          <w:i/>
        </w:rPr>
        <w:t>could</w:t>
      </w:r>
      <w:r w:rsidRPr="00B379C9">
        <w:rPr>
          <w:rFonts w:ascii="Times New Roman" w:hAnsi="Times New Roman"/>
        </w:rPr>
        <w:t xml:space="preserve"> have been different had a fair opportunity to be heard been afforded. Unless there is something in the historical facts established on the balance of probabilities upon which to base an inference that the decision could not have been different had a fair opportunity to be heard been afforded, establishing the reasonableness of that conjecture will not be difficult.</w:t>
      </w:r>
    </w:p>
    <w:p w14:paraId="7AC0BC45" w14:textId="77777777" w:rsidR="0042544D" w:rsidRPr="00B379C9" w:rsidRDefault="0042544D" w:rsidP="0042544D">
      <w:pPr>
        <w:pStyle w:val="FixListStyle"/>
        <w:numPr>
          <w:ilvl w:val="0"/>
          <w:numId w:val="18"/>
        </w:numPr>
        <w:spacing w:after="260" w:line="280" w:lineRule="exact"/>
        <w:ind w:left="0" w:right="0" w:hanging="720"/>
        <w:jc w:val="both"/>
        <w:rPr>
          <w:rFonts w:ascii="Times New Roman" w:hAnsi="Times New Roman"/>
        </w:rPr>
      </w:pPr>
      <w:r w:rsidRPr="00B379C9">
        <w:rPr>
          <w:rFonts w:ascii="Times New Roman" w:hAnsi="Times New Roman"/>
        </w:rPr>
        <w:tab/>
        <w:t xml:space="preserve">In the present case, the circumstances of which are fully described by Kiefel CJ, Keane and Gleeson JJ, the denial of procedural fairness lay in the failure of the Tribunal to afford the appellant a fair opportunity to be heard on a decision-making criterion. The appellant had already presented some evidence and made some submissions concerning events which related to that criterion. But he had presented that evidence and made those submissions without having had his attention adequately drawn to the significance of that decision-making criterion and therefore without having been put on notice of the possible significance of those events to that criterion. That decision-making criterion was shown by the Tribunal's reasons to have borne centrally on the evaluative and discretionary decision which the Tribunal went on in fact to make adversely to the appellant. </w:t>
      </w:r>
    </w:p>
    <w:p w14:paraId="4F03ACB6" w14:textId="77777777" w:rsidR="0042544D" w:rsidRPr="00B379C9" w:rsidRDefault="0042544D" w:rsidP="0042544D">
      <w:pPr>
        <w:pStyle w:val="FixListStyle"/>
        <w:numPr>
          <w:ilvl w:val="0"/>
          <w:numId w:val="18"/>
        </w:numPr>
        <w:spacing w:after="260" w:line="280" w:lineRule="exact"/>
        <w:ind w:left="0" w:right="0" w:hanging="720"/>
        <w:jc w:val="both"/>
        <w:rPr>
          <w:rFonts w:ascii="Times New Roman" w:hAnsi="Times New Roman"/>
        </w:rPr>
      </w:pPr>
      <w:r w:rsidRPr="00B379C9">
        <w:rPr>
          <w:rFonts w:ascii="Times New Roman" w:hAnsi="Times New Roman"/>
        </w:rPr>
        <w:tab/>
        <w:t xml:space="preserve">Nothing in the historical facts established on the balance of probabilities concerning the course of the proceeding before the Tribunal casts doubt on the reasonableness of the conjecture that the appellant would have taken up the denied opportunity to be heard on that decision-making criterion had it been afforded to him. The reasonable conjecture is that he would have done so at least to the extent of making further submissions directed specifically to the significance of already adduced evidence to the newly introduced decision-making criterion. Quite properly, senior counsel for the Minister conceded as much </w:t>
      </w:r>
      <w:proofErr w:type="gramStart"/>
      <w:r w:rsidRPr="00B379C9">
        <w:rPr>
          <w:rFonts w:ascii="Times New Roman" w:hAnsi="Times New Roman"/>
        </w:rPr>
        <w:t>in the course of</w:t>
      </w:r>
      <w:proofErr w:type="gramEnd"/>
      <w:r w:rsidRPr="00B379C9">
        <w:rPr>
          <w:rFonts w:ascii="Times New Roman" w:hAnsi="Times New Roman"/>
        </w:rPr>
        <w:t xml:space="preserve"> oral argument on the appeal.</w:t>
      </w:r>
    </w:p>
    <w:p w14:paraId="5B058F84" w14:textId="77777777" w:rsidR="0042544D" w:rsidRPr="00B379C9" w:rsidRDefault="0042544D" w:rsidP="0042544D">
      <w:pPr>
        <w:pStyle w:val="FixListStyle"/>
        <w:numPr>
          <w:ilvl w:val="0"/>
          <w:numId w:val="18"/>
        </w:numPr>
        <w:spacing w:after="260" w:line="280" w:lineRule="exact"/>
        <w:ind w:left="0" w:right="0" w:hanging="720"/>
        <w:jc w:val="both"/>
        <w:rPr>
          <w:rFonts w:ascii="Times New Roman" w:hAnsi="Times New Roman"/>
        </w:rPr>
      </w:pPr>
      <w:r w:rsidRPr="00B379C9">
        <w:rPr>
          <w:rFonts w:ascii="Times New Roman" w:hAnsi="Times New Roman"/>
        </w:rPr>
        <w:tab/>
        <w:t>What is more, there is nothing in the historical facts established on the balance of probabilities, concerning the applicable decision-making criterion or the reasons for the decision which the Tribunal in fact made, that casts doubt on the reasonableness of the conjecture that, had the Tribunal afforded the appellant procedural fairness, the Tribunal may have been influenced by the appellant's further evidence or submissions to form a different evaluative judgment in respect of the relevant decision-making criterion so as to arrive at a different decision.</w:t>
      </w:r>
    </w:p>
    <w:p w14:paraId="1A502A1E" w14:textId="2550F615" w:rsidR="0042544D" w:rsidRDefault="0042544D" w:rsidP="003E5CB9">
      <w:pPr>
        <w:pStyle w:val="FixListStyle"/>
        <w:numPr>
          <w:ilvl w:val="0"/>
          <w:numId w:val="18"/>
        </w:numPr>
        <w:spacing w:after="260" w:line="280" w:lineRule="exact"/>
        <w:ind w:left="0" w:right="0" w:hanging="720"/>
        <w:jc w:val="both"/>
      </w:pPr>
      <w:r w:rsidRPr="00C823A5">
        <w:rPr>
          <w:rFonts w:ascii="Times New Roman" w:hAnsi="Times New Roman"/>
          <w:iCs/>
        </w:rPr>
        <w:tab/>
        <w:t>With these additional observations, I agree with the reasoning and orders proposed by Kiefel CJ, Keane and Gleeson JJ.</w:t>
      </w:r>
    </w:p>
    <w:p w14:paraId="2D2C27DE" w14:textId="77777777" w:rsidR="0042544D" w:rsidRDefault="0042544D" w:rsidP="002A3AAE">
      <w:pPr>
        <w:pStyle w:val="FixListStyle"/>
        <w:spacing w:after="260" w:line="280" w:lineRule="exact"/>
        <w:ind w:right="0"/>
        <w:jc w:val="both"/>
        <w:rPr>
          <w:rFonts w:ascii="Times New Roman" w:hAnsi="Times New Roman"/>
        </w:rPr>
        <w:sectPr w:rsidR="0042544D" w:rsidSect="0042544D">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4188BDFC" w14:textId="77777777" w:rsidR="0042544D" w:rsidRPr="00B11350" w:rsidRDefault="0042544D" w:rsidP="0042544D">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B11350">
        <w:rPr>
          <w:rFonts w:ascii="Times New Roman" w:hAnsi="Times New Roman"/>
        </w:rPr>
        <w:lastRenderedPageBreak/>
        <w:t xml:space="preserve">GORDON J.   Mr Nathanson's visa was cancelled under s 501(3A) of the </w:t>
      </w:r>
      <w:r w:rsidRPr="00B11350">
        <w:rPr>
          <w:rFonts w:ascii="Times New Roman" w:hAnsi="Times New Roman"/>
          <w:i/>
        </w:rPr>
        <w:t xml:space="preserve">Migration Act 1958 </w:t>
      </w:r>
      <w:r w:rsidRPr="00B11350">
        <w:rPr>
          <w:rFonts w:ascii="Times New Roman" w:hAnsi="Times New Roman"/>
        </w:rPr>
        <w:t xml:space="preserve">(Cth) on character grounds </w:t>
      </w:r>
      <w:r w:rsidRPr="00B11350">
        <w:rPr>
          <w:rFonts w:ascii="Times New Roman" w:hAnsi="Times New Roman"/>
          <w:bCs/>
        </w:rPr>
        <w:t>("the cancellation decision")</w:t>
      </w:r>
      <w:r w:rsidRPr="00B11350">
        <w:rPr>
          <w:rFonts w:ascii="Times New Roman" w:hAnsi="Times New Roman"/>
        </w:rPr>
        <w:t>. A</w:t>
      </w:r>
      <w:r>
        <w:rPr>
          <w:rFonts w:ascii="Times New Roman" w:hAnsi="Times New Roman"/>
        </w:rPr>
        <w:t> </w:t>
      </w:r>
      <w:r w:rsidRPr="00B11350">
        <w:rPr>
          <w:rFonts w:ascii="Times New Roman" w:hAnsi="Times New Roman"/>
        </w:rPr>
        <w:t>delegate of the Minister for Home Affairs ("the Minister") decided not to revoke the cancellation decision under s 501</w:t>
      </w:r>
      <w:proofErr w:type="gramStart"/>
      <w:r w:rsidRPr="00B11350">
        <w:rPr>
          <w:rFonts w:ascii="Times New Roman" w:hAnsi="Times New Roman"/>
        </w:rPr>
        <w:t>CA(</w:t>
      </w:r>
      <w:proofErr w:type="gramEnd"/>
      <w:r w:rsidRPr="00B11350">
        <w:rPr>
          <w:rFonts w:ascii="Times New Roman" w:hAnsi="Times New Roman"/>
        </w:rPr>
        <w:t xml:space="preserve">4) of the </w:t>
      </w:r>
      <w:r w:rsidRPr="00B11350">
        <w:rPr>
          <w:rFonts w:ascii="Times New Roman" w:hAnsi="Times New Roman"/>
          <w:i/>
        </w:rPr>
        <w:t>Migration Act</w:t>
      </w:r>
      <w:r w:rsidRPr="00B11350">
        <w:rPr>
          <w:rFonts w:ascii="Times New Roman" w:hAnsi="Times New Roman"/>
        </w:rPr>
        <w:t>. Mr Nathanson sought review of that decision by the Administrative Appeals Tribunal ("the</w:t>
      </w:r>
      <w:r>
        <w:rPr>
          <w:rFonts w:ascii="Times New Roman" w:hAnsi="Times New Roman"/>
        </w:rPr>
        <w:t> </w:t>
      </w:r>
      <w:r w:rsidRPr="00B11350">
        <w:rPr>
          <w:rFonts w:ascii="Times New Roman" w:hAnsi="Times New Roman"/>
        </w:rPr>
        <w:t>Tribunal") under s 500(</w:t>
      </w:r>
      <w:proofErr w:type="gramStart"/>
      <w:r w:rsidRPr="00B11350">
        <w:rPr>
          <w:rFonts w:ascii="Times New Roman" w:hAnsi="Times New Roman"/>
        </w:rPr>
        <w:t>1)(</w:t>
      </w:r>
      <w:proofErr w:type="spellStart"/>
      <w:proofErr w:type="gramEnd"/>
      <w:r w:rsidRPr="00B11350">
        <w:rPr>
          <w:rFonts w:ascii="Times New Roman" w:hAnsi="Times New Roman"/>
        </w:rPr>
        <w:t>ba</w:t>
      </w:r>
      <w:proofErr w:type="spellEnd"/>
      <w:r w:rsidRPr="00B11350">
        <w:rPr>
          <w:rFonts w:ascii="Times New Roman" w:hAnsi="Times New Roman"/>
        </w:rPr>
        <w:t xml:space="preserve">) of the </w:t>
      </w:r>
      <w:r w:rsidRPr="00B11350">
        <w:rPr>
          <w:rFonts w:ascii="Times New Roman" w:hAnsi="Times New Roman"/>
          <w:i/>
        </w:rPr>
        <w:t>Migration Act</w:t>
      </w:r>
      <w:r w:rsidRPr="00B11350">
        <w:rPr>
          <w:rFonts w:ascii="Times New Roman" w:hAnsi="Times New Roman"/>
        </w:rPr>
        <w:t xml:space="preserve">. It is not in dispute that Mr Nathanson was denied procedural fairness before the Tribunal, in that he was not given an opportunity to give or adduce evidence or to make submissions on the way in which two domestic violence incidents should affect the Tribunal's consideration of the primary consideration of the protection of the Australian community under </w:t>
      </w:r>
      <w:r w:rsidRPr="00B11350">
        <w:rPr>
          <w:rFonts w:ascii="Times New Roman" w:hAnsi="Times New Roman"/>
          <w:i/>
          <w:iCs/>
        </w:rPr>
        <w:t>Direction No 79 – Migration Act 1958 – Direction under section</w:t>
      </w:r>
      <w:r>
        <w:rPr>
          <w:rFonts w:ascii="Times New Roman" w:hAnsi="Times New Roman"/>
          <w:i/>
          <w:iCs/>
        </w:rPr>
        <w:t> </w:t>
      </w:r>
      <w:r w:rsidRPr="00B11350">
        <w:rPr>
          <w:rFonts w:ascii="Times New Roman" w:hAnsi="Times New Roman"/>
          <w:i/>
          <w:iCs/>
        </w:rPr>
        <w:t>499 – Visa refusal and cancellation under s 501 and revocation of a mandatory cancellation of a visa under s 501CA</w:t>
      </w:r>
      <w:r w:rsidRPr="00B11350">
        <w:rPr>
          <w:rFonts w:ascii="Times New Roman" w:hAnsi="Times New Roman"/>
        </w:rPr>
        <w:t xml:space="preserve"> ("Direction 79"). Direction 79, given by the then Minister for Immigration, Citizenship and Multicultural Affairs under s 499 of the </w:t>
      </w:r>
      <w:r w:rsidRPr="00B11350">
        <w:rPr>
          <w:rFonts w:ascii="Times New Roman" w:hAnsi="Times New Roman"/>
          <w:i/>
          <w:iCs/>
        </w:rPr>
        <w:t>Migration Act</w:t>
      </w:r>
      <w:r w:rsidRPr="00B11350">
        <w:rPr>
          <w:rStyle w:val="FootnoteReference"/>
          <w:rFonts w:ascii="Times New Roman" w:hAnsi="Times New Roman"/>
          <w:sz w:val="24"/>
        </w:rPr>
        <w:footnoteReference w:id="82"/>
      </w:r>
      <w:r w:rsidRPr="00B11350">
        <w:rPr>
          <w:rFonts w:ascii="Times New Roman" w:hAnsi="Times New Roman"/>
        </w:rPr>
        <w:t xml:space="preserve">, came into force after Mr Nathanson lodged his review application but before the application was heard by the Tribunal. </w:t>
      </w:r>
    </w:p>
    <w:p w14:paraId="35ED3813" w14:textId="77777777" w:rsidR="0042544D" w:rsidRPr="00B11350" w:rsidRDefault="0042544D" w:rsidP="0042544D">
      <w:pPr>
        <w:pStyle w:val="FixListStyle"/>
        <w:numPr>
          <w:ilvl w:val="0"/>
          <w:numId w:val="18"/>
        </w:numPr>
        <w:spacing w:after="260" w:line="280" w:lineRule="exact"/>
        <w:ind w:left="0" w:right="0" w:hanging="720"/>
        <w:jc w:val="both"/>
        <w:rPr>
          <w:rFonts w:ascii="Times New Roman" w:hAnsi="Times New Roman"/>
        </w:rPr>
      </w:pPr>
      <w:r w:rsidRPr="00B11350">
        <w:rPr>
          <w:rFonts w:ascii="Times New Roman" w:hAnsi="Times New Roman"/>
        </w:rPr>
        <w:tab/>
        <w:t xml:space="preserve">Direction 79 replaced </w:t>
      </w:r>
      <w:r w:rsidRPr="00B11350">
        <w:rPr>
          <w:rFonts w:ascii="Times New Roman" w:hAnsi="Times New Roman"/>
          <w:i/>
        </w:rPr>
        <w:t xml:space="preserve">Direction No 65 – </w:t>
      </w:r>
      <w:r w:rsidRPr="00B11350">
        <w:rPr>
          <w:rFonts w:ascii="Times New Roman" w:hAnsi="Times New Roman"/>
          <w:i/>
          <w:iCs/>
        </w:rPr>
        <w:t>Migration Act 1958 – Direction</w:t>
      </w:r>
      <w:r>
        <w:rPr>
          <w:rFonts w:ascii="Times New Roman" w:hAnsi="Times New Roman"/>
          <w:i/>
          <w:iCs/>
        </w:rPr>
        <w:t> </w:t>
      </w:r>
      <w:r w:rsidRPr="00B11350">
        <w:rPr>
          <w:rFonts w:ascii="Times New Roman" w:hAnsi="Times New Roman"/>
          <w:i/>
          <w:iCs/>
        </w:rPr>
        <w:t xml:space="preserve">under section 499 – </w:t>
      </w:r>
      <w:r w:rsidRPr="00B11350">
        <w:rPr>
          <w:rFonts w:ascii="Times New Roman" w:hAnsi="Times New Roman"/>
          <w:i/>
        </w:rPr>
        <w:t>Visa refusal and cancellation under s 501 and revocation of a mandatory cancellation of a visa under s 501CA</w:t>
      </w:r>
      <w:r w:rsidRPr="00B11350">
        <w:rPr>
          <w:rFonts w:ascii="Times New Roman" w:hAnsi="Times New Roman"/>
        </w:rPr>
        <w:t xml:space="preserve"> ("Direction 65"). Direction 79 prescribed the same primary and other considerations as Direction</w:t>
      </w:r>
      <w:r>
        <w:rPr>
          <w:rFonts w:ascii="Times New Roman" w:hAnsi="Times New Roman"/>
        </w:rPr>
        <w:t> </w:t>
      </w:r>
      <w:r w:rsidRPr="00B11350">
        <w:rPr>
          <w:rFonts w:ascii="Times New Roman" w:hAnsi="Times New Roman"/>
        </w:rPr>
        <w:t>65</w:t>
      </w:r>
      <w:r w:rsidRPr="00B11350">
        <w:rPr>
          <w:rStyle w:val="FootnoteReference"/>
          <w:rFonts w:ascii="Times New Roman" w:hAnsi="Times New Roman"/>
          <w:sz w:val="24"/>
        </w:rPr>
        <w:footnoteReference w:id="83"/>
      </w:r>
      <w:r w:rsidRPr="00B11350">
        <w:rPr>
          <w:rFonts w:ascii="Times New Roman" w:hAnsi="Times New Roman"/>
        </w:rPr>
        <w:t>. A critical difference between the directions was, however,</w:t>
      </w:r>
      <w:r>
        <w:rPr>
          <w:rFonts w:ascii="Times New Roman" w:hAnsi="Times New Roman"/>
        </w:rPr>
        <w:t> </w:t>
      </w:r>
      <w:r w:rsidRPr="00B11350">
        <w:rPr>
          <w:rFonts w:ascii="Times New Roman" w:hAnsi="Times New Roman"/>
        </w:rPr>
        <w:t>that</w:t>
      </w:r>
      <w:r>
        <w:rPr>
          <w:rFonts w:ascii="Times New Roman" w:hAnsi="Times New Roman"/>
        </w:rPr>
        <w:t> </w:t>
      </w:r>
      <w:r w:rsidRPr="00B11350">
        <w:rPr>
          <w:rFonts w:ascii="Times New Roman" w:hAnsi="Times New Roman"/>
        </w:rPr>
        <w:t>Direction 79 introduced a new sub-para (1)(b) to para 13.1.1, under</w:t>
      </w:r>
      <w:r>
        <w:rPr>
          <w:rFonts w:ascii="Times New Roman" w:hAnsi="Times New Roman"/>
        </w:rPr>
        <w:t> </w:t>
      </w:r>
      <w:r w:rsidRPr="00B11350">
        <w:rPr>
          <w:rFonts w:ascii="Times New Roman" w:hAnsi="Times New Roman"/>
        </w:rPr>
        <w:t>the sub</w:t>
      </w:r>
      <w:r>
        <w:rPr>
          <w:rFonts w:ascii="Times New Roman" w:hAnsi="Times New Roman"/>
        </w:rPr>
        <w:noBreakHyphen/>
      </w:r>
      <w:r w:rsidRPr="00B11350">
        <w:rPr>
          <w:rFonts w:ascii="Times New Roman" w:hAnsi="Times New Roman"/>
        </w:rPr>
        <w:t>heading "[t]he nature and seriousness of the conduct", in relation to the primary consideration of the "[p]</w:t>
      </w:r>
      <w:proofErr w:type="spellStart"/>
      <w:r w:rsidRPr="00B11350">
        <w:rPr>
          <w:rFonts w:ascii="Times New Roman" w:hAnsi="Times New Roman"/>
        </w:rPr>
        <w:t>rotection</w:t>
      </w:r>
      <w:proofErr w:type="spellEnd"/>
      <w:r w:rsidRPr="00B11350">
        <w:rPr>
          <w:rFonts w:ascii="Times New Roman" w:hAnsi="Times New Roman"/>
        </w:rPr>
        <w:t xml:space="preserve"> of the Australian community from criminal or other serious conduct"</w:t>
      </w:r>
      <w:r w:rsidRPr="00B11350">
        <w:rPr>
          <w:rStyle w:val="FootnoteReference"/>
          <w:rFonts w:ascii="Times New Roman" w:hAnsi="Times New Roman"/>
          <w:sz w:val="24"/>
        </w:rPr>
        <w:footnoteReference w:id="84"/>
      </w:r>
      <w:r w:rsidRPr="00B11350">
        <w:rPr>
          <w:rFonts w:ascii="Times New Roman" w:hAnsi="Times New Roman"/>
        </w:rPr>
        <w:t>. Paragraph 13.1.1(1)(b) provided that, "[</w:t>
      </w:r>
      <w:proofErr w:type="spellStart"/>
      <w:r w:rsidRPr="00B11350">
        <w:rPr>
          <w:rFonts w:ascii="Times New Roman" w:hAnsi="Times New Roman"/>
        </w:rPr>
        <w:t>i</w:t>
      </w:r>
      <w:proofErr w:type="spellEnd"/>
      <w:r w:rsidRPr="00B11350">
        <w:rPr>
          <w:rFonts w:ascii="Times New Roman" w:hAnsi="Times New Roman"/>
        </w:rPr>
        <w:t>]n considering the nature and seriousness of the non-citizen's criminal offending or other conduct to date, decision</w:t>
      </w:r>
      <w:r w:rsidRPr="00B11350">
        <w:rPr>
          <w:rFonts w:ascii="Times New Roman" w:hAnsi="Times New Roman"/>
        </w:rPr>
        <w:noBreakHyphen/>
        <w:t>makers must have regard to factors including ... [t]he principle that crimes</w:t>
      </w:r>
      <w:r w:rsidRPr="00B11350">
        <w:rPr>
          <w:rFonts w:ascii="Times New Roman" w:hAnsi="Times New Roman"/>
          <w:iCs/>
        </w:rPr>
        <w:t xml:space="preserve"> of a violent nature against women or children are viewed very seriously, regardless of the sentence imposed</w:t>
      </w:r>
      <w:r w:rsidRPr="00B11350">
        <w:rPr>
          <w:rFonts w:ascii="Times New Roman" w:hAnsi="Times New Roman"/>
        </w:rPr>
        <w:t xml:space="preserve">". </w:t>
      </w:r>
    </w:p>
    <w:p w14:paraId="688D0E56" w14:textId="77777777" w:rsidR="0042544D" w:rsidRPr="00B11350" w:rsidRDefault="0042544D" w:rsidP="0042544D">
      <w:pPr>
        <w:pStyle w:val="FixListStyle"/>
        <w:numPr>
          <w:ilvl w:val="0"/>
          <w:numId w:val="18"/>
        </w:numPr>
        <w:spacing w:after="260" w:line="280" w:lineRule="exact"/>
        <w:ind w:left="0" w:right="0" w:hanging="720"/>
        <w:jc w:val="both"/>
        <w:rPr>
          <w:rFonts w:ascii="Times New Roman" w:hAnsi="Times New Roman"/>
        </w:rPr>
      </w:pPr>
      <w:r w:rsidRPr="00B11350">
        <w:rPr>
          <w:rFonts w:ascii="Times New Roman" w:hAnsi="Times New Roman"/>
        </w:rPr>
        <w:tab/>
        <w:t>Mr Nathanson was on notice that domestic violence incidents were relevant to a different primary consideration, namely,</w:t>
      </w:r>
      <w:r w:rsidRPr="00B11350" w:rsidDel="001F59C3">
        <w:rPr>
          <w:rFonts w:ascii="Times New Roman" w:hAnsi="Times New Roman"/>
        </w:rPr>
        <w:t xml:space="preserve"> </w:t>
      </w:r>
      <w:r w:rsidRPr="00B11350">
        <w:rPr>
          <w:rFonts w:ascii="Times New Roman" w:hAnsi="Times New Roman"/>
        </w:rPr>
        <w:t>"[t]he best interests of minor children in Australia"</w:t>
      </w:r>
      <w:r w:rsidRPr="00B11350">
        <w:rPr>
          <w:rStyle w:val="FootnoteReference"/>
          <w:rFonts w:ascii="Times New Roman" w:hAnsi="Times New Roman"/>
          <w:sz w:val="24"/>
        </w:rPr>
        <w:footnoteReference w:id="85"/>
      </w:r>
      <w:r w:rsidRPr="00B11350">
        <w:rPr>
          <w:rFonts w:ascii="Times New Roman" w:hAnsi="Times New Roman"/>
        </w:rPr>
        <w:t xml:space="preserve">. He was not on notice that the incidents were relevant to the primary </w:t>
      </w:r>
      <w:r w:rsidRPr="00B11350">
        <w:rPr>
          <w:rFonts w:ascii="Times New Roman" w:hAnsi="Times New Roman"/>
        </w:rPr>
        <w:lastRenderedPageBreak/>
        <w:t>consideration of the protection of the Australian community. In fact, he was misled by the Tribunal, which</w:t>
      </w:r>
      <w:r w:rsidRPr="00B11350" w:rsidDel="00CD0562">
        <w:rPr>
          <w:rFonts w:ascii="Times New Roman" w:hAnsi="Times New Roman"/>
        </w:rPr>
        <w:t xml:space="preserve"> </w:t>
      </w:r>
      <w:r w:rsidRPr="00B11350">
        <w:rPr>
          <w:rFonts w:ascii="Times New Roman" w:hAnsi="Times New Roman"/>
        </w:rPr>
        <w:t>told him at the commencement of the Tribunal hearing that the changes resulting from Direction 79 were "minor" and were of "minor</w:t>
      </w:r>
      <w:r>
        <w:rPr>
          <w:rFonts w:ascii="Times New Roman" w:hAnsi="Times New Roman"/>
        </w:rPr>
        <w:t> </w:t>
      </w:r>
      <w:r w:rsidRPr="00B11350">
        <w:rPr>
          <w:rFonts w:ascii="Times New Roman" w:hAnsi="Times New Roman"/>
        </w:rPr>
        <w:t>relevance" to him. When it became apparent that the domestic violence incidents were in fact to be relied upon by the Minister in relation to the primary consideration of the protection of the Australian community, no step was taken by the Tribunal to remedy the situation. Then, without warning Mr Nathanson, the Tribunal relied upon the incidents in relation to that consideration in undertaking the evaluative decision-making process mandated by s 501</w:t>
      </w:r>
      <w:proofErr w:type="gramStart"/>
      <w:r w:rsidRPr="00B11350">
        <w:rPr>
          <w:rFonts w:ascii="Times New Roman" w:hAnsi="Times New Roman"/>
        </w:rPr>
        <w:t>CA(</w:t>
      </w:r>
      <w:proofErr w:type="gramEnd"/>
      <w:r w:rsidRPr="00B11350">
        <w:rPr>
          <w:rFonts w:ascii="Times New Roman" w:hAnsi="Times New Roman"/>
        </w:rPr>
        <w:t>4).</w:t>
      </w:r>
    </w:p>
    <w:p w14:paraId="066BE67E" w14:textId="77777777" w:rsidR="0042544D" w:rsidRPr="00B11350" w:rsidRDefault="0042544D" w:rsidP="0042544D">
      <w:pPr>
        <w:pStyle w:val="FixListStyle"/>
        <w:numPr>
          <w:ilvl w:val="0"/>
          <w:numId w:val="18"/>
        </w:numPr>
        <w:spacing w:after="260" w:line="280" w:lineRule="exact"/>
        <w:ind w:left="0" w:right="0" w:hanging="720"/>
        <w:jc w:val="both"/>
        <w:rPr>
          <w:rFonts w:ascii="Times New Roman" w:hAnsi="Times New Roman"/>
        </w:rPr>
      </w:pPr>
      <w:r w:rsidRPr="00B11350">
        <w:rPr>
          <w:rFonts w:ascii="Times New Roman" w:hAnsi="Times New Roman"/>
        </w:rPr>
        <w:tab/>
        <w:t xml:space="preserve">The question arising in this appeal is: was the admitted denial of procedural fairness "material", in the sense that it deprived Mr Nathanson of a realistic possibility that the decision made by the Tribunal could have been different if a fair hearing had been provided, </w:t>
      </w:r>
      <w:proofErr w:type="gramStart"/>
      <w:r w:rsidRPr="00B11350">
        <w:rPr>
          <w:rFonts w:ascii="Times New Roman" w:hAnsi="Times New Roman"/>
        </w:rPr>
        <w:t>so as to</w:t>
      </w:r>
      <w:proofErr w:type="gramEnd"/>
      <w:r w:rsidRPr="00B11350">
        <w:rPr>
          <w:rFonts w:ascii="Times New Roman" w:hAnsi="Times New Roman"/>
        </w:rPr>
        <w:t xml:space="preserve"> give rise to jurisdictional error? The answer is "yes": the fundamental nature of the error </w:t>
      </w:r>
      <w:r w:rsidRPr="00B11350">
        <w:rPr>
          <w:rFonts w:ascii="Times New Roman" w:hAnsi="Times New Roman"/>
          <w:iCs/>
        </w:rPr>
        <w:t>–</w:t>
      </w:r>
      <w:r w:rsidRPr="00B11350">
        <w:rPr>
          <w:rFonts w:ascii="Times New Roman" w:hAnsi="Times New Roman"/>
        </w:rPr>
        <w:t xml:space="preserve"> the denial of procedural fairness </w:t>
      </w:r>
      <w:r w:rsidRPr="00B11350">
        <w:rPr>
          <w:rFonts w:ascii="Times New Roman" w:hAnsi="Times New Roman"/>
          <w:iCs/>
        </w:rPr>
        <w:t>–</w:t>
      </w:r>
      <w:r w:rsidRPr="00B11350">
        <w:rPr>
          <w:rFonts w:ascii="Times New Roman" w:hAnsi="Times New Roman"/>
        </w:rPr>
        <w:t xml:space="preserve"> means that there was no additional or separate onus on Mr Nathanson to demonstrate that the error could realistically have resulted in a different decision. </w:t>
      </w:r>
    </w:p>
    <w:p w14:paraId="74761CCD" w14:textId="77777777" w:rsidR="0042544D" w:rsidRPr="00B11350" w:rsidRDefault="0042544D" w:rsidP="0042544D">
      <w:pPr>
        <w:pStyle w:val="FixListStyle"/>
        <w:numPr>
          <w:ilvl w:val="0"/>
          <w:numId w:val="18"/>
        </w:numPr>
        <w:spacing w:after="260" w:line="280" w:lineRule="exact"/>
        <w:ind w:left="0" w:right="0" w:hanging="720"/>
        <w:jc w:val="both"/>
        <w:rPr>
          <w:rFonts w:ascii="Times New Roman" w:hAnsi="Times New Roman"/>
        </w:rPr>
      </w:pPr>
      <w:r w:rsidRPr="00B11350">
        <w:rPr>
          <w:rFonts w:ascii="Times New Roman" w:hAnsi="Times New Roman"/>
        </w:rPr>
        <w:tab/>
        <w:t>The Minister</w:t>
      </w:r>
      <w:r w:rsidRPr="00B11350" w:rsidDel="00F60812">
        <w:rPr>
          <w:rFonts w:ascii="Times New Roman" w:hAnsi="Times New Roman"/>
        </w:rPr>
        <w:t xml:space="preserve"> </w:t>
      </w:r>
      <w:r w:rsidRPr="00B11350">
        <w:rPr>
          <w:rFonts w:ascii="Times New Roman" w:hAnsi="Times New Roman"/>
        </w:rPr>
        <w:t xml:space="preserve">accepted in oral argument that the practical consequence of the Minister's position in this case was that, </w:t>
      </w:r>
      <w:proofErr w:type="gramStart"/>
      <w:r w:rsidRPr="00B11350">
        <w:rPr>
          <w:rFonts w:ascii="Times New Roman" w:hAnsi="Times New Roman"/>
        </w:rPr>
        <w:t>in order to</w:t>
      </w:r>
      <w:proofErr w:type="gramEnd"/>
      <w:r w:rsidRPr="00B11350">
        <w:rPr>
          <w:rFonts w:ascii="Times New Roman" w:hAnsi="Times New Roman"/>
        </w:rPr>
        <w:t xml:space="preserve"> establish jurisdictional error, Mr Nathanson would have had to adduce evidence to show what he would have done if he had been afforded a fair hearing so as to demonstrate how that could have led to a different outcome. That submission is wrong and should be rejected. This case presents a very important opportunity (foreshadowed by a majority in </w:t>
      </w:r>
      <w:r w:rsidRPr="00B11350">
        <w:rPr>
          <w:rFonts w:ascii="Times New Roman" w:hAnsi="Times New Roman"/>
          <w:i/>
        </w:rPr>
        <w:t>MZAPC v Minister for Immigration and Border Protection</w:t>
      </w:r>
      <w:r w:rsidRPr="00B11350">
        <w:rPr>
          <w:rStyle w:val="FootnoteReference"/>
          <w:rFonts w:ascii="Times New Roman" w:hAnsi="Times New Roman"/>
          <w:iCs/>
          <w:sz w:val="24"/>
        </w:rPr>
        <w:footnoteReference w:id="86"/>
      </w:r>
      <w:r w:rsidRPr="00B11350">
        <w:rPr>
          <w:rFonts w:ascii="Times New Roman" w:hAnsi="Times New Roman"/>
        </w:rPr>
        <w:t>) for</w:t>
      </w:r>
      <w:r>
        <w:rPr>
          <w:rFonts w:ascii="Times New Roman" w:hAnsi="Times New Roman"/>
        </w:rPr>
        <w:t> </w:t>
      </w:r>
      <w:r w:rsidRPr="00B11350">
        <w:rPr>
          <w:rFonts w:ascii="Times New Roman" w:hAnsi="Times New Roman"/>
        </w:rPr>
        <w:t>"revisit[</w:t>
      </w:r>
      <w:proofErr w:type="spellStart"/>
      <w:r w:rsidRPr="00B11350">
        <w:rPr>
          <w:rFonts w:ascii="Times New Roman" w:hAnsi="Times New Roman"/>
        </w:rPr>
        <w:t>ing</w:t>
      </w:r>
      <w:proofErr w:type="spellEnd"/>
      <w:r w:rsidRPr="00B11350">
        <w:rPr>
          <w:rFonts w:ascii="Times New Roman" w:hAnsi="Times New Roman"/>
        </w:rPr>
        <w:t>]", and modifying, the principle that the applicant in an application for judicial review must bear the onus of proving on the balance of probabilities the historical facts necessary to enable a court to be satisfied of the realistic possibility that a different decision could have been made had there been compliance with a condition that was breached</w:t>
      </w:r>
      <w:r w:rsidRPr="00B11350">
        <w:rPr>
          <w:rStyle w:val="FootnoteReference"/>
          <w:rFonts w:ascii="Times New Roman" w:hAnsi="Times New Roman"/>
          <w:sz w:val="24"/>
        </w:rPr>
        <w:footnoteReference w:id="87"/>
      </w:r>
      <w:r w:rsidRPr="00B11350">
        <w:rPr>
          <w:rFonts w:ascii="Times New Roman" w:hAnsi="Times New Roman"/>
        </w:rPr>
        <w:t xml:space="preserve">. </w:t>
      </w:r>
    </w:p>
    <w:p w14:paraId="723BEB0B" w14:textId="77777777" w:rsidR="0042544D" w:rsidRPr="00B11350" w:rsidRDefault="0042544D" w:rsidP="00B11350">
      <w:pPr>
        <w:pStyle w:val="HeadingL1"/>
        <w:spacing w:after="260" w:line="280" w:lineRule="exact"/>
        <w:ind w:right="0"/>
        <w:jc w:val="both"/>
        <w:rPr>
          <w:rFonts w:ascii="Times New Roman" w:hAnsi="Times New Roman"/>
        </w:rPr>
      </w:pPr>
      <w:r w:rsidRPr="00B11350">
        <w:rPr>
          <w:rFonts w:ascii="Times New Roman" w:hAnsi="Times New Roman"/>
        </w:rPr>
        <w:t>Nature of the error</w:t>
      </w:r>
    </w:p>
    <w:p w14:paraId="7FB4E786" w14:textId="77777777" w:rsidR="0042544D" w:rsidRPr="00B11350" w:rsidRDefault="0042544D" w:rsidP="0042544D">
      <w:pPr>
        <w:pStyle w:val="FixListStyle"/>
        <w:numPr>
          <w:ilvl w:val="0"/>
          <w:numId w:val="18"/>
        </w:numPr>
        <w:spacing w:after="260" w:line="280" w:lineRule="exact"/>
        <w:ind w:left="0" w:right="0" w:hanging="720"/>
        <w:jc w:val="both"/>
        <w:rPr>
          <w:rFonts w:ascii="Times New Roman" w:hAnsi="Times New Roman"/>
        </w:rPr>
      </w:pPr>
      <w:r w:rsidRPr="00B11350">
        <w:rPr>
          <w:rFonts w:ascii="Times New Roman" w:hAnsi="Times New Roman"/>
        </w:rPr>
        <w:tab/>
        <w:t>The starting point is the error in issue in this case – an admitted denial of procedural fairness of a serious nature. Mr Nathanson was denied the opportunity to give or adduce evidence or to make submissions in relation to an important issue affecting the evaluative decision required to be made under s 501</w:t>
      </w:r>
      <w:proofErr w:type="gramStart"/>
      <w:r w:rsidRPr="00B11350">
        <w:rPr>
          <w:rFonts w:ascii="Times New Roman" w:hAnsi="Times New Roman"/>
        </w:rPr>
        <w:t>CA(</w:t>
      </w:r>
      <w:proofErr w:type="gramEnd"/>
      <w:r w:rsidRPr="00B11350">
        <w:rPr>
          <w:rFonts w:ascii="Times New Roman" w:hAnsi="Times New Roman"/>
        </w:rPr>
        <w:t xml:space="preserve">4) of the </w:t>
      </w:r>
      <w:r w:rsidRPr="00B11350">
        <w:rPr>
          <w:rFonts w:ascii="Times New Roman" w:hAnsi="Times New Roman"/>
          <w:i/>
        </w:rPr>
        <w:t>Migration Act</w:t>
      </w:r>
      <w:r w:rsidRPr="00B11350">
        <w:rPr>
          <w:rFonts w:ascii="Times New Roman" w:hAnsi="Times New Roman"/>
        </w:rPr>
        <w:t>. Four matters are significant.</w:t>
      </w:r>
    </w:p>
    <w:p w14:paraId="5A22FA7C" w14:textId="77777777" w:rsidR="0042544D" w:rsidRPr="00B11350" w:rsidRDefault="0042544D" w:rsidP="0042544D">
      <w:pPr>
        <w:pStyle w:val="FixListStyle"/>
        <w:numPr>
          <w:ilvl w:val="0"/>
          <w:numId w:val="18"/>
        </w:numPr>
        <w:spacing w:after="260" w:line="280" w:lineRule="exact"/>
        <w:ind w:left="0" w:right="0" w:hanging="720"/>
        <w:jc w:val="both"/>
        <w:rPr>
          <w:rFonts w:ascii="Times New Roman" w:hAnsi="Times New Roman"/>
        </w:rPr>
      </w:pPr>
      <w:r w:rsidRPr="00B11350">
        <w:rPr>
          <w:rFonts w:ascii="Times New Roman" w:hAnsi="Times New Roman"/>
        </w:rPr>
        <w:tab/>
        <w:t>First, the Tribunal misled Mr Nathanson at the Tribunal hearing. The</w:t>
      </w:r>
      <w:r>
        <w:rPr>
          <w:rFonts w:ascii="Times New Roman" w:hAnsi="Times New Roman"/>
        </w:rPr>
        <w:t> </w:t>
      </w:r>
      <w:r w:rsidRPr="00B11350">
        <w:rPr>
          <w:rFonts w:ascii="Times New Roman" w:hAnsi="Times New Roman"/>
        </w:rPr>
        <w:t xml:space="preserve">Tribunal told him that the changes resulting from Direction 79 were </w:t>
      </w:r>
      <w:r w:rsidRPr="00B11350">
        <w:rPr>
          <w:rFonts w:ascii="Times New Roman" w:hAnsi="Times New Roman"/>
        </w:rPr>
        <w:lastRenderedPageBreak/>
        <w:t>"only</w:t>
      </w:r>
      <w:r>
        <w:rPr>
          <w:rFonts w:ascii="Times New Roman" w:hAnsi="Times New Roman"/>
        </w:rPr>
        <w:t> </w:t>
      </w:r>
      <w:r w:rsidRPr="00B11350">
        <w:rPr>
          <w:rFonts w:ascii="Times New Roman" w:hAnsi="Times New Roman"/>
        </w:rPr>
        <w:t>minor changes". It told him that most of the changes related to "how we treat crimes where women and children are involved" or "charges in relation to convictions and offences in relation to women and children", and those changes were of "minor relevance" given Mr Nathanson's "conviction history". That was, no doubt, a reference by the Tribunal to the fact that Mr Nathanson had never been charged, let alone convicted, of any crimes of a violent nature against women or children. Mr Nathanson was given "false comfort" by the Tribunal's assurances, which were uncontradicted by the Minister's representative.</w:t>
      </w:r>
    </w:p>
    <w:p w14:paraId="0AF05C2A" w14:textId="77777777" w:rsidR="0042544D" w:rsidRPr="00B11350" w:rsidRDefault="0042544D" w:rsidP="0042544D">
      <w:pPr>
        <w:pStyle w:val="FixListStyle"/>
        <w:numPr>
          <w:ilvl w:val="0"/>
          <w:numId w:val="18"/>
        </w:numPr>
        <w:spacing w:after="260" w:line="280" w:lineRule="exact"/>
        <w:ind w:left="0" w:right="0" w:hanging="720"/>
        <w:jc w:val="both"/>
        <w:rPr>
          <w:rFonts w:ascii="Times New Roman" w:hAnsi="Times New Roman"/>
        </w:rPr>
      </w:pPr>
      <w:r w:rsidRPr="00B11350">
        <w:rPr>
          <w:rFonts w:ascii="Times New Roman" w:hAnsi="Times New Roman"/>
        </w:rPr>
        <w:tab/>
        <w:t>Second, the Minister introduced a new issue in oral closing submissions to the Tribunal. The context for the introduction of the new issue is important. The</w:t>
      </w:r>
      <w:r>
        <w:rPr>
          <w:rFonts w:ascii="Times New Roman" w:hAnsi="Times New Roman"/>
        </w:rPr>
        <w:t> </w:t>
      </w:r>
      <w:r w:rsidRPr="00B11350">
        <w:rPr>
          <w:rFonts w:ascii="Times New Roman" w:hAnsi="Times New Roman"/>
        </w:rPr>
        <w:t>decision of the delegate, which was the subject of the review application, made</w:t>
      </w:r>
      <w:r>
        <w:rPr>
          <w:rFonts w:ascii="Times New Roman" w:hAnsi="Times New Roman"/>
        </w:rPr>
        <w:t> </w:t>
      </w:r>
      <w:r w:rsidRPr="00B11350">
        <w:rPr>
          <w:rFonts w:ascii="Times New Roman" w:hAnsi="Times New Roman"/>
        </w:rPr>
        <w:t xml:space="preserve">no reference at all to incidents of domestic violence. The reasons for a decision under review (here, the delegate's decision) </w:t>
      </w:r>
      <w:r w:rsidRPr="00B11350" w:rsidDel="00FB6ECA">
        <w:rPr>
          <w:rFonts w:ascii="Times New Roman" w:hAnsi="Times New Roman"/>
        </w:rPr>
        <w:t>are</w:t>
      </w:r>
      <w:r w:rsidRPr="00B11350">
        <w:rPr>
          <w:rFonts w:ascii="Times New Roman" w:hAnsi="Times New Roman"/>
        </w:rPr>
        <w:t xml:space="preserve"> usually the point at which to begin the identification of issues arising in relation to the review and, "unless</w:t>
      </w:r>
      <w:r>
        <w:rPr>
          <w:rFonts w:ascii="Times New Roman" w:hAnsi="Times New Roman"/>
        </w:rPr>
        <w:t> </w:t>
      </w:r>
      <w:r w:rsidRPr="00B11350">
        <w:rPr>
          <w:rFonts w:ascii="Times New Roman" w:hAnsi="Times New Roman"/>
        </w:rPr>
        <w:t>some other additional issues are identified by the Tribunal ..., it would ordinarily follow that, on review by the Tribunal, the issues arising in relation to the decision under review would be those which the original decision-maker identified as determinative against the applicant"</w:t>
      </w:r>
      <w:r w:rsidRPr="00B11350">
        <w:rPr>
          <w:rStyle w:val="FootnoteReference"/>
          <w:rFonts w:ascii="Times New Roman" w:hAnsi="Times New Roman"/>
          <w:sz w:val="24"/>
        </w:rPr>
        <w:footnoteReference w:id="88"/>
      </w:r>
      <w:r w:rsidRPr="00B11350">
        <w:rPr>
          <w:rFonts w:ascii="Times New Roman" w:hAnsi="Times New Roman"/>
        </w:rPr>
        <w:t>.</w:t>
      </w:r>
    </w:p>
    <w:p w14:paraId="420C6710" w14:textId="77777777" w:rsidR="0042544D" w:rsidRPr="00B11350" w:rsidRDefault="0042544D" w:rsidP="0042544D">
      <w:pPr>
        <w:pStyle w:val="FixListStyle"/>
        <w:numPr>
          <w:ilvl w:val="0"/>
          <w:numId w:val="18"/>
        </w:numPr>
        <w:spacing w:after="260" w:line="280" w:lineRule="exact"/>
        <w:ind w:left="0" w:right="0" w:hanging="720"/>
        <w:jc w:val="both"/>
        <w:rPr>
          <w:rFonts w:ascii="Times New Roman" w:hAnsi="Times New Roman"/>
        </w:rPr>
      </w:pPr>
      <w:r w:rsidRPr="00B11350">
        <w:rPr>
          <w:rFonts w:ascii="Times New Roman" w:hAnsi="Times New Roman"/>
        </w:rPr>
        <w:tab/>
        <w:t>Third, the Minister's Statement of Facts, Issues and Contentions – which</w:t>
      </w:r>
      <w:r>
        <w:rPr>
          <w:rFonts w:ascii="Times New Roman" w:hAnsi="Times New Roman"/>
        </w:rPr>
        <w:t> </w:t>
      </w:r>
      <w:r w:rsidRPr="00B11350">
        <w:rPr>
          <w:rFonts w:ascii="Times New Roman" w:hAnsi="Times New Roman"/>
        </w:rPr>
        <w:t>relevantly was required to set out the issues that remained in dispute between Mr Nathanson and the Minister</w:t>
      </w:r>
      <w:r w:rsidRPr="00B11350">
        <w:rPr>
          <w:rStyle w:val="FootnoteReference"/>
          <w:rFonts w:ascii="Times New Roman" w:hAnsi="Times New Roman"/>
          <w:sz w:val="24"/>
        </w:rPr>
        <w:footnoteReference w:id="89"/>
      </w:r>
      <w:r w:rsidRPr="00B11350">
        <w:rPr>
          <w:rFonts w:ascii="Times New Roman" w:hAnsi="Times New Roman"/>
        </w:rPr>
        <w:t xml:space="preserve"> – did not give Mr Nathanson any notice that the Minister would contend that the incidents of domestic violence involved "extremely serious conduct" to be taken into account when considering the nature and seriousness of his offending or other conduct to date for the purposes of the primary consideration of the protection of the Australian community. And, in oral opening, the Minister's representative did not give any indication that they would, in closing submissions, contend that the changes resulting from Direction 79 were engaged in Mr Nathanson's case because he had been involved in incidents of domestic violence.</w:t>
      </w:r>
    </w:p>
    <w:p w14:paraId="70DAA64E" w14:textId="77777777" w:rsidR="0042544D" w:rsidRPr="00B11350" w:rsidRDefault="0042544D" w:rsidP="0042544D">
      <w:pPr>
        <w:pStyle w:val="FixListStyle"/>
        <w:numPr>
          <w:ilvl w:val="0"/>
          <w:numId w:val="18"/>
        </w:numPr>
        <w:spacing w:after="260" w:line="280" w:lineRule="exact"/>
        <w:ind w:left="0" w:right="0" w:hanging="720"/>
        <w:jc w:val="both"/>
        <w:rPr>
          <w:rFonts w:ascii="Times New Roman" w:hAnsi="Times New Roman"/>
        </w:rPr>
      </w:pPr>
      <w:r w:rsidRPr="00B11350">
        <w:rPr>
          <w:rFonts w:ascii="Times New Roman" w:hAnsi="Times New Roman"/>
        </w:rPr>
        <w:tab/>
        <w:t>Fourth, the first indication given to Mr Nathanson that domestic violence incidents might be relevant to the assessment of the primary consideration of the protection of the Australian community was in the Minister's oral closing submissions. In oral closing,</w:t>
      </w:r>
      <w:r w:rsidRPr="00B11350" w:rsidDel="00736259">
        <w:rPr>
          <w:rFonts w:ascii="Times New Roman" w:hAnsi="Times New Roman"/>
        </w:rPr>
        <w:t xml:space="preserve"> </w:t>
      </w:r>
      <w:r w:rsidRPr="00B11350">
        <w:rPr>
          <w:rFonts w:ascii="Times New Roman" w:hAnsi="Times New Roman"/>
        </w:rPr>
        <w:t xml:space="preserve">the Minister's representative referred to Mr Nathanson having been involved in "violent conduct against his wife" and said that "notwithstanding the fact that [Mr Nathanson's] wife chose not to press </w:t>
      </w:r>
      <w:r w:rsidRPr="00B11350">
        <w:rPr>
          <w:rFonts w:ascii="Times New Roman" w:hAnsi="Times New Roman"/>
        </w:rPr>
        <w:lastRenderedPageBreak/>
        <w:t xml:space="preserve">charges against [Mr Nathanson] ... that conduct is extremely serious conduct, especially having regard to the new directions in Direction 79 that any violent conduct against a female is serious, regardless of the sentence imposed". </w:t>
      </w:r>
    </w:p>
    <w:p w14:paraId="0F2AE1D8" w14:textId="77777777" w:rsidR="0042544D" w:rsidRPr="00B11350" w:rsidRDefault="0042544D" w:rsidP="0042544D">
      <w:pPr>
        <w:pStyle w:val="FixListStyle"/>
        <w:numPr>
          <w:ilvl w:val="0"/>
          <w:numId w:val="18"/>
        </w:numPr>
        <w:spacing w:after="260" w:line="280" w:lineRule="exact"/>
        <w:ind w:left="0" w:right="0" w:hanging="720"/>
        <w:jc w:val="both"/>
        <w:rPr>
          <w:rFonts w:ascii="Times New Roman" w:hAnsi="Times New Roman"/>
        </w:rPr>
      </w:pPr>
      <w:r w:rsidRPr="00B11350">
        <w:rPr>
          <w:rFonts w:ascii="Times New Roman" w:hAnsi="Times New Roman"/>
        </w:rPr>
        <w:tab/>
        <w:t>The problems presented by this last-minute introduction of a new issue were not rectified by the Tribunal. Once the new issue was raised in the Minister's closing submissions, the Tribunal did not</w:t>
      </w:r>
      <w:r w:rsidRPr="00B11350">
        <w:rPr>
          <w:rFonts w:ascii="Times New Roman" w:hAnsi="Times New Roman"/>
          <w:bCs/>
        </w:rPr>
        <w:t>:</w:t>
      </w:r>
      <w:r w:rsidRPr="00B11350">
        <w:rPr>
          <w:rFonts w:ascii="Times New Roman" w:hAnsi="Times New Roman"/>
        </w:rPr>
        <w:t xml:space="preserve"> (1) explain to Mr Nathanson that what he had been told about Direction 79 at the beginning of the hearing by the Tribunal was wrong; (2) explain the potential relevance of the incidents of domestic violence to para 13.1.1(1)(b) of Direction 79; or (3) afford Mr Nathanson any opportunity to make submissions or to give or adduce further evidence in relation to the new issue. Each of those things needed to be (but were not) done to "unscramble </w:t>
      </w:r>
      <w:proofErr w:type="spellStart"/>
      <w:r w:rsidRPr="00B11350">
        <w:rPr>
          <w:rFonts w:ascii="Times New Roman" w:hAnsi="Times New Roman"/>
        </w:rPr>
        <w:t>th</w:t>
      </w:r>
      <w:proofErr w:type="spellEnd"/>
      <w:r w:rsidRPr="00B11350">
        <w:rPr>
          <w:rFonts w:ascii="Times New Roman" w:hAnsi="Times New Roman"/>
        </w:rPr>
        <w:t>[e] situation".</w:t>
      </w:r>
    </w:p>
    <w:p w14:paraId="7B26D755" w14:textId="77777777" w:rsidR="0042544D" w:rsidRPr="00B11350" w:rsidRDefault="0042544D" w:rsidP="0042544D">
      <w:pPr>
        <w:pStyle w:val="FixListStyle"/>
        <w:numPr>
          <w:ilvl w:val="0"/>
          <w:numId w:val="18"/>
        </w:numPr>
        <w:spacing w:after="260" w:line="280" w:lineRule="exact"/>
        <w:ind w:left="0" w:right="0" w:hanging="720"/>
        <w:jc w:val="both"/>
        <w:rPr>
          <w:rFonts w:ascii="Times New Roman" w:hAnsi="Times New Roman"/>
        </w:rPr>
      </w:pPr>
      <w:r w:rsidRPr="00B11350">
        <w:rPr>
          <w:rFonts w:ascii="Times New Roman" w:hAnsi="Times New Roman"/>
        </w:rPr>
        <w:tab/>
        <w:t>Then, the very issue that Mr Nathanson did not have his mind directed to was relied upon as critical to the Tribunal's reasoning in respect of an evaluative judgment, weighing against revocation of the cancellation decision. That last statement needs explanation. The Tribunal's task under s 501</w:t>
      </w:r>
      <w:proofErr w:type="gramStart"/>
      <w:r w:rsidRPr="00B11350">
        <w:rPr>
          <w:rFonts w:ascii="Times New Roman" w:hAnsi="Times New Roman"/>
        </w:rPr>
        <w:t>CA(</w:t>
      </w:r>
      <w:proofErr w:type="gramEnd"/>
      <w:r w:rsidRPr="00B11350">
        <w:rPr>
          <w:rFonts w:ascii="Times New Roman" w:hAnsi="Times New Roman"/>
        </w:rPr>
        <w:t xml:space="preserve">4) of the </w:t>
      </w:r>
      <w:r w:rsidRPr="00B11350">
        <w:rPr>
          <w:rFonts w:ascii="Times New Roman" w:hAnsi="Times New Roman"/>
          <w:i/>
        </w:rPr>
        <w:t xml:space="preserve">Migration Act </w:t>
      </w:r>
      <w:r w:rsidRPr="00B11350">
        <w:rPr>
          <w:rFonts w:ascii="Times New Roman" w:hAnsi="Times New Roman"/>
        </w:rPr>
        <w:t>was evaluative. In deciding whether there is "another reason" why</w:t>
      </w:r>
      <w:r>
        <w:rPr>
          <w:rFonts w:ascii="Times New Roman" w:hAnsi="Times New Roman"/>
        </w:rPr>
        <w:t> </w:t>
      </w:r>
      <w:r w:rsidRPr="00B11350">
        <w:rPr>
          <w:rFonts w:ascii="Times New Roman" w:hAnsi="Times New Roman"/>
        </w:rPr>
        <w:t>a visa cancellation decision should be revoked, a decision-maker must evaluate representations made in response to an invitation issued under s 501CA(3)(b)</w:t>
      </w:r>
      <w:r w:rsidRPr="00B11350">
        <w:rPr>
          <w:rStyle w:val="FootnoteReference"/>
          <w:rFonts w:ascii="Times New Roman" w:hAnsi="Times New Roman"/>
          <w:sz w:val="24"/>
        </w:rPr>
        <w:footnoteReference w:id="90"/>
      </w:r>
      <w:r w:rsidRPr="00B11350">
        <w:rPr>
          <w:rFonts w:ascii="Times New Roman" w:hAnsi="Times New Roman"/>
        </w:rPr>
        <w:t>, assess and weigh relevant evidence and material, and weigh and balance</w:t>
      </w:r>
      <w:r w:rsidRPr="00B11350" w:rsidDel="00153C23">
        <w:rPr>
          <w:rFonts w:ascii="Times New Roman" w:hAnsi="Times New Roman"/>
        </w:rPr>
        <w:t xml:space="preserve"> </w:t>
      </w:r>
      <w:r w:rsidRPr="00B11350">
        <w:rPr>
          <w:rFonts w:ascii="Times New Roman" w:hAnsi="Times New Roman"/>
        </w:rPr>
        <w:t>considerations for and against revocation</w:t>
      </w:r>
      <w:r w:rsidRPr="00B11350">
        <w:rPr>
          <w:rStyle w:val="FootnoteReference"/>
          <w:rFonts w:ascii="Times New Roman" w:hAnsi="Times New Roman"/>
          <w:sz w:val="24"/>
        </w:rPr>
        <w:footnoteReference w:id="91"/>
      </w:r>
      <w:r w:rsidRPr="00B11350">
        <w:rPr>
          <w:rFonts w:ascii="Times New Roman" w:hAnsi="Times New Roman"/>
        </w:rPr>
        <w:t xml:space="preserve">. As this Court recognised in </w:t>
      </w:r>
      <w:r w:rsidRPr="00B11350">
        <w:rPr>
          <w:rFonts w:ascii="Times New Roman" w:hAnsi="Times New Roman"/>
          <w:i/>
          <w:iCs/>
        </w:rPr>
        <w:t>Minister</w:t>
      </w:r>
      <w:r>
        <w:rPr>
          <w:rFonts w:ascii="Times New Roman" w:hAnsi="Times New Roman"/>
          <w:i/>
          <w:iCs/>
        </w:rPr>
        <w:t> </w:t>
      </w:r>
      <w:r w:rsidRPr="00B11350">
        <w:rPr>
          <w:rFonts w:ascii="Times New Roman" w:hAnsi="Times New Roman"/>
          <w:i/>
          <w:iCs/>
        </w:rPr>
        <w:t xml:space="preserve">for Immigration, Citizenship, Migrant Services and Multicultural Affairs v </w:t>
      </w:r>
      <w:proofErr w:type="spellStart"/>
      <w:r w:rsidRPr="00B11350">
        <w:rPr>
          <w:rFonts w:ascii="Times New Roman" w:hAnsi="Times New Roman"/>
          <w:i/>
        </w:rPr>
        <w:t>Viane</w:t>
      </w:r>
      <w:proofErr w:type="spellEnd"/>
      <w:r w:rsidRPr="00B11350">
        <w:rPr>
          <w:rStyle w:val="FootnoteReference"/>
          <w:rFonts w:ascii="Times New Roman" w:hAnsi="Times New Roman"/>
          <w:sz w:val="24"/>
        </w:rPr>
        <w:footnoteReference w:id="92"/>
      </w:r>
      <w:r w:rsidRPr="00B11350">
        <w:rPr>
          <w:rFonts w:ascii="Times New Roman" w:hAnsi="Times New Roman"/>
        </w:rPr>
        <w:t>, "[t]he breadth of the power conferred by s 501CA ... renders it impossible ... to formulate absolute rules about how [a decision</w:t>
      </w:r>
      <w:r w:rsidRPr="00B11350">
        <w:rPr>
          <w:rFonts w:ascii="Times New Roman" w:hAnsi="Times New Roman"/>
        </w:rPr>
        <w:noBreakHyphen/>
        <w:t>maker] might or might not be satisfied about a reason for revocation".</w:t>
      </w:r>
    </w:p>
    <w:p w14:paraId="1C1FDD1B" w14:textId="77777777" w:rsidR="0042544D" w:rsidRPr="00B11350" w:rsidRDefault="0042544D" w:rsidP="0042544D">
      <w:pPr>
        <w:pStyle w:val="FixListStyle"/>
        <w:numPr>
          <w:ilvl w:val="0"/>
          <w:numId w:val="18"/>
        </w:numPr>
        <w:spacing w:after="260" w:line="280" w:lineRule="exact"/>
        <w:ind w:left="0" w:right="0" w:hanging="720"/>
        <w:jc w:val="both"/>
        <w:rPr>
          <w:rFonts w:ascii="Times New Roman" w:hAnsi="Times New Roman"/>
        </w:rPr>
      </w:pPr>
      <w:r w:rsidRPr="00B11350">
        <w:rPr>
          <w:rFonts w:ascii="Times New Roman" w:hAnsi="Times New Roman"/>
        </w:rPr>
        <w:tab/>
        <w:t xml:space="preserve">In this case, the Tribunal accepted the submission made by the Minister's representative in oral closing submissions that the incidents of domestic violence should be considered as falling within para 13.1.1(1)(b) of Direction 79 and that Mr Nathanson's conduct should therefore be viewed "seriously". The Tribunal's finding about the seriousness of the incidents of domestic violence then infected the Tribunal's reasoning at different stages of its evaluation. </w:t>
      </w:r>
    </w:p>
    <w:p w14:paraId="0D7206CA" w14:textId="77777777" w:rsidR="0042544D" w:rsidRPr="00B11350" w:rsidRDefault="0042544D" w:rsidP="0042544D">
      <w:pPr>
        <w:pStyle w:val="FixListStyle"/>
        <w:numPr>
          <w:ilvl w:val="0"/>
          <w:numId w:val="18"/>
        </w:numPr>
        <w:spacing w:after="260" w:line="280" w:lineRule="exact"/>
        <w:ind w:left="0" w:right="0" w:hanging="720"/>
        <w:jc w:val="both"/>
        <w:rPr>
          <w:rFonts w:ascii="Times New Roman" w:hAnsi="Times New Roman"/>
        </w:rPr>
      </w:pPr>
      <w:r w:rsidRPr="00B11350">
        <w:rPr>
          <w:rFonts w:ascii="Times New Roman" w:hAnsi="Times New Roman"/>
        </w:rPr>
        <w:tab/>
        <w:t>First, it infected the Tribunal's ultimate finding as to the primary consideration of the protection of the Australian community. The Tribunal</w:t>
      </w:r>
      <w:r w:rsidRPr="00B11350" w:rsidDel="003511C7">
        <w:rPr>
          <w:rFonts w:ascii="Times New Roman" w:hAnsi="Times New Roman"/>
        </w:rPr>
        <w:t xml:space="preserve"> </w:t>
      </w:r>
      <w:r w:rsidRPr="00B11350">
        <w:rPr>
          <w:rFonts w:ascii="Times New Roman" w:hAnsi="Times New Roman"/>
        </w:rPr>
        <w:lastRenderedPageBreak/>
        <w:t>concluded, in respect of the protection of the Australian community, that while some of his offences were "relatively minor", on balance, the nature of Mr</w:t>
      </w:r>
      <w:r>
        <w:rPr>
          <w:rFonts w:ascii="Times New Roman" w:hAnsi="Times New Roman"/>
        </w:rPr>
        <w:t> </w:t>
      </w:r>
      <w:r w:rsidRPr="00B11350">
        <w:rPr>
          <w:rFonts w:ascii="Times New Roman" w:hAnsi="Times New Roman"/>
        </w:rPr>
        <w:t>Nathanson's offending was "very serious and strongly weigh[ed] against exercising the discretion to revoke the cancellation of the visa". It is not in dispute that the Tribunal's characterisation of Mr Nathanson's conduct as "very serious" rested at least to a considerable degree upon reasoning by reference to the terms of Direction 79 and</w:t>
      </w:r>
      <w:proofErr w:type="gramStart"/>
      <w:r w:rsidRPr="00B11350">
        <w:rPr>
          <w:rFonts w:ascii="Times New Roman" w:hAnsi="Times New Roman"/>
        </w:rPr>
        <w:t>, in particular, para</w:t>
      </w:r>
      <w:proofErr w:type="gramEnd"/>
      <w:r w:rsidRPr="00B11350">
        <w:rPr>
          <w:rFonts w:ascii="Times New Roman" w:hAnsi="Times New Roman"/>
        </w:rPr>
        <w:t xml:space="preserve"> 13.1.1(1)(b). Nor is it in dispute that it cannot be said that the same characterisation would have been reached by the Tribunal without regard to the evidence of domestic violence. </w:t>
      </w:r>
    </w:p>
    <w:p w14:paraId="6A7B2CC7" w14:textId="77777777" w:rsidR="0042544D" w:rsidRPr="00B11350" w:rsidRDefault="0042544D" w:rsidP="0042544D">
      <w:pPr>
        <w:pStyle w:val="FixListStyle"/>
        <w:numPr>
          <w:ilvl w:val="0"/>
          <w:numId w:val="18"/>
        </w:numPr>
        <w:spacing w:after="260" w:line="280" w:lineRule="exact"/>
        <w:ind w:left="0" w:right="0" w:hanging="720"/>
        <w:jc w:val="both"/>
        <w:rPr>
          <w:rFonts w:ascii="Times New Roman" w:hAnsi="Times New Roman"/>
        </w:rPr>
      </w:pPr>
      <w:r w:rsidRPr="00B11350">
        <w:rPr>
          <w:rFonts w:ascii="Times New Roman" w:hAnsi="Times New Roman"/>
        </w:rPr>
        <w:tab/>
        <w:t xml:space="preserve">Second, the Tribunal's finding about the seriousness of the incidents of domestic violence also infected the Tribunal's </w:t>
      </w:r>
      <w:proofErr w:type="gramStart"/>
      <w:r w:rsidRPr="00B11350">
        <w:rPr>
          <w:rFonts w:ascii="Times New Roman" w:hAnsi="Times New Roman"/>
        </w:rPr>
        <w:t>ultimate conclusion</w:t>
      </w:r>
      <w:proofErr w:type="gramEnd"/>
      <w:r w:rsidRPr="00B11350">
        <w:rPr>
          <w:rFonts w:ascii="Times New Roman" w:hAnsi="Times New Roman"/>
        </w:rPr>
        <w:t xml:space="preserve"> not to revoke the cancellation decision. The Tribunal concluded that the primary considerations of "protection of the Australian community and the expectations of the Australian community outweigh[ed] the other considerations that [were] in favour of the revocation of the decision to cancel the visa, namely the best interests of minor children; the strength, nature and duration of ties; and the extent of the impediments if removed". Having weighed and balanced each of the primary and other considerations, the Tribunal was of the view that it would not be appropriate to revoke the cancellation decision.</w:t>
      </w:r>
    </w:p>
    <w:p w14:paraId="1271AD61" w14:textId="77777777" w:rsidR="0042544D" w:rsidRPr="00B11350" w:rsidRDefault="0042544D" w:rsidP="0042544D">
      <w:pPr>
        <w:pStyle w:val="FixListStyle"/>
        <w:numPr>
          <w:ilvl w:val="0"/>
          <w:numId w:val="18"/>
        </w:numPr>
        <w:spacing w:after="260" w:line="280" w:lineRule="exact"/>
        <w:ind w:left="0" w:right="0" w:hanging="720"/>
        <w:jc w:val="both"/>
        <w:rPr>
          <w:rFonts w:ascii="Times New Roman" w:hAnsi="Times New Roman"/>
        </w:rPr>
      </w:pPr>
      <w:r w:rsidRPr="00B11350">
        <w:rPr>
          <w:rFonts w:ascii="Times New Roman" w:hAnsi="Times New Roman"/>
        </w:rPr>
        <w:tab/>
        <w:t xml:space="preserve">To use the language adopted by a majority in </w:t>
      </w:r>
      <w:r w:rsidRPr="00B11350">
        <w:rPr>
          <w:rFonts w:ascii="Times New Roman" w:hAnsi="Times New Roman"/>
          <w:i/>
        </w:rPr>
        <w:t>MZAPC</w:t>
      </w:r>
      <w:r w:rsidRPr="00B11350">
        <w:rPr>
          <w:rStyle w:val="FootnoteReference"/>
          <w:rFonts w:ascii="Times New Roman" w:hAnsi="Times New Roman"/>
          <w:iCs/>
          <w:sz w:val="24"/>
        </w:rPr>
        <w:footnoteReference w:id="93"/>
      </w:r>
      <w:r w:rsidRPr="00B11350">
        <w:rPr>
          <w:rFonts w:ascii="Times New Roman" w:hAnsi="Times New Roman"/>
        </w:rPr>
        <w:t>, those are the relevant "historical facts" as to what occurred in the making of the Tribunal's decision.</w:t>
      </w:r>
    </w:p>
    <w:p w14:paraId="2E1528F9" w14:textId="77777777" w:rsidR="0042544D" w:rsidRPr="00B11350" w:rsidRDefault="0042544D" w:rsidP="00B11350">
      <w:pPr>
        <w:pStyle w:val="HeadingL1"/>
        <w:spacing w:after="260" w:line="280" w:lineRule="exact"/>
        <w:ind w:right="0"/>
        <w:jc w:val="both"/>
        <w:rPr>
          <w:rFonts w:ascii="Times New Roman" w:hAnsi="Times New Roman"/>
        </w:rPr>
      </w:pPr>
      <w:r w:rsidRPr="00B11350">
        <w:rPr>
          <w:rFonts w:ascii="Times New Roman" w:hAnsi="Times New Roman"/>
        </w:rPr>
        <w:t>"Materiality" established by the nature of the error in this case</w:t>
      </w:r>
    </w:p>
    <w:p w14:paraId="7CD19DEA" w14:textId="77777777" w:rsidR="0042544D" w:rsidRPr="00B11350" w:rsidRDefault="0042544D" w:rsidP="0042544D">
      <w:pPr>
        <w:pStyle w:val="FixListStyle"/>
        <w:numPr>
          <w:ilvl w:val="0"/>
          <w:numId w:val="18"/>
        </w:numPr>
        <w:spacing w:after="260" w:line="280" w:lineRule="exact"/>
        <w:ind w:left="0" w:right="0" w:hanging="720"/>
        <w:jc w:val="both"/>
        <w:rPr>
          <w:rFonts w:ascii="Times New Roman" w:hAnsi="Times New Roman"/>
        </w:rPr>
      </w:pPr>
      <w:r w:rsidRPr="00B11350">
        <w:rPr>
          <w:rFonts w:ascii="Times New Roman" w:hAnsi="Times New Roman"/>
        </w:rPr>
        <w:tab/>
        <w:t xml:space="preserve">A majority in </w:t>
      </w:r>
      <w:r w:rsidRPr="00B11350">
        <w:rPr>
          <w:rFonts w:ascii="Times New Roman" w:hAnsi="Times New Roman"/>
          <w:i/>
          <w:iCs/>
        </w:rPr>
        <w:t>MZAPC</w:t>
      </w:r>
      <w:r w:rsidRPr="00B11350">
        <w:rPr>
          <w:rFonts w:ascii="Times New Roman" w:hAnsi="Times New Roman"/>
        </w:rPr>
        <w:t xml:space="preserve"> acknowledged that there are certain categories of error which necessarily result in "a decision exceeding the limits of decision</w:t>
      </w:r>
      <w:r w:rsidRPr="00B11350">
        <w:rPr>
          <w:rFonts w:ascii="Times New Roman" w:hAnsi="Times New Roman"/>
        </w:rPr>
        <w:noBreakHyphen/>
        <w:t>making authority without any additional threshold [of materiality] needing to be met" by an applicant</w:t>
      </w:r>
      <w:r w:rsidRPr="00B11350">
        <w:rPr>
          <w:rStyle w:val="FootnoteReference"/>
          <w:rFonts w:ascii="Times New Roman" w:hAnsi="Times New Roman"/>
          <w:sz w:val="24"/>
        </w:rPr>
        <w:footnoteReference w:id="94"/>
      </w:r>
      <w:r w:rsidRPr="00B11350">
        <w:rPr>
          <w:rFonts w:ascii="Times New Roman" w:hAnsi="Times New Roman"/>
        </w:rPr>
        <w:t>. One such category is where the error is so egregious that it will be jurisdictional regardless of the effect the error may have had on the conclusion of the decision-maker</w:t>
      </w:r>
      <w:r w:rsidRPr="00B11350">
        <w:rPr>
          <w:rStyle w:val="FootnoteReference"/>
          <w:rFonts w:ascii="Times New Roman" w:hAnsi="Times New Roman"/>
          <w:sz w:val="24"/>
        </w:rPr>
        <w:footnoteReference w:id="95"/>
      </w:r>
      <w:r w:rsidRPr="00B11350">
        <w:rPr>
          <w:rFonts w:ascii="Times New Roman" w:hAnsi="Times New Roman"/>
        </w:rPr>
        <w:t>. A serious denial of procedural fairness involving a denial of an opportunity to be heard in relation to an important issue in the context of an evaluative decision (as occurred in this case) falls into that category. Put in different terms, "the quality or severity of the error", as a</w:t>
      </w:r>
      <w:r>
        <w:rPr>
          <w:rFonts w:ascii="Times New Roman" w:hAnsi="Times New Roman"/>
        </w:rPr>
        <w:t> </w:t>
      </w:r>
      <w:r w:rsidRPr="00B11350">
        <w:rPr>
          <w:rFonts w:ascii="Times New Roman" w:hAnsi="Times New Roman"/>
        </w:rPr>
        <w:t xml:space="preserve">matter of logic and common sense, necessarily gives rise to the conclusion </w:t>
      </w:r>
      <w:r w:rsidRPr="00B11350">
        <w:rPr>
          <w:rFonts w:ascii="Times New Roman" w:hAnsi="Times New Roman"/>
        </w:rPr>
        <w:lastRenderedPageBreak/>
        <w:t>that it does not matter whether the "decision could realistically have been different had [the] error not occurred"</w:t>
      </w:r>
      <w:r w:rsidRPr="00B11350">
        <w:rPr>
          <w:rStyle w:val="FootnoteReference"/>
          <w:rFonts w:ascii="Times New Roman" w:hAnsi="Times New Roman"/>
          <w:sz w:val="24"/>
        </w:rPr>
        <w:footnoteReference w:id="96"/>
      </w:r>
      <w:r w:rsidRPr="00B11350">
        <w:rPr>
          <w:rFonts w:ascii="Times New Roman" w:hAnsi="Times New Roman"/>
        </w:rPr>
        <w:t>. Here, the "gravity of the consequence of the decision", together with "[h]</w:t>
      </w:r>
      <w:proofErr w:type="spellStart"/>
      <w:r w:rsidRPr="00B11350">
        <w:rPr>
          <w:rFonts w:ascii="Times New Roman" w:hAnsi="Times New Roman"/>
        </w:rPr>
        <w:t>uman</w:t>
      </w:r>
      <w:proofErr w:type="spellEnd"/>
      <w:r w:rsidRPr="00B11350">
        <w:rPr>
          <w:rFonts w:ascii="Times New Roman" w:hAnsi="Times New Roman"/>
        </w:rPr>
        <w:t xml:space="preserve"> experience and plain common sense", compel the inference that Mr Nathanson would, if fairly put on notice of the issue, have addressed </w:t>
      </w:r>
      <w:proofErr w:type="gramStart"/>
      <w:r w:rsidRPr="00B11350">
        <w:rPr>
          <w:rFonts w:ascii="Times New Roman" w:hAnsi="Times New Roman"/>
        </w:rPr>
        <w:t>it</w:t>
      </w:r>
      <w:proofErr w:type="gramEnd"/>
      <w:r w:rsidRPr="00B11350">
        <w:rPr>
          <w:rFonts w:ascii="Times New Roman" w:hAnsi="Times New Roman"/>
        </w:rPr>
        <w:t xml:space="preserve"> and said all that he could have about the domestic violence incidents in the context of the primary consideration of the protection of the Australian community</w:t>
      </w:r>
      <w:r w:rsidRPr="00B11350">
        <w:rPr>
          <w:rStyle w:val="FootnoteReference"/>
          <w:rFonts w:ascii="Times New Roman" w:hAnsi="Times New Roman"/>
          <w:sz w:val="24"/>
        </w:rPr>
        <w:footnoteReference w:id="97"/>
      </w:r>
      <w:r w:rsidRPr="00B11350">
        <w:rPr>
          <w:rFonts w:ascii="Times New Roman" w:hAnsi="Times New Roman"/>
        </w:rPr>
        <w:t xml:space="preserve">. </w:t>
      </w:r>
    </w:p>
    <w:p w14:paraId="10A40276" w14:textId="77777777" w:rsidR="0042544D" w:rsidRPr="00B11350" w:rsidRDefault="0042544D" w:rsidP="0042544D">
      <w:pPr>
        <w:pStyle w:val="FixListStyle"/>
        <w:numPr>
          <w:ilvl w:val="0"/>
          <w:numId w:val="18"/>
        </w:numPr>
        <w:spacing w:after="260" w:line="280" w:lineRule="exact"/>
        <w:ind w:left="0" w:right="0" w:hanging="720"/>
        <w:jc w:val="both"/>
        <w:rPr>
          <w:rFonts w:ascii="Times New Roman" w:hAnsi="Times New Roman"/>
        </w:rPr>
      </w:pPr>
      <w:r w:rsidRPr="00B11350">
        <w:rPr>
          <w:rFonts w:ascii="Times New Roman" w:hAnsi="Times New Roman"/>
        </w:rPr>
        <w:tab/>
        <w:t>Where such an error is established by an applicant, or otherwise admitted, there is no additional or separate onus on the applicant to demonstrate that the error "could realistically have resulted in a different decision"</w:t>
      </w:r>
      <w:r w:rsidRPr="00B11350">
        <w:rPr>
          <w:rStyle w:val="FootnoteReference"/>
          <w:rFonts w:ascii="Times New Roman" w:hAnsi="Times New Roman"/>
          <w:sz w:val="24"/>
        </w:rPr>
        <w:footnoteReference w:id="98"/>
      </w:r>
      <w:r w:rsidRPr="00B11350">
        <w:rPr>
          <w:rFonts w:ascii="Times New Roman" w:hAnsi="Times New Roman"/>
        </w:rPr>
        <w:t>. The very nature of the error demonstrates that an inherently valuable opportunity has been lost because of the denial of a fair hearing</w:t>
      </w:r>
      <w:r w:rsidRPr="00B11350">
        <w:rPr>
          <w:rStyle w:val="FootnoteReference"/>
          <w:rFonts w:ascii="Times New Roman" w:hAnsi="Times New Roman"/>
          <w:sz w:val="24"/>
        </w:rPr>
        <w:footnoteReference w:id="99"/>
      </w:r>
      <w:r w:rsidRPr="00B11350">
        <w:rPr>
          <w:rFonts w:ascii="Times New Roman" w:hAnsi="Times New Roman"/>
        </w:rPr>
        <w:t>. The process of review by the Tribunal miscarried fundamentally</w:t>
      </w:r>
      <w:r w:rsidRPr="00B11350">
        <w:rPr>
          <w:rStyle w:val="FootnoteReference"/>
          <w:rFonts w:ascii="Times New Roman" w:hAnsi="Times New Roman"/>
          <w:sz w:val="24"/>
        </w:rPr>
        <w:footnoteReference w:id="100"/>
      </w:r>
      <w:r w:rsidRPr="00B11350">
        <w:rPr>
          <w:rFonts w:ascii="Times New Roman" w:hAnsi="Times New Roman"/>
        </w:rPr>
        <w:t>. The Tribunal erred in this fundamental way in performing its statutory task, a task which obliged it to afford Mr Nathanson procedural fairness</w:t>
      </w:r>
      <w:r w:rsidRPr="00B11350">
        <w:rPr>
          <w:rStyle w:val="FootnoteReference"/>
          <w:rFonts w:ascii="Times New Roman" w:hAnsi="Times New Roman"/>
          <w:sz w:val="24"/>
        </w:rPr>
        <w:footnoteReference w:id="101"/>
      </w:r>
      <w:r w:rsidRPr="00B11350">
        <w:rPr>
          <w:rFonts w:ascii="Times New Roman" w:hAnsi="Times New Roman"/>
        </w:rPr>
        <w:t>.</w:t>
      </w:r>
    </w:p>
    <w:p w14:paraId="7EFF246F" w14:textId="77777777" w:rsidR="0042544D" w:rsidRPr="00B11350" w:rsidRDefault="0042544D" w:rsidP="0042544D">
      <w:pPr>
        <w:pStyle w:val="FixListStyle"/>
        <w:numPr>
          <w:ilvl w:val="0"/>
          <w:numId w:val="18"/>
        </w:numPr>
        <w:spacing w:after="260" w:line="280" w:lineRule="exact"/>
        <w:ind w:left="0" w:right="0" w:hanging="720"/>
        <w:jc w:val="both"/>
        <w:rPr>
          <w:rFonts w:ascii="Times New Roman" w:hAnsi="Times New Roman"/>
        </w:rPr>
      </w:pPr>
      <w:r w:rsidRPr="00B11350">
        <w:rPr>
          <w:rFonts w:ascii="Times New Roman" w:hAnsi="Times New Roman"/>
        </w:rPr>
        <w:tab/>
        <w:t xml:space="preserve">Plainly, as </w:t>
      </w:r>
      <w:r w:rsidRPr="00B11350">
        <w:rPr>
          <w:rFonts w:ascii="Times New Roman" w:hAnsi="Times New Roman"/>
          <w:i/>
        </w:rPr>
        <w:t>MZAPC</w:t>
      </w:r>
      <w:r w:rsidRPr="00B11350">
        <w:rPr>
          <w:rStyle w:val="FootnoteReference"/>
          <w:rFonts w:ascii="Times New Roman" w:hAnsi="Times New Roman"/>
          <w:iCs/>
          <w:sz w:val="24"/>
        </w:rPr>
        <w:footnoteReference w:id="102"/>
      </w:r>
      <w:r w:rsidRPr="00B11350">
        <w:rPr>
          <w:rFonts w:ascii="Times New Roman" w:hAnsi="Times New Roman"/>
        </w:rPr>
        <w:t xml:space="preserve">, </w:t>
      </w:r>
      <w:r w:rsidRPr="00B11350">
        <w:rPr>
          <w:rFonts w:ascii="Times New Roman" w:hAnsi="Times New Roman"/>
          <w:i/>
          <w:iCs/>
        </w:rPr>
        <w:t xml:space="preserve">Minister for Immigration and Border Protection v </w:t>
      </w:r>
      <w:r w:rsidRPr="00B11350">
        <w:rPr>
          <w:rFonts w:ascii="Times New Roman" w:hAnsi="Times New Roman"/>
          <w:i/>
        </w:rPr>
        <w:t>SZMTA</w:t>
      </w:r>
      <w:r w:rsidRPr="00B11350">
        <w:rPr>
          <w:rStyle w:val="FootnoteReference"/>
          <w:rFonts w:ascii="Times New Roman" w:hAnsi="Times New Roman"/>
          <w:iCs/>
          <w:sz w:val="24"/>
        </w:rPr>
        <w:footnoteReference w:id="103"/>
      </w:r>
      <w:r w:rsidRPr="00B11350">
        <w:rPr>
          <w:rFonts w:ascii="Times New Roman" w:hAnsi="Times New Roman"/>
        </w:rPr>
        <w:t xml:space="preserve"> and </w:t>
      </w:r>
      <w:r w:rsidRPr="00B11350">
        <w:rPr>
          <w:rFonts w:ascii="Times New Roman" w:hAnsi="Times New Roman"/>
          <w:i/>
          <w:iCs/>
        </w:rPr>
        <w:t xml:space="preserve">Minister for Immigration and Border Protection v </w:t>
      </w:r>
      <w:r w:rsidRPr="00B11350">
        <w:rPr>
          <w:rFonts w:ascii="Times New Roman" w:hAnsi="Times New Roman"/>
          <w:i/>
        </w:rPr>
        <w:t>WZARH</w:t>
      </w:r>
      <w:r w:rsidRPr="00B11350">
        <w:rPr>
          <w:rStyle w:val="FootnoteReference"/>
          <w:rFonts w:ascii="Times New Roman" w:hAnsi="Times New Roman"/>
          <w:iCs/>
          <w:sz w:val="24"/>
        </w:rPr>
        <w:footnoteReference w:id="104"/>
      </w:r>
      <w:r w:rsidRPr="00B11350">
        <w:rPr>
          <w:rFonts w:ascii="Times New Roman" w:hAnsi="Times New Roman"/>
          <w:i/>
        </w:rPr>
        <w:t xml:space="preserve"> </w:t>
      </w:r>
      <w:r w:rsidRPr="00B11350">
        <w:rPr>
          <w:rFonts w:ascii="Times New Roman" w:hAnsi="Times New Roman"/>
        </w:rPr>
        <w:t xml:space="preserve">demonstrate, not all denials of procedural fairness fall within the category of cases just described. It is unnecessary to chart the metes and bounds of the types of </w:t>
      </w:r>
      <w:r w:rsidRPr="00B11350">
        <w:rPr>
          <w:rFonts w:ascii="Times New Roman" w:hAnsi="Times New Roman"/>
        </w:rPr>
        <w:lastRenderedPageBreak/>
        <w:t>fundamental denials of procedural fairness that do fall within that category. There</w:t>
      </w:r>
      <w:r>
        <w:rPr>
          <w:rFonts w:ascii="Times New Roman" w:hAnsi="Times New Roman"/>
        </w:rPr>
        <w:t> </w:t>
      </w:r>
      <w:r w:rsidRPr="00B11350">
        <w:rPr>
          <w:rFonts w:ascii="Times New Roman" w:hAnsi="Times New Roman"/>
        </w:rPr>
        <w:t>are no bright lines to be drawn; it will depend on the case – "[t]he nature of the error has to be worked out in each case concerning a specific decision under a particular statute"</w:t>
      </w:r>
      <w:r w:rsidRPr="00B11350">
        <w:rPr>
          <w:rStyle w:val="FootnoteReference"/>
          <w:rFonts w:ascii="Times New Roman" w:hAnsi="Times New Roman"/>
          <w:sz w:val="24"/>
        </w:rPr>
        <w:footnoteReference w:id="105"/>
      </w:r>
      <w:r w:rsidRPr="00B11350">
        <w:rPr>
          <w:rFonts w:ascii="Times New Roman" w:hAnsi="Times New Roman"/>
        </w:rPr>
        <w:t xml:space="preserve">. </w:t>
      </w:r>
    </w:p>
    <w:p w14:paraId="1D259FAD" w14:textId="77777777" w:rsidR="0042544D" w:rsidRPr="00B11350" w:rsidRDefault="0042544D" w:rsidP="0042544D">
      <w:pPr>
        <w:pStyle w:val="FixListStyle"/>
        <w:numPr>
          <w:ilvl w:val="0"/>
          <w:numId w:val="18"/>
        </w:numPr>
        <w:spacing w:after="260" w:line="280" w:lineRule="exact"/>
        <w:ind w:left="0" w:right="0" w:hanging="720"/>
        <w:jc w:val="both"/>
        <w:rPr>
          <w:rFonts w:ascii="Times New Roman" w:hAnsi="Times New Roman"/>
        </w:rPr>
      </w:pPr>
      <w:r w:rsidRPr="00B11350">
        <w:rPr>
          <w:rFonts w:ascii="Times New Roman" w:hAnsi="Times New Roman"/>
        </w:rPr>
        <w:tab/>
        <w:t xml:space="preserve">My conclusion reflects what Gageler J and I said in </w:t>
      </w:r>
      <w:r w:rsidRPr="00B11350">
        <w:rPr>
          <w:rFonts w:ascii="Times New Roman" w:hAnsi="Times New Roman"/>
          <w:i/>
        </w:rPr>
        <w:t>WZARH</w:t>
      </w:r>
      <w:r w:rsidRPr="00B11350">
        <w:rPr>
          <w:rStyle w:val="FootnoteReference"/>
          <w:rFonts w:ascii="Times New Roman" w:hAnsi="Times New Roman"/>
          <w:iCs/>
          <w:sz w:val="24"/>
        </w:rPr>
        <w:footnoteReference w:id="106"/>
      </w:r>
      <w:r w:rsidRPr="00B11350">
        <w:rPr>
          <w:rFonts w:ascii="Times New Roman" w:hAnsi="Times New Roman"/>
        </w:rPr>
        <w:t>. In that case, we explained that "[t]</w:t>
      </w:r>
      <w:proofErr w:type="gramStart"/>
      <w:r w:rsidRPr="00B11350">
        <w:rPr>
          <w:rFonts w:ascii="Times New Roman" w:hAnsi="Times New Roman"/>
        </w:rPr>
        <w:t>he</w:t>
      </w:r>
      <w:proofErr w:type="gramEnd"/>
      <w:r w:rsidRPr="00B11350">
        <w:rPr>
          <w:rFonts w:ascii="Times New Roman" w:hAnsi="Times New Roman"/>
        </w:rPr>
        <w:t xml:space="preserve"> concern of procedural fairness, which here operates as a condition of the exercise of a statutory power, is with procedures rather than with outcomes"</w:t>
      </w:r>
      <w:r w:rsidRPr="00B11350">
        <w:rPr>
          <w:rStyle w:val="FootnoteReference"/>
          <w:rFonts w:ascii="Times New Roman" w:hAnsi="Times New Roman"/>
          <w:sz w:val="24"/>
        </w:rPr>
        <w:footnoteReference w:id="107"/>
      </w:r>
      <w:r w:rsidRPr="00B11350">
        <w:rPr>
          <w:rFonts w:ascii="Times New Roman" w:hAnsi="Times New Roman"/>
        </w:rPr>
        <w:t>. A fundamental failure on the part of the Tribunal to give an applicant the opportunity to be heard which a reasonable Tribunal ought fairly to give in the totality of the circumstances constitutes, without more, a denial of procedural fairness in breach of the implied condition which governs the exercise of the Tribunal's statutory powers of consideration</w:t>
      </w:r>
      <w:r w:rsidRPr="00B11350">
        <w:rPr>
          <w:rStyle w:val="FootnoteReference"/>
          <w:rFonts w:ascii="Times New Roman" w:hAnsi="Times New Roman"/>
          <w:sz w:val="24"/>
        </w:rPr>
        <w:footnoteReference w:id="108"/>
      </w:r>
      <w:r w:rsidRPr="00B11350">
        <w:rPr>
          <w:rFonts w:ascii="Times New Roman" w:hAnsi="Times New Roman"/>
        </w:rPr>
        <w:t xml:space="preserve">. The fundamental nature of the error means that it does not need to be established by an applicant that the breach is "material", </w:t>
      </w:r>
      <w:proofErr w:type="gramStart"/>
      <w:r w:rsidRPr="00B11350">
        <w:rPr>
          <w:rFonts w:ascii="Times New Roman" w:hAnsi="Times New Roman"/>
        </w:rPr>
        <w:t>so as to</w:t>
      </w:r>
      <w:proofErr w:type="gramEnd"/>
      <w:r w:rsidRPr="00B11350">
        <w:rPr>
          <w:rFonts w:ascii="Times New Roman" w:hAnsi="Times New Roman"/>
        </w:rPr>
        <w:t xml:space="preserve"> give rise to jurisdictional error, and therefore it is unnecessary to show that it operates to deprive the applicant of the possibility of a successful outcome. </w:t>
      </w:r>
    </w:p>
    <w:p w14:paraId="476B724F" w14:textId="77777777" w:rsidR="0042544D" w:rsidRPr="00B11350" w:rsidRDefault="0042544D" w:rsidP="0042544D">
      <w:pPr>
        <w:pStyle w:val="FixListStyle"/>
        <w:numPr>
          <w:ilvl w:val="0"/>
          <w:numId w:val="18"/>
        </w:numPr>
        <w:spacing w:after="260" w:line="280" w:lineRule="exact"/>
        <w:ind w:left="0" w:right="0" w:hanging="720"/>
        <w:jc w:val="both"/>
        <w:rPr>
          <w:rFonts w:ascii="Times New Roman" w:hAnsi="Times New Roman"/>
        </w:rPr>
      </w:pPr>
      <w:r w:rsidRPr="00B11350">
        <w:rPr>
          <w:rFonts w:ascii="Times New Roman" w:hAnsi="Times New Roman"/>
        </w:rPr>
        <w:tab/>
        <w:t>That inexorably follows from the fact that the concern of procedural fairness is to "avoid practical injustice"</w:t>
      </w:r>
      <w:r w:rsidRPr="00B11350">
        <w:rPr>
          <w:rStyle w:val="FootnoteReference"/>
          <w:rFonts w:ascii="Times New Roman" w:hAnsi="Times New Roman"/>
          <w:sz w:val="24"/>
        </w:rPr>
        <w:footnoteReference w:id="109"/>
      </w:r>
      <w:r w:rsidRPr="00B11350">
        <w:rPr>
          <w:rFonts w:ascii="Times New Roman" w:hAnsi="Times New Roman"/>
        </w:rPr>
        <w:t>. "The practical injustice in such a case lies in the denial of an opportunity which in fairness ought to have been given"</w:t>
      </w:r>
      <w:r w:rsidRPr="00B11350">
        <w:rPr>
          <w:rStyle w:val="FootnoteReference"/>
          <w:rFonts w:ascii="Times New Roman" w:hAnsi="Times New Roman"/>
          <w:sz w:val="24"/>
        </w:rPr>
        <w:footnoteReference w:id="110"/>
      </w:r>
      <w:r w:rsidRPr="00B11350">
        <w:rPr>
          <w:rFonts w:ascii="Times New Roman" w:hAnsi="Times New Roman"/>
        </w:rPr>
        <w:t xml:space="preserve">. It is not incumbent on a person who seeks to establish denial of procedural fairness always to demonstrate what </w:t>
      </w:r>
      <w:r w:rsidRPr="00B11350">
        <w:rPr>
          <w:rFonts w:ascii="Times New Roman" w:hAnsi="Times New Roman"/>
          <w:i/>
        </w:rPr>
        <w:t>would</w:t>
      </w:r>
      <w:r w:rsidRPr="00B11350">
        <w:rPr>
          <w:rStyle w:val="FootnoteReference"/>
          <w:rFonts w:ascii="Times New Roman" w:hAnsi="Times New Roman"/>
          <w:sz w:val="24"/>
        </w:rPr>
        <w:footnoteReference w:id="111"/>
      </w:r>
      <w:r w:rsidRPr="00B11350">
        <w:rPr>
          <w:rFonts w:ascii="Times New Roman" w:hAnsi="Times New Roman"/>
        </w:rPr>
        <w:t xml:space="preserve"> – </w:t>
      </w:r>
      <w:proofErr w:type="gramStart"/>
      <w:r w:rsidRPr="00B11350">
        <w:rPr>
          <w:rFonts w:ascii="Times New Roman" w:hAnsi="Times New Roman"/>
        </w:rPr>
        <w:t>or,</w:t>
      </w:r>
      <w:proofErr w:type="gramEnd"/>
      <w:r w:rsidRPr="00B11350">
        <w:rPr>
          <w:rFonts w:ascii="Times New Roman" w:hAnsi="Times New Roman"/>
        </w:rPr>
        <w:t xml:space="preserve"> now, </w:t>
      </w:r>
      <w:r w:rsidRPr="00B11350">
        <w:rPr>
          <w:rFonts w:ascii="Times New Roman" w:hAnsi="Times New Roman"/>
          <w:i/>
        </w:rPr>
        <w:t>could</w:t>
      </w:r>
      <w:r w:rsidRPr="00B11350">
        <w:rPr>
          <w:rStyle w:val="FootnoteReference"/>
          <w:rFonts w:ascii="Times New Roman" w:hAnsi="Times New Roman"/>
          <w:iCs/>
          <w:sz w:val="24"/>
        </w:rPr>
        <w:footnoteReference w:id="112"/>
      </w:r>
      <w:r w:rsidRPr="00B11350">
        <w:rPr>
          <w:rFonts w:ascii="Times New Roman" w:hAnsi="Times New Roman"/>
          <w:i/>
        </w:rPr>
        <w:t xml:space="preserve"> </w:t>
      </w:r>
      <w:r w:rsidRPr="00B11350">
        <w:rPr>
          <w:rFonts w:ascii="Times New Roman" w:hAnsi="Times New Roman"/>
        </w:rPr>
        <w:t>– have occurred if procedural fairness had been observed</w:t>
      </w:r>
      <w:r w:rsidRPr="00B11350">
        <w:rPr>
          <w:rStyle w:val="FootnoteReference"/>
          <w:rFonts w:ascii="Times New Roman" w:hAnsi="Times New Roman"/>
          <w:sz w:val="24"/>
        </w:rPr>
        <w:footnoteReference w:id="113"/>
      </w:r>
      <w:r w:rsidRPr="00B11350">
        <w:rPr>
          <w:rFonts w:ascii="Times New Roman" w:hAnsi="Times New Roman"/>
        </w:rPr>
        <w:t xml:space="preserve">. What must be shown by a person seeking to </w:t>
      </w:r>
      <w:r w:rsidRPr="00B11350">
        <w:rPr>
          <w:rFonts w:ascii="Times New Roman" w:hAnsi="Times New Roman"/>
        </w:rPr>
        <w:lastRenderedPageBreak/>
        <w:t>establish a denial of procedural fairness will depend upon the precise defect alleged to have occurred in the decision</w:t>
      </w:r>
      <w:r w:rsidRPr="00B11350">
        <w:rPr>
          <w:rFonts w:ascii="Times New Roman" w:hAnsi="Times New Roman"/>
        </w:rPr>
        <w:noBreakHyphen/>
        <w:t>making process</w:t>
      </w:r>
      <w:r w:rsidRPr="00B11350">
        <w:rPr>
          <w:rStyle w:val="FootnoteReference"/>
          <w:rFonts w:ascii="Times New Roman" w:hAnsi="Times New Roman"/>
          <w:sz w:val="24"/>
        </w:rPr>
        <w:footnoteReference w:id="114"/>
      </w:r>
      <w:r w:rsidRPr="00B11350">
        <w:rPr>
          <w:rFonts w:ascii="Times New Roman" w:hAnsi="Times New Roman"/>
        </w:rPr>
        <w:t xml:space="preserve">. </w:t>
      </w:r>
    </w:p>
    <w:p w14:paraId="000D1EF7" w14:textId="77777777" w:rsidR="0042544D" w:rsidRPr="00B11350" w:rsidRDefault="0042544D" w:rsidP="0042544D">
      <w:pPr>
        <w:pStyle w:val="FixListStyle"/>
        <w:numPr>
          <w:ilvl w:val="0"/>
          <w:numId w:val="18"/>
        </w:numPr>
        <w:spacing w:after="260" w:line="280" w:lineRule="exact"/>
        <w:ind w:left="0" w:right="0" w:hanging="720"/>
        <w:jc w:val="both"/>
        <w:rPr>
          <w:rFonts w:ascii="Times New Roman" w:hAnsi="Times New Roman"/>
        </w:rPr>
      </w:pPr>
      <w:r w:rsidRPr="00B11350">
        <w:rPr>
          <w:rFonts w:ascii="Times New Roman" w:hAnsi="Times New Roman"/>
        </w:rPr>
        <w:tab/>
        <w:t>Where the error is not fundamental in the sense described, but where the procedure adopted can be shown itself to have failed to afford a fair opportunity to be heard, a denial of procedural fairness is established by nothing more than that failure and jurisdictional error is made out unless it can be shown by a respondent to a judicial review application that the failure did not deprive the person of the possibility of a successful outcome</w:t>
      </w:r>
      <w:r w:rsidRPr="00B11350">
        <w:rPr>
          <w:rStyle w:val="FootnoteReference"/>
          <w:rFonts w:ascii="Times New Roman" w:hAnsi="Times New Roman"/>
          <w:sz w:val="24"/>
        </w:rPr>
        <w:footnoteReference w:id="115"/>
      </w:r>
      <w:r w:rsidRPr="00B11350">
        <w:rPr>
          <w:rFonts w:ascii="Times New Roman" w:hAnsi="Times New Roman"/>
        </w:rPr>
        <w:t>. That jurisdictional error is established in those cases reflects the primacy of the statutory rules and the separation of powers by which courts respect those rules. It reflects that judicial power is, and must be, exercised in a way which seeks to ensure that the values that underpin our democracy are upheld, including that power will not be exercised against an individual contrary to law and, at a more human level, that such exercises of power respect the integrity and the dignity of individuals who are subject to that power</w:t>
      </w:r>
      <w:r w:rsidRPr="00B11350">
        <w:rPr>
          <w:rStyle w:val="FootnoteReference"/>
          <w:rFonts w:ascii="Times New Roman" w:hAnsi="Times New Roman"/>
          <w:sz w:val="24"/>
        </w:rPr>
        <w:footnoteReference w:id="116"/>
      </w:r>
      <w:r w:rsidRPr="00B11350">
        <w:rPr>
          <w:rFonts w:ascii="Times New Roman" w:hAnsi="Times New Roman"/>
        </w:rPr>
        <w:t>.</w:t>
      </w:r>
    </w:p>
    <w:p w14:paraId="12698A2D" w14:textId="77777777" w:rsidR="0042544D" w:rsidRPr="00B11350" w:rsidRDefault="0042544D" w:rsidP="0042544D">
      <w:pPr>
        <w:pStyle w:val="FixListStyle"/>
        <w:numPr>
          <w:ilvl w:val="0"/>
          <w:numId w:val="18"/>
        </w:numPr>
        <w:spacing w:after="260" w:line="280" w:lineRule="exact"/>
        <w:ind w:left="0" w:right="0" w:hanging="720"/>
        <w:jc w:val="both"/>
        <w:rPr>
          <w:rFonts w:ascii="Times New Roman" w:hAnsi="Times New Roman"/>
        </w:rPr>
      </w:pPr>
      <w:r w:rsidRPr="00B11350">
        <w:rPr>
          <w:rFonts w:ascii="Times New Roman" w:hAnsi="Times New Roman"/>
        </w:rPr>
        <w:tab/>
        <w:t>Two further matters should be noted. The Minister submitted that the present case is an "unusual" denial of procedural fairness case. The Minister pointed both to the fact that the lost opportunity here concerned a topic that had already received some attention, albeit in a different context, and to the evaluative nature of the decision-maker's task. Contrary to the Minister's submissions, these</w:t>
      </w:r>
      <w:r>
        <w:rPr>
          <w:rFonts w:ascii="Times New Roman" w:hAnsi="Times New Roman"/>
        </w:rPr>
        <w:t> </w:t>
      </w:r>
      <w:r w:rsidRPr="00B11350">
        <w:rPr>
          <w:rFonts w:ascii="Times New Roman" w:hAnsi="Times New Roman"/>
        </w:rPr>
        <w:t>matters demonstrate how serious the denial of procedural fairness was. The</w:t>
      </w:r>
      <w:r>
        <w:rPr>
          <w:rFonts w:ascii="Times New Roman" w:hAnsi="Times New Roman"/>
        </w:rPr>
        <w:t> </w:t>
      </w:r>
      <w:r w:rsidRPr="00B11350">
        <w:rPr>
          <w:rFonts w:ascii="Times New Roman" w:hAnsi="Times New Roman"/>
        </w:rPr>
        <w:t xml:space="preserve">proposition advanced by the Minister that this was an "unusual case" is as startling as it is wrong. </w:t>
      </w:r>
    </w:p>
    <w:p w14:paraId="75E6ACC6" w14:textId="77777777" w:rsidR="0042544D" w:rsidRPr="00B11350" w:rsidRDefault="0042544D" w:rsidP="0042544D">
      <w:pPr>
        <w:pStyle w:val="FixListStyle"/>
        <w:numPr>
          <w:ilvl w:val="0"/>
          <w:numId w:val="18"/>
        </w:numPr>
        <w:spacing w:after="260" w:line="280" w:lineRule="exact"/>
        <w:ind w:left="0" w:right="0" w:hanging="720"/>
        <w:jc w:val="both"/>
        <w:rPr>
          <w:rFonts w:ascii="Times New Roman" w:hAnsi="Times New Roman"/>
        </w:rPr>
      </w:pPr>
      <w:r w:rsidRPr="00B11350">
        <w:rPr>
          <w:rFonts w:ascii="Times New Roman" w:hAnsi="Times New Roman"/>
        </w:rPr>
        <w:tab/>
        <w:t>Next, even if (contrary to my view), notwithstanding the serious nature of the admitted error, there was an additional or separate onus on an applicant – here,</w:t>
      </w:r>
      <w:r>
        <w:rPr>
          <w:rFonts w:ascii="Times New Roman" w:hAnsi="Times New Roman"/>
        </w:rPr>
        <w:t> </w:t>
      </w:r>
      <w:r w:rsidRPr="00B11350">
        <w:rPr>
          <w:rFonts w:ascii="Times New Roman" w:hAnsi="Times New Roman"/>
        </w:rPr>
        <w:t>Mr Nathanson – to establish materiality, the Minister's submissions regarding what was required to discharge that onus must be rejected. Mr</w:t>
      </w:r>
      <w:r>
        <w:rPr>
          <w:rFonts w:ascii="Times New Roman" w:hAnsi="Times New Roman"/>
        </w:rPr>
        <w:t> </w:t>
      </w:r>
      <w:r w:rsidRPr="00B11350">
        <w:rPr>
          <w:rFonts w:ascii="Times New Roman" w:hAnsi="Times New Roman"/>
        </w:rPr>
        <w:t xml:space="preserve">Nathanson was not required to demonstrate, by submissions or evidence, precisely what submissions he would or could have made or what evidence he </w:t>
      </w:r>
      <w:r w:rsidRPr="00B11350">
        <w:rPr>
          <w:rFonts w:ascii="Times New Roman" w:hAnsi="Times New Roman"/>
        </w:rPr>
        <w:lastRenderedPageBreak/>
        <w:t>would or could have given or adduced</w:t>
      </w:r>
      <w:r w:rsidRPr="00B11350">
        <w:rPr>
          <w:rStyle w:val="FootnoteReference"/>
          <w:rFonts w:ascii="Times New Roman" w:hAnsi="Times New Roman"/>
          <w:sz w:val="24"/>
        </w:rPr>
        <w:footnoteReference w:id="117"/>
      </w:r>
      <w:r w:rsidRPr="00B11350">
        <w:rPr>
          <w:rFonts w:ascii="Times New Roman" w:hAnsi="Times New Roman"/>
        </w:rPr>
        <w:t xml:space="preserve">. Nor was the judicial review court required to make findings as to what submissions Mr Nathanson would or could have made or what evidence he would or could have given or adduced and </w:t>
      </w:r>
      <w:proofErr w:type="gramStart"/>
      <w:r w:rsidRPr="00B11350">
        <w:rPr>
          <w:rFonts w:ascii="Times New Roman" w:hAnsi="Times New Roman"/>
        </w:rPr>
        <w:t>whether or not</w:t>
      </w:r>
      <w:proofErr w:type="gramEnd"/>
      <w:r w:rsidRPr="00B11350">
        <w:rPr>
          <w:rFonts w:ascii="Times New Roman" w:hAnsi="Times New Roman"/>
        </w:rPr>
        <w:t xml:space="preserve"> any such submissions or evidence could have persuaded the decision-maker. It is</w:t>
      </w:r>
      <w:r>
        <w:rPr>
          <w:rFonts w:ascii="Times New Roman" w:hAnsi="Times New Roman"/>
        </w:rPr>
        <w:t> </w:t>
      </w:r>
      <w:r w:rsidRPr="00B11350">
        <w:rPr>
          <w:rFonts w:ascii="Times New Roman" w:hAnsi="Times New Roman"/>
        </w:rPr>
        <w:t>neither principled nor practical to require judicial review applicants effectively to run before a judicial review court the case that they would have run before an administrative decision</w:t>
      </w:r>
      <w:r w:rsidRPr="00B11350">
        <w:rPr>
          <w:rFonts w:ascii="Times New Roman" w:hAnsi="Times New Roman"/>
        </w:rPr>
        <w:noBreakHyphen/>
        <w:t xml:space="preserve">maker if they had not been denied a fair hearing. Rather, as Gageler J states, the question is whether the conjecture that the decision </w:t>
      </w:r>
      <w:r w:rsidRPr="00B11350">
        <w:rPr>
          <w:rFonts w:ascii="Times New Roman" w:hAnsi="Times New Roman"/>
          <w:i/>
        </w:rPr>
        <w:t>could</w:t>
      </w:r>
      <w:r w:rsidRPr="00B11350">
        <w:rPr>
          <w:rFonts w:ascii="Times New Roman" w:hAnsi="Times New Roman"/>
        </w:rPr>
        <w:t xml:space="preserve"> have been different had a fair opportunity to be heard been afforded is reasonable</w:t>
      </w:r>
      <w:r w:rsidRPr="00B11350">
        <w:rPr>
          <w:rStyle w:val="FootnoteReference"/>
          <w:rFonts w:ascii="Times New Roman" w:hAnsi="Times New Roman"/>
          <w:sz w:val="24"/>
        </w:rPr>
        <w:footnoteReference w:id="118"/>
      </w:r>
      <w:r w:rsidRPr="00B11350">
        <w:rPr>
          <w:rFonts w:ascii="Times New Roman" w:hAnsi="Times New Roman"/>
        </w:rPr>
        <w:t xml:space="preserve">. The more serious the error, the more obvious it will be that the conjecture is both open and reasonable. And seldom will it not be reasonable. </w:t>
      </w:r>
    </w:p>
    <w:p w14:paraId="2D7F19EA" w14:textId="77777777" w:rsidR="0042544D" w:rsidRPr="00B11350" w:rsidRDefault="0042544D" w:rsidP="0042544D">
      <w:pPr>
        <w:pStyle w:val="FixListStyle"/>
        <w:numPr>
          <w:ilvl w:val="0"/>
          <w:numId w:val="18"/>
        </w:numPr>
        <w:spacing w:after="260" w:line="280" w:lineRule="exact"/>
        <w:ind w:left="0" w:right="0" w:hanging="720"/>
        <w:jc w:val="both"/>
        <w:rPr>
          <w:rFonts w:ascii="Times New Roman" w:hAnsi="Times New Roman"/>
        </w:rPr>
      </w:pPr>
      <w:r w:rsidRPr="00B11350">
        <w:rPr>
          <w:rFonts w:ascii="Times New Roman" w:hAnsi="Times New Roman"/>
        </w:rPr>
        <w:tab/>
        <w:t xml:space="preserve">As a majority in </w:t>
      </w:r>
      <w:r w:rsidRPr="00B11350">
        <w:rPr>
          <w:rFonts w:ascii="Times New Roman" w:hAnsi="Times New Roman"/>
          <w:i/>
        </w:rPr>
        <w:t>MZAPC</w:t>
      </w:r>
      <w:r w:rsidRPr="00B11350">
        <w:rPr>
          <w:rStyle w:val="FootnoteReference"/>
          <w:rFonts w:ascii="Times New Roman" w:hAnsi="Times New Roman"/>
          <w:sz w:val="24"/>
        </w:rPr>
        <w:footnoteReference w:id="119"/>
      </w:r>
      <w:r w:rsidRPr="00B11350">
        <w:rPr>
          <w:rFonts w:ascii="Times New Roman" w:hAnsi="Times New Roman"/>
        </w:rPr>
        <w:t xml:space="preserve"> recognised, "a court called upon to determine whether jurisdictional error has occurred must be careful not to assume the function of the decision-maker". Requiring judicial review applicants to adduce evidence and make submissions about what they would or could have done differently to demonstrate the materiality of an error has the inherent danger of leading to courts doing precisely what their Honours in </w:t>
      </w:r>
      <w:r w:rsidRPr="00B11350">
        <w:rPr>
          <w:rFonts w:ascii="Times New Roman" w:hAnsi="Times New Roman"/>
          <w:i/>
        </w:rPr>
        <w:t>MZAPC</w:t>
      </w:r>
      <w:r w:rsidRPr="00B11350">
        <w:rPr>
          <w:rFonts w:ascii="Times New Roman" w:hAnsi="Times New Roman"/>
        </w:rPr>
        <w:t xml:space="preserve"> warned that they must not do – that is, to assume the function of the administrative decision-maker. The danger of "materiality" principles transforming judicial review into "a form of merits review"</w:t>
      </w:r>
      <w:r w:rsidRPr="00B11350">
        <w:rPr>
          <w:rStyle w:val="FootnoteReference"/>
          <w:rFonts w:ascii="Times New Roman" w:hAnsi="Times New Roman"/>
          <w:sz w:val="24"/>
        </w:rPr>
        <w:footnoteReference w:id="120"/>
      </w:r>
      <w:r w:rsidRPr="00B11350">
        <w:rPr>
          <w:rFonts w:ascii="Times New Roman" w:hAnsi="Times New Roman"/>
        </w:rPr>
        <w:t xml:space="preserve"> is reason enough to reject the Minister's submission. But there is also a further practical reason to do so. </w:t>
      </w:r>
    </w:p>
    <w:p w14:paraId="001202B3" w14:textId="77777777" w:rsidR="0042544D" w:rsidRPr="00B11350" w:rsidRDefault="0042544D" w:rsidP="0042544D">
      <w:pPr>
        <w:pStyle w:val="FixListStyle"/>
        <w:numPr>
          <w:ilvl w:val="0"/>
          <w:numId w:val="18"/>
        </w:numPr>
        <w:spacing w:after="260" w:line="280" w:lineRule="exact"/>
        <w:ind w:left="0" w:right="0" w:hanging="720"/>
        <w:jc w:val="both"/>
        <w:rPr>
          <w:rFonts w:ascii="Times New Roman" w:hAnsi="Times New Roman"/>
        </w:rPr>
      </w:pPr>
      <w:r w:rsidRPr="00B11350">
        <w:rPr>
          <w:rFonts w:ascii="Times New Roman" w:hAnsi="Times New Roman"/>
        </w:rPr>
        <w:tab/>
        <w:t xml:space="preserve">To require an applicant to show what evidence they would or could have given or adduced or what submissions would or could have been made had there not been a denial of procedural fairness will inevitably result in applicants erring on the side of caution and proceeding effectively to run the case they say they would have run before the decision-maker before the judicial review court. Further, it would seem almost inevitable that applicants would make self-serving arguments about the case they say they would have run that may or may not be consistent with what would have </w:t>
      </w:r>
      <w:proofErr w:type="gramStart"/>
      <w:r w:rsidRPr="00B11350">
        <w:rPr>
          <w:rFonts w:ascii="Times New Roman" w:hAnsi="Times New Roman"/>
        </w:rPr>
        <w:t>actually taken</w:t>
      </w:r>
      <w:proofErr w:type="gramEnd"/>
      <w:r w:rsidRPr="00B11350">
        <w:rPr>
          <w:rFonts w:ascii="Times New Roman" w:hAnsi="Times New Roman"/>
        </w:rPr>
        <w:t xml:space="preserve"> place. That is the inevitable consequence of requiring applicants and courts to undertake an entirely </w:t>
      </w:r>
      <w:r w:rsidRPr="00B11350">
        <w:rPr>
          <w:rFonts w:ascii="Times New Roman" w:hAnsi="Times New Roman"/>
        </w:rPr>
        <w:lastRenderedPageBreak/>
        <w:t xml:space="preserve">hypothetical inquiry – it is simply not possible to be confident as to what steps would or could have been taken. </w:t>
      </w:r>
    </w:p>
    <w:p w14:paraId="4DFE3497" w14:textId="77777777" w:rsidR="0042544D" w:rsidRPr="00B11350" w:rsidRDefault="0042544D" w:rsidP="0042544D">
      <w:pPr>
        <w:pStyle w:val="FixListStyle"/>
        <w:numPr>
          <w:ilvl w:val="0"/>
          <w:numId w:val="18"/>
        </w:numPr>
        <w:spacing w:after="260" w:line="280" w:lineRule="exact"/>
        <w:ind w:left="0" w:right="0" w:hanging="720"/>
        <w:jc w:val="both"/>
        <w:rPr>
          <w:rFonts w:ascii="Times New Roman" w:hAnsi="Times New Roman"/>
        </w:rPr>
      </w:pPr>
      <w:r w:rsidRPr="00B11350">
        <w:rPr>
          <w:rFonts w:ascii="Times New Roman" w:hAnsi="Times New Roman"/>
        </w:rPr>
        <w:tab/>
      </w:r>
      <w:r>
        <w:rPr>
          <w:rFonts w:ascii="Times New Roman" w:hAnsi="Times New Roman"/>
        </w:rPr>
        <w:t>W</w:t>
      </w:r>
      <w:r w:rsidRPr="00B11350">
        <w:rPr>
          <w:rFonts w:ascii="Times New Roman" w:hAnsi="Times New Roman"/>
        </w:rPr>
        <w:t>here there has been a fundamental failure on the part of the decision</w:t>
      </w:r>
      <w:r w:rsidRPr="00B11350">
        <w:rPr>
          <w:rFonts w:ascii="Times New Roman" w:hAnsi="Times New Roman"/>
        </w:rPr>
        <w:noBreakHyphen/>
        <w:t>maker to afford procedural fairness (as occurred in this case), nothing more is required from the applicant to make out the error. There has been no hearing of the kind which in fairness ought to have been given. Jurisdictional error is established. But, even if the error in this case was not "fundamental" (and it was), the case illustrates the difficulties, in principle and in practice, of requiring an applicant to do the very thing that should not be done on judicial review. Courts should not impose an obligation on an applicant to adduce evidence or make submissions about what would or could have been argued, or</w:t>
      </w:r>
      <w:r>
        <w:rPr>
          <w:rFonts w:ascii="Times New Roman" w:hAnsi="Times New Roman"/>
        </w:rPr>
        <w:t> </w:t>
      </w:r>
      <w:r w:rsidRPr="00B11350">
        <w:rPr>
          <w:rFonts w:ascii="Times New Roman" w:hAnsi="Times New Roman"/>
        </w:rPr>
        <w:t xml:space="preserve">what evidence would or could have been adduced, had they been afforded a fair hearing. That is not judicial review and that is not principled or practical. </w:t>
      </w:r>
    </w:p>
    <w:p w14:paraId="2C345B1A" w14:textId="77777777" w:rsidR="0042544D" w:rsidRPr="00B11350" w:rsidRDefault="0042544D" w:rsidP="00B11350">
      <w:pPr>
        <w:pStyle w:val="HeadingL1"/>
        <w:spacing w:after="260" w:line="280" w:lineRule="exact"/>
        <w:ind w:right="0"/>
        <w:jc w:val="both"/>
        <w:rPr>
          <w:rFonts w:ascii="Times New Roman" w:hAnsi="Times New Roman"/>
        </w:rPr>
      </w:pPr>
      <w:r w:rsidRPr="00B11350">
        <w:rPr>
          <w:rFonts w:ascii="Times New Roman" w:hAnsi="Times New Roman"/>
        </w:rPr>
        <w:t>Conclusion and orders</w:t>
      </w:r>
    </w:p>
    <w:p w14:paraId="5F2161AD" w14:textId="18C2F6E4" w:rsidR="0042544D" w:rsidRDefault="0042544D" w:rsidP="00625C33">
      <w:pPr>
        <w:pStyle w:val="FixListStyle"/>
        <w:numPr>
          <w:ilvl w:val="0"/>
          <w:numId w:val="18"/>
        </w:numPr>
        <w:spacing w:after="260" w:line="280" w:lineRule="exact"/>
        <w:ind w:left="0" w:right="0" w:hanging="720"/>
        <w:jc w:val="both"/>
      </w:pPr>
      <w:r w:rsidRPr="00726236">
        <w:rPr>
          <w:rFonts w:ascii="Times New Roman" w:hAnsi="Times New Roman"/>
        </w:rPr>
        <w:tab/>
        <w:t xml:space="preserve">I agree with the orders proposed by Kiefel CJ, Keane and Gleeson JJ. </w:t>
      </w:r>
    </w:p>
    <w:p w14:paraId="7061B25D" w14:textId="77777777" w:rsidR="0042544D" w:rsidRDefault="0042544D" w:rsidP="002A3AAE">
      <w:pPr>
        <w:pStyle w:val="FixListStyle"/>
        <w:spacing w:after="260" w:line="280" w:lineRule="exact"/>
        <w:ind w:right="0"/>
        <w:jc w:val="both"/>
        <w:rPr>
          <w:rFonts w:ascii="Times New Roman" w:hAnsi="Times New Roman"/>
        </w:rPr>
        <w:sectPr w:rsidR="0042544D" w:rsidSect="0042544D">
          <w:headerReference w:type="even" r:id="rId26"/>
          <w:headerReference w:type="default" r:id="rId27"/>
          <w:headerReference w:type="first" r:id="rId28"/>
          <w:pgSz w:w="11907" w:h="16839" w:code="9"/>
          <w:pgMar w:top="1440" w:right="1701" w:bottom="1984" w:left="1701" w:header="720" w:footer="720" w:gutter="0"/>
          <w:cols w:space="720"/>
          <w:docGrid w:linePitch="354"/>
        </w:sectPr>
      </w:pPr>
    </w:p>
    <w:p w14:paraId="74A3A483" w14:textId="77777777" w:rsidR="0042544D" w:rsidRPr="00FB6AF7" w:rsidRDefault="0042544D" w:rsidP="00FB6AF7">
      <w:pPr>
        <w:pStyle w:val="NormalBody"/>
        <w:tabs>
          <w:tab w:val="clear" w:pos="720"/>
          <w:tab w:val="left" w:pos="0"/>
        </w:tabs>
        <w:spacing w:after="260" w:line="280" w:lineRule="exact"/>
        <w:ind w:right="0"/>
        <w:jc w:val="both"/>
        <w:rPr>
          <w:rFonts w:ascii="Times New Roman" w:hAnsi="Times New Roman"/>
        </w:rPr>
      </w:pPr>
      <w:r w:rsidRPr="00FB6AF7">
        <w:rPr>
          <w:rFonts w:ascii="Times New Roman" w:hAnsi="Times New Roman"/>
        </w:rPr>
        <w:lastRenderedPageBreak/>
        <w:t xml:space="preserve">EDELMAN J.   </w:t>
      </w:r>
    </w:p>
    <w:p w14:paraId="44EB18B8" w14:textId="77777777" w:rsidR="0042544D" w:rsidRPr="00FB6AF7" w:rsidRDefault="0042544D" w:rsidP="00FB6AF7">
      <w:pPr>
        <w:pStyle w:val="HeadingL1"/>
        <w:spacing w:after="260" w:line="280" w:lineRule="exact"/>
        <w:ind w:right="0"/>
        <w:jc w:val="both"/>
        <w:rPr>
          <w:rFonts w:ascii="Times New Roman" w:hAnsi="Times New Roman"/>
        </w:rPr>
      </w:pPr>
      <w:r w:rsidRPr="00FB6AF7">
        <w:rPr>
          <w:rFonts w:ascii="Times New Roman" w:hAnsi="Times New Roman"/>
        </w:rPr>
        <w:t>Procedural fairness and natural justice</w:t>
      </w:r>
    </w:p>
    <w:p w14:paraId="0A2030AD"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Procedural fairness is based upon natural justice. One of the innate, or natural, elements of justice is that a person should have a reasonable opportunity to respond to adverse allegations. This basic requirement is so fundamental, and is such a strong expectation of a reasonable person to whom the relevant legislation applies, that it has repeatedly been held that the implication of procedural fairness in an administrative hearing can only be removed by Parliament using "plain words of necessary intendment"</w:t>
      </w:r>
      <w:r w:rsidRPr="00FB6AF7">
        <w:rPr>
          <w:rStyle w:val="FootnoteReference"/>
          <w:rFonts w:ascii="Times New Roman" w:hAnsi="Times New Roman"/>
          <w:sz w:val="24"/>
        </w:rPr>
        <w:footnoteReference w:id="121"/>
      </w:r>
      <w:r w:rsidRPr="00FB6AF7">
        <w:rPr>
          <w:rFonts w:ascii="Times New Roman" w:hAnsi="Times New Roman"/>
        </w:rPr>
        <w:t>. In simple terms, Parliament must be extremely, "unambiguously"</w:t>
      </w:r>
      <w:r w:rsidRPr="00FB6AF7">
        <w:rPr>
          <w:rStyle w:val="FootnoteReference"/>
          <w:rFonts w:ascii="Times New Roman" w:hAnsi="Times New Roman"/>
          <w:sz w:val="24"/>
        </w:rPr>
        <w:footnoteReference w:id="122"/>
      </w:r>
      <w:r w:rsidRPr="00FB6AF7">
        <w:rPr>
          <w:rFonts w:ascii="Times New Roman" w:hAnsi="Times New Roman"/>
        </w:rPr>
        <w:t>, or "</w:t>
      </w:r>
      <w:proofErr w:type="spellStart"/>
      <w:r w:rsidRPr="00FB6AF7">
        <w:rPr>
          <w:rFonts w:ascii="Times New Roman" w:hAnsi="Times New Roman"/>
        </w:rPr>
        <w:t>unmistakeabl</w:t>
      </w:r>
      <w:proofErr w:type="spellEnd"/>
      <w:r w:rsidRPr="00FB6AF7">
        <w:rPr>
          <w:rFonts w:ascii="Times New Roman" w:hAnsi="Times New Roman"/>
        </w:rPr>
        <w:t>[y]"</w:t>
      </w:r>
      <w:r w:rsidRPr="00FB6AF7">
        <w:rPr>
          <w:rStyle w:val="FootnoteReference"/>
          <w:rFonts w:ascii="Times New Roman" w:hAnsi="Times New Roman"/>
          <w:sz w:val="24"/>
        </w:rPr>
        <w:footnoteReference w:id="123"/>
      </w:r>
      <w:r w:rsidRPr="00FB6AF7">
        <w:rPr>
          <w:rFonts w:ascii="Times New Roman" w:hAnsi="Times New Roman"/>
        </w:rPr>
        <w:t xml:space="preserve"> clear before defeating such a basic principle of justice. In a number of recent decisions, this Court has eroded the bedrock of natural justice that is ordinarily implied in statute as a reflection of reasonable and widespread expectations</w:t>
      </w:r>
      <w:r w:rsidRPr="00FB6AF7">
        <w:rPr>
          <w:rStyle w:val="FootnoteReference"/>
          <w:rFonts w:ascii="Times New Roman" w:hAnsi="Times New Roman"/>
          <w:sz w:val="24"/>
        </w:rPr>
        <w:footnoteReference w:id="124"/>
      </w:r>
      <w:r w:rsidRPr="00FB6AF7">
        <w:rPr>
          <w:rFonts w:ascii="Times New Roman" w:hAnsi="Times New Roman"/>
        </w:rPr>
        <w:t>. This appeal concerns the extent to which further erosion can be prevented.</w:t>
      </w:r>
    </w:p>
    <w:p w14:paraId="0FF80A8F"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One manner in which the implication of procedural fairness has been eroded is through the application by this Court of another general statutory implication concerned with the materiality of an error: an immaterial instance of denial of procedural fairness will not invalidate a decision. The implication concerning materiality is also based upon reasonable and widespread expectations of those to whom legislation applies. But those expectations are based upon weaker underlying values concerned with efficiency, or "good administration"</w:t>
      </w:r>
      <w:r w:rsidRPr="00FB6AF7">
        <w:rPr>
          <w:rStyle w:val="FootnoteReference"/>
          <w:rFonts w:ascii="Times New Roman" w:hAnsi="Times New Roman"/>
          <w:sz w:val="24"/>
        </w:rPr>
        <w:footnoteReference w:id="125"/>
      </w:r>
      <w:r w:rsidRPr="00FB6AF7">
        <w:rPr>
          <w:rFonts w:ascii="Times New Roman" w:hAnsi="Times New Roman"/>
        </w:rPr>
        <w:t>, rather than the stronger values concerned with natural justice and respect for human dignity. The implication concerning materiality reduces the protection against a denial of procedural fairness by an inference that Parliament would not have intended a decision to be invalid where the denial of procedural fairness was immaterial.</w:t>
      </w:r>
    </w:p>
    <w:p w14:paraId="39B9BBC8"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lastRenderedPageBreak/>
        <w:tab/>
        <w:t>The broader the reach of the implication concerning materiality, and thus the broader the constraints upon findings of invalidity, the less scope there is for the protection of those who have suffered procedural unfairness and, correspondingly, the more likely it is that procedural fairness will depart from reasonable expectations founded upon natural justice and human dignity. Great care must therefore be taken to ensure that the efficiency</w:t>
      </w:r>
      <w:r w:rsidRPr="00FB6AF7">
        <w:rPr>
          <w:rFonts w:ascii="Times New Roman" w:hAnsi="Times New Roman"/>
        </w:rPr>
        <w:noBreakHyphen/>
        <w:t>based implication concerning materiality is not applied in a manner that could overwhelm the value of human dignity protected by the more basic and fundamental implication of procedural fairness. If an administrative decision is made without procedural fairness, it should only be in an exceptional case that the decision remains valid.</w:t>
      </w:r>
    </w:p>
    <w:p w14:paraId="2565CB76"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There are two approaches which, in combination, can maintain the correct balance and preserve the exceptional nature of errors that will be treated as immaterial despite causing procedural unfairness. The first is to recognise, as is the case where a new trial is sought on a criminal appeal or a civil appeal, that there are serious denials of procedural fairness which, without more, will always be material and therefore sufficient for an administrative decision to be quashed. The second approach is for the party asserting that an error is immaterial to bear the onus of proof on that issue. Unfortunately, the first approach has not always been recognised and the second approach has recently been denied. This appeal squarely raises how to avoid the potential injustice and incoherence caused by ignoring the first approach and by denying the second.</w:t>
      </w:r>
    </w:p>
    <w:p w14:paraId="4D3B459C"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I gratefully adopt the facts and background to this appeal as set out in the reasons of Kiefel CJ, Keane and Gleeson JJ. The issue on this appeal reduces to whether the decision that involved a serious denial of procedural fairness to Mr Nathanson should be set aside. If that serious denial is not treated as material based only on its seriousness, the question becomes: what more was Mr Nathanson required to do, beyond establishing a serious denial of procedural fairness, in order to have the decision set aside?</w:t>
      </w:r>
    </w:p>
    <w:p w14:paraId="75EA400B"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 xml:space="preserve">The regrettable premise required by the primary joint judgment of this Court in </w:t>
      </w:r>
      <w:r w:rsidRPr="00FB6AF7">
        <w:rPr>
          <w:rFonts w:ascii="Times New Roman" w:hAnsi="Times New Roman"/>
          <w:i/>
        </w:rPr>
        <w:t>MZAPC v Minister for Immigration and Border Protection</w:t>
      </w:r>
      <w:r w:rsidRPr="00FB6AF7">
        <w:rPr>
          <w:rStyle w:val="FootnoteReference"/>
          <w:rFonts w:ascii="Times New Roman" w:hAnsi="Times New Roman"/>
          <w:sz w:val="24"/>
        </w:rPr>
        <w:footnoteReference w:id="126"/>
      </w:r>
      <w:r w:rsidRPr="00FB6AF7">
        <w:rPr>
          <w:rFonts w:ascii="Times New Roman" w:hAnsi="Times New Roman"/>
          <w:i/>
        </w:rPr>
        <w:t xml:space="preserve"> </w:t>
      </w:r>
      <w:r w:rsidRPr="00FB6AF7">
        <w:rPr>
          <w:rFonts w:ascii="Times New Roman" w:hAnsi="Times New Roman"/>
          <w:iCs/>
        </w:rPr>
        <w:t xml:space="preserve">is </w:t>
      </w:r>
      <w:r w:rsidRPr="00FB6AF7">
        <w:rPr>
          <w:rFonts w:ascii="Times New Roman" w:hAnsi="Times New Roman"/>
        </w:rPr>
        <w:t>that an applicant for judicial review must bear the onus of proving materiality. On that premise, and in order to avoid the degeneration of procedural fairness into an instrument of injustice that does not accurately reflect the values underlying reasonable and widespread expectations, there can only be one answer to the question of what is required for an applicant to discharge the onus of proving materiality.</w:t>
      </w:r>
      <w:r w:rsidRPr="00FB6AF7" w:rsidDel="007E76D6">
        <w:rPr>
          <w:rFonts w:ascii="Times New Roman" w:hAnsi="Times New Roman"/>
        </w:rPr>
        <w:t xml:space="preserve"> </w:t>
      </w:r>
      <w:r w:rsidRPr="00FB6AF7">
        <w:rPr>
          <w:rFonts w:ascii="Times New Roman" w:hAnsi="Times New Roman"/>
        </w:rPr>
        <w:t xml:space="preserve">The answer, however curious given the premise, must be "almost nothing". In this case, it sufficed for Mr Nathanson to make a "quadruple might" submission by speculating as follows: but for the denial of procedural fairness, </w:t>
      </w:r>
      <w:r w:rsidRPr="00FB6AF7">
        <w:rPr>
          <w:rFonts w:ascii="Times New Roman" w:hAnsi="Times New Roman"/>
        </w:rPr>
        <w:lastRenderedPageBreak/>
        <w:t xml:space="preserve">there </w:t>
      </w:r>
      <w:r w:rsidRPr="00FB6AF7">
        <w:rPr>
          <w:rFonts w:ascii="Times New Roman" w:hAnsi="Times New Roman"/>
          <w:i/>
        </w:rPr>
        <w:t>might</w:t>
      </w:r>
      <w:r w:rsidRPr="00FB6AF7">
        <w:rPr>
          <w:rFonts w:ascii="Times New Roman" w:hAnsi="Times New Roman"/>
        </w:rPr>
        <w:t xml:space="preserve"> have been things that he or his wife </w:t>
      </w:r>
      <w:r w:rsidRPr="00FB6AF7">
        <w:rPr>
          <w:rFonts w:ascii="Times New Roman" w:hAnsi="Times New Roman"/>
          <w:i/>
        </w:rPr>
        <w:t>might</w:t>
      </w:r>
      <w:r w:rsidRPr="00FB6AF7">
        <w:rPr>
          <w:rFonts w:ascii="Times New Roman" w:hAnsi="Times New Roman"/>
        </w:rPr>
        <w:t xml:space="preserve"> have said at the hearing that </w:t>
      </w:r>
      <w:r w:rsidRPr="00FB6AF7">
        <w:rPr>
          <w:rFonts w:ascii="Times New Roman" w:hAnsi="Times New Roman"/>
          <w:i/>
        </w:rPr>
        <w:t>might</w:t>
      </w:r>
      <w:r w:rsidRPr="00FB6AF7">
        <w:rPr>
          <w:rFonts w:ascii="Times New Roman" w:hAnsi="Times New Roman"/>
        </w:rPr>
        <w:t xml:space="preserve"> have assisted his case in a manner that </w:t>
      </w:r>
      <w:r w:rsidRPr="00FB6AF7">
        <w:rPr>
          <w:rFonts w:ascii="Times New Roman" w:hAnsi="Times New Roman"/>
          <w:i/>
        </w:rPr>
        <w:t>might</w:t>
      </w:r>
      <w:r w:rsidRPr="00FB6AF7">
        <w:rPr>
          <w:rFonts w:ascii="Times New Roman" w:hAnsi="Times New Roman"/>
        </w:rPr>
        <w:t xml:space="preserve"> have led to a different result.</w:t>
      </w:r>
    </w:p>
    <w:p w14:paraId="36A7E60D" w14:textId="77777777" w:rsidR="0042544D" w:rsidRPr="00FB6AF7" w:rsidRDefault="0042544D" w:rsidP="00FB6AF7">
      <w:pPr>
        <w:pStyle w:val="HeadingL1"/>
        <w:spacing w:after="260" w:line="280" w:lineRule="exact"/>
        <w:ind w:right="0"/>
        <w:jc w:val="both"/>
        <w:rPr>
          <w:rFonts w:ascii="Times New Roman" w:hAnsi="Times New Roman"/>
        </w:rPr>
      </w:pPr>
      <w:r w:rsidRPr="00FB6AF7">
        <w:rPr>
          <w:rFonts w:ascii="Times New Roman" w:hAnsi="Times New Roman"/>
        </w:rPr>
        <w:t>Three simple questions and the need to keep them separate</w:t>
      </w:r>
    </w:p>
    <w:p w14:paraId="62314488"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 xml:space="preserve">In </w:t>
      </w:r>
      <w:r w:rsidRPr="00FB6AF7">
        <w:rPr>
          <w:rFonts w:ascii="Times New Roman" w:hAnsi="Times New Roman"/>
          <w:i/>
        </w:rPr>
        <w:t>Hossain v Minister for Immigration and Border Protection</w:t>
      </w:r>
      <w:r w:rsidRPr="00FB6AF7">
        <w:rPr>
          <w:rStyle w:val="FootnoteReference"/>
          <w:rFonts w:ascii="Times New Roman" w:hAnsi="Times New Roman"/>
          <w:sz w:val="24"/>
        </w:rPr>
        <w:footnoteReference w:id="127"/>
      </w:r>
      <w:r w:rsidRPr="00FB6AF7">
        <w:rPr>
          <w:rFonts w:ascii="Times New Roman" w:hAnsi="Times New Roman"/>
        </w:rPr>
        <w:t>, following earlier decisions</w:t>
      </w:r>
      <w:r w:rsidRPr="00FB6AF7">
        <w:rPr>
          <w:rStyle w:val="FootnoteReference"/>
          <w:rFonts w:ascii="Times New Roman" w:hAnsi="Times New Roman"/>
          <w:sz w:val="24"/>
        </w:rPr>
        <w:footnoteReference w:id="128"/>
      </w:r>
      <w:r w:rsidRPr="00FB6AF7">
        <w:rPr>
          <w:rFonts w:ascii="Times New Roman" w:hAnsi="Times New Roman"/>
        </w:rPr>
        <w:t>, this Court unanimously concluded that legislation will usually contain an implied requirement that an administrative decision will not be rendered invalid by an immaterial error. The implication, like its long</w:t>
      </w:r>
      <w:r w:rsidRPr="00FB6AF7">
        <w:rPr>
          <w:rFonts w:ascii="Times New Roman" w:hAnsi="Times New Roman"/>
        </w:rPr>
        <w:noBreakHyphen/>
        <w:t>recognised express or implied counterparts in criminal law and appellate review, should only apply in exceptional cases to prevent a decision that involved procedural unfairness from being quashed</w:t>
      </w:r>
      <w:r w:rsidRPr="00FB6AF7">
        <w:rPr>
          <w:rStyle w:val="FootnoteReference"/>
          <w:rFonts w:ascii="Times New Roman" w:hAnsi="Times New Roman"/>
          <w:sz w:val="24"/>
        </w:rPr>
        <w:footnoteReference w:id="129"/>
      </w:r>
      <w:r w:rsidRPr="00FB6AF7">
        <w:rPr>
          <w:rFonts w:ascii="Times New Roman" w:hAnsi="Times New Roman"/>
        </w:rPr>
        <w:t>. Otherwise, the basis for recognition of the implication, namely an inference based upon reasonable expectations of efficiency, would undermine the more powerful inference of fairness, founded on natural justice. Indeed, if immateriality were not truly an exceptional circumstance, its very premise of efficiency could be undermined by administrative review itself descending further into a merits</w:t>
      </w:r>
      <w:r w:rsidRPr="00FB6AF7">
        <w:rPr>
          <w:rFonts w:ascii="Times New Roman" w:hAnsi="Times New Roman"/>
        </w:rPr>
        <w:noBreakHyphen/>
        <w:t>based assessment of the result.</w:t>
      </w:r>
    </w:p>
    <w:p w14:paraId="171EFE02"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A simple approach to deciding this case, consistent with the basis of procedural fairness in natural concepts of justice, would have been to ask three questions:</w:t>
      </w:r>
    </w:p>
    <w:p w14:paraId="1B035C15" w14:textId="77777777" w:rsidR="0042544D" w:rsidRPr="00FB6AF7" w:rsidRDefault="0042544D" w:rsidP="00FB6AF7">
      <w:pPr>
        <w:pStyle w:val="NormalBody"/>
        <w:spacing w:after="260" w:line="280" w:lineRule="exact"/>
        <w:ind w:left="720" w:right="0" w:hanging="720"/>
        <w:jc w:val="both"/>
        <w:rPr>
          <w:rFonts w:ascii="Times New Roman" w:hAnsi="Times New Roman"/>
        </w:rPr>
      </w:pPr>
      <w:r w:rsidRPr="00FB6AF7">
        <w:rPr>
          <w:rFonts w:ascii="Times New Roman" w:hAnsi="Times New Roman"/>
        </w:rPr>
        <w:t>(1)</w:t>
      </w:r>
      <w:r w:rsidRPr="00FB6AF7">
        <w:rPr>
          <w:rFonts w:ascii="Times New Roman" w:hAnsi="Times New Roman"/>
        </w:rPr>
        <w:tab/>
        <w:t>Had Mr Nathanson established that it was an irregularity capable of producing "practical injustice" for the Administrative Appeals Tribunal to fail to afford him an opportunity to present further evidence and submissions on the domestic violence issue? The requirement of establishing a threshold of practical injustice is common to many grounds of judicial review</w:t>
      </w:r>
      <w:r w:rsidRPr="00FB6AF7">
        <w:rPr>
          <w:rStyle w:val="FootnoteReference"/>
          <w:rFonts w:ascii="Times New Roman" w:hAnsi="Times New Roman"/>
          <w:sz w:val="24"/>
        </w:rPr>
        <w:footnoteReference w:id="130"/>
      </w:r>
      <w:r w:rsidRPr="00FB6AF7">
        <w:rPr>
          <w:rFonts w:ascii="Times New Roman" w:hAnsi="Times New Roman"/>
        </w:rPr>
        <w:t>. It is sometimes described as the "first" question or "threshold" question</w:t>
      </w:r>
      <w:r w:rsidRPr="00FB6AF7">
        <w:rPr>
          <w:rStyle w:val="FootnoteReference"/>
          <w:rFonts w:ascii="Times New Roman" w:hAnsi="Times New Roman"/>
          <w:sz w:val="24"/>
        </w:rPr>
        <w:footnoteReference w:id="131"/>
      </w:r>
      <w:r w:rsidRPr="00FB6AF7">
        <w:rPr>
          <w:rFonts w:ascii="Times New Roman" w:hAnsi="Times New Roman"/>
        </w:rPr>
        <w:t xml:space="preserve">. In the context of procedural fairness, it can be </w:t>
      </w:r>
      <w:r w:rsidRPr="00FB6AF7">
        <w:rPr>
          <w:rFonts w:ascii="Times New Roman" w:hAnsi="Times New Roman"/>
        </w:rPr>
        <w:lastRenderedPageBreak/>
        <w:t>assessed by asking whether an irregularity could involve unfairness, which is sometimes understood as whether it was an irregularity of a type that was "capable" of affecting the result</w:t>
      </w:r>
      <w:r w:rsidRPr="00FB6AF7">
        <w:rPr>
          <w:rStyle w:val="FootnoteReference"/>
          <w:rFonts w:ascii="Times New Roman" w:hAnsi="Times New Roman"/>
          <w:sz w:val="24"/>
        </w:rPr>
        <w:footnoteReference w:id="132"/>
      </w:r>
      <w:r w:rsidRPr="00FB6AF7">
        <w:rPr>
          <w:rFonts w:ascii="Times New Roman" w:hAnsi="Times New Roman"/>
        </w:rPr>
        <w:t>. In short, the concept of procedural fairness "is essentially practical" – "the concern of the law is to avoid practical injustice"</w:t>
      </w:r>
      <w:r w:rsidRPr="00FB6AF7">
        <w:rPr>
          <w:rStyle w:val="FootnoteReference"/>
          <w:rFonts w:ascii="Times New Roman" w:hAnsi="Times New Roman"/>
          <w:sz w:val="24"/>
        </w:rPr>
        <w:footnoteReference w:id="133"/>
      </w:r>
      <w:r w:rsidRPr="00FB6AF7">
        <w:rPr>
          <w:rFonts w:ascii="Times New Roman" w:hAnsi="Times New Roman"/>
        </w:rPr>
        <w:t>.</w:t>
      </w:r>
    </w:p>
    <w:p w14:paraId="6AF064CC" w14:textId="77777777" w:rsidR="0042544D" w:rsidRPr="00FB6AF7" w:rsidRDefault="0042544D" w:rsidP="00FB6AF7">
      <w:pPr>
        <w:pStyle w:val="NormalBody"/>
        <w:spacing w:after="260" w:line="280" w:lineRule="exact"/>
        <w:ind w:left="720" w:right="0" w:hanging="720"/>
        <w:jc w:val="both"/>
        <w:rPr>
          <w:rFonts w:ascii="Times New Roman" w:hAnsi="Times New Roman"/>
        </w:rPr>
      </w:pPr>
      <w:r w:rsidRPr="00FB6AF7">
        <w:rPr>
          <w:rFonts w:ascii="Times New Roman" w:hAnsi="Times New Roman"/>
        </w:rPr>
        <w:t>(2)</w:t>
      </w:r>
      <w:r w:rsidRPr="00FB6AF7">
        <w:rPr>
          <w:rFonts w:ascii="Times New Roman" w:hAnsi="Times New Roman"/>
        </w:rPr>
        <w:tab/>
        <w:t>If there was practical injustice, had Mr Nathanson established that the procedural unfairness was sufficiently serious that it was, without more, material?</w:t>
      </w:r>
    </w:p>
    <w:p w14:paraId="2357D7C7" w14:textId="77777777" w:rsidR="0042544D" w:rsidRPr="00FB6AF7" w:rsidRDefault="0042544D" w:rsidP="00FB6AF7">
      <w:pPr>
        <w:pStyle w:val="NormalBody"/>
        <w:spacing w:after="260" w:line="280" w:lineRule="exact"/>
        <w:ind w:left="720" w:right="0" w:hanging="720"/>
        <w:jc w:val="both"/>
        <w:rPr>
          <w:rFonts w:ascii="Times New Roman" w:hAnsi="Times New Roman"/>
        </w:rPr>
      </w:pPr>
      <w:r w:rsidRPr="00FB6AF7">
        <w:rPr>
          <w:rFonts w:ascii="Times New Roman" w:hAnsi="Times New Roman"/>
        </w:rPr>
        <w:t>(3)</w:t>
      </w:r>
      <w:r w:rsidRPr="00FB6AF7">
        <w:rPr>
          <w:rFonts w:ascii="Times New Roman" w:hAnsi="Times New Roman"/>
        </w:rPr>
        <w:tab/>
        <w:t>If the procedural unfairness was not of that degree of seriousness, had it been established that the denial of procedural fairness could not have made any difference to the result?</w:t>
      </w:r>
    </w:p>
    <w:p w14:paraId="7BFDB5E5"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In the reasons below, I will refer to each of these questions as question 1, question 2, and question 3. One difficulty with some judicial review decisions concerned with "materiality" is that courts, including this Court, have not always kept these three questions separate. That has led to confusion. And it has led to error.</w:t>
      </w:r>
    </w:p>
    <w:p w14:paraId="4F3812C5"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 xml:space="preserve">Sometimes question 1 has been mistakenly treated as question 3. For instance, although the decision of this Court in </w:t>
      </w:r>
      <w:r w:rsidRPr="00FB6AF7">
        <w:rPr>
          <w:rFonts w:ascii="Times New Roman" w:hAnsi="Times New Roman"/>
          <w:i/>
        </w:rPr>
        <w:t>Minister for Immigration and Border Protection v</w:t>
      </w:r>
      <w:r w:rsidRPr="00FB6AF7">
        <w:rPr>
          <w:rFonts w:ascii="Times New Roman" w:hAnsi="Times New Roman"/>
        </w:rPr>
        <w:t xml:space="preserve"> </w:t>
      </w:r>
      <w:r w:rsidRPr="00FB6AF7">
        <w:rPr>
          <w:rFonts w:ascii="Times New Roman" w:hAnsi="Times New Roman"/>
          <w:i/>
          <w:iCs/>
        </w:rPr>
        <w:t xml:space="preserve">SZMTA </w:t>
      </w:r>
      <w:r w:rsidRPr="00FB6AF7">
        <w:rPr>
          <w:rFonts w:ascii="Times New Roman" w:hAnsi="Times New Roman"/>
        </w:rPr>
        <w:t>could easily have been resolved on the basis that the applicants for judicial review did not establish any practical injustice, the only question asked in the primary joint judgment was whether the applicants had established that the result of the case might have been different</w:t>
      </w:r>
      <w:r w:rsidRPr="00FB6AF7">
        <w:rPr>
          <w:rStyle w:val="FootnoteReference"/>
          <w:rFonts w:ascii="Times New Roman" w:hAnsi="Times New Roman"/>
          <w:sz w:val="24"/>
        </w:rPr>
        <w:footnoteReference w:id="134"/>
      </w:r>
      <w:r w:rsidRPr="00FB6AF7">
        <w:rPr>
          <w:rFonts w:ascii="Times New Roman" w:hAnsi="Times New Roman"/>
        </w:rPr>
        <w:t xml:space="preserve">. As Mortimer J later, and astutely, said, "it is important not to adopt too broad or literal a reading of what was said by [the primary joint judgment] in </w:t>
      </w:r>
      <w:r w:rsidRPr="00FB6AF7">
        <w:rPr>
          <w:rFonts w:ascii="Times New Roman" w:hAnsi="Times New Roman"/>
          <w:i/>
          <w:iCs/>
        </w:rPr>
        <w:t>SZMTA</w:t>
      </w:r>
      <w:r w:rsidRPr="00FB6AF7">
        <w:rPr>
          <w:rFonts w:ascii="Times New Roman" w:hAnsi="Times New Roman"/>
        </w:rPr>
        <w:t>"</w:t>
      </w:r>
      <w:r w:rsidRPr="00FB6AF7">
        <w:rPr>
          <w:rStyle w:val="FootnoteReference"/>
          <w:rFonts w:ascii="Times New Roman" w:hAnsi="Times New Roman"/>
          <w:sz w:val="24"/>
        </w:rPr>
        <w:footnoteReference w:id="135"/>
      </w:r>
      <w:r w:rsidRPr="00FB6AF7">
        <w:rPr>
          <w:rFonts w:ascii="Times New Roman" w:hAnsi="Times New Roman"/>
        </w:rPr>
        <w:t>.</w:t>
      </w:r>
    </w:p>
    <w:p w14:paraId="3534DDB8"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lastRenderedPageBreak/>
        <w:tab/>
        <w:t>Sometimes question 2 has been misunderstood or conflated with question 3</w:t>
      </w:r>
      <w:r w:rsidRPr="00FB6AF7">
        <w:rPr>
          <w:rStyle w:val="FootnoteReference"/>
          <w:rFonts w:ascii="Times New Roman" w:hAnsi="Times New Roman"/>
          <w:sz w:val="24"/>
        </w:rPr>
        <w:footnoteReference w:id="136"/>
      </w:r>
      <w:r w:rsidRPr="00FB6AF7">
        <w:rPr>
          <w:rFonts w:ascii="Times New Roman" w:hAnsi="Times New Roman"/>
        </w:rPr>
        <w:t>. For instance, it has been said that "[t]he standard condition that a decision</w:t>
      </w:r>
      <w:r w:rsidRPr="00FB6AF7">
        <w:rPr>
          <w:rFonts w:ascii="Times New Roman" w:hAnsi="Times New Roman"/>
        </w:rPr>
        <w:noBreakHyphen/>
        <w:t>maker be free from actual or apprehended bias is one example" of a ground of review that, of its nature, incorporates an element of materiality and so does not require any further proof of materiality</w:t>
      </w:r>
      <w:r w:rsidRPr="00FB6AF7">
        <w:rPr>
          <w:rStyle w:val="FootnoteReference"/>
          <w:rFonts w:ascii="Times New Roman" w:hAnsi="Times New Roman"/>
          <w:sz w:val="24"/>
        </w:rPr>
        <w:footnoteReference w:id="137"/>
      </w:r>
      <w:r w:rsidRPr="00FB6AF7">
        <w:rPr>
          <w:rFonts w:ascii="Times New Roman" w:hAnsi="Times New Roman"/>
        </w:rPr>
        <w:t>. If the effect of this reasoning is to say nothing more than that actual or apprehended bias is so serious that it will always be material, then it could readily be accepted. But the reasoning might be understood as suggesting that a case of actual or apprehended bias "incorporate[d]"</w:t>
      </w:r>
      <w:r w:rsidRPr="00FB6AF7">
        <w:rPr>
          <w:rStyle w:val="FootnoteReference"/>
          <w:rFonts w:ascii="Times New Roman" w:hAnsi="Times New Roman"/>
          <w:sz w:val="24"/>
        </w:rPr>
        <w:footnoteReference w:id="138"/>
      </w:r>
      <w:r w:rsidRPr="00FB6AF7">
        <w:rPr>
          <w:rFonts w:ascii="Times New Roman" w:hAnsi="Times New Roman"/>
        </w:rPr>
        <w:t xml:space="preserve"> a conclusion that the result of the case might have been different. The reasoning should not be understood in that manner. So understood, it would be plainly wrong as a matter of principle and demonstrably wrong as a matter of authority.</w:t>
      </w:r>
    </w:p>
    <w:p w14:paraId="482AA0A1"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As a matter of principle, a manifestly hopeless application does not transform into one that has prospects of success if there is an apprehension of bias on the part of the decision</w:t>
      </w:r>
      <w:r w:rsidRPr="00FB6AF7">
        <w:rPr>
          <w:rFonts w:ascii="Times New Roman" w:hAnsi="Times New Roman"/>
        </w:rPr>
        <w:noBreakHyphen/>
        <w:t>maker. Indeed, the apprehension of bias might not even arise until after the manifestly hopeless application has been presented. And as matter of authority, there are also numerous cases of apprehended bias on the part of the decision</w:t>
      </w:r>
      <w:r w:rsidRPr="00FB6AF7">
        <w:rPr>
          <w:rFonts w:ascii="Times New Roman" w:hAnsi="Times New Roman"/>
        </w:rPr>
        <w:noBreakHyphen/>
        <w:t>maker in which the result would have been inevitable before any decision</w:t>
      </w:r>
      <w:r w:rsidRPr="00FB6AF7">
        <w:rPr>
          <w:rFonts w:ascii="Times New Roman" w:hAnsi="Times New Roman"/>
        </w:rPr>
        <w:noBreakHyphen/>
        <w:t>maker. In such cases, the apprehended bias plainly could not have "incorporated" a conclusion that the result of the case might have been different without the apprehension of bias.</w:t>
      </w:r>
    </w:p>
    <w:p w14:paraId="26611097"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 xml:space="preserve">In </w:t>
      </w:r>
      <w:r w:rsidRPr="00FB6AF7">
        <w:rPr>
          <w:rFonts w:ascii="Times New Roman" w:hAnsi="Times New Roman"/>
          <w:i/>
        </w:rPr>
        <w:t>R (Al-Hasan) v Secretary of State for the Home Department</w:t>
      </w:r>
      <w:r w:rsidRPr="00FB6AF7">
        <w:rPr>
          <w:rStyle w:val="FootnoteReference"/>
          <w:rFonts w:ascii="Times New Roman" w:hAnsi="Times New Roman"/>
          <w:sz w:val="24"/>
        </w:rPr>
        <w:footnoteReference w:id="139"/>
      </w:r>
      <w:r w:rsidRPr="00FB6AF7">
        <w:rPr>
          <w:rFonts w:ascii="Times New Roman" w:hAnsi="Times New Roman"/>
        </w:rPr>
        <w:t xml:space="preserve">, Lord Brown (with whom Lord Bingham, Lord Rodger, Baroness Hale, and Lord Carswell agreed) said that it could not "sensibly be supposed ... that there could have been any different outcome to the adjudications whoever had heard them". Nevertheless, he entertained "not the slightest doubt" as to the correctness of the submission </w:t>
      </w:r>
      <w:r w:rsidRPr="00FB6AF7">
        <w:rPr>
          <w:rFonts w:ascii="Times New Roman" w:hAnsi="Times New Roman"/>
          <w:iCs/>
        </w:rPr>
        <w:t>that the adverse disciplinary findings should be quashed due to the apprehension of bias on the part of the decision</w:t>
      </w:r>
      <w:r w:rsidRPr="00FB6AF7">
        <w:rPr>
          <w:rFonts w:ascii="Times New Roman" w:hAnsi="Times New Roman"/>
          <w:iCs/>
        </w:rPr>
        <w:noBreakHyphen/>
        <w:t>maker.</w:t>
      </w:r>
    </w:p>
    <w:p w14:paraId="74C62AFF"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lastRenderedPageBreak/>
        <w:tab/>
        <w:t>The same point had been made earlier by Lord Bingham (with whom Lord Nicholls, Lord Hope and Lord Scott agreed) in the course of quashing decisions reached by temporary sheriffs whose conduct was "impeccable". There was "nothing to suggest that the outcome of any of these cases would have been different" but the right to be tried by an independent and impartial tribunal is one that "cannot be compromised or eroded"</w:t>
      </w:r>
      <w:r w:rsidRPr="00FB6AF7">
        <w:rPr>
          <w:rStyle w:val="FootnoteReference"/>
          <w:rFonts w:ascii="Times New Roman" w:hAnsi="Times New Roman"/>
          <w:sz w:val="24"/>
        </w:rPr>
        <w:footnoteReference w:id="140"/>
      </w:r>
      <w:r w:rsidRPr="00FB6AF7">
        <w:rPr>
          <w:rFonts w:ascii="Times New Roman" w:hAnsi="Times New Roman"/>
        </w:rPr>
        <w:t>.</w:t>
      </w:r>
    </w:p>
    <w:p w14:paraId="716C770A"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In the United States, the same point is again made by treating apprehended bias as a ground that is so fundamental that it applies "[n]o matter what the evidence"</w:t>
      </w:r>
      <w:r w:rsidRPr="00FB6AF7">
        <w:rPr>
          <w:rStyle w:val="FootnoteReference"/>
          <w:rFonts w:ascii="Times New Roman" w:hAnsi="Times New Roman"/>
          <w:sz w:val="24"/>
        </w:rPr>
        <w:footnoteReference w:id="141"/>
      </w:r>
      <w:r w:rsidRPr="00FB6AF7">
        <w:rPr>
          <w:rFonts w:ascii="Times New Roman" w:hAnsi="Times New Roman"/>
        </w:rPr>
        <w:t>. It will be subject to "automatic reversal" and will "defy harmless</w:t>
      </w:r>
      <w:r w:rsidRPr="00FB6AF7">
        <w:rPr>
          <w:rFonts w:ascii="Times New Roman" w:hAnsi="Times New Roman"/>
        </w:rPr>
        <w:noBreakHyphen/>
        <w:t>error review"</w:t>
      </w:r>
      <w:r w:rsidRPr="00FB6AF7">
        <w:rPr>
          <w:rStyle w:val="FootnoteReference"/>
          <w:rFonts w:ascii="Times New Roman" w:hAnsi="Times New Roman"/>
          <w:sz w:val="24"/>
        </w:rPr>
        <w:footnoteReference w:id="142"/>
      </w:r>
      <w:r w:rsidRPr="00FB6AF7">
        <w:rPr>
          <w:rFonts w:ascii="Times New Roman" w:hAnsi="Times New Roman"/>
        </w:rPr>
        <w:t xml:space="preserve">. So too, in Australia, as Lander J said in </w:t>
      </w:r>
      <w:r w:rsidRPr="00FB6AF7">
        <w:rPr>
          <w:rFonts w:ascii="Times New Roman" w:hAnsi="Times New Roman"/>
          <w:i/>
          <w:iCs/>
        </w:rPr>
        <w:t>Applicant A165 of 2003 v Minister for Immigration and Multicultural and Indigenous Affairs</w:t>
      </w:r>
      <w:r w:rsidRPr="00FB6AF7">
        <w:rPr>
          <w:rStyle w:val="FootnoteReference"/>
          <w:rFonts w:ascii="Times New Roman" w:hAnsi="Times New Roman"/>
          <w:sz w:val="24"/>
        </w:rPr>
        <w:footnoteReference w:id="143"/>
      </w:r>
      <w:r w:rsidRPr="00FB6AF7">
        <w:rPr>
          <w:rFonts w:ascii="Times New Roman" w:hAnsi="Times New Roman"/>
        </w:rPr>
        <w:t>, rejecting a submission that there could be any enquiry as to whether the outcome was inevitable once apprehended bias is established, "no further enquiry is necessary. All applicants are entitled to a hearing before an independent and impartial Tribunal. That is a fundamental right."</w:t>
      </w:r>
    </w:p>
    <w:p w14:paraId="691FA4F4"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There are other examples where the answer to question 2 is that the jurisdictional error is so fundamental that question 3 concerning "materiality" does not arise. These examples might include where there is an extreme denial of procedural fairness</w:t>
      </w:r>
      <w:r w:rsidRPr="00FB6AF7">
        <w:rPr>
          <w:rStyle w:val="FootnoteReference"/>
          <w:rFonts w:ascii="Times New Roman" w:hAnsi="Times New Roman"/>
          <w:sz w:val="24"/>
        </w:rPr>
        <w:footnoteReference w:id="144"/>
      </w:r>
      <w:r w:rsidRPr="00FB6AF7">
        <w:rPr>
          <w:rFonts w:ascii="Times New Roman" w:hAnsi="Times New Roman"/>
        </w:rPr>
        <w:t>, a failure to exercise jurisdiction with respect to the correct criterion</w:t>
      </w:r>
      <w:r w:rsidRPr="00FB6AF7">
        <w:rPr>
          <w:rStyle w:val="FootnoteReference"/>
          <w:rFonts w:ascii="Times New Roman" w:hAnsi="Times New Roman"/>
          <w:sz w:val="24"/>
        </w:rPr>
        <w:footnoteReference w:id="145"/>
      </w:r>
      <w:r w:rsidRPr="00FB6AF7">
        <w:rPr>
          <w:rFonts w:ascii="Times New Roman" w:hAnsi="Times New Roman"/>
        </w:rPr>
        <w:t>, or where the jurisdictional error is an erroneous denial, or mistaken assertion, of jurisdiction over the matter or an important part of it</w:t>
      </w:r>
      <w:r w:rsidRPr="00FB6AF7">
        <w:rPr>
          <w:rStyle w:val="FootnoteReference"/>
          <w:rFonts w:ascii="Times New Roman" w:hAnsi="Times New Roman"/>
          <w:sz w:val="24"/>
        </w:rPr>
        <w:footnoteReference w:id="146"/>
      </w:r>
      <w:r w:rsidRPr="00FB6AF7">
        <w:rPr>
          <w:rFonts w:ascii="Times New Roman" w:hAnsi="Times New Roman"/>
        </w:rPr>
        <w:t>.</w:t>
      </w:r>
    </w:p>
    <w:p w14:paraId="7E081B40"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 xml:space="preserve">Most recently, the conflation of question 1 and question 3 was one reason for the erroneous conclusion that applicants bear the onus of proof for question 3. </w:t>
      </w:r>
      <w:r w:rsidRPr="00FB6AF7">
        <w:rPr>
          <w:rFonts w:ascii="Times New Roman" w:hAnsi="Times New Roman"/>
        </w:rPr>
        <w:lastRenderedPageBreak/>
        <w:t xml:space="preserve">In </w:t>
      </w:r>
      <w:r w:rsidRPr="00FB6AF7">
        <w:rPr>
          <w:rFonts w:ascii="Times New Roman" w:hAnsi="Times New Roman"/>
          <w:i/>
        </w:rPr>
        <w:t>MZAPC</w:t>
      </w:r>
      <w:r w:rsidRPr="00FB6AF7">
        <w:rPr>
          <w:rStyle w:val="FootnoteReference"/>
          <w:rFonts w:ascii="Times New Roman" w:hAnsi="Times New Roman"/>
          <w:sz w:val="24"/>
        </w:rPr>
        <w:footnoteReference w:id="147"/>
      </w:r>
      <w:r w:rsidRPr="00FB6AF7">
        <w:rPr>
          <w:rFonts w:ascii="Times New Roman" w:hAnsi="Times New Roman"/>
          <w:iCs/>
        </w:rPr>
        <w:t>, Kiefel CJ, Gageler, Keane and Gleeson JJ said of an earlier decision that "</w:t>
      </w:r>
      <w:r w:rsidRPr="00FB6AF7">
        <w:rPr>
          <w:rFonts w:ascii="Times New Roman" w:hAnsi="Times New Roman"/>
        </w:rPr>
        <w:t>[</w:t>
      </w:r>
      <w:proofErr w:type="spellStart"/>
      <w:r w:rsidRPr="00FB6AF7">
        <w:rPr>
          <w:rFonts w:ascii="Times New Roman" w:hAnsi="Times New Roman"/>
        </w:rPr>
        <w:t>i</w:t>
      </w:r>
      <w:proofErr w:type="spellEnd"/>
      <w:r w:rsidRPr="00FB6AF7">
        <w:rPr>
          <w:rFonts w:ascii="Times New Roman" w:hAnsi="Times New Roman"/>
        </w:rPr>
        <w:t>]</w:t>
      </w:r>
      <w:proofErr w:type="spellStart"/>
      <w:r w:rsidRPr="00FB6AF7">
        <w:rPr>
          <w:rFonts w:ascii="Times New Roman" w:hAnsi="Times New Roman"/>
        </w:rPr>
        <w:t>mplicit</w:t>
      </w:r>
      <w:proofErr w:type="spellEnd"/>
      <w:r w:rsidRPr="00FB6AF7">
        <w:rPr>
          <w:rFonts w:ascii="Times New Roman" w:hAnsi="Times New Roman"/>
        </w:rPr>
        <w:t xml:space="preserve"> in the characterisation of the case as one in which 'practical injustice' lay in the denial of 'an opportunity which in fairness ought to have been given' was that the case was one in which that previously identified threshold of materiality was met". That conflation was immediately followed by the statement that such decisions do not support a conclusion that the Minister must bear the onus of proof for question 3</w:t>
      </w:r>
      <w:r w:rsidRPr="00FB6AF7">
        <w:rPr>
          <w:rStyle w:val="FootnoteReference"/>
          <w:rFonts w:ascii="Times New Roman" w:hAnsi="Times New Roman"/>
          <w:sz w:val="24"/>
        </w:rPr>
        <w:footnoteReference w:id="148"/>
      </w:r>
      <w:r w:rsidRPr="00FB6AF7">
        <w:rPr>
          <w:rFonts w:ascii="Times New Roman" w:hAnsi="Times New Roman"/>
        </w:rPr>
        <w:t>. Of course they do not. But nor does the onus of proof on an applicant to establish practical injustice (question 1) support a conclusion that the applicant must bear the onus of proof of materiality (question 3). It is a different question.</w:t>
      </w:r>
    </w:p>
    <w:p w14:paraId="180A54B2" w14:textId="77777777" w:rsidR="0042544D" w:rsidRPr="00FB6AF7" w:rsidRDefault="0042544D" w:rsidP="00FB6AF7">
      <w:pPr>
        <w:pStyle w:val="HeadingL1"/>
        <w:spacing w:after="260" w:line="280" w:lineRule="exact"/>
        <w:ind w:right="0"/>
        <w:jc w:val="both"/>
        <w:rPr>
          <w:rFonts w:ascii="Times New Roman" w:hAnsi="Times New Roman"/>
        </w:rPr>
      </w:pPr>
      <w:r w:rsidRPr="00FB6AF7">
        <w:rPr>
          <w:rFonts w:ascii="Times New Roman" w:hAnsi="Times New Roman"/>
        </w:rPr>
        <w:t>A simple resolution of this case</w:t>
      </w:r>
    </w:p>
    <w:p w14:paraId="5F60009C"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In this case, the simple answer to question 1 is "yes". There was no controversy about that issue on this appeal. For the reasons given by Gordon J, it is also strongly arguable that the answer to question 2 is "yes". That would be the end of the enquiry. But, in circumstances in which the focus of this appeal has been on question 3, these reasons will focus on that question. By the application of only the slightest imaginable onus on Mr Nathanson to establish that there might have been a different result without the denial of procedural fairness, the answer to that question is also "yes".</w:t>
      </w:r>
    </w:p>
    <w:p w14:paraId="0104599C" w14:textId="77777777" w:rsidR="0042544D" w:rsidRPr="00FB6AF7" w:rsidRDefault="0042544D" w:rsidP="00FB6AF7">
      <w:pPr>
        <w:pStyle w:val="HeadingL1"/>
        <w:spacing w:after="260" w:line="280" w:lineRule="exact"/>
        <w:ind w:right="0"/>
        <w:jc w:val="both"/>
        <w:rPr>
          <w:rFonts w:ascii="Times New Roman" w:hAnsi="Times New Roman"/>
          <w:i/>
        </w:rPr>
      </w:pPr>
      <w:r w:rsidRPr="00FB6AF7">
        <w:rPr>
          <w:rFonts w:ascii="Times New Roman" w:hAnsi="Times New Roman"/>
        </w:rPr>
        <w:t>Confusion in the state of the law on question 3</w:t>
      </w:r>
    </w:p>
    <w:p w14:paraId="1EEE6F98"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 xml:space="preserve">Although this Court was unanimous in the result in </w:t>
      </w:r>
      <w:r w:rsidRPr="00FB6AF7">
        <w:rPr>
          <w:rFonts w:ascii="Times New Roman" w:hAnsi="Times New Roman"/>
          <w:i/>
        </w:rPr>
        <w:t>MZAPC</w:t>
      </w:r>
      <w:r w:rsidRPr="00FB6AF7">
        <w:rPr>
          <w:rFonts w:ascii="Times New Roman" w:hAnsi="Times New Roman"/>
        </w:rPr>
        <w:t>, different approaches were taken to the question of who bears the onus of proving materiality in question 3. In the primary joint judgment of Kiefel CJ, Gageler, Keane and Gleeson JJ</w:t>
      </w:r>
      <w:r w:rsidRPr="00FB6AF7">
        <w:rPr>
          <w:rStyle w:val="FootnoteReference"/>
          <w:rFonts w:ascii="Times New Roman" w:hAnsi="Times New Roman"/>
          <w:sz w:val="24"/>
        </w:rPr>
        <w:footnoteReference w:id="149"/>
      </w:r>
      <w:r w:rsidRPr="00FB6AF7">
        <w:rPr>
          <w:rFonts w:ascii="Times New Roman" w:hAnsi="Times New Roman"/>
        </w:rPr>
        <w:t>, their Honours held that the onus of proof was borne by the applicant for judicial review. By contrast, Gordon and Steward JJ in a joint judgment</w:t>
      </w:r>
      <w:r w:rsidRPr="00FB6AF7">
        <w:rPr>
          <w:rStyle w:val="FootnoteReference"/>
          <w:rFonts w:ascii="Times New Roman" w:hAnsi="Times New Roman"/>
          <w:sz w:val="24"/>
        </w:rPr>
        <w:footnoteReference w:id="150"/>
      </w:r>
      <w:r w:rsidRPr="00FB6AF7">
        <w:rPr>
          <w:rFonts w:ascii="Times New Roman" w:hAnsi="Times New Roman"/>
        </w:rPr>
        <w:t>, with which I agreed and added further reasons</w:t>
      </w:r>
      <w:r w:rsidRPr="00FB6AF7">
        <w:rPr>
          <w:rStyle w:val="FootnoteReference"/>
          <w:rFonts w:ascii="Times New Roman" w:hAnsi="Times New Roman"/>
          <w:sz w:val="24"/>
        </w:rPr>
        <w:footnoteReference w:id="151"/>
      </w:r>
      <w:r w:rsidRPr="00FB6AF7">
        <w:rPr>
          <w:rFonts w:ascii="Times New Roman" w:hAnsi="Times New Roman"/>
        </w:rPr>
        <w:t>, held that the onus of proof was borne by the Minister who alleged that the error was not material.</w:t>
      </w:r>
    </w:p>
    <w:p w14:paraId="3C3BDD5B"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lastRenderedPageBreak/>
        <w:tab/>
        <w:t xml:space="preserve">As I pointed out in </w:t>
      </w:r>
      <w:r w:rsidRPr="00FB6AF7">
        <w:rPr>
          <w:rFonts w:ascii="Times New Roman" w:hAnsi="Times New Roman"/>
          <w:i/>
        </w:rPr>
        <w:t>MZAPC</w:t>
      </w:r>
      <w:r w:rsidRPr="00FB6AF7">
        <w:rPr>
          <w:rStyle w:val="FootnoteReference"/>
          <w:rFonts w:ascii="Times New Roman" w:hAnsi="Times New Roman"/>
          <w:iCs/>
          <w:sz w:val="24"/>
        </w:rPr>
        <w:footnoteReference w:id="152"/>
      </w:r>
      <w:r w:rsidRPr="00FB6AF7">
        <w:rPr>
          <w:rFonts w:ascii="Times New Roman" w:hAnsi="Times New Roman"/>
        </w:rPr>
        <w:t xml:space="preserve">, one of the problems with placing the onus of proof for question 3 upon an applicant for judicial review is that it is inconsistent with the decisions of this Court in </w:t>
      </w:r>
      <w:r w:rsidRPr="00FB6AF7">
        <w:rPr>
          <w:rFonts w:ascii="Times New Roman" w:hAnsi="Times New Roman"/>
          <w:i/>
        </w:rPr>
        <w:t>Stead v State Government Insurance Commission</w:t>
      </w:r>
      <w:r w:rsidRPr="00FB6AF7">
        <w:rPr>
          <w:rStyle w:val="FootnoteReference"/>
          <w:rFonts w:ascii="Times New Roman" w:hAnsi="Times New Roman"/>
          <w:sz w:val="24"/>
        </w:rPr>
        <w:footnoteReference w:id="153"/>
      </w:r>
      <w:r w:rsidRPr="00FB6AF7">
        <w:rPr>
          <w:rFonts w:ascii="Times New Roman" w:hAnsi="Times New Roman"/>
          <w:i/>
        </w:rPr>
        <w:t xml:space="preserve"> </w:t>
      </w:r>
      <w:r w:rsidRPr="00FB6AF7">
        <w:rPr>
          <w:rFonts w:ascii="Times New Roman" w:hAnsi="Times New Roman"/>
        </w:rPr>
        <w:t xml:space="preserve">and </w:t>
      </w:r>
      <w:r w:rsidRPr="00FB6AF7">
        <w:rPr>
          <w:rFonts w:ascii="Times New Roman" w:hAnsi="Times New Roman"/>
          <w:i/>
          <w:iCs/>
        </w:rPr>
        <w:t xml:space="preserve">Re Refugee Review Tribunal; Ex parte </w:t>
      </w:r>
      <w:r w:rsidRPr="00FB6AF7">
        <w:rPr>
          <w:rFonts w:ascii="Times New Roman" w:hAnsi="Times New Roman"/>
          <w:i/>
        </w:rPr>
        <w:t>Aala</w:t>
      </w:r>
      <w:r w:rsidRPr="00FB6AF7">
        <w:rPr>
          <w:rStyle w:val="FootnoteReference"/>
          <w:rFonts w:ascii="Times New Roman" w:hAnsi="Times New Roman"/>
          <w:iCs/>
          <w:sz w:val="24"/>
        </w:rPr>
        <w:footnoteReference w:id="154"/>
      </w:r>
      <w:r w:rsidRPr="00FB6AF7">
        <w:rPr>
          <w:rFonts w:ascii="Times New Roman" w:hAnsi="Times New Roman"/>
          <w:i/>
        </w:rPr>
        <w:t xml:space="preserve">. </w:t>
      </w:r>
      <w:r w:rsidRPr="00FB6AF7">
        <w:rPr>
          <w:rFonts w:ascii="Times New Roman" w:hAnsi="Times New Roman"/>
        </w:rPr>
        <w:t>The reasoning of all the Justices in those decisions expressly recognised that a new trial or new hearing would be granted to a party who established a denial of procedural fairness, without any onus upon that party to establish that the result of the case might otherwise have been different.</w:t>
      </w:r>
    </w:p>
    <w:p w14:paraId="5FA7C7CF"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 xml:space="preserve">In </w:t>
      </w:r>
      <w:r w:rsidRPr="00FB6AF7">
        <w:rPr>
          <w:rFonts w:ascii="Times New Roman" w:hAnsi="Times New Roman"/>
          <w:i/>
          <w:iCs/>
        </w:rPr>
        <w:t>Stead</w:t>
      </w:r>
      <w:r w:rsidRPr="00FB6AF7">
        <w:rPr>
          <w:rFonts w:ascii="Times New Roman" w:hAnsi="Times New Roman"/>
        </w:rPr>
        <w:t>, the appellant was denied the opportunity of making submissions on the issue of which expert's evidence should be preferred on the question of causation. The appellant was not required to establish that any submissions that he might have made could have made a difference. All that the appellant was required to show, for question 1 to be answered in his favour, was "practical injustice" in the sense of loss of an "opportunity to advance his case"</w:t>
      </w:r>
      <w:r w:rsidRPr="00FB6AF7">
        <w:rPr>
          <w:rStyle w:val="FootnoteReference"/>
          <w:rFonts w:ascii="Times New Roman" w:hAnsi="Times New Roman"/>
          <w:sz w:val="24"/>
        </w:rPr>
        <w:footnoteReference w:id="155"/>
      </w:r>
      <w:r w:rsidRPr="00FB6AF7">
        <w:rPr>
          <w:rFonts w:ascii="Times New Roman" w:hAnsi="Times New Roman"/>
        </w:rPr>
        <w:t>. Put in different terms, the appellant needed to show that the error affected the "possibility of a successful outcome"</w:t>
      </w:r>
      <w:r w:rsidRPr="00FB6AF7">
        <w:rPr>
          <w:rStyle w:val="FootnoteReference"/>
          <w:rFonts w:ascii="Times New Roman" w:hAnsi="Times New Roman"/>
          <w:sz w:val="24"/>
        </w:rPr>
        <w:footnoteReference w:id="156"/>
      </w:r>
      <w:r w:rsidRPr="00FB6AF7">
        <w:rPr>
          <w:rFonts w:ascii="Times New Roman" w:hAnsi="Times New Roman"/>
        </w:rPr>
        <w:t xml:space="preserve">. As the Court then explained in </w:t>
      </w:r>
      <w:r w:rsidRPr="00FB6AF7">
        <w:rPr>
          <w:rFonts w:ascii="Times New Roman" w:hAnsi="Times New Roman"/>
          <w:i/>
          <w:iCs/>
        </w:rPr>
        <w:t>Stead</w:t>
      </w:r>
      <w:r w:rsidRPr="00FB6AF7">
        <w:rPr>
          <w:rStyle w:val="FootnoteReference"/>
          <w:rFonts w:ascii="Times New Roman" w:hAnsi="Times New Roman"/>
          <w:sz w:val="24"/>
        </w:rPr>
        <w:footnoteReference w:id="157"/>
      </w:r>
      <w:r w:rsidRPr="00FB6AF7">
        <w:rPr>
          <w:rFonts w:ascii="Times New Roman" w:hAnsi="Times New Roman"/>
        </w:rPr>
        <w:t xml:space="preserve">, addressing question 3, "[i]n order to </w:t>
      </w:r>
      <w:r w:rsidRPr="00FB6AF7">
        <w:rPr>
          <w:rFonts w:ascii="Times New Roman" w:hAnsi="Times New Roman"/>
          <w:i/>
          <w:iCs/>
        </w:rPr>
        <w:t>negate</w:t>
      </w:r>
      <w:r w:rsidRPr="00FB6AF7">
        <w:rPr>
          <w:rFonts w:ascii="Times New Roman" w:hAnsi="Times New Roman"/>
        </w:rPr>
        <w:t xml:space="preserve"> that possibility, it was ... necessary for the Full Court to find that a properly conducted trial could not possibly have produced a different result". The appellant was not required to prove that anything that he might have said or done might have led to a different result. Once the appellant established practical injustice, the respondent could only </w:t>
      </w:r>
      <w:r w:rsidRPr="00FB6AF7">
        <w:rPr>
          <w:rFonts w:ascii="Times New Roman" w:hAnsi="Times New Roman"/>
          <w:i/>
          <w:iCs/>
        </w:rPr>
        <w:t>negate</w:t>
      </w:r>
      <w:r w:rsidRPr="00FB6AF7">
        <w:rPr>
          <w:rFonts w:ascii="Times New Roman" w:hAnsi="Times New Roman"/>
        </w:rPr>
        <w:t xml:space="preserve"> that result by establishing that the proper procedure could not possibly have produced a different result.</w:t>
      </w:r>
    </w:p>
    <w:p w14:paraId="42A926F7"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 xml:space="preserve">In </w:t>
      </w:r>
      <w:r w:rsidRPr="00FB6AF7">
        <w:rPr>
          <w:rFonts w:ascii="Times New Roman" w:hAnsi="Times New Roman"/>
          <w:i/>
          <w:iCs/>
        </w:rPr>
        <w:t>Aala</w:t>
      </w:r>
      <w:r w:rsidRPr="00FB6AF7">
        <w:rPr>
          <w:rFonts w:ascii="Times New Roman" w:hAnsi="Times New Roman"/>
        </w:rPr>
        <w:t>, the applicant was "deprived of the opportunity to answer, by evidence and argument"</w:t>
      </w:r>
      <w:r w:rsidRPr="00FB6AF7">
        <w:rPr>
          <w:rStyle w:val="FootnoteReference"/>
          <w:rFonts w:ascii="Times New Roman" w:hAnsi="Times New Roman"/>
          <w:sz w:val="24"/>
        </w:rPr>
        <w:footnoteReference w:id="158"/>
      </w:r>
      <w:r w:rsidRPr="00FB6AF7">
        <w:rPr>
          <w:rFonts w:ascii="Times New Roman" w:hAnsi="Times New Roman"/>
        </w:rPr>
        <w:t>, allegations that he had concocted evidence concerning his claim to refugee status. That involved practical injustice. It was "possible" that the result might not have been different but, as Gleeson CJ said, "no one [could] be sure of that"</w:t>
      </w:r>
      <w:r w:rsidRPr="00FB6AF7">
        <w:rPr>
          <w:rStyle w:val="FootnoteReference"/>
          <w:rFonts w:ascii="Times New Roman" w:hAnsi="Times New Roman"/>
          <w:sz w:val="24"/>
        </w:rPr>
        <w:footnoteReference w:id="159"/>
      </w:r>
      <w:r w:rsidRPr="00FB6AF7">
        <w:rPr>
          <w:rFonts w:ascii="Times New Roman" w:hAnsi="Times New Roman"/>
        </w:rPr>
        <w:t xml:space="preserve">. It was not for the applicant to prove that the result might have </w:t>
      </w:r>
      <w:r w:rsidRPr="00FB6AF7">
        <w:rPr>
          <w:rFonts w:ascii="Times New Roman" w:hAnsi="Times New Roman"/>
        </w:rPr>
        <w:lastRenderedPageBreak/>
        <w:t>been different. The applicant did not need to make submissions or tender evidence concerning whether anything might have made a difference because, as Kirby J expressed the point, "the victim of the breach is ordinarily entitled to relief" and the court could only deny relief if an "affirmative conclusion" were reached that the breach "could have made no difference"</w:t>
      </w:r>
      <w:r w:rsidRPr="00FB6AF7">
        <w:rPr>
          <w:rStyle w:val="FootnoteReference"/>
          <w:rFonts w:ascii="Times New Roman" w:hAnsi="Times New Roman"/>
          <w:sz w:val="24"/>
        </w:rPr>
        <w:footnoteReference w:id="160"/>
      </w:r>
      <w:r w:rsidRPr="00FB6AF7">
        <w:rPr>
          <w:rFonts w:ascii="Times New Roman" w:hAnsi="Times New Roman"/>
        </w:rPr>
        <w:t>. Or, as Callinan J expressed the point, the court needed positively to "say that a different result would not have been reached"</w:t>
      </w:r>
      <w:r w:rsidRPr="00FB6AF7">
        <w:rPr>
          <w:rStyle w:val="FootnoteReference"/>
          <w:rFonts w:ascii="Times New Roman" w:hAnsi="Times New Roman"/>
          <w:sz w:val="24"/>
        </w:rPr>
        <w:footnoteReference w:id="161"/>
      </w:r>
      <w:r w:rsidRPr="00FB6AF7">
        <w:rPr>
          <w:rFonts w:ascii="Times New Roman" w:hAnsi="Times New Roman"/>
        </w:rPr>
        <w:t>.</w:t>
      </w:r>
    </w:p>
    <w:p w14:paraId="6E48B89B"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 xml:space="preserve">These two decisions are not isolated examples. There are numerous other cases in this Court which might have been decided differently if the party who established a denial of procedural fairness in an administrative hearing had been required also to prove that the result of the hearing might otherwise have been different. The existence of the multitude of authority is one reason why, even after the decision in </w:t>
      </w:r>
      <w:r w:rsidRPr="00FB6AF7">
        <w:rPr>
          <w:rFonts w:ascii="Times New Roman" w:hAnsi="Times New Roman"/>
          <w:i/>
        </w:rPr>
        <w:t>SZMTA</w:t>
      </w:r>
      <w:r w:rsidRPr="00FB6AF7">
        <w:rPr>
          <w:rFonts w:ascii="Times New Roman" w:hAnsi="Times New Roman"/>
          <w:iCs/>
        </w:rPr>
        <w:t>,</w:t>
      </w:r>
      <w:r w:rsidRPr="00FB6AF7">
        <w:rPr>
          <w:rFonts w:ascii="Times New Roman" w:hAnsi="Times New Roman"/>
          <w:i/>
        </w:rPr>
        <w:t xml:space="preserve"> </w:t>
      </w:r>
      <w:r w:rsidRPr="00FB6AF7">
        <w:rPr>
          <w:rFonts w:ascii="Times New Roman" w:hAnsi="Times New Roman"/>
        </w:rPr>
        <w:t>counsel and this Court assumed that the onus of proof of materiality was borne by a respondent Minister rather than an applicant</w:t>
      </w:r>
      <w:r w:rsidRPr="00FB6AF7">
        <w:rPr>
          <w:rStyle w:val="FootnoteReference"/>
          <w:rFonts w:ascii="Times New Roman" w:hAnsi="Times New Roman"/>
          <w:sz w:val="24"/>
        </w:rPr>
        <w:footnoteReference w:id="162"/>
      </w:r>
      <w:r w:rsidRPr="00FB6AF7">
        <w:rPr>
          <w:rFonts w:ascii="Times New Roman" w:hAnsi="Times New Roman"/>
        </w:rPr>
        <w:t>.</w:t>
      </w:r>
    </w:p>
    <w:p w14:paraId="76DEFB35"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 xml:space="preserve">Another example is </w:t>
      </w:r>
      <w:r w:rsidRPr="00FB6AF7">
        <w:rPr>
          <w:rFonts w:ascii="Times New Roman" w:hAnsi="Times New Roman"/>
          <w:i/>
        </w:rPr>
        <w:t>Annetts v McCann</w:t>
      </w:r>
      <w:r w:rsidRPr="00FB6AF7">
        <w:rPr>
          <w:rStyle w:val="FootnoteReference"/>
          <w:rFonts w:ascii="Times New Roman" w:hAnsi="Times New Roman"/>
          <w:iCs/>
          <w:sz w:val="24"/>
        </w:rPr>
        <w:footnoteReference w:id="163"/>
      </w:r>
      <w:r w:rsidRPr="00FB6AF7">
        <w:rPr>
          <w:rFonts w:ascii="Times New Roman" w:hAnsi="Times New Roman"/>
        </w:rPr>
        <w:t>. It was never suggested in that case</w:t>
      </w:r>
      <w:r w:rsidRPr="00FB6AF7">
        <w:rPr>
          <w:rFonts w:ascii="Times New Roman" w:hAnsi="Times New Roman"/>
          <w:iCs/>
        </w:rPr>
        <w:t xml:space="preserve"> that the appellants needed to establish anything more than </w:t>
      </w:r>
      <w:r w:rsidRPr="00FB6AF7">
        <w:rPr>
          <w:rFonts w:ascii="Times New Roman" w:hAnsi="Times New Roman"/>
        </w:rPr>
        <w:t>having suffered a</w:t>
      </w:r>
      <w:r w:rsidRPr="00FB6AF7">
        <w:rPr>
          <w:rFonts w:ascii="Times New Roman" w:hAnsi="Times New Roman"/>
          <w:iCs/>
        </w:rPr>
        <w:t xml:space="preserve"> practical injustice by being denied the opportunity to make submissions </w:t>
      </w:r>
      <w:r w:rsidRPr="00FB6AF7">
        <w:rPr>
          <w:rFonts w:ascii="Times New Roman" w:hAnsi="Times New Roman"/>
        </w:rPr>
        <w:t xml:space="preserve">at an inquest in relation to any adverse findings that might be made concerning </w:t>
      </w:r>
      <w:r w:rsidRPr="00FB6AF7">
        <w:rPr>
          <w:rFonts w:ascii="Times New Roman" w:hAnsi="Times New Roman"/>
          <w:iCs/>
        </w:rPr>
        <w:t>their deceased child.</w:t>
      </w:r>
      <w:r w:rsidRPr="00FB6AF7">
        <w:rPr>
          <w:rFonts w:ascii="Times New Roman" w:hAnsi="Times New Roman"/>
        </w:rPr>
        <w:t xml:space="preserve"> The</w:t>
      </w:r>
      <w:r w:rsidRPr="00FB6AF7">
        <w:rPr>
          <w:rFonts w:ascii="Times New Roman" w:hAnsi="Times New Roman"/>
          <w:iCs/>
        </w:rPr>
        <w:t xml:space="preserve"> appellants did not need to show that anything they might have said might have affected the result of the inquest. Indeed, it was common ground that the </w:t>
      </w:r>
      <w:r w:rsidRPr="00FB6AF7">
        <w:rPr>
          <w:rFonts w:ascii="Times New Roman" w:hAnsi="Times New Roman"/>
        </w:rPr>
        <w:t>findings</w:t>
      </w:r>
      <w:r w:rsidRPr="00FB6AF7">
        <w:rPr>
          <w:rFonts w:ascii="Times New Roman" w:hAnsi="Times New Roman"/>
          <w:iCs/>
        </w:rPr>
        <w:t xml:space="preserve"> could not have affected their own rights. But they had a right to be heard: </w:t>
      </w:r>
      <w:r w:rsidRPr="00FB6AF7">
        <w:rPr>
          <w:rFonts w:ascii="Times New Roman" w:hAnsi="Times New Roman"/>
        </w:rPr>
        <w:t>"[t]he relationship of parent and child and the emotional consequences for the family of such a finding demand that such an opportunity be afforded"</w:t>
      </w:r>
      <w:r w:rsidRPr="00FB6AF7">
        <w:rPr>
          <w:rStyle w:val="FootnoteReference"/>
          <w:rFonts w:ascii="Times New Roman" w:hAnsi="Times New Roman"/>
          <w:sz w:val="24"/>
        </w:rPr>
        <w:footnoteReference w:id="164"/>
      </w:r>
      <w:r w:rsidRPr="00FB6AF7">
        <w:rPr>
          <w:rFonts w:ascii="Times New Roman" w:hAnsi="Times New Roman"/>
        </w:rPr>
        <w:t>.</w:t>
      </w:r>
    </w:p>
    <w:p w14:paraId="6358057B"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 xml:space="preserve">Yet another example is </w:t>
      </w:r>
      <w:r w:rsidRPr="00FB6AF7">
        <w:rPr>
          <w:rFonts w:ascii="Times New Roman" w:hAnsi="Times New Roman"/>
          <w:i/>
          <w:iCs/>
        </w:rPr>
        <w:t>Haoucher v Minister for Immigration and Ethnic Affairs</w:t>
      </w:r>
      <w:r w:rsidRPr="00FB6AF7">
        <w:rPr>
          <w:rStyle w:val="FootnoteReference"/>
          <w:rFonts w:ascii="Times New Roman" w:hAnsi="Times New Roman"/>
          <w:sz w:val="24"/>
        </w:rPr>
        <w:footnoteReference w:id="165"/>
      </w:r>
      <w:r w:rsidRPr="00FB6AF7">
        <w:rPr>
          <w:rFonts w:ascii="Times New Roman" w:hAnsi="Times New Roman"/>
        </w:rPr>
        <w:t>. A majority of this Court quashed a decision of the Minister that had denied procedural fairness to the applicant despite the fact that, as Dawson J observed in the minority, it was "</w:t>
      </w:r>
      <w:r w:rsidRPr="00FB6AF7">
        <w:rPr>
          <w:rFonts w:ascii="Times New Roman" w:hAnsi="Times New Roman"/>
          <w:shd w:val="clear" w:color="auto" w:fill="FFFFFF"/>
        </w:rPr>
        <w:t xml:space="preserve">not suggested that there [was] any new material which could be placed before the Minister to lead him to a conclusion contrary to that which he in fact reached" so any "further hearing would result only in the </w:t>
      </w:r>
      <w:r w:rsidRPr="00FB6AF7">
        <w:rPr>
          <w:rFonts w:ascii="Times New Roman" w:hAnsi="Times New Roman"/>
          <w:shd w:val="clear" w:color="auto" w:fill="FFFFFF"/>
        </w:rPr>
        <w:lastRenderedPageBreak/>
        <w:t>repetition of those matters which were already before the Minister"</w:t>
      </w:r>
      <w:r w:rsidRPr="00FB6AF7">
        <w:rPr>
          <w:rStyle w:val="FootnoteReference"/>
          <w:rFonts w:ascii="Times New Roman" w:hAnsi="Times New Roman"/>
          <w:sz w:val="24"/>
          <w:shd w:val="clear" w:color="auto" w:fill="FFFFFF"/>
        </w:rPr>
        <w:footnoteReference w:id="166"/>
      </w:r>
      <w:r w:rsidRPr="00FB6AF7">
        <w:rPr>
          <w:rFonts w:ascii="Times New Roman" w:hAnsi="Times New Roman"/>
          <w:shd w:val="clear" w:color="auto" w:fill="FFFFFF"/>
        </w:rPr>
        <w:t>.</w:t>
      </w:r>
      <w:r w:rsidRPr="00FB6AF7">
        <w:rPr>
          <w:rFonts w:ascii="Times New Roman" w:hAnsi="Times New Roman"/>
        </w:rPr>
        <w:t xml:space="preserve"> The applicant did not need to prove that there was a possibility of a different result. The decision was set aside irrespective of "[w]</w:t>
      </w:r>
      <w:proofErr w:type="spellStart"/>
      <w:r w:rsidRPr="00FB6AF7">
        <w:rPr>
          <w:rFonts w:ascii="Times New Roman" w:hAnsi="Times New Roman"/>
        </w:rPr>
        <w:t>hether</w:t>
      </w:r>
      <w:proofErr w:type="spellEnd"/>
      <w:r w:rsidRPr="00FB6AF7">
        <w:rPr>
          <w:rFonts w:ascii="Times New Roman" w:hAnsi="Times New Roman"/>
        </w:rPr>
        <w:t xml:space="preserve"> or not </w:t>
      </w:r>
      <w:r w:rsidRPr="00FB6AF7">
        <w:rPr>
          <w:rFonts w:ascii="Times New Roman" w:hAnsi="Times New Roman"/>
          <w:shd w:val="clear" w:color="auto" w:fill="FFFFFF"/>
        </w:rPr>
        <w:t>the [applicant] could have persuaded the Minister" to the contrary conclusion</w:t>
      </w:r>
      <w:r w:rsidRPr="00FB6AF7">
        <w:rPr>
          <w:rStyle w:val="FootnoteReference"/>
          <w:rFonts w:ascii="Times New Roman" w:hAnsi="Times New Roman"/>
          <w:sz w:val="24"/>
          <w:shd w:val="clear" w:color="auto" w:fill="FFFFFF"/>
        </w:rPr>
        <w:footnoteReference w:id="167"/>
      </w:r>
      <w:r w:rsidRPr="00FB6AF7">
        <w:rPr>
          <w:rFonts w:ascii="Times New Roman" w:hAnsi="Times New Roman"/>
          <w:shd w:val="clear" w:color="auto" w:fill="FFFFFF"/>
        </w:rPr>
        <w:t>.</w:t>
      </w:r>
    </w:p>
    <w:p w14:paraId="42D728CF"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 xml:space="preserve">On one view, the primary joint judgment in this Court in </w:t>
      </w:r>
      <w:r w:rsidRPr="00FB6AF7">
        <w:rPr>
          <w:rFonts w:ascii="Times New Roman" w:hAnsi="Times New Roman"/>
          <w:i/>
          <w:iCs/>
        </w:rPr>
        <w:t xml:space="preserve">MZAPC </w:t>
      </w:r>
      <w:r w:rsidRPr="00FB6AF7">
        <w:rPr>
          <w:rFonts w:ascii="Times New Roman" w:hAnsi="Times New Roman"/>
        </w:rPr>
        <w:t>requires the rejection of the above</w:t>
      </w:r>
      <w:r w:rsidRPr="00FB6AF7">
        <w:rPr>
          <w:rFonts w:ascii="Times New Roman" w:hAnsi="Times New Roman"/>
        </w:rPr>
        <w:noBreakHyphen/>
        <w:t xml:space="preserve">described reasoning, and perhaps also the result, in all of these cases. Their Honours in </w:t>
      </w:r>
      <w:r w:rsidRPr="00FB6AF7">
        <w:rPr>
          <w:rFonts w:ascii="Times New Roman" w:hAnsi="Times New Roman"/>
          <w:i/>
          <w:iCs/>
        </w:rPr>
        <w:t xml:space="preserve">MZAPC </w:t>
      </w:r>
      <w:r w:rsidRPr="00FB6AF7">
        <w:rPr>
          <w:rFonts w:ascii="Times New Roman" w:hAnsi="Times New Roman"/>
        </w:rPr>
        <w:t>said</w:t>
      </w:r>
      <w:r w:rsidRPr="00FB6AF7">
        <w:rPr>
          <w:rStyle w:val="FootnoteReference"/>
          <w:rFonts w:ascii="Times New Roman" w:hAnsi="Times New Roman"/>
          <w:sz w:val="24"/>
        </w:rPr>
        <w:footnoteReference w:id="168"/>
      </w:r>
      <w:r w:rsidRPr="00FB6AF7">
        <w:rPr>
          <w:rFonts w:ascii="Times New Roman" w:hAnsi="Times New Roman"/>
        </w:rPr>
        <w:t>:</w:t>
      </w:r>
    </w:p>
    <w:p w14:paraId="534560F8" w14:textId="77777777" w:rsidR="0042544D" w:rsidRDefault="0042544D" w:rsidP="00FB6AF7">
      <w:pPr>
        <w:pStyle w:val="LeftrightafterHC"/>
        <w:spacing w:before="0" w:after="260" w:line="280" w:lineRule="exact"/>
        <w:ind w:right="0"/>
        <w:jc w:val="both"/>
        <w:rPr>
          <w:rFonts w:ascii="Times New Roman" w:hAnsi="Times New Roman"/>
        </w:rPr>
      </w:pPr>
      <w:r w:rsidRPr="00FB6AF7">
        <w:rPr>
          <w:rFonts w:ascii="Times New Roman" w:hAnsi="Times New Roman"/>
        </w:rPr>
        <w:t>"the onus of proving by admissible evidence on the balance of probabilities historical facts necessary to satisfy the court that the decision could realistically have been different had the breach not occurred lies unwaveringly on the plaintiff".</w:t>
      </w:r>
    </w:p>
    <w:p w14:paraId="27A5E6C8"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Of course, if the relevant "historical facts" are no more than the record of the proceedings below together with the record of the procedural irregularities that occurred, then saying that an applicant bears the onus of establishing those matters is no more than confirming the long</w:t>
      </w:r>
      <w:r w:rsidRPr="00FB6AF7">
        <w:rPr>
          <w:rFonts w:ascii="Times New Roman" w:hAnsi="Times New Roman"/>
        </w:rPr>
        <w:noBreakHyphen/>
        <w:t>established position that an applicant must establish the practical injustice required for an affirmative answer to question 1. In order to establish that a procedural irregularity involves practical injustice – that the error was not merely trivial and had the capacity to affect the result – it is plainly necessary for an applicant to prove the historical facts surrounding the irregularity.</w:t>
      </w:r>
    </w:p>
    <w:p w14:paraId="22935495"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 xml:space="preserve">But the primary joint judgment in </w:t>
      </w:r>
      <w:r w:rsidRPr="00FB6AF7">
        <w:rPr>
          <w:rFonts w:ascii="Times New Roman" w:hAnsi="Times New Roman"/>
          <w:i/>
          <w:iCs/>
        </w:rPr>
        <w:t xml:space="preserve">MZAPC </w:t>
      </w:r>
      <w:r w:rsidRPr="00FB6AF7">
        <w:rPr>
          <w:rFonts w:ascii="Times New Roman" w:hAnsi="Times New Roman"/>
        </w:rPr>
        <w:t xml:space="preserve">appeared to be saying more than this, insisting that an applicant for judicial review also bears the onus of establishing that the result might have been different but for the denial of procedural fairness. Their Honours had said earlier in their reasons that the applicant must discharge their burden to "enable the court to be satisfied of the realistic possibility that a different decision </w:t>
      </w:r>
      <w:r w:rsidRPr="00FB6AF7">
        <w:rPr>
          <w:rFonts w:ascii="Times New Roman" w:hAnsi="Times New Roman"/>
          <w:i/>
          <w:iCs/>
        </w:rPr>
        <w:t xml:space="preserve">could </w:t>
      </w:r>
      <w:r w:rsidRPr="00FB6AF7">
        <w:rPr>
          <w:rFonts w:ascii="Times New Roman" w:hAnsi="Times New Roman"/>
        </w:rPr>
        <w:t>have been made"</w:t>
      </w:r>
      <w:r w:rsidRPr="00FB6AF7">
        <w:rPr>
          <w:rStyle w:val="FootnoteReference"/>
          <w:rFonts w:ascii="Times New Roman" w:hAnsi="Times New Roman"/>
          <w:sz w:val="24"/>
        </w:rPr>
        <w:footnoteReference w:id="169"/>
      </w:r>
      <w:r w:rsidRPr="00FB6AF7">
        <w:rPr>
          <w:rFonts w:ascii="Times New Roman" w:hAnsi="Times New Roman"/>
        </w:rPr>
        <w:t xml:space="preserve">. And the primary joint judgment affirmed as correct the obiter dicta of Bell, Gageler and </w:t>
      </w:r>
      <w:r w:rsidRPr="00FB6AF7">
        <w:rPr>
          <w:rFonts w:ascii="Times New Roman" w:hAnsi="Times New Roman"/>
        </w:rPr>
        <w:lastRenderedPageBreak/>
        <w:t xml:space="preserve">Keane JJ in </w:t>
      </w:r>
      <w:r w:rsidRPr="00FB6AF7">
        <w:rPr>
          <w:rFonts w:ascii="Times New Roman" w:hAnsi="Times New Roman"/>
          <w:i/>
        </w:rPr>
        <w:t>SZMTA</w:t>
      </w:r>
      <w:r w:rsidRPr="00FB6AF7">
        <w:rPr>
          <w:rStyle w:val="FootnoteReference"/>
          <w:rFonts w:ascii="Times New Roman" w:hAnsi="Times New Roman"/>
          <w:sz w:val="24"/>
        </w:rPr>
        <w:footnoteReference w:id="170"/>
      </w:r>
      <w:r w:rsidRPr="00FB6AF7">
        <w:rPr>
          <w:rFonts w:ascii="Times New Roman" w:hAnsi="Times New Roman"/>
          <w:i/>
        </w:rPr>
        <w:t xml:space="preserve">. </w:t>
      </w:r>
      <w:r w:rsidRPr="00FB6AF7">
        <w:rPr>
          <w:rFonts w:ascii="Times New Roman" w:hAnsi="Times New Roman"/>
        </w:rPr>
        <w:t xml:space="preserve">In that case, their Honours </w:t>
      </w:r>
      <w:r w:rsidRPr="00FB6AF7">
        <w:rPr>
          <w:rFonts w:ascii="Times New Roman" w:hAnsi="Times New Roman"/>
          <w:iCs/>
        </w:rPr>
        <w:t>said</w:t>
      </w:r>
      <w:r w:rsidRPr="00FB6AF7">
        <w:rPr>
          <w:rFonts w:ascii="Times New Roman" w:hAnsi="Times New Roman"/>
          <w:i/>
          <w:iCs/>
        </w:rPr>
        <w:t xml:space="preserve"> </w:t>
      </w:r>
      <w:r w:rsidRPr="00FB6AF7">
        <w:rPr>
          <w:rFonts w:ascii="Times New Roman" w:hAnsi="Times New Roman"/>
        </w:rPr>
        <w:t>that "[a] breach is material to a decision only if compliance could realistically have resulted in a different decision" and generally "the question of the materiality of the breach is an ordinary question of fact in respect of which the applicant bears the onus of proof"</w:t>
      </w:r>
      <w:r w:rsidRPr="00FB6AF7">
        <w:rPr>
          <w:rStyle w:val="FootnoteReference"/>
          <w:rFonts w:ascii="Times New Roman" w:hAnsi="Times New Roman"/>
          <w:sz w:val="24"/>
        </w:rPr>
        <w:footnoteReference w:id="171"/>
      </w:r>
      <w:r w:rsidRPr="00FB6AF7">
        <w:rPr>
          <w:rFonts w:ascii="Times New Roman" w:hAnsi="Times New Roman"/>
        </w:rPr>
        <w:t>.</w:t>
      </w:r>
    </w:p>
    <w:p w14:paraId="0920AE60" w14:textId="77777777" w:rsidR="0042544D" w:rsidRPr="00FB6AF7" w:rsidRDefault="0042544D" w:rsidP="00FB6AF7">
      <w:pPr>
        <w:pStyle w:val="HeadingL1"/>
        <w:spacing w:after="260" w:line="280" w:lineRule="exact"/>
        <w:ind w:right="0"/>
        <w:jc w:val="both"/>
        <w:rPr>
          <w:rFonts w:ascii="Times New Roman" w:hAnsi="Times New Roman"/>
        </w:rPr>
      </w:pPr>
      <w:r w:rsidRPr="00FB6AF7">
        <w:rPr>
          <w:rFonts w:ascii="Times New Roman" w:hAnsi="Times New Roman"/>
        </w:rPr>
        <w:t xml:space="preserve">Fidelity of the Federal Court to the apparent requirements of </w:t>
      </w:r>
      <w:r w:rsidRPr="00FB6AF7">
        <w:rPr>
          <w:rFonts w:ascii="Times New Roman" w:hAnsi="Times New Roman"/>
          <w:i/>
        </w:rPr>
        <w:t>MZAPC</w:t>
      </w:r>
    </w:p>
    <w:p w14:paraId="45CE4EF9"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 xml:space="preserve">In this case, the primary judge (Colvin J) and the majority of the Full Court of the Federal Court of Australia (Steward and Jackson JJ) did exactly what the primary joint judgment in this Court in </w:t>
      </w:r>
      <w:r w:rsidRPr="00FB6AF7">
        <w:rPr>
          <w:rFonts w:ascii="Times New Roman" w:hAnsi="Times New Roman"/>
          <w:i/>
        </w:rPr>
        <w:t xml:space="preserve">MZAPC </w:t>
      </w:r>
      <w:r w:rsidRPr="00FB6AF7">
        <w:rPr>
          <w:rFonts w:ascii="Times New Roman" w:hAnsi="Times New Roman"/>
        </w:rPr>
        <w:t>appeared to require in the application of question 3.</w:t>
      </w:r>
    </w:p>
    <w:p w14:paraId="16B885D8"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 xml:space="preserve">The primary judge correctly observed that although the questions of practical injustice (question 1) and materiality (questions 2 and 3) may be distinct, these questions appeared to have been conflated in the primary joint judgment in </w:t>
      </w:r>
      <w:r w:rsidRPr="00FB6AF7">
        <w:rPr>
          <w:rFonts w:ascii="Times New Roman" w:hAnsi="Times New Roman"/>
          <w:i/>
          <w:iCs/>
        </w:rPr>
        <w:t>SZMTA</w:t>
      </w:r>
      <w:r w:rsidRPr="00FB6AF7">
        <w:rPr>
          <w:rFonts w:ascii="Times New Roman" w:hAnsi="Times New Roman"/>
          <w:iCs/>
        </w:rPr>
        <w:t>,</w:t>
      </w:r>
      <w:r w:rsidRPr="00FB6AF7">
        <w:rPr>
          <w:rFonts w:ascii="Times New Roman" w:hAnsi="Times New Roman"/>
          <w:i/>
          <w:iCs/>
        </w:rPr>
        <w:t xml:space="preserve"> </w:t>
      </w:r>
      <w:r w:rsidRPr="00FB6AF7">
        <w:rPr>
          <w:rFonts w:ascii="Times New Roman" w:hAnsi="Times New Roman"/>
        </w:rPr>
        <w:t>with the effect of placing the onus on the applicant to demonstrate that there was a realistic possibility that the decision might have been different if the breach of procedural fairness had not occurred</w:t>
      </w:r>
      <w:r w:rsidRPr="00FB6AF7">
        <w:rPr>
          <w:rStyle w:val="FootnoteReference"/>
          <w:rFonts w:ascii="Times New Roman" w:hAnsi="Times New Roman"/>
          <w:sz w:val="24"/>
        </w:rPr>
        <w:footnoteReference w:id="172"/>
      </w:r>
      <w:r w:rsidRPr="00FB6AF7">
        <w:rPr>
          <w:rFonts w:ascii="Times New Roman" w:hAnsi="Times New Roman"/>
        </w:rPr>
        <w:t>.</w:t>
      </w:r>
      <w:r w:rsidRPr="00FB6AF7">
        <w:rPr>
          <w:rFonts w:ascii="Times New Roman" w:hAnsi="Times New Roman"/>
          <w:b/>
          <w:i/>
        </w:rPr>
        <w:t xml:space="preserve"> </w:t>
      </w:r>
      <w:r w:rsidRPr="00FB6AF7">
        <w:rPr>
          <w:rFonts w:ascii="Times New Roman" w:hAnsi="Times New Roman"/>
        </w:rPr>
        <w:t>The primary judge, unsurprisingly, held that Mr Nathanson had not discharged that onus because he had not pointed to any particular evidence that he might have presented or any particular submission that he might have made that might have affected the decision of the Administrative Appeals Tribunal if he had been given the opportunity</w:t>
      </w:r>
      <w:r w:rsidRPr="00FB6AF7">
        <w:rPr>
          <w:rStyle w:val="FootnoteReference"/>
          <w:rFonts w:ascii="Times New Roman" w:hAnsi="Times New Roman"/>
          <w:sz w:val="24"/>
        </w:rPr>
        <w:footnoteReference w:id="173"/>
      </w:r>
      <w:r w:rsidRPr="00FB6AF7">
        <w:rPr>
          <w:rFonts w:ascii="Times New Roman" w:hAnsi="Times New Roman"/>
        </w:rPr>
        <w:t>.</w:t>
      </w:r>
    </w:p>
    <w:p w14:paraId="3FF36BB6"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 xml:space="preserve">The majority of the Full Court upheld this reasoning. Mr Nathanson had established practical injustice, and therefore procedural unfairness, because the denial to him of the opportunity to present evidence or make further submissions on the issue of domestic violence was not trivial. It was capable of affecting the result. But the majority observed that Mr Nathanson adduced no evidence before the primary judge of what he would have done but for the denial of procedural fairness. In the absence of any such evidence, it could not be inferred simply from the record that he could have produced further evidence or said "something more" </w:t>
      </w:r>
      <w:r w:rsidRPr="00FB6AF7">
        <w:rPr>
          <w:rFonts w:ascii="Times New Roman" w:hAnsi="Times New Roman"/>
        </w:rPr>
        <w:lastRenderedPageBreak/>
        <w:t>that might have changed the result</w:t>
      </w:r>
      <w:r w:rsidRPr="00FB6AF7">
        <w:rPr>
          <w:rStyle w:val="FootnoteReference"/>
          <w:rFonts w:ascii="Times New Roman" w:hAnsi="Times New Roman"/>
          <w:sz w:val="24"/>
        </w:rPr>
        <w:footnoteReference w:id="174"/>
      </w:r>
      <w:r w:rsidRPr="00FB6AF7">
        <w:rPr>
          <w:rFonts w:ascii="Times New Roman" w:hAnsi="Times New Roman"/>
        </w:rPr>
        <w:t>. Since Mr Nathanson bore the onus on that point, his appeal was dismissed</w:t>
      </w:r>
      <w:r w:rsidRPr="00FB6AF7">
        <w:rPr>
          <w:rStyle w:val="FootnoteReference"/>
          <w:rFonts w:ascii="Times New Roman" w:hAnsi="Times New Roman"/>
          <w:sz w:val="24"/>
        </w:rPr>
        <w:footnoteReference w:id="175"/>
      </w:r>
      <w:r w:rsidRPr="00FB6AF7">
        <w:rPr>
          <w:rFonts w:ascii="Times New Roman" w:hAnsi="Times New Roman"/>
        </w:rPr>
        <w:t>.</w:t>
      </w:r>
    </w:p>
    <w:p w14:paraId="78780074"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If the onus on Mr Nathanson to prove materiality were truly a substantive onus, involving a risk of non</w:t>
      </w:r>
      <w:r w:rsidRPr="00FB6AF7">
        <w:rPr>
          <w:rFonts w:ascii="Times New Roman" w:hAnsi="Times New Roman"/>
        </w:rPr>
        <w:noBreakHyphen/>
        <w:t>persuasion</w:t>
      </w:r>
      <w:r w:rsidRPr="00FB6AF7">
        <w:rPr>
          <w:rStyle w:val="FootnoteReference"/>
          <w:rFonts w:ascii="Times New Roman" w:hAnsi="Times New Roman"/>
          <w:sz w:val="24"/>
        </w:rPr>
        <w:footnoteReference w:id="176"/>
      </w:r>
      <w:r w:rsidRPr="00FB6AF7">
        <w:rPr>
          <w:rFonts w:ascii="Times New Roman" w:hAnsi="Times New Roman"/>
        </w:rPr>
        <w:t xml:space="preserve">, and </w:t>
      </w:r>
      <w:r w:rsidRPr="00FB6AF7">
        <w:rPr>
          <w:rFonts w:ascii="Times New Roman" w:hAnsi="Times New Roman"/>
          <w:i/>
        </w:rPr>
        <w:t xml:space="preserve">SZMTA </w:t>
      </w:r>
      <w:r w:rsidRPr="00FB6AF7">
        <w:rPr>
          <w:rFonts w:ascii="Times New Roman" w:hAnsi="Times New Roman"/>
        </w:rPr>
        <w:t xml:space="preserve">and </w:t>
      </w:r>
      <w:r w:rsidRPr="00FB6AF7">
        <w:rPr>
          <w:rFonts w:ascii="Times New Roman" w:hAnsi="Times New Roman"/>
          <w:i/>
        </w:rPr>
        <w:t xml:space="preserve">MZAPC </w:t>
      </w:r>
      <w:r w:rsidRPr="00FB6AF7">
        <w:rPr>
          <w:rFonts w:ascii="Times New Roman" w:hAnsi="Times New Roman"/>
        </w:rPr>
        <w:t>had not suggested otherwise in their novel recognition of that onus, then the reasoning of the primary judge and the majority of the Full Court on the issue of onus would be impeccable. If the onus were truly a substantive onus, Mr Nathanson could not have discharged that onus by doing and saying nothing of substance beyond pointing to the practical injustice he suffered. Otherwise, question 3 would add nothing to question 1.</w:t>
      </w:r>
    </w:p>
    <w:p w14:paraId="2EB64C17"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 xml:space="preserve">The reasoning of the minority judge in the Full Court (Wigney J), at least in part, was concerned with the requirements of question 2. His Honour correctly responded to that question by relying in part upon the reasons of Gageler and Gordon JJ in a case that preceded </w:t>
      </w:r>
      <w:r w:rsidRPr="00FB6AF7">
        <w:rPr>
          <w:rFonts w:ascii="Times New Roman" w:hAnsi="Times New Roman"/>
          <w:i/>
        </w:rPr>
        <w:t>MZAPC</w:t>
      </w:r>
      <w:r w:rsidRPr="00FB6AF7">
        <w:rPr>
          <w:rFonts w:ascii="Times New Roman" w:hAnsi="Times New Roman"/>
        </w:rPr>
        <w:t>,</w:t>
      </w:r>
      <w:r w:rsidRPr="00FB6AF7">
        <w:rPr>
          <w:rFonts w:ascii="Times New Roman" w:hAnsi="Times New Roman"/>
          <w:i/>
        </w:rPr>
        <w:t xml:space="preserve"> </w:t>
      </w:r>
      <w:r w:rsidRPr="00FB6AF7">
        <w:rPr>
          <w:rFonts w:ascii="Times New Roman" w:hAnsi="Times New Roman"/>
          <w:iCs/>
        </w:rPr>
        <w:t xml:space="preserve">saying </w:t>
      </w:r>
      <w:r w:rsidRPr="00FB6AF7">
        <w:rPr>
          <w:rFonts w:ascii="Times New Roman" w:hAnsi="Times New Roman"/>
        </w:rPr>
        <w:t>that "it will not always be incumbent on a person who seeks to establish jurisdictional error on the basis of a denial of procedural fairness to demonstrate, by evidence, what would have, or may have, occurred had the denial of procedural fairness not occurred"</w:t>
      </w:r>
      <w:r w:rsidRPr="00FB6AF7">
        <w:rPr>
          <w:rStyle w:val="FootnoteReference"/>
          <w:rFonts w:ascii="Times New Roman" w:hAnsi="Times New Roman"/>
          <w:sz w:val="24"/>
        </w:rPr>
        <w:footnoteReference w:id="177"/>
      </w:r>
      <w:r w:rsidRPr="00FB6AF7">
        <w:rPr>
          <w:rFonts w:ascii="Times New Roman" w:hAnsi="Times New Roman"/>
        </w:rPr>
        <w:t xml:space="preserve">. Wigney J also correctly noted that such a focus on question 2 was a way of reconciling (albeit only in part), on the one hand, the apparently "unequivocal and unqualified statements" made by the primary joint judgment in </w:t>
      </w:r>
      <w:r w:rsidRPr="00FB6AF7">
        <w:rPr>
          <w:rFonts w:ascii="Times New Roman" w:hAnsi="Times New Roman"/>
          <w:i/>
          <w:iCs/>
        </w:rPr>
        <w:t xml:space="preserve">SZMTA </w:t>
      </w:r>
      <w:r w:rsidRPr="00FB6AF7">
        <w:rPr>
          <w:rFonts w:ascii="Times New Roman" w:hAnsi="Times New Roman"/>
        </w:rPr>
        <w:t xml:space="preserve">requiring an applicant to establish that the result might have been different and, on the other, statements in cases such as </w:t>
      </w:r>
      <w:r w:rsidRPr="00FB6AF7">
        <w:rPr>
          <w:rFonts w:ascii="Times New Roman" w:hAnsi="Times New Roman"/>
          <w:i/>
          <w:iCs/>
        </w:rPr>
        <w:t xml:space="preserve">Aala </w:t>
      </w:r>
      <w:r w:rsidRPr="00FB6AF7">
        <w:rPr>
          <w:rFonts w:ascii="Times New Roman" w:hAnsi="Times New Roman"/>
        </w:rPr>
        <w:t>that a decision might be quashed even for a "trivial" error</w:t>
      </w:r>
      <w:r w:rsidRPr="00FB6AF7">
        <w:rPr>
          <w:rStyle w:val="FootnoteReference"/>
          <w:rFonts w:ascii="Times New Roman" w:hAnsi="Times New Roman"/>
          <w:sz w:val="24"/>
        </w:rPr>
        <w:footnoteReference w:id="178"/>
      </w:r>
      <w:r w:rsidRPr="00FB6AF7">
        <w:rPr>
          <w:rFonts w:ascii="Times New Roman" w:hAnsi="Times New Roman"/>
        </w:rPr>
        <w:t>. His Honour concluded that materiality could "readily be inferred" in circumstances where Mr Nathanson was "effectively denied the opportunity to address, in evidence or submissions, a matter which turned out to be important, if not critical, to the Tribunal’s adverse decision against him"</w:t>
      </w:r>
      <w:r w:rsidRPr="00FB6AF7">
        <w:rPr>
          <w:rStyle w:val="FootnoteReference"/>
          <w:rFonts w:ascii="Times New Roman" w:hAnsi="Times New Roman"/>
          <w:sz w:val="24"/>
        </w:rPr>
        <w:footnoteReference w:id="179"/>
      </w:r>
      <w:r w:rsidRPr="00FB6AF7">
        <w:rPr>
          <w:rFonts w:ascii="Times New Roman" w:hAnsi="Times New Roman"/>
        </w:rPr>
        <w:t>.</w:t>
      </w:r>
    </w:p>
    <w:p w14:paraId="2291E234" w14:textId="77777777" w:rsidR="0042544D" w:rsidRPr="00FB6AF7" w:rsidRDefault="0042544D" w:rsidP="00FB6AF7">
      <w:pPr>
        <w:pStyle w:val="HeadingL1"/>
        <w:spacing w:after="260" w:line="280" w:lineRule="exact"/>
        <w:ind w:right="0"/>
        <w:jc w:val="both"/>
        <w:rPr>
          <w:rFonts w:ascii="Times New Roman" w:hAnsi="Times New Roman"/>
        </w:rPr>
      </w:pPr>
      <w:r w:rsidRPr="00FB6AF7">
        <w:rPr>
          <w:rFonts w:ascii="Times New Roman" w:hAnsi="Times New Roman"/>
        </w:rPr>
        <w:lastRenderedPageBreak/>
        <w:t>Injustice or incoherence in the application of question 3?</w:t>
      </w:r>
    </w:p>
    <w:p w14:paraId="519FA22E"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The legal rules concerning materiality, particularly the application of question 3, are not presently in a state of blinding lucidity. This Court requires a reviewing court to consider whether an applicant has overcome a "threshold of materiality" that is "ordinarily", but not always, required to be met</w:t>
      </w:r>
      <w:r w:rsidRPr="00FB6AF7">
        <w:rPr>
          <w:rStyle w:val="FootnoteReference"/>
          <w:rFonts w:ascii="Times New Roman" w:hAnsi="Times New Roman"/>
          <w:sz w:val="24"/>
        </w:rPr>
        <w:footnoteReference w:id="180"/>
      </w:r>
      <w:r w:rsidRPr="00FB6AF7">
        <w:rPr>
          <w:rFonts w:ascii="Times New Roman" w:hAnsi="Times New Roman"/>
        </w:rPr>
        <w:t>. In doing so, within the unspecified boundaries of ordinary cases, this Court has held that the reviewing court must direct its attention to whether the applicant has established a "counterfactual conjecture of a realistic possibility"</w:t>
      </w:r>
      <w:r w:rsidRPr="00FB6AF7">
        <w:rPr>
          <w:rStyle w:val="FootnoteReference"/>
          <w:rFonts w:ascii="Times New Roman" w:hAnsi="Times New Roman"/>
          <w:sz w:val="24"/>
        </w:rPr>
        <w:footnoteReference w:id="181"/>
      </w:r>
      <w:r w:rsidRPr="00FB6AF7">
        <w:rPr>
          <w:rFonts w:ascii="Times New Roman" w:hAnsi="Times New Roman"/>
        </w:rPr>
        <w:t xml:space="preserve"> which allows "reasonable conjecture within the parameters set by the historical facts"</w:t>
      </w:r>
      <w:r w:rsidRPr="00FB6AF7">
        <w:rPr>
          <w:rStyle w:val="FootnoteReference"/>
          <w:rFonts w:ascii="Times New Roman" w:hAnsi="Times New Roman"/>
          <w:sz w:val="24"/>
        </w:rPr>
        <w:footnoteReference w:id="182"/>
      </w:r>
      <w:r w:rsidRPr="00FB6AF7">
        <w:rPr>
          <w:rFonts w:ascii="Times New Roman" w:hAnsi="Times New Roman"/>
        </w:rPr>
        <w:t>.</w:t>
      </w:r>
    </w:p>
    <w:p w14:paraId="741DAEE0"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 xml:space="preserve">These legal rules for question 3, as established by the primary joint judgments of this Court in </w:t>
      </w:r>
      <w:r w:rsidRPr="00FB6AF7">
        <w:rPr>
          <w:rFonts w:ascii="Times New Roman" w:hAnsi="Times New Roman"/>
          <w:i/>
        </w:rPr>
        <w:t xml:space="preserve">SZMTA </w:t>
      </w:r>
      <w:r w:rsidRPr="00FB6AF7">
        <w:rPr>
          <w:rFonts w:ascii="Times New Roman" w:hAnsi="Times New Roman"/>
        </w:rPr>
        <w:t xml:space="preserve">and </w:t>
      </w:r>
      <w:r w:rsidRPr="00FB6AF7">
        <w:rPr>
          <w:rFonts w:ascii="Times New Roman" w:hAnsi="Times New Roman"/>
          <w:i/>
        </w:rPr>
        <w:t>MZAPC</w:t>
      </w:r>
      <w:r w:rsidRPr="00FB6AF7">
        <w:rPr>
          <w:rFonts w:ascii="Times New Roman" w:hAnsi="Times New Roman"/>
        </w:rPr>
        <w:t>, are not merely difficult to apply. They have also presented the Federal Court with forensic difficulties and anomalies. In some cases, an applicant who is denied procedural fairness has relied upon evidence that might have been led, or submissions that might have been made, in order to prove as a matter of "reasonable conjecture" that the administrative decision could have been different. That evidence or those submissions have sometimes been held to be insufficient to discharge the applicant's onus</w:t>
      </w:r>
      <w:r w:rsidRPr="00FB6AF7">
        <w:rPr>
          <w:rStyle w:val="FootnoteReference"/>
          <w:rFonts w:ascii="Times New Roman" w:hAnsi="Times New Roman"/>
          <w:sz w:val="24"/>
        </w:rPr>
        <w:footnoteReference w:id="183"/>
      </w:r>
      <w:r w:rsidRPr="00FB6AF7">
        <w:rPr>
          <w:rFonts w:ascii="Times New Roman" w:hAnsi="Times New Roman"/>
        </w:rPr>
        <w:t>. Yet, in other cases, the applicant has not even attempted to discharge the onus but the obvious injustice of requiring an applicant to establish more than procedural unfairness has been avoided by an inference, which is sometimes a fiction, that the applicant "would have said whatever [they] could have said"</w:t>
      </w:r>
      <w:r w:rsidRPr="00FB6AF7">
        <w:rPr>
          <w:rStyle w:val="FootnoteReference"/>
          <w:rFonts w:ascii="Times New Roman" w:hAnsi="Times New Roman"/>
          <w:sz w:val="24"/>
        </w:rPr>
        <w:footnoteReference w:id="184"/>
      </w:r>
      <w:r w:rsidRPr="00FB6AF7">
        <w:rPr>
          <w:rFonts w:ascii="Times New Roman" w:hAnsi="Times New Roman"/>
        </w:rPr>
        <w:t>.</w:t>
      </w:r>
    </w:p>
    <w:p w14:paraId="31CAC45B"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There may come a point at which the confusion, forensic difficulties, and anomalies are so great that it is necessary to say that the efficiency</w:t>
      </w:r>
      <w:r w:rsidRPr="00FB6AF7">
        <w:rPr>
          <w:rFonts w:ascii="Times New Roman" w:hAnsi="Times New Roman"/>
        </w:rPr>
        <w:noBreakHyphen/>
        <w:t xml:space="preserve">based implication concerning materiality has become, in its application, such a Frankenstein's monster of incomprehensibility that it is undermining the very basis for which it exists and should be abandoned. It suffices at present to say that some </w:t>
      </w:r>
      <w:r w:rsidRPr="00FB6AF7">
        <w:rPr>
          <w:rFonts w:ascii="Times New Roman" w:hAnsi="Times New Roman"/>
        </w:rPr>
        <w:lastRenderedPageBreak/>
        <w:t>clarity can be achieved by a clear separation of the three questions set out earlier in these reasons. The focus of submissions in this case was upon question 3.</w:t>
      </w:r>
    </w:p>
    <w:p w14:paraId="4ADBB000"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Assuming a positive answer to question 1, and putting to one side question 2, question 3 might be thought to present this Court with a choice between injustice if the appeal is dismissed, and incoherence if it is allowed.</w:t>
      </w:r>
    </w:p>
    <w:p w14:paraId="68FBBAC7"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On the one hand, if this appeal were dismissed, there would be plain injustice. Mr Nathanson would be refused relief despite the fact that, as Kiefel CJ, Keane and Gleeson JJ rightly observe, Mr Nathanson was denied procedural fairness on an issue that required consideration. An implication of procedural fairness, based upon reasonable expectations of justice, would be undermined by the overly broad application of an implication concerning materiality, based upon reasonable expectations of efficiency.</w:t>
      </w:r>
    </w:p>
    <w:p w14:paraId="1C3948C6"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 xml:space="preserve">On the other hand, if this appeal were allowed on the basis that materiality had been established under question 3, it might be thought that incoherence would arise from a finding that Mr Nathanson could discharge an apparently substantive onus of establishing the possibility of a different result without making any submissions or leading any evidence </w:t>
      </w:r>
      <w:r w:rsidRPr="00FB6AF7" w:rsidDel="00DA0BF4">
        <w:rPr>
          <w:rFonts w:ascii="Times New Roman" w:hAnsi="Times New Roman"/>
        </w:rPr>
        <w:t xml:space="preserve">to </w:t>
      </w:r>
      <w:r w:rsidRPr="00FB6AF7">
        <w:rPr>
          <w:rFonts w:ascii="Times New Roman" w:hAnsi="Times New Roman"/>
        </w:rPr>
        <w:t>establish anything of substance that would have been said or done differently but for the denial of procedural fairness.</w:t>
      </w:r>
    </w:p>
    <w:p w14:paraId="5CA99DA8" w14:textId="77777777" w:rsidR="0042544D" w:rsidRPr="00FB6AF7" w:rsidRDefault="0042544D" w:rsidP="0042544D">
      <w:pPr>
        <w:pStyle w:val="FixListStyle"/>
        <w:numPr>
          <w:ilvl w:val="0"/>
          <w:numId w:val="18"/>
        </w:numPr>
        <w:spacing w:after="260" w:line="280" w:lineRule="exact"/>
        <w:ind w:left="0" w:right="0" w:hanging="720"/>
        <w:jc w:val="both"/>
        <w:rPr>
          <w:rFonts w:ascii="Times New Roman" w:hAnsi="Times New Roman"/>
        </w:rPr>
      </w:pPr>
      <w:r w:rsidRPr="00FB6AF7">
        <w:rPr>
          <w:rFonts w:ascii="Times New Roman" w:hAnsi="Times New Roman"/>
        </w:rPr>
        <w:tab/>
        <w:t>If it were necessary to choose between incoherence and injustice, I would choose incoherence. But the choice is not quite so stark. A resolution, for the present, lies in treating the onus of proof of materiality, where it arises, as being so slight</w:t>
      </w:r>
      <w:r w:rsidRPr="00FB6AF7">
        <w:rPr>
          <w:rStyle w:val="FootnoteReference"/>
          <w:rFonts w:ascii="Times New Roman" w:hAnsi="Times New Roman"/>
          <w:sz w:val="24"/>
        </w:rPr>
        <w:footnoteReference w:id="185"/>
      </w:r>
      <w:r w:rsidRPr="00FB6AF7">
        <w:rPr>
          <w:rFonts w:ascii="Times New Roman" w:hAnsi="Times New Roman"/>
        </w:rPr>
        <w:t xml:space="preserve"> that it can be satisfied by an applicant establishing nothing more than a "quadruple might" at a high level of generality. To reiterate: there </w:t>
      </w:r>
      <w:r w:rsidRPr="00FB6AF7">
        <w:rPr>
          <w:rFonts w:ascii="Times New Roman" w:hAnsi="Times New Roman"/>
          <w:i/>
        </w:rPr>
        <w:t>might</w:t>
      </w:r>
      <w:r w:rsidRPr="00FB6AF7">
        <w:rPr>
          <w:rFonts w:ascii="Times New Roman" w:hAnsi="Times New Roman"/>
        </w:rPr>
        <w:t xml:space="preserve"> have been things that Mr Nathanson or his wife </w:t>
      </w:r>
      <w:r w:rsidRPr="00FB6AF7">
        <w:rPr>
          <w:rFonts w:ascii="Times New Roman" w:hAnsi="Times New Roman"/>
          <w:i/>
        </w:rPr>
        <w:t>might</w:t>
      </w:r>
      <w:r w:rsidRPr="00FB6AF7">
        <w:rPr>
          <w:rFonts w:ascii="Times New Roman" w:hAnsi="Times New Roman"/>
        </w:rPr>
        <w:t xml:space="preserve"> have said at the hearing that </w:t>
      </w:r>
      <w:r w:rsidRPr="00FB6AF7">
        <w:rPr>
          <w:rFonts w:ascii="Times New Roman" w:hAnsi="Times New Roman"/>
          <w:i/>
        </w:rPr>
        <w:t>might</w:t>
      </w:r>
      <w:r w:rsidRPr="00FB6AF7">
        <w:rPr>
          <w:rFonts w:ascii="Times New Roman" w:hAnsi="Times New Roman"/>
        </w:rPr>
        <w:t xml:space="preserve"> have assisted his case in a manner that </w:t>
      </w:r>
      <w:r w:rsidRPr="00FB6AF7">
        <w:rPr>
          <w:rFonts w:ascii="Times New Roman" w:hAnsi="Times New Roman"/>
          <w:i/>
        </w:rPr>
        <w:t>might</w:t>
      </w:r>
      <w:r w:rsidRPr="00FB6AF7">
        <w:rPr>
          <w:rFonts w:ascii="Times New Roman" w:hAnsi="Times New Roman"/>
        </w:rPr>
        <w:t xml:space="preserve"> have led to a different result.</w:t>
      </w:r>
    </w:p>
    <w:p w14:paraId="72122C0A" w14:textId="77777777" w:rsidR="0042544D" w:rsidRPr="00FB6AF7" w:rsidRDefault="0042544D" w:rsidP="00FB6AF7">
      <w:pPr>
        <w:pStyle w:val="HeadingL1"/>
        <w:spacing w:after="260" w:line="280" w:lineRule="exact"/>
        <w:ind w:right="0"/>
        <w:jc w:val="both"/>
        <w:rPr>
          <w:rFonts w:ascii="Times New Roman" w:hAnsi="Times New Roman"/>
        </w:rPr>
      </w:pPr>
      <w:r w:rsidRPr="00FB6AF7">
        <w:rPr>
          <w:rFonts w:ascii="Times New Roman" w:hAnsi="Times New Roman"/>
        </w:rPr>
        <w:t>Conclusion</w:t>
      </w:r>
    </w:p>
    <w:p w14:paraId="37ADCF23" w14:textId="268B8580" w:rsidR="003322E7" w:rsidRPr="002A3AAE" w:rsidRDefault="0042544D" w:rsidP="00EE414F">
      <w:pPr>
        <w:pStyle w:val="FixListStyle"/>
        <w:numPr>
          <w:ilvl w:val="0"/>
          <w:numId w:val="18"/>
        </w:numPr>
        <w:spacing w:after="260" w:line="280" w:lineRule="exact"/>
        <w:ind w:left="0" w:right="0" w:hanging="720"/>
        <w:jc w:val="both"/>
      </w:pPr>
      <w:r w:rsidRPr="00726236">
        <w:rPr>
          <w:rFonts w:ascii="Times New Roman" w:hAnsi="Times New Roman"/>
        </w:rPr>
        <w:tab/>
        <w:t>I agree with the orders proposed in the joint judgment.</w:t>
      </w:r>
    </w:p>
    <w:sectPr w:rsidR="003322E7" w:rsidRPr="002A3AAE" w:rsidSect="0042544D">
      <w:headerReference w:type="even" r:id="rId29"/>
      <w:headerReference w:type="default" r:id="rId30"/>
      <w:headerReference w:type="first" r:id="rId31"/>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3FD3" w14:textId="77777777" w:rsidR="008028A9" w:rsidRDefault="008028A9">
      <w:pPr>
        <w:spacing w:line="240" w:lineRule="auto"/>
      </w:pPr>
      <w:r>
        <w:separator/>
      </w:r>
    </w:p>
  </w:endnote>
  <w:endnote w:type="continuationSeparator" w:id="0">
    <w:p w14:paraId="18724D5E" w14:textId="77777777" w:rsidR="008028A9" w:rsidRDefault="008028A9">
      <w:pPr>
        <w:spacing w:line="240" w:lineRule="auto"/>
      </w:pPr>
      <w:r>
        <w:continuationSeparator/>
      </w:r>
    </w:p>
  </w:endnote>
  <w:endnote w:type="continuationNotice" w:id="1">
    <w:p w14:paraId="780D861C" w14:textId="77777777" w:rsidR="008028A9" w:rsidRDefault="008028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0FB8B" w14:textId="77777777" w:rsidR="00594E3E" w:rsidRDefault="00594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13B3" w14:textId="77777777" w:rsidR="00594E3E" w:rsidRDefault="00594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7E4C" w14:textId="77777777" w:rsidR="00594E3E" w:rsidRDefault="00594E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2DEF" w14:textId="77777777" w:rsidR="00594E3E" w:rsidRDefault="00594E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2040" w14:textId="77777777" w:rsidR="00594E3E" w:rsidRDefault="00594E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1A2C" w14:textId="77777777" w:rsidR="00594E3E" w:rsidRDefault="00594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DCAC3" w14:textId="77777777" w:rsidR="008028A9" w:rsidRPr="002A3AAE" w:rsidRDefault="008028A9" w:rsidP="002A3AAE">
      <w:pPr>
        <w:pStyle w:val="Footer"/>
        <w:spacing w:before="120" w:after="20"/>
        <w:ind w:right="0"/>
        <w:rPr>
          <w:rFonts w:ascii="Times New Roman" w:hAnsi="Times New Roman"/>
        </w:rPr>
      </w:pPr>
      <w:r>
        <w:continuationSeparator/>
      </w:r>
    </w:p>
  </w:footnote>
  <w:footnote w:type="continuationSeparator" w:id="0">
    <w:p w14:paraId="44E6884F" w14:textId="77777777" w:rsidR="008028A9" w:rsidRPr="002A3AAE" w:rsidRDefault="008028A9" w:rsidP="002A3AAE">
      <w:pPr>
        <w:pStyle w:val="Footer"/>
        <w:spacing w:before="120" w:after="20"/>
        <w:ind w:right="0"/>
        <w:rPr>
          <w:rFonts w:ascii="Times New Roman" w:hAnsi="Times New Roman"/>
        </w:rPr>
      </w:pPr>
      <w:r w:rsidRPr="002A3AAE">
        <w:rPr>
          <w:rFonts w:ascii="Times New Roman" w:hAnsi="Times New Roman"/>
        </w:rPr>
        <w:continuationSeparator/>
      </w:r>
    </w:p>
  </w:footnote>
  <w:footnote w:type="continuationNotice" w:id="1">
    <w:p w14:paraId="612951BA" w14:textId="77777777" w:rsidR="008028A9" w:rsidRPr="0042544D" w:rsidRDefault="008028A9">
      <w:pPr>
        <w:jc w:val="right"/>
        <w:rPr>
          <w:rFonts w:ascii="Times New Roman" w:hAnsi="Times New Roman"/>
          <w:sz w:val="24"/>
        </w:rPr>
      </w:pPr>
    </w:p>
  </w:footnote>
  <w:footnote w:id="2">
    <w:p w14:paraId="50525CED" w14:textId="68FF580C" w:rsidR="006C7785" w:rsidRPr="002A3AAE" w:rsidRDefault="006C7785"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00E06871" w:rsidRPr="002A3AAE">
        <w:rPr>
          <w:rFonts w:ascii="Times New Roman" w:hAnsi="Times New Roman"/>
          <w:i/>
          <w:iCs/>
          <w:sz w:val="24"/>
        </w:rPr>
        <w:t>Minister for Immigration and Border Protection v SZMTA</w:t>
      </w:r>
      <w:r w:rsidR="00634098" w:rsidRPr="002A3AAE">
        <w:rPr>
          <w:rFonts w:ascii="Times New Roman" w:hAnsi="Times New Roman"/>
          <w:sz w:val="24"/>
        </w:rPr>
        <w:t xml:space="preserve"> (2019) 264 CLR 421 at </w:t>
      </w:r>
      <w:r w:rsidR="00341902" w:rsidRPr="002A3AAE">
        <w:rPr>
          <w:rFonts w:ascii="Times New Roman" w:hAnsi="Times New Roman"/>
          <w:sz w:val="24"/>
        </w:rPr>
        <w:t>445 [45]</w:t>
      </w:r>
      <w:r w:rsidR="00634098" w:rsidRPr="002A3AAE">
        <w:rPr>
          <w:rFonts w:ascii="Times New Roman" w:hAnsi="Times New Roman"/>
          <w:sz w:val="24"/>
        </w:rPr>
        <w:t xml:space="preserve">; </w:t>
      </w:r>
      <w:r w:rsidR="00627D2F" w:rsidRPr="002A3AAE">
        <w:rPr>
          <w:rFonts w:ascii="Times New Roman" w:hAnsi="Times New Roman"/>
          <w:i/>
          <w:iCs/>
          <w:sz w:val="24"/>
        </w:rPr>
        <w:t>MZAPC v Minister for Immigration and Border Protection</w:t>
      </w:r>
      <w:r w:rsidR="00627D2F" w:rsidRPr="002A3AAE">
        <w:rPr>
          <w:rFonts w:ascii="Times New Roman" w:hAnsi="Times New Roman"/>
          <w:sz w:val="24"/>
        </w:rPr>
        <w:t xml:space="preserve"> (2021) 95 ALJR 441 at</w:t>
      </w:r>
      <w:r w:rsidR="000A3652" w:rsidRPr="002A3AAE">
        <w:rPr>
          <w:rFonts w:ascii="Times New Roman" w:hAnsi="Times New Roman"/>
          <w:sz w:val="24"/>
        </w:rPr>
        <w:t xml:space="preserve"> 449</w:t>
      </w:r>
      <w:r w:rsidR="00BB42D6" w:rsidRPr="002A3AAE">
        <w:rPr>
          <w:rFonts w:ascii="Times New Roman" w:hAnsi="Times New Roman"/>
          <w:sz w:val="24"/>
        </w:rPr>
        <w:t xml:space="preserve"> [2]</w:t>
      </w:r>
      <w:r w:rsidR="007466BE" w:rsidRPr="002A3AAE">
        <w:rPr>
          <w:rFonts w:ascii="Times New Roman" w:hAnsi="Times New Roman"/>
          <w:sz w:val="24"/>
        </w:rPr>
        <w:t>,</w:t>
      </w:r>
      <w:r w:rsidR="00634331" w:rsidRPr="002A3AAE">
        <w:rPr>
          <w:rFonts w:ascii="Times New Roman" w:hAnsi="Times New Roman"/>
          <w:sz w:val="24"/>
        </w:rPr>
        <w:t xml:space="preserve"> 462 [85]</w:t>
      </w:r>
      <w:r w:rsidR="00627D2F" w:rsidRPr="002A3AAE">
        <w:rPr>
          <w:rFonts w:ascii="Times New Roman" w:hAnsi="Times New Roman"/>
          <w:sz w:val="24"/>
        </w:rPr>
        <w:t>; 390 ALR 590 at</w:t>
      </w:r>
      <w:r w:rsidR="00667F5C" w:rsidRPr="002A3AAE">
        <w:rPr>
          <w:rFonts w:ascii="Times New Roman" w:hAnsi="Times New Roman"/>
          <w:sz w:val="24"/>
        </w:rPr>
        <w:t xml:space="preserve"> </w:t>
      </w:r>
      <w:r w:rsidR="00B31E1D" w:rsidRPr="002A3AAE">
        <w:rPr>
          <w:rFonts w:ascii="Times New Roman" w:hAnsi="Times New Roman"/>
          <w:sz w:val="24"/>
        </w:rPr>
        <w:t>592</w:t>
      </w:r>
      <w:r w:rsidR="005250F5" w:rsidRPr="002A3AAE">
        <w:rPr>
          <w:rFonts w:ascii="Times New Roman" w:hAnsi="Times New Roman"/>
          <w:sz w:val="24"/>
        </w:rPr>
        <w:t>,</w:t>
      </w:r>
      <w:r w:rsidR="007B7C1B" w:rsidRPr="002A3AAE">
        <w:rPr>
          <w:rFonts w:ascii="Times New Roman" w:hAnsi="Times New Roman"/>
          <w:sz w:val="24"/>
        </w:rPr>
        <w:t xml:space="preserve"> 610</w:t>
      </w:r>
      <w:r w:rsidR="007A2109" w:rsidRPr="002A3AAE">
        <w:rPr>
          <w:rFonts w:ascii="Times New Roman" w:hAnsi="Times New Roman"/>
          <w:sz w:val="24"/>
        </w:rPr>
        <w:t xml:space="preserve">; </w:t>
      </w:r>
      <w:r w:rsidR="003C1206" w:rsidRPr="002A3AAE">
        <w:rPr>
          <w:rFonts w:ascii="Times New Roman" w:hAnsi="Times New Roman"/>
          <w:sz w:val="24"/>
        </w:rPr>
        <w:t xml:space="preserve">see also </w:t>
      </w:r>
      <w:r w:rsidR="007A2109" w:rsidRPr="002A3AAE">
        <w:rPr>
          <w:rFonts w:ascii="Times New Roman" w:hAnsi="Times New Roman"/>
          <w:i/>
          <w:iCs/>
          <w:sz w:val="24"/>
        </w:rPr>
        <w:t xml:space="preserve">Hossain v Minister for Immigration and Border </w:t>
      </w:r>
      <w:r w:rsidR="007A2109" w:rsidRPr="002A3AAE">
        <w:rPr>
          <w:rFonts w:ascii="Times New Roman" w:hAnsi="Times New Roman"/>
          <w:i/>
          <w:sz w:val="24"/>
        </w:rPr>
        <w:t xml:space="preserve">Protection </w:t>
      </w:r>
      <w:r w:rsidR="007A2109" w:rsidRPr="002A3AAE">
        <w:rPr>
          <w:rFonts w:ascii="Times New Roman" w:hAnsi="Times New Roman"/>
          <w:sz w:val="24"/>
        </w:rPr>
        <w:t>(2018) 264 CLR 123</w:t>
      </w:r>
      <w:r w:rsidR="007A2109" w:rsidRPr="002A3AAE">
        <w:rPr>
          <w:rFonts w:ascii="Times New Roman" w:hAnsi="Times New Roman"/>
          <w:i/>
          <w:iCs/>
          <w:sz w:val="24"/>
        </w:rPr>
        <w:t xml:space="preserve"> </w:t>
      </w:r>
      <w:r w:rsidR="007A2109" w:rsidRPr="002A3AAE">
        <w:rPr>
          <w:rFonts w:ascii="Times New Roman" w:hAnsi="Times New Roman"/>
          <w:sz w:val="24"/>
        </w:rPr>
        <w:t>at 134-</w:t>
      </w:r>
      <w:r w:rsidR="003C7C00" w:rsidRPr="002A3AAE">
        <w:rPr>
          <w:rFonts w:ascii="Times New Roman" w:hAnsi="Times New Roman"/>
          <w:sz w:val="24"/>
        </w:rPr>
        <w:t>13</w:t>
      </w:r>
      <w:r w:rsidR="007A2109" w:rsidRPr="002A3AAE">
        <w:rPr>
          <w:rFonts w:ascii="Times New Roman" w:hAnsi="Times New Roman"/>
          <w:sz w:val="24"/>
        </w:rPr>
        <w:t>5 [30]-[31]</w:t>
      </w:r>
      <w:r w:rsidR="00634098" w:rsidRPr="002A3AAE">
        <w:rPr>
          <w:rFonts w:ascii="Times New Roman" w:hAnsi="Times New Roman"/>
          <w:sz w:val="24"/>
        </w:rPr>
        <w:t>.</w:t>
      </w:r>
    </w:p>
  </w:footnote>
  <w:footnote w:id="3">
    <w:p w14:paraId="1707956E" w14:textId="18D9A7FD" w:rsidR="000D13B6" w:rsidRPr="002A3AAE" w:rsidRDefault="000D13B6"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00EA748C" w:rsidRPr="002A3AAE">
        <w:rPr>
          <w:rFonts w:ascii="Times New Roman" w:hAnsi="Times New Roman"/>
          <w:i/>
          <w:iCs/>
          <w:sz w:val="24"/>
        </w:rPr>
        <w:t>SZMTA</w:t>
      </w:r>
      <w:r w:rsidR="00EA748C" w:rsidRPr="002A3AAE">
        <w:rPr>
          <w:rFonts w:ascii="Times New Roman" w:hAnsi="Times New Roman"/>
          <w:sz w:val="24"/>
        </w:rPr>
        <w:t xml:space="preserve"> (2019) 264 CLR 421 at 4</w:t>
      </w:r>
      <w:r w:rsidR="009C0C0F" w:rsidRPr="002A3AAE">
        <w:rPr>
          <w:rFonts w:ascii="Times New Roman" w:hAnsi="Times New Roman"/>
          <w:sz w:val="24"/>
        </w:rPr>
        <w:t xml:space="preserve">33 [4]; </w:t>
      </w:r>
      <w:r w:rsidR="009C0C0F" w:rsidRPr="002A3AAE">
        <w:rPr>
          <w:rFonts w:ascii="Times New Roman" w:hAnsi="Times New Roman"/>
          <w:i/>
          <w:iCs/>
          <w:sz w:val="24"/>
        </w:rPr>
        <w:t xml:space="preserve">MZAPC </w:t>
      </w:r>
      <w:r w:rsidR="009C0C0F" w:rsidRPr="002A3AAE">
        <w:rPr>
          <w:rFonts w:ascii="Times New Roman" w:hAnsi="Times New Roman"/>
          <w:sz w:val="24"/>
        </w:rPr>
        <w:t>(2021) 95 ALJR 441 at 449 [2]; 390 ALR 590 at 592</w:t>
      </w:r>
      <w:r w:rsidR="00B42014" w:rsidRPr="002A3AAE">
        <w:rPr>
          <w:rFonts w:ascii="Times New Roman" w:hAnsi="Times New Roman"/>
          <w:sz w:val="24"/>
        </w:rPr>
        <w:t>.</w:t>
      </w:r>
    </w:p>
  </w:footnote>
  <w:footnote w:id="4">
    <w:p w14:paraId="7D7BCFDE" w14:textId="3D70804D" w:rsidR="00F939EE" w:rsidRPr="002A3AAE" w:rsidRDefault="00F939EE"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007D5C2D" w:rsidRPr="002A3AAE">
        <w:rPr>
          <w:rFonts w:ascii="Times New Roman" w:hAnsi="Times New Roman"/>
          <w:sz w:val="24"/>
        </w:rPr>
        <w:tab/>
      </w:r>
      <w:r w:rsidR="003B7F81" w:rsidRPr="002A3AAE">
        <w:rPr>
          <w:rFonts w:ascii="Times New Roman" w:hAnsi="Times New Roman"/>
          <w:sz w:val="24"/>
        </w:rPr>
        <w:t>Contra</w:t>
      </w:r>
      <w:r w:rsidR="003B7F81" w:rsidRPr="002A3AAE">
        <w:rPr>
          <w:rFonts w:ascii="Times New Roman" w:hAnsi="Times New Roman"/>
          <w:i/>
          <w:iCs/>
          <w:sz w:val="24"/>
        </w:rPr>
        <w:t xml:space="preserve"> </w:t>
      </w:r>
      <w:r w:rsidR="0030346B" w:rsidRPr="002A3AAE">
        <w:rPr>
          <w:rFonts w:ascii="Times New Roman" w:hAnsi="Times New Roman"/>
          <w:i/>
          <w:iCs/>
          <w:sz w:val="24"/>
        </w:rPr>
        <w:t xml:space="preserve">Nathanson v Minister for Home Affairs </w:t>
      </w:r>
      <w:r w:rsidR="00AD3580" w:rsidRPr="002A3AAE">
        <w:rPr>
          <w:rFonts w:ascii="Times New Roman" w:hAnsi="Times New Roman"/>
          <w:iCs/>
          <w:sz w:val="24"/>
        </w:rPr>
        <w:t>(2020) 281 FCR 23</w:t>
      </w:r>
      <w:r w:rsidR="0030346B" w:rsidRPr="002A3AAE">
        <w:rPr>
          <w:rFonts w:ascii="Times New Roman" w:hAnsi="Times New Roman"/>
          <w:sz w:val="24"/>
        </w:rPr>
        <w:t xml:space="preserve"> at </w:t>
      </w:r>
      <w:r w:rsidR="00150BBB" w:rsidRPr="002A3AAE">
        <w:rPr>
          <w:rFonts w:ascii="Times New Roman" w:hAnsi="Times New Roman"/>
          <w:sz w:val="24"/>
        </w:rPr>
        <w:t xml:space="preserve">53 </w:t>
      </w:r>
      <w:r w:rsidR="0030346B" w:rsidRPr="002A3AAE">
        <w:rPr>
          <w:rFonts w:ascii="Times New Roman" w:hAnsi="Times New Roman"/>
          <w:sz w:val="24"/>
        </w:rPr>
        <w:t>[</w:t>
      </w:r>
      <w:r w:rsidR="003B7F81" w:rsidRPr="002A3AAE">
        <w:rPr>
          <w:rFonts w:ascii="Times New Roman" w:hAnsi="Times New Roman"/>
          <w:sz w:val="24"/>
        </w:rPr>
        <w:t>127</w:t>
      </w:r>
      <w:r w:rsidR="0030346B" w:rsidRPr="002A3AAE">
        <w:rPr>
          <w:rFonts w:ascii="Times New Roman" w:hAnsi="Times New Roman"/>
          <w:sz w:val="24"/>
        </w:rPr>
        <w:t>].</w:t>
      </w:r>
    </w:p>
  </w:footnote>
  <w:footnote w:id="5">
    <w:p w14:paraId="61AE308E" w14:textId="12E0F915" w:rsidR="005028FA" w:rsidRPr="002A3AAE" w:rsidRDefault="005028FA"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Pr="002A3AAE">
        <w:rPr>
          <w:rFonts w:ascii="Times New Roman" w:hAnsi="Times New Roman"/>
          <w:i/>
          <w:sz w:val="24"/>
        </w:rPr>
        <w:t xml:space="preserve">Direction No 65 </w:t>
      </w:r>
      <w:r w:rsidR="00C57CFE" w:rsidRPr="002A3AAE">
        <w:rPr>
          <w:rFonts w:ascii="Times New Roman" w:hAnsi="Times New Roman"/>
          <w:color w:val="333333"/>
          <w:sz w:val="24"/>
          <w:shd w:val="clear" w:color="auto" w:fill="FFFFFF"/>
        </w:rPr>
        <w:t>–</w:t>
      </w:r>
      <w:r w:rsidRPr="002A3AAE">
        <w:rPr>
          <w:rFonts w:ascii="Times New Roman" w:hAnsi="Times New Roman"/>
          <w:i/>
          <w:sz w:val="24"/>
        </w:rPr>
        <w:t xml:space="preserve"> Migration Act 1958 </w:t>
      </w:r>
      <w:r w:rsidR="00C57CFE" w:rsidRPr="002A3AAE">
        <w:rPr>
          <w:rFonts w:ascii="Times New Roman" w:hAnsi="Times New Roman"/>
          <w:color w:val="333333"/>
          <w:sz w:val="24"/>
          <w:shd w:val="clear" w:color="auto" w:fill="FFFFFF"/>
        </w:rPr>
        <w:t>–</w:t>
      </w:r>
      <w:r w:rsidRPr="002A3AAE">
        <w:rPr>
          <w:rFonts w:ascii="Times New Roman" w:hAnsi="Times New Roman"/>
          <w:i/>
          <w:sz w:val="24"/>
        </w:rPr>
        <w:t xml:space="preserve"> Direction under section 499</w:t>
      </w:r>
      <w:r w:rsidR="005D1252" w:rsidRPr="002A3AAE">
        <w:rPr>
          <w:rFonts w:ascii="Times New Roman" w:hAnsi="Times New Roman"/>
          <w:i/>
          <w:sz w:val="24"/>
        </w:rPr>
        <w:t xml:space="preserve"> </w:t>
      </w:r>
      <w:r w:rsidR="005D1252" w:rsidRPr="002A3AAE">
        <w:rPr>
          <w:rFonts w:ascii="Times New Roman" w:hAnsi="Times New Roman"/>
          <w:color w:val="333333"/>
          <w:sz w:val="24"/>
          <w:shd w:val="clear" w:color="auto" w:fill="FFFFFF"/>
        </w:rPr>
        <w:t xml:space="preserve">– </w:t>
      </w:r>
      <w:r w:rsidRPr="002A3AAE">
        <w:rPr>
          <w:rFonts w:ascii="Times New Roman" w:hAnsi="Times New Roman"/>
          <w:i/>
          <w:sz w:val="24"/>
        </w:rPr>
        <w:t>Visa refusal and cancellation under s 501 and revocation of a mandatory cancellation of a visa under s 501CA</w:t>
      </w:r>
      <w:r w:rsidR="00D95433" w:rsidRPr="002A3AAE">
        <w:rPr>
          <w:rFonts w:ascii="Times New Roman" w:hAnsi="Times New Roman"/>
          <w:i/>
          <w:sz w:val="24"/>
        </w:rPr>
        <w:t>.</w:t>
      </w:r>
    </w:p>
  </w:footnote>
  <w:footnote w:id="6">
    <w:p w14:paraId="15E6470E" w14:textId="06E4D882" w:rsidR="000D1FCB" w:rsidRPr="002A3AAE" w:rsidRDefault="000D1FCB"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t xml:space="preserve">Paragraph 13(2) of </w:t>
      </w:r>
      <w:r w:rsidR="00374C3C" w:rsidRPr="002A3AAE">
        <w:rPr>
          <w:rFonts w:ascii="Times New Roman" w:hAnsi="Times New Roman"/>
          <w:i/>
          <w:sz w:val="24"/>
        </w:rPr>
        <w:t xml:space="preserve">Direction No 65 </w:t>
      </w:r>
      <w:r w:rsidR="00374C3C" w:rsidRPr="002A3AAE">
        <w:rPr>
          <w:rFonts w:ascii="Times New Roman" w:hAnsi="Times New Roman"/>
          <w:color w:val="333333"/>
          <w:sz w:val="24"/>
          <w:shd w:val="clear" w:color="auto" w:fill="FFFFFF"/>
        </w:rPr>
        <w:t>–</w:t>
      </w:r>
      <w:r w:rsidR="00374C3C" w:rsidRPr="002A3AAE">
        <w:rPr>
          <w:rFonts w:ascii="Times New Roman" w:hAnsi="Times New Roman"/>
          <w:i/>
          <w:sz w:val="24"/>
        </w:rPr>
        <w:t xml:space="preserve"> Migration Act 1958 </w:t>
      </w:r>
      <w:r w:rsidR="00374C3C" w:rsidRPr="002A3AAE">
        <w:rPr>
          <w:rFonts w:ascii="Times New Roman" w:hAnsi="Times New Roman"/>
          <w:color w:val="333333"/>
          <w:sz w:val="24"/>
          <w:shd w:val="clear" w:color="auto" w:fill="FFFFFF"/>
        </w:rPr>
        <w:t>–</w:t>
      </w:r>
      <w:r w:rsidR="00374C3C" w:rsidRPr="002A3AAE">
        <w:rPr>
          <w:rFonts w:ascii="Times New Roman" w:hAnsi="Times New Roman"/>
          <w:i/>
          <w:sz w:val="24"/>
        </w:rPr>
        <w:t xml:space="preserve"> Direction under section</w:t>
      </w:r>
      <w:r w:rsidR="0020449A">
        <w:rPr>
          <w:rFonts w:ascii="Times New Roman" w:hAnsi="Times New Roman"/>
          <w:i/>
          <w:sz w:val="24"/>
        </w:rPr>
        <w:t> </w:t>
      </w:r>
      <w:r w:rsidR="00374C3C" w:rsidRPr="002A3AAE">
        <w:rPr>
          <w:rFonts w:ascii="Times New Roman" w:hAnsi="Times New Roman"/>
          <w:i/>
          <w:sz w:val="24"/>
        </w:rPr>
        <w:t>499</w:t>
      </w:r>
      <w:r w:rsidR="005D1252" w:rsidRPr="002A3AAE">
        <w:rPr>
          <w:rFonts w:ascii="Times New Roman" w:hAnsi="Times New Roman"/>
          <w:i/>
          <w:sz w:val="24"/>
        </w:rPr>
        <w:t xml:space="preserve"> </w:t>
      </w:r>
      <w:r w:rsidR="005D1252" w:rsidRPr="002A3AAE">
        <w:rPr>
          <w:rFonts w:ascii="Times New Roman" w:hAnsi="Times New Roman"/>
          <w:color w:val="333333"/>
          <w:sz w:val="24"/>
          <w:shd w:val="clear" w:color="auto" w:fill="FFFFFF"/>
        </w:rPr>
        <w:t>–</w:t>
      </w:r>
      <w:r w:rsidR="00374C3C" w:rsidRPr="002A3AAE">
        <w:rPr>
          <w:rFonts w:ascii="Times New Roman" w:hAnsi="Times New Roman"/>
          <w:i/>
          <w:sz w:val="24"/>
        </w:rPr>
        <w:t xml:space="preserve"> Visa refusal and cancellation under s 501 and revocation of a mandatory cancellation of a visa under s 501CA</w:t>
      </w:r>
      <w:r w:rsidR="00374C3C" w:rsidRPr="002A3AAE">
        <w:rPr>
          <w:rFonts w:ascii="Times New Roman" w:hAnsi="Times New Roman"/>
          <w:sz w:val="24"/>
        </w:rPr>
        <w:t>.</w:t>
      </w:r>
    </w:p>
  </w:footnote>
  <w:footnote w:id="7">
    <w:p w14:paraId="66BE869F" w14:textId="42E05B48" w:rsidR="00374C3C" w:rsidRPr="002A3AAE" w:rsidRDefault="00374C3C"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t xml:space="preserve">Paragraph 14 of </w:t>
      </w:r>
      <w:r w:rsidRPr="002A3AAE">
        <w:rPr>
          <w:rFonts w:ascii="Times New Roman" w:hAnsi="Times New Roman"/>
          <w:i/>
          <w:sz w:val="24"/>
        </w:rPr>
        <w:t xml:space="preserve">Direction No 65 </w:t>
      </w:r>
      <w:r w:rsidRPr="002A3AAE">
        <w:rPr>
          <w:rFonts w:ascii="Times New Roman" w:hAnsi="Times New Roman"/>
          <w:color w:val="333333"/>
          <w:sz w:val="24"/>
          <w:shd w:val="clear" w:color="auto" w:fill="FFFFFF"/>
        </w:rPr>
        <w:t>–</w:t>
      </w:r>
      <w:r w:rsidRPr="002A3AAE">
        <w:rPr>
          <w:rFonts w:ascii="Times New Roman" w:hAnsi="Times New Roman"/>
          <w:i/>
          <w:sz w:val="24"/>
        </w:rPr>
        <w:t xml:space="preserve"> Migration Act 1958 </w:t>
      </w:r>
      <w:r w:rsidRPr="002A3AAE">
        <w:rPr>
          <w:rFonts w:ascii="Times New Roman" w:hAnsi="Times New Roman"/>
          <w:color w:val="333333"/>
          <w:sz w:val="24"/>
          <w:shd w:val="clear" w:color="auto" w:fill="FFFFFF"/>
        </w:rPr>
        <w:t>–</w:t>
      </w:r>
      <w:r w:rsidRPr="002A3AAE">
        <w:rPr>
          <w:rFonts w:ascii="Times New Roman" w:hAnsi="Times New Roman"/>
          <w:i/>
          <w:sz w:val="24"/>
        </w:rPr>
        <w:t xml:space="preserve"> Direction under section</w:t>
      </w:r>
      <w:r w:rsidR="0020449A">
        <w:rPr>
          <w:rFonts w:ascii="Times New Roman" w:hAnsi="Times New Roman"/>
          <w:i/>
          <w:sz w:val="24"/>
        </w:rPr>
        <w:t> </w:t>
      </w:r>
      <w:r w:rsidRPr="002A3AAE">
        <w:rPr>
          <w:rFonts w:ascii="Times New Roman" w:hAnsi="Times New Roman"/>
          <w:i/>
          <w:sz w:val="24"/>
        </w:rPr>
        <w:t>499</w:t>
      </w:r>
      <w:r w:rsidR="005D1252" w:rsidRPr="002A3AAE">
        <w:rPr>
          <w:rFonts w:ascii="Times New Roman" w:hAnsi="Times New Roman"/>
          <w:i/>
          <w:sz w:val="24"/>
        </w:rPr>
        <w:t xml:space="preserve"> </w:t>
      </w:r>
      <w:r w:rsidR="005D1252" w:rsidRPr="002A3AAE">
        <w:rPr>
          <w:rFonts w:ascii="Times New Roman" w:hAnsi="Times New Roman"/>
          <w:color w:val="333333"/>
          <w:sz w:val="24"/>
          <w:shd w:val="clear" w:color="auto" w:fill="FFFFFF"/>
        </w:rPr>
        <w:t>–</w:t>
      </w:r>
      <w:r w:rsidRPr="002A3AAE">
        <w:rPr>
          <w:rFonts w:ascii="Times New Roman" w:hAnsi="Times New Roman"/>
          <w:i/>
          <w:sz w:val="24"/>
        </w:rPr>
        <w:t xml:space="preserve"> Visa refusal and cancellation under s 501 and revocation of a mandatory cancellation of a visa under s 501CA</w:t>
      </w:r>
      <w:r w:rsidRPr="002A3AAE">
        <w:rPr>
          <w:rFonts w:ascii="Times New Roman" w:hAnsi="Times New Roman"/>
          <w:sz w:val="24"/>
        </w:rPr>
        <w:t>.</w:t>
      </w:r>
    </w:p>
  </w:footnote>
  <w:footnote w:id="8">
    <w:p w14:paraId="0DC8D9DF" w14:textId="2B851FF5" w:rsidR="005C6752" w:rsidRPr="002A3AAE" w:rsidRDefault="005C6752"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t>Paragraph</w:t>
      </w:r>
      <w:r w:rsidR="005A09AA" w:rsidRPr="002A3AAE">
        <w:rPr>
          <w:rFonts w:ascii="Times New Roman" w:hAnsi="Times New Roman"/>
          <w:sz w:val="24"/>
        </w:rPr>
        <w:t>s</w:t>
      </w:r>
      <w:r w:rsidRPr="002A3AAE">
        <w:rPr>
          <w:rFonts w:ascii="Times New Roman" w:hAnsi="Times New Roman"/>
          <w:sz w:val="24"/>
        </w:rPr>
        <w:t xml:space="preserve"> 8(3)</w:t>
      </w:r>
      <w:r w:rsidR="00101BDF" w:rsidRPr="002A3AAE">
        <w:rPr>
          <w:rFonts w:ascii="Times New Roman" w:hAnsi="Times New Roman"/>
          <w:sz w:val="24"/>
        </w:rPr>
        <w:t>-8(5)</w:t>
      </w:r>
      <w:r w:rsidRPr="002A3AAE">
        <w:rPr>
          <w:rFonts w:ascii="Times New Roman" w:hAnsi="Times New Roman"/>
          <w:sz w:val="24"/>
        </w:rPr>
        <w:t xml:space="preserve"> of </w:t>
      </w:r>
      <w:r w:rsidRPr="002A3AAE">
        <w:rPr>
          <w:rFonts w:ascii="Times New Roman" w:hAnsi="Times New Roman"/>
          <w:i/>
          <w:sz w:val="24"/>
        </w:rPr>
        <w:t xml:space="preserve">Direction No 65 </w:t>
      </w:r>
      <w:r w:rsidRPr="002A3AAE">
        <w:rPr>
          <w:rFonts w:ascii="Times New Roman" w:hAnsi="Times New Roman"/>
          <w:color w:val="333333"/>
          <w:sz w:val="24"/>
          <w:shd w:val="clear" w:color="auto" w:fill="FFFFFF"/>
        </w:rPr>
        <w:t>–</w:t>
      </w:r>
      <w:r w:rsidRPr="002A3AAE">
        <w:rPr>
          <w:rFonts w:ascii="Times New Roman" w:hAnsi="Times New Roman"/>
          <w:i/>
          <w:sz w:val="24"/>
        </w:rPr>
        <w:t xml:space="preserve"> Migration Act 1958 </w:t>
      </w:r>
      <w:r w:rsidRPr="002A3AAE">
        <w:rPr>
          <w:rFonts w:ascii="Times New Roman" w:hAnsi="Times New Roman"/>
          <w:color w:val="333333"/>
          <w:sz w:val="24"/>
          <w:shd w:val="clear" w:color="auto" w:fill="FFFFFF"/>
        </w:rPr>
        <w:t>–</w:t>
      </w:r>
      <w:r w:rsidRPr="002A3AAE">
        <w:rPr>
          <w:rFonts w:ascii="Times New Roman" w:hAnsi="Times New Roman"/>
          <w:i/>
          <w:sz w:val="24"/>
        </w:rPr>
        <w:t xml:space="preserve"> Direction under section 499</w:t>
      </w:r>
      <w:r w:rsidR="005D1252" w:rsidRPr="002A3AAE">
        <w:rPr>
          <w:rFonts w:ascii="Times New Roman" w:hAnsi="Times New Roman"/>
          <w:i/>
          <w:sz w:val="24"/>
        </w:rPr>
        <w:t xml:space="preserve"> </w:t>
      </w:r>
      <w:r w:rsidR="005D1252" w:rsidRPr="002A3AAE">
        <w:rPr>
          <w:rFonts w:ascii="Times New Roman" w:hAnsi="Times New Roman"/>
          <w:color w:val="333333"/>
          <w:sz w:val="24"/>
          <w:shd w:val="clear" w:color="auto" w:fill="FFFFFF"/>
        </w:rPr>
        <w:t xml:space="preserve">– </w:t>
      </w:r>
      <w:r w:rsidRPr="002A3AAE">
        <w:rPr>
          <w:rFonts w:ascii="Times New Roman" w:hAnsi="Times New Roman"/>
          <w:i/>
          <w:sz w:val="24"/>
        </w:rPr>
        <w:t>Visa refusal and cancellation under s 501 and revocation of a mandatory cancellation of a visa under s 501CA</w:t>
      </w:r>
      <w:r w:rsidRPr="002A3AAE">
        <w:rPr>
          <w:rFonts w:ascii="Times New Roman" w:hAnsi="Times New Roman"/>
          <w:sz w:val="24"/>
        </w:rPr>
        <w:t>.</w:t>
      </w:r>
    </w:p>
  </w:footnote>
  <w:footnote w:id="9">
    <w:p w14:paraId="022B2F43" w14:textId="544A0211" w:rsidR="00726388" w:rsidRPr="002A3AAE" w:rsidRDefault="00726388"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proofErr w:type="spellStart"/>
      <w:r w:rsidR="000546C4" w:rsidRPr="002A3AAE">
        <w:rPr>
          <w:rFonts w:ascii="Times New Roman" w:hAnsi="Times New Roman"/>
          <w:i/>
          <w:iCs/>
          <w:sz w:val="24"/>
        </w:rPr>
        <w:t>Frugtniet</w:t>
      </w:r>
      <w:proofErr w:type="spellEnd"/>
      <w:r w:rsidR="000546C4" w:rsidRPr="002A3AAE">
        <w:rPr>
          <w:rFonts w:ascii="Times New Roman" w:hAnsi="Times New Roman"/>
          <w:i/>
          <w:iCs/>
          <w:sz w:val="24"/>
        </w:rPr>
        <w:t xml:space="preserve"> </w:t>
      </w:r>
      <w:r w:rsidR="00866F35" w:rsidRPr="002A3AAE">
        <w:rPr>
          <w:rFonts w:ascii="Times New Roman" w:hAnsi="Times New Roman"/>
          <w:i/>
          <w:iCs/>
          <w:sz w:val="24"/>
        </w:rPr>
        <w:t>v Australian Securities and Investments Commission</w:t>
      </w:r>
      <w:r w:rsidR="000546C4" w:rsidRPr="002A3AAE">
        <w:rPr>
          <w:rFonts w:ascii="Times New Roman" w:hAnsi="Times New Roman"/>
          <w:i/>
          <w:iCs/>
          <w:sz w:val="24"/>
        </w:rPr>
        <w:t xml:space="preserve"> </w:t>
      </w:r>
      <w:r w:rsidR="000546C4" w:rsidRPr="002A3AAE">
        <w:rPr>
          <w:rFonts w:ascii="Times New Roman" w:hAnsi="Times New Roman"/>
          <w:sz w:val="24"/>
        </w:rPr>
        <w:t>(2019) 266 CLR 250 at 271 [51]</w:t>
      </w:r>
      <w:r w:rsidR="00460677" w:rsidRPr="002A3AAE">
        <w:rPr>
          <w:rFonts w:ascii="Times New Roman" w:hAnsi="Times New Roman"/>
          <w:sz w:val="24"/>
        </w:rPr>
        <w:t>,</w:t>
      </w:r>
      <w:r w:rsidR="00805E26" w:rsidRPr="002A3AAE">
        <w:rPr>
          <w:rFonts w:ascii="Times New Roman" w:hAnsi="Times New Roman"/>
          <w:sz w:val="24"/>
        </w:rPr>
        <w:t xml:space="preserve"> citing</w:t>
      </w:r>
      <w:r w:rsidR="009A143F" w:rsidRPr="002A3AAE">
        <w:rPr>
          <w:rFonts w:ascii="Times New Roman" w:hAnsi="Times New Roman"/>
          <w:sz w:val="24"/>
        </w:rPr>
        <w:t xml:space="preserve"> </w:t>
      </w:r>
      <w:r w:rsidR="009A143F" w:rsidRPr="002A3AAE">
        <w:rPr>
          <w:rFonts w:ascii="Times New Roman" w:hAnsi="Times New Roman"/>
          <w:i/>
          <w:iCs/>
          <w:color w:val="333333"/>
          <w:sz w:val="24"/>
          <w:shd w:val="clear" w:color="auto" w:fill="FFFFFF"/>
        </w:rPr>
        <w:t>Shi v Migration Agents Registration Authority</w:t>
      </w:r>
      <w:r w:rsidR="009A143F" w:rsidRPr="002A3AAE">
        <w:rPr>
          <w:rFonts w:ascii="Times New Roman" w:hAnsi="Times New Roman"/>
          <w:color w:val="333333"/>
          <w:sz w:val="24"/>
          <w:shd w:val="clear" w:color="auto" w:fill="FFFFFF"/>
        </w:rPr>
        <w:t xml:space="preserve"> (2008) 235 CLR 286 at 299 </w:t>
      </w:r>
      <w:hyperlink r:id="rId1" w:anchor="para40" w:history="1">
        <w:r w:rsidR="009A143F" w:rsidRPr="002A3AAE">
          <w:rPr>
            <w:rStyle w:val="Hyperlink"/>
            <w:rFonts w:ascii="Times New Roman" w:hAnsi="Times New Roman"/>
            <w:color w:val="auto"/>
            <w:sz w:val="24"/>
            <w:u w:val="none"/>
            <w:shd w:val="clear" w:color="auto" w:fill="FFFFFF"/>
          </w:rPr>
          <w:t>[40]</w:t>
        </w:r>
      </w:hyperlink>
      <w:r w:rsidR="009A143F" w:rsidRPr="002A3AAE">
        <w:rPr>
          <w:rFonts w:ascii="Times New Roman" w:hAnsi="Times New Roman"/>
          <w:color w:val="333333"/>
          <w:sz w:val="24"/>
          <w:shd w:val="clear" w:color="auto" w:fill="FFFFFF"/>
        </w:rPr>
        <w:t>, 315 [100], 324-325 [134]</w:t>
      </w:r>
      <w:r w:rsidR="00382F8E" w:rsidRPr="002A3AAE">
        <w:rPr>
          <w:rFonts w:ascii="Times New Roman" w:hAnsi="Times New Roman"/>
          <w:color w:val="333333"/>
          <w:sz w:val="24"/>
          <w:shd w:val="clear" w:color="auto" w:fill="FFFFFF"/>
        </w:rPr>
        <w:t>.</w:t>
      </w:r>
    </w:p>
  </w:footnote>
  <w:footnote w:id="10">
    <w:p w14:paraId="69FB91E3" w14:textId="1C9B3D73" w:rsidR="007B3543" w:rsidRPr="002A3AAE" w:rsidRDefault="007B3543"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00066D46" w:rsidRPr="002A3AAE">
        <w:rPr>
          <w:rFonts w:ascii="Times New Roman" w:hAnsi="Times New Roman"/>
          <w:i/>
          <w:iCs/>
          <w:sz w:val="24"/>
        </w:rPr>
        <w:t xml:space="preserve">Administrative Appeals Tribunal Act 1975 </w:t>
      </w:r>
      <w:r w:rsidR="00066D46" w:rsidRPr="002A3AAE">
        <w:rPr>
          <w:rFonts w:ascii="Times New Roman" w:hAnsi="Times New Roman"/>
          <w:sz w:val="24"/>
        </w:rPr>
        <w:t>(</w:t>
      </w:r>
      <w:proofErr w:type="spellStart"/>
      <w:r w:rsidR="00066D46" w:rsidRPr="002A3AAE">
        <w:rPr>
          <w:rFonts w:ascii="Times New Roman" w:hAnsi="Times New Roman"/>
          <w:sz w:val="24"/>
        </w:rPr>
        <w:t>Cth</w:t>
      </w:r>
      <w:proofErr w:type="spellEnd"/>
      <w:r w:rsidR="00066D46" w:rsidRPr="002A3AAE">
        <w:rPr>
          <w:rFonts w:ascii="Times New Roman" w:hAnsi="Times New Roman"/>
          <w:sz w:val="24"/>
        </w:rPr>
        <w:t>)</w:t>
      </w:r>
      <w:r w:rsidR="00D95433" w:rsidRPr="002A3AAE">
        <w:rPr>
          <w:rFonts w:ascii="Times New Roman" w:hAnsi="Times New Roman"/>
          <w:sz w:val="24"/>
        </w:rPr>
        <w:t>, s 39(1</w:t>
      </w:r>
      <w:r w:rsidR="00066D46" w:rsidRPr="002A3AAE">
        <w:rPr>
          <w:rFonts w:ascii="Times New Roman" w:hAnsi="Times New Roman"/>
          <w:sz w:val="24"/>
        </w:rPr>
        <w:t>).</w:t>
      </w:r>
    </w:p>
  </w:footnote>
  <w:footnote w:id="11">
    <w:p w14:paraId="71FB1FDC" w14:textId="0526184F" w:rsidR="00225B1F" w:rsidRPr="002A3AAE" w:rsidRDefault="00225B1F"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Pr="002A3AAE">
        <w:rPr>
          <w:rFonts w:ascii="Times New Roman" w:hAnsi="Times New Roman"/>
          <w:i/>
          <w:sz w:val="24"/>
        </w:rPr>
        <w:t xml:space="preserve">Direction No 79 </w:t>
      </w:r>
      <w:r w:rsidR="00CF1230" w:rsidRPr="002A3AAE">
        <w:rPr>
          <w:rFonts w:ascii="Times New Roman" w:hAnsi="Times New Roman"/>
          <w:color w:val="333333"/>
          <w:sz w:val="24"/>
          <w:shd w:val="clear" w:color="auto" w:fill="FFFFFF"/>
        </w:rPr>
        <w:t>–</w:t>
      </w:r>
      <w:r w:rsidRPr="002A3AAE">
        <w:rPr>
          <w:rFonts w:ascii="Times New Roman" w:hAnsi="Times New Roman"/>
          <w:i/>
          <w:sz w:val="24"/>
        </w:rPr>
        <w:t xml:space="preserve"> Migration Act 1958 </w:t>
      </w:r>
      <w:r w:rsidR="00CF1230" w:rsidRPr="002A3AAE">
        <w:rPr>
          <w:rFonts w:ascii="Times New Roman" w:hAnsi="Times New Roman"/>
          <w:color w:val="333333"/>
          <w:sz w:val="24"/>
          <w:shd w:val="clear" w:color="auto" w:fill="FFFFFF"/>
        </w:rPr>
        <w:t>–</w:t>
      </w:r>
      <w:r w:rsidRPr="002A3AAE">
        <w:rPr>
          <w:rFonts w:ascii="Times New Roman" w:hAnsi="Times New Roman"/>
          <w:i/>
          <w:sz w:val="24"/>
        </w:rPr>
        <w:t xml:space="preserve"> Direction under section 499</w:t>
      </w:r>
      <w:r w:rsidR="00D41AEE" w:rsidRPr="002A3AAE">
        <w:rPr>
          <w:rFonts w:ascii="Times New Roman" w:hAnsi="Times New Roman"/>
          <w:i/>
          <w:sz w:val="24"/>
        </w:rPr>
        <w:t xml:space="preserve"> </w:t>
      </w:r>
      <w:r w:rsidR="00D41AEE" w:rsidRPr="002A3AAE">
        <w:rPr>
          <w:rFonts w:ascii="Times New Roman" w:hAnsi="Times New Roman"/>
          <w:color w:val="333333"/>
          <w:sz w:val="24"/>
          <w:shd w:val="clear" w:color="auto" w:fill="FFFFFF"/>
        </w:rPr>
        <w:t>–</w:t>
      </w:r>
      <w:r w:rsidR="00D41AEE" w:rsidRPr="002A3AAE">
        <w:rPr>
          <w:rFonts w:ascii="Times New Roman" w:hAnsi="Times New Roman"/>
          <w:i/>
          <w:sz w:val="24"/>
        </w:rPr>
        <w:t xml:space="preserve"> </w:t>
      </w:r>
      <w:r w:rsidRPr="002A3AAE">
        <w:rPr>
          <w:rFonts w:ascii="Times New Roman" w:hAnsi="Times New Roman"/>
          <w:i/>
          <w:sz w:val="24"/>
        </w:rPr>
        <w:t>Visa refusal and cancellation under s 501 and revocation of a mandatory cancellation of a visa under s 501CA</w:t>
      </w:r>
      <w:r w:rsidR="00D95433" w:rsidRPr="002A3AAE">
        <w:rPr>
          <w:rFonts w:ascii="Times New Roman" w:hAnsi="Times New Roman"/>
          <w:sz w:val="24"/>
        </w:rPr>
        <w:t>.</w:t>
      </w:r>
    </w:p>
  </w:footnote>
  <w:footnote w:id="12">
    <w:p w14:paraId="126564FE" w14:textId="2C2E464F" w:rsidR="0024384C" w:rsidRPr="002A3AAE" w:rsidRDefault="0024384C"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proofErr w:type="spellStart"/>
      <w:r w:rsidRPr="002A3AAE">
        <w:rPr>
          <w:rFonts w:ascii="Times New Roman" w:hAnsi="Times New Roman"/>
          <w:sz w:val="24"/>
        </w:rPr>
        <w:t>cf</w:t>
      </w:r>
      <w:proofErr w:type="spellEnd"/>
      <w:r w:rsidRPr="002A3AAE">
        <w:rPr>
          <w:rFonts w:ascii="Times New Roman" w:hAnsi="Times New Roman"/>
          <w:sz w:val="24"/>
        </w:rPr>
        <w:t xml:space="preserve"> </w:t>
      </w:r>
      <w:proofErr w:type="spellStart"/>
      <w:r w:rsidRPr="002A3AAE">
        <w:rPr>
          <w:rFonts w:ascii="Times New Roman" w:hAnsi="Times New Roman"/>
          <w:i/>
          <w:sz w:val="24"/>
        </w:rPr>
        <w:t>Esber</w:t>
      </w:r>
      <w:proofErr w:type="spellEnd"/>
      <w:r w:rsidRPr="002A3AAE">
        <w:rPr>
          <w:rFonts w:ascii="Times New Roman" w:hAnsi="Times New Roman"/>
          <w:i/>
          <w:sz w:val="24"/>
        </w:rPr>
        <w:t xml:space="preserve"> </w:t>
      </w:r>
      <w:r w:rsidR="004B57D5" w:rsidRPr="002A3AAE">
        <w:rPr>
          <w:rFonts w:ascii="Times New Roman" w:hAnsi="Times New Roman"/>
          <w:i/>
          <w:sz w:val="24"/>
        </w:rPr>
        <w:t xml:space="preserve">v </w:t>
      </w:r>
      <w:r w:rsidR="00361999" w:rsidRPr="002A3AAE">
        <w:rPr>
          <w:rFonts w:ascii="Times New Roman" w:hAnsi="Times New Roman"/>
          <w:i/>
          <w:sz w:val="24"/>
        </w:rPr>
        <w:t xml:space="preserve">The </w:t>
      </w:r>
      <w:r w:rsidR="004B57D5" w:rsidRPr="002A3AAE">
        <w:rPr>
          <w:rFonts w:ascii="Times New Roman" w:hAnsi="Times New Roman"/>
          <w:i/>
          <w:sz w:val="24"/>
        </w:rPr>
        <w:t>Commonwealth</w:t>
      </w:r>
      <w:r w:rsidR="004B57D5" w:rsidRPr="002A3AAE">
        <w:rPr>
          <w:rFonts w:ascii="Times New Roman" w:hAnsi="Times New Roman"/>
          <w:sz w:val="24"/>
        </w:rPr>
        <w:t xml:space="preserve"> </w:t>
      </w:r>
      <w:r w:rsidR="00CE0FE7" w:rsidRPr="002A3AAE">
        <w:rPr>
          <w:rFonts w:ascii="Times New Roman" w:hAnsi="Times New Roman"/>
          <w:sz w:val="24"/>
        </w:rPr>
        <w:t xml:space="preserve">(1992) </w:t>
      </w:r>
      <w:r w:rsidR="00E87484" w:rsidRPr="002A3AAE">
        <w:rPr>
          <w:rFonts w:ascii="Times New Roman" w:hAnsi="Times New Roman"/>
          <w:sz w:val="24"/>
        </w:rPr>
        <w:t>174 CLR 430</w:t>
      </w:r>
      <w:r w:rsidR="00471747" w:rsidRPr="002A3AAE">
        <w:rPr>
          <w:rFonts w:ascii="Times New Roman" w:hAnsi="Times New Roman"/>
          <w:sz w:val="24"/>
        </w:rPr>
        <w:t>.</w:t>
      </w:r>
    </w:p>
  </w:footnote>
  <w:footnote w:id="13">
    <w:p w14:paraId="5CBB5B4F" w14:textId="089E4066" w:rsidR="002B0171" w:rsidRPr="002A3AAE" w:rsidRDefault="002B0171"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0000051E" w:rsidRPr="002A3AAE">
        <w:rPr>
          <w:rFonts w:ascii="Times New Roman" w:hAnsi="Times New Roman"/>
          <w:i/>
          <w:iCs/>
          <w:sz w:val="24"/>
        </w:rPr>
        <w:t>Nathanson v Minister for Home Affairs</w:t>
      </w:r>
      <w:r w:rsidR="0000051E" w:rsidRPr="002A3AAE">
        <w:rPr>
          <w:rFonts w:ascii="Times New Roman" w:hAnsi="Times New Roman"/>
          <w:sz w:val="24"/>
        </w:rPr>
        <w:t xml:space="preserve"> [2019] FCA 1709 at </w:t>
      </w:r>
      <w:r w:rsidRPr="002A3AAE">
        <w:rPr>
          <w:rFonts w:ascii="Times New Roman" w:hAnsi="Times New Roman"/>
          <w:sz w:val="24"/>
        </w:rPr>
        <w:t>[59]-[62].</w:t>
      </w:r>
    </w:p>
  </w:footnote>
  <w:footnote w:id="14">
    <w:p w14:paraId="5B88FF19" w14:textId="77777777" w:rsidR="005C7DF9" w:rsidRPr="002A3AAE" w:rsidRDefault="005C7DF9"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Pr="002A3AAE">
        <w:rPr>
          <w:rFonts w:ascii="Times New Roman" w:hAnsi="Times New Roman"/>
          <w:i/>
          <w:iCs/>
          <w:sz w:val="24"/>
        </w:rPr>
        <w:t xml:space="preserve">Nathanson </w:t>
      </w:r>
      <w:r w:rsidRPr="002A3AAE">
        <w:rPr>
          <w:rFonts w:ascii="Times New Roman" w:hAnsi="Times New Roman"/>
          <w:sz w:val="24"/>
        </w:rPr>
        <w:t>[2019] FCA 1709 at [56].</w:t>
      </w:r>
    </w:p>
  </w:footnote>
  <w:footnote w:id="15">
    <w:p w14:paraId="49DB7A95" w14:textId="1B586C53" w:rsidR="00A2115D" w:rsidRPr="002A3AAE" w:rsidRDefault="00A2115D"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00F74025" w:rsidRPr="002A3AAE">
        <w:rPr>
          <w:rFonts w:ascii="Times New Roman" w:hAnsi="Times New Roman"/>
          <w:i/>
          <w:iCs/>
          <w:sz w:val="24"/>
        </w:rPr>
        <w:t xml:space="preserve">Nathanson </w:t>
      </w:r>
      <w:r w:rsidR="00F74025" w:rsidRPr="002A3AAE">
        <w:rPr>
          <w:rFonts w:ascii="Times New Roman" w:hAnsi="Times New Roman"/>
          <w:sz w:val="24"/>
        </w:rPr>
        <w:t>[2019] FCA 1709 a</w:t>
      </w:r>
      <w:r w:rsidRPr="002A3AAE">
        <w:rPr>
          <w:rFonts w:ascii="Times New Roman" w:hAnsi="Times New Roman"/>
          <w:sz w:val="24"/>
        </w:rPr>
        <w:t>t [28].</w:t>
      </w:r>
    </w:p>
  </w:footnote>
  <w:footnote w:id="16">
    <w:p w14:paraId="232354E5" w14:textId="0CD109F5" w:rsidR="00683FFF" w:rsidRPr="002A3AAE" w:rsidRDefault="00683FFF"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00F74025" w:rsidRPr="002A3AAE">
        <w:rPr>
          <w:rFonts w:ascii="Times New Roman" w:hAnsi="Times New Roman"/>
          <w:i/>
          <w:iCs/>
          <w:sz w:val="24"/>
        </w:rPr>
        <w:t xml:space="preserve">Nathanson </w:t>
      </w:r>
      <w:r w:rsidR="00F74025" w:rsidRPr="002A3AAE">
        <w:rPr>
          <w:rFonts w:ascii="Times New Roman" w:hAnsi="Times New Roman"/>
          <w:sz w:val="24"/>
        </w:rPr>
        <w:t>[2019] FCA 1709 a</w:t>
      </w:r>
      <w:r w:rsidRPr="002A3AAE">
        <w:rPr>
          <w:rFonts w:ascii="Times New Roman" w:hAnsi="Times New Roman"/>
          <w:sz w:val="24"/>
        </w:rPr>
        <w:t>t [62]</w:t>
      </w:r>
      <w:r w:rsidR="00723A58" w:rsidRPr="002A3AAE">
        <w:rPr>
          <w:rFonts w:ascii="Times New Roman" w:hAnsi="Times New Roman"/>
          <w:sz w:val="24"/>
        </w:rPr>
        <w:t>.</w:t>
      </w:r>
    </w:p>
  </w:footnote>
  <w:footnote w:id="17">
    <w:p w14:paraId="7C65D78C" w14:textId="430E7021" w:rsidR="0052377B" w:rsidRPr="002A3AAE" w:rsidRDefault="0052377B"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00F74025" w:rsidRPr="002A3AAE">
        <w:rPr>
          <w:rFonts w:ascii="Times New Roman" w:hAnsi="Times New Roman"/>
          <w:i/>
          <w:iCs/>
          <w:sz w:val="24"/>
        </w:rPr>
        <w:t xml:space="preserve">Nathanson </w:t>
      </w:r>
      <w:r w:rsidR="00F74025" w:rsidRPr="002A3AAE">
        <w:rPr>
          <w:rFonts w:ascii="Times New Roman" w:hAnsi="Times New Roman"/>
          <w:sz w:val="24"/>
        </w:rPr>
        <w:t>[2019] FCA 1709 a</w:t>
      </w:r>
      <w:r w:rsidRPr="002A3AAE">
        <w:rPr>
          <w:rFonts w:ascii="Times New Roman" w:hAnsi="Times New Roman"/>
          <w:sz w:val="24"/>
        </w:rPr>
        <w:t>t [60]</w:t>
      </w:r>
      <w:r w:rsidR="007B60F1" w:rsidRPr="002A3AAE">
        <w:rPr>
          <w:rFonts w:ascii="Times New Roman" w:hAnsi="Times New Roman"/>
          <w:sz w:val="24"/>
        </w:rPr>
        <w:t>-</w:t>
      </w:r>
      <w:r w:rsidR="006D7519" w:rsidRPr="002A3AAE">
        <w:rPr>
          <w:rFonts w:ascii="Times New Roman" w:hAnsi="Times New Roman"/>
          <w:sz w:val="24"/>
        </w:rPr>
        <w:t>[61]</w:t>
      </w:r>
      <w:r w:rsidR="00723A58" w:rsidRPr="002A3AAE">
        <w:rPr>
          <w:rFonts w:ascii="Times New Roman" w:hAnsi="Times New Roman"/>
          <w:sz w:val="24"/>
        </w:rPr>
        <w:t>.</w:t>
      </w:r>
    </w:p>
  </w:footnote>
  <w:footnote w:id="18">
    <w:p w14:paraId="72EACFF8" w14:textId="71946126" w:rsidR="00B455CD" w:rsidRPr="002A3AAE" w:rsidRDefault="00B455CD"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00871850" w:rsidRPr="002A3AAE">
        <w:rPr>
          <w:rFonts w:ascii="Times New Roman" w:hAnsi="Times New Roman"/>
          <w:sz w:val="24"/>
        </w:rPr>
        <w:tab/>
      </w:r>
      <w:r w:rsidR="00954AD2" w:rsidRPr="002A3AAE">
        <w:rPr>
          <w:rFonts w:ascii="Times New Roman" w:hAnsi="Times New Roman"/>
          <w:i/>
          <w:iCs/>
          <w:sz w:val="24"/>
        </w:rPr>
        <w:t xml:space="preserve">Nathanson </w:t>
      </w:r>
      <w:r w:rsidR="00954AD2" w:rsidRPr="002A3AAE">
        <w:rPr>
          <w:rFonts w:ascii="Times New Roman" w:hAnsi="Times New Roman"/>
          <w:sz w:val="24"/>
        </w:rPr>
        <w:t>[2019] FCA 1709 a</w:t>
      </w:r>
      <w:r w:rsidR="00871850" w:rsidRPr="002A3AAE">
        <w:rPr>
          <w:rFonts w:ascii="Times New Roman" w:hAnsi="Times New Roman"/>
          <w:sz w:val="24"/>
        </w:rPr>
        <w:t>t [61].</w:t>
      </w:r>
    </w:p>
  </w:footnote>
  <w:footnote w:id="19">
    <w:p w14:paraId="5C3081BA" w14:textId="514AE14A" w:rsidR="000F31D1" w:rsidRPr="002A3AAE" w:rsidRDefault="000F31D1"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Pr="002A3AAE">
        <w:rPr>
          <w:rFonts w:ascii="Times New Roman" w:hAnsi="Times New Roman"/>
          <w:i/>
          <w:iCs/>
          <w:sz w:val="24"/>
        </w:rPr>
        <w:t xml:space="preserve">Nathanson </w:t>
      </w:r>
      <w:r w:rsidRPr="002A3AAE">
        <w:rPr>
          <w:rFonts w:ascii="Times New Roman" w:hAnsi="Times New Roman"/>
          <w:sz w:val="24"/>
        </w:rPr>
        <w:t>[2019] FCA 1709 at [6</w:t>
      </w:r>
      <w:r w:rsidR="009B78FE" w:rsidRPr="002A3AAE">
        <w:rPr>
          <w:rFonts w:ascii="Times New Roman" w:hAnsi="Times New Roman"/>
          <w:sz w:val="24"/>
        </w:rPr>
        <w:t>2</w:t>
      </w:r>
      <w:r w:rsidRPr="002A3AAE">
        <w:rPr>
          <w:rFonts w:ascii="Times New Roman" w:hAnsi="Times New Roman"/>
          <w:sz w:val="24"/>
        </w:rPr>
        <w:t>].</w:t>
      </w:r>
    </w:p>
  </w:footnote>
  <w:footnote w:id="20">
    <w:p w14:paraId="001EFC00" w14:textId="645FE87D" w:rsidR="0075025D" w:rsidRPr="002A3AAE" w:rsidRDefault="0075025D"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00AB18AB" w:rsidRPr="002A3AAE">
        <w:rPr>
          <w:rFonts w:ascii="Times New Roman" w:hAnsi="Times New Roman"/>
          <w:i/>
          <w:iCs/>
          <w:sz w:val="24"/>
        </w:rPr>
        <w:t xml:space="preserve">Nathanson </w:t>
      </w:r>
      <w:r w:rsidR="00AB18AB" w:rsidRPr="002A3AAE">
        <w:rPr>
          <w:rFonts w:ascii="Times New Roman" w:hAnsi="Times New Roman"/>
          <w:sz w:val="24"/>
        </w:rPr>
        <w:t>[2019] FCA 1709 a</w:t>
      </w:r>
      <w:r w:rsidRPr="002A3AAE">
        <w:rPr>
          <w:rFonts w:ascii="Times New Roman" w:hAnsi="Times New Roman"/>
          <w:sz w:val="24"/>
        </w:rPr>
        <w:t>t [62].</w:t>
      </w:r>
    </w:p>
  </w:footnote>
  <w:footnote w:id="21">
    <w:p w14:paraId="6BFAE3FC" w14:textId="4673BA79" w:rsidR="00AB18AB" w:rsidRPr="002A3AAE" w:rsidRDefault="00AB18AB"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Pr="002A3AAE">
        <w:rPr>
          <w:rFonts w:ascii="Times New Roman" w:hAnsi="Times New Roman"/>
          <w:i/>
          <w:iCs/>
          <w:sz w:val="24"/>
        </w:rPr>
        <w:t xml:space="preserve">Nathanson </w:t>
      </w:r>
      <w:r w:rsidR="002C5D38" w:rsidRPr="002A3AAE">
        <w:rPr>
          <w:rFonts w:ascii="Times New Roman" w:hAnsi="Times New Roman"/>
          <w:sz w:val="24"/>
        </w:rPr>
        <w:t>(</w:t>
      </w:r>
      <w:r w:rsidRPr="002A3AAE">
        <w:rPr>
          <w:rFonts w:ascii="Times New Roman" w:hAnsi="Times New Roman"/>
          <w:sz w:val="24"/>
        </w:rPr>
        <w:t>2020</w:t>
      </w:r>
      <w:r w:rsidR="002C5D38" w:rsidRPr="002A3AAE">
        <w:rPr>
          <w:rFonts w:ascii="Times New Roman" w:hAnsi="Times New Roman"/>
          <w:sz w:val="24"/>
        </w:rPr>
        <w:t>) 281 FCR 23</w:t>
      </w:r>
      <w:r w:rsidRPr="002A3AAE">
        <w:rPr>
          <w:rFonts w:ascii="Times New Roman" w:hAnsi="Times New Roman"/>
          <w:sz w:val="24"/>
        </w:rPr>
        <w:t>.</w:t>
      </w:r>
    </w:p>
  </w:footnote>
  <w:footnote w:id="22">
    <w:p w14:paraId="3550BDFC" w14:textId="5AE17DC8" w:rsidR="00E45BC1" w:rsidRPr="002A3AAE" w:rsidRDefault="00E45BC1"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Pr="002A3AAE">
        <w:rPr>
          <w:rFonts w:ascii="Times New Roman" w:hAnsi="Times New Roman"/>
          <w:i/>
          <w:iCs/>
          <w:sz w:val="24"/>
        </w:rPr>
        <w:t xml:space="preserve">Nathanson </w:t>
      </w:r>
      <w:r w:rsidR="00255D7A" w:rsidRPr="002A3AAE">
        <w:rPr>
          <w:rFonts w:ascii="Times New Roman" w:hAnsi="Times New Roman"/>
          <w:sz w:val="24"/>
        </w:rPr>
        <w:t>(</w:t>
      </w:r>
      <w:r w:rsidRPr="002A3AAE">
        <w:rPr>
          <w:rFonts w:ascii="Times New Roman" w:hAnsi="Times New Roman"/>
          <w:sz w:val="24"/>
        </w:rPr>
        <w:t>2020</w:t>
      </w:r>
      <w:r w:rsidR="00255D7A" w:rsidRPr="002A3AAE">
        <w:rPr>
          <w:rFonts w:ascii="Times New Roman" w:hAnsi="Times New Roman"/>
          <w:sz w:val="24"/>
        </w:rPr>
        <w:t>)</w:t>
      </w:r>
      <w:r w:rsidRPr="002A3AAE">
        <w:rPr>
          <w:rFonts w:ascii="Times New Roman" w:hAnsi="Times New Roman"/>
          <w:sz w:val="24"/>
        </w:rPr>
        <w:t xml:space="preserve"> </w:t>
      </w:r>
      <w:r w:rsidR="00255D7A" w:rsidRPr="002A3AAE">
        <w:rPr>
          <w:rFonts w:ascii="Times New Roman" w:hAnsi="Times New Roman"/>
          <w:sz w:val="24"/>
        </w:rPr>
        <w:t>281 FCR 23</w:t>
      </w:r>
      <w:r w:rsidRPr="002A3AAE">
        <w:rPr>
          <w:rFonts w:ascii="Times New Roman" w:hAnsi="Times New Roman"/>
          <w:sz w:val="24"/>
        </w:rPr>
        <w:t xml:space="preserve"> </w:t>
      </w:r>
      <w:r w:rsidR="00255D7A" w:rsidRPr="002A3AAE">
        <w:rPr>
          <w:rFonts w:ascii="Times New Roman" w:hAnsi="Times New Roman"/>
          <w:sz w:val="24"/>
        </w:rPr>
        <w:t>at 56 [138]</w:t>
      </w:r>
      <w:r w:rsidRPr="002A3AAE">
        <w:rPr>
          <w:rFonts w:ascii="Times New Roman" w:hAnsi="Times New Roman"/>
          <w:sz w:val="24"/>
        </w:rPr>
        <w:t>.</w:t>
      </w:r>
    </w:p>
  </w:footnote>
  <w:footnote w:id="23">
    <w:p w14:paraId="0764A4BD" w14:textId="0FB0437A" w:rsidR="002E46F1" w:rsidRPr="002A3AAE" w:rsidRDefault="002E46F1"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Pr="002A3AAE">
        <w:rPr>
          <w:rFonts w:ascii="Times New Roman" w:hAnsi="Times New Roman"/>
          <w:i/>
          <w:iCs/>
          <w:sz w:val="24"/>
        </w:rPr>
        <w:t xml:space="preserve">Nathanson </w:t>
      </w:r>
      <w:r w:rsidR="000E6596" w:rsidRPr="002A3AAE">
        <w:rPr>
          <w:rFonts w:ascii="Times New Roman" w:hAnsi="Times New Roman"/>
          <w:iCs/>
          <w:sz w:val="24"/>
        </w:rPr>
        <w:t xml:space="preserve">(2020) 281 FCR 23 </w:t>
      </w:r>
      <w:r w:rsidRPr="002A3AAE">
        <w:rPr>
          <w:rFonts w:ascii="Times New Roman" w:hAnsi="Times New Roman"/>
          <w:sz w:val="24"/>
        </w:rPr>
        <w:t>at</w:t>
      </w:r>
      <w:r w:rsidR="00AA5320" w:rsidRPr="002A3AAE">
        <w:rPr>
          <w:rFonts w:ascii="Times New Roman" w:hAnsi="Times New Roman"/>
          <w:sz w:val="24"/>
        </w:rPr>
        <w:t xml:space="preserve"> </w:t>
      </w:r>
      <w:r w:rsidR="000E6596" w:rsidRPr="002A3AAE">
        <w:rPr>
          <w:rFonts w:ascii="Times New Roman" w:hAnsi="Times New Roman"/>
          <w:sz w:val="24"/>
        </w:rPr>
        <w:t xml:space="preserve">43 </w:t>
      </w:r>
      <w:r w:rsidR="00AA5320" w:rsidRPr="002A3AAE">
        <w:rPr>
          <w:rFonts w:ascii="Times New Roman" w:hAnsi="Times New Roman"/>
          <w:sz w:val="24"/>
        </w:rPr>
        <w:t>[78].</w:t>
      </w:r>
    </w:p>
  </w:footnote>
  <w:footnote w:id="24">
    <w:p w14:paraId="2CFB6D4F" w14:textId="781963BA" w:rsidR="004619BD" w:rsidRPr="002A3AAE" w:rsidRDefault="004619BD"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t>(2019) 264 CLR 421.</w:t>
      </w:r>
    </w:p>
  </w:footnote>
  <w:footnote w:id="25">
    <w:p w14:paraId="14D1B06F" w14:textId="0113D08F" w:rsidR="00121082" w:rsidRPr="002A3AAE" w:rsidRDefault="00121082"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001B77E9" w:rsidRPr="002A3AAE">
        <w:rPr>
          <w:rFonts w:ascii="Times New Roman" w:hAnsi="Times New Roman"/>
          <w:i/>
          <w:iCs/>
          <w:sz w:val="24"/>
        </w:rPr>
        <w:t xml:space="preserve">Nathanson </w:t>
      </w:r>
      <w:r w:rsidR="000E6596" w:rsidRPr="002A3AAE">
        <w:rPr>
          <w:rFonts w:ascii="Times New Roman" w:hAnsi="Times New Roman"/>
          <w:iCs/>
          <w:sz w:val="24"/>
        </w:rPr>
        <w:t>(2020) 281 FCR 23</w:t>
      </w:r>
      <w:r w:rsidR="001B77E9" w:rsidRPr="002A3AAE">
        <w:rPr>
          <w:rFonts w:ascii="Times New Roman" w:hAnsi="Times New Roman"/>
          <w:sz w:val="24"/>
        </w:rPr>
        <w:t xml:space="preserve"> a</w:t>
      </w:r>
      <w:r w:rsidRPr="002A3AAE">
        <w:rPr>
          <w:rFonts w:ascii="Times New Roman" w:hAnsi="Times New Roman"/>
          <w:sz w:val="24"/>
        </w:rPr>
        <w:t xml:space="preserve">t </w:t>
      </w:r>
      <w:r w:rsidR="000E6596" w:rsidRPr="002A3AAE">
        <w:rPr>
          <w:rFonts w:ascii="Times New Roman" w:hAnsi="Times New Roman"/>
          <w:sz w:val="24"/>
        </w:rPr>
        <w:t xml:space="preserve">52 </w:t>
      </w:r>
      <w:r w:rsidRPr="002A3AAE">
        <w:rPr>
          <w:rFonts w:ascii="Times New Roman" w:hAnsi="Times New Roman"/>
          <w:sz w:val="24"/>
        </w:rPr>
        <w:t>[121]</w:t>
      </w:r>
      <w:r w:rsidR="000E6596" w:rsidRPr="002A3AAE">
        <w:rPr>
          <w:rFonts w:ascii="Times New Roman" w:hAnsi="Times New Roman"/>
          <w:sz w:val="24"/>
        </w:rPr>
        <w:t>.</w:t>
      </w:r>
    </w:p>
  </w:footnote>
  <w:footnote w:id="26">
    <w:p w14:paraId="6E9C7FA8" w14:textId="7034A655" w:rsidR="00A01DD6" w:rsidRPr="002A3AAE" w:rsidRDefault="00A01DD6"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t>(2019) 264 CLR 421 at 445 [45]-[46].</w:t>
      </w:r>
    </w:p>
  </w:footnote>
  <w:footnote w:id="27">
    <w:p w14:paraId="5DD1BDC0" w14:textId="77777777" w:rsidR="00827FE4" w:rsidRPr="002A3AAE" w:rsidRDefault="00827FE4"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t>(2021) 95 ALJR 441; 390 ALR 590.</w:t>
      </w:r>
    </w:p>
  </w:footnote>
  <w:footnote w:id="28">
    <w:p w14:paraId="585EC078" w14:textId="2EDE076A" w:rsidR="00A53EFD" w:rsidRPr="002A3AAE" w:rsidRDefault="00A53EFD"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00E43BB0" w:rsidRPr="002A3AAE">
        <w:rPr>
          <w:rFonts w:ascii="Times New Roman" w:hAnsi="Times New Roman"/>
          <w:sz w:val="24"/>
        </w:rPr>
        <w:t>(2021) 95 ALJR 441 at 449 [2]-[3]; 390 ALR 590 at 592</w:t>
      </w:r>
      <w:r w:rsidRPr="002A3AAE">
        <w:rPr>
          <w:rFonts w:ascii="Times New Roman" w:hAnsi="Times New Roman"/>
          <w:sz w:val="24"/>
        </w:rPr>
        <w:t>.</w:t>
      </w:r>
    </w:p>
  </w:footnote>
  <w:footnote w:id="29">
    <w:p w14:paraId="45AFB023" w14:textId="23FC7EB3" w:rsidR="0077197F" w:rsidRPr="002A3AAE" w:rsidRDefault="0077197F"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001B77E9" w:rsidRPr="002A3AAE">
        <w:rPr>
          <w:rFonts w:ascii="Times New Roman" w:hAnsi="Times New Roman"/>
          <w:i/>
          <w:iCs/>
          <w:sz w:val="24"/>
        </w:rPr>
        <w:t xml:space="preserve">Nathanson </w:t>
      </w:r>
      <w:r w:rsidR="000E6596" w:rsidRPr="002A3AAE">
        <w:rPr>
          <w:rFonts w:ascii="Times New Roman" w:hAnsi="Times New Roman"/>
          <w:iCs/>
          <w:sz w:val="24"/>
        </w:rPr>
        <w:t>(2020) 281 FCR 23</w:t>
      </w:r>
      <w:r w:rsidR="001B77E9" w:rsidRPr="002A3AAE">
        <w:rPr>
          <w:rFonts w:ascii="Times New Roman" w:hAnsi="Times New Roman"/>
          <w:sz w:val="24"/>
        </w:rPr>
        <w:t xml:space="preserve"> a</w:t>
      </w:r>
      <w:r w:rsidRPr="002A3AAE">
        <w:rPr>
          <w:rFonts w:ascii="Times New Roman" w:hAnsi="Times New Roman"/>
          <w:sz w:val="24"/>
        </w:rPr>
        <w:t xml:space="preserve">t </w:t>
      </w:r>
      <w:r w:rsidR="000E6596" w:rsidRPr="002A3AAE">
        <w:rPr>
          <w:rFonts w:ascii="Times New Roman" w:hAnsi="Times New Roman"/>
          <w:sz w:val="24"/>
        </w:rPr>
        <w:t xml:space="preserve">53-54 </w:t>
      </w:r>
      <w:r w:rsidRPr="002A3AAE">
        <w:rPr>
          <w:rFonts w:ascii="Times New Roman" w:hAnsi="Times New Roman"/>
          <w:sz w:val="24"/>
        </w:rPr>
        <w:t>[127]</w:t>
      </w:r>
      <w:r w:rsidR="00C53A33" w:rsidRPr="002A3AAE">
        <w:rPr>
          <w:rFonts w:ascii="Times New Roman" w:hAnsi="Times New Roman"/>
          <w:sz w:val="24"/>
        </w:rPr>
        <w:t>-</w:t>
      </w:r>
      <w:r w:rsidR="0078723C" w:rsidRPr="002A3AAE">
        <w:rPr>
          <w:rFonts w:ascii="Times New Roman" w:hAnsi="Times New Roman"/>
          <w:sz w:val="24"/>
        </w:rPr>
        <w:t>[130]</w:t>
      </w:r>
      <w:r w:rsidRPr="002A3AAE">
        <w:rPr>
          <w:rFonts w:ascii="Times New Roman" w:hAnsi="Times New Roman"/>
          <w:sz w:val="24"/>
        </w:rPr>
        <w:t>.</w:t>
      </w:r>
    </w:p>
  </w:footnote>
  <w:footnote w:id="30">
    <w:p w14:paraId="382FE1AC" w14:textId="75445374" w:rsidR="003637FD" w:rsidRPr="002A3AAE" w:rsidRDefault="003637FD"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00FD1D63" w:rsidRPr="002A3AAE">
        <w:rPr>
          <w:rFonts w:ascii="Times New Roman" w:hAnsi="Times New Roman"/>
          <w:sz w:val="24"/>
        </w:rPr>
        <w:tab/>
      </w:r>
      <w:r w:rsidR="003F6064" w:rsidRPr="002A3AAE">
        <w:rPr>
          <w:rFonts w:ascii="Times New Roman" w:hAnsi="Times New Roman"/>
          <w:i/>
          <w:iCs/>
          <w:sz w:val="24"/>
        </w:rPr>
        <w:t xml:space="preserve">Nathanson </w:t>
      </w:r>
      <w:r w:rsidR="000E6596" w:rsidRPr="002A3AAE">
        <w:rPr>
          <w:rFonts w:ascii="Times New Roman" w:hAnsi="Times New Roman"/>
          <w:iCs/>
          <w:sz w:val="24"/>
        </w:rPr>
        <w:t>(2020) 281 FCR 23</w:t>
      </w:r>
      <w:r w:rsidR="003F6064" w:rsidRPr="002A3AAE">
        <w:rPr>
          <w:rFonts w:ascii="Times New Roman" w:hAnsi="Times New Roman"/>
          <w:sz w:val="24"/>
        </w:rPr>
        <w:t xml:space="preserve"> a</w:t>
      </w:r>
      <w:r w:rsidR="00FD1D63" w:rsidRPr="002A3AAE">
        <w:rPr>
          <w:rFonts w:ascii="Times New Roman" w:hAnsi="Times New Roman"/>
          <w:sz w:val="24"/>
        </w:rPr>
        <w:t xml:space="preserve">t </w:t>
      </w:r>
      <w:r w:rsidR="000E6596" w:rsidRPr="002A3AAE">
        <w:rPr>
          <w:rFonts w:ascii="Times New Roman" w:hAnsi="Times New Roman"/>
          <w:sz w:val="24"/>
        </w:rPr>
        <w:t xml:space="preserve">54 </w:t>
      </w:r>
      <w:r w:rsidR="00FD1D63" w:rsidRPr="002A3AAE">
        <w:rPr>
          <w:rFonts w:ascii="Times New Roman" w:hAnsi="Times New Roman"/>
          <w:sz w:val="24"/>
        </w:rPr>
        <w:t>[131]</w:t>
      </w:r>
      <w:r w:rsidR="003F6064" w:rsidRPr="002A3AAE">
        <w:rPr>
          <w:rFonts w:ascii="Times New Roman" w:hAnsi="Times New Roman"/>
          <w:sz w:val="24"/>
        </w:rPr>
        <w:t>.</w:t>
      </w:r>
    </w:p>
  </w:footnote>
  <w:footnote w:id="31">
    <w:p w14:paraId="35E43AC7" w14:textId="77777777" w:rsidR="0062491D" w:rsidRPr="002A3AAE" w:rsidRDefault="0062491D"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Pr="002A3AAE">
        <w:rPr>
          <w:rFonts w:ascii="Times New Roman" w:hAnsi="Times New Roman"/>
          <w:i/>
          <w:iCs/>
          <w:sz w:val="24"/>
        </w:rPr>
        <w:t xml:space="preserve">Nathanson </w:t>
      </w:r>
      <w:r w:rsidRPr="002A3AAE">
        <w:rPr>
          <w:rFonts w:ascii="Times New Roman" w:hAnsi="Times New Roman"/>
          <w:iCs/>
          <w:sz w:val="24"/>
        </w:rPr>
        <w:t>(2020) 281 FCR 23</w:t>
      </w:r>
      <w:r w:rsidRPr="002A3AAE">
        <w:rPr>
          <w:rFonts w:ascii="Times New Roman" w:hAnsi="Times New Roman"/>
          <w:sz w:val="24"/>
        </w:rPr>
        <w:t xml:space="preserve"> at 54 [131].</w:t>
      </w:r>
    </w:p>
  </w:footnote>
  <w:footnote w:id="32">
    <w:p w14:paraId="034466CC" w14:textId="65BBE7D2" w:rsidR="001255E7" w:rsidRPr="002A3AAE" w:rsidRDefault="001255E7"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Pr="002A3AAE">
        <w:rPr>
          <w:rFonts w:ascii="Times New Roman" w:hAnsi="Times New Roman"/>
          <w:i/>
          <w:iCs/>
          <w:sz w:val="24"/>
        </w:rPr>
        <w:t xml:space="preserve">Nathanson </w:t>
      </w:r>
      <w:r w:rsidR="000E6596" w:rsidRPr="002A3AAE">
        <w:rPr>
          <w:rFonts w:ascii="Times New Roman" w:hAnsi="Times New Roman"/>
          <w:iCs/>
          <w:sz w:val="24"/>
        </w:rPr>
        <w:t>(2020) 281 FCR 23</w:t>
      </w:r>
      <w:r w:rsidRPr="002A3AAE">
        <w:rPr>
          <w:rFonts w:ascii="Times New Roman" w:hAnsi="Times New Roman"/>
          <w:sz w:val="24"/>
        </w:rPr>
        <w:t xml:space="preserve"> at </w:t>
      </w:r>
      <w:r w:rsidR="000E6596" w:rsidRPr="002A3AAE">
        <w:rPr>
          <w:rFonts w:ascii="Times New Roman" w:hAnsi="Times New Roman"/>
          <w:sz w:val="24"/>
        </w:rPr>
        <w:t xml:space="preserve">54 </w:t>
      </w:r>
      <w:r w:rsidRPr="002A3AAE">
        <w:rPr>
          <w:rFonts w:ascii="Times New Roman" w:hAnsi="Times New Roman"/>
          <w:sz w:val="24"/>
        </w:rPr>
        <w:t>[131].</w:t>
      </w:r>
    </w:p>
  </w:footnote>
  <w:footnote w:id="33">
    <w:p w14:paraId="53B6DB37" w14:textId="2F028AAA" w:rsidR="00C65036" w:rsidRPr="002A3AAE" w:rsidRDefault="00C65036"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Pr="002A3AAE">
        <w:rPr>
          <w:rFonts w:ascii="Times New Roman" w:hAnsi="Times New Roman"/>
          <w:i/>
          <w:iCs/>
          <w:sz w:val="24"/>
        </w:rPr>
        <w:t xml:space="preserve">Nathanson </w:t>
      </w:r>
      <w:r w:rsidR="000E6596" w:rsidRPr="002A3AAE">
        <w:rPr>
          <w:rFonts w:ascii="Times New Roman" w:hAnsi="Times New Roman"/>
          <w:iCs/>
          <w:sz w:val="24"/>
        </w:rPr>
        <w:t>(2020) 281 FCR 23</w:t>
      </w:r>
      <w:r w:rsidRPr="002A3AAE">
        <w:rPr>
          <w:rFonts w:ascii="Times New Roman" w:hAnsi="Times New Roman"/>
          <w:sz w:val="24"/>
        </w:rPr>
        <w:t xml:space="preserve"> at </w:t>
      </w:r>
      <w:r w:rsidR="000E6596" w:rsidRPr="002A3AAE">
        <w:rPr>
          <w:rFonts w:ascii="Times New Roman" w:hAnsi="Times New Roman"/>
          <w:sz w:val="24"/>
        </w:rPr>
        <w:t xml:space="preserve">54 </w:t>
      </w:r>
      <w:r w:rsidRPr="002A3AAE">
        <w:rPr>
          <w:rFonts w:ascii="Times New Roman" w:hAnsi="Times New Roman"/>
          <w:sz w:val="24"/>
        </w:rPr>
        <w:t>[132].</w:t>
      </w:r>
    </w:p>
  </w:footnote>
  <w:footnote w:id="34">
    <w:p w14:paraId="17D7B2A1" w14:textId="77777777" w:rsidR="00A02193" w:rsidRPr="002A3AAE" w:rsidRDefault="00A02193"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Pr="002A3AAE">
        <w:rPr>
          <w:rFonts w:ascii="Times New Roman" w:hAnsi="Times New Roman"/>
          <w:i/>
          <w:iCs/>
          <w:sz w:val="24"/>
        </w:rPr>
        <w:t xml:space="preserve">Nathanson </w:t>
      </w:r>
      <w:r w:rsidRPr="002A3AAE">
        <w:rPr>
          <w:rFonts w:ascii="Times New Roman" w:hAnsi="Times New Roman"/>
          <w:iCs/>
          <w:sz w:val="24"/>
        </w:rPr>
        <w:t>(2020) 281 FCR 23</w:t>
      </w:r>
      <w:r w:rsidRPr="002A3AAE">
        <w:rPr>
          <w:rFonts w:ascii="Times New Roman" w:hAnsi="Times New Roman"/>
          <w:sz w:val="24"/>
        </w:rPr>
        <w:t xml:space="preserve"> at 54 [133].</w:t>
      </w:r>
    </w:p>
  </w:footnote>
  <w:footnote w:id="35">
    <w:p w14:paraId="58D350EE" w14:textId="7E84E73D" w:rsidR="007926BD" w:rsidRPr="002A3AAE" w:rsidRDefault="007926BD"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00B84D70" w:rsidRPr="002A3AAE">
        <w:rPr>
          <w:rFonts w:ascii="Times New Roman" w:hAnsi="Times New Roman"/>
          <w:sz w:val="24"/>
        </w:rPr>
        <w:tab/>
      </w:r>
      <w:r w:rsidRPr="002A3AAE">
        <w:rPr>
          <w:rFonts w:ascii="Times New Roman" w:hAnsi="Times New Roman"/>
          <w:i/>
          <w:iCs/>
          <w:sz w:val="24"/>
        </w:rPr>
        <w:t xml:space="preserve">Nathanson </w:t>
      </w:r>
      <w:r w:rsidR="000E6596" w:rsidRPr="002A3AAE">
        <w:rPr>
          <w:rFonts w:ascii="Times New Roman" w:hAnsi="Times New Roman"/>
          <w:iCs/>
          <w:sz w:val="24"/>
        </w:rPr>
        <w:t>(2020) 281 FCR 23</w:t>
      </w:r>
      <w:r w:rsidR="000E6596" w:rsidRPr="002A3AAE" w:rsidDel="000E6596">
        <w:rPr>
          <w:rFonts w:ascii="Times New Roman" w:hAnsi="Times New Roman"/>
          <w:sz w:val="24"/>
        </w:rPr>
        <w:t xml:space="preserve"> </w:t>
      </w:r>
      <w:r w:rsidRPr="002A3AAE">
        <w:rPr>
          <w:rFonts w:ascii="Times New Roman" w:hAnsi="Times New Roman"/>
          <w:sz w:val="24"/>
        </w:rPr>
        <w:t xml:space="preserve">at </w:t>
      </w:r>
      <w:r w:rsidR="004439CE" w:rsidRPr="002A3AAE">
        <w:rPr>
          <w:rFonts w:ascii="Times New Roman" w:hAnsi="Times New Roman"/>
          <w:sz w:val="24"/>
        </w:rPr>
        <w:t xml:space="preserve">55 </w:t>
      </w:r>
      <w:r w:rsidRPr="002A3AAE">
        <w:rPr>
          <w:rFonts w:ascii="Times New Roman" w:hAnsi="Times New Roman"/>
          <w:sz w:val="24"/>
        </w:rPr>
        <w:t>[134].</w:t>
      </w:r>
    </w:p>
  </w:footnote>
  <w:footnote w:id="36">
    <w:p w14:paraId="47FD21F9" w14:textId="65F11E01" w:rsidR="004F3D4F" w:rsidRPr="002A3AAE" w:rsidRDefault="004F3D4F"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007926BD" w:rsidRPr="002A3AAE">
        <w:rPr>
          <w:rFonts w:ascii="Times New Roman" w:hAnsi="Times New Roman"/>
          <w:i/>
          <w:iCs/>
          <w:sz w:val="24"/>
        </w:rPr>
        <w:t xml:space="preserve">Nathanson </w:t>
      </w:r>
      <w:r w:rsidR="000E6596" w:rsidRPr="002A3AAE">
        <w:rPr>
          <w:rFonts w:ascii="Times New Roman" w:hAnsi="Times New Roman"/>
          <w:iCs/>
          <w:sz w:val="24"/>
        </w:rPr>
        <w:t>(2020) 281 FCR 23</w:t>
      </w:r>
      <w:r w:rsidR="007926BD" w:rsidRPr="002A3AAE">
        <w:rPr>
          <w:rFonts w:ascii="Times New Roman" w:hAnsi="Times New Roman"/>
          <w:sz w:val="24"/>
        </w:rPr>
        <w:t xml:space="preserve"> a</w:t>
      </w:r>
      <w:r w:rsidRPr="002A3AAE">
        <w:rPr>
          <w:rFonts w:ascii="Times New Roman" w:hAnsi="Times New Roman"/>
          <w:sz w:val="24"/>
        </w:rPr>
        <w:t xml:space="preserve">t </w:t>
      </w:r>
      <w:r w:rsidR="00A6606F" w:rsidRPr="002A3AAE">
        <w:rPr>
          <w:rFonts w:ascii="Times New Roman" w:hAnsi="Times New Roman"/>
          <w:sz w:val="24"/>
        </w:rPr>
        <w:t>26</w:t>
      </w:r>
      <w:r w:rsidRPr="002A3AAE">
        <w:rPr>
          <w:rFonts w:ascii="Times New Roman" w:hAnsi="Times New Roman"/>
          <w:sz w:val="24"/>
        </w:rPr>
        <w:t xml:space="preserve"> [5].</w:t>
      </w:r>
    </w:p>
  </w:footnote>
  <w:footnote w:id="37">
    <w:p w14:paraId="711D369F" w14:textId="511832F4" w:rsidR="00B84D70" w:rsidRPr="002A3AAE" w:rsidRDefault="00B84D70"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Pr="002A3AAE">
        <w:rPr>
          <w:rFonts w:ascii="Times New Roman" w:hAnsi="Times New Roman"/>
          <w:i/>
          <w:iCs/>
          <w:sz w:val="24"/>
        </w:rPr>
        <w:t xml:space="preserve">Nathanson </w:t>
      </w:r>
      <w:r w:rsidR="000E6596" w:rsidRPr="002A3AAE">
        <w:rPr>
          <w:rFonts w:ascii="Times New Roman" w:hAnsi="Times New Roman"/>
          <w:iCs/>
          <w:sz w:val="24"/>
        </w:rPr>
        <w:t>(2020) 281 FCR 23</w:t>
      </w:r>
      <w:r w:rsidRPr="002A3AAE">
        <w:rPr>
          <w:rFonts w:ascii="Times New Roman" w:hAnsi="Times New Roman"/>
          <w:sz w:val="24"/>
        </w:rPr>
        <w:t xml:space="preserve"> at </w:t>
      </w:r>
      <w:r w:rsidR="003C77D6" w:rsidRPr="002A3AAE">
        <w:rPr>
          <w:rFonts w:ascii="Times New Roman" w:hAnsi="Times New Roman"/>
          <w:sz w:val="24"/>
        </w:rPr>
        <w:t xml:space="preserve">40 </w:t>
      </w:r>
      <w:r w:rsidRPr="002A3AAE">
        <w:rPr>
          <w:rFonts w:ascii="Times New Roman" w:hAnsi="Times New Roman"/>
          <w:sz w:val="24"/>
        </w:rPr>
        <w:t>[62].</w:t>
      </w:r>
    </w:p>
  </w:footnote>
  <w:footnote w:id="38">
    <w:p w14:paraId="3D47012B" w14:textId="77777777" w:rsidR="00E91F0F" w:rsidRPr="002A3AAE" w:rsidRDefault="00E91F0F"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Pr="002A3AAE">
        <w:rPr>
          <w:rFonts w:ascii="Times New Roman" w:hAnsi="Times New Roman"/>
          <w:i/>
          <w:iCs/>
          <w:sz w:val="24"/>
        </w:rPr>
        <w:t xml:space="preserve">Nathanson </w:t>
      </w:r>
      <w:r w:rsidRPr="002A3AAE">
        <w:rPr>
          <w:rFonts w:ascii="Times New Roman" w:hAnsi="Times New Roman"/>
          <w:iCs/>
          <w:sz w:val="24"/>
        </w:rPr>
        <w:t>(2020) 281 FCR 23</w:t>
      </w:r>
      <w:r w:rsidRPr="002A3AAE" w:rsidDel="00D1407D">
        <w:rPr>
          <w:rFonts w:ascii="Times New Roman" w:hAnsi="Times New Roman"/>
          <w:sz w:val="24"/>
        </w:rPr>
        <w:t xml:space="preserve"> </w:t>
      </w:r>
      <w:r w:rsidRPr="002A3AAE">
        <w:rPr>
          <w:rFonts w:ascii="Times New Roman" w:hAnsi="Times New Roman"/>
          <w:sz w:val="24"/>
        </w:rPr>
        <w:t>at 40 [63].</w:t>
      </w:r>
    </w:p>
  </w:footnote>
  <w:footnote w:id="39">
    <w:p w14:paraId="04992368" w14:textId="77777777" w:rsidR="00E91F0F" w:rsidRPr="002A3AAE" w:rsidRDefault="00E91F0F"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Pr="002A3AAE">
        <w:rPr>
          <w:rFonts w:ascii="Times New Roman" w:hAnsi="Times New Roman"/>
          <w:i/>
          <w:iCs/>
          <w:sz w:val="24"/>
        </w:rPr>
        <w:t xml:space="preserve">Nathanson </w:t>
      </w:r>
      <w:r w:rsidRPr="002A3AAE">
        <w:rPr>
          <w:rFonts w:ascii="Times New Roman" w:hAnsi="Times New Roman"/>
          <w:iCs/>
          <w:sz w:val="24"/>
        </w:rPr>
        <w:t>(2020) 281 FCR 23</w:t>
      </w:r>
      <w:r w:rsidRPr="002A3AAE">
        <w:rPr>
          <w:rFonts w:ascii="Times New Roman" w:hAnsi="Times New Roman"/>
          <w:sz w:val="24"/>
        </w:rPr>
        <w:t xml:space="preserve"> at 40 [64].</w:t>
      </w:r>
    </w:p>
  </w:footnote>
  <w:footnote w:id="40">
    <w:p w14:paraId="2BC9244F" w14:textId="77777777" w:rsidR="00E91F0F" w:rsidRPr="002A3AAE" w:rsidRDefault="00E91F0F"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Pr="002A3AAE">
        <w:rPr>
          <w:rFonts w:ascii="Times New Roman" w:hAnsi="Times New Roman"/>
          <w:i/>
          <w:iCs/>
          <w:sz w:val="24"/>
        </w:rPr>
        <w:t xml:space="preserve">Nathanson </w:t>
      </w:r>
      <w:r w:rsidRPr="002A3AAE">
        <w:rPr>
          <w:rFonts w:ascii="Times New Roman" w:hAnsi="Times New Roman"/>
          <w:iCs/>
          <w:sz w:val="24"/>
        </w:rPr>
        <w:t>(2020) 281 FCR 23</w:t>
      </w:r>
      <w:r w:rsidRPr="002A3AAE">
        <w:rPr>
          <w:rFonts w:ascii="Times New Roman" w:hAnsi="Times New Roman"/>
          <w:sz w:val="24"/>
        </w:rPr>
        <w:t xml:space="preserve"> at 40 [65].</w:t>
      </w:r>
    </w:p>
  </w:footnote>
  <w:footnote w:id="41">
    <w:p w14:paraId="198DA16E" w14:textId="6295DF02" w:rsidR="00192A95" w:rsidRPr="002A3AAE" w:rsidRDefault="00192A95"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00EB3A4E" w:rsidRPr="002A3AAE">
        <w:rPr>
          <w:rFonts w:ascii="Times New Roman" w:hAnsi="Times New Roman"/>
          <w:sz w:val="24"/>
        </w:rPr>
        <w:tab/>
      </w:r>
      <w:r w:rsidRPr="002A3AAE">
        <w:rPr>
          <w:rFonts w:ascii="Times New Roman" w:hAnsi="Times New Roman"/>
          <w:sz w:val="24"/>
        </w:rPr>
        <w:t>(2018) 264 CLR 123</w:t>
      </w:r>
      <w:r w:rsidR="00D529C7" w:rsidRPr="002A3AAE">
        <w:rPr>
          <w:rFonts w:ascii="Times New Roman" w:hAnsi="Times New Roman"/>
          <w:sz w:val="24"/>
        </w:rPr>
        <w:t>.</w:t>
      </w:r>
    </w:p>
  </w:footnote>
  <w:footnote w:id="42">
    <w:p w14:paraId="730B61EA" w14:textId="57BCAD87" w:rsidR="00E91F0F" w:rsidRPr="002A3AAE" w:rsidRDefault="00E91F0F"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Pr="002A3AAE">
        <w:rPr>
          <w:rFonts w:ascii="Times New Roman" w:hAnsi="Times New Roman"/>
          <w:i/>
          <w:iCs/>
          <w:sz w:val="24"/>
        </w:rPr>
        <w:t xml:space="preserve">Hossain </w:t>
      </w:r>
      <w:r w:rsidRPr="002A3AAE">
        <w:rPr>
          <w:rFonts w:ascii="Times New Roman" w:hAnsi="Times New Roman"/>
          <w:sz w:val="24"/>
        </w:rPr>
        <w:t>(2018) 264 CLR 123 at 134 [</w:t>
      </w:r>
      <w:r w:rsidR="002B38F1" w:rsidRPr="002A3AAE">
        <w:rPr>
          <w:rFonts w:ascii="Times New Roman" w:hAnsi="Times New Roman"/>
          <w:sz w:val="24"/>
        </w:rPr>
        <w:t>29</w:t>
      </w:r>
      <w:r w:rsidRPr="002A3AAE">
        <w:rPr>
          <w:rFonts w:ascii="Times New Roman" w:hAnsi="Times New Roman"/>
          <w:sz w:val="24"/>
        </w:rPr>
        <w:t>].</w:t>
      </w:r>
    </w:p>
  </w:footnote>
  <w:footnote w:id="43">
    <w:p w14:paraId="05BD5A87" w14:textId="4D56EB0B" w:rsidR="000C3588" w:rsidRPr="002A3AAE" w:rsidRDefault="000C3588"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00F56B54" w:rsidRPr="002A3AAE">
        <w:rPr>
          <w:rFonts w:ascii="Times New Roman" w:hAnsi="Times New Roman"/>
          <w:sz w:val="24"/>
        </w:rPr>
        <w:tab/>
      </w:r>
      <w:r w:rsidR="008E0EF5" w:rsidRPr="002A3AAE">
        <w:rPr>
          <w:rFonts w:ascii="Times New Roman" w:hAnsi="Times New Roman"/>
          <w:sz w:val="24"/>
        </w:rPr>
        <w:t xml:space="preserve">Bailey and Norbury, </w:t>
      </w:r>
      <w:proofErr w:type="spellStart"/>
      <w:r w:rsidR="0025185C" w:rsidRPr="002A3AAE">
        <w:rPr>
          <w:rFonts w:ascii="Times New Roman" w:hAnsi="Times New Roman"/>
          <w:i/>
          <w:iCs/>
          <w:sz w:val="24"/>
        </w:rPr>
        <w:t>Bennion</w:t>
      </w:r>
      <w:proofErr w:type="spellEnd"/>
      <w:r w:rsidR="0025185C" w:rsidRPr="002A3AAE">
        <w:rPr>
          <w:rFonts w:ascii="Times New Roman" w:hAnsi="Times New Roman"/>
          <w:i/>
          <w:iCs/>
          <w:sz w:val="24"/>
        </w:rPr>
        <w:t>, Bailey and Norbury on Statutory Interpretation</w:t>
      </w:r>
      <w:r w:rsidR="00084863" w:rsidRPr="002A3AAE">
        <w:rPr>
          <w:rFonts w:ascii="Times New Roman" w:hAnsi="Times New Roman"/>
          <w:sz w:val="24"/>
        </w:rPr>
        <w:t xml:space="preserve">, </w:t>
      </w:r>
      <w:r w:rsidR="00971029" w:rsidRPr="002A3AAE">
        <w:rPr>
          <w:rFonts w:ascii="Times New Roman" w:hAnsi="Times New Roman"/>
          <w:sz w:val="24"/>
        </w:rPr>
        <w:t>8th ed</w:t>
      </w:r>
      <w:r w:rsidR="00915C6B" w:rsidRPr="002A3AAE">
        <w:rPr>
          <w:rFonts w:ascii="Times New Roman" w:hAnsi="Times New Roman"/>
          <w:sz w:val="24"/>
        </w:rPr>
        <w:t xml:space="preserve"> (</w:t>
      </w:r>
      <w:r w:rsidR="00C56469" w:rsidRPr="002A3AAE">
        <w:rPr>
          <w:rFonts w:ascii="Times New Roman" w:hAnsi="Times New Roman"/>
          <w:sz w:val="24"/>
        </w:rPr>
        <w:t>2020) at</w:t>
      </w:r>
      <w:r w:rsidR="006857B4" w:rsidRPr="002A3AAE">
        <w:rPr>
          <w:rFonts w:ascii="Times New Roman" w:hAnsi="Times New Roman"/>
          <w:sz w:val="24"/>
        </w:rPr>
        <w:t xml:space="preserve"> 313</w:t>
      </w:r>
      <w:r w:rsidR="00C25961" w:rsidRPr="002A3AAE">
        <w:rPr>
          <w:rFonts w:ascii="Times New Roman" w:hAnsi="Times New Roman"/>
          <w:sz w:val="24"/>
        </w:rPr>
        <w:t>-</w:t>
      </w:r>
      <w:r w:rsidR="00915C6B" w:rsidRPr="002A3AAE">
        <w:rPr>
          <w:rFonts w:ascii="Times New Roman" w:hAnsi="Times New Roman"/>
          <w:sz w:val="24"/>
        </w:rPr>
        <w:t>31</w:t>
      </w:r>
      <w:r w:rsidR="00C25961" w:rsidRPr="002A3AAE">
        <w:rPr>
          <w:rFonts w:ascii="Times New Roman" w:hAnsi="Times New Roman"/>
          <w:sz w:val="24"/>
        </w:rPr>
        <w:t>5</w:t>
      </w:r>
      <w:r w:rsidR="006078D3" w:rsidRPr="002A3AAE">
        <w:rPr>
          <w:rFonts w:ascii="Times New Roman" w:hAnsi="Times New Roman"/>
          <w:sz w:val="24"/>
        </w:rPr>
        <w:t xml:space="preserve"> [9.4]</w:t>
      </w:r>
      <w:r w:rsidR="00C56469" w:rsidRPr="002A3AAE">
        <w:rPr>
          <w:rFonts w:ascii="Times New Roman" w:hAnsi="Times New Roman"/>
          <w:sz w:val="24"/>
        </w:rPr>
        <w:t>.</w:t>
      </w:r>
    </w:p>
  </w:footnote>
  <w:footnote w:id="44">
    <w:p w14:paraId="29A43CA9" w14:textId="57BC18CE" w:rsidR="006746ED" w:rsidRPr="002A3AAE" w:rsidRDefault="006746ED"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Pr="002A3AAE">
        <w:rPr>
          <w:rFonts w:ascii="Times New Roman" w:hAnsi="Times New Roman"/>
          <w:i/>
          <w:iCs/>
          <w:sz w:val="24"/>
        </w:rPr>
        <w:t xml:space="preserve">Hossain </w:t>
      </w:r>
      <w:r w:rsidRPr="002A3AAE">
        <w:rPr>
          <w:rFonts w:ascii="Times New Roman" w:hAnsi="Times New Roman"/>
          <w:sz w:val="24"/>
        </w:rPr>
        <w:t>(2018) 264 CLR 123 at 134</w:t>
      </w:r>
      <w:r w:rsidRPr="002A3AAE">
        <w:rPr>
          <w:rFonts w:ascii="Times New Roman" w:hAnsi="Times New Roman"/>
          <w:sz w:val="24"/>
        </w:rPr>
        <w:noBreakHyphen/>
        <w:t>135 [30]-[31], 146-148 [67]-[72].</w:t>
      </w:r>
    </w:p>
  </w:footnote>
  <w:footnote w:id="45">
    <w:p w14:paraId="5B62E1CD" w14:textId="42ED362C" w:rsidR="007045D1" w:rsidRPr="002A3AAE" w:rsidRDefault="007045D1"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00C9409A" w:rsidRPr="002A3AAE">
        <w:rPr>
          <w:rFonts w:ascii="Times New Roman" w:hAnsi="Times New Roman"/>
          <w:sz w:val="24"/>
        </w:rPr>
        <w:tab/>
      </w:r>
      <w:r w:rsidR="0072040E" w:rsidRPr="002A3AAE">
        <w:rPr>
          <w:rFonts w:ascii="Times New Roman" w:hAnsi="Times New Roman"/>
          <w:i/>
          <w:iCs/>
          <w:sz w:val="24"/>
        </w:rPr>
        <w:t xml:space="preserve">MZAPC </w:t>
      </w:r>
      <w:r w:rsidR="0072040E" w:rsidRPr="002A3AAE">
        <w:rPr>
          <w:rFonts w:ascii="Times New Roman" w:hAnsi="Times New Roman"/>
          <w:sz w:val="24"/>
        </w:rPr>
        <w:t>(2021) 95 ALJR 441 at 452 [27]-[30];</w:t>
      </w:r>
      <w:r w:rsidR="00E97E72" w:rsidRPr="002A3AAE">
        <w:rPr>
          <w:rFonts w:ascii="Times New Roman" w:hAnsi="Times New Roman"/>
          <w:sz w:val="24"/>
        </w:rPr>
        <w:t xml:space="preserve"> </w:t>
      </w:r>
      <w:r w:rsidR="0072040E" w:rsidRPr="002A3AAE">
        <w:rPr>
          <w:rFonts w:ascii="Times New Roman" w:hAnsi="Times New Roman"/>
          <w:sz w:val="24"/>
        </w:rPr>
        <w:t>390 ALR 590 at</w:t>
      </w:r>
      <w:r w:rsidR="00883BC9" w:rsidRPr="002A3AAE">
        <w:rPr>
          <w:rFonts w:ascii="Times New Roman" w:hAnsi="Times New Roman"/>
          <w:sz w:val="24"/>
        </w:rPr>
        <w:t xml:space="preserve"> 596-</w:t>
      </w:r>
      <w:r w:rsidR="007424F1" w:rsidRPr="002A3AAE">
        <w:rPr>
          <w:rFonts w:ascii="Times New Roman" w:hAnsi="Times New Roman"/>
          <w:sz w:val="24"/>
        </w:rPr>
        <w:t>59</w:t>
      </w:r>
      <w:r w:rsidR="00883BC9" w:rsidRPr="002A3AAE">
        <w:rPr>
          <w:rFonts w:ascii="Times New Roman" w:hAnsi="Times New Roman"/>
          <w:sz w:val="24"/>
        </w:rPr>
        <w:t>7</w:t>
      </w:r>
      <w:r w:rsidR="00C9409A" w:rsidRPr="002A3AAE">
        <w:rPr>
          <w:rFonts w:ascii="Times New Roman" w:hAnsi="Times New Roman"/>
          <w:sz w:val="24"/>
        </w:rPr>
        <w:t>.</w:t>
      </w:r>
    </w:p>
  </w:footnote>
  <w:footnote w:id="46">
    <w:p w14:paraId="71466638" w14:textId="3EB5AF06" w:rsidR="00EE67E0" w:rsidRPr="002A3AAE" w:rsidRDefault="00EE67E0"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0049056D" w:rsidRPr="002A3AAE">
        <w:rPr>
          <w:rFonts w:ascii="Times New Roman" w:hAnsi="Times New Roman"/>
          <w:i/>
          <w:iCs/>
          <w:sz w:val="24"/>
        </w:rPr>
        <w:t xml:space="preserve">MZAPC </w:t>
      </w:r>
      <w:r w:rsidR="0049056D" w:rsidRPr="002A3AAE">
        <w:rPr>
          <w:rFonts w:ascii="Times New Roman" w:hAnsi="Times New Roman"/>
          <w:sz w:val="24"/>
        </w:rPr>
        <w:t>(2021) 95 ALJR 441 at 453 [32];</w:t>
      </w:r>
      <w:r w:rsidR="00E97E72" w:rsidRPr="002A3AAE">
        <w:rPr>
          <w:rFonts w:ascii="Times New Roman" w:hAnsi="Times New Roman"/>
          <w:sz w:val="24"/>
        </w:rPr>
        <w:t xml:space="preserve"> </w:t>
      </w:r>
      <w:r w:rsidR="0049056D" w:rsidRPr="002A3AAE">
        <w:rPr>
          <w:rFonts w:ascii="Times New Roman" w:hAnsi="Times New Roman"/>
          <w:sz w:val="24"/>
        </w:rPr>
        <w:t>390 ALR 590 at 59</w:t>
      </w:r>
      <w:r w:rsidR="000B456B" w:rsidRPr="002A3AAE">
        <w:rPr>
          <w:rFonts w:ascii="Times New Roman" w:hAnsi="Times New Roman"/>
          <w:sz w:val="24"/>
        </w:rPr>
        <w:t>8</w:t>
      </w:r>
      <w:r w:rsidR="0049056D" w:rsidRPr="002A3AAE">
        <w:rPr>
          <w:rFonts w:ascii="Times New Roman" w:hAnsi="Times New Roman"/>
          <w:sz w:val="24"/>
        </w:rPr>
        <w:t>.</w:t>
      </w:r>
    </w:p>
  </w:footnote>
  <w:footnote w:id="47">
    <w:p w14:paraId="797FC4AD" w14:textId="533324F1" w:rsidR="00192A95" w:rsidRPr="002A3AAE" w:rsidRDefault="00192A95"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00EB391A" w:rsidRPr="002A3AAE">
        <w:rPr>
          <w:rFonts w:ascii="Times New Roman" w:hAnsi="Times New Roman"/>
          <w:sz w:val="24"/>
        </w:rPr>
        <w:tab/>
      </w:r>
      <w:r w:rsidR="00FB687B" w:rsidRPr="002A3AAE">
        <w:rPr>
          <w:rFonts w:ascii="Times New Roman" w:hAnsi="Times New Roman"/>
          <w:i/>
          <w:iCs/>
          <w:sz w:val="24"/>
        </w:rPr>
        <w:t>Hossain</w:t>
      </w:r>
      <w:r w:rsidR="00FB687B" w:rsidRPr="002A3AAE">
        <w:rPr>
          <w:rFonts w:ascii="Times New Roman" w:hAnsi="Times New Roman"/>
          <w:sz w:val="24"/>
        </w:rPr>
        <w:t xml:space="preserve"> </w:t>
      </w:r>
      <w:r w:rsidR="00DF7458" w:rsidRPr="002A3AAE">
        <w:rPr>
          <w:rFonts w:ascii="Times New Roman" w:hAnsi="Times New Roman"/>
          <w:sz w:val="24"/>
        </w:rPr>
        <w:t xml:space="preserve">(2018) 264 CLR 123 </w:t>
      </w:r>
      <w:r w:rsidR="00FB687B" w:rsidRPr="002A3AAE">
        <w:rPr>
          <w:rFonts w:ascii="Times New Roman" w:hAnsi="Times New Roman"/>
          <w:sz w:val="24"/>
        </w:rPr>
        <w:t>at</w:t>
      </w:r>
      <w:r w:rsidR="005246CF" w:rsidRPr="002A3AAE">
        <w:rPr>
          <w:rFonts w:ascii="Times New Roman" w:hAnsi="Times New Roman"/>
          <w:sz w:val="24"/>
        </w:rPr>
        <w:t xml:space="preserve"> 134</w:t>
      </w:r>
      <w:r w:rsidR="00FB687B" w:rsidRPr="002A3AAE">
        <w:rPr>
          <w:rFonts w:ascii="Times New Roman" w:hAnsi="Times New Roman"/>
          <w:sz w:val="24"/>
        </w:rPr>
        <w:t xml:space="preserve"> [28], quoting </w:t>
      </w:r>
      <w:proofErr w:type="spellStart"/>
      <w:r w:rsidR="00FB687B" w:rsidRPr="002A3AAE">
        <w:rPr>
          <w:rFonts w:ascii="Times New Roman" w:hAnsi="Times New Roman"/>
          <w:i/>
          <w:iCs/>
          <w:sz w:val="24"/>
        </w:rPr>
        <w:t>Enichem</w:t>
      </w:r>
      <w:proofErr w:type="spellEnd"/>
      <w:r w:rsidR="00FB687B" w:rsidRPr="002A3AAE">
        <w:rPr>
          <w:rFonts w:ascii="Times New Roman" w:hAnsi="Times New Roman"/>
          <w:i/>
          <w:iCs/>
          <w:sz w:val="24"/>
        </w:rPr>
        <w:t xml:space="preserve"> </w:t>
      </w:r>
      <w:proofErr w:type="spellStart"/>
      <w:r w:rsidR="00FB687B" w:rsidRPr="002A3AAE">
        <w:rPr>
          <w:rFonts w:ascii="Times New Roman" w:hAnsi="Times New Roman"/>
          <w:i/>
          <w:iCs/>
          <w:sz w:val="24"/>
        </w:rPr>
        <w:t>Anic</w:t>
      </w:r>
      <w:proofErr w:type="spellEnd"/>
      <w:r w:rsidR="00FB687B" w:rsidRPr="002A3AAE">
        <w:rPr>
          <w:rFonts w:ascii="Times New Roman" w:hAnsi="Times New Roman"/>
          <w:i/>
          <w:iCs/>
          <w:sz w:val="24"/>
        </w:rPr>
        <w:t xml:space="preserve"> </w:t>
      </w:r>
      <w:proofErr w:type="spellStart"/>
      <w:r w:rsidR="00FB687B" w:rsidRPr="002A3AAE">
        <w:rPr>
          <w:rFonts w:ascii="Times New Roman" w:hAnsi="Times New Roman"/>
          <w:i/>
          <w:iCs/>
          <w:sz w:val="24"/>
        </w:rPr>
        <w:t>Srl</w:t>
      </w:r>
      <w:proofErr w:type="spellEnd"/>
      <w:r w:rsidR="00FB687B" w:rsidRPr="002A3AAE">
        <w:rPr>
          <w:rFonts w:ascii="Times New Roman" w:hAnsi="Times New Roman"/>
          <w:i/>
          <w:iCs/>
          <w:sz w:val="24"/>
        </w:rPr>
        <w:t xml:space="preserve"> v Anti-Dumping Authority</w:t>
      </w:r>
      <w:r w:rsidR="00FB687B" w:rsidRPr="002A3AAE">
        <w:rPr>
          <w:rFonts w:ascii="Times New Roman" w:hAnsi="Times New Roman"/>
          <w:sz w:val="24"/>
        </w:rPr>
        <w:t xml:space="preserve"> (1992) 39 FCR 458 at 469.</w:t>
      </w:r>
    </w:p>
  </w:footnote>
  <w:footnote w:id="48">
    <w:p w14:paraId="338107A0" w14:textId="138EB217" w:rsidR="00192A95" w:rsidRPr="002A3AAE" w:rsidRDefault="00192A95"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00EB391A" w:rsidRPr="002A3AAE">
        <w:rPr>
          <w:rFonts w:ascii="Times New Roman" w:hAnsi="Times New Roman"/>
          <w:sz w:val="24"/>
        </w:rPr>
        <w:tab/>
      </w:r>
      <w:r w:rsidR="00EB391A" w:rsidRPr="002A3AAE">
        <w:rPr>
          <w:rFonts w:ascii="Times New Roman" w:hAnsi="Times New Roman"/>
          <w:i/>
          <w:iCs/>
          <w:sz w:val="24"/>
        </w:rPr>
        <w:t xml:space="preserve">Re Minister for Immigration and Multicultural and Indigenous Affairs; Ex </w:t>
      </w:r>
      <w:proofErr w:type="spellStart"/>
      <w:r w:rsidR="00EB391A" w:rsidRPr="002A3AAE">
        <w:rPr>
          <w:rFonts w:ascii="Times New Roman" w:hAnsi="Times New Roman"/>
          <w:i/>
          <w:iCs/>
          <w:sz w:val="24"/>
        </w:rPr>
        <w:t>parte</w:t>
      </w:r>
      <w:proofErr w:type="spellEnd"/>
      <w:r w:rsidR="00EB391A" w:rsidRPr="002A3AAE">
        <w:rPr>
          <w:rFonts w:ascii="Times New Roman" w:hAnsi="Times New Roman"/>
          <w:i/>
          <w:iCs/>
          <w:sz w:val="24"/>
        </w:rPr>
        <w:t xml:space="preserve"> Lam</w:t>
      </w:r>
      <w:r w:rsidR="00EB391A" w:rsidRPr="002A3AAE">
        <w:rPr>
          <w:rFonts w:ascii="Times New Roman" w:hAnsi="Times New Roman"/>
          <w:sz w:val="24"/>
        </w:rPr>
        <w:t xml:space="preserve"> (2003) 214 CLR 1</w:t>
      </w:r>
      <w:r w:rsidR="0092366C" w:rsidRPr="002A3AAE">
        <w:rPr>
          <w:rFonts w:ascii="Times New Roman" w:hAnsi="Times New Roman"/>
          <w:sz w:val="24"/>
        </w:rPr>
        <w:t xml:space="preserve"> </w:t>
      </w:r>
      <w:r w:rsidR="00EB391A" w:rsidRPr="002A3AAE">
        <w:rPr>
          <w:rFonts w:ascii="Times New Roman" w:hAnsi="Times New Roman"/>
          <w:sz w:val="24"/>
        </w:rPr>
        <w:t xml:space="preserve">at </w:t>
      </w:r>
      <w:r w:rsidR="00D71B64" w:rsidRPr="002A3AAE">
        <w:rPr>
          <w:rFonts w:ascii="Times New Roman" w:hAnsi="Times New Roman"/>
          <w:sz w:val="24"/>
        </w:rPr>
        <w:t>13-14</w:t>
      </w:r>
      <w:r w:rsidR="008F6460" w:rsidRPr="002A3AAE">
        <w:rPr>
          <w:rFonts w:ascii="Times New Roman" w:hAnsi="Times New Roman"/>
          <w:sz w:val="24"/>
        </w:rPr>
        <w:t xml:space="preserve"> </w:t>
      </w:r>
      <w:r w:rsidR="00EB391A" w:rsidRPr="002A3AAE">
        <w:rPr>
          <w:rFonts w:ascii="Times New Roman" w:hAnsi="Times New Roman"/>
          <w:sz w:val="24"/>
        </w:rPr>
        <w:t>[37]</w:t>
      </w:r>
      <w:r w:rsidR="00EB391A" w:rsidRPr="002A3AAE">
        <w:rPr>
          <w:rFonts w:ascii="Times New Roman" w:hAnsi="Times New Roman"/>
          <w:i/>
          <w:iCs/>
          <w:sz w:val="24"/>
        </w:rPr>
        <w:t xml:space="preserve">. </w:t>
      </w:r>
      <w:r w:rsidR="00EB391A" w:rsidRPr="002A3AAE">
        <w:rPr>
          <w:rFonts w:ascii="Times New Roman" w:hAnsi="Times New Roman"/>
          <w:iCs/>
          <w:sz w:val="24"/>
        </w:rPr>
        <w:t>See</w:t>
      </w:r>
      <w:r w:rsidR="00AD037D" w:rsidRPr="002A3AAE">
        <w:rPr>
          <w:rFonts w:ascii="Times New Roman" w:hAnsi="Times New Roman"/>
          <w:i/>
          <w:iCs/>
          <w:sz w:val="24"/>
        </w:rPr>
        <w:t xml:space="preserve"> </w:t>
      </w:r>
      <w:r w:rsidR="00AD037D" w:rsidRPr="002A3AAE">
        <w:rPr>
          <w:rFonts w:ascii="Times New Roman" w:hAnsi="Times New Roman"/>
          <w:iCs/>
          <w:sz w:val="24"/>
        </w:rPr>
        <w:t>also</w:t>
      </w:r>
      <w:r w:rsidR="00EB391A" w:rsidRPr="002A3AAE">
        <w:rPr>
          <w:rFonts w:ascii="Times New Roman" w:hAnsi="Times New Roman"/>
          <w:i/>
          <w:iCs/>
          <w:sz w:val="24"/>
        </w:rPr>
        <w:t xml:space="preserve"> Minister for Immigration and Citizenship v SZIZO</w:t>
      </w:r>
      <w:r w:rsidR="00EB391A" w:rsidRPr="002A3AAE">
        <w:rPr>
          <w:rFonts w:ascii="Times New Roman" w:hAnsi="Times New Roman"/>
          <w:sz w:val="24"/>
        </w:rPr>
        <w:t xml:space="preserve"> (2009) 238 CLR 627</w:t>
      </w:r>
      <w:r w:rsidR="00DA5F9B" w:rsidRPr="002A3AAE">
        <w:rPr>
          <w:rFonts w:ascii="Times New Roman" w:hAnsi="Times New Roman"/>
          <w:sz w:val="24"/>
        </w:rPr>
        <w:t xml:space="preserve"> </w:t>
      </w:r>
      <w:r w:rsidR="00EB391A" w:rsidRPr="002A3AAE">
        <w:rPr>
          <w:rFonts w:ascii="Times New Roman" w:hAnsi="Times New Roman"/>
          <w:sz w:val="24"/>
        </w:rPr>
        <w:t>at</w:t>
      </w:r>
      <w:r w:rsidR="00DA5F9B" w:rsidRPr="002A3AAE">
        <w:rPr>
          <w:rFonts w:ascii="Times New Roman" w:hAnsi="Times New Roman"/>
          <w:sz w:val="24"/>
        </w:rPr>
        <w:t xml:space="preserve"> </w:t>
      </w:r>
      <w:r w:rsidR="00594DCF" w:rsidRPr="002A3AAE">
        <w:rPr>
          <w:rFonts w:ascii="Times New Roman" w:hAnsi="Times New Roman"/>
          <w:sz w:val="24"/>
        </w:rPr>
        <w:t xml:space="preserve">640 </w:t>
      </w:r>
      <w:r w:rsidR="00EB391A" w:rsidRPr="002A3AAE">
        <w:rPr>
          <w:rFonts w:ascii="Times New Roman" w:hAnsi="Times New Roman"/>
          <w:sz w:val="24"/>
        </w:rPr>
        <w:t>[35].</w:t>
      </w:r>
    </w:p>
  </w:footnote>
  <w:footnote w:id="49">
    <w:p w14:paraId="15C3AFEA" w14:textId="15B120EB" w:rsidR="003822F9" w:rsidRPr="002A3AAE" w:rsidRDefault="003822F9"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00CC7E7F" w:rsidRPr="002A3AAE">
        <w:rPr>
          <w:rFonts w:ascii="Times New Roman" w:hAnsi="Times New Roman"/>
          <w:sz w:val="24"/>
        </w:rPr>
        <w:t xml:space="preserve">(2021) 95 ALJR 441 at </w:t>
      </w:r>
      <w:r w:rsidR="00BE3AB1" w:rsidRPr="002A3AAE">
        <w:rPr>
          <w:rFonts w:ascii="Times New Roman" w:hAnsi="Times New Roman"/>
          <w:sz w:val="24"/>
        </w:rPr>
        <w:t xml:space="preserve">454 </w:t>
      </w:r>
      <w:r w:rsidR="00CC7E7F" w:rsidRPr="002A3AAE">
        <w:rPr>
          <w:rFonts w:ascii="Times New Roman" w:hAnsi="Times New Roman"/>
          <w:sz w:val="24"/>
        </w:rPr>
        <w:t>[38];</w:t>
      </w:r>
      <w:r w:rsidR="00BE3AB1" w:rsidRPr="002A3AAE">
        <w:rPr>
          <w:rFonts w:ascii="Times New Roman" w:hAnsi="Times New Roman"/>
          <w:sz w:val="24"/>
        </w:rPr>
        <w:t xml:space="preserve"> </w:t>
      </w:r>
      <w:r w:rsidR="00CC7E7F" w:rsidRPr="002A3AAE">
        <w:rPr>
          <w:rFonts w:ascii="Times New Roman" w:hAnsi="Times New Roman"/>
          <w:sz w:val="24"/>
        </w:rPr>
        <w:t xml:space="preserve">390 ALR 590 at </w:t>
      </w:r>
      <w:r w:rsidR="00BD2801" w:rsidRPr="002A3AAE">
        <w:rPr>
          <w:rFonts w:ascii="Times New Roman" w:hAnsi="Times New Roman"/>
          <w:sz w:val="24"/>
        </w:rPr>
        <w:t>599</w:t>
      </w:r>
      <w:r w:rsidR="00CC7E7F" w:rsidRPr="002A3AAE">
        <w:rPr>
          <w:rFonts w:ascii="Times New Roman" w:hAnsi="Times New Roman"/>
          <w:sz w:val="24"/>
        </w:rPr>
        <w:t>.</w:t>
      </w:r>
      <w:r w:rsidRPr="002A3AAE">
        <w:rPr>
          <w:rFonts w:ascii="Times New Roman" w:hAnsi="Times New Roman"/>
          <w:sz w:val="24"/>
        </w:rPr>
        <w:t xml:space="preserve"> </w:t>
      </w:r>
    </w:p>
  </w:footnote>
  <w:footnote w:id="50">
    <w:p w14:paraId="22969B3E" w14:textId="288BF269" w:rsidR="00E91F0F" w:rsidRPr="002A3AAE" w:rsidRDefault="00E91F0F"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00D12E84" w:rsidRPr="002A3AAE">
        <w:rPr>
          <w:rFonts w:ascii="Times New Roman" w:hAnsi="Times New Roman"/>
          <w:i/>
          <w:iCs/>
          <w:sz w:val="24"/>
        </w:rPr>
        <w:t xml:space="preserve">MZAPC </w:t>
      </w:r>
      <w:r w:rsidRPr="002A3AAE">
        <w:rPr>
          <w:rFonts w:ascii="Times New Roman" w:hAnsi="Times New Roman"/>
          <w:sz w:val="24"/>
        </w:rPr>
        <w:t>(2021) 95 ALJR 441 at 454 [38]; 390 ALR 590 at 599.</w:t>
      </w:r>
    </w:p>
  </w:footnote>
  <w:footnote w:id="51">
    <w:p w14:paraId="58447F43" w14:textId="14A2A813" w:rsidR="00911F06" w:rsidRPr="002A3AAE" w:rsidRDefault="00911F06"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00D12E84" w:rsidRPr="002A3AAE">
        <w:rPr>
          <w:rFonts w:ascii="Times New Roman" w:hAnsi="Times New Roman"/>
          <w:i/>
          <w:iCs/>
          <w:sz w:val="24"/>
        </w:rPr>
        <w:t xml:space="preserve">MZAPC </w:t>
      </w:r>
      <w:r w:rsidR="00BE3AB1" w:rsidRPr="002A3AAE">
        <w:rPr>
          <w:rFonts w:ascii="Times New Roman" w:hAnsi="Times New Roman"/>
          <w:sz w:val="24"/>
        </w:rPr>
        <w:t>(2021) 95 ALJR 441 at 454 [39]</w:t>
      </w:r>
      <w:r w:rsidR="006829AE" w:rsidRPr="002A3AAE">
        <w:rPr>
          <w:rFonts w:ascii="Times New Roman" w:hAnsi="Times New Roman"/>
          <w:sz w:val="24"/>
        </w:rPr>
        <w:t xml:space="preserve"> (emphasis in original)</w:t>
      </w:r>
      <w:r w:rsidR="00BE3AB1" w:rsidRPr="002A3AAE">
        <w:rPr>
          <w:rFonts w:ascii="Times New Roman" w:hAnsi="Times New Roman"/>
          <w:sz w:val="24"/>
        </w:rPr>
        <w:t>; 390 ALR 590 at</w:t>
      </w:r>
      <w:r w:rsidR="00DB16C1" w:rsidRPr="002A3AAE">
        <w:rPr>
          <w:rFonts w:ascii="Times New Roman" w:hAnsi="Times New Roman"/>
          <w:sz w:val="24"/>
        </w:rPr>
        <w:t xml:space="preserve"> 600</w:t>
      </w:r>
      <w:r w:rsidRPr="002A3AAE">
        <w:rPr>
          <w:rFonts w:ascii="Times New Roman" w:hAnsi="Times New Roman"/>
          <w:sz w:val="24"/>
        </w:rPr>
        <w:t xml:space="preserve">. </w:t>
      </w:r>
    </w:p>
  </w:footnote>
  <w:footnote w:id="52">
    <w:p w14:paraId="09067C3B" w14:textId="080A403C" w:rsidR="00354224" w:rsidRPr="002A3AAE" w:rsidRDefault="00354224"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proofErr w:type="spellStart"/>
      <w:r w:rsidRPr="002A3AAE">
        <w:rPr>
          <w:rFonts w:ascii="Times New Roman" w:hAnsi="Times New Roman"/>
          <w:sz w:val="24"/>
        </w:rPr>
        <w:t>cf</w:t>
      </w:r>
      <w:proofErr w:type="spellEnd"/>
      <w:r w:rsidRPr="002A3AAE">
        <w:rPr>
          <w:rFonts w:ascii="Times New Roman" w:hAnsi="Times New Roman"/>
          <w:i/>
          <w:sz w:val="24"/>
        </w:rPr>
        <w:t xml:space="preserve"> Lam</w:t>
      </w:r>
      <w:r w:rsidRPr="002A3AAE">
        <w:rPr>
          <w:rFonts w:ascii="Times New Roman" w:hAnsi="Times New Roman"/>
          <w:sz w:val="24"/>
        </w:rPr>
        <w:t xml:space="preserve"> (2003) 214 CLR 1 at 13-14 [36]-[38].</w:t>
      </w:r>
    </w:p>
  </w:footnote>
  <w:footnote w:id="53">
    <w:p w14:paraId="728A4A85" w14:textId="4D39AB82" w:rsidR="00E63566" w:rsidRPr="002A3AAE" w:rsidRDefault="00E63566"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proofErr w:type="spellStart"/>
      <w:r w:rsidR="0023639A" w:rsidRPr="002A3AAE">
        <w:rPr>
          <w:rFonts w:ascii="Times New Roman" w:hAnsi="Times New Roman"/>
          <w:i/>
          <w:iCs/>
          <w:sz w:val="24"/>
        </w:rPr>
        <w:t>Kioa</w:t>
      </w:r>
      <w:proofErr w:type="spellEnd"/>
      <w:r w:rsidR="0023639A" w:rsidRPr="002A3AAE">
        <w:rPr>
          <w:rFonts w:ascii="Times New Roman" w:hAnsi="Times New Roman"/>
          <w:i/>
          <w:iCs/>
          <w:sz w:val="24"/>
        </w:rPr>
        <w:t xml:space="preserve"> v West</w:t>
      </w:r>
      <w:r w:rsidR="0023639A" w:rsidRPr="002A3AAE">
        <w:rPr>
          <w:rFonts w:ascii="Times New Roman" w:hAnsi="Times New Roman"/>
          <w:sz w:val="24"/>
        </w:rPr>
        <w:t xml:space="preserve"> (1985) 159 CLR 550 at 633; </w:t>
      </w:r>
      <w:r w:rsidR="00CF7145" w:rsidRPr="002A3AAE">
        <w:rPr>
          <w:rFonts w:ascii="Times New Roman" w:hAnsi="Times New Roman"/>
          <w:i/>
          <w:iCs/>
          <w:sz w:val="24"/>
        </w:rPr>
        <w:t xml:space="preserve">International Finance Trust Co Ltd v New South Wales Crime Commission </w:t>
      </w:r>
      <w:r w:rsidR="00CF7145" w:rsidRPr="002A3AAE">
        <w:rPr>
          <w:rFonts w:ascii="Times New Roman" w:hAnsi="Times New Roman"/>
          <w:sz w:val="24"/>
        </w:rPr>
        <w:t>(2009) 240 CLR 319</w:t>
      </w:r>
      <w:r w:rsidR="00CF7145" w:rsidRPr="002A3AAE">
        <w:rPr>
          <w:rFonts w:ascii="Times New Roman" w:hAnsi="Times New Roman"/>
          <w:i/>
          <w:iCs/>
          <w:sz w:val="24"/>
        </w:rPr>
        <w:t xml:space="preserve"> </w:t>
      </w:r>
      <w:r w:rsidR="00CF7145" w:rsidRPr="002A3AAE">
        <w:rPr>
          <w:rFonts w:ascii="Times New Roman" w:hAnsi="Times New Roman"/>
          <w:sz w:val="24"/>
        </w:rPr>
        <w:t xml:space="preserve">at </w:t>
      </w:r>
      <w:r w:rsidR="006A431E" w:rsidRPr="002A3AAE">
        <w:rPr>
          <w:rFonts w:ascii="Times New Roman" w:hAnsi="Times New Roman"/>
          <w:sz w:val="24"/>
        </w:rPr>
        <w:t xml:space="preserve">380 </w:t>
      </w:r>
      <w:r w:rsidR="00CF7145" w:rsidRPr="002A3AAE">
        <w:rPr>
          <w:rFonts w:ascii="Times New Roman" w:hAnsi="Times New Roman"/>
          <w:sz w:val="24"/>
        </w:rPr>
        <w:t xml:space="preserve">[143]; </w:t>
      </w:r>
      <w:r w:rsidR="00D3059B" w:rsidRPr="002A3AAE">
        <w:rPr>
          <w:rFonts w:ascii="Times New Roman" w:hAnsi="Times New Roman"/>
          <w:i/>
          <w:iCs/>
          <w:sz w:val="24"/>
        </w:rPr>
        <w:t>Condon v Pompano Pty Ltd</w:t>
      </w:r>
      <w:r w:rsidR="00D3059B" w:rsidRPr="002A3AAE">
        <w:rPr>
          <w:rFonts w:ascii="Times New Roman" w:hAnsi="Times New Roman"/>
          <w:sz w:val="24"/>
        </w:rPr>
        <w:t xml:space="preserve"> </w:t>
      </w:r>
      <w:r w:rsidR="00ED46EE" w:rsidRPr="002A3AAE">
        <w:rPr>
          <w:rFonts w:ascii="Times New Roman" w:hAnsi="Times New Roman"/>
          <w:sz w:val="24"/>
        </w:rPr>
        <w:t xml:space="preserve">(2013) </w:t>
      </w:r>
      <w:r w:rsidR="00D3059B" w:rsidRPr="002A3AAE">
        <w:rPr>
          <w:rFonts w:ascii="Times New Roman" w:hAnsi="Times New Roman"/>
          <w:sz w:val="24"/>
        </w:rPr>
        <w:t xml:space="preserve">252 CLR 38 </w:t>
      </w:r>
      <w:r w:rsidR="00DD437C" w:rsidRPr="002A3AAE">
        <w:rPr>
          <w:rFonts w:ascii="Times New Roman" w:hAnsi="Times New Roman"/>
          <w:sz w:val="24"/>
        </w:rPr>
        <w:t xml:space="preserve">at </w:t>
      </w:r>
      <w:r w:rsidR="00225C9A" w:rsidRPr="002A3AAE">
        <w:rPr>
          <w:rFonts w:ascii="Times New Roman" w:hAnsi="Times New Roman"/>
          <w:sz w:val="24"/>
        </w:rPr>
        <w:t xml:space="preserve">107 </w:t>
      </w:r>
      <w:r w:rsidR="00DD437C" w:rsidRPr="002A3AAE">
        <w:rPr>
          <w:rFonts w:ascii="Times New Roman" w:hAnsi="Times New Roman"/>
          <w:sz w:val="24"/>
        </w:rPr>
        <w:t>[186]</w:t>
      </w:r>
      <w:r w:rsidRPr="002A3AAE">
        <w:rPr>
          <w:rFonts w:ascii="Times New Roman" w:hAnsi="Times New Roman"/>
          <w:sz w:val="24"/>
        </w:rPr>
        <w:t xml:space="preserve">. </w:t>
      </w:r>
    </w:p>
  </w:footnote>
  <w:footnote w:id="54">
    <w:p w14:paraId="4AF0EEBE" w14:textId="30855298" w:rsidR="000B3EAE" w:rsidRPr="002A3AAE" w:rsidRDefault="000B3EAE"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00A82BD5" w:rsidRPr="002A3AAE">
        <w:rPr>
          <w:rFonts w:ascii="Times New Roman" w:hAnsi="Times New Roman"/>
          <w:i/>
          <w:iCs/>
          <w:sz w:val="24"/>
        </w:rPr>
        <w:t>Minister for Immigration and Border Protection v WZARH</w:t>
      </w:r>
      <w:r w:rsidR="00A82BD5" w:rsidRPr="002A3AAE">
        <w:rPr>
          <w:rFonts w:ascii="Times New Roman" w:hAnsi="Times New Roman"/>
          <w:sz w:val="24"/>
        </w:rPr>
        <w:t xml:space="preserve"> (2015) 256 CLR 326</w:t>
      </w:r>
      <w:r w:rsidR="00B15190" w:rsidRPr="002A3AAE">
        <w:rPr>
          <w:rFonts w:ascii="Times New Roman" w:hAnsi="Times New Roman"/>
          <w:sz w:val="24"/>
        </w:rPr>
        <w:t xml:space="preserve"> </w:t>
      </w:r>
      <w:r w:rsidRPr="002A3AAE">
        <w:rPr>
          <w:rFonts w:ascii="Times New Roman" w:hAnsi="Times New Roman"/>
          <w:sz w:val="24"/>
        </w:rPr>
        <w:t>at</w:t>
      </w:r>
      <w:r w:rsidR="00A82BD5" w:rsidRPr="002A3AAE">
        <w:rPr>
          <w:rFonts w:ascii="Times New Roman" w:hAnsi="Times New Roman"/>
          <w:sz w:val="24"/>
        </w:rPr>
        <w:t xml:space="preserve"> 342</w:t>
      </w:r>
      <w:r w:rsidR="002C5873" w:rsidRPr="002A3AAE">
        <w:rPr>
          <w:rFonts w:ascii="Times New Roman" w:hAnsi="Times New Roman"/>
          <w:sz w:val="24"/>
        </w:rPr>
        <w:t>-</w:t>
      </w:r>
      <w:r w:rsidR="00ED3B2C" w:rsidRPr="002A3AAE">
        <w:rPr>
          <w:rFonts w:ascii="Times New Roman" w:hAnsi="Times New Roman"/>
          <w:sz w:val="24"/>
        </w:rPr>
        <w:t>34</w:t>
      </w:r>
      <w:r w:rsidR="002C5873" w:rsidRPr="002A3AAE">
        <w:rPr>
          <w:rFonts w:ascii="Times New Roman" w:hAnsi="Times New Roman"/>
          <w:sz w:val="24"/>
        </w:rPr>
        <w:t>3</w:t>
      </w:r>
      <w:r w:rsidRPr="002A3AAE">
        <w:rPr>
          <w:rFonts w:ascii="Times New Roman" w:hAnsi="Times New Roman"/>
          <w:sz w:val="24"/>
        </w:rPr>
        <w:t xml:space="preserve"> [60].</w:t>
      </w:r>
    </w:p>
  </w:footnote>
  <w:footnote w:id="55">
    <w:p w14:paraId="6289072F" w14:textId="4CC20C86" w:rsidR="00A636BE" w:rsidRPr="002A3AAE" w:rsidRDefault="00A636BE" w:rsidP="002A3AAE">
      <w:pPr>
        <w:pStyle w:val="FootnoteText"/>
        <w:spacing w:line="280" w:lineRule="exact"/>
        <w:ind w:right="0"/>
        <w:jc w:val="both"/>
        <w:rPr>
          <w:rFonts w:ascii="Times New Roman" w:hAnsi="Times New Roman"/>
          <w:sz w:val="24"/>
        </w:rPr>
      </w:pPr>
      <w:r w:rsidRPr="002A3AAE">
        <w:rPr>
          <w:rStyle w:val="FootnoteReference"/>
          <w:rFonts w:ascii="Times New Roman" w:hAnsi="Times New Roman"/>
          <w:sz w:val="22"/>
          <w:vertAlign w:val="baseline"/>
        </w:rPr>
        <w:footnoteRef/>
      </w:r>
      <w:r w:rsidRPr="002A3AAE">
        <w:rPr>
          <w:rFonts w:ascii="Times New Roman" w:hAnsi="Times New Roman"/>
          <w:sz w:val="24"/>
        </w:rPr>
        <w:t xml:space="preserve"> </w:t>
      </w:r>
      <w:r w:rsidRPr="002A3AAE">
        <w:rPr>
          <w:rFonts w:ascii="Times New Roman" w:hAnsi="Times New Roman"/>
          <w:sz w:val="24"/>
        </w:rPr>
        <w:tab/>
      </w:r>
      <w:r w:rsidR="00715243" w:rsidRPr="002A3AAE">
        <w:rPr>
          <w:rFonts w:ascii="Times New Roman" w:hAnsi="Times New Roman"/>
          <w:sz w:val="24"/>
        </w:rPr>
        <w:t>(1986) 161 CLR 141.</w:t>
      </w:r>
    </w:p>
  </w:footnote>
  <w:footnote w:id="56">
    <w:p w14:paraId="14823764" w14:textId="77777777" w:rsidR="0042544D" w:rsidRPr="00B379C9" w:rsidRDefault="0042544D" w:rsidP="00B379C9">
      <w:pPr>
        <w:pStyle w:val="FootnoteText"/>
        <w:spacing w:line="280" w:lineRule="exact"/>
        <w:ind w:right="0"/>
        <w:jc w:val="both"/>
        <w:rPr>
          <w:rFonts w:ascii="Times New Roman" w:hAnsi="Times New Roman"/>
          <w:sz w:val="24"/>
        </w:rPr>
      </w:pPr>
      <w:r w:rsidRPr="00B379C9">
        <w:rPr>
          <w:rStyle w:val="FootnoteReference"/>
          <w:rFonts w:ascii="Times New Roman" w:hAnsi="Times New Roman"/>
          <w:sz w:val="22"/>
          <w:vertAlign w:val="baseline"/>
        </w:rPr>
        <w:footnoteRef/>
      </w:r>
      <w:r w:rsidRPr="00B379C9">
        <w:rPr>
          <w:rFonts w:ascii="Times New Roman" w:hAnsi="Times New Roman"/>
          <w:sz w:val="24"/>
        </w:rPr>
        <w:t xml:space="preserve"> </w:t>
      </w:r>
      <w:r w:rsidRPr="00B379C9">
        <w:rPr>
          <w:rFonts w:ascii="Times New Roman" w:hAnsi="Times New Roman"/>
          <w:sz w:val="24"/>
        </w:rPr>
        <w:tab/>
        <w:t>(2015) 256 CLR 326.</w:t>
      </w:r>
    </w:p>
  </w:footnote>
  <w:footnote w:id="57">
    <w:p w14:paraId="6293ADCD" w14:textId="77777777" w:rsidR="0042544D" w:rsidRPr="00B379C9" w:rsidRDefault="0042544D" w:rsidP="00B379C9">
      <w:pPr>
        <w:pStyle w:val="FootnoteText"/>
        <w:spacing w:line="280" w:lineRule="exact"/>
        <w:ind w:right="0"/>
        <w:jc w:val="both"/>
        <w:rPr>
          <w:rFonts w:ascii="Times New Roman" w:hAnsi="Times New Roman"/>
          <w:sz w:val="24"/>
        </w:rPr>
      </w:pPr>
      <w:r w:rsidRPr="00B379C9">
        <w:rPr>
          <w:rStyle w:val="FootnoteReference"/>
          <w:rFonts w:ascii="Times New Roman" w:hAnsi="Times New Roman"/>
          <w:sz w:val="22"/>
          <w:vertAlign w:val="baseline"/>
        </w:rPr>
        <w:footnoteRef/>
      </w:r>
      <w:r w:rsidRPr="00B379C9">
        <w:rPr>
          <w:rFonts w:ascii="Times New Roman" w:hAnsi="Times New Roman"/>
          <w:sz w:val="24"/>
        </w:rPr>
        <w:t xml:space="preserve"> </w:t>
      </w:r>
      <w:r w:rsidRPr="00B379C9">
        <w:rPr>
          <w:rFonts w:ascii="Times New Roman" w:hAnsi="Times New Roman"/>
          <w:sz w:val="24"/>
        </w:rPr>
        <w:tab/>
        <w:t>(2015) 256 CLR 326 at 342-343 [59]-[60] (footnotes omitted).</w:t>
      </w:r>
    </w:p>
  </w:footnote>
  <w:footnote w:id="58">
    <w:p w14:paraId="567F6D55" w14:textId="77777777" w:rsidR="0042544D" w:rsidRPr="00B379C9" w:rsidRDefault="0042544D" w:rsidP="00B379C9">
      <w:pPr>
        <w:pStyle w:val="FootnoteText"/>
        <w:spacing w:line="280" w:lineRule="exact"/>
        <w:ind w:right="0"/>
        <w:jc w:val="both"/>
        <w:rPr>
          <w:rFonts w:ascii="Times New Roman" w:hAnsi="Times New Roman"/>
          <w:sz w:val="24"/>
        </w:rPr>
      </w:pPr>
      <w:r w:rsidRPr="00B379C9">
        <w:rPr>
          <w:rStyle w:val="FootnoteReference"/>
          <w:rFonts w:ascii="Times New Roman" w:hAnsi="Times New Roman"/>
          <w:sz w:val="22"/>
          <w:vertAlign w:val="baseline"/>
        </w:rPr>
        <w:footnoteRef/>
      </w:r>
      <w:r w:rsidRPr="00B379C9">
        <w:rPr>
          <w:rFonts w:ascii="Times New Roman" w:hAnsi="Times New Roman"/>
          <w:sz w:val="24"/>
        </w:rPr>
        <w:t xml:space="preserve"> </w:t>
      </w:r>
      <w:r w:rsidRPr="00B379C9">
        <w:rPr>
          <w:rFonts w:ascii="Times New Roman" w:hAnsi="Times New Roman"/>
          <w:sz w:val="24"/>
        </w:rPr>
        <w:tab/>
        <w:t xml:space="preserve">See </w:t>
      </w:r>
      <w:r w:rsidRPr="00B379C9">
        <w:rPr>
          <w:rFonts w:ascii="Times New Roman" w:hAnsi="Times New Roman"/>
          <w:i/>
          <w:sz w:val="24"/>
        </w:rPr>
        <w:t>Wilson Transformer Co Pty Ltd v Anti-Dumping Review Panel</w:t>
      </w:r>
      <w:r w:rsidRPr="00B379C9">
        <w:rPr>
          <w:rFonts w:ascii="Times New Roman" w:hAnsi="Times New Roman"/>
          <w:sz w:val="24"/>
        </w:rPr>
        <w:t xml:space="preserve"> </w:t>
      </w:r>
      <w:r w:rsidRPr="00B379C9">
        <w:rPr>
          <w:rFonts w:ascii="Times New Roman" w:hAnsi="Times New Roman"/>
          <w:i/>
          <w:sz w:val="24"/>
        </w:rPr>
        <w:t>[No 2]</w:t>
      </w:r>
      <w:r w:rsidRPr="00B379C9">
        <w:rPr>
          <w:rFonts w:ascii="Times New Roman" w:hAnsi="Times New Roman"/>
          <w:sz w:val="24"/>
        </w:rPr>
        <w:t xml:space="preserve"> [2022] FCAFC 30 at [25] and the cases there cited.</w:t>
      </w:r>
    </w:p>
  </w:footnote>
  <w:footnote w:id="59">
    <w:p w14:paraId="71924A3D" w14:textId="77777777" w:rsidR="0042544D" w:rsidRPr="00B379C9" w:rsidRDefault="0042544D" w:rsidP="00B379C9">
      <w:pPr>
        <w:pStyle w:val="FootnoteText"/>
        <w:spacing w:line="280" w:lineRule="exact"/>
        <w:ind w:right="0"/>
        <w:jc w:val="both"/>
        <w:rPr>
          <w:rFonts w:ascii="Times New Roman" w:hAnsi="Times New Roman"/>
          <w:sz w:val="24"/>
        </w:rPr>
      </w:pPr>
      <w:r w:rsidRPr="00B379C9">
        <w:rPr>
          <w:rStyle w:val="FootnoteReference"/>
          <w:rFonts w:ascii="Times New Roman" w:hAnsi="Times New Roman"/>
          <w:sz w:val="22"/>
          <w:vertAlign w:val="baseline"/>
        </w:rPr>
        <w:footnoteRef/>
      </w:r>
      <w:r w:rsidRPr="00B379C9">
        <w:rPr>
          <w:rFonts w:ascii="Times New Roman" w:hAnsi="Times New Roman"/>
          <w:sz w:val="24"/>
        </w:rPr>
        <w:t xml:space="preserve"> </w:t>
      </w:r>
      <w:r w:rsidRPr="00B379C9">
        <w:rPr>
          <w:rFonts w:ascii="Times New Roman" w:hAnsi="Times New Roman"/>
          <w:sz w:val="24"/>
        </w:rPr>
        <w:tab/>
      </w:r>
      <w:r w:rsidRPr="00B379C9">
        <w:rPr>
          <w:rFonts w:ascii="Times New Roman" w:hAnsi="Times New Roman"/>
          <w:i/>
          <w:sz w:val="24"/>
        </w:rPr>
        <w:t>Nathanson v Minister for Home Affairs</w:t>
      </w:r>
      <w:r w:rsidRPr="00B379C9">
        <w:rPr>
          <w:rFonts w:ascii="Times New Roman" w:hAnsi="Times New Roman"/>
          <w:sz w:val="24"/>
        </w:rPr>
        <w:t xml:space="preserve"> (2020) 281 FCR 23 at 38 [58].</w:t>
      </w:r>
    </w:p>
  </w:footnote>
  <w:footnote w:id="60">
    <w:p w14:paraId="143709BD" w14:textId="77777777" w:rsidR="0042544D" w:rsidRPr="00B379C9" w:rsidRDefault="0042544D" w:rsidP="00B379C9">
      <w:pPr>
        <w:pStyle w:val="FootnoteText"/>
        <w:spacing w:line="280" w:lineRule="exact"/>
        <w:ind w:right="0"/>
        <w:jc w:val="both"/>
        <w:rPr>
          <w:rFonts w:ascii="Times New Roman" w:hAnsi="Times New Roman"/>
          <w:sz w:val="24"/>
        </w:rPr>
      </w:pPr>
      <w:r w:rsidRPr="00B379C9">
        <w:rPr>
          <w:rStyle w:val="FootnoteReference"/>
          <w:rFonts w:ascii="Times New Roman" w:hAnsi="Times New Roman"/>
          <w:sz w:val="22"/>
          <w:vertAlign w:val="baseline"/>
        </w:rPr>
        <w:footnoteRef/>
      </w:r>
      <w:r w:rsidRPr="00B379C9">
        <w:rPr>
          <w:rFonts w:ascii="Times New Roman" w:hAnsi="Times New Roman"/>
          <w:sz w:val="24"/>
        </w:rPr>
        <w:t xml:space="preserve"> </w:t>
      </w:r>
      <w:r w:rsidRPr="00B379C9">
        <w:rPr>
          <w:rFonts w:ascii="Times New Roman" w:hAnsi="Times New Roman"/>
          <w:sz w:val="24"/>
        </w:rPr>
        <w:tab/>
        <w:t>(2003) 214 CLR 1 at 14 [37].</w:t>
      </w:r>
    </w:p>
  </w:footnote>
  <w:footnote w:id="61">
    <w:p w14:paraId="1E7D49A4" w14:textId="77777777" w:rsidR="0042544D" w:rsidRPr="00B379C9" w:rsidRDefault="0042544D" w:rsidP="00B379C9">
      <w:pPr>
        <w:pStyle w:val="FootnoteText"/>
        <w:spacing w:line="280" w:lineRule="exact"/>
        <w:ind w:right="0"/>
        <w:jc w:val="both"/>
        <w:rPr>
          <w:rFonts w:ascii="Times New Roman" w:hAnsi="Times New Roman"/>
          <w:sz w:val="24"/>
        </w:rPr>
      </w:pPr>
      <w:r w:rsidRPr="00B379C9">
        <w:rPr>
          <w:rStyle w:val="FootnoteReference"/>
          <w:rFonts w:ascii="Times New Roman" w:hAnsi="Times New Roman"/>
          <w:sz w:val="22"/>
          <w:vertAlign w:val="baseline"/>
        </w:rPr>
        <w:footnoteRef/>
      </w:r>
      <w:r w:rsidRPr="00B379C9">
        <w:rPr>
          <w:rFonts w:ascii="Times New Roman" w:hAnsi="Times New Roman"/>
          <w:sz w:val="24"/>
        </w:rPr>
        <w:t xml:space="preserve"> </w:t>
      </w:r>
      <w:r w:rsidRPr="00B379C9">
        <w:rPr>
          <w:rFonts w:ascii="Times New Roman" w:hAnsi="Times New Roman"/>
          <w:sz w:val="24"/>
        </w:rPr>
        <w:tab/>
        <w:t>(2015) 256 CLR 326 at 342 [58] (emphasis added).</w:t>
      </w:r>
    </w:p>
  </w:footnote>
  <w:footnote w:id="62">
    <w:p w14:paraId="477ED1F9" w14:textId="77777777" w:rsidR="0042544D" w:rsidRPr="00B379C9" w:rsidRDefault="0042544D" w:rsidP="00B379C9">
      <w:pPr>
        <w:pStyle w:val="FootnoteText"/>
        <w:spacing w:line="280" w:lineRule="exact"/>
        <w:ind w:right="0"/>
        <w:jc w:val="both"/>
        <w:rPr>
          <w:rFonts w:ascii="Times New Roman" w:hAnsi="Times New Roman"/>
          <w:sz w:val="24"/>
        </w:rPr>
      </w:pPr>
      <w:r w:rsidRPr="00B379C9">
        <w:rPr>
          <w:rStyle w:val="FootnoteReference"/>
          <w:rFonts w:ascii="Times New Roman" w:hAnsi="Times New Roman"/>
          <w:sz w:val="22"/>
          <w:vertAlign w:val="baseline"/>
        </w:rPr>
        <w:footnoteRef/>
      </w:r>
      <w:r w:rsidRPr="00B379C9">
        <w:rPr>
          <w:rFonts w:ascii="Times New Roman" w:hAnsi="Times New Roman"/>
          <w:sz w:val="24"/>
        </w:rPr>
        <w:t xml:space="preserve"> </w:t>
      </w:r>
      <w:r w:rsidRPr="00B379C9">
        <w:rPr>
          <w:rFonts w:ascii="Times New Roman" w:hAnsi="Times New Roman"/>
          <w:sz w:val="24"/>
        </w:rPr>
        <w:tab/>
        <w:t>(2019) 264 CLR 421.</w:t>
      </w:r>
    </w:p>
  </w:footnote>
  <w:footnote w:id="63">
    <w:p w14:paraId="674A1C8A" w14:textId="77777777" w:rsidR="0042544D" w:rsidRPr="00B379C9" w:rsidRDefault="0042544D" w:rsidP="00B379C9">
      <w:pPr>
        <w:pStyle w:val="FootnoteText"/>
        <w:spacing w:line="280" w:lineRule="exact"/>
        <w:ind w:right="0"/>
        <w:jc w:val="both"/>
        <w:rPr>
          <w:rFonts w:ascii="Times New Roman" w:hAnsi="Times New Roman"/>
          <w:sz w:val="24"/>
        </w:rPr>
      </w:pPr>
      <w:r w:rsidRPr="00B379C9">
        <w:rPr>
          <w:rStyle w:val="FootnoteReference"/>
          <w:rFonts w:ascii="Times New Roman" w:hAnsi="Times New Roman"/>
          <w:sz w:val="22"/>
          <w:vertAlign w:val="baseline"/>
        </w:rPr>
        <w:footnoteRef/>
      </w:r>
      <w:r w:rsidRPr="00B379C9">
        <w:rPr>
          <w:rFonts w:ascii="Times New Roman" w:hAnsi="Times New Roman"/>
          <w:sz w:val="24"/>
        </w:rPr>
        <w:t xml:space="preserve"> </w:t>
      </w:r>
      <w:r w:rsidRPr="00B379C9">
        <w:rPr>
          <w:rFonts w:ascii="Times New Roman" w:hAnsi="Times New Roman"/>
          <w:sz w:val="24"/>
        </w:rPr>
        <w:tab/>
        <w:t>(2021) 95 ALJR 441; 390 ALR 590.</w:t>
      </w:r>
    </w:p>
  </w:footnote>
  <w:footnote w:id="64">
    <w:p w14:paraId="2135C73B" w14:textId="77777777" w:rsidR="0042544D" w:rsidRPr="00B379C9" w:rsidRDefault="0042544D" w:rsidP="00B379C9">
      <w:pPr>
        <w:pStyle w:val="FootnoteText"/>
        <w:spacing w:line="280" w:lineRule="exact"/>
        <w:ind w:right="0"/>
        <w:jc w:val="both"/>
        <w:rPr>
          <w:rFonts w:ascii="Times New Roman" w:hAnsi="Times New Roman"/>
          <w:sz w:val="24"/>
        </w:rPr>
      </w:pPr>
      <w:r w:rsidRPr="00B379C9">
        <w:rPr>
          <w:rStyle w:val="FootnoteReference"/>
          <w:rFonts w:ascii="Times New Roman" w:hAnsi="Times New Roman"/>
          <w:sz w:val="22"/>
          <w:vertAlign w:val="baseline"/>
        </w:rPr>
        <w:footnoteRef/>
      </w:r>
      <w:r w:rsidRPr="00B379C9">
        <w:rPr>
          <w:rFonts w:ascii="Times New Roman" w:hAnsi="Times New Roman"/>
          <w:sz w:val="24"/>
        </w:rPr>
        <w:t xml:space="preserve"> </w:t>
      </w:r>
      <w:r w:rsidRPr="00B379C9">
        <w:rPr>
          <w:rFonts w:ascii="Times New Roman" w:hAnsi="Times New Roman"/>
          <w:sz w:val="24"/>
        </w:rPr>
        <w:tab/>
        <w:t>(2021) 95 ALJR 441 at 455-457 [45]-[50], 457-458 [55]-[58]; 390 ALR 590 at 601-604.</w:t>
      </w:r>
    </w:p>
  </w:footnote>
  <w:footnote w:id="65">
    <w:p w14:paraId="2728E7E5" w14:textId="77777777" w:rsidR="0042544D" w:rsidRPr="00B379C9" w:rsidRDefault="0042544D" w:rsidP="00B379C9">
      <w:pPr>
        <w:pStyle w:val="FootnoteText"/>
        <w:spacing w:line="280" w:lineRule="exact"/>
        <w:ind w:right="0"/>
        <w:jc w:val="both"/>
        <w:rPr>
          <w:rFonts w:ascii="Times New Roman" w:hAnsi="Times New Roman"/>
          <w:sz w:val="24"/>
        </w:rPr>
      </w:pPr>
      <w:r w:rsidRPr="00B379C9">
        <w:rPr>
          <w:rStyle w:val="FootnoteReference"/>
          <w:rFonts w:ascii="Times New Roman" w:hAnsi="Times New Roman"/>
          <w:sz w:val="22"/>
          <w:vertAlign w:val="baseline"/>
        </w:rPr>
        <w:footnoteRef/>
      </w:r>
      <w:r w:rsidRPr="00B379C9">
        <w:rPr>
          <w:rFonts w:ascii="Times New Roman" w:hAnsi="Times New Roman"/>
          <w:sz w:val="24"/>
        </w:rPr>
        <w:t xml:space="preserve"> </w:t>
      </w:r>
      <w:r w:rsidRPr="00B379C9">
        <w:rPr>
          <w:rFonts w:ascii="Times New Roman" w:hAnsi="Times New Roman"/>
          <w:sz w:val="24"/>
        </w:rPr>
        <w:tab/>
        <w:t>(1986) 161 CLR 141.</w:t>
      </w:r>
    </w:p>
  </w:footnote>
  <w:footnote w:id="66">
    <w:p w14:paraId="6754FE47" w14:textId="77777777" w:rsidR="0042544D" w:rsidRPr="00B379C9" w:rsidRDefault="0042544D" w:rsidP="00B379C9">
      <w:pPr>
        <w:pStyle w:val="FootnoteText"/>
        <w:spacing w:line="280" w:lineRule="exact"/>
        <w:ind w:right="0"/>
        <w:jc w:val="both"/>
        <w:rPr>
          <w:rFonts w:ascii="Times New Roman" w:hAnsi="Times New Roman"/>
          <w:sz w:val="24"/>
        </w:rPr>
      </w:pPr>
      <w:r w:rsidRPr="00B379C9">
        <w:rPr>
          <w:rStyle w:val="FootnoteReference"/>
          <w:rFonts w:ascii="Times New Roman" w:hAnsi="Times New Roman"/>
          <w:sz w:val="22"/>
          <w:vertAlign w:val="baseline"/>
        </w:rPr>
        <w:footnoteRef/>
      </w:r>
      <w:r w:rsidRPr="00B379C9">
        <w:rPr>
          <w:rFonts w:ascii="Times New Roman" w:hAnsi="Times New Roman"/>
          <w:sz w:val="24"/>
        </w:rPr>
        <w:t xml:space="preserve"> </w:t>
      </w:r>
      <w:r w:rsidRPr="00B379C9">
        <w:rPr>
          <w:rFonts w:ascii="Times New Roman" w:hAnsi="Times New Roman"/>
          <w:sz w:val="24"/>
        </w:rPr>
        <w:tab/>
        <w:t>(2000) 204 CLR 82.</w:t>
      </w:r>
    </w:p>
  </w:footnote>
  <w:footnote w:id="67">
    <w:p w14:paraId="42ABCB93" w14:textId="77777777" w:rsidR="0042544D" w:rsidRPr="00B379C9" w:rsidRDefault="0042544D" w:rsidP="00B379C9">
      <w:pPr>
        <w:pStyle w:val="FootnoteText"/>
        <w:spacing w:line="280" w:lineRule="exact"/>
        <w:ind w:right="0"/>
        <w:jc w:val="both"/>
        <w:rPr>
          <w:rFonts w:ascii="Times New Roman" w:hAnsi="Times New Roman"/>
          <w:sz w:val="24"/>
        </w:rPr>
      </w:pPr>
      <w:r w:rsidRPr="00B379C9">
        <w:rPr>
          <w:rStyle w:val="FootnoteReference"/>
          <w:rFonts w:ascii="Times New Roman" w:hAnsi="Times New Roman"/>
          <w:sz w:val="22"/>
          <w:vertAlign w:val="baseline"/>
        </w:rPr>
        <w:footnoteRef/>
      </w:r>
      <w:r w:rsidRPr="00B379C9">
        <w:rPr>
          <w:rFonts w:ascii="Times New Roman" w:hAnsi="Times New Roman"/>
          <w:sz w:val="24"/>
        </w:rPr>
        <w:t xml:space="preserve"> </w:t>
      </w:r>
      <w:r w:rsidRPr="00B379C9">
        <w:rPr>
          <w:rFonts w:ascii="Times New Roman" w:hAnsi="Times New Roman"/>
          <w:sz w:val="24"/>
        </w:rPr>
        <w:tab/>
      </w:r>
      <w:r w:rsidRPr="00B379C9">
        <w:rPr>
          <w:rFonts w:ascii="Times New Roman" w:hAnsi="Times New Roman"/>
          <w:i/>
          <w:sz w:val="24"/>
        </w:rPr>
        <w:t>Stead v State Government Insurance Commission</w:t>
      </w:r>
      <w:r w:rsidRPr="00B379C9">
        <w:rPr>
          <w:rFonts w:ascii="Times New Roman" w:hAnsi="Times New Roman"/>
          <w:sz w:val="24"/>
        </w:rPr>
        <w:t xml:space="preserve"> (1986) 161 CLR 141 at 145, quoted in </w:t>
      </w:r>
      <w:r w:rsidRPr="00B379C9">
        <w:rPr>
          <w:rFonts w:ascii="Times New Roman" w:hAnsi="Times New Roman"/>
          <w:i/>
          <w:sz w:val="24"/>
        </w:rPr>
        <w:t xml:space="preserve">Re Refugee Review Tribunal; Ex </w:t>
      </w:r>
      <w:proofErr w:type="spellStart"/>
      <w:r w:rsidRPr="00B379C9">
        <w:rPr>
          <w:rFonts w:ascii="Times New Roman" w:hAnsi="Times New Roman"/>
          <w:i/>
          <w:sz w:val="24"/>
        </w:rPr>
        <w:t>parte</w:t>
      </w:r>
      <w:proofErr w:type="spellEnd"/>
      <w:r w:rsidRPr="00B379C9">
        <w:rPr>
          <w:rFonts w:ascii="Times New Roman" w:hAnsi="Times New Roman"/>
          <w:i/>
          <w:sz w:val="24"/>
        </w:rPr>
        <w:t xml:space="preserve"> </w:t>
      </w:r>
      <w:proofErr w:type="spellStart"/>
      <w:r w:rsidRPr="00B379C9">
        <w:rPr>
          <w:rFonts w:ascii="Times New Roman" w:hAnsi="Times New Roman"/>
          <w:i/>
          <w:sz w:val="24"/>
        </w:rPr>
        <w:t>Aala</w:t>
      </w:r>
      <w:proofErr w:type="spellEnd"/>
      <w:r w:rsidRPr="00B379C9">
        <w:rPr>
          <w:rFonts w:ascii="Times New Roman" w:hAnsi="Times New Roman"/>
          <w:i/>
          <w:sz w:val="24"/>
        </w:rPr>
        <w:t xml:space="preserve"> </w:t>
      </w:r>
      <w:r w:rsidRPr="00B379C9">
        <w:rPr>
          <w:rFonts w:ascii="Times New Roman" w:hAnsi="Times New Roman"/>
          <w:sz w:val="24"/>
        </w:rPr>
        <w:t>(2000) 204 CLR 82 at 122 [104].</w:t>
      </w:r>
    </w:p>
  </w:footnote>
  <w:footnote w:id="68">
    <w:p w14:paraId="53ADA1D0" w14:textId="77777777" w:rsidR="0042544D" w:rsidRPr="00B379C9" w:rsidRDefault="0042544D" w:rsidP="00B379C9">
      <w:pPr>
        <w:pStyle w:val="FootnoteText"/>
        <w:spacing w:line="280" w:lineRule="exact"/>
        <w:ind w:right="0"/>
        <w:jc w:val="both"/>
        <w:rPr>
          <w:rFonts w:ascii="Times New Roman" w:hAnsi="Times New Roman"/>
          <w:sz w:val="24"/>
        </w:rPr>
      </w:pPr>
      <w:r w:rsidRPr="00B379C9">
        <w:rPr>
          <w:rStyle w:val="FootnoteReference"/>
          <w:rFonts w:ascii="Times New Roman" w:hAnsi="Times New Roman"/>
          <w:sz w:val="22"/>
          <w:vertAlign w:val="baseline"/>
        </w:rPr>
        <w:footnoteRef/>
      </w:r>
      <w:r w:rsidRPr="00B379C9">
        <w:rPr>
          <w:rFonts w:ascii="Times New Roman" w:hAnsi="Times New Roman"/>
          <w:sz w:val="24"/>
        </w:rPr>
        <w:t xml:space="preserve"> </w:t>
      </w:r>
      <w:r w:rsidRPr="00B379C9">
        <w:rPr>
          <w:rFonts w:ascii="Times New Roman" w:hAnsi="Times New Roman"/>
          <w:sz w:val="24"/>
        </w:rPr>
        <w:tab/>
        <w:t>(2021) 95 ALJR 441 at 456 [48]; 390 ALR 590 at 602.</w:t>
      </w:r>
    </w:p>
  </w:footnote>
  <w:footnote w:id="69">
    <w:p w14:paraId="4725997B" w14:textId="77777777" w:rsidR="0042544D" w:rsidRPr="00B379C9" w:rsidRDefault="0042544D" w:rsidP="00B379C9">
      <w:pPr>
        <w:pStyle w:val="FootnoteText"/>
        <w:spacing w:line="280" w:lineRule="exact"/>
        <w:ind w:right="0"/>
        <w:jc w:val="both"/>
        <w:rPr>
          <w:rFonts w:ascii="Times New Roman" w:hAnsi="Times New Roman"/>
          <w:sz w:val="24"/>
        </w:rPr>
      </w:pPr>
      <w:r w:rsidRPr="00B379C9">
        <w:rPr>
          <w:rStyle w:val="FootnoteReference"/>
          <w:rFonts w:ascii="Times New Roman" w:hAnsi="Times New Roman"/>
          <w:sz w:val="22"/>
          <w:vertAlign w:val="baseline"/>
        </w:rPr>
        <w:footnoteRef/>
      </w:r>
      <w:r w:rsidRPr="00B379C9">
        <w:rPr>
          <w:rFonts w:ascii="Times New Roman" w:hAnsi="Times New Roman"/>
          <w:sz w:val="24"/>
        </w:rPr>
        <w:t xml:space="preserve"> </w:t>
      </w:r>
      <w:r w:rsidRPr="00B379C9">
        <w:rPr>
          <w:rFonts w:ascii="Times New Roman" w:hAnsi="Times New Roman"/>
          <w:sz w:val="24"/>
        </w:rPr>
        <w:tab/>
        <w:t>(2021) 95 ALJR 441 at 456 [48]; 390 ALR 590 at 602.</w:t>
      </w:r>
    </w:p>
  </w:footnote>
  <w:footnote w:id="70">
    <w:p w14:paraId="087DD343" w14:textId="77777777" w:rsidR="0042544D" w:rsidRPr="00B379C9" w:rsidRDefault="0042544D" w:rsidP="00B379C9">
      <w:pPr>
        <w:pStyle w:val="FootnoteText"/>
        <w:spacing w:line="280" w:lineRule="exact"/>
        <w:ind w:right="0"/>
        <w:jc w:val="both"/>
        <w:rPr>
          <w:rFonts w:ascii="Times New Roman" w:hAnsi="Times New Roman"/>
          <w:sz w:val="24"/>
        </w:rPr>
      </w:pPr>
      <w:r w:rsidRPr="00B379C9">
        <w:rPr>
          <w:rStyle w:val="FootnoteReference"/>
          <w:rFonts w:ascii="Times New Roman" w:hAnsi="Times New Roman"/>
          <w:sz w:val="22"/>
          <w:vertAlign w:val="baseline"/>
        </w:rPr>
        <w:footnoteRef/>
      </w:r>
      <w:r w:rsidRPr="00B379C9">
        <w:rPr>
          <w:rFonts w:ascii="Times New Roman" w:hAnsi="Times New Roman"/>
          <w:sz w:val="24"/>
        </w:rPr>
        <w:t xml:space="preserve"> </w:t>
      </w:r>
      <w:r w:rsidRPr="00B379C9">
        <w:rPr>
          <w:rFonts w:ascii="Times New Roman" w:hAnsi="Times New Roman"/>
          <w:sz w:val="24"/>
        </w:rPr>
        <w:tab/>
        <w:t>(2000) 204 CLR 82 at 128 [122].</w:t>
      </w:r>
    </w:p>
  </w:footnote>
  <w:footnote w:id="71">
    <w:p w14:paraId="5E1E6111" w14:textId="77777777" w:rsidR="0042544D" w:rsidRPr="00B379C9" w:rsidRDefault="0042544D" w:rsidP="00B379C9">
      <w:pPr>
        <w:pStyle w:val="FootnoteText"/>
        <w:spacing w:line="280" w:lineRule="exact"/>
        <w:ind w:right="0"/>
        <w:jc w:val="both"/>
        <w:rPr>
          <w:rFonts w:ascii="Times New Roman" w:hAnsi="Times New Roman"/>
          <w:sz w:val="24"/>
        </w:rPr>
      </w:pPr>
      <w:r w:rsidRPr="00B379C9">
        <w:rPr>
          <w:rStyle w:val="FootnoteReference"/>
          <w:rFonts w:ascii="Times New Roman" w:hAnsi="Times New Roman"/>
          <w:sz w:val="22"/>
          <w:vertAlign w:val="baseline"/>
        </w:rPr>
        <w:footnoteRef/>
      </w:r>
      <w:r w:rsidRPr="00B379C9">
        <w:rPr>
          <w:rFonts w:ascii="Times New Roman" w:hAnsi="Times New Roman"/>
          <w:sz w:val="24"/>
        </w:rPr>
        <w:t xml:space="preserve"> </w:t>
      </w:r>
      <w:r w:rsidRPr="00B379C9">
        <w:rPr>
          <w:rFonts w:ascii="Times New Roman" w:hAnsi="Times New Roman"/>
          <w:sz w:val="24"/>
        </w:rPr>
        <w:tab/>
        <w:t>(2000) 204 CLR 82 at 88-89 [3]-[4], 116-117 [80], 131-132 [133], 144 [172], 154</w:t>
      </w:r>
      <w:r>
        <w:rPr>
          <w:rFonts w:ascii="Times New Roman" w:hAnsi="Times New Roman"/>
          <w:sz w:val="24"/>
        </w:rPr>
        <w:noBreakHyphen/>
      </w:r>
      <w:r w:rsidRPr="00B379C9">
        <w:rPr>
          <w:rFonts w:ascii="Times New Roman" w:hAnsi="Times New Roman"/>
          <w:sz w:val="24"/>
        </w:rPr>
        <w:t xml:space="preserve">155 [211]. </w:t>
      </w:r>
    </w:p>
  </w:footnote>
  <w:footnote w:id="72">
    <w:p w14:paraId="4E7EBE10" w14:textId="77777777" w:rsidR="0042544D" w:rsidRPr="00B379C9" w:rsidRDefault="0042544D" w:rsidP="00B379C9">
      <w:pPr>
        <w:pStyle w:val="FootnoteText"/>
        <w:spacing w:line="280" w:lineRule="exact"/>
        <w:ind w:right="0"/>
        <w:jc w:val="both"/>
        <w:rPr>
          <w:rFonts w:ascii="Times New Roman" w:hAnsi="Times New Roman"/>
          <w:sz w:val="24"/>
        </w:rPr>
      </w:pPr>
      <w:r w:rsidRPr="00B379C9">
        <w:rPr>
          <w:rStyle w:val="FootnoteReference"/>
          <w:rFonts w:ascii="Times New Roman" w:hAnsi="Times New Roman"/>
          <w:sz w:val="22"/>
          <w:vertAlign w:val="baseline"/>
        </w:rPr>
        <w:footnoteRef/>
      </w:r>
      <w:r w:rsidRPr="00B379C9">
        <w:rPr>
          <w:rFonts w:ascii="Times New Roman" w:hAnsi="Times New Roman"/>
          <w:sz w:val="24"/>
        </w:rPr>
        <w:t xml:space="preserve"> </w:t>
      </w:r>
      <w:r w:rsidRPr="00B379C9">
        <w:rPr>
          <w:rFonts w:ascii="Times New Roman" w:hAnsi="Times New Roman"/>
          <w:sz w:val="24"/>
        </w:rPr>
        <w:tab/>
        <w:t>(2000) 204 CLR 82 at 89 [4].</w:t>
      </w:r>
    </w:p>
  </w:footnote>
  <w:footnote w:id="73">
    <w:p w14:paraId="6F4E5370" w14:textId="77777777" w:rsidR="0042544D" w:rsidRPr="00B379C9" w:rsidRDefault="0042544D" w:rsidP="00B379C9">
      <w:pPr>
        <w:pStyle w:val="FootnoteText"/>
        <w:spacing w:line="280" w:lineRule="exact"/>
        <w:ind w:right="0"/>
        <w:jc w:val="both"/>
        <w:rPr>
          <w:rFonts w:ascii="Times New Roman" w:hAnsi="Times New Roman"/>
          <w:sz w:val="24"/>
        </w:rPr>
      </w:pPr>
      <w:r w:rsidRPr="00B379C9">
        <w:rPr>
          <w:rStyle w:val="FootnoteReference"/>
          <w:rFonts w:ascii="Times New Roman" w:hAnsi="Times New Roman"/>
          <w:sz w:val="22"/>
          <w:vertAlign w:val="baseline"/>
        </w:rPr>
        <w:footnoteRef/>
      </w:r>
      <w:r w:rsidRPr="00B379C9">
        <w:rPr>
          <w:rFonts w:ascii="Times New Roman" w:hAnsi="Times New Roman"/>
          <w:sz w:val="24"/>
        </w:rPr>
        <w:t xml:space="preserve"> </w:t>
      </w:r>
      <w:r w:rsidRPr="00B379C9">
        <w:rPr>
          <w:rFonts w:ascii="Times New Roman" w:hAnsi="Times New Roman"/>
          <w:sz w:val="24"/>
        </w:rPr>
        <w:tab/>
        <w:t xml:space="preserve">(2000) 204 CLR 82 at 117 [81], quoting </w:t>
      </w:r>
      <w:r w:rsidRPr="00B379C9">
        <w:rPr>
          <w:rFonts w:ascii="Times New Roman" w:hAnsi="Times New Roman"/>
          <w:i/>
          <w:sz w:val="24"/>
        </w:rPr>
        <w:t>John v Rees</w:t>
      </w:r>
      <w:r w:rsidRPr="00B379C9">
        <w:rPr>
          <w:rFonts w:ascii="Times New Roman" w:hAnsi="Times New Roman"/>
          <w:sz w:val="24"/>
        </w:rPr>
        <w:t xml:space="preserve"> [1970] Ch 345 at 402.</w:t>
      </w:r>
    </w:p>
  </w:footnote>
  <w:footnote w:id="74">
    <w:p w14:paraId="2AE3D18C" w14:textId="77777777" w:rsidR="0042544D" w:rsidRPr="00B379C9" w:rsidRDefault="0042544D" w:rsidP="00B379C9">
      <w:pPr>
        <w:pStyle w:val="FootnoteText"/>
        <w:spacing w:line="280" w:lineRule="exact"/>
        <w:ind w:right="0"/>
        <w:jc w:val="both"/>
        <w:rPr>
          <w:rFonts w:ascii="Times New Roman" w:hAnsi="Times New Roman"/>
          <w:sz w:val="24"/>
        </w:rPr>
      </w:pPr>
      <w:r w:rsidRPr="00B379C9">
        <w:rPr>
          <w:rStyle w:val="FootnoteReference"/>
          <w:rFonts w:ascii="Times New Roman" w:hAnsi="Times New Roman"/>
          <w:sz w:val="22"/>
          <w:vertAlign w:val="baseline"/>
        </w:rPr>
        <w:footnoteRef/>
      </w:r>
      <w:r w:rsidRPr="00B379C9">
        <w:rPr>
          <w:rFonts w:ascii="Times New Roman" w:hAnsi="Times New Roman"/>
          <w:sz w:val="24"/>
        </w:rPr>
        <w:t xml:space="preserve"> </w:t>
      </w:r>
      <w:r w:rsidRPr="00B379C9">
        <w:rPr>
          <w:rFonts w:ascii="Times New Roman" w:hAnsi="Times New Roman"/>
          <w:sz w:val="24"/>
        </w:rPr>
        <w:tab/>
        <w:t xml:space="preserve">See </w:t>
      </w:r>
      <w:r w:rsidRPr="00B379C9">
        <w:rPr>
          <w:rFonts w:ascii="Times New Roman" w:hAnsi="Times New Roman"/>
          <w:i/>
          <w:sz w:val="24"/>
        </w:rPr>
        <w:t>International Finance Trust Co Ltd v New South Wales Crime Commission</w:t>
      </w:r>
      <w:r w:rsidRPr="00B379C9">
        <w:rPr>
          <w:rFonts w:ascii="Times New Roman" w:hAnsi="Times New Roman"/>
          <w:sz w:val="24"/>
        </w:rPr>
        <w:t xml:space="preserve"> (2009) 240 CLR 319 at 380 [143].</w:t>
      </w:r>
    </w:p>
  </w:footnote>
  <w:footnote w:id="75">
    <w:p w14:paraId="00EAA408" w14:textId="77777777" w:rsidR="0042544D" w:rsidRPr="00B379C9" w:rsidRDefault="0042544D" w:rsidP="00B379C9">
      <w:pPr>
        <w:pStyle w:val="FootnoteText"/>
        <w:spacing w:line="280" w:lineRule="exact"/>
        <w:ind w:right="0"/>
        <w:jc w:val="both"/>
        <w:rPr>
          <w:rFonts w:ascii="Times New Roman" w:hAnsi="Times New Roman"/>
          <w:sz w:val="24"/>
        </w:rPr>
      </w:pPr>
      <w:r w:rsidRPr="00B379C9">
        <w:rPr>
          <w:rStyle w:val="FootnoteReference"/>
          <w:rFonts w:ascii="Times New Roman" w:hAnsi="Times New Roman"/>
          <w:sz w:val="22"/>
          <w:vertAlign w:val="baseline"/>
        </w:rPr>
        <w:footnoteRef/>
      </w:r>
      <w:r w:rsidRPr="00B379C9">
        <w:rPr>
          <w:rFonts w:ascii="Times New Roman" w:hAnsi="Times New Roman"/>
          <w:sz w:val="24"/>
        </w:rPr>
        <w:t xml:space="preserve"> </w:t>
      </w:r>
      <w:r w:rsidRPr="00B379C9">
        <w:rPr>
          <w:rFonts w:ascii="Times New Roman" w:hAnsi="Times New Roman"/>
          <w:sz w:val="24"/>
        </w:rPr>
        <w:tab/>
        <w:t xml:space="preserve">See </w:t>
      </w:r>
      <w:proofErr w:type="spellStart"/>
      <w:r w:rsidRPr="00B379C9">
        <w:rPr>
          <w:rFonts w:ascii="Times New Roman" w:hAnsi="Times New Roman"/>
          <w:i/>
          <w:sz w:val="24"/>
        </w:rPr>
        <w:t>Kioa</w:t>
      </w:r>
      <w:proofErr w:type="spellEnd"/>
      <w:r w:rsidRPr="00B379C9">
        <w:rPr>
          <w:rFonts w:ascii="Times New Roman" w:hAnsi="Times New Roman"/>
          <w:i/>
          <w:sz w:val="24"/>
        </w:rPr>
        <w:t xml:space="preserve"> v West</w:t>
      </w:r>
      <w:r w:rsidRPr="00B379C9">
        <w:rPr>
          <w:rFonts w:ascii="Times New Roman" w:hAnsi="Times New Roman"/>
          <w:sz w:val="24"/>
        </w:rPr>
        <w:t xml:space="preserve"> (1985) 159 CLR 550 at 633; </w:t>
      </w:r>
      <w:r w:rsidRPr="00B379C9">
        <w:rPr>
          <w:rFonts w:ascii="Times New Roman" w:hAnsi="Times New Roman"/>
          <w:i/>
          <w:sz w:val="24"/>
        </w:rPr>
        <w:t>Colpitts v Australian Telecommunications Commission</w:t>
      </w:r>
      <w:r w:rsidRPr="00B379C9">
        <w:rPr>
          <w:rFonts w:ascii="Times New Roman" w:hAnsi="Times New Roman"/>
          <w:sz w:val="24"/>
        </w:rPr>
        <w:t xml:space="preserve"> (1986) 9 FCR 52 at 71.</w:t>
      </w:r>
    </w:p>
  </w:footnote>
  <w:footnote w:id="76">
    <w:p w14:paraId="44A374EA" w14:textId="77777777" w:rsidR="0042544D" w:rsidRPr="00B379C9" w:rsidRDefault="0042544D" w:rsidP="00B379C9">
      <w:pPr>
        <w:pStyle w:val="FootnoteText"/>
        <w:spacing w:line="280" w:lineRule="exact"/>
        <w:ind w:right="0"/>
        <w:jc w:val="both"/>
        <w:rPr>
          <w:rFonts w:ascii="Times New Roman" w:hAnsi="Times New Roman"/>
          <w:sz w:val="24"/>
        </w:rPr>
      </w:pPr>
      <w:r w:rsidRPr="00B379C9">
        <w:rPr>
          <w:rStyle w:val="FootnoteReference"/>
          <w:rFonts w:ascii="Times New Roman" w:hAnsi="Times New Roman"/>
          <w:sz w:val="22"/>
          <w:vertAlign w:val="baseline"/>
        </w:rPr>
        <w:footnoteRef/>
      </w:r>
      <w:r w:rsidRPr="00B379C9">
        <w:rPr>
          <w:rFonts w:ascii="Times New Roman" w:hAnsi="Times New Roman"/>
          <w:sz w:val="24"/>
        </w:rPr>
        <w:t xml:space="preserve"> </w:t>
      </w:r>
      <w:r w:rsidRPr="00B379C9">
        <w:rPr>
          <w:rFonts w:ascii="Times New Roman" w:hAnsi="Times New Roman"/>
          <w:sz w:val="24"/>
        </w:rPr>
        <w:tab/>
        <w:t>See (2019) 264 CLR 421 at 440-441 [27]-[31], 450 [64]-[66].</w:t>
      </w:r>
    </w:p>
  </w:footnote>
  <w:footnote w:id="77">
    <w:p w14:paraId="4DC8FCB7" w14:textId="77777777" w:rsidR="0042544D" w:rsidRPr="00B379C9" w:rsidRDefault="0042544D" w:rsidP="00B379C9">
      <w:pPr>
        <w:pStyle w:val="FootnoteText"/>
        <w:spacing w:line="280" w:lineRule="exact"/>
        <w:ind w:right="0"/>
        <w:jc w:val="both"/>
        <w:rPr>
          <w:rFonts w:ascii="Times New Roman" w:hAnsi="Times New Roman"/>
          <w:sz w:val="24"/>
        </w:rPr>
      </w:pPr>
      <w:r w:rsidRPr="00B379C9">
        <w:rPr>
          <w:rStyle w:val="FootnoteReference"/>
          <w:rFonts w:ascii="Times New Roman" w:hAnsi="Times New Roman"/>
          <w:sz w:val="22"/>
          <w:vertAlign w:val="baseline"/>
        </w:rPr>
        <w:footnoteRef/>
      </w:r>
      <w:r w:rsidRPr="00B379C9">
        <w:rPr>
          <w:rFonts w:ascii="Times New Roman" w:hAnsi="Times New Roman"/>
          <w:sz w:val="24"/>
        </w:rPr>
        <w:t xml:space="preserve"> </w:t>
      </w:r>
      <w:r w:rsidRPr="00B379C9">
        <w:rPr>
          <w:rFonts w:ascii="Times New Roman" w:hAnsi="Times New Roman"/>
          <w:sz w:val="24"/>
        </w:rPr>
        <w:tab/>
        <w:t>See (2021) 95 ALJR 441 at 458-459 [61]-[62]; 390 ALR 590 at 605-606.</w:t>
      </w:r>
    </w:p>
  </w:footnote>
  <w:footnote w:id="78">
    <w:p w14:paraId="3293D744" w14:textId="77777777" w:rsidR="0042544D" w:rsidRPr="00B379C9" w:rsidRDefault="0042544D" w:rsidP="00B379C9">
      <w:pPr>
        <w:pStyle w:val="FootnoteText"/>
        <w:spacing w:line="280" w:lineRule="exact"/>
        <w:ind w:right="0"/>
        <w:jc w:val="both"/>
        <w:rPr>
          <w:rFonts w:ascii="Times New Roman" w:hAnsi="Times New Roman"/>
          <w:sz w:val="24"/>
        </w:rPr>
      </w:pPr>
      <w:r w:rsidRPr="00B379C9">
        <w:rPr>
          <w:rStyle w:val="FootnoteReference"/>
          <w:rFonts w:ascii="Times New Roman" w:hAnsi="Times New Roman"/>
          <w:sz w:val="22"/>
          <w:vertAlign w:val="baseline"/>
        </w:rPr>
        <w:footnoteRef/>
      </w:r>
      <w:r w:rsidRPr="00B379C9">
        <w:rPr>
          <w:rFonts w:ascii="Times New Roman" w:hAnsi="Times New Roman"/>
          <w:sz w:val="24"/>
        </w:rPr>
        <w:t xml:space="preserve"> </w:t>
      </w:r>
      <w:r w:rsidRPr="00B379C9">
        <w:rPr>
          <w:rFonts w:ascii="Times New Roman" w:hAnsi="Times New Roman"/>
          <w:sz w:val="24"/>
        </w:rPr>
        <w:tab/>
        <w:t xml:space="preserve">As distinct from </w:t>
      </w:r>
      <w:r w:rsidRPr="00B379C9">
        <w:rPr>
          <w:rFonts w:ascii="Times New Roman" w:hAnsi="Times New Roman"/>
          <w:i/>
          <w:sz w:val="24"/>
        </w:rPr>
        <w:t xml:space="preserve">CQZ15 </w:t>
      </w:r>
      <w:r w:rsidRPr="00B379C9">
        <w:rPr>
          <w:rFonts w:ascii="Times New Roman" w:hAnsi="Times New Roman"/>
          <w:sz w:val="24"/>
        </w:rPr>
        <w:t xml:space="preserve">and </w:t>
      </w:r>
      <w:r w:rsidRPr="00B379C9">
        <w:rPr>
          <w:rFonts w:ascii="Times New Roman" w:hAnsi="Times New Roman"/>
          <w:i/>
          <w:sz w:val="24"/>
        </w:rPr>
        <w:t>BEG15</w:t>
      </w:r>
      <w:r w:rsidRPr="00B379C9">
        <w:rPr>
          <w:rFonts w:ascii="Times New Roman" w:hAnsi="Times New Roman"/>
          <w:sz w:val="24"/>
        </w:rPr>
        <w:t xml:space="preserve">, which were heard and determined concurrently with </w:t>
      </w:r>
      <w:r w:rsidRPr="00B379C9">
        <w:rPr>
          <w:rFonts w:ascii="Times New Roman" w:hAnsi="Times New Roman"/>
          <w:i/>
          <w:sz w:val="24"/>
        </w:rPr>
        <w:t>SZMTA</w:t>
      </w:r>
      <w:r w:rsidRPr="00B379C9">
        <w:rPr>
          <w:rFonts w:ascii="Times New Roman" w:hAnsi="Times New Roman"/>
          <w:sz w:val="24"/>
        </w:rPr>
        <w:t>.</w:t>
      </w:r>
    </w:p>
  </w:footnote>
  <w:footnote w:id="79">
    <w:p w14:paraId="6CB61CEC" w14:textId="77777777" w:rsidR="0042544D" w:rsidRPr="00B379C9" w:rsidRDefault="0042544D" w:rsidP="00B379C9">
      <w:pPr>
        <w:pStyle w:val="FootnoteText"/>
        <w:spacing w:line="280" w:lineRule="exact"/>
        <w:ind w:right="0"/>
        <w:jc w:val="both"/>
        <w:rPr>
          <w:rFonts w:ascii="Times New Roman" w:hAnsi="Times New Roman"/>
          <w:sz w:val="24"/>
        </w:rPr>
      </w:pPr>
      <w:r w:rsidRPr="00B379C9">
        <w:rPr>
          <w:rStyle w:val="FootnoteReference"/>
          <w:rFonts w:ascii="Times New Roman" w:hAnsi="Times New Roman"/>
          <w:sz w:val="22"/>
          <w:vertAlign w:val="baseline"/>
        </w:rPr>
        <w:footnoteRef/>
      </w:r>
      <w:r w:rsidRPr="00B379C9">
        <w:rPr>
          <w:rFonts w:ascii="Times New Roman" w:hAnsi="Times New Roman"/>
          <w:sz w:val="24"/>
        </w:rPr>
        <w:t xml:space="preserve"> </w:t>
      </w:r>
      <w:r w:rsidRPr="00B379C9">
        <w:rPr>
          <w:rFonts w:ascii="Times New Roman" w:hAnsi="Times New Roman"/>
          <w:sz w:val="24"/>
        </w:rPr>
        <w:tab/>
        <w:t>(2019) 264 CLR 421 at 452-453 [72].</w:t>
      </w:r>
    </w:p>
  </w:footnote>
  <w:footnote w:id="80">
    <w:p w14:paraId="2180860B" w14:textId="77777777" w:rsidR="0042544D" w:rsidRPr="00B379C9" w:rsidRDefault="0042544D" w:rsidP="00B379C9">
      <w:pPr>
        <w:pStyle w:val="FootnoteText"/>
        <w:spacing w:line="280" w:lineRule="exact"/>
        <w:ind w:right="0"/>
        <w:jc w:val="both"/>
        <w:rPr>
          <w:rFonts w:ascii="Times New Roman" w:hAnsi="Times New Roman"/>
          <w:sz w:val="24"/>
        </w:rPr>
      </w:pPr>
      <w:r w:rsidRPr="00B379C9">
        <w:rPr>
          <w:rStyle w:val="FootnoteReference"/>
          <w:rFonts w:ascii="Times New Roman" w:hAnsi="Times New Roman"/>
          <w:sz w:val="22"/>
          <w:vertAlign w:val="baseline"/>
        </w:rPr>
        <w:footnoteRef/>
      </w:r>
      <w:r w:rsidRPr="00B379C9">
        <w:rPr>
          <w:rFonts w:ascii="Times New Roman" w:hAnsi="Times New Roman"/>
          <w:sz w:val="24"/>
        </w:rPr>
        <w:t xml:space="preserve"> </w:t>
      </w:r>
      <w:r w:rsidRPr="00B379C9">
        <w:rPr>
          <w:rFonts w:ascii="Times New Roman" w:hAnsi="Times New Roman"/>
          <w:sz w:val="24"/>
        </w:rPr>
        <w:tab/>
        <w:t>(2021) 95 ALJR 441 at 461 [74]-[76]; 390 ALR 590 at 609.</w:t>
      </w:r>
    </w:p>
  </w:footnote>
  <w:footnote w:id="81">
    <w:p w14:paraId="5AA314A8" w14:textId="77777777" w:rsidR="0042544D" w:rsidRPr="00B379C9" w:rsidRDefault="0042544D" w:rsidP="00B379C9">
      <w:pPr>
        <w:pStyle w:val="FootnoteText"/>
        <w:spacing w:line="280" w:lineRule="exact"/>
        <w:ind w:right="0"/>
        <w:jc w:val="both"/>
        <w:rPr>
          <w:rFonts w:ascii="Times New Roman" w:hAnsi="Times New Roman"/>
          <w:sz w:val="24"/>
        </w:rPr>
      </w:pPr>
      <w:r w:rsidRPr="00B379C9">
        <w:rPr>
          <w:rStyle w:val="FootnoteReference"/>
          <w:rFonts w:ascii="Times New Roman" w:hAnsi="Times New Roman"/>
          <w:sz w:val="22"/>
          <w:vertAlign w:val="baseline"/>
        </w:rPr>
        <w:footnoteRef/>
      </w:r>
      <w:r w:rsidRPr="00B379C9">
        <w:rPr>
          <w:rFonts w:ascii="Times New Roman" w:hAnsi="Times New Roman"/>
          <w:sz w:val="24"/>
        </w:rPr>
        <w:t xml:space="preserve"> </w:t>
      </w:r>
      <w:r w:rsidRPr="00B379C9">
        <w:rPr>
          <w:rFonts w:ascii="Times New Roman" w:hAnsi="Times New Roman"/>
          <w:sz w:val="24"/>
        </w:rPr>
        <w:tab/>
        <w:t>(2021) 95 ALJR 441 at 461 [73]; 390 ALR 590 at 609.</w:t>
      </w:r>
    </w:p>
  </w:footnote>
  <w:footnote w:id="82">
    <w:p w14:paraId="2A819E58"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ab/>
        <w:t xml:space="preserve">Section 499 of the </w:t>
      </w:r>
      <w:r w:rsidRPr="00B11350">
        <w:rPr>
          <w:rFonts w:ascii="Times New Roman" w:hAnsi="Times New Roman"/>
          <w:i/>
          <w:sz w:val="24"/>
        </w:rPr>
        <w:t>Migration Act</w:t>
      </w:r>
      <w:r w:rsidRPr="00B11350">
        <w:rPr>
          <w:rFonts w:ascii="Times New Roman" w:hAnsi="Times New Roman"/>
          <w:sz w:val="24"/>
        </w:rPr>
        <w:t xml:space="preserve"> relevantly provides that the Minister may give written directions to a person or body having functions or powers under the </w:t>
      </w:r>
      <w:r w:rsidRPr="00B11350">
        <w:rPr>
          <w:rFonts w:ascii="Times New Roman" w:hAnsi="Times New Roman"/>
          <w:i/>
          <w:iCs/>
          <w:sz w:val="24"/>
        </w:rPr>
        <w:t>Migration Act</w:t>
      </w:r>
      <w:r w:rsidRPr="00B11350">
        <w:rPr>
          <w:rFonts w:ascii="Times New Roman" w:hAnsi="Times New Roman"/>
          <w:sz w:val="24"/>
        </w:rPr>
        <w:t xml:space="preserve"> about the performance of those functions or exercise of those powers and that a person or body must comply with such a direction.</w:t>
      </w:r>
    </w:p>
  </w:footnote>
  <w:footnote w:id="83">
    <w:p w14:paraId="49A46385"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t>See Direction 65, paras 13(2) and 14(1); Direction 79, paras 13(2) and 14(1).</w:t>
      </w:r>
    </w:p>
  </w:footnote>
  <w:footnote w:id="84">
    <w:p w14:paraId="428ABF15"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t>Direction 79, para 13(2)(a); see also para 13.1.</w:t>
      </w:r>
    </w:p>
  </w:footnote>
  <w:footnote w:id="85">
    <w:p w14:paraId="5FD15355"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t>Direction 79, para 13(2)(b); see also para 13.2.</w:t>
      </w:r>
    </w:p>
  </w:footnote>
  <w:footnote w:id="86">
    <w:p w14:paraId="7C76C163"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t>(2021) 95 ALJR 441 at 453 [32]; 390 ALR 590 at 598.</w:t>
      </w:r>
    </w:p>
  </w:footnote>
  <w:footnote w:id="87">
    <w:p w14:paraId="72E5E72D"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ab/>
      </w:r>
      <w:r w:rsidRPr="00B11350">
        <w:rPr>
          <w:rFonts w:ascii="Times New Roman" w:hAnsi="Times New Roman"/>
          <w:i/>
          <w:sz w:val="24"/>
        </w:rPr>
        <w:t>MZPAC</w:t>
      </w:r>
      <w:r w:rsidRPr="00B11350">
        <w:rPr>
          <w:rFonts w:ascii="Times New Roman" w:hAnsi="Times New Roman"/>
          <w:sz w:val="24"/>
        </w:rPr>
        <w:t xml:space="preserve"> (2021) 95 ALJR 441 at 454 [39</w:t>
      </w:r>
      <w:r w:rsidRPr="00B11350" w:rsidDel="00E56AA5">
        <w:rPr>
          <w:rFonts w:ascii="Times New Roman" w:hAnsi="Times New Roman"/>
          <w:sz w:val="24"/>
        </w:rPr>
        <w:t>]</w:t>
      </w:r>
      <w:r w:rsidRPr="00B11350">
        <w:rPr>
          <w:rFonts w:ascii="Times New Roman" w:hAnsi="Times New Roman"/>
          <w:sz w:val="24"/>
        </w:rPr>
        <w:t xml:space="preserve">; 390 ALR 590 at 600. </w:t>
      </w:r>
    </w:p>
  </w:footnote>
  <w:footnote w:id="88">
    <w:p w14:paraId="78E29F0F"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r>
      <w:r w:rsidRPr="00B11350">
        <w:rPr>
          <w:rFonts w:ascii="Times New Roman" w:hAnsi="Times New Roman"/>
          <w:i/>
          <w:sz w:val="24"/>
        </w:rPr>
        <w:t xml:space="preserve">SZBEL v Minister for Immigration and Multicultural and Indigenous Affairs </w:t>
      </w:r>
      <w:r w:rsidRPr="00B11350">
        <w:rPr>
          <w:rFonts w:ascii="Times New Roman" w:hAnsi="Times New Roman"/>
          <w:iCs/>
          <w:sz w:val="24"/>
        </w:rPr>
        <w:t>(2006) 228 CLR 152</w:t>
      </w:r>
      <w:r w:rsidRPr="00B11350">
        <w:rPr>
          <w:rFonts w:ascii="Times New Roman" w:hAnsi="Times New Roman"/>
          <w:sz w:val="24"/>
        </w:rPr>
        <w:t xml:space="preserve"> at 163 [35].</w:t>
      </w:r>
    </w:p>
  </w:footnote>
  <w:footnote w:id="89">
    <w:p w14:paraId="28FCEA14"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t>See</w:t>
      </w:r>
      <w:r w:rsidRPr="00B11350" w:rsidDel="000C7DF3">
        <w:rPr>
          <w:rFonts w:ascii="Times New Roman" w:hAnsi="Times New Roman"/>
          <w:sz w:val="24"/>
        </w:rPr>
        <w:t xml:space="preserve"> </w:t>
      </w:r>
      <w:r w:rsidRPr="00B11350">
        <w:rPr>
          <w:rFonts w:ascii="Times New Roman" w:hAnsi="Times New Roman"/>
          <w:i/>
          <w:sz w:val="24"/>
        </w:rPr>
        <w:t xml:space="preserve">Administrative Appeals Tribunal Act 1975 </w:t>
      </w:r>
      <w:r w:rsidRPr="00B11350">
        <w:rPr>
          <w:rFonts w:ascii="Times New Roman" w:hAnsi="Times New Roman"/>
          <w:iCs/>
          <w:sz w:val="24"/>
        </w:rPr>
        <w:t>(Cth)</w:t>
      </w:r>
      <w:r w:rsidRPr="00B11350">
        <w:rPr>
          <w:rFonts w:ascii="Times New Roman" w:hAnsi="Times New Roman"/>
          <w:sz w:val="24"/>
        </w:rPr>
        <w:t xml:space="preserve">, s 18B; Administrative Appeals Tribunal, </w:t>
      </w:r>
      <w:r w:rsidRPr="00B11350">
        <w:rPr>
          <w:rFonts w:ascii="Times New Roman" w:hAnsi="Times New Roman"/>
          <w:i/>
          <w:sz w:val="24"/>
        </w:rPr>
        <w:t>General Practice Direction: Direction given under section 18B of the Administrative Appeals Tribunal Act 1975</w:t>
      </w:r>
      <w:r w:rsidRPr="00B11350">
        <w:rPr>
          <w:rFonts w:ascii="Times New Roman" w:hAnsi="Times New Roman"/>
          <w:sz w:val="24"/>
        </w:rPr>
        <w:t xml:space="preserve"> (28 February 2019) at 13 [4.31].</w:t>
      </w:r>
    </w:p>
  </w:footnote>
  <w:footnote w:id="90">
    <w:p w14:paraId="09ACBCD6"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t xml:space="preserve">See </w:t>
      </w:r>
      <w:r w:rsidRPr="00B11350">
        <w:rPr>
          <w:rFonts w:ascii="Times New Roman" w:hAnsi="Times New Roman"/>
          <w:i/>
          <w:iCs/>
          <w:sz w:val="24"/>
        </w:rPr>
        <w:t>Plaintiff M1/2021 v Minister for Home Affairs</w:t>
      </w:r>
      <w:r w:rsidRPr="00B11350">
        <w:rPr>
          <w:rFonts w:ascii="Times New Roman" w:hAnsi="Times New Roman"/>
          <w:sz w:val="24"/>
        </w:rPr>
        <w:t xml:space="preserve"> (2022) </w:t>
      </w:r>
      <w:r>
        <w:rPr>
          <w:rFonts w:ascii="Times New Roman" w:hAnsi="Times New Roman"/>
          <w:sz w:val="24"/>
        </w:rPr>
        <w:t xml:space="preserve">96 ALJR 497 at 508 [24]; </w:t>
      </w:r>
      <w:r w:rsidRPr="00B11350">
        <w:rPr>
          <w:rFonts w:ascii="Times New Roman" w:hAnsi="Times New Roman"/>
          <w:sz w:val="24"/>
        </w:rPr>
        <w:t>400 ALR 417 at 425.</w:t>
      </w:r>
    </w:p>
  </w:footnote>
  <w:footnote w:id="91">
    <w:p w14:paraId="42D520BA"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t xml:space="preserve">See </w:t>
      </w:r>
      <w:r w:rsidRPr="00B11350">
        <w:rPr>
          <w:rFonts w:ascii="Times New Roman" w:hAnsi="Times New Roman"/>
          <w:i/>
          <w:iCs/>
          <w:sz w:val="24"/>
        </w:rPr>
        <w:t xml:space="preserve">Minister for Immigration, Citizenship, Migrant Services and Multicultural Affairs v </w:t>
      </w:r>
      <w:proofErr w:type="spellStart"/>
      <w:r w:rsidRPr="00B11350">
        <w:rPr>
          <w:rFonts w:ascii="Times New Roman" w:hAnsi="Times New Roman"/>
          <w:i/>
          <w:sz w:val="24"/>
        </w:rPr>
        <w:t>Viane</w:t>
      </w:r>
      <w:proofErr w:type="spellEnd"/>
      <w:r w:rsidRPr="00B11350">
        <w:rPr>
          <w:rFonts w:ascii="Times New Roman" w:hAnsi="Times New Roman"/>
          <w:i/>
          <w:sz w:val="24"/>
        </w:rPr>
        <w:t xml:space="preserve"> </w:t>
      </w:r>
      <w:r w:rsidRPr="00B11350">
        <w:rPr>
          <w:rFonts w:ascii="Times New Roman" w:hAnsi="Times New Roman"/>
          <w:sz w:val="24"/>
        </w:rPr>
        <w:t>(2021) 96 ALJR 13 at 18 [15]; 395 ALR 403 at 407.</w:t>
      </w:r>
    </w:p>
  </w:footnote>
  <w:footnote w:id="92">
    <w:p w14:paraId="05556840"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t xml:space="preserve">(2021) 96 ALJR 13 at 18 </w:t>
      </w:r>
      <w:r w:rsidRPr="00B11350" w:rsidDel="00F45507">
        <w:rPr>
          <w:rFonts w:ascii="Times New Roman" w:hAnsi="Times New Roman"/>
          <w:sz w:val="24"/>
        </w:rPr>
        <w:t>[</w:t>
      </w:r>
      <w:r w:rsidRPr="00B11350">
        <w:rPr>
          <w:rFonts w:ascii="Times New Roman" w:hAnsi="Times New Roman"/>
          <w:sz w:val="24"/>
        </w:rPr>
        <w:t>15]; 395 ALR 403 at 407.</w:t>
      </w:r>
    </w:p>
  </w:footnote>
  <w:footnote w:id="93">
    <w:p w14:paraId="388D0936"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t>(2021) 95 ALJR 441 at 454 [38]; 390 ALR 590 at 599.</w:t>
      </w:r>
    </w:p>
  </w:footnote>
  <w:footnote w:id="94">
    <w:p w14:paraId="15A72BAB"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r>
      <w:r w:rsidRPr="00B11350">
        <w:rPr>
          <w:rFonts w:ascii="Times New Roman" w:hAnsi="Times New Roman"/>
          <w:i/>
          <w:sz w:val="24"/>
        </w:rPr>
        <w:t>MZAPC</w:t>
      </w:r>
      <w:r w:rsidRPr="00B11350">
        <w:rPr>
          <w:rFonts w:ascii="Times New Roman" w:hAnsi="Times New Roman"/>
          <w:sz w:val="24"/>
        </w:rPr>
        <w:t xml:space="preserve"> (2021) 95 ALJR 441 at 453 [33]; 390 ALR 590 at 598. </w:t>
      </w:r>
    </w:p>
  </w:footnote>
  <w:footnote w:id="95">
    <w:p w14:paraId="49430ACC"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t xml:space="preserve">cf </w:t>
      </w:r>
      <w:r w:rsidRPr="00B11350">
        <w:rPr>
          <w:rFonts w:ascii="Times New Roman" w:hAnsi="Times New Roman"/>
          <w:i/>
          <w:iCs/>
          <w:sz w:val="24"/>
        </w:rPr>
        <w:t>Hossain v Minister for Immigration and Border Protection</w:t>
      </w:r>
      <w:r w:rsidRPr="00B11350">
        <w:rPr>
          <w:rFonts w:ascii="Times New Roman" w:hAnsi="Times New Roman"/>
          <w:sz w:val="24"/>
        </w:rPr>
        <w:t xml:space="preserve"> (2018) 264 CLR 123 at 137 [40], 147-148 [72]; </w:t>
      </w:r>
      <w:r w:rsidRPr="00B11350">
        <w:rPr>
          <w:rFonts w:ascii="Times New Roman" w:hAnsi="Times New Roman"/>
          <w:i/>
          <w:sz w:val="24"/>
        </w:rPr>
        <w:t>MZAPC</w:t>
      </w:r>
      <w:r w:rsidRPr="00B11350">
        <w:rPr>
          <w:rFonts w:ascii="Times New Roman" w:hAnsi="Times New Roman"/>
          <w:sz w:val="24"/>
        </w:rPr>
        <w:t xml:space="preserve"> (2021) 95 ALJR 441 at 465 [100]; 390 ALR 590 at 614.</w:t>
      </w:r>
    </w:p>
  </w:footnote>
  <w:footnote w:id="96">
    <w:p w14:paraId="2C021F7C"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r>
      <w:r w:rsidRPr="00B11350">
        <w:rPr>
          <w:rFonts w:ascii="Times New Roman" w:hAnsi="Times New Roman"/>
          <w:i/>
          <w:sz w:val="24"/>
        </w:rPr>
        <w:t>MZAPC</w:t>
      </w:r>
      <w:r w:rsidRPr="00B11350">
        <w:rPr>
          <w:rFonts w:ascii="Times New Roman" w:hAnsi="Times New Roman"/>
          <w:sz w:val="24"/>
        </w:rPr>
        <w:t xml:space="preserve"> (2021) 95 ALJR 441 at 462 [85]; 390 ALR 590 at 610</w:t>
      </w:r>
      <w:r w:rsidRPr="00B11350">
        <w:rPr>
          <w:rFonts w:ascii="Times New Roman" w:hAnsi="Times New Roman"/>
          <w:sz w:val="24"/>
        </w:rPr>
        <w:noBreakHyphen/>
        <w:t>611.</w:t>
      </w:r>
    </w:p>
  </w:footnote>
  <w:footnote w:id="97">
    <w:p w14:paraId="687E96AF"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r>
      <w:proofErr w:type="spellStart"/>
      <w:r w:rsidRPr="00B11350">
        <w:rPr>
          <w:rFonts w:ascii="Times New Roman" w:hAnsi="Times New Roman"/>
          <w:sz w:val="24"/>
        </w:rPr>
        <w:t>cf</w:t>
      </w:r>
      <w:proofErr w:type="spellEnd"/>
      <w:r w:rsidRPr="00B11350">
        <w:rPr>
          <w:rFonts w:ascii="Times New Roman" w:hAnsi="Times New Roman"/>
          <w:sz w:val="24"/>
        </w:rPr>
        <w:t xml:space="preserve"> </w:t>
      </w:r>
      <w:proofErr w:type="spellStart"/>
      <w:r w:rsidRPr="00B11350">
        <w:rPr>
          <w:rFonts w:ascii="Times New Roman" w:hAnsi="Times New Roman"/>
          <w:i/>
          <w:sz w:val="24"/>
        </w:rPr>
        <w:t>Degning</w:t>
      </w:r>
      <w:proofErr w:type="spellEnd"/>
      <w:r w:rsidRPr="00B11350">
        <w:rPr>
          <w:rFonts w:ascii="Times New Roman" w:hAnsi="Times New Roman"/>
          <w:i/>
          <w:sz w:val="24"/>
        </w:rPr>
        <w:t xml:space="preserve"> v Minister for Home Affairs </w:t>
      </w:r>
      <w:r w:rsidRPr="00B11350">
        <w:rPr>
          <w:rFonts w:ascii="Times New Roman" w:hAnsi="Times New Roman"/>
          <w:iCs/>
          <w:sz w:val="24"/>
        </w:rPr>
        <w:t>(2019) 270 FCR 451</w:t>
      </w:r>
      <w:r w:rsidRPr="00B11350">
        <w:rPr>
          <w:rFonts w:ascii="Times New Roman" w:hAnsi="Times New Roman"/>
          <w:sz w:val="24"/>
        </w:rPr>
        <w:t xml:space="preserve"> at 466 [39].</w:t>
      </w:r>
    </w:p>
  </w:footnote>
  <w:footnote w:id="98">
    <w:p w14:paraId="5B67B215"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r>
      <w:r w:rsidRPr="00B11350">
        <w:rPr>
          <w:rFonts w:ascii="Times New Roman" w:hAnsi="Times New Roman"/>
          <w:i/>
          <w:sz w:val="24"/>
        </w:rPr>
        <w:t xml:space="preserve">MZAPC </w:t>
      </w:r>
      <w:r w:rsidRPr="00B11350">
        <w:rPr>
          <w:rFonts w:ascii="Times New Roman" w:hAnsi="Times New Roman"/>
          <w:sz w:val="24"/>
        </w:rPr>
        <w:t>(2021) 95 ALJR 441 at 453 [35]; 390 ALR 590 at 598</w:t>
      </w:r>
      <w:r w:rsidRPr="00B11350">
        <w:rPr>
          <w:rFonts w:ascii="Times New Roman" w:hAnsi="Times New Roman"/>
          <w:sz w:val="24"/>
        </w:rPr>
        <w:noBreakHyphen/>
        <w:t>599, quoting</w:t>
      </w:r>
      <w:r>
        <w:rPr>
          <w:rFonts w:ascii="Times New Roman" w:hAnsi="Times New Roman"/>
          <w:sz w:val="24"/>
        </w:rPr>
        <w:t> </w:t>
      </w:r>
      <w:r w:rsidRPr="00B11350">
        <w:rPr>
          <w:rFonts w:ascii="Times New Roman" w:hAnsi="Times New Roman"/>
          <w:i/>
          <w:iCs/>
          <w:sz w:val="24"/>
        </w:rPr>
        <w:t xml:space="preserve">Minister for Immigration and Border Protection v </w:t>
      </w:r>
      <w:r w:rsidRPr="00B11350">
        <w:rPr>
          <w:rFonts w:ascii="Times New Roman" w:hAnsi="Times New Roman"/>
          <w:i/>
          <w:sz w:val="24"/>
        </w:rPr>
        <w:t xml:space="preserve">SZMTA </w:t>
      </w:r>
      <w:r w:rsidRPr="00B11350">
        <w:rPr>
          <w:rFonts w:ascii="Times New Roman" w:hAnsi="Times New Roman"/>
          <w:sz w:val="24"/>
        </w:rPr>
        <w:t>(2019) 264 CLR 421 at 445 [45]; cf (2021) 95 ALJR 441</w:t>
      </w:r>
      <w:r w:rsidRPr="00B11350" w:rsidDel="007058B2">
        <w:rPr>
          <w:rFonts w:ascii="Times New Roman" w:hAnsi="Times New Roman"/>
          <w:sz w:val="24"/>
        </w:rPr>
        <w:t xml:space="preserve"> </w:t>
      </w:r>
      <w:r w:rsidRPr="00B11350">
        <w:rPr>
          <w:rFonts w:ascii="Times New Roman" w:hAnsi="Times New Roman"/>
          <w:sz w:val="24"/>
        </w:rPr>
        <w:t xml:space="preserve">at 453 </w:t>
      </w:r>
      <w:r w:rsidRPr="00B11350" w:rsidDel="007058B2">
        <w:rPr>
          <w:rFonts w:ascii="Times New Roman" w:hAnsi="Times New Roman"/>
          <w:sz w:val="24"/>
        </w:rPr>
        <w:t>[</w:t>
      </w:r>
      <w:r w:rsidRPr="00B11350">
        <w:rPr>
          <w:rFonts w:ascii="Times New Roman" w:hAnsi="Times New Roman"/>
          <w:sz w:val="24"/>
        </w:rPr>
        <w:t>33]; 390 ALR 590 at 598.</w:t>
      </w:r>
    </w:p>
  </w:footnote>
  <w:footnote w:id="99">
    <w:p w14:paraId="3427A8CB" w14:textId="77777777" w:rsidR="0042544D" w:rsidRPr="00B11350" w:rsidRDefault="0042544D" w:rsidP="00B11350">
      <w:pPr>
        <w:pStyle w:val="FootnoteText"/>
        <w:spacing w:line="280" w:lineRule="exact"/>
        <w:ind w:right="0"/>
        <w:jc w:val="both"/>
        <w:rPr>
          <w:rFonts w:ascii="Times New Roman" w:hAnsi="Times New Roman"/>
          <w:iCs/>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t xml:space="preserve">cf </w:t>
      </w:r>
      <w:r w:rsidRPr="00B11350">
        <w:rPr>
          <w:rFonts w:ascii="Times New Roman" w:hAnsi="Times New Roman"/>
          <w:i/>
          <w:iCs/>
          <w:sz w:val="24"/>
        </w:rPr>
        <w:t xml:space="preserve">Minister for Immigration and Border Protection v </w:t>
      </w:r>
      <w:r w:rsidRPr="00B11350">
        <w:rPr>
          <w:rFonts w:ascii="Times New Roman" w:hAnsi="Times New Roman"/>
          <w:i/>
          <w:sz w:val="24"/>
        </w:rPr>
        <w:t xml:space="preserve">WZARH </w:t>
      </w:r>
      <w:r w:rsidRPr="00B11350">
        <w:rPr>
          <w:rFonts w:ascii="Times New Roman" w:hAnsi="Times New Roman"/>
          <w:iCs/>
          <w:sz w:val="24"/>
        </w:rPr>
        <w:t>(2015) 256 CLR 326 at 342-343 [60].</w:t>
      </w:r>
    </w:p>
  </w:footnote>
  <w:footnote w:id="100">
    <w:p w14:paraId="7083536D"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t xml:space="preserve">cf </w:t>
      </w:r>
      <w:r w:rsidRPr="00B11350">
        <w:rPr>
          <w:rFonts w:ascii="Times New Roman" w:hAnsi="Times New Roman"/>
          <w:i/>
          <w:sz w:val="24"/>
        </w:rPr>
        <w:t xml:space="preserve">Wilde v The Queen </w:t>
      </w:r>
      <w:r w:rsidRPr="00B11350">
        <w:rPr>
          <w:rFonts w:ascii="Times New Roman" w:hAnsi="Times New Roman"/>
          <w:iCs/>
          <w:sz w:val="24"/>
        </w:rPr>
        <w:t>(1988)</w:t>
      </w:r>
      <w:r w:rsidRPr="00B11350">
        <w:rPr>
          <w:rFonts w:ascii="Times New Roman" w:hAnsi="Times New Roman"/>
          <w:sz w:val="24"/>
        </w:rPr>
        <w:t xml:space="preserve"> 164 CLR 365 at 373, cited in </w:t>
      </w:r>
      <w:r w:rsidRPr="00B11350">
        <w:rPr>
          <w:rFonts w:ascii="Times New Roman" w:hAnsi="Times New Roman"/>
          <w:i/>
          <w:sz w:val="24"/>
        </w:rPr>
        <w:t xml:space="preserve">Weiss v The Queen </w:t>
      </w:r>
      <w:r w:rsidRPr="00B11350">
        <w:rPr>
          <w:rFonts w:ascii="Times New Roman" w:hAnsi="Times New Roman"/>
          <w:iCs/>
          <w:sz w:val="24"/>
        </w:rPr>
        <w:t>(2005)</w:t>
      </w:r>
      <w:r w:rsidRPr="00B11350">
        <w:rPr>
          <w:rFonts w:ascii="Times New Roman" w:hAnsi="Times New Roman"/>
          <w:sz w:val="24"/>
        </w:rPr>
        <w:t xml:space="preserve"> 224 CLR 300 at 317 [45]-[46]; </w:t>
      </w:r>
      <w:proofErr w:type="spellStart"/>
      <w:r w:rsidRPr="00B11350">
        <w:rPr>
          <w:rFonts w:ascii="Times New Roman" w:hAnsi="Times New Roman"/>
          <w:i/>
          <w:iCs/>
          <w:sz w:val="24"/>
        </w:rPr>
        <w:t>Katsuno</w:t>
      </w:r>
      <w:proofErr w:type="spellEnd"/>
      <w:r w:rsidRPr="00B11350">
        <w:rPr>
          <w:rFonts w:ascii="Times New Roman" w:hAnsi="Times New Roman"/>
          <w:i/>
          <w:iCs/>
          <w:sz w:val="24"/>
        </w:rPr>
        <w:t xml:space="preserve"> v The Queen</w:t>
      </w:r>
      <w:r w:rsidRPr="00B11350">
        <w:rPr>
          <w:rFonts w:ascii="Times New Roman" w:hAnsi="Times New Roman"/>
          <w:sz w:val="24"/>
        </w:rPr>
        <w:t xml:space="preserve"> (1999) 199 CLR 40 at 60 [35], citing </w:t>
      </w:r>
      <w:r w:rsidRPr="00B11350">
        <w:rPr>
          <w:rFonts w:ascii="Times New Roman" w:hAnsi="Times New Roman"/>
          <w:i/>
          <w:iCs/>
          <w:sz w:val="24"/>
        </w:rPr>
        <w:t>Maher v The Queen</w:t>
      </w:r>
      <w:r w:rsidRPr="00B11350">
        <w:rPr>
          <w:rFonts w:ascii="Times New Roman" w:hAnsi="Times New Roman"/>
          <w:sz w:val="24"/>
        </w:rPr>
        <w:t xml:space="preserve"> (1987) 163 CLR 221 at 234; </w:t>
      </w:r>
      <w:r w:rsidRPr="00B11350">
        <w:rPr>
          <w:rFonts w:ascii="Times New Roman" w:hAnsi="Times New Roman"/>
          <w:i/>
          <w:sz w:val="24"/>
        </w:rPr>
        <w:t xml:space="preserve">Do Young </w:t>
      </w:r>
      <w:r w:rsidRPr="00B11350">
        <w:rPr>
          <w:rFonts w:ascii="Times New Roman" w:hAnsi="Times New Roman"/>
          <w:i/>
          <w:iCs/>
          <w:sz w:val="24"/>
        </w:rPr>
        <w:t>Lee v The Queen</w:t>
      </w:r>
      <w:r w:rsidRPr="00B11350">
        <w:rPr>
          <w:rFonts w:ascii="Times New Roman" w:hAnsi="Times New Roman"/>
          <w:sz w:val="24"/>
        </w:rPr>
        <w:t xml:space="preserve"> (2014) 253 CLR 455 at 472 [48].</w:t>
      </w:r>
      <w:r w:rsidRPr="00B11350">
        <w:rPr>
          <w:rFonts w:ascii="Times New Roman" w:hAnsi="Times New Roman"/>
          <w:i/>
          <w:sz w:val="24"/>
        </w:rPr>
        <w:t xml:space="preserve"> </w:t>
      </w:r>
    </w:p>
  </w:footnote>
  <w:footnote w:id="101">
    <w:p w14:paraId="79247B13"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t xml:space="preserve">See </w:t>
      </w:r>
      <w:proofErr w:type="spellStart"/>
      <w:r w:rsidRPr="00B11350">
        <w:rPr>
          <w:rFonts w:ascii="Times New Roman" w:hAnsi="Times New Roman"/>
          <w:i/>
          <w:iCs/>
          <w:sz w:val="24"/>
        </w:rPr>
        <w:t>Kioa</w:t>
      </w:r>
      <w:proofErr w:type="spellEnd"/>
      <w:r w:rsidRPr="00B11350">
        <w:rPr>
          <w:rFonts w:ascii="Times New Roman" w:hAnsi="Times New Roman"/>
          <w:i/>
          <w:iCs/>
          <w:sz w:val="24"/>
        </w:rPr>
        <w:t xml:space="preserve"> v West</w:t>
      </w:r>
      <w:r w:rsidRPr="00B11350">
        <w:rPr>
          <w:rFonts w:ascii="Times New Roman" w:hAnsi="Times New Roman"/>
          <w:sz w:val="24"/>
        </w:rPr>
        <w:t xml:space="preserve"> (1985) 159 CLR 550 at 627; </w:t>
      </w:r>
      <w:r w:rsidRPr="00B11350">
        <w:rPr>
          <w:rFonts w:ascii="Times New Roman" w:hAnsi="Times New Roman"/>
          <w:i/>
          <w:iCs/>
          <w:sz w:val="24"/>
        </w:rPr>
        <w:t>WZARH</w:t>
      </w:r>
      <w:r w:rsidRPr="00B11350">
        <w:rPr>
          <w:rFonts w:ascii="Times New Roman" w:hAnsi="Times New Roman"/>
          <w:sz w:val="24"/>
        </w:rPr>
        <w:t xml:space="preserve"> (2015) 256 CLR 326 at</w:t>
      </w:r>
      <w:r>
        <w:rPr>
          <w:rFonts w:ascii="Times New Roman" w:hAnsi="Times New Roman"/>
          <w:sz w:val="24"/>
        </w:rPr>
        <w:t> </w:t>
      </w:r>
      <w:r w:rsidRPr="00B11350">
        <w:rPr>
          <w:rFonts w:ascii="Times New Roman" w:hAnsi="Times New Roman"/>
          <w:sz w:val="24"/>
        </w:rPr>
        <w:t>341</w:t>
      </w:r>
      <w:r>
        <w:rPr>
          <w:rFonts w:ascii="Times New Roman" w:hAnsi="Times New Roman"/>
          <w:sz w:val="24"/>
        </w:rPr>
        <w:t> </w:t>
      </w:r>
      <w:r w:rsidRPr="00B11350">
        <w:rPr>
          <w:rFonts w:ascii="Times New Roman" w:hAnsi="Times New Roman"/>
          <w:sz w:val="24"/>
        </w:rPr>
        <w:t>[53].</w:t>
      </w:r>
    </w:p>
  </w:footnote>
  <w:footnote w:id="102">
    <w:p w14:paraId="0792791F"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t>(2021) 95 ALJR 441; 390 ALR 590.</w:t>
      </w:r>
    </w:p>
  </w:footnote>
  <w:footnote w:id="103">
    <w:p w14:paraId="193D5F6C"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t>(2019) 264 CLR 421.</w:t>
      </w:r>
    </w:p>
  </w:footnote>
  <w:footnote w:id="104">
    <w:p w14:paraId="62827ECF"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r>
      <w:r w:rsidRPr="00B11350">
        <w:rPr>
          <w:rFonts w:ascii="Times New Roman" w:hAnsi="Times New Roman"/>
          <w:iCs/>
          <w:sz w:val="24"/>
        </w:rPr>
        <w:t>(2015) 256 CLR 326.</w:t>
      </w:r>
    </w:p>
  </w:footnote>
  <w:footnote w:id="105">
    <w:p w14:paraId="4347BD77"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r>
      <w:r w:rsidRPr="00B11350">
        <w:rPr>
          <w:rFonts w:ascii="Times New Roman" w:hAnsi="Times New Roman"/>
          <w:i/>
          <w:sz w:val="24"/>
        </w:rPr>
        <w:t>MZAPC</w:t>
      </w:r>
      <w:r w:rsidRPr="00B11350">
        <w:rPr>
          <w:rFonts w:ascii="Times New Roman" w:hAnsi="Times New Roman"/>
          <w:sz w:val="24"/>
        </w:rPr>
        <w:t xml:space="preserve"> (2021) 95 ALJR 441 at 465 [101]; 390 ALR 590 at 615.</w:t>
      </w:r>
    </w:p>
  </w:footnote>
  <w:footnote w:id="106">
    <w:p w14:paraId="323C5825"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r>
      <w:r w:rsidRPr="00B11350">
        <w:rPr>
          <w:rFonts w:ascii="Times New Roman" w:hAnsi="Times New Roman"/>
          <w:iCs/>
          <w:sz w:val="24"/>
        </w:rPr>
        <w:t>(2015) 256 CLR 326.</w:t>
      </w:r>
    </w:p>
  </w:footnote>
  <w:footnote w:id="107">
    <w:p w14:paraId="500E5C15"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r>
      <w:r w:rsidRPr="00B11350">
        <w:rPr>
          <w:rFonts w:ascii="Times New Roman" w:hAnsi="Times New Roman"/>
          <w:i/>
          <w:sz w:val="24"/>
        </w:rPr>
        <w:t>WZARH</w:t>
      </w:r>
      <w:r w:rsidRPr="00B11350">
        <w:rPr>
          <w:rFonts w:ascii="Times New Roman" w:hAnsi="Times New Roman"/>
          <w:iCs/>
          <w:sz w:val="24"/>
        </w:rPr>
        <w:t xml:space="preserve"> (2015) 256 CLR 326 </w:t>
      </w:r>
      <w:r w:rsidRPr="00B11350">
        <w:rPr>
          <w:rFonts w:ascii="Times New Roman" w:hAnsi="Times New Roman"/>
          <w:sz w:val="24"/>
        </w:rPr>
        <w:t>at 341 [55].</w:t>
      </w:r>
      <w:r w:rsidRPr="00B11350">
        <w:rPr>
          <w:rFonts w:ascii="Times New Roman" w:hAnsi="Times New Roman"/>
          <w:i/>
          <w:sz w:val="24"/>
        </w:rPr>
        <w:t xml:space="preserve"> </w:t>
      </w:r>
    </w:p>
  </w:footnote>
  <w:footnote w:id="108">
    <w:p w14:paraId="51EF66E6"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r>
      <w:r w:rsidRPr="00B11350">
        <w:rPr>
          <w:rFonts w:ascii="Times New Roman" w:hAnsi="Times New Roman"/>
          <w:i/>
          <w:sz w:val="24"/>
        </w:rPr>
        <w:t>WZARH</w:t>
      </w:r>
      <w:r w:rsidRPr="00B11350">
        <w:rPr>
          <w:rFonts w:ascii="Times New Roman" w:hAnsi="Times New Roman"/>
          <w:iCs/>
          <w:sz w:val="24"/>
        </w:rPr>
        <w:t xml:space="preserve"> (2015) 256 CLR 326 </w:t>
      </w:r>
      <w:r w:rsidRPr="00B11350">
        <w:rPr>
          <w:rFonts w:ascii="Times New Roman" w:hAnsi="Times New Roman"/>
          <w:sz w:val="24"/>
        </w:rPr>
        <w:t>at 341 [55].</w:t>
      </w:r>
      <w:r w:rsidRPr="00B11350">
        <w:rPr>
          <w:rFonts w:ascii="Times New Roman" w:hAnsi="Times New Roman"/>
          <w:i/>
          <w:sz w:val="24"/>
        </w:rPr>
        <w:t xml:space="preserve"> </w:t>
      </w:r>
    </w:p>
  </w:footnote>
  <w:footnote w:id="109">
    <w:p w14:paraId="684B5427"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r>
      <w:r w:rsidRPr="00B11350">
        <w:rPr>
          <w:rFonts w:ascii="Times New Roman" w:hAnsi="Times New Roman"/>
          <w:i/>
          <w:iCs/>
          <w:sz w:val="24"/>
        </w:rPr>
        <w:t xml:space="preserve">Re Minister for Immigration and Multicultural and Indigenous Affairs; Ex </w:t>
      </w:r>
      <w:proofErr w:type="spellStart"/>
      <w:r w:rsidRPr="00B11350">
        <w:rPr>
          <w:rFonts w:ascii="Times New Roman" w:hAnsi="Times New Roman"/>
          <w:i/>
          <w:iCs/>
          <w:sz w:val="24"/>
        </w:rPr>
        <w:t>parte</w:t>
      </w:r>
      <w:proofErr w:type="spellEnd"/>
      <w:r w:rsidRPr="00B11350">
        <w:rPr>
          <w:rFonts w:ascii="Times New Roman" w:hAnsi="Times New Roman"/>
          <w:i/>
          <w:iCs/>
          <w:sz w:val="24"/>
        </w:rPr>
        <w:t xml:space="preserve"> </w:t>
      </w:r>
      <w:r w:rsidRPr="00B11350">
        <w:rPr>
          <w:rFonts w:ascii="Times New Roman" w:hAnsi="Times New Roman"/>
          <w:i/>
          <w:sz w:val="24"/>
        </w:rPr>
        <w:t>Lam</w:t>
      </w:r>
      <w:r w:rsidRPr="00B11350">
        <w:rPr>
          <w:rFonts w:ascii="Times New Roman" w:hAnsi="Times New Roman"/>
          <w:sz w:val="24"/>
        </w:rPr>
        <w:t xml:space="preserve"> (2003) 214 CLR 1 at 14 [37]; see also [38].</w:t>
      </w:r>
      <w:r w:rsidRPr="00B11350">
        <w:rPr>
          <w:rFonts w:ascii="Times New Roman" w:hAnsi="Times New Roman"/>
          <w:i/>
          <w:sz w:val="24"/>
        </w:rPr>
        <w:t xml:space="preserve"> </w:t>
      </w:r>
    </w:p>
  </w:footnote>
  <w:footnote w:id="110">
    <w:p w14:paraId="2CE84AC3"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r>
      <w:r w:rsidRPr="00B11350">
        <w:rPr>
          <w:rFonts w:ascii="Times New Roman" w:hAnsi="Times New Roman"/>
          <w:i/>
          <w:sz w:val="24"/>
        </w:rPr>
        <w:t xml:space="preserve">WZARH </w:t>
      </w:r>
      <w:r w:rsidRPr="00B11350">
        <w:rPr>
          <w:rFonts w:ascii="Times New Roman" w:hAnsi="Times New Roman"/>
          <w:iCs/>
          <w:sz w:val="24"/>
        </w:rPr>
        <w:t xml:space="preserve">(2015) 256 CLR 326 </w:t>
      </w:r>
      <w:r w:rsidRPr="00B11350">
        <w:rPr>
          <w:rFonts w:ascii="Times New Roman" w:hAnsi="Times New Roman"/>
          <w:sz w:val="24"/>
        </w:rPr>
        <w:t xml:space="preserve">at 343 [60], citing </w:t>
      </w:r>
      <w:r w:rsidRPr="00B11350">
        <w:rPr>
          <w:rFonts w:ascii="Times New Roman" w:hAnsi="Times New Roman"/>
          <w:i/>
          <w:sz w:val="24"/>
        </w:rPr>
        <w:t xml:space="preserve">WACO v Minister for Immigration and Multicultural and Indigenous Affairs </w:t>
      </w:r>
      <w:r w:rsidRPr="00B11350">
        <w:rPr>
          <w:rFonts w:ascii="Times New Roman" w:hAnsi="Times New Roman"/>
          <w:sz w:val="24"/>
        </w:rPr>
        <w:t xml:space="preserve">(2003) 131 FCR 511 at 525 [58]. </w:t>
      </w:r>
    </w:p>
  </w:footnote>
  <w:footnote w:id="111">
    <w:p w14:paraId="6688F893"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r>
      <w:r w:rsidRPr="00B11350">
        <w:rPr>
          <w:rFonts w:ascii="Times New Roman" w:hAnsi="Times New Roman"/>
          <w:i/>
          <w:sz w:val="24"/>
        </w:rPr>
        <w:t xml:space="preserve">WZARH </w:t>
      </w:r>
      <w:r w:rsidRPr="00B11350">
        <w:rPr>
          <w:rFonts w:ascii="Times New Roman" w:hAnsi="Times New Roman"/>
          <w:iCs/>
          <w:sz w:val="24"/>
        </w:rPr>
        <w:t xml:space="preserve">(2015) 256 CLR 326 at 342 [58]. </w:t>
      </w:r>
    </w:p>
  </w:footnote>
  <w:footnote w:id="112">
    <w:p w14:paraId="2FB50229"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t>Reasons of Gageler J at [</w:t>
      </w:r>
      <w:r>
        <w:rPr>
          <w:rFonts w:ascii="Times New Roman" w:hAnsi="Times New Roman"/>
          <w:sz w:val="24"/>
        </w:rPr>
        <w:t>5</w:t>
      </w:r>
      <w:r w:rsidRPr="00B11350">
        <w:rPr>
          <w:rFonts w:ascii="Times New Roman" w:hAnsi="Times New Roman"/>
          <w:sz w:val="24"/>
        </w:rPr>
        <w:t>3], [</w:t>
      </w:r>
      <w:r>
        <w:rPr>
          <w:rFonts w:ascii="Times New Roman" w:hAnsi="Times New Roman"/>
          <w:sz w:val="24"/>
        </w:rPr>
        <w:t>5</w:t>
      </w:r>
      <w:r w:rsidRPr="00B11350">
        <w:rPr>
          <w:rFonts w:ascii="Times New Roman" w:hAnsi="Times New Roman"/>
          <w:sz w:val="24"/>
        </w:rPr>
        <w:t>5].</w:t>
      </w:r>
    </w:p>
  </w:footnote>
  <w:footnote w:id="113">
    <w:p w14:paraId="4E20A1CE"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r>
      <w:r w:rsidRPr="00B11350">
        <w:rPr>
          <w:rFonts w:ascii="Times New Roman" w:hAnsi="Times New Roman"/>
          <w:i/>
          <w:sz w:val="24"/>
        </w:rPr>
        <w:t xml:space="preserve">WZARH </w:t>
      </w:r>
      <w:r w:rsidRPr="00B11350">
        <w:rPr>
          <w:rFonts w:ascii="Times New Roman" w:hAnsi="Times New Roman"/>
          <w:iCs/>
          <w:sz w:val="24"/>
        </w:rPr>
        <w:t xml:space="preserve">(2015) 256 CLR 326 at 342 [58]. </w:t>
      </w:r>
    </w:p>
  </w:footnote>
  <w:footnote w:id="114">
    <w:p w14:paraId="54EC3D8B"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r>
      <w:r w:rsidRPr="00B11350">
        <w:rPr>
          <w:rFonts w:ascii="Times New Roman" w:hAnsi="Times New Roman"/>
          <w:i/>
          <w:sz w:val="24"/>
        </w:rPr>
        <w:t xml:space="preserve">WZARH </w:t>
      </w:r>
      <w:r w:rsidRPr="00B11350">
        <w:rPr>
          <w:rFonts w:ascii="Times New Roman" w:hAnsi="Times New Roman"/>
          <w:iCs/>
          <w:sz w:val="24"/>
        </w:rPr>
        <w:t xml:space="preserve">(2015) 256 CLR 326 at 342 [58]. </w:t>
      </w:r>
    </w:p>
  </w:footnote>
  <w:footnote w:id="115">
    <w:p w14:paraId="0601D1F2"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t xml:space="preserve">cf </w:t>
      </w:r>
      <w:r w:rsidRPr="00B11350">
        <w:rPr>
          <w:rFonts w:ascii="Times New Roman" w:hAnsi="Times New Roman"/>
          <w:i/>
          <w:sz w:val="24"/>
        </w:rPr>
        <w:t xml:space="preserve">WZARH </w:t>
      </w:r>
      <w:r w:rsidRPr="00B11350">
        <w:rPr>
          <w:rFonts w:ascii="Times New Roman" w:hAnsi="Times New Roman"/>
          <w:iCs/>
          <w:sz w:val="24"/>
        </w:rPr>
        <w:t xml:space="preserve">(2015) 256 CLR 326 </w:t>
      </w:r>
      <w:r w:rsidRPr="00B11350">
        <w:rPr>
          <w:rFonts w:ascii="Times New Roman" w:hAnsi="Times New Roman"/>
          <w:sz w:val="24"/>
        </w:rPr>
        <w:t xml:space="preserve">at 342-343 [60]. </w:t>
      </w:r>
    </w:p>
  </w:footnote>
  <w:footnote w:id="116">
    <w:p w14:paraId="0EDFD93B"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r>
      <w:r w:rsidRPr="00B11350">
        <w:rPr>
          <w:rFonts w:ascii="Times New Roman" w:hAnsi="Times New Roman"/>
          <w:i/>
          <w:sz w:val="24"/>
        </w:rPr>
        <w:t xml:space="preserve">ABT17 v Minister for Immigration and Border Protection </w:t>
      </w:r>
      <w:r w:rsidRPr="00B11350">
        <w:rPr>
          <w:rFonts w:ascii="Times New Roman" w:hAnsi="Times New Roman"/>
          <w:iCs/>
          <w:sz w:val="24"/>
        </w:rPr>
        <w:t>(2020) 269 CLR 439</w:t>
      </w:r>
      <w:r w:rsidRPr="00B11350">
        <w:rPr>
          <w:rFonts w:ascii="Times New Roman" w:hAnsi="Times New Roman"/>
          <w:sz w:val="24"/>
        </w:rPr>
        <w:t xml:space="preserve"> at</w:t>
      </w:r>
      <w:r>
        <w:rPr>
          <w:rFonts w:ascii="Times New Roman" w:hAnsi="Times New Roman"/>
          <w:sz w:val="24"/>
        </w:rPr>
        <w:t> </w:t>
      </w:r>
      <w:r w:rsidRPr="00B11350">
        <w:rPr>
          <w:rFonts w:ascii="Times New Roman" w:hAnsi="Times New Roman"/>
          <w:sz w:val="24"/>
        </w:rPr>
        <w:t xml:space="preserve">483 [107]; </w:t>
      </w:r>
      <w:r w:rsidRPr="00B11350">
        <w:rPr>
          <w:rFonts w:ascii="Times New Roman" w:hAnsi="Times New Roman"/>
          <w:i/>
          <w:sz w:val="24"/>
        </w:rPr>
        <w:t>MZAPC</w:t>
      </w:r>
      <w:r w:rsidRPr="00B11350">
        <w:rPr>
          <w:rFonts w:ascii="Times New Roman" w:hAnsi="Times New Roman"/>
          <w:sz w:val="24"/>
        </w:rPr>
        <w:t xml:space="preserve"> (2021) 95 ALJR 441 at 463-466 [89]-[105]; 390 ALR 590 at</w:t>
      </w:r>
      <w:r>
        <w:rPr>
          <w:rFonts w:ascii="Times New Roman" w:hAnsi="Times New Roman"/>
          <w:sz w:val="24"/>
        </w:rPr>
        <w:t> </w:t>
      </w:r>
      <w:r w:rsidRPr="00B11350">
        <w:rPr>
          <w:rFonts w:ascii="Times New Roman" w:hAnsi="Times New Roman"/>
          <w:sz w:val="24"/>
        </w:rPr>
        <w:t xml:space="preserve">611-616. See also </w:t>
      </w:r>
      <w:r w:rsidRPr="00B11350">
        <w:rPr>
          <w:rFonts w:ascii="Times New Roman" w:hAnsi="Times New Roman"/>
          <w:i/>
          <w:sz w:val="24"/>
        </w:rPr>
        <w:t>Church of Scientology v Woodward</w:t>
      </w:r>
      <w:r w:rsidRPr="00B11350">
        <w:rPr>
          <w:rFonts w:ascii="Times New Roman" w:hAnsi="Times New Roman"/>
          <w:sz w:val="24"/>
        </w:rPr>
        <w:t xml:space="preserve"> (1982) 154 CLR 25 at 70; </w:t>
      </w:r>
      <w:r w:rsidRPr="00B11350">
        <w:rPr>
          <w:rFonts w:ascii="Times New Roman" w:hAnsi="Times New Roman"/>
          <w:i/>
          <w:sz w:val="24"/>
        </w:rPr>
        <w:t>Re Minister for Immigration and Multicultural Affairs; Ex </w:t>
      </w:r>
      <w:proofErr w:type="spellStart"/>
      <w:r w:rsidRPr="00B11350">
        <w:rPr>
          <w:rFonts w:ascii="Times New Roman" w:hAnsi="Times New Roman"/>
          <w:i/>
          <w:sz w:val="24"/>
        </w:rPr>
        <w:t>parte</w:t>
      </w:r>
      <w:proofErr w:type="spellEnd"/>
      <w:r w:rsidRPr="00B11350">
        <w:rPr>
          <w:rFonts w:ascii="Times New Roman" w:hAnsi="Times New Roman"/>
          <w:i/>
          <w:sz w:val="24"/>
        </w:rPr>
        <w:t xml:space="preserve"> Abebe [No 1]</w:t>
      </w:r>
      <w:r w:rsidRPr="00B11350">
        <w:rPr>
          <w:rFonts w:ascii="Times New Roman" w:hAnsi="Times New Roman"/>
          <w:sz w:val="24"/>
        </w:rPr>
        <w:t xml:space="preserve"> (1997) 72 ALJR 574 at 577 [18]; 151 ALR 711 at 715; </w:t>
      </w:r>
      <w:r w:rsidRPr="00B11350">
        <w:rPr>
          <w:rFonts w:ascii="Times New Roman" w:hAnsi="Times New Roman"/>
          <w:i/>
          <w:sz w:val="24"/>
        </w:rPr>
        <w:t>Plaintiff S157/2002 v The Commonwealth</w:t>
      </w:r>
      <w:r w:rsidRPr="00B11350">
        <w:rPr>
          <w:rFonts w:ascii="Times New Roman" w:hAnsi="Times New Roman"/>
          <w:sz w:val="24"/>
        </w:rPr>
        <w:t xml:space="preserve"> (2003) 211 CLR 476 at 492 [31], 513-514 [104]; </w:t>
      </w:r>
      <w:proofErr w:type="spellStart"/>
      <w:r w:rsidRPr="00B11350">
        <w:rPr>
          <w:rFonts w:ascii="Times New Roman" w:hAnsi="Times New Roman"/>
          <w:i/>
          <w:sz w:val="24"/>
        </w:rPr>
        <w:t>Combet</w:t>
      </w:r>
      <w:proofErr w:type="spellEnd"/>
      <w:r w:rsidRPr="00B11350">
        <w:rPr>
          <w:rFonts w:ascii="Times New Roman" w:hAnsi="Times New Roman"/>
          <w:i/>
          <w:sz w:val="24"/>
        </w:rPr>
        <w:t xml:space="preserve"> v The</w:t>
      </w:r>
      <w:r>
        <w:rPr>
          <w:rFonts w:ascii="Times New Roman" w:hAnsi="Times New Roman"/>
          <w:i/>
          <w:sz w:val="24"/>
        </w:rPr>
        <w:t> </w:t>
      </w:r>
      <w:r w:rsidRPr="00B11350">
        <w:rPr>
          <w:rFonts w:ascii="Times New Roman" w:hAnsi="Times New Roman"/>
          <w:i/>
          <w:sz w:val="24"/>
        </w:rPr>
        <w:t>Commonwealth</w:t>
      </w:r>
      <w:r w:rsidRPr="00B11350">
        <w:rPr>
          <w:rFonts w:ascii="Times New Roman" w:hAnsi="Times New Roman"/>
          <w:sz w:val="24"/>
        </w:rPr>
        <w:t xml:space="preserve"> (2005) 224 CLR 494 at 579 [167]; </w:t>
      </w:r>
      <w:r w:rsidRPr="00B11350">
        <w:rPr>
          <w:rFonts w:ascii="Times New Roman" w:hAnsi="Times New Roman"/>
          <w:i/>
          <w:sz w:val="24"/>
        </w:rPr>
        <w:t xml:space="preserve">Argos Pty Ltd v </w:t>
      </w:r>
      <w:proofErr w:type="spellStart"/>
      <w:r w:rsidRPr="00B11350">
        <w:rPr>
          <w:rFonts w:ascii="Times New Roman" w:hAnsi="Times New Roman"/>
          <w:i/>
          <w:sz w:val="24"/>
        </w:rPr>
        <w:t>Corbell</w:t>
      </w:r>
      <w:proofErr w:type="spellEnd"/>
      <w:r w:rsidRPr="00B11350">
        <w:rPr>
          <w:rFonts w:ascii="Times New Roman" w:hAnsi="Times New Roman"/>
          <w:i/>
          <w:sz w:val="24"/>
        </w:rPr>
        <w:t xml:space="preserve"> </w:t>
      </w:r>
      <w:r w:rsidRPr="00B11350">
        <w:rPr>
          <w:rFonts w:ascii="Times New Roman" w:hAnsi="Times New Roman"/>
          <w:sz w:val="24"/>
        </w:rPr>
        <w:t xml:space="preserve">(2014) 254 CLR 394 at 411 [48]; </w:t>
      </w:r>
      <w:r w:rsidRPr="00B11350">
        <w:rPr>
          <w:rFonts w:ascii="Times New Roman" w:hAnsi="Times New Roman"/>
          <w:i/>
          <w:sz w:val="24"/>
        </w:rPr>
        <w:t>Graham v Minister for Immigration and Border Protection</w:t>
      </w:r>
      <w:r w:rsidRPr="00B11350">
        <w:rPr>
          <w:rFonts w:ascii="Times New Roman" w:hAnsi="Times New Roman"/>
          <w:sz w:val="24"/>
        </w:rPr>
        <w:t xml:space="preserve"> (2017) 263 CLR 1 at 24-26 [39]-[44].</w:t>
      </w:r>
      <w:r w:rsidRPr="00B11350" w:rsidDel="008873DE">
        <w:rPr>
          <w:rFonts w:ascii="Times New Roman" w:hAnsi="Times New Roman"/>
          <w:sz w:val="24"/>
        </w:rPr>
        <w:t xml:space="preserve"> </w:t>
      </w:r>
    </w:p>
  </w:footnote>
  <w:footnote w:id="117">
    <w:p w14:paraId="3C9D5545"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r>
      <w:r w:rsidRPr="00B11350">
        <w:rPr>
          <w:rFonts w:ascii="Times New Roman" w:hAnsi="Times New Roman"/>
          <w:i/>
          <w:sz w:val="24"/>
        </w:rPr>
        <w:t>MZAPC</w:t>
      </w:r>
      <w:r w:rsidRPr="00B11350">
        <w:rPr>
          <w:rFonts w:ascii="Times New Roman" w:hAnsi="Times New Roman"/>
          <w:sz w:val="24"/>
        </w:rPr>
        <w:t xml:space="preserve"> (2021) 95 ALJR 441 at 462 [85]; 390 ALR 590 at 610</w:t>
      </w:r>
      <w:r w:rsidRPr="00B11350">
        <w:rPr>
          <w:rFonts w:ascii="Times New Roman" w:hAnsi="Times New Roman"/>
          <w:sz w:val="24"/>
        </w:rPr>
        <w:noBreakHyphen/>
        <w:t>611. See also</w:t>
      </w:r>
      <w:r>
        <w:rPr>
          <w:rFonts w:ascii="Times New Roman" w:hAnsi="Times New Roman"/>
          <w:sz w:val="24"/>
        </w:rPr>
        <w:t> </w:t>
      </w:r>
      <w:r w:rsidRPr="00B11350">
        <w:rPr>
          <w:rFonts w:ascii="Times New Roman" w:hAnsi="Times New Roman"/>
          <w:i/>
          <w:iCs/>
          <w:sz w:val="24"/>
        </w:rPr>
        <w:t>WZARH</w:t>
      </w:r>
      <w:r w:rsidRPr="00B11350">
        <w:rPr>
          <w:rFonts w:ascii="Times New Roman" w:hAnsi="Times New Roman"/>
          <w:sz w:val="24"/>
        </w:rPr>
        <w:t xml:space="preserve"> </w:t>
      </w:r>
      <w:r w:rsidRPr="00B11350">
        <w:rPr>
          <w:rFonts w:ascii="Times New Roman" w:hAnsi="Times New Roman"/>
          <w:iCs/>
          <w:sz w:val="24"/>
        </w:rPr>
        <w:t xml:space="preserve">(2015) 256 CLR 326 </w:t>
      </w:r>
      <w:r w:rsidRPr="00B11350">
        <w:rPr>
          <w:rFonts w:ascii="Times New Roman" w:hAnsi="Times New Roman"/>
          <w:sz w:val="24"/>
        </w:rPr>
        <w:t xml:space="preserve">at 342 [58]; </w:t>
      </w:r>
      <w:proofErr w:type="spellStart"/>
      <w:r w:rsidRPr="00B11350">
        <w:rPr>
          <w:rFonts w:ascii="Times New Roman" w:hAnsi="Times New Roman"/>
          <w:i/>
          <w:sz w:val="24"/>
        </w:rPr>
        <w:t>Degning</w:t>
      </w:r>
      <w:proofErr w:type="spellEnd"/>
      <w:r w:rsidRPr="00B11350">
        <w:rPr>
          <w:rFonts w:ascii="Times New Roman" w:hAnsi="Times New Roman"/>
          <w:sz w:val="24"/>
        </w:rPr>
        <w:t xml:space="preserve"> </w:t>
      </w:r>
      <w:r w:rsidRPr="00B11350">
        <w:rPr>
          <w:rFonts w:ascii="Times New Roman" w:hAnsi="Times New Roman"/>
          <w:iCs/>
          <w:sz w:val="24"/>
        </w:rPr>
        <w:t>(2019) 270 FCR 451</w:t>
      </w:r>
      <w:r w:rsidRPr="00B11350">
        <w:rPr>
          <w:rFonts w:ascii="Times New Roman" w:hAnsi="Times New Roman"/>
          <w:sz w:val="24"/>
        </w:rPr>
        <w:t xml:space="preserve"> at 465-466 [39].</w:t>
      </w:r>
    </w:p>
  </w:footnote>
  <w:footnote w:id="118">
    <w:p w14:paraId="7ADD11AD"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t>Reasons of Gageler J at [</w:t>
      </w:r>
      <w:r>
        <w:rPr>
          <w:rFonts w:ascii="Times New Roman" w:hAnsi="Times New Roman"/>
          <w:sz w:val="24"/>
        </w:rPr>
        <w:t>5</w:t>
      </w:r>
      <w:r w:rsidRPr="00B11350">
        <w:rPr>
          <w:rFonts w:ascii="Times New Roman" w:hAnsi="Times New Roman"/>
          <w:sz w:val="24"/>
        </w:rPr>
        <w:t>5].</w:t>
      </w:r>
    </w:p>
  </w:footnote>
  <w:footnote w:id="119">
    <w:p w14:paraId="0DFC2358"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t>(2021) 95 ALJR 441 at 457 [51]; see also 470-471 [121]-[122]; 390 ALR 590 at 603; see also 621-622.</w:t>
      </w:r>
    </w:p>
  </w:footnote>
  <w:footnote w:id="120">
    <w:p w14:paraId="1CE4A66F" w14:textId="77777777" w:rsidR="0042544D" w:rsidRPr="00B11350" w:rsidRDefault="0042544D" w:rsidP="00B11350">
      <w:pPr>
        <w:pStyle w:val="FootnoteText"/>
        <w:spacing w:line="280" w:lineRule="exact"/>
        <w:ind w:right="0"/>
        <w:jc w:val="both"/>
        <w:rPr>
          <w:rFonts w:ascii="Times New Roman" w:hAnsi="Times New Roman"/>
          <w:sz w:val="24"/>
        </w:rPr>
      </w:pPr>
      <w:r w:rsidRPr="00B11350">
        <w:rPr>
          <w:rStyle w:val="FootnoteReference"/>
          <w:rFonts w:ascii="Times New Roman" w:hAnsi="Times New Roman"/>
          <w:sz w:val="22"/>
          <w:vertAlign w:val="baseline"/>
        </w:rPr>
        <w:footnoteRef/>
      </w:r>
      <w:r w:rsidRPr="00B11350">
        <w:rPr>
          <w:rFonts w:ascii="Times New Roman" w:hAnsi="Times New Roman"/>
          <w:sz w:val="24"/>
        </w:rPr>
        <w:t xml:space="preserve"> </w:t>
      </w:r>
      <w:r w:rsidRPr="00B11350">
        <w:rPr>
          <w:rFonts w:ascii="Times New Roman" w:hAnsi="Times New Roman"/>
          <w:sz w:val="24"/>
        </w:rPr>
        <w:tab/>
        <w:t xml:space="preserve">cf </w:t>
      </w:r>
      <w:r w:rsidRPr="00B11350">
        <w:rPr>
          <w:rFonts w:ascii="Times New Roman" w:hAnsi="Times New Roman"/>
          <w:i/>
          <w:iCs/>
          <w:sz w:val="24"/>
        </w:rPr>
        <w:t>SZMTA</w:t>
      </w:r>
      <w:r w:rsidRPr="00B11350">
        <w:rPr>
          <w:rFonts w:ascii="Times New Roman" w:hAnsi="Times New Roman"/>
          <w:sz w:val="24"/>
        </w:rPr>
        <w:t xml:space="preserve"> (2019) 264 CLR 421 at 460 [95].</w:t>
      </w:r>
    </w:p>
  </w:footnote>
  <w:footnote w:id="121">
    <w:p w14:paraId="65872D00" w14:textId="77777777" w:rsidR="0042544D" w:rsidRPr="00FB6AF7" w:rsidRDefault="0042544D" w:rsidP="00FB6AF7">
      <w:pPr>
        <w:pStyle w:val="FootnoteText"/>
        <w:spacing w:line="280" w:lineRule="exact"/>
        <w:ind w:right="0"/>
        <w:jc w:val="both"/>
        <w:rPr>
          <w:rFonts w:ascii="Times New Roman" w:hAnsi="Times New Roman"/>
          <w:i/>
          <w:iCs/>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proofErr w:type="spellStart"/>
      <w:r w:rsidRPr="00FB6AF7">
        <w:rPr>
          <w:rFonts w:ascii="Times New Roman" w:hAnsi="Times New Roman"/>
          <w:i/>
          <w:sz w:val="24"/>
        </w:rPr>
        <w:t>Annetts</w:t>
      </w:r>
      <w:proofErr w:type="spellEnd"/>
      <w:r w:rsidRPr="00FB6AF7">
        <w:rPr>
          <w:rFonts w:ascii="Times New Roman" w:hAnsi="Times New Roman"/>
          <w:i/>
          <w:sz w:val="24"/>
        </w:rPr>
        <w:t xml:space="preserve"> v McCann </w:t>
      </w:r>
      <w:r w:rsidRPr="00FB6AF7">
        <w:rPr>
          <w:rFonts w:ascii="Times New Roman" w:hAnsi="Times New Roman"/>
          <w:sz w:val="24"/>
        </w:rPr>
        <w:t xml:space="preserve">(1990) 170 CLR 596 at 598; </w:t>
      </w:r>
      <w:r w:rsidRPr="00FB6AF7">
        <w:rPr>
          <w:rFonts w:ascii="Times New Roman" w:hAnsi="Times New Roman"/>
          <w:i/>
          <w:sz w:val="24"/>
        </w:rPr>
        <w:t xml:space="preserve">Re Minister for Immigration and Multicultural Affairs; Ex </w:t>
      </w:r>
      <w:proofErr w:type="spellStart"/>
      <w:r w:rsidRPr="00FB6AF7">
        <w:rPr>
          <w:rFonts w:ascii="Times New Roman" w:hAnsi="Times New Roman"/>
          <w:i/>
          <w:sz w:val="24"/>
        </w:rPr>
        <w:t>parte</w:t>
      </w:r>
      <w:proofErr w:type="spellEnd"/>
      <w:r w:rsidRPr="00FB6AF7">
        <w:rPr>
          <w:rFonts w:ascii="Times New Roman" w:hAnsi="Times New Roman"/>
          <w:i/>
          <w:sz w:val="24"/>
        </w:rPr>
        <w:t xml:space="preserve"> Miah </w:t>
      </w:r>
      <w:r w:rsidRPr="00FB6AF7">
        <w:rPr>
          <w:rFonts w:ascii="Times New Roman" w:hAnsi="Times New Roman"/>
          <w:sz w:val="24"/>
        </w:rPr>
        <w:t xml:space="preserve">(2001) 206 CLR 57 at 73 [43]; </w:t>
      </w:r>
      <w:r w:rsidRPr="00FB6AF7">
        <w:rPr>
          <w:rFonts w:ascii="Times New Roman" w:hAnsi="Times New Roman"/>
          <w:i/>
          <w:sz w:val="24"/>
        </w:rPr>
        <w:t xml:space="preserve">Jarratt v Commissioner of Police (NSW) </w:t>
      </w:r>
      <w:r w:rsidRPr="00FB6AF7">
        <w:rPr>
          <w:rFonts w:ascii="Times New Roman" w:hAnsi="Times New Roman"/>
          <w:sz w:val="24"/>
        </w:rPr>
        <w:t xml:space="preserve">(2005) 224 CLR 44 at 56 [24], 61 [51]. See also </w:t>
      </w:r>
      <w:r w:rsidRPr="00FB6AF7">
        <w:rPr>
          <w:rFonts w:ascii="Times New Roman" w:hAnsi="Times New Roman"/>
          <w:i/>
          <w:sz w:val="24"/>
        </w:rPr>
        <w:t xml:space="preserve">The Commissioner of Police v Tanos </w:t>
      </w:r>
      <w:r w:rsidRPr="00FB6AF7">
        <w:rPr>
          <w:rFonts w:ascii="Times New Roman" w:hAnsi="Times New Roman"/>
          <w:sz w:val="24"/>
        </w:rPr>
        <w:t>(1958) 98 CLR 383 at 395</w:t>
      </w:r>
      <w:r w:rsidRPr="00FB6AF7">
        <w:rPr>
          <w:rFonts w:ascii="Times New Roman" w:hAnsi="Times New Roman"/>
          <w:sz w:val="24"/>
        </w:rPr>
        <w:noBreakHyphen/>
        <w:t>396.</w:t>
      </w:r>
    </w:p>
  </w:footnote>
  <w:footnote w:id="122">
    <w:p w14:paraId="0DD64EF1"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sz w:val="24"/>
        </w:rPr>
        <w:t xml:space="preserve">Twist v Randwick Municipal Council </w:t>
      </w:r>
      <w:r w:rsidRPr="00FB6AF7">
        <w:rPr>
          <w:rFonts w:ascii="Times New Roman" w:hAnsi="Times New Roman"/>
          <w:sz w:val="24"/>
        </w:rPr>
        <w:t>(1976) 136 CLR 106 at 110.</w:t>
      </w:r>
    </w:p>
  </w:footnote>
  <w:footnote w:id="123">
    <w:p w14:paraId="719F2347"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sz w:val="24"/>
        </w:rPr>
        <w:t xml:space="preserve">Heatley v Tasmanian Racing and Gaming Commission </w:t>
      </w:r>
      <w:r w:rsidRPr="00FB6AF7">
        <w:rPr>
          <w:rFonts w:ascii="Times New Roman" w:hAnsi="Times New Roman"/>
          <w:sz w:val="24"/>
        </w:rPr>
        <w:t>(1977) 137 CLR 487 at 496.</w:t>
      </w:r>
    </w:p>
  </w:footnote>
  <w:footnote w:id="124">
    <w:p w14:paraId="01194FAF"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t xml:space="preserve">See, eg, </w:t>
      </w:r>
      <w:r w:rsidRPr="00FB6AF7">
        <w:rPr>
          <w:rFonts w:ascii="Times New Roman" w:hAnsi="Times New Roman"/>
          <w:i/>
          <w:iCs/>
          <w:sz w:val="24"/>
        </w:rPr>
        <w:t>BVD17 v Minister for Immigration and Border Protection</w:t>
      </w:r>
      <w:r w:rsidRPr="00FB6AF7">
        <w:rPr>
          <w:rFonts w:ascii="Times New Roman" w:hAnsi="Times New Roman"/>
          <w:sz w:val="24"/>
        </w:rPr>
        <w:t xml:space="preserve"> (2019) 268 CLR 29; </w:t>
      </w:r>
      <w:r w:rsidRPr="00FB6AF7">
        <w:rPr>
          <w:rFonts w:ascii="Times New Roman" w:hAnsi="Times New Roman"/>
          <w:i/>
          <w:sz w:val="24"/>
        </w:rPr>
        <w:t xml:space="preserve">MZAPC v Minister for Immigration and Border Protection </w:t>
      </w:r>
      <w:r w:rsidRPr="00FB6AF7">
        <w:rPr>
          <w:rFonts w:ascii="Times New Roman" w:hAnsi="Times New Roman"/>
          <w:sz w:val="24"/>
        </w:rPr>
        <w:t xml:space="preserve">(2021) 95 ALJR 441; 390 ALR 590; </w:t>
      </w:r>
      <w:r w:rsidRPr="00FB6AF7">
        <w:rPr>
          <w:rFonts w:ascii="Times New Roman" w:hAnsi="Times New Roman"/>
          <w:i/>
          <w:sz w:val="24"/>
        </w:rPr>
        <w:t>Plaintiff M1/2021 v Minister for Home Affairs</w:t>
      </w:r>
      <w:r w:rsidRPr="00FB6AF7">
        <w:rPr>
          <w:rFonts w:ascii="Times New Roman" w:hAnsi="Times New Roman"/>
          <w:sz w:val="24"/>
        </w:rPr>
        <w:t xml:space="preserve"> (2022) 96 ALJR 497; 400 ALR 417.</w:t>
      </w:r>
    </w:p>
  </w:footnote>
  <w:footnote w:id="125">
    <w:p w14:paraId="4312ADD6"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t xml:space="preserve">Daly, </w:t>
      </w:r>
      <w:r w:rsidRPr="00FB6AF7">
        <w:rPr>
          <w:rFonts w:ascii="Times New Roman" w:hAnsi="Times New Roman"/>
          <w:i/>
          <w:iCs/>
          <w:sz w:val="24"/>
        </w:rPr>
        <w:t xml:space="preserve">Understanding Administrative Law in the Common Law World </w:t>
      </w:r>
      <w:r w:rsidRPr="00FB6AF7">
        <w:rPr>
          <w:rFonts w:ascii="Times New Roman" w:hAnsi="Times New Roman"/>
          <w:sz w:val="24"/>
        </w:rPr>
        <w:t>(2021) at 16.</w:t>
      </w:r>
    </w:p>
  </w:footnote>
  <w:footnote w:id="126">
    <w:p w14:paraId="3EA3CC9A"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t>(2021) 95 ALJR 441; 390 ALR 590.</w:t>
      </w:r>
    </w:p>
  </w:footnote>
  <w:footnote w:id="127">
    <w:p w14:paraId="2CECF76E"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t>(2018) 264 CLR 123.</w:t>
      </w:r>
    </w:p>
  </w:footnote>
  <w:footnote w:id="128">
    <w:p w14:paraId="19DCF561"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t xml:space="preserve">See (2018) 264 CLR 123 at 146 [68], 147 [71], citing </w:t>
      </w:r>
      <w:r w:rsidRPr="00FB6AF7">
        <w:rPr>
          <w:rFonts w:ascii="Times New Roman" w:hAnsi="Times New Roman"/>
          <w:i/>
          <w:iCs/>
          <w:sz w:val="24"/>
        </w:rPr>
        <w:t xml:space="preserve">Minister for Immigration and Citizenship v SZIZO </w:t>
      </w:r>
      <w:r w:rsidRPr="00FB6AF7">
        <w:rPr>
          <w:rFonts w:ascii="Times New Roman" w:hAnsi="Times New Roman"/>
          <w:sz w:val="24"/>
        </w:rPr>
        <w:t xml:space="preserve">(2009) 238 CLR 627; </w:t>
      </w:r>
      <w:r w:rsidRPr="00FB6AF7">
        <w:rPr>
          <w:rFonts w:ascii="Times New Roman" w:hAnsi="Times New Roman"/>
          <w:i/>
          <w:iCs/>
          <w:sz w:val="24"/>
        </w:rPr>
        <w:t xml:space="preserve">Minister for Immigration and </w:t>
      </w:r>
      <w:r w:rsidRPr="00FB6AF7">
        <w:rPr>
          <w:rFonts w:ascii="Times New Roman" w:hAnsi="Times New Roman"/>
          <w:i/>
          <w:sz w:val="24"/>
        </w:rPr>
        <w:t>Multicultural</w:t>
      </w:r>
      <w:r w:rsidRPr="00FB6AF7">
        <w:rPr>
          <w:rFonts w:ascii="Times New Roman" w:hAnsi="Times New Roman"/>
          <w:i/>
          <w:iCs/>
          <w:sz w:val="24"/>
        </w:rPr>
        <w:t xml:space="preserve"> Affairs v Yusuf </w:t>
      </w:r>
      <w:r w:rsidRPr="00FB6AF7">
        <w:rPr>
          <w:rFonts w:ascii="Times New Roman" w:hAnsi="Times New Roman"/>
          <w:sz w:val="24"/>
        </w:rPr>
        <w:t xml:space="preserve">(2001) 206 CLR 323 at 351 [82]; </w:t>
      </w:r>
      <w:r w:rsidRPr="00FB6AF7">
        <w:rPr>
          <w:rFonts w:ascii="Times New Roman" w:hAnsi="Times New Roman"/>
          <w:i/>
          <w:iCs/>
          <w:sz w:val="24"/>
        </w:rPr>
        <w:t>Wei v Minister for Immigration and Border Protection</w:t>
      </w:r>
      <w:r w:rsidRPr="00FB6AF7">
        <w:rPr>
          <w:rFonts w:ascii="Times New Roman" w:hAnsi="Times New Roman"/>
          <w:sz w:val="24"/>
        </w:rPr>
        <w:t xml:space="preserve"> (2015) 257 CLR 22 at 32 [23].</w:t>
      </w:r>
    </w:p>
  </w:footnote>
  <w:footnote w:id="129">
    <w:p w14:paraId="4CBE497A"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t xml:space="preserve">See </w:t>
      </w:r>
      <w:r w:rsidRPr="00FB6AF7">
        <w:rPr>
          <w:rFonts w:ascii="Times New Roman" w:hAnsi="Times New Roman"/>
          <w:i/>
          <w:sz w:val="24"/>
        </w:rPr>
        <w:t xml:space="preserve">MZAPC v Minister for Immigration and Border Protection </w:t>
      </w:r>
      <w:r w:rsidRPr="00FB6AF7">
        <w:rPr>
          <w:rFonts w:ascii="Times New Roman" w:hAnsi="Times New Roman"/>
          <w:sz w:val="24"/>
        </w:rPr>
        <w:t>(2021) 95 ALJR 441 at 481</w:t>
      </w:r>
      <w:r w:rsidRPr="00FB6AF7">
        <w:rPr>
          <w:rFonts w:ascii="Times New Roman" w:hAnsi="Times New Roman"/>
          <w:sz w:val="24"/>
        </w:rPr>
        <w:noBreakHyphen/>
        <w:t>482 [175]</w:t>
      </w:r>
      <w:r w:rsidRPr="00FB6AF7">
        <w:rPr>
          <w:rFonts w:ascii="Times New Roman" w:hAnsi="Times New Roman"/>
          <w:sz w:val="24"/>
        </w:rPr>
        <w:noBreakHyphen/>
        <w:t>[179]; 390 ALR 590 at 635</w:t>
      </w:r>
      <w:r w:rsidRPr="00FB6AF7">
        <w:rPr>
          <w:rFonts w:ascii="Times New Roman" w:hAnsi="Times New Roman"/>
          <w:sz w:val="24"/>
        </w:rPr>
        <w:noBreakHyphen/>
        <w:t>637.</w:t>
      </w:r>
    </w:p>
  </w:footnote>
  <w:footnote w:id="130">
    <w:p w14:paraId="3B15B2D9"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sz w:val="24"/>
        </w:rPr>
        <w:t xml:space="preserve">MZAPC v Minister for Immigration and Border Protection </w:t>
      </w:r>
      <w:r w:rsidRPr="00FB6AF7">
        <w:rPr>
          <w:rFonts w:ascii="Times New Roman" w:hAnsi="Times New Roman"/>
          <w:sz w:val="24"/>
        </w:rPr>
        <w:t>(2021) 95 ALJR 441 at 477 [159]</w:t>
      </w:r>
      <w:r w:rsidRPr="00FB6AF7">
        <w:rPr>
          <w:rFonts w:ascii="Times New Roman" w:hAnsi="Times New Roman"/>
          <w:sz w:val="24"/>
        </w:rPr>
        <w:noBreakHyphen/>
        <w:t>[160]; 390 ALR 590 at 630.</w:t>
      </w:r>
    </w:p>
  </w:footnote>
  <w:footnote w:id="131">
    <w:p w14:paraId="4A7B0D64"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sz w:val="24"/>
        </w:rPr>
        <w:t xml:space="preserve">MZAPC v Minister for Immigration and Border Protection </w:t>
      </w:r>
      <w:r w:rsidRPr="00FB6AF7">
        <w:rPr>
          <w:rFonts w:ascii="Times New Roman" w:hAnsi="Times New Roman"/>
          <w:sz w:val="24"/>
        </w:rPr>
        <w:t>(2021) 95 ALJR 441 at 462</w:t>
      </w:r>
      <w:r w:rsidRPr="00FB6AF7">
        <w:rPr>
          <w:rFonts w:ascii="Times New Roman" w:hAnsi="Times New Roman"/>
          <w:sz w:val="24"/>
        </w:rPr>
        <w:noBreakHyphen/>
        <w:t>463 [85], 477 [159]</w:t>
      </w:r>
      <w:r w:rsidRPr="00FB6AF7">
        <w:rPr>
          <w:rFonts w:ascii="Times New Roman" w:hAnsi="Times New Roman"/>
          <w:sz w:val="24"/>
        </w:rPr>
        <w:noBreakHyphen/>
        <w:t>[161]; 390 ALR 590 at 610</w:t>
      </w:r>
      <w:r w:rsidRPr="00FB6AF7">
        <w:rPr>
          <w:rFonts w:ascii="Times New Roman" w:hAnsi="Times New Roman"/>
          <w:sz w:val="24"/>
        </w:rPr>
        <w:noBreakHyphen/>
        <w:t>611, 630</w:t>
      </w:r>
      <w:r w:rsidRPr="00FB6AF7">
        <w:rPr>
          <w:rFonts w:ascii="Times New Roman" w:hAnsi="Times New Roman"/>
          <w:sz w:val="24"/>
        </w:rPr>
        <w:noBreakHyphen/>
        <w:t xml:space="preserve">631. See also </w:t>
      </w:r>
      <w:r w:rsidRPr="00FB6AF7">
        <w:rPr>
          <w:rFonts w:ascii="Times New Roman" w:hAnsi="Times New Roman"/>
          <w:i/>
          <w:sz w:val="24"/>
        </w:rPr>
        <w:t xml:space="preserve">BVD17 v Minister for Immigration and Border Protection </w:t>
      </w:r>
      <w:r w:rsidRPr="00FB6AF7">
        <w:rPr>
          <w:rFonts w:ascii="Times New Roman" w:hAnsi="Times New Roman"/>
          <w:sz w:val="24"/>
        </w:rPr>
        <w:t>(2019) 268 CLR 29 at 54 [66].</w:t>
      </w:r>
    </w:p>
  </w:footnote>
  <w:footnote w:id="132">
    <w:p w14:paraId="6DBD9802" w14:textId="77777777" w:rsidR="0042544D" w:rsidRPr="00FB6AF7" w:rsidRDefault="0042544D" w:rsidP="00FB6AF7">
      <w:pPr>
        <w:pStyle w:val="FootnoteText"/>
        <w:spacing w:line="280" w:lineRule="exact"/>
        <w:ind w:right="0"/>
        <w:jc w:val="both"/>
        <w:rPr>
          <w:rFonts w:ascii="Times New Roman" w:hAnsi="Times New Roman"/>
          <w:b/>
          <w:bCs/>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sz w:val="24"/>
        </w:rPr>
        <w:t xml:space="preserve">MZAPC v Minister for Immigration and Border Protection </w:t>
      </w:r>
      <w:r w:rsidRPr="00FB6AF7">
        <w:rPr>
          <w:rFonts w:ascii="Times New Roman" w:hAnsi="Times New Roman"/>
          <w:sz w:val="24"/>
        </w:rPr>
        <w:t>(2021) 95 ALJR 441 at 477</w:t>
      </w:r>
      <w:r w:rsidRPr="00FB6AF7">
        <w:rPr>
          <w:rFonts w:ascii="Times New Roman" w:hAnsi="Times New Roman"/>
          <w:sz w:val="24"/>
        </w:rPr>
        <w:noBreakHyphen/>
        <w:t xml:space="preserve">478 [162]; 390 ALR 590 at 631, citing </w:t>
      </w:r>
      <w:r w:rsidRPr="00FB6AF7">
        <w:rPr>
          <w:rFonts w:ascii="Times New Roman" w:hAnsi="Times New Roman"/>
          <w:i/>
          <w:iCs/>
          <w:sz w:val="24"/>
        </w:rPr>
        <w:t xml:space="preserve">R v Matenga </w:t>
      </w:r>
      <w:r w:rsidRPr="00FB6AF7">
        <w:rPr>
          <w:rFonts w:ascii="Times New Roman" w:hAnsi="Times New Roman"/>
          <w:sz w:val="24"/>
        </w:rPr>
        <w:t xml:space="preserve">[2009] 3 NZLR 145 at 158 [31]. See also </w:t>
      </w:r>
      <w:r w:rsidRPr="00FB6AF7" w:rsidDel="00003B26">
        <w:rPr>
          <w:rFonts w:ascii="Times New Roman" w:hAnsi="Times New Roman"/>
          <w:i/>
          <w:iCs/>
          <w:sz w:val="24"/>
        </w:rPr>
        <w:t xml:space="preserve">Cesan v </w:t>
      </w:r>
      <w:r w:rsidRPr="00FB6AF7">
        <w:rPr>
          <w:rFonts w:ascii="Times New Roman" w:hAnsi="Times New Roman"/>
          <w:i/>
          <w:iCs/>
          <w:sz w:val="24"/>
        </w:rPr>
        <w:t>The Queen</w:t>
      </w:r>
      <w:r w:rsidRPr="00FB6AF7" w:rsidDel="00003B26">
        <w:rPr>
          <w:rFonts w:ascii="Times New Roman" w:hAnsi="Times New Roman"/>
          <w:i/>
          <w:iCs/>
          <w:sz w:val="24"/>
        </w:rPr>
        <w:t xml:space="preserve"> </w:t>
      </w:r>
      <w:r w:rsidRPr="00FB6AF7" w:rsidDel="00003B26">
        <w:rPr>
          <w:rFonts w:ascii="Times New Roman" w:hAnsi="Times New Roman"/>
          <w:sz w:val="24"/>
        </w:rPr>
        <w:t>(2008) 236 CLR 358</w:t>
      </w:r>
      <w:r w:rsidRPr="00FB6AF7" w:rsidDel="00607313">
        <w:rPr>
          <w:rFonts w:ascii="Times New Roman" w:hAnsi="Times New Roman"/>
          <w:sz w:val="24"/>
        </w:rPr>
        <w:t xml:space="preserve"> at</w:t>
      </w:r>
      <w:r w:rsidRPr="00FB6AF7">
        <w:rPr>
          <w:rFonts w:ascii="Times New Roman" w:hAnsi="Times New Roman"/>
          <w:sz w:val="24"/>
        </w:rPr>
        <w:t xml:space="preserve"> 392</w:t>
      </w:r>
      <w:r w:rsidRPr="00FB6AF7">
        <w:rPr>
          <w:rFonts w:ascii="Times New Roman" w:hAnsi="Times New Roman"/>
          <w:sz w:val="24"/>
        </w:rPr>
        <w:noBreakHyphen/>
        <w:t>396 [116]</w:t>
      </w:r>
      <w:r w:rsidRPr="00FB6AF7">
        <w:rPr>
          <w:rFonts w:ascii="Times New Roman" w:hAnsi="Times New Roman"/>
          <w:sz w:val="24"/>
        </w:rPr>
        <w:noBreakHyphen/>
        <w:t xml:space="preserve">[132]; </w:t>
      </w:r>
      <w:r w:rsidRPr="00FB6AF7">
        <w:rPr>
          <w:rFonts w:ascii="Times New Roman" w:hAnsi="Times New Roman"/>
          <w:i/>
          <w:sz w:val="24"/>
        </w:rPr>
        <w:t>BVD17 v Minister for Immigration and Border Protection</w:t>
      </w:r>
      <w:r w:rsidRPr="00FB6AF7">
        <w:rPr>
          <w:rFonts w:ascii="Times New Roman" w:hAnsi="Times New Roman"/>
          <w:sz w:val="24"/>
        </w:rPr>
        <w:t xml:space="preserve"> (2019) 268 CLR 29 at 54 [66]; </w:t>
      </w:r>
      <w:r w:rsidRPr="00FB6AF7">
        <w:rPr>
          <w:rFonts w:ascii="Times New Roman" w:hAnsi="Times New Roman"/>
          <w:i/>
          <w:sz w:val="24"/>
        </w:rPr>
        <w:t xml:space="preserve">MZAPC v Minister for Immigration and Border Protection </w:t>
      </w:r>
      <w:r w:rsidRPr="00FB6AF7">
        <w:rPr>
          <w:rFonts w:ascii="Times New Roman" w:hAnsi="Times New Roman"/>
          <w:sz w:val="24"/>
        </w:rPr>
        <w:t>(2021) 95 ALJR 441 at 462</w:t>
      </w:r>
      <w:r w:rsidRPr="00FB6AF7">
        <w:rPr>
          <w:rFonts w:ascii="Times New Roman" w:hAnsi="Times New Roman"/>
          <w:sz w:val="24"/>
        </w:rPr>
        <w:noBreakHyphen/>
        <w:t>463 [85]-[87]; 390 ALR 590 at 610</w:t>
      </w:r>
      <w:r w:rsidRPr="00FB6AF7">
        <w:rPr>
          <w:rFonts w:ascii="Times New Roman" w:hAnsi="Times New Roman"/>
          <w:sz w:val="24"/>
        </w:rPr>
        <w:noBreakHyphen/>
        <w:t>611.</w:t>
      </w:r>
    </w:p>
  </w:footnote>
  <w:footnote w:id="133">
    <w:p w14:paraId="1D7D6709"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iCs/>
          <w:sz w:val="24"/>
        </w:rPr>
        <w:t xml:space="preserve">Re Minister for Immigration and Multicultural and Indigenous Affairs; Ex parte Lam </w:t>
      </w:r>
      <w:r w:rsidRPr="00FB6AF7">
        <w:rPr>
          <w:rFonts w:ascii="Times New Roman" w:hAnsi="Times New Roman"/>
          <w:sz w:val="24"/>
        </w:rPr>
        <w:t xml:space="preserve">(2003) 214 CLR 1 at 14 [37]. See also </w:t>
      </w:r>
      <w:r w:rsidRPr="00FB6AF7">
        <w:rPr>
          <w:rFonts w:ascii="Times New Roman" w:hAnsi="Times New Roman"/>
          <w:i/>
          <w:sz w:val="24"/>
        </w:rPr>
        <w:t xml:space="preserve">Condon v Pompano Pty Ltd </w:t>
      </w:r>
      <w:r w:rsidRPr="00FB6AF7">
        <w:rPr>
          <w:rFonts w:ascii="Times New Roman" w:hAnsi="Times New Roman"/>
          <w:sz w:val="24"/>
        </w:rPr>
        <w:t>(2013) 252 CLR 38 at 99 [156].</w:t>
      </w:r>
    </w:p>
  </w:footnote>
  <w:footnote w:id="134">
    <w:p w14:paraId="6EE683BB" w14:textId="77777777" w:rsidR="0042544D" w:rsidRPr="00FB6AF7" w:rsidRDefault="0042544D" w:rsidP="00FB6AF7">
      <w:pPr>
        <w:pStyle w:val="FootnoteText"/>
        <w:spacing w:line="280" w:lineRule="exact"/>
        <w:ind w:right="0"/>
        <w:jc w:val="both"/>
        <w:rPr>
          <w:rFonts w:ascii="Times New Roman" w:hAnsi="Times New Roman"/>
          <w:i/>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t xml:space="preserve">See </w:t>
      </w:r>
      <w:r w:rsidRPr="00FB6AF7">
        <w:rPr>
          <w:rFonts w:ascii="Times New Roman" w:hAnsi="Times New Roman"/>
          <w:i/>
          <w:sz w:val="24"/>
        </w:rPr>
        <w:t xml:space="preserve">Minister for Immigration and Border Protection v SZMTA </w:t>
      </w:r>
      <w:r w:rsidRPr="00FB6AF7">
        <w:rPr>
          <w:rFonts w:ascii="Times New Roman" w:hAnsi="Times New Roman"/>
          <w:iCs/>
          <w:sz w:val="24"/>
        </w:rPr>
        <w:t>(2019) 264 CLR 421,</w:t>
      </w:r>
      <w:r w:rsidRPr="00FB6AF7">
        <w:rPr>
          <w:rFonts w:ascii="Times New Roman" w:hAnsi="Times New Roman"/>
          <w:i/>
          <w:sz w:val="24"/>
        </w:rPr>
        <w:t xml:space="preserve"> </w:t>
      </w:r>
      <w:r w:rsidRPr="00FB6AF7">
        <w:rPr>
          <w:rFonts w:ascii="Times New Roman" w:hAnsi="Times New Roman"/>
          <w:sz w:val="24"/>
        </w:rPr>
        <w:t xml:space="preserve">discussed in </w:t>
      </w:r>
      <w:r w:rsidRPr="00FB6AF7">
        <w:rPr>
          <w:rFonts w:ascii="Times New Roman" w:hAnsi="Times New Roman"/>
          <w:i/>
          <w:sz w:val="24"/>
        </w:rPr>
        <w:t xml:space="preserve">MZAPC v Minister for Immigration and Border Protection </w:t>
      </w:r>
      <w:r w:rsidRPr="00FB6AF7">
        <w:rPr>
          <w:rFonts w:ascii="Times New Roman" w:hAnsi="Times New Roman"/>
          <w:sz w:val="24"/>
        </w:rPr>
        <w:t>(2021) 95 ALJR 441 at 478 [163]; 390 ALR 590 at 631.</w:t>
      </w:r>
    </w:p>
  </w:footnote>
  <w:footnote w:id="135">
    <w:p w14:paraId="1C58975E"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iCs/>
          <w:sz w:val="24"/>
        </w:rPr>
        <w:t xml:space="preserve">PQSM v Minister for Home Affairs </w:t>
      </w:r>
      <w:r w:rsidRPr="00FB6AF7">
        <w:rPr>
          <w:rFonts w:ascii="Times New Roman" w:hAnsi="Times New Roman"/>
          <w:sz w:val="24"/>
        </w:rPr>
        <w:t>(2020) 279 FCR 175 at 181 [17].</w:t>
      </w:r>
    </w:p>
  </w:footnote>
  <w:footnote w:id="136">
    <w:p w14:paraId="0DB3C37F"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sz w:val="24"/>
        </w:rPr>
        <w:t xml:space="preserve">Minister for Immigration and Border Protection v WZARH </w:t>
      </w:r>
      <w:r w:rsidRPr="00FB6AF7">
        <w:rPr>
          <w:rFonts w:ascii="Times New Roman" w:hAnsi="Times New Roman"/>
          <w:sz w:val="24"/>
        </w:rPr>
        <w:t>(2015) 256 CLR 326 at 342 [58].</w:t>
      </w:r>
    </w:p>
  </w:footnote>
  <w:footnote w:id="137">
    <w:p w14:paraId="445FAA84"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sz w:val="24"/>
        </w:rPr>
        <w:t xml:space="preserve">MZAPC v Minister for Immigration and Border Protection </w:t>
      </w:r>
      <w:r w:rsidRPr="00FB6AF7">
        <w:rPr>
          <w:rFonts w:ascii="Times New Roman" w:hAnsi="Times New Roman"/>
          <w:sz w:val="24"/>
        </w:rPr>
        <w:t xml:space="preserve">(2021) 95 ALJR 441 at 453 [33]; 390 ALR 590 at 598. See also </w:t>
      </w:r>
      <w:r w:rsidRPr="00FB6AF7">
        <w:rPr>
          <w:rFonts w:ascii="Times New Roman" w:hAnsi="Times New Roman"/>
          <w:i/>
          <w:sz w:val="24"/>
        </w:rPr>
        <w:t xml:space="preserve">CNY17 v Minister for Immigration and Border Protection </w:t>
      </w:r>
      <w:r w:rsidRPr="00FB6AF7">
        <w:rPr>
          <w:rFonts w:ascii="Times New Roman" w:hAnsi="Times New Roman"/>
          <w:sz w:val="24"/>
        </w:rPr>
        <w:t>(2019) 268 CLR 76 at 95</w:t>
      </w:r>
      <w:r w:rsidRPr="00FB6AF7">
        <w:rPr>
          <w:rFonts w:ascii="Times New Roman" w:hAnsi="Times New Roman"/>
          <w:sz w:val="24"/>
        </w:rPr>
        <w:noBreakHyphen/>
        <w:t>96 [47].</w:t>
      </w:r>
    </w:p>
  </w:footnote>
  <w:footnote w:id="138">
    <w:p w14:paraId="251D5974"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t>(2021) 95 ALJR 441 at 453 [33]; 390 ALR 590 at 598.</w:t>
      </w:r>
    </w:p>
  </w:footnote>
  <w:footnote w:id="139">
    <w:p w14:paraId="71FD8643"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t>[2005] 1 WLR 688 at 702 [42]</w:t>
      </w:r>
      <w:r w:rsidRPr="00FB6AF7">
        <w:rPr>
          <w:rFonts w:ascii="Times New Roman" w:hAnsi="Times New Roman"/>
          <w:sz w:val="24"/>
        </w:rPr>
        <w:noBreakHyphen/>
        <w:t xml:space="preserve">[43]; [2005] 1 All ER 927 at 943. See further </w:t>
      </w:r>
      <w:r w:rsidRPr="00FB6AF7">
        <w:rPr>
          <w:rFonts w:ascii="Times New Roman" w:hAnsi="Times New Roman"/>
          <w:i/>
          <w:iCs/>
          <w:sz w:val="24"/>
        </w:rPr>
        <w:t>R (</w:t>
      </w:r>
      <w:r w:rsidRPr="00FB6AF7">
        <w:rPr>
          <w:rFonts w:ascii="Times New Roman" w:hAnsi="Times New Roman"/>
          <w:i/>
          <w:sz w:val="24"/>
        </w:rPr>
        <w:t xml:space="preserve">National Association of Memorial Masons) v Cardiff City Council </w:t>
      </w:r>
      <w:r w:rsidRPr="00FB6AF7">
        <w:rPr>
          <w:rFonts w:ascii="Times New Roman" w:hAnsi="Times New Roman"/>
          <w:iCs/>
          <w:sz w:val="24"/>
        </w:rPr>
        <w:t xml:space="preserve">[2011] EWHC 922 at [44]; </w:t>
      </w:r>
      <w:r w:rsidRPr="00FB6AF7">
        <w:rPr>
          <w:rFonts w:ascii="Times New Roman" w:hAnsi="Times New Roman"/>
          <w:i/>
          <w:sz w:val="24"/>
        </w:rPr>
        <w:t xml:space="preserve">Paling v Ipswich Magistrates Court </w:t>
      </w:r>
      <w:r w:rsidRPr="00FB6AF7">
        <w:rPr>
          <w:rFonts w:ascii="Times New Roman" w:hAnsi="Times New Roman"/>
          <w:iCs/>
          <w:sz w:val="24"/>
        </w:rPr>
        <w:t>[2021] EWHC 2739 at [21].</w:t>
      </w:r>
    </w:p>
  </w:footnote>
  <w:footnote w:id="140">
    <w:p w14:paraId="2614B15A"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iCs/>
          <w:sz w:val="24"/>
        </w:rPr>
        <w:t xml:space="preserve">Millar v Dickson </w:t>
      </w:r>
      <w:r w:rsidRPr="00FB6AF7">
        <w:rPr>
          <w:rFonts w:ascii="Times New Roman" w:hAnsi="Times New Roman"/>
          <w:sz w:val="24"/>
        </w:rPr>
        <w:t>[2002] 1 WLR 1615 at 1624 [16]; [2002] 3 All ER 1041 at 1050. See also at 1647</w:t>
      </w:r>
      <w:r w:rsidRPr="00FB6AF7">
        <w:rPr>
          <w:rFonts w:ascii="Times New Roman" w:hAnsi="Times New Roman"/>
          <w:sz w:val="24"/>
        </w:rPr>
        <w:noBreakHyphen/>
        <w:t>1648 [85]; 1072</w:t>
      </w:r>
      <w:r w:rsidRPr="00FB6AF7">
        <w:rPr>
          <w:rFonts w:ascii="Times New Roman" w:hAnsi="Times New Roman"/>
          <w:sz w:val="24"/>
        </w:rPr>
        <w:noBreakHyphen/>
        <w:t>1073 (Lord Clyde).</w:t>
      </w:r>
    </w:p>
  </w:footnote>
  <w:footnote w:id="141">
    <w:p w14:paraId="02E48AAA"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iCs/>
          <w:sz w:val="24"/>
        </w:rPr>
        <w:t xml:space="preserve">Tumey v Ohio </w:t>
      </w:r>
      <w:r w:rsidRPr="00FB6AF7">
        <w:rPr>
          <w:rFonts w:ascii="Times New Roman" w:hAnsi="Times New Roman"/>
          <w:sz w:val="24"/>
        </w:rPr>
        <w:t xml:space="preserve">(1927) 273 US 510 at 535. See also </w:t>
      </w:r>
      <w:r w:rsidRPr="00FB6AF7">
        <w:rPr>
          <w:rFonts w:ascii="Times New Roman" w:hAnsi="Times New Roman"/>
          <w:i/>
          <w:iCs/>
          <w:sz w:val="24"/>
        </w:rPr>
        <w:t xml:space="preserve">Ward v Village of Monroeville </w:t>
      </w:r>
      <w:r w:rsidRPr="00FB6AF7">
        <w:rPr>
          <w:rFonts w:ascii="Times New Roman" w:hAnsi="Times New Roman"/>
          <w:sz w:val="24"/>
        </w:rPr>
        <w:t>(1972) 409 US 57.</w:t>
      </w:r>
    </w:p>
  </w:footnote>
  <w:footnote w:id="142">
    <w:p w14:paraId="14A83B61"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iCs/>
          <w:sz w:val="24"/>
        </w:rPr>
        <w:t xml:space="preserve">Neder v United States </w:t>
      </w:r>
      <w:r w:rsidRPr="00FB6AF7">
        <w:rPr>
          <w:rFonts w:ascii="Times New Roman" w:hAnsi="Times New Roman"/>
          <w:sz w:val="24"/>
        </w:rPr>
        <w:t>(1999) 527 US 1 at 8</w:t>
      </w:r>
      <w:r w:rsidRPr="00FB6AF7">
        <w:rPr>
          <w:rFonts w:ascii="Times New Roman" w:hAnsi="Times New Roman"/>
          <w:sz w:val="24"/>
        </w:rPr>
        <w:noBreakHyphen/>
        <w:t>9.</w:t>
      </w:r>
    </w:p>
  </w:footnote>
  <w:footnote w:id="143">
    <w:p w14:paraId="14FAC4BF"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t>[2004] FCA 877 at [89].</w:t>
      </w:r>
    </w:p>
  </w:footnote>
  <w:footnote w:id="144">
    <w:p w14:paraId="735A88F5"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sz w:val="24"/>
        </w:rPr>
        <w:t>Hossain v Minister for Immigration and Border Protection</w:t>
      </w:r>
      <w:r w:rsidRPr="00FB6AF7">
        <w:rPr>
          <w:rFonts w:ascii="Times New Roman" w:hAnsi="Times New Roman"/>
          <w:sz w:val="24"/>
        </w:rPr>
        <w:t xml:space="preserve"> (2018) 264 CLR 123 at 137 [40], 147</w:t>
      </w:r>
      <w:r w:rsidRPr="00FB6AF7">
        <w:rPr>
          <w:rFonts w:ascii="Times New Roman" w:hAnsi="Times New Roman"/>
          <w:sz w:val="24"/>
        </w:rPr>
        <w:noBreakHyphen/>
        <w:t>148 [72].</w:t>
      </w:r>
    </w:p>
  </w:footnote>
  <w:footnote w:id="145">
    <w:p w14:paraId="73451A55"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sz w:val="24"/>
        </w:rPr>
        <w:t>Hossain v Minister for Immigration and Border Protection</w:t>
      </w:r>
      <w:r w:rsidRPr="00FB6AF7">
        <w:rPr>
          <w:rFonts w:ascii="Times New Roman" w:hAnsi="Times New Roman"/>
          <w:sz w:val="24"/>
        </w:rPr>
        <w:t xml:space="preserve"> (2018) 264 CLR 123 at 137 [40], 148 [72].</w:t>
      </w:r>
    </w:p>
  </w:footnote>
  <w:footnote w:id="146">
    <w:p w14:paraId="3D102E7B"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sz w:val="24"/>
        </w:rPr>
        <w:t xml:space="preserve">Purcell v The Director of Public Prosecutions </w:t>
      </w:r>
      <w:r w:rsidRPr="00FB6AF7">
        <w:rPr>
          <w:rFonts w:ascii="Times New Roman" w:hAnsi="Times New Roman"/>
          <w:sz w:val="24"/>
        </w:rPr>
        <w:t xml:space="preserve">[2021] NSWCA 269 at [25]. See also </w:t>
      </w:r>
      <w:r w:rsidRPr="00FB6AF7">
        <w:rPr>
          <w:rFonts w:ascii="Times New Roman" w:hAnsi="Times New Roman"/>
          <w:i/>
          <w:sz w:val="24"/>
        </w:rPr>
        <w:t xml:space="preserve">OKS v Western Australia </w:t>
      </w:r>
      <w:r w:rsidRPr="00FB6AF7">
        <w:rPr>
          <w:rFonts w:ascii="Times New Roman" w:hAnsi="Times New Roman"/>
          <w:sz w:val="24"/>
        </w:rPr>
        <w:t>(2019) 265 CLR 268 at 281</w:t>
      </w:r>
      <w:r w:rsidRPr="00FB6AF7">
        <w:rPr>
          <w:rFonts w:ascii="Times New Roman" w:hAnsi="Times New Roman"/>
          <w:sz w:val="24"/>
        </w:rPr>
        <w:noBreakHyphen/>
        <w:t xml:space="preserve">282 [36], citing </w:t>
      </w:r>
      <w:r w:rsidRPr="00FB6AF7">
        <w:rPr>
          <w:rFonts w:ascii="Times New Roman" w:hAnsi="Times New Roman"/>
          <w:i/>
          <w:sz w:val="24"/>
        </w:rPr>
        <w:t xml:space="preserve">Lane v The Queen </w:t>
      </w:r>
      <w:r w:rsidRPr="00FB6AF7">
        <w:rPr>
          <w:rFonts w:ascii="Times New Roman" w:hAnsi="Times New Roman"/>
          <w:sz w:val="24"/>
        </w:rPr>
        <w:t>(2018) 265 CLR 196 at 210 [47]</w:t>
      </w:r>
      <w:r w:rsidRPr="00FB6AF7">
        <w:rPr>
          <w:rFonts w:ascii="Times New Roman" w:hAnsi="Times New Roman"/>
          <w:sz w:val="24"/>
        </w:rPr>
        <w:noBreakHyphen/>
        <w:t>[48].</w:t>
      </w:r>
    </w:p>
  </w:footnote>
  <w:footnote w:id="147">
    <w:p w14:paraId="30D40B69"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t xml:space="preserve">See </w:t>
      </w:r>
      <w:r w:rsidRPr="00FB6AF7">
        <w:rPr>
          <w:rFonts w:ascii="Times New Roman" w:hAnsi="Times New Roman"/>
          <w:i/>
          <w:sz w:val="24"/>
        </w:rPr>
        <w:t xml:space="preserve">MZAPC v Minister for Immigration and Border Protection </w:t>
      </w:r>
      <w:r w:rsidRPr="00FB6AF7">
        <w:rPr>
          <w:rFonts w:ascii="Times New Roman" w:hAnsi="Times New Roman"/>
          <w:sz w:val="24"/>
        </w:rPr>
        <w:t xml:space="preserve">(2021) 95 ALJR 441 at 458 [59]; 390 ALR 590 at 605, citing </w:t>
      </w:r>
      <w:r w:rsidRPr="00FB6AF7">
        <w:rPr>
          <w:rFonts w:ascii="Times New Roman" w:hAnsi="Times New Roman"/>
          <w:i/>
          <w:iCs/>
          <w:sz w:val="24"/>
        </w:rPr>
        <w:t>Minister for Immigration and Border Protection v WZARH</w:t>
      </w:r>
      <w:r w:rsidRPr="00FB6AF7">
        <w:rPr>
          <w:rFonts w:ascii="Times New Roman" w:hAnsi="Times New Roman"/>
          <w:sz w:val="24"/>
        </w:rPr>
        <w:t xml:space="preserve"> (2015) 256 CLR 326 at 342</w:t>
      </w:r>
      <w:r w:rsidRPr="00FB6AF7">
        <w:rPr>
          <w:rFonts w:ascii="Times New Roman" w:hAnsi="Times New Roman"/>
          <w:sz w:val="24"/>
        </w:rPr>
        <w:noBreakHyphen/>
        <w:t>345 [60], [62]</w:t>
      </w:r>
      <w:r w:rsidRPr="00FB6AF7">
        <w:rPr>
          <w:rFonts w:ascii="Times New Roman" w:hAnsi="Times New Roman"/>
          <w:sz w:val="24"/>
        </w:rPr>
        <w:noBreakHyphen/>
        <w:t>[69].</w:t>
      </w:r>
    </w:p>
  </w:footnote>
  <w:footnote w:id="148">
    <w:p w14:paraId="51C6961B"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sz w:val="24"/>
        </w:rPr>
        <w:t xml:space="preserve">MZAPC v Minister for Immigration and Border Protection </w:t>
      </w:r>
      <w:r w:rsidRPr="00FB6AF7">
        <w:rPr>
          <w:rFonts w:ascii="Times New Roman" w:hAnsi="Times New Roman"/>
          <w:sz w:val="24"/>
        </w:rPr>
        <w:t>(2021) 95 ALJR 441 at 458 [60]; 390 ALR 590 at 605.</w:t>
      </w:r>
    </w:p>
  </w:footnote>
  <w:footnote w:id="149">
    <w:p w14:paraId="4A797747"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t>(2021) 95 ALJR 441 at 458 [60]; 390 ALR 590 at 605.</w:t>
      </w:r>
    </w:p>
  </w:footnote>
  <w:footnote w:id="150">
    <w:p w14:paraId="30E1C718"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t>(2021) 95 ALJR 441 at 463 [86]</w:t>
      </w:r>
      <w:r w:rsidRPr="00FB6AF7">
        <w:rPr>
          <w:rFonts w:ascii="Times New Roman" w:hAnsi="Times New Roman"/>
          <w:sz w:val="24"/>
        </w:rPr>
        <w:noBreakHyphen/>
        <w:t>[87], 471 [123]; 390 ALR 590 at 611, 622.</w:t>
      </w:r>
    </w:p>
  </w:footnote>
  <w:footnote w:id="151">
    <w:p w14:paraId="609FB790"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t>(2021) 95 ALJR 441 at 476 [155]; 390 ALR 590 at 629.</w:t>
      </w:r>
    </w:p>
  </w:footnote>
  <w:footnote w:id="152">
    <w:p w14:paraId="6A51F2F7"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t>(2021) 95 ALJR 441 at 486 [197]; 390 ALR 590 at 642.</w:t>
      </w:r>
    </w:p>
  </w:footnote>
  <w:footnote w:id="153">
    <w:p w14:paraId="64E2DDE5"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t>(1986) 161 CLR 141.</w:t>
      </w:r>
    </w:p>
  </w:footnote>
  <w:footnote w:id="154">
    <w:p w14:paraId="6E67972B"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t>(2000) 204 CLR 82.</w:t>
      </w:r>
    </w:p>
  </w:footnote>
  <w:footnote w:id="155">
    <w:p w14:paraId="171F4BED"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iCs/>
          <w:sz w:val="24"/>
        </w:rPr>
        <w:t xml:space="preserve">Re Minister for Immigration and Multicultural and Indigenous Affairs; Ex parte Lam </w:t>
      </w:r>
      <w:r w:rsidRPr="00FB6AF7">
        <w:rPr>
          <w:rFonts w:ascii="Times New Roman" w:hAnsi="Times New Roman"/>
          <w:sz w:val="24"/>
        </w:rPr>
        <w:t>(2003) 214 CLR 1 at 14 [37]</w:t>
      </w:r>
      <w:r w:rsidRPr="00FB6AF7">
        <w:rPr>
          <w:rFonts w:ascii="Times New Roman" w:hAnsi="Times New Roman"/>
          <w:sz w:val="24"/>
        </w:rPr>
        <w:noBreakHyphen/>
        <w:t>[38].</w:t>
      </w:r>
    </w:p>
  </w:footnote>
  <w:footnote w:id="156">
    <w:p w14:paraId="26B08DF4"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t>(1986) 161 CLR 141 at 147.</w:t>
      </w:r>
    </w:p>
  </w:footnote>
  <w:footnote w:id="157">
    <w:p w14:paraId="5E428EB9"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t>(1986) 161 CLR 141 at 147 (emphasis added).</w:t>
      </w:r>
    </w:p>
  </w:footnote>
  <w:footnote w:id="158">
    <w:p w14:paraId="3A6A3B2E"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t>(2000) 204 CLR 82 at 88 [3].</w:t>
      </w:r>
    </w:p>
  </w:footnote>
  <w:footnote w:id="159">
    <w:p w14:paraId="186D23BD"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t>(2000) 204 CLR 82 at 89 [4].</w:t>
      </w:r>
    </w:p>
  </w:footnote>
  <w:footnote w:id="160">
    <w:p w14:paraId="2E00BCD6"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t>(2000) 204 CLR 82 at 130</w:t>
      </w:r>
      <w:r w:rsidRPr="00FB6AF7">
        <w:rPr>
          <w:rFonts w:ascii="Times New Roman" w:hAnsi="Times New Roman"/>
          <w:sz w:val="24"/>
        </w:rPr>
        <w:noBreakHyphen/>
        <w:t xml:space="preserve">131 [131], quoting </w:t>
      </w:r>
      <w:r w:rsidRPr="00FB6AF7">
        <w:rPr>
          <w:rFonts w:ascii="Times New Roman" w:hAnsi="Times New Roman"/>
          <w:i/>
          <w:sz w:val="24"/>
        </w:rPr>
        <w:t>Stead v State Government Insurance Commission</w:t>
      </w:r>
      <w:r w:rsidRPr="00FB6AF7">
        <w:rPr>
          <w:rFonts w:ascii="Times New Roman" w:hAnsi="Times New Roman"/>
          <w:sz w:val="24"/>
        </w:rPr>
        <w:t xml:space="preserve"> (1986) 161 CLR 141 at 145.</w:t>
      </w:r>
    </w:p>
  </w:footnote>
  <w:footnote w:id="161">
    <w:p w14:paraId="6D5939E7"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t>(2000) 204 CLR 82 at 155 [211].</w:t>
      </w:r>
    </w:p>
  </w:footnote>
  <w:footnote w:id="162">
    <w:p w14:paraId="130F3CCB"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sz w:val="24"/>
        </w:rPr>
        <w:t xml:space="preserve">Minister for Home Affairs v DUA16 </w:t>
      </w:r>
      <w:r w:rsidRPr="00FB6AF7">
        <w:rPr>
          <w:rFonts w:ascii="Times New Roman" w:hAnsi="Times New Roman"/>
          <w:sz w:val="24"/>
        </w:rPr>
        <w:t>(2020) 95 ALJR 54 at 62 [33]; 385 ALR 212 at 222.</w:t>
      </w:r>
    </w:p>
  </w:footnote>
  <w:footnote w:id="163">
    <w:p w14:paraId="4A9C048C"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t>(1990) 170 CLR 596.</w:t>
      </w:r>
    </w:p>
  </w:footnote>
  <w:footnote w:id="164">
    <w:p w14:paraId="5E674FAA"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sz w:val="24"/>
        </w:rPr>
        <w:t>Annetts v McCann</w:t>
      </w:r>
      <w:r w:rsidRPr="00FB6AF7">
        <w:rPr>
          <w:rFonts w:ascii="Times New Roman" w:hAnsi="Times New Roman"/>
          <w:sz w:val="24"/>
        </w:rPr>
        <w:t xml:space="preserve"> (1990) 170 CLR 596 at 620.</w:t>
      </w:r>
    </w:p>
  </w:footnote>
  <w:footnote w:id="165">
    <w:p w14:paraId="3C6820AC"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t>(1990) 169 CLR 648.</w:t>
      </w:r>
    </w:p>
  </w:footnote>
  <w:footnote w:id="166">
    <w:p w14:paraId="01BA4041"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iCs/>
          <w:sz w:val="24"/>
        </w:rPr>
        <w:t>Haoucher v Minister for Immigration and Ethnic Affairs</w:t>
      </w:r>
      <w:r w:rsidRPr="00FB6AF7">
        <w:rPr>
          <w:rFonts w:ascii="Times New Roman" w:hAnsi="Times New Roman"/>
          <w:sz w:val="24"/>
        </w:rPr>
        <w:t xml:space="preserve"> (1990) 169 CLR 648 at 663.</w:t>
      </w:r>
    </w:p>
  </w:footnote>
  <w:footnote w:id="167">
    <w:p w14:paraId="613FA1F4"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iCs/>
          <w:sz w:val="24"/>
        </w:rPr>
        <w:t>Haoucher v Minister for Immigration and Ethnic Affairs</w:t>
      </w:r>
      <w:r w:rsidRPr="00FB6AF7">
        <w:rPr>
          <w:rFonts w:ascii="Times New Roman" w:hAnsi="Times New Roman"/>
          <w:sz w:val="24"/>
        </w:rPr>
        <w:t xml:space="preserve"> (1990) 169 CLR 648 at 684.</w:t>
      </w:r>
    </w:p>
  </w:footnote>
  <w:footnote w:id="168">
    <w:p w14:paraId="6134EB27"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sz w:val="24"/>
        </w:rPr>
        <w:t xml:space="preserve">MZAPC v Minister for Immigration and Border Protection </w:t>
      </w:r>
      <w:r w:rsidRPr="00FB6AF7">
        <w:rPr>
          <w:rFonts w:ascii="Times New Roman" w:hAnsi="Times New Roman"/>
          <w:sz w:val="24"/>
        </w:rPr>
        <w:t>(2021) 95 ALJR 441 at 458 [60]; 390 ALR 590 at 605.</w:t>
      </w:r>
    </w:p>
  </w:footnote>
  <w:footnote w:id="169">
    <w:p w14:paraId="462E1C05"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sz w:val="24"/>
        </w:rPr>
        <w:t xml:space="preserve">MZAPC v Minister for Immigration and Border Protection </w:t>
      </w:r>
      <w:r w:rsidRPr="00FB6AF7">
        <w:rPr>
          <w:rFonts w:ascii="Times New Roman" w:hAnsi="Times New Roman"/>
          <w:sz w:val="24"/>
        </w:rPr>
        <w:t>(2021) 95 ALJR 441 at 454 [39]; 390 ALR 590 at 600 (emphasis in original).</w:t>
      </w:r>
    </w:p>
  </w:footnote>
  <w:footnote w:id="170">
    <w:p w14:paraId="71F5D863"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sz w:val="24"/>
        </w:rPr>
        <w:t xml:space="preserve">MZAPC v Minister for Immigration and Border Protection </w:t>
      </w:r>
      <w:r w:rsidRPr="00FB6AF7">
        <w:rPr>
          <w:rFonts w:ascii="Times New Roman" w:hAnsi="Times New Roman"/>
          <w:sz w:val="24"/>
        </w:rPr>
        <w:t>(2021) 95 ALJR 441 at 449 [2]</w:t>
      </w:r>
      <w:r w:rsidRPr="00FB6AF7">
        <w:rPr>
          <w:rFonts w:ascii="Times New Roman" w:hAnsi="Times New Roman"/>
          <w:sz w:val="24"/>
        </w:rPr>
        <w:noBreakHyphen/>
        <w:t>[3]; 390 ALR 590 at 592.</w:t>
      </w:r>
    </w:p>
  </w:footnote>
  <w:footnote w:id="171">
    <w:p w14:paraId="7F7B2F5E"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sz w:val="24"/>
        </w:rPr>
        <w:t xml:space="preserve">Minister for Immigration and Border Protection v SZMTA </w:t>
      </w:r>
      <w:r w:rsidRPr="00FB6AF7">
        <w:rPr>
          <w:rFonts w:ascii="Times New Roman" w:hAnsi="Times New Roman"/>
          <w:iCs/>
          <w:sz w:val="24"/>
        </w:rPr>
        <w:t>(2019) 264 CLR 421 at 445 [45]</w:t>
      </w:r>
      <w:r w:rsidRPr="00FB6AF7">
        <w:rPr>
          <w:rFonts w:ascii="Times New Roman" w:hAnsi="Times New Roman"/>
          <w:iCs/>
          <w:sz w:val="24"/>
        </w:rPr>
        <w:noBreakHyphen/>
        <w:t>[46].</w:t>
      </w:r>
    </w:p>
  </w:footnote>
  <w:footnote w:id="172">
    <w:p w14:paraId="33D52E72"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iCs/>
          <w:sz w:val="24"/>
        </w:rPr>
        <w:t xml:space="preserve">Nathanson v Minister for Home Affairs </w:t>
      </w:r>
      <w:r w:rsidRPr="00FB6AF7">
        <w:rPr>
          <w:rFonts w:ascii="Times New Roman" w:hAnsi="Times New Roman"/>
          <w:sz w:val="24"/>
        </w:rPr>
        <w:t>[2019] FCA 1709 at [45]</w:t>
      </w:r>
      <w:r w:rsidRPr="00FB6AF7">
        <w:rPr>
          <w:rFonts w:ascii="Times New Roman" w:hAnsi="Times New Roman"/>
          <w:sz w:val="24"/>
        </w:rPr>
        <w:noBreakHyphen/>
        <w:t>[46], [55].</w:t>
      </w:r>
    </w:p>
  </w:footnote>
  <w:footnote w:id="173">
    <w:p w14:paraId="1463AAA7"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iCs/>
          <w:sz w:val="24"/>
        </w:rPr>
        <w:t xml:space="preserve">Nathanson v Minister for Home Affairs </w:t>
      </w:r>
      <w:r w:rsidRPr="00FB6AF7">
        <w:rPr>
          <w:rFonts w:ascii="Times New Roman" w:hAnsi="Times New Roman"/>
          <w:sz w:val="24"/>
        </w:rPr>
        <w:t>[2019] FCA 1709 at [60]</w:t>
      </w:r>
      <w:r w:rsidRPr="00FB6AF7">
        <w:rPr>
          <w:rFonts w:ascii="Times New Roman" w:hAnsi="Times New Roman"/>
          <w:sz w:val="24"/>
        </w:rPr>
        <w:noBreakHyphen/>
        <w:t>[62].</w:t>
      </w:r>
    </w:p>
  </w:footnote>
  <w:footnote w:id="174">
    <w:p w14:paraId="4E9676F9"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iCs/>
          <w:sz w:val="24"/>
        </w:rPr>
        <w:t xml:space="preserve">Nathanson v Minister for Home Affairs </w:t>
      </w:r>
      <w:r w:rsidRPr="00FB6AF7">
        <w:rPr>
          <w:rFonts w:ascii="Times New Roman" w:hAnsi="Times New Roman"/>
          <w:sz w:val="24"/>
        </w:rPr>
        <w:t>(2020) 281 FCR 23 at 53 [125], 54 [131].</w:t>
      </w:r>
    </w:p>
  </w:footnote>
  <w:footnote w:id="175">
    <w:p w14:paraId="7D5F1209"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iCs/>
          <w:sz w:val="24"/>
        </w:rPr>
        <w:t xml:space="preserve">Nathanson v Minister for Home Affairs </w:t>
      </w:r>
      <w:r w:rsidRPr="00FB6AF7">
        <w:rPr>
          <w:rFonts w:ascii="Times New Roman" w:hAnsi="Times New Roman"/>
          <w:sz w:val="24"/>
        </w:rPr>
        <w:t>(2020) 281 FCR 23 at 56 [138].</w:t>
      </w:r>
    </w:p>
  </w:footnote>
  <w:footnote w:id="176">
    <w:p w14:paraId="4343CC78"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t xml:space="preserve">See, eg, Thayer, </w:t>
      </w:r>
      <w:r w:rsidRPr="00FB6AF7">
        <w:rPr>
          <w:rFonts w:ascii="Times New Roman" w:hAnsi="Times New Roman"/>
          <w:i/>
          <w:sz w:val="24"/>
        </w:rPr>
        <w:t>A Preliminary Treatise on Evidence at the Common Law</w:t>
      </w:r>
      <w:r w:rsidRPr="00FB6AF7">
        <w:rPr>
          <w:rFonts w:ascii="Times New Roman" w:hAnsi="Times New Roman"/>
          <w:sz w:val="24"/>
        </w:rPr>
        <w:t xml:space="preserve"> (1898) at 355. See also </w:t>
      </w:r>
      <w:proofErr w:type="spellStart"/>
      <w:r w:rsidRPr="00FB6AF7">
        <w:rPr>
          <w:rFonts w:ascii="Times New Roman" w:hAnsi="Times New Roman"/>
          <w:sz w:val="24"/>
        </w:rPr>
        <w:t>Wigmore</w:t>
      </w:r>
      <w:proofErr w:type="spellEnd"/>
      <w:r w:rsidRPr="00FB6AF7">
        <w:rPr>
          <w:rFonts w:ascii="Times New Roman" w:hAnsi="Times New Roman"/>
          <w:sz w:val="24"/>
        </w:rPr>
        <w:t xml:space="preserve">, </w:t>
      </w:r>
      <w:r w:rsidRPr="00FB6AF7">
        <w:rPr>
          <w:rFonts w:ascii="Times New Roman" w:hAnsi="Times New Roman"/>
          <w:i/>
          <w:sz w:val="24"/>
        </w:rPr>
        <w:t>Evidence in Trials at Common Law</w:t>
      </w:r>
      <w:r w:rsidRPr="00FB6AF7">
        <w:rPr>
          <w:rFonts w:ascii="Times New Roman" w:hAnsi="Times New Roman"/>
          <w:sz w:val="24"/>
        </w:rPr>
        <w:t>, Chadbourn rev (1981), vol 9 at 283</w:t>
      </w:r>
      <w:r w:rsidRPr="00FB6AF7">
        <w:rPr>
          <w:rFonts w:ascii="Times New Roman" w:hAnsi="Times New Roman"/>
          <w:sz w:val="24"/>
        </w:rPr>
        <w:noBreakHyphen/>
        <w:t>286 §2485.</w:t>
      </w:r>
    </w:p>
  </w:footnote>
  <w:footnote w:id="177">
    <w:p w14:paraId="1B07F256"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iCs/>
          <w:sz w:val="24"/>
        </w:rPr>
        <w:t xml:space="preserve">Nathanson v Minister for Home Affairs </w:t>
      </w:r>
      <w:r w:rsidRPr="00FB6AF7">
        <w:rPr>
          <w:rFonts w:ascii="Times New Roman" w:hAnsi="Times New Roman"/>
          <w:iCs/>
          <w:sz w:val="24"/>
        </w:rPr>
        <w:t>(</w:t>
      </w:r>
      <w:r w:rsidRPr="00FB6AF7">
        <w:rPr>
          <w:rFonts w:ascii="Times New Roman" w:hAnsi="Times New Roman"/>
          <w:sz w:val="24"/>
        </w:rPr>
        <w:t>2020) 281 FCR 23 at 37 [54], citing</w:t>
      </w:r>
      <w:r w:rsidRPr="00FB6AF7">
        <w:rPr>
          <w:rFonts w:ascii="Times New Roman" w:hAnsi="Times New Roman"/>
          <w:i/>
          <w:sz w:val="24"/>
        </w:rPr>
        <w:t xml:space="preserve"> Minister for Immigration and Border Protection v WZARH </w:t>
      </w:r>
      <w:r w:rsidRPr="00FB6AF7">
        <w:rPr>
          <w:rFonts w:ascii="Times New Roman" w:hAnsi="Times New Roman"/>
          <w:sz w:val="24"/>
        </w:rPr>
        <w:t>(2015) 256 CLR 326 at 342 [58].</w:t>
      </w:r>
    </w:p>
  </w:footnote>
  <w:footnote w:id="178">
    <w:p w14:paraId="1AE87F72"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sz w:val="24"/>
        </w:rPr>
        <w:t xml:space="preserve">Nathanson v Minister for Home Affairs </w:t>
      </w:r>
      <w:r w:rsidRPr="00FB6AF7">
        <w:rPr>
          <w:rFonts w:ascii="Times New Roman" w:hAnsi="Times New Roman"/>
          <w:iCs/>
          <w:sz w:val="24"/>
        </w:rPr>
        <w:t>(</w:t>
      </w:r>
      <w:r w:rsidRPr="00FB6AF7">
        <w:rPr>
          <w:rFonts w:ascii="Times New Roman" w:hAnsi="Times New Roman"/>
          <w:sz w:val="24"/>
        </w:rPr>
        <w:t>2020) 281 FCR 23 at 38 [57]</w:t>
      </w:r>
      <w:r w:rsidRPr="00FB6AF7">
        <w:rPr>
          <w:rFonts w:ascii="Times New Roman" w:hAnsi="Times New Roman"/>
          <w:sz w:val="24"/>
        </w:rPr>
        <w:noBreakHyphen/>
        <w:t xml:space="preserve">[58], quoting </w:t>
      </w:r>
      <w:r w:rsidRPr="00FB6AF7">
        <w:rPr>
          <w:rFonts w:ascii="Times New Roman" w:hAnsi="Times New Roman"/>
          <w:i/>
          <w:sz w:val="24"/>
        </w:rPr>
        <w:t>Re Refugee Review Tribunal; Ex parte Aala</w:t>
      </w:r>
      <w:r w:rsidRPr="00FB6AF7">
        <w:rPr>
          <w:rFonts w:ascii="Times New Roman" w:hAnsi="Times New Roman"/>
          <w:sz w:val="24"/>
        </w:rPr>
        <w:t xml:space="preserve"> (2000) 204 CLR 82 at 109 [59]</w:t>
      </w:r>
      <w:r w:rsidRPr="00FB6AF7">
        <w:rPr>
          <w:rFonts w:ascii="Times New Roman" w:hAnsi="Times New Roman"/>
          <w:sz w:val="24"/>
        </w:rPr>
        <w:noBreakHyphen/>
        <w:t>[60].</w:t>
      </w:r>
    </w:p>
  </w:footnote>
  <w:footnote w:id="179">
    <w:p w14:paraId="646E06B6"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iCs/>
          <w:sz w:val="24"/>
        </w:rPr>
        <w:t xml:space="preserve">Nathanson v Minister for Home Affairs </w:t>
      </w:r>
      <w:r w:rsidRPr="00FB6AF7">
        <w:rPr>
          <w:rFonts w:ascii="Times New Roman" w:hAnsi="Times New Roman"/>
          <w:iCs/>
          <w:sz w:val="24"/>
        </w:rPr>
        <w:t>(</w:t>
      </w:r>
      <w:r w:rsidRPr="00FB6AF7">
        <w:rPr>
          <w:rFonts w:ascii="Times New Roman" w:hAnsi="Times New Roman"/>
          <w:sz w:val="24"/>
        </w:rPr>
        <w:t>2020) 281 FCR 23 at 43 [77].</w:t>
      </w:r>
    </w:p>
  </w:footnote>
  <w:footnote w:id="180">
    <w:p w14:paraId="6C046D33"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sz w:val="24"/>
        </w:rPr>
        <w:t xml:space="preserve">MZAPC v Minister for Immigration and Border Protection </w:t>
      </w:r>
      <w:r w:rsidRPr="00FB6AF7">
        <w:rPr>
          <w:rFonts w:ascii="Times New Roman" w:hAnsi="Times New Roman"/>
          <w:sz w:val="24"/>
        </w:rPr>
        <w:t>(2021) 95 ALJR 441 at 453 [33]; 390 ALR 590 at 598.</w:t>
      </w:r>
    </w:p>
  </w:footnote>
  <w:footnote w:id="181">
    <w:p w14:paraId="00DE2BC0"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sz w:val="24"/>
        </w:rPr>
        <w:t xml:space="preserve">MZAPC v Minister for Immigration and Border Protection </w:t>
      </w:r>
      <w:r w:rsidRPr="00FB6AF7">
        <w:rPr>
          <w:rFonts w:ascii="Times New Roman" w:hAnsi="Times New Roman"/>
          <w:sz w:val="24"/>
        </w:rPr>
        <w:t>(2021) 95 ALJR 441 at 457 [52]; 390 ALR 590 at 603.</w:t>
      </w:r>
    </w:p>
  </w:footnote>
  <w:footnote w:id="182">
    <w:p w14:paraId="66411FB7"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sz w:val="24"/>
        </w:rPr>
        <w:t xml:space="preserve">MZAPC v Minister for Immigration and Border Protection </w:t>
      </w:r>
      <w:r w:rsidRPr="00FB6AF7">
        <w:rPr>
          <w:rFonts w:ascii="Times New Roman" w:hAnsi="Times New Roman"/>
          <w:sz w:val="24"/>
        </w:rPr>
        <w:t>(2021) 95 ALJR 441 at 454 [38]; 390 ALR 590</w:t>
      </w:r>
      <w:r w:rsidRPr="00FB6AF7">
        <w:rPr>
          <w:rFonts w:ascii="Times New Roman" w:hAnsi="Times New Roman"/>
          <w:i/>
          <w:iCs/>
          <w:sz w:val="24"/>
        </w:rPr>
        <w:t xml:space="preserve"> </w:t>
      </w:r>
      <w:r w:rsidRPr="00FB6AF7">
        <w:rPr>
          <w:rFonts w:ascii="Times New Roman" w:hAnsi="Times New Roman"/>
          <w:sz w:val="24"/>
        </w:rPr>
        <w:t>at 599.</w:t>
      </w:r>
    </w:p>
  </w:footnote>
  <w:footnote w:id="183">
    <w:p w14:paraId="6B6AADCF"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t xml:space="preserve">See, eg, </w:t>
      </w:r>
      <w:r w:rsidRPr="00FB6AF7">
        <w:rPr>
          <w:rFonts w:ascii="Times New Roman" w:hAnsi="Times New Roman"/>
          <w:i/>
          <w:iCs/>
          <w:sz w:val="24"/>
        </w:rPr>
        <w:t>Nahi v Minister for Immigration, Citizenship, Migrant Services and Multicultural Affairs</w:t>
      </w:r>
      <w:r w:rsidRPr="00FB6AF7">
        <w:rPr>
          <w:rFonts w:ascii="Times New Roman" w:hAnsi="Times New Roman"/>
          <w:sz w:val="24"/>
        </w:rPr>
        <w:t xml:space="preserve"> [2022] FCAFC 29.</w:t>
      </w:r>
    </w:p>
  </w:footnote>
  <w:footnote w:id="184">
    <w:p w14:paraId="769ACCF1"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t xml:space="preserve">See, eg, </w:t>
      </w:r>
      <w:r w:rsidRPr="00FB6AF7">
        <w:rPr>
          <w:rFonts w:ascii="Times New Roman" w:hAnsi="Times New Roman"/>
          <w:i/>
          <w:iCs/>
          <w:sz w:val="24"/>
        </w:rPr>
        <w:t xml:space="preserve">Degning v Minister for Home Affairs </w:t>
      </w:r>
      <w:r w:rsidRPr="00FB6AF7">
        <w:rPr>
          <w:rFonts w:ascii="Times New Roman" w:hAnsi="Times New Roman"/>
          <w:sz w:val="24"/>
        </w:rPr>
        <w:t>(2019) 270 FCR 451 at 466 [39].</w:t>
      </w:r>
    </w:p>
  </w:footnote>
  <w:footnote w:id="185">
    <w:p w14:paraId="2BB52560" w14:textId="77777777" w:rsidR="0042544D" w:rsidRPr="00FB6AF7" w:rsidRDefault="0042544D" w:rsidP="00FB6AF7">
      <w:pPr>
        <w:pStyle w:val="FootnoteText"/>
        <w:spacing w:line="280" w:lineRule="exact"/>
        <w:ind w:right="0"/>
        <w:jc w:val="both"/>
        <w:rPr>
          <w:rFonts w:ascii="Times New Roman" w:hAnsi="Times New Roman"/>
          <w:sz w:val="24"/>
        </w:rPr>
      </w:pPr>
      <w:r w:rsidRPr="00FB6AF7">
        <w:rPr>
          <w:rStyle w:val="FootnoteReference"/>
          <w:rFonts w:ascii="Times New Roman" w:hAnsi="Times New Roman"/>
          <w:sz w:val="22"/>
          <w:vertAlign w:val="baseline"/>
        </w:rPr>
        <w:footnoteRef/>
      </w:r>
      <w:r w:rsidRPr="00FB6AF7">
        <w:rPr>
          <w:rFonts w:ascii="Times New Roman" w:hAnsi="Times New Roman"/>
          <w:sz w:val="24"/>
        </w:rPr>
        <w:t xml:space="preserve"> </w:t>
      </w:r>
      <w:r w:rsidRPr="00FB6AF7">
        <w:rPr>
          <w:rFonts w:ascii="Times New Roman" w:hAnsi="Times New Roman"/>
          <w:sz w:val="24"/>
        </w:rPr>
        <w:tab/>
      </w:r>
      <w:r w:rsidRPr="00FB6AF7">
        <w:rPr>
          <w:rFonts w:ascii="Times New Roman" w:hAnsi="Times New Roman"/>
          <w:i/>
          <w:sz w:val="24"/>
        </w:rPr>
        <w:t xml:space="preserve">MZAPC v Minister for Immigration and Border Protection </w:t>
      </w:r>
      <w:r w:rsidRPr="00FB6AF7">
        <w:rPr>
          <w:rFonts w:ascii="Times New Roman" w:hAnsi="Times New Roman"/>
          <w:sz w:val="24"/>
        </w:rPr>
        <w:t>(2021) 95 ALJR 441 at 476 [157]; 390 ALR 590</w:t>
      </w:r>
      <w:r w:rsidRPr="00FB6AF7">
        <w:rPr>
          <w:rFonts w:ascii="Times New Roman" w:hAnsi="Times New Roman"/>
          <w:i/>
          <w:iCs/>
          <w:sz w:val="24"/>
        </w:rPr>
        <w:t xml:space="preserve"> </w:t>
      </w:r>
      <w:r w:rsidRPr="00FB6AF7">
        <w:rPr>
          <w:rFonts w:ascii="Times New Roman" w:hAnsi="Times New Roman"/>
          <w:sz w:val="24"/>
        </w:rPr>
        <w:t>at 629.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4087" w14:textId="77777777" w:rsidR="002A3AAE" w:rsidRPr="00594E3E" w:rsidRDefault="002A3AAE" w:rsidP="00594E3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C466" w14:textId="77777777" w:rsidR="00B11350" w:rsidRDefault="00003BC2" w:rsidP="00B1135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2C6828E4" w14:textId="77777777" w:rsidR="00B11350" w:rsidRDefault="008028A9" w:rsidP="00B11350">
    <w:pPr>
      <w:pStyle w:val="Header"/>
      <w:tabs>
        <w:tab w:val="clear" w:pos="4153"/>
        <w:tab w:val="clear" w:pos="8306"/>
        <w:tab w:val="right" w:pos="1304"/>
      </w:tabs>
      <w:spacing w:line="280" w:lineRule="exact"/>
      <w:ind w:firstLine="0"/>
      <w:rPr>
        <w:rFonts w:ascii="Times New Roman" w:hAnsi="Times New Roman"/>
        <w:i/>
        <w:sz w:val="22"/>
      </w:rPr>
    </w:pPr>
  </w:p>
  <w:p w14:paraId="32F57045" w14:textId="77777777" w:rsidR="00B11350" w:rsidRDefault="00003BC2" w:rsidP="00B1135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CE0DED0" w14:textId="77777777" w:rsidR="00B11350" w:rsidRPr="00B11350" w:rsidRDefault="008028A9" w:rsidP="00B1135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D618" w14:textId="77777777" w:rsidR="00B11350" w:rsidRDefault="00003BC2" w:rsidP="00B1135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29261A75" w14:textId="77777777" w:rsidR="00B11350" w:rsidRDefault="008028A9" w:rsidP="00B11350">
    <w:pPr>
      <w:pStyle w:val="Header"/>
      <w:tabs>
        <w:tab w:val="clear" w:pos="4153"/>
        <w:tab w:val="clear" w:pos="8306"/>
        <w:tab w:val="left" w:pos="7200"/>
        <w:tab w:val="right" w:pos="8504"/>
      </w:tabs>
      <w:spacing w:line="280" w:lineRule="exact"/>
      <w:jc w:val="right"/>
      <w:rPr>
        <w:rFonts w:ascii="Times New Roman" w:hAnsi="Times New Roman"/>
        <w:i/>
        <w:sz w:val="22"/>
      </w:rPr>
    </w:pPr>
  </w:p>
  <w:p w14:paraId="35D1B5C6" w14:textId="77777777" w:rsidR="00B11350" w:rsidRDefault="00003BC2" w:rsidP="00B1135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9373A68" w14:textId="77777777" w:rsidR="00B11350" w:rsidRPr="00B11350" w:rsidRDefault="008028A9" w:rsidP="00B1135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4E97" w14:textId="77777777" w:rsidR="00B11350" w:rsidRDefault="008028A9" w:rsidP="00B11350">
    <w:pPr>
      <w:pStyle w:val="Header"/>
      <w:tabs>
        <w:tab w:val="clear" w:pos="4153"/>
        <w:tab w:val="clear" w:pos="8306"/>
        <w:tab w:val="center" w:pos="1134"/>
      </w:tabs>
      <w:spacing w:line="280" w:lineRule="exact"/>
      <w:ind w:firstLine="0"/>
      <w:rPr>
        <w:rFonts w:ascii="Times New Roman" w:hAnsi="Times New Roman"/>
        <w:i/>
        <w:sz w:val="22"/>
      </w:rPr>
    </w:pPr>
  </w:p>
  <w:p w14:paraId="63BAD3FD" w14:textId="77777777" w:rsidR="00B11350" w:rsidRDefault="008028A9" w:rsidP="00B11350">
    <w:pPr>
      <w:pStyle w:val="Header"/>
      <w:tabs>
        <w:tab w:val="clear" w:pos="4153"/>
        <w:tab w:val="clear" w:pos="8306"/>
        <w:tab w:val="center" w:pos="1134"/>
      </w:tabs>
      <w:spacing w:line="280" w:lineRule="exact"/>
      <w:ind w:firstLine="0"/>
      <w:rPr>
        <w:rFonts w:ascii="Times New Roman" w:hAnsi="Times New Roman"/>
        <w:i/>
        <w:sz w:val="22"/>
      </w:rPr>
    </w:pPr>
  </w:p>
  <w:p w14:paraId="116388A6" w14:textId="77777777" w:rsidR="00B11350" w:rsidRDefault="008028A9" w:rsidP="00B11350">
    <w:pPr>
      <w:pStyle w:val="Header"/>
      <w:tabs>
        <w:tab w:val="clear" w:pos="4153"/>
        <w:tab w:val="clear" w:pos="8306"/>
        <w:tab w:val="center" w:pos="1134"/>
      </w:tabs>
      <w:spacing w:line="280" w:lineRule="exact"/>
      <w:ind w:firstLine="0"/>
      <w:rPr>
        <w:rFonts w:ascii="Times New Roman" w:hAnsi="Times New Roman"/>
        <w:i/>
        <w:sz w:val="22"/>
      </w:rPr>
    </w:pPr>
  </w:p>
  <w:p w14:paraId="327E05D2" w14:textId="77777777" w:rsidR="002D14D8" w:rsidRPr="00B11350" w:rsidRDefault="008028A9" w:rsidP="00B11350">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9609" w14:textId="77777777" w:rsidR="00FB6AF7" w:rsidRDefault="00003BC2" w:rsidP="00FB6AF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23F3C005" w14:textId="77777777" w:rsidR="00FB6AF7" w:rsidRDefault="008028A9" w:rsidP="00FB6AF7">
    <w:pPr>
      <w:pStyle w:val="Header"/>
      <w:tabs>
        <w:tab w:val="clear" w:pos="4153"/>
        <w:tab w:val="clear" w:pos="8306"/>
        <w:tab w:val="right" w:pos="1304"/>
      </w:tabs>
      <w:spacing w:line="280" w:lineRule="exact"/>
      <w:ind w:firstLine="0"/>
      <w:rPr>
        <w:rFonts w:ascii="Times New Roman" w:hAnsi="Times New Roman"/>
        <w:i/>
        <w:sz w:val="22"/>
      </w:rPr>
    </w:pPr>
  </w:p>
  <w:p w14:paraId="591A571B" w14:textId="77777777" w:rsidR="00FB6AF7" w:rsidRDefault="00003BC2" w:rsidP="00FB6AF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7</w:t>
    </w:r>
    <w:r>
      <w:rPr>
        <w:rFonts w:ascii="Times New Roman" w:hAnsi="Times New Roman"/>
        <w:sz w:val="22"/>
      </w:rPr>
      <w:fldChar w:fldCharType="end"/>
    </w:r>
    <w:r>
      <w:rPr>
        <w:rFonts w:ascii="Times New Roman" w:hAnsi="Times New Roman"/>
        <w:sz w:val="22"/>
      </w:rPr>
      <w:t>.</w:t>
    </w:r>
  </w:p>
  <w:p w14:paraId="628C9819" w14:textId="77777777" w:rsidR="00FB6AF7" w:rsidRPr="00FB6AF7" w:rsidRDefault="008028A9" w:rsidP="00FB6AF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194FC" w14:textId="77777777" w:rsidR="00FB6AF7" w:rsidRDefault="00003BC2" w:rsidP="00FB6AF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608D7E4E" w14:textId="77777777" w:rsidR="00FB6AF7" w:rsidRDefault="008028A9" w:rsidP="00FB6AF7">
    <w:pPr>
      <w:pStyle w:val="Header"/>
      <w:tabs>
        <w:tab w:val="clear" w:pos="4153"/>
        <w:tab w:val="clear" w:pos="8306"/>
        <w:tab w:val="left" w:pos="7200"/>
        <w:tab w:val="right" w:pos="8504"/>
      </w:tabs>
      <w:spacing w:line="280" w:lineRule="exact"/>
      <w:jc w:val="right"/>
      <w:rPr>
        <w:rFonts w:ascii="Times New Roman" w:hAnsi="Times New Roman"/>
        <w:i/>
        <w:sz w:val="22"/>
      </w:rPr>
    </w:pPr>
  </w:p>
  <w:p w14:paraId="2F3372CB" w14:textId="77777777" w:rsidR="00FB6AF7" w:rsidRDefault="00003BC2" w:rsidP="00FB6AF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7</w:t>
    </w:r>
    <w:r>
      <w:rPr>
        <w:rFonts w:ascii="Times New Roman" w:hAnsi="Times New Roman"/>
        <w:sz w:val="22"/>
      </w:rPr>
      <w:fldChar w:fldCharType="end"/>
    </w:r>
    <w:r>
      <w:rPr>
        <w:rFonts w:ascii="Times New Roman" w:hAnsi="Times New Roman"/>
        <w:sz w:val="22"/>
      </w:rPr>
      <w:t>.</w:t>
    </w:r>
  </w:p>
  <w:p w14:paraId="63C7A445" w14:textId="77777777" w:rsidR="00FB6AF7" w:rsidRPr="00FB6AF7" w:rsidRDefault="008028A9" w:rsidP="00FB6AF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B227" w14:textId="77777777" w:rsidR="00FB6AF7" w:rsidRDefault="008028A9" w:rsidP="00FB6AF7">
    <w:pPr>
      <w:pStyle w:val="Header"/>
      <w:tabs>
        <w:tab w:val="clear" w:pos="4153"/>
        <w:tab w:val="clear" w:pos="8306"/>
        <w:tab w:val="center" w:pos="1134"/>
      </w:tabs>
      <w:spacing w:line="280" w:lineRule="exact"/>
      <w:ind w:firstLine="0"/>
      <w:rPr>
        <w:rFonts w:ascii="Times New Roman" w:hAnsi="Times New Roman"/>
        <w:i/>
        <w:sz w:val="22"/>
      </w:rPr>
    </w:pPr>
  </w:p>
  <w:p w14:paraId="18DF8B11" w14:textId="77777777" w:rsidR="00FB6AF7" w:rsidRDefault="008028A9" w:rsidP="00FB6AF7">
    <w:pPr>
      <w:pStyle w:val="Header"/>
      <w:tabs>
        <w:tab w:val="clear" w:pos="4153"/>
        <w:tab w:val="clear" w:pos="8306"/>
        <w:tab w:val="center" w:pos="1134"/>
      </w:tabs>
      <w:spacing w:line="280" w:lineRule="exact"/>
      <w:ind w:firstLine="0"/>
      <w:rPr>
        <w:rFonts w:ascii="Times New Roman" w:hAnsi="Times New Roman"/>
        <w:i/>
        <w:sz w:val="22"/>
      </w:rPr>
    </w:pPr>
  </w:p>
  <w:p w14:paraId="52E6B941" w14:textId="77777777" w:rsidR="00FB6AF7" w:rsidRDefault="008028A9" w:rsidP="00FB6AF7">
    <w:pPr>
      <w:pStyle w:val="Header"/>
      <w:tabs>
        <w:tab w:val="clear" w:pos="4153"/>
        <w:tab w:val="clear" w:pos="8306"/>
        <w:tab w:val="center" w:pos="1134"/>
      </w:tabs>
      <w:spacing w:line="280" w:lineRule="exact"/>
      <w:ind w:firstLine="0"/>
      <w:rPr>
        <w:rFonts w:ascii="Times New Roman" w:hAnsi="Times New Roman"/>
        <w:i/>
        <w:sz w:val="22"/>
      </w:rPr>
    </w:pPr>
  </w:p>
  <w:p w14:paraId="785DE7A6" w14:textId="77777777" w:rsidR="00873DB4" w:rsidRPr="00FB6AF7" w:rsidRDefault="008028A9" w:rsidP="00FB6AF7">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B54F" w14:textId="3FA643E1" w:rsidR="002A3AAE" w:rsidRPr="00594E3E" w:rsidRDefault="00594E3E" w:rsidP="00594E3E">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D03812">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D03812">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B2B8" w14:textId="55509886" w:rsidR="00BB180C" w:rsidRPr="00594E3E" w:rsidRDefault="00BB180C" w:rsidP="00594E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586F" w14:textId="77777777" w:rsidR="00594E3E" w:rsidRPr="002A3AAE" w:rsidRDefault="00594E3E" w:rsidP="002A3AAE">
    <w:pPr>
      <w:pStyle w:val="Header"/>
      <w:tabs>
        <w:tab w:val="clear" w:pos="4153"/>
        <w:tab w:val="clear" w:pos="8306"/>
        <w:tab w:val="right" w:pos="1304"/>
      </w:tabs>
      <w:spacing w:line="280" w:lineRule="exact"/>
      <w:ind w:firstLine="0"/>
      <w:rPr>
        <w:rFonts w:ascii="Times New Roman" w:hAnsi="Times New Roman"/>
        <w:i/>
        <w:sz w:val="22"/>
      </w:rPr>
    </w:pPr>
    <w:r w:rsidRPr="002A3AAE">
      <w:rPr>
        <w:rFonts w:ascii="Times New Roman" w:hAnsi="Times New Roman"/>
        <w:i/>
        <w:sz w:val="22"/>
      </w:rPr>
      <w:t>Kiefel</w:t>
    </w:r>
    <w:r w:rsidRPr="002A3AAE">
      <w:rPr>
        <w:rFonts w:ascii="Times New Roman" w:hAnsi="Times New Roman"/>
        <w:i/>
        <w:sz w:val="22"/>
      </w:rPr>
      <w:tab/>
      <w:t>CJ</w:t>
    </w:r>
  </w:p>
  <w:p w14:paraId="2D759D01" w14:textId="77777777" w:rsidR="00594E3E" w:rsidRPr="002A3AAE" w:rsidRDefault="00594E3E" w:rsidP="002A3AAE">
    <w:pPr>
      <w:pStyle w:val="Header"/>
      <w:tabs>
        <w:tab w:val="clear" w:pos="4153"/>
        <w:tab w:val="clear" w:pos="8306"/>
        <w:tab w:val="right" w:pos="1304"/>
      </w:tabs>
      <w:spacing w:line="280" w:lineRule="exact"/>
      <w:ind w:firstLine="0"/>
      <w:rPr>
        <w:rFonts w:ascii="Times New Roman" w:hAnsi="Times New Roman"/>
        <w:i/>
        <w:sz w:val="22"/>
      </w:rPr>
    </w:pPr>
    <w:r w:rsidRPr="002A3AAE">
      <w:rPr>
        <w:rFonts w:ascii="Times New Roman" w:hAnsi="Times New Roman"/>
        <w:i/>
        <w:sz w:val="22"/>
      </w:rPr>
      <w:t>Keane</w:t>
    </w:r>
    <w:r w:rsidRPr="002A3AAE">
      <w:rPr>
        <w:rFonts w:ascii="Times New Roman" w:hAnsi="Times New Roman"/>
        <w:i/>
        <w:sz w:val="22"/>
      </w:rPr>
      <w:tab/>
      <w:t>J</w:t>
    </w:r>
  </w:p>
  <w:p w14:paraId="1414F187" w14:textId="77777777" w:rsidR="00594E3E" w:rsidRDefault="00594E3E" w:rsidP="002A3AAE">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02828A6F" w14:textId="77777777" w:rsidR="00594E3E" w:rsidRDefault="00594E3E" w:rsidP="002A3AAE">
    <w:pPr>
      <w:pStyle w:val="Header"/>
      <w:tabs>
        <w:tab w:val="clear" w:pos="4153"/>
        <w:tab w:val="clear" w:pos="8306"/>
        <w:tab w:val="right" w:pos="1304"/>
      </w:tabs>
      <w:spacing w:line="280" w:lineRule="exact"/>
      <w:ind w:firstLine="0"/>
      <w:rPr>
        <w:rFonts w:ascii="Times New Roman" w:hAnsi="Times New Roman"/>
        <w:i/>
        <w:sz w:val="22"/>
      </w:rPr>
    </w:pPr>
  </w:p>
  <w:p w14:paraId="65057540" w14:textId="77777777" w:rsidR="00594E3E" w:rsidRDefault="00594E3E" w:rsidP="002A3AAE">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D70098C" w14:textId="77777777" w:rsidR="00594E3E" w:rsidRPr="002A3AAE" w:rsidRDefault="00594E3E" w:rsidP="002A3AAE">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3428" w14:textId="77777777" w:rsidR="00594E3E" w:rsidRPr="002A3AAE" w:rsidRDefault="00594E3E" w:rsidP="002A3AAE">
    <w:pPr>
      <w:pStyle w:val="Header"/>
      <w:tabs>
        <w:tab w:val="clear" w:pos="4153"/>
        <w:tab w:val="clear" w:pos="8306"/>
        <w:tab w:val="left" w:pos="7200"/>
        <w:tab w:val="right" w:pos="8504"/>
      </w:tabs>
      <w:spacing w:line="280" w:lineRule="exact"/>
      <w:jc w:val="right"/>
      <w:rPr>
        <w:rFonts w:ascii="Times New Roman" w:hAnsi="Times New Roman"/>
        <w:i/>
        <w:sz w:val="22"/>
      </w:rPr>
    </w:pPr>
    <w:r w:rsidRPr="002A3AAE">
      <w:rPr>
        <w:rFonts w:ascii="Times New Roman" w:hAnsi="Times New Roman"/>
        <w:i/>
        <w:sz w:val="22"/>
      </w:rPr>
      <w:tab/>
      <w:t>Kiefel</w:t>
    </w:r>
    <w:r w:rsidRPr="002A3AAE">
      <w:rPr>
        <w:rFonts w:ascii="Times New Roman" w:hAnsi="Times New Roman"/>
        <w:i/>
        <w:sz w:val="22"/>
      </w:rPr>
      <w:tab/>
      <w:t>CJ</w:t>
    </w:r>
  </w:p>
  <w:p w14:paraId="19DDCD15" w14:textId="77777777" w:rsidR="00594E3E" w:rsidRPr="002A3AAE" w:rsidRDefault="00594E3E" w:rsidP="002A3AAE">
    <w:pPr>
      <w:pStyle w:val="Header"/>
      <w:tabs>
        <w:tab w:val="clear" w:pos="4153"/>
        <w:tab w:val="clear" w:pos="8306"/>
        <w:tab w:val="left" w:pos="7200"/>
        <w:tab w:val="right" w:pos="8504"/>
      </w:tabs>
      <w:spacing w:line="280" w:lineRule="exact"/>
      <w:jc w:val="right"/>
      <w:rPr>
        <w:rFonts w:ascii="Times New Roman" w:hAnsi="Times New Roman"/>
        <w:i/>
        <w:sz w:val="22"/>
      </w:rPr>
    </w:pPr>
    <w:r w:rsidRPr="002A3AAE">
      <w:rPr>
        <w:rFonts w:ascii="Times New Roman" w:hAnsi="Times New Roman"/>
        <w:i/>
        <w:sz w:val="22"/>
      </w:rPr>
      <w:tab/>
      <w:t>Keane</w:t>
    </w:r>
    <w:r w:rsidRPr="002A3AAE">
      <w:rPr>
        <w:rFonts w:ascii="Times New Roman" w:hAnsi="Times New Roman"/>
        <w:i/>
        <w:sz w:val="22"/>
      </w:rPr>
      <w:tab/>
      <w:t>J</w:t>
    </w:r>
  </w:p>
  <w:p w14:paraId="6D115D57" w14:textId="77777777" w:rsidR="00594E3E" w:rsidRDefault="00594E3E" w:rsidP="002A3AAE">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4E36D415" w14:textId="77777777" w:rsidR="00594E3E" w:rsidRDefault="00594E3E" w:rsidP="002A3AAE">
    <w:pPr>
      <w:pStyle w:val="Header"/>
      <w:tabs>
        <w:tab w:val="clear" w:pos="4153"/>
        <w:tab w:val="clear" w:pos="8306"/>
        <w:tab w:val="left" w:pos="7200"/>
        <w:tab w:val="right" w:pos="8504"/>
      </w:tabs>
      <w:spacing w:line="280" w:lineRule="exact"/>
      <w:jc w:val="right"/>
      <w:rPr>
        <w:rFonts w:ascii="Times New Roman" w:hAnsi="Times New Roman"/>
        <w:i/>
        <w:sz w:val="22"/>
      </w:rPr>
    </w:pPr>
  </w:p>
  <w:p w14:paraId="2872FEAD" w14:textId="77777777" w:rsidR="00594E3E" w:rsidRDefault="00594E3E" w:rsidP="002A3AAE">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EA0EC8A" w14:textId="77777777" w:rsidR="00594E3E" w:rsidRPr="002A3AAE" w:rsidRDefault="00594E3E" w:rsidP="002A3AA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0F03" w14:textId="77777777" w:rsidR="00594E3E" w:rsidRDefault="00594E3E" w:rsidP="002A3AAE">
    <w:pPr>
      <w:pStyle w:val="Header"/>
      <w:tabs>
        <w:tab w:val="clear" w:pos="4153"/>
        <w:tab w:val="clear" w:pos="8306"/>
        <w:tab w:val="center" w:pos="1134"/>
      </w:tabs>
      <w:spacing w:line="280" w:lineRule="exact"/>
      <w:ind w:firstLine="0"/>
      <w:rPr>
        <w:rFonts w:ascii="Times New Roman" w:hAnsi="Times New Roman"/>
        <w:i/>
        <w:sz w:val="22"/>
      </w:rPr>
    </w:pPr>
  </w:p>
  <w:p w14:paraId="5F53C9AB" w14:textId="77777777" w:rsidR="00594E3E" w:rsidRDefault="00594E3E" w:rsidP="002A3AAE">
    <w:pPr>
      <w:pStyle w:val="Header"/>
      <w:tabs>
        <w:tab w:val="clear" w:pos="4153"/>
        <w:tab w:val="clear" w:pos="8306"/>
        <w:tab w:val="center" w:pos="1134"/>
      </w:tabs>
      <w:spacing w:line="280" w:lineRule="exact"/>
      <w:ind w:firstLine="0"/>
      <w:rPr>
        <w:rFonts w:ascii="Times New Roman" w:hAnsi="Times New Roman"/>
        <w:i/>
        <w:sz w:val="22"/>
      </w:rPr>
    </w:pPr>
  </w:p>
  <w:p w14:paraId="2C6C8E52" w14:textId="77777777" w:rsidR="00594E3E" w:rsidRDefault="00594E3E" w:rsidP="002A3AAE">
    <w:pPr>
      <w:pStyle w:val="Header"/>
      <w:tabs>
        <w:tab w:val="clear" w:pos="4153"/>
        <w:tab w:val="clear" w:pos="8306"/>
        <w:tab w:val="center" w:pos="1134"/>
      </w:tabs>
      <w:spacing w:line="280" w:lineRule="exact"/>
      <w:ind w:firstLine="0"/>
      <w:rPr>
        <w:rFonts w:ascii="Times New Roman" w:hAnsi="Times New Roman"/>
        <w:i/>
        <w:sz w:val="22"/>
      </w:rPr>
    </w:pPr>
  </w:p>
  <w:p w14:paraId="5B9CBA87" w14:textId="77777777" w:rsidR="00594E3E" w:rsidRDefault="00594E3E" w:rsidP="002A3AAE">
    <w:pPr>
      <w:pStyle w:val="Header"/>
      <w:tabs>
        <w:tab w:val="clear" w:pos="4153"/>
        <w:tab w:val="clear" w:pos="8306"/>
        <w:tab w:val="center" w:pos="1134"/>
      </w:tabs>
      <w:spacing w:line="280" w:lineRule="exact"/>
      <w:ind w:firstLine="0"/>
      <w:rPr>
        <w:rFonts w:ascii="Times New Roman" w:hAnsi="Times New Roman"/>
        <w:i/>
        <w:sz w:val="22"/>
      </w:rPr>
    </w:pPr>
  </w:p>
  <w:p w14:paraId="26ACA59C" w14:textId="77777777" w:rsidR="00594E3E" w:rsidRDefault="00594E3E" w:rsidP="002A3AAE">
    <w:pPr>
      <w:pStyle w:val="Header"/>
      <w:tabs>
        <w:tab w:val="clear" w:pos="4153"/>
        <w:tab w:val="clear" w:pos="8306"/>
        <w:tab w:val="center" w:pos="1134"/>
      </w:tabs>
      <w:spacing w:line="280" w:lineRule="exact"/>
      <w:ind w:firstLine="0"/>
      <w:rPr>
        <w:rFonts w:ascii="Times New Roman" w:hAnsi="Times New Roman"/>
        <w:i/>
        <w:sz w:val="22"/>
      </w:rPr>
    </w:pPr>
  </w:p>
  <w:p w14:paraId="485A1FF9" w14:textId="77777777" w:rsidR="00594E3E" w:rsidRPr="002A3AAE" w:rsidRDefault="00594E3E" w:rsidP="002A3AAE">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67DE" w14:textId="77777777" w:rsidR="00B379C9" w:rsidRDefault="00003BC2" w:rsidP="00B379C9">
    <w:pPr>
      <w:pStyle w:val="Header"/>
      <w:tabs>
        <w:tab w:val="clear" w:pos="4153"/>
        <w:tab w:val="clear" w:pos="8306"/>
        <w:tab w:val="right" w:pos="1304"/>
      </w:tabs>
      <w:spacing w:line="280" w:lineRule="exact"/>
      <w:ind w:firstLine="0"/>
      <w:rPr>
        <w:rFonts w:ascii="Times New Roman" w:hAnsi="Times New Roman"/>
        <w:i/>
        <w:sz w:val="22"/>
      </w:rPr>
    </w:pPr>
    <w:proofErr w:type="spellStart"/>
    <w:r>
      <w:rPr>
        <w:rFonts w:ascii="Times New Roman" w:hAnsi="Times New Roman"/>
        <w:i/>
        <w:sz w:val="22"/>
      </w:rPr>
      <w:t>Gageler</w:t>
    </w:r>
    <w:proofErr w:type="spellEnd"/>
    <w:r>
      <w:rPr>
        <w:rFonts w:ascii="Times New Roman" w:hAnsi="Times New Roman"/>
        <w:i/>
        <w:sz w:val="22"/>
      </w:rPr>
      <w:tab/>
      <w:t>J</w:t>
    </w:r>
  </w:p>
  <w:p w14:paraId="1D098CA3" w14:textId="77777777" w:rsidR="00B379C9" w:rsidRDefault="008028A9" w:rsidP="00B379C9">
    <w:pPr>
      <w:pStyle w:val="Header"/>
      <w:tabs>
        <w:tab w:val="clear" w:pos="4153"/>
        <w:tab w:val="clear" w:pos="8306"/>
        <w:tab w:val="right" w:pos="1304"/>
      </w:tabs>
      <w:spacing w:line="280" w:lineRule="exact"/>
      <w:ind w:firstLine="0"/>
      <w:rPr>
        <w:rFonts w:ascii="Times New Roman" w:hAnsi="Times New Roman"/>
        <w:i/>
        <w:sz w:val="22"/>
      </w:rPr>
    </w:pPr>
  </w:p>
  <w:p w14:paraId="12650CA7" w14:textId="77777777" w:rsidR="00B379C9" w:rsidRDefault="00003BC2" w:rsidP="00B379C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49A3286D" w14:textId="77777777" w:rsidR="00B379C9" w:rsidRPr="00B379C9" w:rsidRDefault="008028A9" w:rsidP="00B379C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2E3F" w14:textId="77777777" w:rsidR="00B379C9" w:rsidRDefault="00003BC2" w:rsidP="00B379C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r>
    <w:proofErr w:type="spellStart"/>
    <w:r>
      <w:rPr>
        <w:rFonts w:ascii="Times New Roman" w:hAnsi="Times New Roman"/>
        <w:i/>
        <w:sz w:val="22"/>
      </w:rPr>
      <w:t>Gageler</w:t>
    </w:r>
    <w:proofErr w:type="spellEnd"/>
    <w:r>
      <w:rPr>
        <w:rFonts w:ascii="Times New Roman" w:hAnsi="Times New Roman"/>
        <w:i/>
        <w:sz w:val="22"/>
      </w:rPr>
      <w:tab/>
      <w:t>J</w:t>
    </w:r>
  </w:p>
  <w:p w14:paraId="50E503CC" w14:textId="77777777" w:rsidR="00B379C9" w:rsidRDefault="008028A9" w:rsidP="00B379C9">
    <w:pPr>
      <w:pStyle w:val="Header"/>
      <w:tabs>
        <w:tab w:val="clear" w:pos="4153"/>
        <w:tab w:val="clear" w:pos="8306"/>
        <w:tab w:val="left" w:pos="7200"/>
        <w:tab w:val="right" w:pos="8504"/>
      </w:tabs>
      <w:spacing w:line="280" w:lineRule="exact"/>
      <w:jc w:val="right"/>
      <w:rPr>
        <w:rFonts w:ascii="Times New Roman" w:hAnsi="Times New Roman"/>
        <w:i/>
        <w:sz w:val="22"/>
      </w:rPr>
    </w:pPr>
  </w:p>
  <w:p w14:paraId="7CCF8BF0" w14:textId="77777777" w:rsidR="00B379C9" w:rsidRDefault="00003BC2" w:rsidP="00B379C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4138666E" w14:textId="77777777" w:rsidR="00B379C9" w:rsidRPr="00B379C9" w:rsidRDefault="008028A9" w:rsidP="00B379C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FA6B" w14:textId="77777777" w:rsidR="00B379C9" w:rsidRDefault="008028A9" w:rsidP="00B379C9">
    <w:pPr>
      <w:pStyle w:val="Header"/>
      <w:tabs>
        <w:tab w:val="clear" w:pos="4153"/>
        <w:tab w:val="clear" w:pos="8306"/>
        <w:tab w:val="center" w:pos="1134"/>
      </w:tabs>
      <w:spacing w:line="280" w:lineRule="exact"/>
      <w:ind w:firstLine="0"/>
      <w:rPr>
        <w:rFonts w:ascii="Times New Roman" w:hAnsi="Times New Roman"/>
        <w:i/>
        <w:sz w:val="22"/>
      </w:rPr>
    </w:pPr>
  </w:p>
  <w:p w14:paraId="1B3FC426" w14:textId="77777777" w:rsidR="00B379C9" w:rsidRDefault="008028A9" w:rsidP="00B379C9">
    <w:pPr>
      <w:pStyle w:val="Header"/>
      <w:tabs>
        <w:tab w:val="clear" w:pos="4153"/>
        <w:tab w:val="clear" w:pos="8306"/>
        <w:tab w:val="center" w:pos="1134"/>
      </w:tabs>
      <w:spacing w:line="280" w:lineRule="exact"/>
      <w:ind w:firstLine="0"/>
      <w:rPr>
        <w:rFonts w:ascii="Times New Roman" w:hAnsi="Times New Roman"/>
        <w:i/>
        <w:sz w:val="22"/>
      </w:rPr>
    </w:pPr>
  </w:p>
  <w:p w14:paraId="7854A125" w14:textId="77777777" w:rsidR="00B379C9" w:rsidRDefault="008028A9" w:rsidP="00B379C9">
    <w:pPr>
      <w:pStyle w:val="Header"/>
      <w:tabs>
        <w:tab w:val="clear" w:pos="4153"/>
        <w:tab w:val="clear" w:pos="8306"/>
        <w:tab w:val="center" w:pos="1134"/>
      </w:tabs>
      <w:spacing w:line="280" w:lineRule="exact"/>
      <w:ind w:firstLine="0"/>
      <w:rPr>
        <w:rFonts w:ascii="Times New Roman" w:hAnsi="Times New Roman"/>
        <w:i/>
        <w:sz w:val="22"/>
      </w:rPr>
    </w:pPr>
  </w:p>
  <w:p w14:paraId="61B7033F" w14:textId="77777777" w:rsidR="00BB789A" w:rsidRPr="00B379C9" w:rsidRDefault="008028A9" w:rsidP="00B379C9">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0C"/>
    <w:rsid w:val="0000051E"/>
    <w:rsid w:val="00002069"/>
    <w:rsid w:val="000026C4"/>
    <w:rsid w:val="00002CE6"/>
    <w:rsid w:val="0000316A"/>
    <w:rsid w:val="00003BC2"/>
    <w:rsid w:val="0000492B"/>
    <w:rsid w:val="000049B7"/>
    <w:rsid w:val="00006306"/>
    <w:rsid w:val="00006E88"/>
    <w:rsid w:val="00011DF5"/>
    <w:rsid w:val="000143C6"/>
    <w:rsid w:val="0001484F"/>
    <w:rsid w:val="00014B34"/>
    <w:rsid w:val="00015588"/>
    <w:rsid w:val="00015EA9"/>
    <w:rsid w:val="000168C9"/>
    <w:rsid w:val="00016C20"/>
    <w:rsid w:val="00016DBB"/>
    <w:rsid w:val="00017144"/>
    <w:rsid w:val="000211C4"/>
    <w:rsid w:val="00022C39"/>
    <w:rsid w:val="000250AF"/>
    <w:rsid w:val="00025490"/>
    <w:rsid w:val="0002561E"/>
    <w:rsid w:val="00026578"/>
    <w:rsid w:val="000268E1"/>
    <w:rsid w:val="000275BD"/>
    <w:rsid w:val="00031D0F"/>
    <w:rsid w:val="00031E44"/>
    <w:rsid w:val="000320FA"/>
    <w:rsid w:val="00032853"/>
    <w:rsid w:val="0003309C"/>
    <w:rsid w:val="0003391F"/>
    <w:rsid w:val="000339F1"/>
    <w:rsid w:val="00034F8A"/>
    <w:rsid w:val="0003575A"/>
    <w:rsid w:val="000360EB"/>
    <w:rsid w:val="0003661C"/>
    <w:rsid w:val="00037A5F"/>
    <w:rsid w:val="00037CC3"/>
    <w:rsid w:val="00037D87"/>
    <w:rsid w:val="000401EB"/>
    <w:rsid w:val="00041935"/>
    <w:rsid w:val="00043D2C"/>
    <w:rsid w:val="00046812"/>
    <w:rsid w:val="000471B0"/>
    <w:rsid w:val="000471E1"/>
    <w:rsid w:val="0005114C"/>
    <w:rsid w:val="00051898"/>
    <w:rsid w:val="00051E7B"/>
    <w:rsid w:val="000520FB"/>
    <w:rsid w:val="000532B6"/>
    <w:rsid w:val="000546C4"/>
    <w:rsid w:val="000546FC"/>
    <w:rsid w:val="000552CB"/>
    <w:rsid w:val="00055ACD"/>
    <w:rsid w:val="00056F27"/>
    <w:rsid w:val="000573AF"/>
    <w:rsid w:val="00060E70"/>
    <w:rsid w:val="0006169E"/>
    <w:rsid w:val="00061EE9"/>
    <w:rsid w:val="000626FD"/>
    <w:rsid w:val="00062C3F"/>
    <w:rsid w:val="000631F9"/>
    <w:rsid w:val="0006410D"/>
    <w:rsid w:val="0006432B"/>
    <w:rsid w:val="000653D4"/>
    <w:rsid w:val="000656C8"/>
    <w:rsid w:val="00065893"/>
    <w:rsid w:val="00066D46"/>
    <w:rsid w:val="00070424"/>
    <w:rsid w:val="00070612"/>
    <w:rsid w:val="0007199F"/>
    <w:rsid w:val="00071C35"/>
    <w:rsid w:val="00071CAE"/>
    <w:rsid w:val="000733DA"/>
    <w:rsid w:val="00074875"/>
    <w:rsid w:val="000755DD"/>
    <w:rsid w:val="00075D3F"/>
    <w:rsid w:val="00075F50"/>
    <w:rsid w:val="000760F3"/>
    <w:rsid w:val="00076F0A"/>
    <w:rsid w:val="00080D77"/>
    <w:rsid w:val="000823C6"/>
    <w:rsid w:val="00082746"/>
    <w:rsid w:val="00083053"/>
    <w:rsid w:val="0008311B"/>
    <w:rsid w:val="000835D7"/>
    <w:rsid w:val="00083627"/>
    <w:rsid w:val="0008435D"/>
    <w:rsid w:val="00084764"/>
    <w:rsid w:val="00084863"/>
    <w:rsid w:val="0008531D"/>
    <w:rsid w:val="0008558C"/>
    <w:rsid w:val="00085F13"/>
    <w:rsid w:val="00086A2C"/>
    <w:rsid w:val="00087420"/>
    <w:rsid w:val="000877CA"/>
    <w:rsid w:val="000909D0"/>
    <w:rsid w:val="000910E8"/>
    <w:rsid w:val="00092AEC"/>
    <w:rsid w:val="00093668"/>
    <w:rsid w:val="00093B4C"/>
    <w:rsid w:val="00094162"/>
    <w:rsid w:val="000941FE"/>
    <w:rsid w:val="00094626"/>
    <w:rsid w:val="00095232"/>
    <w:rsid w:val="000A036A"/>
    <w:rsid w:val="000A18C1"/>
    <w:rsid w:val="000A28D4"/>
    <w:rsid w:val="000A2EB4"/>
    <w:rsid w:val="000A31AC"/>
    <w:rsid w:val="000A3652"/>
    <w:rsid w:val="000A3DA3"/>
    <w:rsid w:val="000A3E85"/>
    <w:rsid w:val="000A63C6"/>
    <w:rsid w:val="000A6F51"/>
    <w:rsid w:val="000A7434"/>
    <w:rsid w:val="000A774E"/>
    <w:rsid w:val="000B04DF"/>
    <w:rsid w:val="000B08C2"/>
    <w:rsid w:val="000B158C"/>
    <w:rsid w:val="000B1680"/>
    <w:rsid w:val="000B3EAE"/>
    <w:rsid w:val="000B456B"/>
    <w:rsid w:val="000B4630"/>
    <w:rsid w:val="000B497F"/>
    <w:rsid w:val="000B4FAD"/>
    <w:rsid w:val="000B5091"/>
    <w:rsid w:val="000B594C"/>
    <w:rsid w:val="000B606C"/>
    <w:rsid w:val="000B710D"/>
    <w:rsid w:val="000B7558"/>
    <w:rsid w:val="000B78C9"/>
    <w:rsid w:val="000C04DC"/>
    <w:rsid w:val="000C0874"/>
    <w:rsid w:val="000C0D98"/>
    <w:rsid w:val="000C17EE"/>
    <w:rsid w:val="000C1968"/>
    <w:rsid w:val="000C3588"/>
    <w:rsid w:val="000C38C0"/>
    <w:rsid w:val="000C3C1C"/>
    <w:rsid w:val="000C4ED7"/>
    <w:rsid w:val="000C6097"/>
    <w:rsid w:val="000C64E8"/>
    <w:rsid w:val="000C6998"/>
    <w:rsid w:val="000C6DEA"/>
    <w:rsid w:val="000D0288"/>
    <w:rsid w:val="000D0F2B"/>
    <w:rsid w:val="000D13B6"/>
    <w:rsid w:val="000D1847"/>
    <w:rsid w:val="000D1FCB"/>
    <w:rsid w:val="000D2526"/>
    <w:rsid w:val="000D25E6"/>
    <w:rsid w:val="000D2800"/>
    <w:rsid w:val="000D4F8F"/>
    <w:rsid w:val="000D5D6F"/>
    <w:rsid w:val="000D61CA"/>
    <w:rsid w:val="000D77D6"/>
    <w:rsid w:val="000E0869"/>
    <w:rsid w:val="000E10C0"/>
    <w:rsid w:val="000E18CB"/>
    <w:rsid w:val="000E37A9"/>
    <w:rsid w:val="000E4947"/>
    <w:rsid w:val="000E586C"/>
    <w:rsid w:val="000E6596"/>
    <w:rsid w:val="000E65F7"/>
    <w:rsid w:val="000E6991"/>
    <w:rsid w:val="000E6EF3"/>
    <w:rsid w:val="000E700F"/>
    <w:rsid w:val="000F0A98"/>
    <w:rsid w:val="000F10B3"/>
    <w:rsid w:val="000F10BC"/>
    <w:rsid w:val="000F1345"/>
    <w:rsid w:val="000F1756"/>
    <w:rsid w:val="000F1989"/>
    <w:rsid w:val="000F1E55"/>
    <w:rsid w:val="000F2C90"/>
    <w:rsid w:val="000F31D1"/>
    <w:rsid w:val="000F38D2"/>
    <w:rsid w:val="000F4142"/>
    <w:rsid w:val="000F4584"/>
    <w:rsid w:val="000F493E"/>
    <w:rsid w:val="000F5C85"/>
    <w:rsid w:val="000F6126"/>
    <w:rsid w:val="000F7014"/>
    <w:rsid w:val="001001B9"/>
    <w:rsid w:val="00101BDF"/>
    <w:rsid w:val="00101EE4"/>
    <w:rsid w:val="00102254"/>
    <w:rsid w:val="00102292"/>
    <w:rsid w:val="00103795"/>
    <w:rsid w:val="00104282"/>
    <w:rsid w:val="001043FC"/>
    <w:rsid w:val="001051C0"/>
    <w:rsid w:val="00106ED3"/>
    <w:rsid w:val="0010702C"/>
    <w:rsid w:val="0011094B"/>
    <w:rsid w:val="00110970"/>
    <w:rsid w:val="00111485"/>
    <w:rsid w:val="00111568"/>
    <w:rsid w:val="001120C0"/>
    <w:rsid w:val="0011395B"/>
    <w:rsid w:val="00113FD0"/>
    <w:rsid w:val="00115065"/>
    <w:rsid w:val="001150BF"/>
    <w:rsid w:val="001155DC"/>
    <w:rsid w:val="00115EB0"/>
    <w:rsid w:val="001168F2"/>
    <w:rsid w:val="00117243"/>
    <w:rsid w:val="00117419"/>
    <w:rsid w:val="00117CE4"/>
    <w:rsid w:val="00117F91"/>
    <w:rsid w:val="00120207"/>
    <w:rsid w:val="0012066F"/>
    <w:rsid w:val="00121082"/>
    <w:rsid w:val="00121819"/>
    <w:rsid w:val="00121D87"/>
    <w:rsid w:val="00123C1B"/>
    <w:rsid w:val="00123CBF"/>
    <w:rsid w:val="001255E7"/>
    <w:rsid w:val="00125896"/>
    <w:rsid w:val="00125E3C"/>
    <w:rsid w:val="00127FA4"/>
    <w:rsid w:val="001300CC"/>
    <w:rsid w:val="00131400"/>
    <w:rsid w:val="00133E7E"/>
    <w:rsid w:val="001343CC"/>
    <w:rsid w:val="0013456F"/>
    <w:rsid w:val="00135F73"/>
    <w:rsid w:val="00136067"/>
    <w:rsid w:val="00136955"/>
    <w:rsid w:val="001376C3"/>
    <w:rsid w:val="001376E8"/>
    <w:rsid w:val="001405EB"/>
    <w:rsid w:val="00142072"/>
    <w:rsid w:val="00142C3F"/>
    <w:rsid w:val="00142FD0"/>
    <w:rsid w:val="00143FCB"/>
    <w:rsid w:val="00145627"/>
    <w:rsid w:val="00145BD8"/>
    <w:rsid w:val="00146121"/>
    <w:rsid w:val="0014634C"/>
    <w:rsid w:val="00146A41"/>
    <w:rsid w:val="00150BBB"/>
    <w:rsid w:val="00150F1F"/>
    <w:rsid w:val="00151679"/>
    <w:rsid w:val="00151827"/>
    <w:rsid w:val="0015318E"/>
    <w:rsid w:val="00155745"/>
    <w:rsid w:val="0015595C"/>
    <w:rsid w:val="00155B8A"/>
    <w:rsid w:val="00155E66"/>
    <w:rsid w:val="001571CA"/>
    <w:rsid w:val="00160B08"/>
    <w:rsid w:val="0016256F"/>
    <w:rsid w:val="00162778"/>
    <w:rsid w:val="00162EE0"/>
    <w:rsid w:val="00163D92"/>
    <w:rsid w:val="00164144"/>
    <w:rsid w:val="001642B2"/>
    <w:rsid w:val="00164682"/>
    <w:rsid w:val="0016497E"/>
    <w:rsid w:val="00167E37"/>
    <w:rsid w:val="00167E3B"/>
    <w:rsid w:val="00170198"/>
    <w:rsid w:val="00170753"/>
    <w:rsid w:val="00170B88"/>
    <w:rsid w:val="00172ADE"/>
    <w:rsid w:val="00175703"/>
    <w:rsid w:val="0017572A"/>
    <w:rsid w:val="001758DE"/>
    <w:rsid w:val="00175F35"/>
    <w:rsid w:val="00176AF7"/>
    <w:rsid w:val="00176D25"/>
    <w:rsid w:val="00176F70"/>
    <w:rsid w:val="00177545"/>
    <w:rsid w:val="00180245"/>
    <w:rsid w:val="00182DF9"/>
    <w:rsid w:val="00183003"/>
    <w:rsid w:val="0018342E"/>
    <w:rsid w:val="001840C2"/>
    <w:rsid w:val="00184B46"/>
    <w:rsid w:val="001855B5"/>
    <w:rsid w:val="00185939"/>
    <w:rsid w:val="00186654"/>
    <w:rsid w:val="001876F6"/>
    <w:rsid w:val="00191E23"/>
    <w:rsid w:val="00192A95"/>
    <w:rsid w:val="00193B4C"/>
    <w:rsid w:val="001953B1"/>
    <w:rsid w:val="001963C0"/>
    <w:rsid w:val="00196B1E"/>
    <w:rsid w:val="00197956"/>
    <w:rsid w:val="001A1785"/>
    <w:rsid w:val="001A1E6A"/>
    <w:rsid w:val="001A3B81"/>
    <w:rsid w:val="001A446E"/>
    <w:rsid w:val="001A51F2"/>
    <w:rsid w:val="001A614B"/>
    <w:rsid w:val="001A6D16"/>
    <w:rsid w:val="001B17A8"/>
    <w:rsid w:val="001B293A"/>
    <w:rsid w:val="001B2CAC"/>
    <w:rsid w:val="001B366B"/>
    <w:rsid w:val="001B3FCE"/>
    <w:rsid w:val="001B5C55"/>
    <w:rsid w:val="001B5F92"/>
    <w:rsid w:val="001B61AA"/>
    <w:rsid w:val="001B63C6"/>
    <w:rsid w:val="001B6EFC"/>
    <w:rsid w:val="001B722A"/>
    <w:rsid w:val="001B77E9"/>
    <w:rsid w:val="001B7DAA"/>
    <w:rsid w:val="001C163F"/>
    <w:rsid w:val="001C16A4"/>
    <w:rsid w:val="001C2246"/>
    <w:rsid w:val="001C2E42"/>
    <w:rsid w:val="001C48D4"/>
    <w:rsid w:val="001C4C7A"/>
    <w:rsid w:val="001C51E8"/>
    <w:rsid w:val="001C67A0"/>
    <w:rsid w:val="001C6C33"/>
    <w:rsid w:val="001C7750"/>
    <w:rsid w:val="001C7C93"/>
    <w:rsid w:val="001D0546"/>
    <w:rsid w:val="001D0D9E"/>
    <w:rsid w:val="001D14CB"/>
    <w:rsid w:val="001D1521"/>
    <w:rsid w:val="001D2EA9"/>
    <w:rsid w:val="001D30C8"/>
    <w:rsid w:val="001D36CD"/>
    <w:rsid w:val="001D4F49"/>
    <w:rsid w:val="001D58B1"/>
    <w:rsid w:val="001D5A12"/>
    <w:rsid w:val="001D7982"/>
    <w:rsid w:val="001E0458"/>
    <w:rsid w:val="001E04C1"/>
    <w:rsid w:val="001E0804"/>
    <w:rsid w:val="001E1D3D"/>
    <w:rsid w:val="001E2936"/>
    <w:rsid w:val="001E2AD5"/>
    <w:rsid w:val="001E2F16"/>
    <w:rsid w:val="001E47D1"/>
    <w:rsid w:val="001E63D1"/>
    <w:rsid w:val="001E68A6"/>
    <w:rsid w:val="001E6A64"/>
    <w:rsid w:val="001E75C5"/>
    <w:rsid w:val="001E79CE"/>
    <w:rsid w:val="001E7FFE"/>
    <w:rsid w:val="001F0F68"/>
    <w:rsid w:val="001F23B8"/>
    <w:rsid w:val="001F293B"/>
    <w:rsid w:val="001F2C9C"/>
    <w:rsid w:val="001F2F08"/>
    <w:rsid w:val="001F33EB"/>
    <w:rsid w:val="001F3F2A"/>
    <w:rsid w:val="001F69C2"/>
    <w:rsid w:val="001F6BB8"/>
    <w:rsid w:val="001F7A5A"/>
    <w:rsid w:val="001F7FCB"/>
    <w:rsid w:val="00201178"/>
    <w:rsid w:val="002016B8"/>
    <w:rsid w:val="00201E86"/>
    <w:rsid w:val="00202158"/>
    <w:rsid w:val="002028A2"/>
    <w:rsid w:val="00203DF9"/>
    <w:rsid w:val="00203E66"/>
    <w:rsid w:val="0020449A"/>
    <w:rsid w:val="002048D1"/>
    <w:rsid w:val="00205980"/>
    <w:rsid w:val="0020682D"/>
    <w:rsid w:val="0020786C"/>
    <w:rsid w:val="002079CB"/>
    <w:rsid w:val="00207ADC"/>
    <w:rsid w:val="0021096E"/>
    <w:rsid w:val="00210DE8"/>
    <w:rsid w:val="002111DE"/>
    <w:rsid w:val="00211D73"/>
    <w:rsid w:val="00212A3E"/>
    <w:rsid w:val="00214BF2"/>
    <w:rsid w:val="00215852"/>
    <w:rsid w:val="00215A7F"/>
    <w:rsid w:val="00216522"/>
    <w:rsid w:val="002210D0"/>
    <w:rsid w:val="00221392"/>
    <w:rsid w:val="00221D19"/>
    <w:rsid w:val="0022285A"/>
    <w:rsid w:val="00222DA4"/>
    <w:rsid w:val="0022418C"/>
    <w:rsid w:val="00224A00"/>
    <w:rsid w:val="00225B1F"/>
    <w:rsid w:val="00225C9A"/>
    <w:rsid w:val="0022666B"/>
    <w:rsid w:val="0022734D"/>
    <w:rsid w:val="00230A6B"/>
    <w:rsid w:val="0023169A"/>
    <w:rsid w:val="0023295F"/>
    <w:rsid w:val="002331B0"/>
    <w:rsid w:val="002333AF"/>
    <w:rsid w:val="0023447F"/>
    <w:rsid w:val="002350B3"/>
    <w:rsid w:val="0023639A"/>
    <w:rsid w:val="0023798E"/>
    <w:rsid w:val="002417E0"/>
    <w:rsid w:val="00241AFD"/>
    <w:rsid w:val="00242169"/>
    <w:rsid w:val="002425AF"/>
    <w:rsid w:val="002425DC"/>
    <w:rsid w:val="00242D6B"/>
    <w:rsid w:val="00242EE4"/>
    <w:rsid w:val="00243714"/>
    <w:rsid w:val="0024384C"/>
    <w:rsid w:val="00244034"/>
    <w:rsid w:val="0024462E"/>
    <w:rsid w:val="00245B05"/>
    <w:rsid w:val="00246286"/>
    <w:rsid w:val="0024696E"/>
    <w:rsid w:val="00246DE4"/>
    <w:rsid w:val="002474FA"/>
    <w:rsid w:val="00247E69"/>
    <w:rsid w:val="002504D5"/>
    <w:rsid w:val="00250F2A"/>
    <w:rsid w:val="0025185C"/>
    <w:rsid w:val="00251E7F"/>
    <w:rsid w:val="00252580"/>
    <w:rsid w:val="00252765"/>
    <w:rsid w:val="00253469"/>
    <w:rsid w:val="00253493"/>
    <w:rsid w:val="00253FB0"/>
    <w:rsid w:val="0025462C"/>
    <w:rsid w:val="002556F8"/>
    <w:rsid w:val="0025571F"/>
    <w:rsid w:val="00255800"/>
    <w:rsid w:val="00255D7A"/>
    <w:rsid w:val="00256187"/>
    <w:rsid w:val="002571BA"/>
    <w:rsid w:val="0025724D"/>
    <w:rsid w:val="0025758F"/>
    <w:rsid w:val="00257AFB"/>
    <w:rsid w:val="0026293D"/>
    <w:rsid w:val="00262C7F"/>
    <w:rsid w:val="00263D1B"/>
    <w:rsid w:val="00264F70"/>
    <w:rsid w:val="002655D6"/>
    <w:rsid w:val="00265982"/>
    <w:rsid w:val="0026644C"/>
    <w:rsid w:val="0026673E"/>
    <w:rsid w:val="002668D4"/>
    <w:rsid w:val="00270154"/>
    <w:rsid w:val="00270CFB"/>
    <w:rsid w:val="00271AFA"/>
    <w:rsid w:val="00271C58"/>
    <w:rsid w:val="00271F70"/>
    <w:rsid w:val="002724EE"/>
    <w:rsid w:val="0027408B"/>
    <w:rsid w:val="00274508"/>
    <w:rsid w:val="00276B56"/>
    <w:rsid w:val="00277889"/>
    <w:rsid w:val="00280B3A"/>
    <w:rsid w:val="00280F46"/>
    <w:rsid w:val="00281593"/>
    <w:rsid w:val="002819FD"/>
    <w:rsid w:val="0028494E"/>
    <w:rsid w:val="00284F5D"/>
    <w:rsid w:val="002855DB"/>
    <w:rsid w:val="0028583A"/>
    <w:rsid w:val="0028679E"/>
    <w:rsid w:val="00287368"/>
    <w:rsid w:val="00287873"/>
    <w:rsid w:val="00290762"/>
    <w:rsid w:val="002907FC"/>
    <w:rsid w:val="00290D60"/>
    <w:rsid w:val="00291561"/>
    <w:rsid w:val="002916CC"/>
    <w:rsid w:val="0029278C"/>
    <w:rsid w:val="00292E65"/>
    <w:rsid w:val="002935FD"/>
    <w:rsid w:val="00293841"/>
    <w:rsid w:val="00293C84"/>
    <w:rsid w:val="00294097"/>
    <w:rsid w:val="00294B70"/>
    <w:rsid w:val="00294DE9"/>
    <w:rsid w:val="0029697C"/>
    <w:rsid w:val="00296DDC"/>
    <w:rsid w:val="002979F1"/>
    <w:rsid w:val="00297C25"/>
    <w:rsid w:val="00297DE3"/>
    <w:rsid w:val="002A0FC4"/>
    <w:rsid w:val="002A13E1"/>
    <w:rsid w:val="002A1907"/>
    <w:rsid w:val="002A1C3E"/>
    <w:rsid w:val="002A1F93"/>
    <w:rsid w:val="002A23B8"/>
    <w:rsid w:val="002A2577"/>
    <w:rsid w:val="002A3248"/>
    <w:rsid w:val="002A3AAE"/>
    <w:rsid w:val="002A715F"/>
    <w:rsid w:val="002B0171"/>
    <w:rsid w:val="002B0846"/>
    <w:rsid w:val="002B1304"/>
    <w:rsid w:val="002B1622"/>
    <w:rsid w:val="002B1985"/>
    <w:rsid w:val="002B1E1B"/>
    <w:rsid w:val="002B21A0"/>
    <w:rsid w:val="002B38F1"/>
    <w:rsid w:val="002B41B5"/>
    <w:rsid w:val="002B442E"/>
    <w:rsid w:val="002B5967"/>
    <w:rsid w:val="002C46DA"/>
    <w:rsid w:val="002C5873"/>
    <w:rsid w:val="002C5981"/>
    <w:rsid w:val="002C5D38"/>
    <w:rsid w:val="002C7ACB"/>
    <w:rsid w:val="002D0410"/>
    <w:rsid w:val="002D0738"/>
    <w:rsid w:val="002D0899"/>
    <w:rsid w:val="002D0AC1"/>
    <w:rsid w:val="002D1707"/>
    <w:rsid w:val="002D17E2"/>
    <w:rsid w:val="002D2048"/>
    <w:rsid w:val="002D237C"/>
    <w:rsid w:val="002D2603"/>
    <w:rsid w:val="002D3E99"/>
    <w:rsid w:val="002D3F5B"/>
    <w:rsid w:val="002D4F71"/>
    <w:rsid w:val="002D522C"/>
    <w:rsid w:val="002D5CB3"/>
    <w:rsid w:val="002D5DD0"/>
    <w:rsid w:val="002D743F"/>
    <w:rsid w:val="002D7C3A"/>
    <w:rsid w:val="002E0EC8"/>
    <w:rsid w:val="002E117D"/>
    <w:rsid w:val="002E1217"/>
    <w:rsid w:val="002E278F"/>
    <w:rsid w:val="002E3B4D"/>
    <w:rsid w:val="002E46F1"/>
    <w:rsid w:val="002E471E"/>
    <w:rsid w:val="002E58E1"/>
    <w:rsid w:val="002E6041"/>
    <w:rsid w:val="002E6DB2"/>
    <w:rsid w:val="002E764C"/>
    <w:rsid w:val="002E78C4"/>
    <w:rsid w:val="002F0522"/>
    <w:rsid w:val="002F0734"/>
    <w:rsid w:val="002F1C46"/>
    <w:rsid w:val="002F238D"/>
    <w:rsid w:val="002F39C8"/>
    <w:rsid w:val="002F665B"/>
    <w:rsid w:val="002F7897"/>
    <w:rsid w:val="002F7F57"/>
    <w:rsid w:val="003004FA"/>
    <w:rsid w:val="0030102F"/>
    <w:rsid w:val="00301975"/>
    <w:rsid w:val="00302534"/>
    <w:rsid w:val="003029D9"/>
    <w:rsid w:val="00302BDB"/>
    <w:rsid w:val="0030346B"/>
    <w:rsid w:val="0030542C"/>
    <w:rsid w:val="003062E6"/>
    <w:rsid w:val="00306BE1"/>
    <w:rsid w:val="0030774B"/>
    <w:rsid w:val="00307C2A"/>
    <w:rsid w:val="00310418"/>
    <w:rsid w:val="00311F00"/>
    <w:rsid w:val="00312004"/>
    <w:rsid w:val="00312827"/>
    <w:rsid w:val="00312FFC"/>
    <w:rsid w:val="00313C5B"/>
    <w:rsid w:val="00313DE2"/>
    <w:rsid w:val="00313EF2"/>
    <w:rsid w:val="003150BF"/>
    <w:rsid w:val="003150CE"/>
    <w:rsid w:val="00315E92"/>
    <w:rsid w:val="0031640F"/>
    <w:rsid w:val="00317D11"/>
    <w:rsid w:val="00321044"/>
    <w:rsid w:val="0032264A"/>
    <w:rsid w:val="003229D9"/>
    <w:rsid w:val="00323B9E"/>
    <w:rsid w:val="003248F2"/>
    <w:rsid w:val="00324B6E"/>
    <w:rsid w:val="00324E6E"/>
    <w:rsid w:val="00324E81"/>
    <w:rsid w:val="00325084"/>
    <w:rsid w:val="00330804"/>
    <w:rsid w:val="00330936"/>
    <w:rsid w:val="003309B7"/>
    <w:rsid w:val="003322E7"/>
    <w:rsid w:val="00332F3F"/>
    <w:rsid w:val="003335D6"/>
    <w:rsid w:val="00334A6B"/>
    <w:rsid w:val="00335684"/>
    <w:rsid w:val="00335958"/>
    <w:rsid w:val="00336389"/>
    <w:rsid w:val="003366B2"/>
    <w:rsid w:val="00336B84"/>
    <w:rsid w:val="00340066"/>
    <w:rsid w:val="00341902"/>
    <w:rsid w:val="00342639"/>
    <w:rsid w:val="0034288B"/>
    <w:rsid w:val="003429E2"/>
    <w:rsid w:val="00342E12"/>
    <w:rsid w:val="0034332B"/>
    <w:rsid w:val="00345C1D"/>
    <w:rsid w:val="003462E8"/>
    <w:rsid w:val="0034681C"/>
    <w:rsid w:val="00346D8E"/>
    <w:rsid w:val="00346D9E"/>
    <w:rsid w:val="00347702"/>
    <w:rsid w:val="003500DF"/>
    <w:rsid w:val="00350E70"/>
    <w:rsid w:val="00354224"/>
    <w:rsid w:val="00354E51"/>
    <w:rsid w:val="00357B8B"/>
    <w:rsid w:val="00357E1F"/>
    <w:rsid w:val="003600A8"/>
    <w:rsid w:val="00360A54"/>
    <w:rsid w:val="0036109A"/>
    <w:rsid w:val="00361999"/>
    <w:rsid w:val="003622F6"/>
    <w:rsid w:val="00362793"/>
    <w:rsid w:val="00362F90"/>
    <w:rsid w:val="00363412"/>
    <w:rsid w:val="003637FD"/>
    <w:rsid w:val="003639A5"/>
    <w:rsid w:val="003658B8"/>
    <w:rsid w:val="00366524"/>
    <w:rsid w:val="003666A1"/>
    <w:rsid w:val="003701C2"/>
    <w:rsid w:val="00370E00"/>
    <w:rsid w:val="00371355"/>
    <w:rsid w:val="003717CC"/>
    <w:rsid w:val="00371DEC"/>
    <w:rsid w:val="00372ED3"/>
    <w:rsid w:val="00372FA1"/>
    <w:rsid w:val="00373E58"/>
    <w:rsid w:val="00374C3C"/>
    <w:rsid w:val="00376073"/>
    <w:rsid w:val="00376254"/>
    <w:rsid w:val="003771B9"/>
    <w:rsid w:val="00377452"/>
    <w:rsid w:val="00377D3B"/>
    <w:rsid w:val="00381223"/>
    <w:rsid w:val="00381849"/>
    <w:rsid w:val="00381DCA"/>
    <w:rsid w:val="003822F9"/>
    <w:rsid w:val="003823A0"/>
    <w:rsid w:val="0038275C"/>
    <w:rsid w:val="00382F8E"/>
    <w:rsid w:val="00383686"/>
    <w:rsid w:val="003848EA"/>
    <w:rsid w:val="00384A85"/>
    <w:rsid w:val="00384F36"/>
    <w:rsid w:val="00385271"/>
    <w:rsid w:val="00385471"/>
    <w:rsid w:val="0038584D"/>
    <w:rsid w:val="003901B5"/>
    <w:rsid w:val="0039077F"/>
    <w:rsid w:val="003912A1"/>
    <w:rsid w:val="0039154C"/>
    <w:rsid w:val="0039226E"/>
    <w:rsid w:val="00392CC8"/>
    <w:rsid w:val="003931D9"/>
    <w:rsid w:val="0039382C"/>
    <w:rsid w:val="00396470"/>
    <w:rsid w:val="00397F66"/>
    <w:rsid w:val="003A0244"/>
    <w:rsid w:val="003A0ACE"/>
    <w:rsid w:val="003A0CE5"/>
    <w:rsid w:val="003A10E6"/>
    <w:rsid w:val="003A1A64"/>
    <w:rsid w:val="003A2017"/>
    <w:rsid w:val="003A20BA"/>
    <w:rsid w:val="003A2E78"/>
    <w:rsid w:val="003A4160"/>
    <w:rsid w:val="003A48CC"/>
    <w:rsid w:val="003A4A29"/>
    <w:rsid w:val="003A4C85"/>
    <w:rsid w:val="003A4F94"/>
    <w:rsid w:val="003A568A"/>
    <w:rsid w:val="003A5E01"/>
    <w:rsid w:val="003A66E4"/>
    <w:rsid w:val="003A72EF"/>
    <w:rsid w:val="003A7884"/>
    <w:rsid w:val="003B0E3B"/>
    <w:rsid w:val="003B1A69"/>
    <w:rsid w:val="003B237E"/>
    <w:rsid w:val="003B244F"/>
    <w:rsid w:val="003B2D14"/>
    <w:rsid w:val="003B3138"/>
    <w:rsid w:val="003B3280"/>
    <w:rsid w:val="003B4EED"/>
    <w:rsid w:val="003B6B2C"/>
    <w:rsid w:val="003B6C4E"/>
    <w:rsid w:val="003B757A"/>
    <w:rsid w:val="003B7F81"/>
    <w:rsid w:val="003C0552"/>
    <w:rsid w:val="003C1206"/>
    <w:rsid w:val="003C20B8"/>
    <w:rsid w:val="003C266A"/>
    <w:rsid w:val="003C2C51"/>
    <w:rsid w:val="003C36B3"/>
    <w:rsid w:val="003C4EAF"/>
    <w:rsid w:val="003C5011"/>
    <w:rsid w:val="003C548C"/>
    <w:rsid w:val="003C602A"/>
    <w:rsid w:val="003C6BBA"/>
    <w:rsid w:val="003C71DF"/>
    <w:rsid w:val="003C77D6"/>
    <w:rsid w:val="003C7BEC"/>
    <w:rsid w:val="003C7C00"/>
    <w:rsid w:val="003C7CCD"/>
    <w:rsid w:val="003D11B3"/>
    <w:rsid w:val="003D1759"/>
    <w:rsid w:val="003D1896"/>
    <w:rsid w:val="003D1F29"/>
    <w:rsid w:val="003D262B"/>
    <w:rsid w:val="003D2DA7"/>
    <w:rsid w:val="003D35B1"/>
    <w:rsid w:val="003D362E"/>
    <w:rsid w:val="003D3B14"/>
    <w:rsid w:val="003D3C62"/>
    <w:rsid w:val="003D3E48"/>
    <w:rsid w:val="003D555C"/>
    <w:rsid w:val="003D62F7"/>
    <w:rsid w:val="003E0960"/>
    <w:rsid w:val="003E1035"/>
    <w:rsid w:val="003E17F2"/>
    <w:rsid w:val="003E185D"/>
    <w:rsid w:val="003E19F7"/>
    <w:rsid w:val="003E1EB2"/>
    <w:rsid w:val="003E2F66"/>
    <w:rsid w:val="003E4108"/>
    <w:rsid w:val="003E492C"/>
    <w:rsid w:val="003E6070"/>
    <w:rsid w:val="003E710D"/>
    <w:rsid w:val="003E71E5"/>
    <w:rsid w:val="003E7A9C"/>
    <w:rsid w:val="003F0DE1"/>
    <w:rsid w:val="003F25CC"/>
    <w:rsid w:val="003F328F"/>
    <w:rsid w:val="003F3510"/>
    <w:rsid w:val="003F531A"/>
    <w:rsid w:val="003F5371"/>
    <w:rsid w:val="003F53C1"/>
    <w:rsid w:val="003F6064"/>
    <w:rsid w:val="003F6B87"/>
    <w:rsid w:val="003F6CD9"/>
    <w:rsid w:val="003F7B1E"/>
    <w:rsid w:val="003F7C9E"/>
    <w:rsid w:val="003F7E82"/>
    <w:rsid w:val="004005D3"/>
    <w:rsid w:val="00400795"/>
    <w:rsid w:val="00400C76"/>
    <w:rsid w:val="00401DF7"/>
    <w:rsid w:val="00401E07"/>
    <w:rsid w:val="004025E8"/>
    <w:rsid w:val="00402768"/>
    <w:rsid w:val="00404848"/>
    <w:rsid w:val="00404C36"/>
    <w:rsid w:val="00405DAC"/>
    <w:rsid w:val="00405EDA"/>
    <w:rsid w:val="00406E68"/>
    <w:rsid w:val="00406F38"/>
    <w:rsid w:val="004107CA"/>
    <w:rsid w:val="00410DF3"/>
    <w:rsid w:val="004111BC"/>
    <w:rsid w:val="004114CB"/>
    <w:rsid w:val="00411ADA"/>
    <w:rsid w:val="004125F4"/>
    <w:rsid w:val="004126D4"/>
    <w:rsid w:val="00412E58"/>
    <w:rsid w:val="004131FD"/>
    <w:rsid w:val="00413E20"/>
    <w:rsid w:val="004141CF"/>
    <w:rsid w:val="00414703"/>
    <w:rsid w:val="004156EF"/>
    <w:rsid w:val="00415D2B"/>
    <w:rsid w:val="00416556"/>
    <w:rsid w:val="00416C0A"/>
    <w:rsid w:val="00416FAF"/>
    <w:rsid w:val="00417087"/>
    <w:rsid w:val="004213E2"/>
    <w:rsid w:val="004218A9"/>
    <w:rsid w:val="00421941"/>
    <w:rsid w:val="00424513"/>
    <w:rsid w:val="00424DE2"/>
    <w:rsid w:val="0042544D"/>
    <w:rsid w:val="00426638"/>
    <w:rsid w:val="00427437"/>
    <w:rsid w:val="00430104"/>
    <w:rsid w:val="0043021F"/>
    <w:rsid w:val="0043063A"/>
    <w:rsid w:val="00430CC8"/>
    <w:rsid w:val="00431C33"/>
    <w:rsid w:val="00431CED"/>
    <w:rsid w:val="004324C4"/>
    <w:rsid w:val="00432528"/>
    <w:rsid w:val="00432836"/>
    <w:rsid w:val="004329D4"/>
    <w:rsid w:val="00433C14"/>
    <w:rsid w:val="004362B3"/>
    <w:rsid w:val="004362CE"/>
    <w:rsid w:val="00436376"/>
    <w:rsid w:val="00437028"/>
    <w:rsid w:val="004373D1"/>
    <w:rsid w:val="0043778D"/>
    <w:rsid w:val="00437E63"/>
    <w:rsid w:val="004409E5"/>
    <w:rsid w:val="00440A11"/>
    <w:rsid w:val="00442088"/>
    <w:rsid w:val="0044345C"/>
    <w:rsid w:val="004439CE"/>
    <w:rsid w:val="004454C2"/>
    <w:rsid w:val="00445522"/>
    <w:rsid w:val="00446110"/>
    <w:rsid w:val="004468CC"/>
    <w:rsid w:val="00446954"/>
    <w:rsid w:val="00447347"/>
    <w:rsid w:val="00447F33"/>
    <w:rsid w:val="00450670"/>
    <w:rsid w:val="00450A27"/>
    <w:rsid w:val="0045123A"/>
    <w:rsid w:val="00451EC2"/>
    <w:rsid w:val="00451ED7"/>
    <w:rsid w:val="00452E55"/>
    <w:rsid w:val="00452E9D"/>
    <w:rsid w:val="00454B1B"/>
    <w:rsid w:val="00454DFC"/>
    <w:rsid w:val="0045584D"/>
    <w:rsid w:val="00455898"/>
    <w:rsid w:val="00455A3D"/>
    <w:rsid w:val="00456B50"/>
    <w:rsid w:val="00456D3D"/>
    <w:rsid w:val="0045761A"/>
    <w:rsid w:val="00460677"/>
    <w:rsid w:val="0046130D"/>
    <w:rsid w:val="0046151C"/>
    <w:rsid w:val="004619BD"/>
    <w:rsid w:val="00461FE4"/>
    <w:rsid w:val="004623CB"/>
    <w:rsid w:val="00462C0D"/>
    <w:rsid w:val="00463281"/>
    <w:rsid w:val="00463357"/>
    <w:rsid w:val="00463A04"/>
    <w:rsid w:val="0046505E"/>
    <w:rsid w:val="00465255"/>
    <w:rsid w:val="0046527A"/>
    <w:rsid w:val="00465B53"/>
    <w:rsid w:val="00466909"/>
    <w:rsid w:val="004714CD"/>
    <w:rsid w:val="00471747"/>
    <w:rsid w:val="00471B33"/>
    <w:rsid w:val="004730A1"/>
    <w:rsid w:val="00473718"/>
    <w:rsid w:val="00473869"/>
    <w:rsid w:val="00473F02"/>
    <w:rsid w:val="0047410E"/>
    <w:rsid w:val="00474197"/>
    <w:rsid w:val="004742B7"/>
    <w:rsid w:val="00474AC6"/>
    <w:rsid w:val="00476084"/>
    <w:rsid w:val="004773BF"/>
    <w:rsid w:val="00477502"/>
    <w:rsid w:val="0048054A"/>
    <w:rsid w:val="004808BC"/>
    <w:rsid w:val="00480CCA"/>
    <w:rsid w:val="00480F37"/>
    <w:rsid w:val="00481244"/>
    <w:rsid w:val="004818E8"/>
    <w:rsid w:val="0048222F"/>
    <w:rsid w:val="0048295D"/>
    <w:rsid w:val="00482F67"/>
    <w:rsid w:val="00483006"/>
    <w:rsid w:val="004834D1"/>
    <w:rsid w:val="004835F1"/>
    <w:rsid w:val="00484915"/>
    <w:rsid w:val="004853ED"/>
    <w:rsid w:val="00485538"/>
    <w:rsid w:val="00485961"/>
    <w:rsid w:val="00486AE5"/>
    <w:rsid w:val="00487387"/>
    <w:rsid w:val="004878A1"/>
    <w:rsid w:val="004902F6"/>
    <w:rsid w:val="0049056D"/>
    <w:rsid w:val="004919FD"/>
    <w:rsid w:val="0049270F"/>
    <w:rsid w:val="004934E5"/>
    <w:rsid w:val="0049351C"/>
    <w:rsid w:val="00494E2F"/>
    <w:rsid w:val="004960DD"/>
    <w:rsid w:val="00497807"/>
    <w:rsid w:val="004A03AA"/>
    <w:rsid w:val="004A07DC"/>
    <w:rsid w:val="004A132C"/>
    <w:rsid w:val="004A2890"/>
    <w:rsid w:val="004A4B6D"/>
    <w:rsid w:val="004A62C7"/>
    <w:rsid w:val="004B00E4"/>
    <w:rsid w:val="004B25ED"/>
    <w:rsid w:val="004B2656"/>
    <w:rsid w:val="004B26D9"/>
    <w:rsid w:val="004B2C5E"/>
    <w:rsid w:val="004B30CB"/>
    <w:rsid w:val="004B4207"/>
    <w:rsid w:val="004B57D5"/>
    <w:rsid w:val="004B774B"/>
    <w:rsid w:val="004C08A0"/>
    <w:rsid w:val="004C0A07"/>
    <w:rsid w:val="004C0A0A"/>
    <w:rsid w:val="004C115A"/>
    <w:rsid w:val="004C158C"/>
    <w:rsid w:val="004C1F48"/>
    <w:rsid w:val="004C274C"/>
    <w:rsid w:val="004C2C6D"/>
    <w:rsid w:val="004C33BA"/>
    <w:rsid w:val="004C3873"/>
    <w:rsid w:val="004C3A22"/>
    <w:rsid w:val="004C3B3B"/>
    <w:rsid w:val="004C4629"/>
    <w:rsid w:val="004C4B71"/>
    <w:rsid w:val="004C6F1B"/>
    <w:rsid w:val="004C7C33"/>
    <w:rsid w:val="004D087E"/>
    <w:rsid w:val="004D1942"/>
    <w:rsid w:val="004D19DB"/>
    <w:rsid w:val="004D1E88"/>
    <w:rsid w:val="004D39CA"/>
    <w:rsid w:val="004D3CD7"/>
    <w:rsid w:val="004D58DE"/>
    <w:rsid w:val="004D63E2"/>
    <w:rsid w:val="004D69DD"/>
    <w:rsid w:val="004D7AB3"/>
    <w:rsid w:val="004E1DEF"/>
    <w:rsid w:val="004E2AB4"/>
    <w:rsid w:val="004E3F30"/>
    <w:rsid w:val="004E3F57"/>
    <w:rsid w:val="004E409D"/>
    <w:rsid w:val="004E46F8"/>
    <w:rsid w:val="004E4B81"/>
    <w:rsid w:val="004E50C8"/>
    <w:rsid w:val="004E653E"/>
    <w:rsid w:val="004E65F5"/>
    <w:rsid w:val="004E7456"/>
    <w:rsid w:val="004F0404"/>
    <w:rsid w:val="004F1B67"/>
    <w:rsid w:val="004F1BB3"/>
    <w:rsid w:val="004F2060"/>
    <w:rsid w:val="004F2099"/>
    <w:rsid w:val="004F2698"/>
    <w:rsid w:val="004F2D77"/>
    <w:rsid w:val="004F3D4F"/>
    <w:rsid w:val="004F3E28"/>
    <w:rsid w:val="004F4E0D"/>
    <w:rsid w:val="004F593F"/>
    <w:rsid w:val="004F621F"/>
    <w:rsid w:val="004F62C1"/>
    <w:rsid w:val="00500403"/>
    <w:rsid w:val="005004F3"/>
    <w:rsid w:val="00500699"/>
    <w:rsid w:val="00502071"/>
    <w:rsid w:val="00502322"/>
    <w:rsid w:val="005028FA"/>
    <w:rsid w:val="00502EAE"/>
    <w:rsid w:val="00503910"/>
    <w:rsid w:val="00503A1B"/>
    <w:rsid w:val="005042C9"/>
    <w:rsid w:val="00504831"/>
    <w:rsid w:val="00504CD1"/>
    <w:rsid w:val="0050500F"/>
    <w:rsid w:val="00505279"/>
    <w:rsid w:val="00506243"/>
    <w:rsid w:val="005063E1"/>
    <w:rsid w:val="00507CC5"/>
    <w:rsid w:val="00507F0D"/>
    <w:rsid w:val="00510482"/>
    <w:rsid w:val="00510EBA"/>
    <w:rsid w:val="00513FD3"/>
    <w:rsid w:val="0051589E"/>
    <w:rsid w:val="00515E19"/>
    <w:rsid w:val="0051688A"/>
    <w:rsid w:val="00516BBB"/>
    <w:rsid w:val="005175C7"/>
    <w:rsid w:val="005178BC"/>
    <w:rsid w:val="00520621"/>
    <w:rsid w:val="005212E0"/>
    <w:rsid w:val="00521CA1"/>
    <w:rsid w:val="0052377B"/>
    <w:rsid w:val="00523E83"/>
    <w:rsid w:val="005246CF"/>
    <w:rsid w:val="005248BB"/>
    <w:rsid w:val="00524987"/>
    <w:rsid w:val="005250F5"/>
    <w:rsid w:val="00526A2F"/>
    <w:rsid w:val="00527481"/>
    <w:rsid w:val="00527EA4"/>
    <w:rsid w:val="005308A5"/>
    <w:rsid w:val="00530FB2"/>
    <w:rsid w:val="005314E9"/>
    <w:rsid w:val="00531723"/>
    <w:rsid w:val="0053275E"/>
    <w:rsid w:val="00532F53"/>
    <w:rsid w:val="005331C1"/>
    <w:rsid w:val="0053324F"/>
    <w:rsid w:val="005338CA"/>
    <w:rsid w:val="00533E60"/>
    <w:rsid w:val="005341A7"/>
    <w:rsid w:val="0053507A"/>
    <w:rsid w:val="00535A5B"/>
    <w:rsid w:val="00535A60"/>
    <w:rsid w:val="0054113F"/>
    <w:rsid w:val="00541EF9"/>
    <w:rsid w:val="005426CC"/>
    <w:rsid w:val="005426F4"/>
    <w:rsid w:val="00542D16"/>
    <w:rsid w:val="005431CF"/>
    <w:rsid w:val="00543D0A"/>
    <w:rsid w:val="005443C1"/>
    <w:rsid w:val="005454F3"/>
    <w:rsid w:val="005455E5"/>
    <w:rsid w:val="0054681B"/>
    <w:rsid w:val="0054779A"/>
    <w:rsid w:val="00547BA1"/>
    <w:rsid w:val="00550FA6"/>
    <w:rsid w:val="00551829"/>
    <w:rsid w:val="00551A26"/>
    <w:rsid w:val="00551CF3"/>
    <w:rsid w:val="005524AB"/>
    <w:rsid w:val="005528FB"/>
    <w:rsid w:val="00552E06"/>
    <w:rsid w:val="00553F09"/>
    <w:rsid w:val="005542A2"/>
    <w:rsid w:val="005555E3"/>
    <w:rsid w:val="00556101"/>
    <w:rsid w:val="0055657F"/>
    <w:rsid w:val="00556D06"/>
    <w:rsid w:val="00557CB1"/>
    <w:rsid w:val="00560490"/>
    <w:rsid w:val="0056091E"/>
    <w:rsid w:val="00561371"/>
    <w:rsid w:val="0056172D"/>
    <w:rsid w:val="005635F3"/>
    <w:rsid w:val="0056411C"/>
    <w:rsid w:val="00564A12"/>
    <w:rsid w:val="005652C4"/>
    <w:rsid w:val="00565B34"/>
    <w:rsid w:val="00565B4C"/>
    <w:rsid w:val="00565F4A"/>
    <w:rsid w:val="0056636E"/>
    <w:rsid w:val="005663FF"/>
    <w:rsid w:val="00566AA3"/>
    <w:rsid w:val="00566BAD"/>
    <w:rsid w:val="005671C0"/>
    <w:rsid w:val="005677B2"/>
    <w:rsid w:val="005677E5"/>
    <w:rsid w:val="00567D41"/>
    <w:rsid w:val="00570D24"/>
    <w:rsid w:val="0057236C"/>
    <w:rsid w:val="00572BA1"/>
    <w:rsid w:val="00573867"/>
    <w:rsid w:val="00573D11"/>
    <w:rsid w:val="00574C1A"/>
    <w:rsid w:val="0057514A"/>
    <w:rsid w:val="005752FA"/>
    <w:rsid w:val="005753FA"/>
    <w:rsid w:val="005764FA"/>
    <w:rsid w:val="00576B74"/>
    <w:rsid w:val="00577D91"/>
    <w:rsid w:val="00580EEB"/>
    <w:rsid w:val="00580FCF"/>
    <w:rsid w:val="00581320"/>
    <w:rsid w:val="00581C56"/>
    <w:rsid w:val="00581D05"/>
    <w:rsid w:val="00583673"/>
    <w:rsid w:val="00583D08"/>
    <w:rsid w:val="00584249"/>
    <w:rsid w:val="00584A5C"/>
    <w:rsid w:val="00585632"/>
    <w:rsid w:val="00585D6F"/>
    <w:rsid w:val="00587122"/>
    <w:rsid w:val="00587BE7"/>
    <w:rsid w:val="00587CBC"/>
    <w:rsid w:val="00590DC2"/>
    <w:rsid w:val="00590FCA"/>
    <w:rsid w:val="0059299B"/>
    <w:rsid w:val="00592E24"/>
    <w:rsid w:val="00594DCF"/>
    <w:rsid w:val="00594E3E"/>
    <w:rsid w:val="00595DF1"/>
    <w:rsid w:val="00596524"/>
    <w:rsid w:val="005974AB"/>
    <w:rsid w:val="00597D06"/>
    <w:rsid w:val="00597D35"/>
    <w:rsid w:val="005A09AA"/>
    <w:rsid w:val="005A126D"/>
    <w:rsid w:val="005A149D"/>
    <w:rsid w:val="005A251B"/>
    <w:rsid w:val="005A3494"/>
    <w:rsid w:val="005A4A36"/>
    <w:rsid w:val="005A50D9"/>
    <w:rsid w:val="005A6BF0"/>
    <w:rsid w:val="005A6D6D"/>
    <w:rsid w:val="005A7264"/>
    <w:rsid w:val="005B0064"/>
    <w:rsid w:val="005B1095"/>
    <w:rsid w:val="005B1601"/>
    <w:rsid w:val="005B176D"/>
    <w:rsid w:val="005B4676"/>
    <w:rsid w:val="005B4720"/>
    <w:rsid w:val="005B4CFC"/>
    <w:rsid w:val="005B58B0"/>
    <w:rsid w:val="005B5997"/>
    <w:rsid w:val="005C0298"/>
    <w:rsid w:val="005C0769"/>
    <w:rsid w:val="005C0790"/>
    <w:rsid w:val="005C242E"/>
    <w:rsid w:val="005C2805"/>
    <w:rsid w:val="005C337B"/>
    <w:rsid w:val="005C360A"/>
    <w:rsid w:val="005C3793"/>
    <w:rsid w:val="005C3F95"/>
    <w:rsid w:val="005C450B"/>
    <w:rsid w:val="005C6752"/>
    <w:rsid w:val="005C79AF"/>
    <w:rsid w:val="005C7AE4"/>
    <w:rsid w:val="005C7DF9"/>
    <w:rsid w:val="005D0843"/>
    <w:rsid w:val="005D11F4"/>
    <w:rsid w:val="005D1252"/>
    <w:rsid w:val="005D1729"/>
    <w:rsid w:val="005D190F"/>
    <w:rsid w:val="005D1E86"/>
    <w:rsid w:val="005D221C"/>
    <w:rsid w:val="005D29B9"/>
    <w:rsid w:val="005D2A43"/>
    <w:rsid w:val="005D30DC"/>
    <w:rsid w:val="005D3E54"/>
    <w:rsid w:val="005D5A1B"/>
    <w:rsid w:val="005D6EA0"/>
    <w:rsid w:val="005D766D"/>
    <w:rsid w:val="005E01ED"/>
    <w:rsid w:val="005E0368"/>
    <w:rsid w:val="005E0417"/>
    <w:rsid w:val="005E054E"/>
    <w:rsid w:val="005E0AB7"/>
    <w:rsid w:val="005E0C93"/>
    <w:rsid w:val="005E10B5"/>
    <w:rsid w:val="005E1297"/>
    <w:rsid w:val="005E2921"/>
    <w:rsid w:val="005E4426"/>
    <w:rsid w:val="005E4FEA"/>
    <w:rsid w:val="005E795B"/>
    <w:rsid w:val="005E7B36"/>
    <w:rsid w:val="005E7DDD"/>
    <w:rsid w:val="005E7F42"/>
    <w:rsid w:val="005F02E6"/>
    <w:rsid w:val="005F10F1"/>
    <w:rsid w:val="005F1911"/>
    <w:rsid w:val="005F21A7"/>
    <w:rsid w:val="005F2288"/>
    <w:rsid w:val="005F2CBA"/>
    <w:rsid w:val="005F3216"/>
    <w:rsid w:val="005F453C"/>
    <w:rsid w:val="005F4DFE"/>
    <w:rsid w:val="005F4EF9"/>
    <w:rsid w:val="005F5A6E"/>
    <w:rsid w:val="005F5F52"/>
    <w:rsid w:val="005F6C80"/>
    <w:rsid w:val="005F6DCE"/>
    <w:rsid w:val="005F7FB9"/>
    <w:rsid w:val="0060079D"/>
    <w:rsid w:val="006009F0"/>
    <w:rsid w:val="006015AE"/>
    <w:rsid w:val="006017B1"/>
    <w:rsid w:val="00604267"/>
    <w:rsid w:val="006047BC"/>
    <w:rsid w:val="006059AD"/>
    <w:rsid w:val="006062C7"/>
    <w:rsid w:val="0060685F"/>
    <w:rsid w:val="0060689A"/>
    <w:rsid w:val="00606E57"/>
    <w:rsid w:val="00607066"/>
    <w:rsid w:val="00607197"/>
    <w:rsid w:val="006072C6"/>
    <w:rsid w:val="006073FA"/>
    <w:rsid w:val="006075BF"/>
    <w:rsid w:val="006078D3"/>
    <w:rsid w:val="00607A16"/>
    <w:rsid w:val="006100B2"/>
    <w:rsid w:val="00610720"/>
    <w:rsid w:val="0061089F"/>
    <w:rsid w:val="006109F8"/>
    <w:rsid w:val="00611BF5"/>
    <w:rsid w:val="0061394A"/>
    <w:rsid w:val="006147EA"/>
    <w:rsid w:val="00615B0A"/>
    <w:rsid w:val="0061632F"/>
    <w:rsid w:val="00616611"/>
    <w:rsid w:val="00617222"/>
    <w:rsid w:val="006174AF"/>
    <w:rsid w:val="006203A3"/>
    <w:rsid w:val="00621154"/>
    <w:rsid w:val="00621A4D"/>
    <w:rsid w:val="00621F6A"/>
    <w:rsid w:val="00622692"/>
    <w:rsid w:val="00623075"/>
    <w:rsid w:val="00623286"/>
    <w:rsid w:val="00623910"/>
    <w:rsid w:val="00623C3E"/>
    <w:rsid w:val="006243A5"/>
    <w:rsid w:val="0062491D"/>
    <w:rsid w:val="00624A27"/>
    <w:rsid w:val="00624D74"/>
    <w:rsid w:val="00625EDA"/>
    <w:rsid w:val="00626111"/>
    <w:rsid w:val="00626796"/>
    <w:rsid w:val="0062716D"/>
    <w:rsid w:val="00627931"/>
    <w:rsid w:val="00627AF2"/>
    <w:rsid w:val="00627D2F"/>
    <w:rsid w:val="006303E2"/>
    <w:rsid w:val="00630F91"/>
    <w:rsid w:val="006316FB"/>
    <w:rsid w:val="006317EE"/>
    <w:rsid w:val="00631E80"/>
    <w:rsid w:val="006324DA"/>
    <w:rsid w:val="00632519"/>
    <w:rsid w:val="00632CCE"/>
    <w:rsid w:val="00632F94"/>
    <w:rsid w:val="00634098"/>
    <w:rsid w:val="00634331"/>
    <w:rsid w:val="00635DFD"/>
    <w:rsid w:val="0063632F"/>
    <w:rsid w:val="006374F1"/>
    <w:rsid w:val="0064184A"/>
    <w:rsid w:val="00641BC0"/>
    <w:rsid w:val="00642E82"/>
    <w:rsid w:val="006463FB"/>
    <w:rsid w:val="00650BF6"/>
    <w:rsid w:val="00650C56"/>
    <w:rsid w:val="006511EF"/>
    <w:rsid w:val="00651C55"/>
    <w:rsid w:val="00652858"/>
    <w:rsid w:val="00652C9A"/>
    <w:rsid w:val="00652FF7"/>
    <w:rsid w:val="006542F0"/>
    <w:rsid w:val="006545A2"/>
    <w:rsid w:val="006558DC"/>
    <w:rsid w:val="00656B27"/>
    <w:rsid w:val="00656C3A"/>
    <w:rsid w:val="00657F8B"/>
    <w:rsid w:val="006600BF"/>
    <w:rsid w:val="00660401"/>
    <w:rsid w:val="0066087A"/>
    <w:rsid w:val="00660BCF"/>
    <w:rsid w:val="006618FC"/>
    <w:rsid w:val="00661CA3"/>
    <w:rsid w:val="00662AC3"/>
    <w:rsid w:val="0066307E"/>
    <w:rsid w:val="006633F8"/>
    <w:rsid w:val="006636CC"/>
    <w:rsid w:val="00663D00"/>
    <w:rsid w:val="00663E86"/>
    <w:rsid w:val="00664228"/>
    <w:rsid w:val="00664498"/>
    <w:rsid w:val="00664871"/>
    <w:rsid w:val="0066513A"/>
    <w:rsid w:val="006662B2"/>
    <w:rsid w:val="006673B8"/>
    <w:rsid w:val="00667666"/>
    <w:rsid w:val="00667E61"/>
    <w:rsid w:val="00667F5C"/>
    <w:rsid w:val="00671B7E"/>
    <w:rsid w:val="0067224D"/>
    <w:rsid w:val="00672914"/>
    <w:rsid w:val="00674062"/>
    <w:rsid w:val="0067433A"/>
    <w:rsid w:val="006746ED"/>
    <w:rsid w:val="006747ED"/>
    <w:rsid w:val="00674E9A"/>
    <w:rsid w:val="00676134"/>
    <w:rsid w:val="006766E5"/>
    <w:rsid w:val="006767BC"/>
    <w:rsid w:val="006772E4"/>
    <w:rsid w:val="00680400"/>
    <w:rsid w:val="00680E1C"/>
    <w:rsid w:val="0068169B"/>
    <w:rsid w:val="00681D75"/>
    <w:rsid w:val="0068241E"/>
    <w:rsid w:val="0068242E"/>
    <w:rsid w:val="006829AE"/>
    <w:rsid w:val="00682C02"/>
    <w:rsid w:val="00683FFF"/>
    <w:rsid w:val="00684BAF"/>
    <w:rsid w:val="00684CD2"/>
    <w:rsid w:val="006857B4"/>
    <w:rsid w:val="006859E2"/>
    <w:rsid w:val="006865B1"/>
    <w:rsid w:val="00686C29"/>
    <w:rsid w:val="00687FEF"/>
    <w:rsid w:val="006903FF"/>
    <w:rsid w:val="006918CE"/>
    <w:rsid w:val="00693959"/>
    <w:rsid w:val="00693BD5"/>
    <w:rsid w:val="00694D1A"/>
    <w:rsid w:val="00696EBB"/>
    <w:rsid w:val="00697109"/>
    <w:rsid w:val="006A045D"/>
    <w:rsid w:val="006A10A8"/>
    <w:rsid w:val="006A11DA"/>
    <w:rsid w:val="006A134E"/>
    <w:rsid w:val="006A1F10"/>
    <w:rsid w:val="006A297F"/>
    <w:rsid w:val="006A36E0"/>
    <w:rsid w:val="006A397E"/>
    <w:rsid w:val="006A405D"/>
    <w:rsid w:val="006A431E"/>
    <w:rsid w:val="006A472F"/>
    <w:rsid w:val="006A4D4E"/>
    <w:rsid w:val="006A4E04"/>
    <w:rsid w:val="006A5631"/>
    <w:rsid w:val="006A635B"/>
    <w:rsid w:val="006B046F"/>
    <w:rsid w:val="006B0FBA"/>
    <w:rsid w:val="006B1FC2"/>
    <w:rsid w:val="006B272F"/>
    <w:rsid w:val="006B29F1"/>
    <w:rsid w:val="006B3C64"/>
    <w:rsid w:val="006B4E3B"/>
    <w:rsid w:val="006B5310"/>
    <w:rsid w:val="006B5799"/>
    <w:rsid w:val="006B5CC9"/>
    <w:rsid w:val="006B5D1F"/>
    <w:rsid w:val="006B630A"/>
    <w:rsid w:val="006B6FF1"/>
    <w:rsid w:val="006B7076"/>
    <w:rsid w:val="006B7BF3"/>
    <w:rsid w:val="006C0394"/>
    <w:rsid w:val="006C1577"/>
    <w:rsid w:val="006C19B2"/>
    <w:rsid w:val="006C220D"/>
    <w:rsid w:val="006C4A18"/>
    <w:rsid w:val="006C5ACD"/>
    <w:rsid w:val="006C6062"/>
    <w:rsid w:val="006C6300"/>
    <w:rsid w:val="006C7439"/>
    <w:rsid w:val="006C756F"/>
    <w:rsid w:val="006C768E"/>
    <w:rsid w:val="006C7785"/>
    <w:rsid w:val="006C7FC8"/>
    <w:rsid w:val="006D0CC6"/>
    <w:rsid w:val="006D12A7"/>
    <w:rsid w:val="006D1544"/>
    <w:rsid w:val="006D1D60"/>
    <w:rsid w:val="006D36B7"/>
    <w:rsid w:val="006D3A49"/>
    <w:rsid w:val="006D3D98"/>
    <w:rsid w:val="006D5079"/>
    <w:rsid w:val="006D5674"/>
    <w:rsid w:val="006D6854"/>
    <w:rsid w:val="006D6919"/>
    <w:rsid w:val="006D7519"/>
    <w:rsid w:val="006D7CE6"/>
    <w:rsid w:val="006E14A4"/>
    <w:rsid w:val="006E16F1"/>
    <w:rsid w:val="006E32E0"/>
    <w:rsid w:val="006E359B"/>
    <w:rsid w:val="006E3A67"/>
    <w:rsid w:val="006E4152"/>
    <w:rsid w:val="006E5AE8"/>
    <w:rsid w:val="006E61DF"/>
    <w:rsid w:val="006E6B0A"/>
    <w:rsid w:val="006E75BF"/>
    <w:rsid w:val="006E75E7"/>
    <w:rsid w:val="006E7B35"/>
    <w:rsid w:val="006E7B8A"/>
    <w:rsid w:val="006F09B5"/>
    <w:rsid w:val="006F1349"/>
    <w:rsid w:val="006F201F"/>
    <w:rsid w:val="006F2429"/>
    <w:rsid w:val="006F2C03"/>
    <w:rsid w:val="006F3E9E"/>
    <w:rsid w:val="006F48B3"/>
    <w:rsid w:val="006F48B8"/>
    <w:rsid w:val="006F4A6B"/>
    <w:rsid w:val="006F4D6A"/>
    <w:rsid w:val="006F553C"/>
    <w:rsid w:val="006F565A"/>
    <w:rsid w:val="006F5924"/>
    <w:rsid w:val="006F5957"/>
    <w:rsid w:val="006F6258"/>
    <w:rsid w:val="006F65E1"/>
    <w:rsid w:val="006F7F8E"/>
    <w:rsid w:val="00701552"/>
    <w:rsid w:val="0070293B"/>
    <w:rsid w:val="0070399F"/>
    <w:rsid w:val="007045D1"/>
    <w:rsid w:val="00704FDE"/>
    <w:rsid w:val="00705448"/>
    <w:rsid w:val="00706214"/>
    <w:rsid w:val="0070724E"/>
    <w:rsid w:val="00710001"/>
    <w:rsid w:val="00710FFD"/>
    <w:rsid w:val="00711608"/>
    <w:rsid w:val="007122EC"/>
    <w:rsid w:val="007122EF"/>
    <w:rsid w:val="00713AEA"/>
    <w:rsid w:val="007142B3"/>
    <w:rsid w:val="00714504"/>
    <w:rsid w:val="00714954"/>
    <w:rsid w:val="0071522E"/>
    <w:rsid w:val="00715243"/>
    <w:rsid w:val="00715FFA"/>
    <w:rsid w:val="0071742A"/>
    <w:rsid w:val="0071761D"/>
    <w:rsid w:val="0072040E"/>
    <w:rsid w:val="00722A9D"/>
    <w:rsid w:val="00723982"/>
    <w:rsid w:val="00723A58"/>
    <w:rsid w:val="00724661"/>
    <w:rsid w:val="00726236"/>
    <w:rsid w:val="00726388"/>
    <w:rsid w:val="007276C6"/>
    <w:rsid w:val="00727C07"/>
    <w:rsid w:val="00730B2B"/>
    <w:rsid w:val="00730E8F"/>
    <w:rsid w:val="0073140D"/>
    <w:rsid w:val="0073148C"/>
    <w:rsid w:val="00731D48"/>
    <w:rsid w:val="007321AF"/>
    <w:rsid w:val="0073266F"/>
    <w:rsid w:val="00732D7D"/>
    <w:rsid w:val="007337FF"/>
    <w:rsid w:val="00734484"/>
    <w:rsid w:val="00735E0B"/>
    <w:rsid w:val="00737D76"/>
    <w:rsid w:val="00737FA5"/>
    <w:rsid w:val="00740C97"/>
    <w:rsid w:val="00742076"/>
    <w:rsid w:val="007424F1"/>
    <w:rsid w:val="007424F2"/>
    <w:rsid w:val="00742BFC"/>
    <w:rsid w:val="007436E8"/>
    <w:rsid w:val="007437F1"/>
    <w:rsid w:val="007450DA"/>
    <w:rsid w:val="00745136"/>
    <w:rsid w:val="007456EE"/>
    <w:rsid w:val="007459B2"/>
    <w:rsid w:val="00745A15"/>
    <w:rsid w:val="00745DD2"/>
    <w:rsid w:val="007466BE"/>
    <w:rsid w:val="00746729"/>
    <w:rsid w:val="00746A8B"/>
    <w:rsid w:val="0074710F"/>
    <w:rsid w:val="007501A0"/>
    <w:rsid w:val="0075025D"/>
    <w:rsid w:val="0075033F"/>
    <w:rsid w:val="00751354"/>
    <w:rsid w:val="007528ED"/>
    <w:rsid w:val="00753447"/>
    <w:rsid w:val="00753829"/>
    <w:rsid w:val="00755FBD"/>
    <w:rsid w:val="00756909"/>
    <w:rsid w:val="00760D10"/>
    <w:rsid w:val="007614FD"/>
    <w:rsid w:val="00761740"/>
    <w:rsid w:val="00762108"/>
    <w:rsid w:val="00763A30"/>
    <w:rsid w:val="00763FD4"/>
    <w:rsid w:val="00766E15"/>
    <w:rsid w:val="00767470"/>
    <w:rsid w:val="007702F7"/>
    <w:rsid w:val="007709CB"/>
    <w:rsid w:val="00770E38"/>
    <w:rsid w:val="00771756"/>
    <w:rsid w:val="0077197F"/>
    <w:rsid w:val="00771BE6"/>
    <w:rsid w:val="007725A8"/>
    <w:rsid w:val="007725F7"/>
    <w:rsid w:val="00772D9E"/>
    <w:rsid w:val="00773105"/>
    <w:rsid w:val="0077385F"/>
    <w:rsid w:val="00774F13"/>
    <w:rsid w:val="007751DE"/>
    <w:rsid w:val="007765DF"/>
    <w:rsid w:val="00776963"/>
    <w:rsid w:val="007769C9"/>
    <w:rsid w:val="00780542"/>
    <w:rsid w:val="0078133D"/>
    <w:rsid w:val="00781E34"/>
    <w:rsid w:val="00782AAA"/>
    <w:rsid w:val="00782EFF"/>
    <w:rsid w:val="0078346B"/>
    <w:rsid w:val="0078417F"/>
    <w:rsid w:val="00785137"/>
    <w:rsid w:val="00785785"/>
    <w:rsid w:val="00786A45"/>
    <w:rsid w:val="00786AA0"/>
    <w:rsid w:val="0078723C"/>
    <w:rsid w:val="00787525"/>
    <w:rsid w:val="00790D82"/>
    <w:rsid w:val="0079101E"/>
    <w:rsid w:val="00791B01"/>
    <w:rsid w:val="00791DED"/>
    <w:rsid w:val="00791EFC"/>
    <w:rsid w:val="007923D1"/>
    <w:rsid w:val="00792695"/>
    <w:rsid w:val="007926BD"/>
    <w:rsid w:val="00792AA8"/>
    <w:rsid w:val="00792B6D"/>
    <w:rsid w:val="00793AAE"/>
    <w:rsid w:val="00794972"/>
    <w:rsid w:val="00795086"/>
    <w:rsid w:val="007952DA"/>
    <w:rsid w:val="007958DD"/>
    <w:rsid w:val="00795E25"/>
    <w:rsid w:val="007962D3"/>
    <w:rsid w:val="00796CFC"/>
    <w:rsid w:val="00796EE7"/>
    <w:rsid w:val="00797022"/>
    <w:rsid w:val="00797288"/>
    <w:rsid w:val="00797E40"/>
    <w:rsid w:val="007A03E2"/>
    <w:rsid w:val="007A0671"/>
    <w:rsid w:val="007A0F6E"/>
    <w:rsid w:val="007A0FD5"/>
    <w:rsid w:val="007A2109"/>
    <w:rsid w:val="007A23DA"/>
    <w:rsid w:val="007A32F3"/>
    <w:rsid w:val="007A399E"/>
    <w:rsid w:val="007A3ABE"/>
    <w:rsid w:val="007A4150"/>
    <w:rsid w:val="007A4CB0"/>
    <w:rsid w:val="007A4F39"/>
    <w:rsid w:val="007A5713"/>
    <w:rsid w:val="007A5B52"/>
    <w:rsid w:val="007A62C3"/>
    <w:rsid w:val="007B1187"/>
    <w:rsid w:val="007B13B8"/>
    <w:rsid w:val="007B2021"/>
    <w:rsid w:val="007B3543"/>
    <w:rsid w:val="007B3D0E"/>
    <w:rsid w:val="007B4102"/>
    <w:rsid w:val="007B4530"/>
    <w:rsid w:val="007B60F1"/>
    <w:rsid w:val="007B63DE"/>
    <w:rsid w:val="007B651A"/>
    <w:rsid w:val="007B6648"/>
    <w:rsid w:val="007B6669"/>
    <w:rsid w:val="007B7C1B"/>
    <w:rsid w:val="007B7CB9"/>
    <w:rsid w:val="007B7E9E"/>
    <w:rsid w:val="007C0ACA"/>
    <w:rsid w:val="007C0E25"/>
    <w:rsid w:val="007C1A11"/>
    <w:rsid w:val="007C1D43"/>
    <w:rsid w:val="007C311B"/>
    <w:rsid w:val="007C3812"/>
    <w:rsid w:val="007C4932"/>
    <w:rsid w:val="007C506B"/>
    <w:rsid w:val="007C6197"/>
    <w:rsid w:val="007C6DEF"/>
    <w:rsid w:val="007C7E97"/>
    <w:rsid w:val="007D0986"/>
    <w:rsid w:val="007D2532"/>
    <w:rsid w:val="007D2B00"/>
    <w:rsid w:val="007D2F82"/>
    <w:rsid w:val="007D3ECD"/>
    <w:rsid w:val="007D4278"/>
    <w:rsid w:val="007D4E6B"/>
    <w:rsid w:val="007D4FDC"/>
    <w:rsid w:val="007D5065"/>
    <w:rsid w:val="007D5952"/>
    <w:rsid w:val="007D59A7"/>
    <w:rsid w:val="007D5BED"/>
    <w:rsid w:val="007D5C2D"/>
    <w:rsid w:val="007D5F91"/>
    <w:rsid w:val="007D698B"/>
    <w:rsid w:val="007D721C"/>
    <w:rsid w:val="007D7284"/>
    <w:rsid w:val="007D7BB6"/>
    <w:rsid w:val="007E01F1"/>
    <w:rsid w:val="007E0B09"/>
    <w:rsid w:val="007E12CC"/>
    <w:rsid w:val="007E2FDA"/>
    <w:rsid w:val="007E3079"/>
    <w:rsid w:val="007E3A08"/>
    <w:rsid w:val="007E5724"/>
    <w:rsid w:val="007E5D35"/>
    <w:rsid w:val="007E69D5"/>
    <w:rsid w:val="007E718E"/>
    <w:rsid w:val="007E7A9F"/>
    <w:rsid w:val="007F04DE"/>
    <w:rsid w:val="007F05B0"/>
    <w:rsid w:val="007F0A47"/>
    <w:rsid w:val="007F0CC6"/>
    <w:rsid w:val="007F13DD"/>
    <w:rsid w:val="007F1BC1"/>
    <w:rsid w:val="007F2563"/>
    <w:rsid w:val="007F2FF6"/>
    <w:rsid w:val="007F3A89"/>
    <w:rsid w:val="007F52A6"/>
    <w:rsid w:val="007F5789"/>
    <w:rsid w:val="007F68DA"/>
    <w:rsid w:val="007F7900"/>
    <w:rsid w:val="007F7C91"/>
    <w:rsid w:val="007F7F09"/>
    <w:rsid w:val="007F7FBF"/>
    <w:rsid w:val="008004E7"/>
    <w:rsid w:val="008005FD"/>
    <w:rsid w:val="00801442"/>
    <w:rsid w:val="008015D6"/>
    <w:rsid w:val="008017D2"/>
    <w:rsid w:val="0080192E"/>
    <w:rsid w:val="008022F3"/>
    <w:rsid w:val="008025AA"/>
    <w:rsid w:val="008026EC"/>
    <w:rsid w:val="0080276C"/>
    <w:rsid w:val="00802778"/>
    <w:rsid w:val="008028A9"/>
    <w:rsid w:val="00803224"/>
    <w:rsid w:val="00803328"/>
    <w:rsid w:val="008038F5"/>
    <w:rsid w:val="00804713"/>
    <w:rsid w:val="00805824"/>
    <w:rsid w:val="00805E26"/>
    <w:rsid w:val="00805FEE"/>
    <w:rsid w:val="008060C8"/>
    <w:rsid w:val="00807D7C"/>
    <w:rsid w:val="00810F5C"/>
    <w:rsid w:val="00811035"/>
    <w:rsid w:val="008111A4"/>
    <w:rsid w:val="00811283"/>
    <w:rsid w:val="008114F3"/>
    <w:rsid w:val="00811946"/>
    <w:rsid w:val="00812723"/>
    <w:rsid w:val="0081322A"/>
    <w:rsid w:val="0081358B"/>
    <w:rsid w:val="00814A6A"/>
    <w:rsid w:val="00814ED4"/>
    <w:rsid w:val="00814FFD"/>
    <w:rsid w:val="008152E3"/>
    <w:rsid w:val="0081557C"/>
    <w:rsid w:val="008159B1"/>
    <w:rsid w:val="00815C82"/>
    <w:rsid w:val="00815FAA"/>
    <w:rsid w:val="008162D0"/>
    <w:rsid w:val="008171AC"/>
    <w:rsid w:val="00817D85"/>
    <w:rsid w:val="008201D1"/>
    <w:rsid w:val="00820282"/>
    <w:rsid w:val="0082117F"/>
    <w:rsid w:val="00821AD6"/>
    <w:rsid w:val="008227B8"/>
    <w:rsid w:val="00823CDD"/>
    <w:rsid w:val="008252E9"/>
    <w:rsid w:val="00825AF5"/>
    <w:rsid w:val="0082619C"/>
    <w:rsid w:val="00827FE4"/>
    <w:rsid w:val="0083029A"/>
    <w:rsid w:val="00830817"/>
    <w:rsid w:val="0083165B"/>
    <w:rsid w:val="00831A0D"/>
    <w:rsid w:val="00832F47"/>
    <w:rsid w:val="00834D83"/>
    <w:rsid w:val="008359E9"/>
    <w:rsid w:val="00836AD2"/>
    <w:rsid w:val="00836E5C"/>
    <w:rsid w:val="008375CC"/>
    <w:rsid w:val="0083798F"/>
    <w:rsid w:val="00840961"/>
    <w:rsid w:val="0084158A"/>
    <w:rsid w:val="008415CC"/>
    <w:rsid w:val="00841C1F"/>
    <w:rsid w:val="008423C0"/>
    <w:rsid w:val="00842862"/>
    <w:rsid w:val="00844596"/>
    <w:rsid w:val="00844D70"/>
    <w:rsid w:val="00845199"/>
    <w:rsid w:val="00845687"/>
    <w:rsid w:val="0084665D"/>
    <w:rsid w:val="008466ED"/>
    <w:rsid w:val="00846A3E"/>
    <w:rsid w:val="0084726F"/>
    <w:rsid w:val="008474F5"/>
    <w:rsid w:val="00847C5C"/>
    <w:rsid w:val="00847DFE"/>
    <w:rsid w:val="00851111"/>
    <w:rsid w:val="00851145"/>
    <w:rsid w:val="008525CF"/>
    <w:rsid w:val="00853177"/>
    <w:rsid w:val="008542CC"/>
    <w:rsid w:val="00855B40"/>
    <w:rsid w:val="0085664A"/>
    <w:rsid w:val="00857515"/>
    <w:rsid w:val="00857DEE"/>
    <w:rsid w:val="0086052F"/>
    <w:rsid w:val="00860973"/>
    <w:rsid w:val="00860B77"/>
    <w:rsid w:val="0086183E"/>
    <w:rsid w:val="00863C30"/>
    <w:rsid w:val="0086473D"/>
    <w:rsid w:val="008648B5"/>
    <w:rsid w:val="008648F7"/>
    <w:rsid w:val="00864B60"/>
    <w:rsid w:val="0086584F"/>
    <w:rsid w:val="00865C28"/>
    <w:rsid w:val="00865F2B"/>
    <w:rsid w:val="0086641A"/>
    <w:rsid w:val="008669E0"/>
    <w:rsid w:val="00866F35"/>
    <w:rsid w:val="00867727"/>
    <w:rsid w:val="00867F68"/>
    <w:rsid w:val="00871585"/>
    <w:rsid w:val="00871850"/>
    <w:rsid w:val="00871CBD"/>
    <w:rsid w:val="0087261C"/>
    <w:rsid w:val="00872F31"/>
    <w:rsid w:val="008730E8"/>
    <w:rsid w:val="008737D3"/>
    <w:rsid w:val="00875BD6"/>
    <w:rsid w:val="008775A6"/>
    <w:rsid w:val="00877CBF"/>
    <w:rsid w:val="008800B2"/>
    <w:rsid w:val="008812EE"/>
    <w:rsid w:val="00882BD3"/>
    <w:rsid w:val="00882D53"/>
    <w:rsid w:val="00883437"/>
    <w:rsid w:val="008834C5"/>
    <w:rsid w:val="00883BC9"/>
    <w:rsid w:val="00883C24"/>
    <w:rsid w:val="008853F8"/>
    <w:rsid w:val="008860D1"/>
    <w:rsid w:val="00886CA7"/>
    <w:rsid w:val="00887159"/>
    <w:rsid w:val="00887E03"/>
    <w:rsid w:val="00890637"/>
    <w:rsid w:val="00890B44"/>
    <w:rsid w:val="00890F14"/>
    <w:rsid w:val="00891828"/>
    <w:rsid w:val="008935E7"/>
    <w:rsid w:val="008953BD"/>
    <w:rsid w:val="008977E0"/>
    <w:rsid w:val="008A199F"/>
    <w:rsid w:val="008A24D0"/>
    <w:rsid w:val="008A2D9D"/>
    <w:rsid w:val="008A33A3"/>
    <w:rsid w:val="008A355B"/>
    <w:rsid w:val="008A3C90"/>
    <w:rsid w:val="008A3EA3"/>
    <w:rsid w:val="008A4628"/>
    <w:rsid w:val="008A46D7"/>
    <w:rsid w:val="008A47C6"/>
    <w:rsid w:val="008A579D"/>
    <w:rsid w:val="008A79BC"/>
    <w:rsid w:val="008B36A5"/>
    <w:rsid w:val="008B3D66"/>
    <w:rsid w:val="008B41B9"/>
    <w:rsid w:val="008B445B"/>
    <w:rsid w:val="008B47CB"/>
    <w:rsid w:val="008B4C6B"/>
    <w:rsid w:val="008B4E03"/>
    <w:rsid w:val="008B5E55"/>
    <w:rsid w:val="008B6134"/>
    <w:rsid w:val="008B69FA"/>
    <w:rsid w:val="008B6A6C"/>
    <w:rsid w:val="008B7727"/>
    <w:rsid w:val="008C05FA"/>
    <w:rsid w:val="008C15BB"/>
    <w:rsid w:val="008C28E5"/>
    <w:rsid w:val="008C4B8B"/>
    <w:rsid w:val="008C4E5F"/>
    <w:rsid w:val="008C5EA0"/>
    <w:rsid w:val="008C5EE5"/>
    <w:rsid w:val="008C6C82"/>
    <w:rsid w:val="008C731A"/>
    <w:rsid w:val="008C7CBB"/>
    <w:rsid w:val="008C7F47"/>
    <w:rsid w:val="008D0731"/>
    <w:rsid w:val="008D09A5"/>
    <w:rsid w:val="008D10BE"/>
    <w:rsid w:val="008D1154"/>
    <w:rsid w:val="008D15F7"/>
    <w:rsid w:val="008D1FDE"/>
    <w:rsid w:val="008D342C"/>
    <w:rsid w:val="008D351D"/>
    <w:rsid w:val="008D4080"/>
    <w:rsid w:val="008D4566"/>
    <w:rsid w:val="008D49FB"/>
    <w:rsid w:val="008D4D17"/>
    <w:rsid w:val="008D50D9"/>
    <w:rsid w:val="008D683B"/>
    <w:rsid w:val="008D6A11"/>
    <w:rsid w:val="008D73C7"/>
    <w:rsid w:val="008D7464"/>
    <w:rsid w:val="008E063E"/>
    <w:rsid w:val="008E0EF5"/>
    <w:rsid w:val="008E14BB"/>
    <w:rsid w:val="008E1C45"/>
    <w:rsid w:val="008E20E0"/>
    <w:rsid w:val="008E242E"/>
    <w:rsid w:val="008E2D05"/>
    <w:rsid w:val="008E32FC"/>
    <w:rsid w:val="008E357B"/>
    <w:rsid w:val="008E372E"/>
    <w:rsid w:val="008E4289"/>
    <w:rsid w:val="008E647B"/>
    <w:rsid w:val="008E64D6"/>
    <w:rsid w:val="008E6EE0"/>
    <w:rsid w:val="008E7B61"/>
    <w:rsid w:val="008F119D"/>
    <w:rsid w:val="008F1429"/>
    <w:rsid w:val="008F1477"/>
    <w:rsid w:val="008F18B1"/>
    <w:rsid w:val="008F1BD0"/>
    <w:rsid w:val="008F1D8E"/>
    <w:rsid w:val="008F21AA"/>
    <w:rsid w:val="008F23AE"/>
    <w:rsid w:val="008F2D1A"/>
    <w:rsid w:val="008F3974"/>
    <w:rsid w:val="008F3AE2"/>
    <w:rsid w:val="008F4B1E"/>
    <w:rsid w:val="008F5587"/>
    <w:rsid w:val="008F58ED"/>
    <w:rsid w:val="008F6211"/>
    <w:rsid w:val="008F6221"/>
    <w:rsid w:val="008F6460"/>
    <w:rsid w:val="008F722B"/>
    <w:rsid w:val="008F7555"/>
    <w:rsid w:val="008F777B"/>
    <w:rsid w:val="008F7CCE"/>
    <w:rsid w:val="00901009"/>
    <w:rsid w:val="00903B64"/>
    <w:rsid w:val="009040B4"/>
    <w:rsid w:val="009048F4"/>
    <w:rsid w:val="00904B47"/>
    <w:rsid w:val="00905025"/>
    <w:rsid w:val="00905F7C"/>
    <w:rsid w:val="00906060"/>
    <w:rsid w:val="00906438"/>
    <w:rsid w:val="00906474"/>
    <w:rsid w:val="009064E2"/>
    <w:rsid w:val="00906F4E"/>
    <w:rsid w:val="009077C7"/>
    <w:rsid w:val="009106F1"/>
    <w:rsid w:val="0091178D"/>
    <w:rsid w:val="00911F06"/>
    <w:rsid w:val="0091220E"/>
    <w:rsid w:val="0091273D"/>
    <w:rsid w:val="0091281A"/>
    <w:rsid w:val="0091406D"/>
    <w:rsid w:val="0091465A"/>
    <w:rsid w:val="00915A71"/>
    <w:rsid w:val="00915C6B"/>
    <w:rsid w:val="00920216"/>
    <w:rsid w:val="00920463"/>
    <w:rsid w:val="009222F0"/>
    <w:rsid w:val="009231E5"/>
    <w:rsid w:val="009233D0"/>
    <w:rsid w:val="0092366C"/>
    <w:rsid w:val="009238C7"/>
    <w:rsid w:val="00923D68"/>
    <w:rsid w:val="009245CA"/>
    <w:rsid w:val="009246F0"/>
    <w:rsid w:val="0092495A"/>
    <w:rsid w:val="00926DD1"/>
    <w:rsid w:val="00926E4D"/>
    <w:rsid w:val="00927FFB"/>
    <w:rsid w:val="009304D1"/>
    <w:rsid w:val="0093352D"/>
    <w:rsid w:val="009336A4"/>
    <w:rsid w:val="00933B9D"/>
    <w:rsid w:val="00934184"/>
    <w:rsid w:val="00934192"/>
    <w:rsid w:val="00936649"/>
    <w:rsid w:val="009368A6"/>
    <w:rsid w:val="00936D78"/>
    <w:rsid w:val="009376FF"/>
    <w:rsid w:val="00940185"/>
    <w:rsid w:val="00940BCD"/>
    <w:rsid w:val="009410D9"/>
    <w:rsid w:val="00941279"/>
    <w:rsid w:val="0094217B"/>
    <w:rsid w:val="0094249A"/>
    <w:rsid w:val="00944606"/>
    <w:rsid w:val="0094522A"/>
    <w:rsid w:val="00945CB8"/>
    <w:rsid w:val="00945FBA"/>
    <w:rsid w:val="009462D5"/>
    <w:rsid w:val="00946E88"/>
    <w:rsid w:val="009478AF"/>
    <w:rsid w:val="00950542"/>
    <w:rsid w:val="009511F0"/>
    <w:rsid w:val="009515DD"/>
    <w:rsid w:val="00951602"/>
    <w:rsid w:val="0095175B"/>
    <w:rsid w:val="00951B27"/>
    <w:rsid w:val="00951C87"/>
    <w:rsid w:val="00953E98"/>
    <w:rsid w:val="00953F91"/>
    <w:rsid w:val="0095443A"/>
    <w:rsid w:val="0095456C"/>
    <w:rsid w:val="009547B3"/>
    <w:rsid w:val="00954AD2"/>
    <w:rsid w:val="00954BEF"/>
    <w:rsid w:val="009561D4"/>
    <w:rsid w:val="00956905"/>
    <w:rsid w:val="00956C12"/>
    <w:rsid w:val="00957A07"/>
    <w:rsid w:val="00960565"/>
    <w:rsid w:val="00960709"/>
    <w:rsid w:val="009608DE"/>
    <w:rsid w:val="00960C63"/>
    <w:rsid w:val="0096120F"/>
    <w:rsid w:val="00961243"/>
    <w:rsid w:val="009614C6"/>
    <w:rsid w:val="00962936"/>
    <w:rsid w:val="00962BFB"/>
    <w:rsid w:val="00962E1C"/>
    <w:rsid w:val="0096349D"/>
    <w:rsid w:val="009636DA"/>
    <w:rsid w:val="00964954"/>
    <w:rsid w:val="00964AF8"/>
    <w:rsid w:val="009668CE"/>
    <w:rsid w:val="00966DEC"/>
    <w:rsid w:val="00967A76"/>
    <w:rsid w:val="00971029"/>
    <w:rsid w:val="009729FE"/>
    <w:rsid w:val="009743A7"/>
    <w:rsid w:val="00975DD7"/>
    <w:rsid w:val="0097673B"/>
    <w:rsid w:val="00976862"/>
    <w:rsid w:val="00977E90"/>
    <w:rsid w:val="009803A2"/>
    <w:rsid w:val="00980939"/>
    <w:rsid w:val="009812F2"/>
    <w:rsid w:val="00983911"/>
    <w:rsid w:val="00983DA5"/>
    <w:rsid w:val="00984434"/>
    <w:rsid w:val="00985449"/>
    <w:rsid w:val="00986E75"/>
    <w:rsid w:val="00987105"/>
    <w:rsid w:val="00987C7D"/>
    <w:rsid w:val="00987DA9"/>
    <w:rsid w:val="00990380"/>
    <w:rsid w:val="00990C01"/>
    <w:rsid w:val="009915AE"/>
    <w:rsid w:val="009921DB"/>
    <w:rsid w:val="00992CD0"/>
    <w:rsid w:val="009940EF"/>
    <w:rsid w:val="00994A8D"/>
    <w:rsid w:val="00994D06"/>
    <w:rsid w:val="00997CF0"/>
    <w:rsid w:val="009A0451"/>
    <w:rsid w:val="009A0BBC"/>
    <w:rsid w:val="009A110A"/>
    <w:rsid w:val="009A143F"/>
    <w:rsid w:val="009A3413"/>
    <w:rsid w:val="009A3583"/>
    <w:rsid w:val="009A3BB4"/>
    <w:rsid w:val="009A4376"/>
    <w:rsid w:val="009A4BB3"/>
    <w:rsid w:val="009A5320"/>
    <w:rsid w:val="009A5881"/>
    <w:rsid w:val="009A5AFD"/>
    <w:rsid w:val="009A6A73"/>
    <w:rsid w:val="009A6EFD"/>
    <w:rsid w:val="009B0B73"/>
    <w:rsid w:val="009B0CD0"/>
    <w:rsid w:val="009B1089"/>
    <w:rsid w:val="009B10B2"/>
    <w:rsid w:val="009B1AFB"/>
    <w:rsid w:val="009B39DC"/>
    <w:rsid w:val="009B4D05"/>
    <w:rsid w:val="009B528C"/>
    <w:rsid w:val="009B61E7"/>
    <w:rsid w:val="009B78FE"/>
    <w:rsid w:val="009C0205"/>
    <w:rsid w:val="009C09A7"/>
    <w:rsid w:val="009C0C0F"/>
    <w:rsid w:val="009C3370"/>
    <w:rsid w:val="009C44D5"/>
    <w:rsid w:val="009C68F8"/>
    <w:rsid w:val="009C6E72"/>
    <w:rsid w:val="009D02FC"/>
    <w:rsid w:val="009D0525"/>
    <w:rsid w:val="009D08E8"/>
    <w:rsid w:val="009D13FA"/>
    <w:rsid w:val="009D154B"/>
    <w:rsid w:val="009D1F73"/>
    <w:rsid w:val="009D2FBC"/>
    <w:rsid w:val="009D3625"/>
    <w:rsid w:val="009D39DF"/>
    <w:rsid w:val="009D3C3F"/>
    <w:rsid w:val="009D440C"/>
    <w:rsid w:val="009D4D67"/>
    <w:rsid w:val="009D635B"/>
    <w:rsid w:val="009D66DC"/>
    <w:rsid w:val="009D7987"/>
    <w:rsid w:val="009D7F6F"/>
    <w:rsid w:val="009E0393"/>
    <w:rsid w:val="009E07D3"/>
    <w:rsid w:val="009E0F59"/>
    <w:rsid w:val="009E0F62"/>
    <w:rsid w:val="009E19FE"/>
    <w:rsid w:val="009E2662"/>
    <w:rsid w:val="009E2DB2"/>
    <w:rsid w:val="009E3F04"/>
    <w:rsid w:val="009E4A28"/>
    <w:rsid w:val="009E5D77"/>
    <w:rsid w:val="009E6713"/>
    <w:rsid w:val="009E79C4"/>
    <w:rsid w:val="009E7A17"/>
    <w:rsid w:val="009F059C"/>
    <w:rsid w:val="009F06F2"/>
    <w:rsid w:val="009F1FE7"/>
    <w:rsid w:val="009F219D"/>
    <w:rsid w:val="009F3565"/>
    <w:rsid w:val="009F3DB7"/>
    <w:rsid w:val="009F47A8"/>
    <w:rsid w:val="009F635E"/>
    <w:rsid w:val="009F768B"/>
    <w:rsid w:val="00A0172B"/>
    <w:rsid w:val="00A01DD6"/>
    <w:rsid w:val="00A02193"/>
    <w:rsid w:val="00A02C5D"/>
    <w:rsid w:val="00A03493"/>
    <w:rsid w:val="00A0367C"/>
    <w:rsid w:val="00A04A77"/>
    <w:rsid w:val="00A05829"/>
    <w:rsid w:val="00A05B83"/>
    <w:rsid w:val="00A10F77"/>
    <w:rsid w:val="00A13308"/>
    <w:rsid w:val="00A140D3"/>
    <w:rsid w:val="00A1446B"/>
    <w:rsid w:val="00A14BE7"/>
    <w:rsid w:val="00A14D3E"/>
    <w:rsid w:val="00A1591C"/>
    <w:rsid w:val="00A166C1"/>
    <w:rsid w:val="00A167F2"/>
    <w:rsid w:val="00A169C1"/>
    <w:rsid w:val="00A17D8B"/>
    <w:rsid w:val="00A17EFE"/>
    <w:rsid w:val="00A17FEC"/>
    <w:rsid w:val="00A20C78"/>
    <w:rsid w:val="00A20E97"/>
    <w:rsid w:val="00A2115D"/>
    <w:rsid w:val="00A220E6"/>
    <w:rsid w:val="00A22F54"/>
    <w:rsid w:val="00A2308B"/>
    <w:rsid w:val="00A2312E"/>
    <w:rsid w:val="00A2348F"/>
    <w:rsid w:val="00A23D2D"/>
    <w:rsid w:val="00A23EBD"/>
    <w:rsid w:val="00A24323"/>
    <w:rsid w:val="00A24750"/>
    <w:rsid w:val="00A2512C"/>
    <w:rsid w:val="00A2515B"/>
    <w:rsid w:val="00A2530F"/>
    <w:rsid w:val="00A2588E"/>
    <w:rsid w:val="00A25E45"/>
    <w:rsid w:val="00A2652B"/>
    <w:rsid w:val="00A26EDF"/>
    <w:rsid w:val="00A27505"/>
    <w:rsid w:val="00A27A37"/>
    <w:rsid w:val="00A27F08"/>
    <w:rsid w:val="00A32F24"/>
    <w:rsid w:val="00A34789"/>
    <w:rsid w:val="00A35612"/>
    <w:rsid w:val="00A35BF0"/>
    <w:rsid w:val="00A3630E"/>
    <w:rsid w:val="00A36E80"/>
    <w:rsid w:val="00A378E6"/>
    <w:rsid w:val="00A37951"/>
    <w:rsid w:val="00A37BB8"/>
    <w:rsid w:val="00A37C6E"/>
    <w:rsid w:val="00A37E7F"/>
    <w:rsid w:val="00A40523"/>
    <w:rsid w:val="00A41E46"/>
    <w:rsid w:val="00A41FF8"/>
    <w:rsid w:val="00A42049"/>
    <w:rsid w:val="00A42D87"/>
    <w:rsid w:val="00A44BD3"/>
    <w:rsid w:val="00A45103"/>
    <w:rsid w:val="00A4521D"/>
    <w:rsid w:val="00A45233"/>
    <w:rsid w:val="00A46610"/>
    <w:rsid w:val="00A46D6F"/>
    <w:rsid w:val="00A471C8"/>
    <w:rsid w:val="00A5018F"/>
    <w:rsid w:val="00A509B1"/>
    <w:rsid w:val="00A50CD8"/>
    <w:rsid w:val="00A51F0A"/>
    <w:rsid w:val="00A537B4"/>
    <w:rsid w:val="00A53CE3"/>
    <w:rsid w:val="00A53EDD"/>
    <w:rsid w:val="00A53EFD"/>
    <w:rsid w:val="00A546A2"/>
    <w:rsid w:val="00A54759"/>
    <w:rsid w:val="00A54EF2"/>
    <w:rsid w:val="00A55D48"/>
    <w:rsid w:val="00A565A6"/>
    <w:rsid w:val="00A57BEB"/>
    <w:rsid w:val="00A6013F"/>
    <w:rsid w:val="00A61673"/>
    <w:rsid w:val="00A617C3"/>
    <w:rsid w:val="00A61805"/>
    <w:rsid w:val="00A61E1F"/>
    <w:rsid w:val="00A626B7"/>
    <w:rsid w:val="00A63666"/>
    <w:rsid w:val="00A636BE"/>
    <w:rsid w:val="00A642CF"/>
    <w:rsid w:val="00A64860"/>
    <w:rsid w:val="00A64926"/>
    <w:rsid w:val="00A6492D"/>
    <w:rsid w:val="00A6606F"/>
    <w:rsid w:val="00A66472"/>
    <w:rsid w:val="00A665CF"/>
    <w:rsid w:val="00A67CA7"/>
    <w:rsid w:val="00A717EE"/>
    <w:rsid w:val="00A71F7B"/>
    <w:rsid w:val="00A73570"/>
    <w:rsid w:val="00A73989"/>
    <w:rsid w:val="00A73C68"/>
    <w:rsid w:val="00A76376"/>
    <w:rsid w:val="00A7695E"/>
    <w:rsid w:val="00A7702E"/>
    <w:rsid w:val="00A7752F"/>
    <w:rsid w:val="00A80104"/>
    <w:rsid w:val="00A81A5F"/>
    <w:rsid w:val="00A81D07"/>
    <w:rsid w:val="00A821FA"/>
    <w:rsid w:val="00A82B24"/>
    <w:rsid w:val="00A82BD5"/>
    <w:rsid w:val="00A83195"/>
    <w:rsid w:val="00A8358B"/>
    <w:rsid w:val="00A83A83"/>
    <w:rsid w:val="00A844EA"/>
    <w:rsid w:val="00A85C35"/>
    <w:rsid w:val="00A864C6"/>
    <w:rsid w:val="00A87A06"/>
    <w:rsid w:val="00A92061"/>
    <w:rsid w:val="00A92AE8"/>
    <w:rsid w:val="00A94249"/>
    <w:rsid w:val="00A94BC9"/>
    <w:rsid w:val="00A94F9B"/>
    <w:rsid w:val="00A9539C"/>
    <w:rsid w:val="00A959BC"/>
    <w:rsid w:val="00AA15EF"/>
    <w:rsid w:val="00AA1716"/>
    <w:rsid w:val="00AA1E7B"/>
    <w:rsid w:val="00AA2404"/>
    <w:rsid w:val="00AA2D43"/>
    <w:rsid w:val="00AA358A"/>
    <w:rsid w:val="00AA395A"/>
    <w:rsid w:val="00AA3C60"/>
    <w:rsid w:val="00AA530A"/>
    <w:rsid w:val="00AA5320"/>
    <w:rsid w:val="00AA6188"/>
    <w:rsid w:val="00AA78BC"/>
    <w:rsid w:val="00AB1389"/>
    <w:rsid w:val="00AB18AB"/>
    <w:rsid w:val="00AB2FF4"/>
    <w:rsid w:val="00AB40CE"/>
    <w:rsid w:val="00AB4480"/>
    <w:rsid w:val="00AB4816"/>
    <w:rsid w:val="00AB5F41"/>
    <w:rsid w:val="00AB5F9C"/>
    <w:rsid w:val="00AB7106"/>
    <w:rsid w:val="00AC1AD6"/>
    <w:rsid w:val="00AC30A9"/>
    <w:rsid w:val="00AC4059"/>
    <w:rsid w:val="00AC5560"/>
    <w:rsid w:val="00AC5E26"/>
    <w:rsid w:val="00AD037D"/>
    <w:rsid w:val="00AD181D"/>
    <w:rsid w:val="00AD3580"/>
    <w:rsid w:val="00AD3B18"/>
    <w:rsid w:val="00AD3F94"/>
    <w:rsid w:val="00AD4816"/>
    <w:rsid w:val="00AD4A9A"/>
    <w:rsid w:val="00AD59F2"/>
    <w:rsid w:val="00AD6202"/>
    <w:rsid w:val="00AD64A8"/>
    <w:rsid w:val="00AD64DF"/>
    <w:rsid w:val="00AD7203"/>
    <w:rsid w:val="00AE1025"/>
    <w:rsid w:val="00AE1D01"/>
    <w:rsid w:val="00AE2675"/>
    <w:rsid w:val="00AE342B"/>
    <w:rsid w:val="00AE3F03"/>
    <w:rsid w:val="00AE4270"/>
    <w:rsid w:val="00AE4B6B"/>
    <w:rsid w:val="00AE5417"/>
    <w:rsid w:val="00AE64F0"/>
    <w:rsid w:val="00AE71E4"/>
    <w:rsid w:val="00AE7E22"/>
    <w:rsid w:val="00AF096C"/>
    <w:rsid w:val="00AF0CE0"/>
    <w:rsid w:val="00AF22E7"/>
    <w:rsid w:val="00AF23C8"/>
    <w:rsid w:val="00AF2AE2"/>
    <w:rsid w:val="00AF2C74"/>
    <w:rsid w:val="00AF33A5"/>
    <w:rsid w:val="00AF420D"/>
    <w:rsid w:val="00AF4A20"/>
    <w:rsid w:val="00AF4D21"/>
    <w:rsid w:val="00AF5076"/>
    <w:rsid w:val="00AF5BB6"/>
    <w:rsid w:val="00AF6988"/>
    <w:rsid w:val="00AF787D"/>
    <w:rsid w:val="00AF7C53"/>
    <w:rsid w:val="00B006FD"/>
    <w:rsid w:val="00B0157A"/>
    <w:rsid w:val="00B01B1C"/>
    <w:rsid w:val="00B032F3"/>
    <w:rsid w:val="00B0377E"/>
    <w:rsid w:val="00B04003"/>
    <w:rsid w:val="00B045AA"/>
    <w:rsid w:val="00B04A84"/>
    <w:rsid w:val="00B04D68"/>
    <w:rsid w:val="00B05516"/>
    <w:rsid w:val="00B05E28"/>
    <w:rsid w:val="00B06BB7"/>
    <w:rsid w:val="00B07548"/>
    <w:rsid w:val="00B07BA9"/>
    <w:rsid w:val="00B10055"/>
    <w:rsid w:val="00B107BD"/>
    <w:rsid w:val="00B10BF7"/>
    <w:rsid w:val="00B10C54"/>
    <w:rsid w:val="00B1141E"/>
    <w:rsid w:val="00B1278B"/>
    <w:rsid w:val="00B12D76"/>
    <w:rsid w:val="00B13767"/>
    <w:rsid w:val="00B14DE7"/>
    <w:rsid w:val="00B15190"/>
    <w:rsid w:val="00B15456"/>
    <w:rsid w:val="00B156C0"/>
    <w:rsid w:val="00B15CFA"/>
    <w:rsid w:val="00B16A46"/>
    <w:rsid w:val="00B16C07"/>
    <w:rsid w:val="00B17295"/>
    <w:rsid w:val="00B1772B"/>
    <w:rsid w:val="00B213AE"/>
    <w:rsid w:val="00B215F5"/>
    <w:rsid w:val="00B221A1"/>
    <w:rsid w:val="00B22C02"/>
    <w:rsid w:val="00B23BED"/>
    <w:rsid w:val="00B2456F"/>
    <w:rsid w:val="00B25317"/>
    <w:rsid w:val="00B268D6"/>
    <w:rsid w:val="00B27A54"/>
    <w:rsid w:val="00B27CA9"/>
    <w:rsid w:val="00B3026A"/>
    <w:rsid w:val="00B305DC"/>
    <w:rsid w:val="00B30783"/>
    <w:rsid w:val="00B31E1D"/>
    <w:rsid w:val="00B3237C"/>
    <w:rsid w:val="00B324A9"/>
    <w:rsid w:val="00B32AFD"/>
    <w:rsid w:val="00B32F83"/>
    <w:rsid w:val="00B33FF4"/>
    <w:rsid w:val="00B343B0"/>
    <w:rsid w:val="00B355E4"/>
    <w:rsid w:val="00B36398"/>
    <w:rsid w:val="00B36E8C"/>
    <w:rsid w:val="00B37D86"/>
    <w:rsid w:val="00B40A2F"/>
    <w:rsid w:val="00B41F0F"/>
    <w:rsid w:val="00B42014"/>
    <w:rsid w:val="00B421AE"/>
    <w:rsid w:val="00B42560"/>
    <w:rsid w:val="00B438C6"/>
    <w:rsid w:val="00B43CF9"/>
    <w:rsid w:val="00B45275"/>
    <w:rsid w:val="00B455AA"/>
    <w:rsid w:val="00B455CD"/>
    <w:rsid w:val="00B45778"/>
    <w:rsid w:val="00B457A1"/>
    <w:rsid w:val="00B4630F"/>
    <w:rsid w:val="00B464B1"/>
    <w:rsid w:val="00B47A4A"/>
    <w:rsid w:val="00B47AA1"/>
    <w:rsid w:val="00B47B99"/>
    <w:rsid w:val="00B506F2"/>
    <w:rsid w:val="00B50CCA"/>
    <w:rsid w:val="00B51024"/>
    <w:rsid w:val="00B510E3"/>
    <w:rsid w:val="00B5122F"/>
    <w:rsid w:val="00B519EF"/>
    <w:rsid w:val="00B51A13"/>
    <w:rsid w:val="00B51F54"/>
    <w:rsid w:val="00B51F71"/>
    <w:rsid w:val="00B521AC"/>
    <w:rsid w:val="00B52702"/>
    <w:rsid w:val="00B5312B"/>
    <w:rsid w:val="00B5460D"/>
    <w:rsid w:val="00B5490E"/>
    <w:rsid w:val="00B5498D"/>
    <w:rsid w:val="00B54EAE"/>
    <w:rsid w:val="00B5501D"/>
    <w:rsid w:val="00B553D5"/>
    <w:rsid w:val="00B55E00"/>
    <w:rsid w:val="00B566C0"/>
    <w:rsid w:val="00B56884"/>
    <w:rsid w:val="00B5688F"/>
    <w:rsid w:val="00B56A42"/>
    <w:rsid w:val="00B56DD6"/>
    <w:rsid w:val="00B57D89"/>
    <w:rsid w:val="00B61258"/>
    <w:rsid w:val="00B6151E"/>
    <w:rsid w:val="00B61A5F"/>
    <w:rsid w:val="00B62020"/>
    <w:rsid w:val="00B62DF9"/>
    <w:rsid w:val="00B64962"/>
    <w:rsid w:val="00B654A6"/>
    <w:rsid w:val="00B671DB"/>
    <w:rsid w:val="00B676EC"/>
    <w:rsid w:val="00B7016C"/>
    <w:rsid w:val="00B7039B"/>
    <w:rsid w:val="00B70BFD"/>
    <w:rsid w:val="00B71D15"/>
    <w:rsid w:val="00B7260C"/>
    <w:rsid w:val="00B73259"/>
    <w:rsid w:val="00B742EC"/>
    <w:rsid w:val="00B74D1E"/>
    <w:rsid w:val="00B76A18"/>
    <w:rsid w:val="00B76DC1"/>
    <w:rsid w:val="00B77061"/>
    <w:rsid w:val="00B8029D"/>
    <w:rsid w:val="00B8062F"/>
    <w:rsid w:val="00B80C88"/>
    <w:rsid w:val="00B81FC4"/>
    <w:rsid w:val="00B8409B"/>
    <w:rsid w:val="00B84590"/>
    <w:rsid w:val="00B84C6C"/>
    <w:rsid w:val="00B84D70"/>
    <w:rsid w:val="00B85AEE"/>
    <w:rsid w:val="00B86DE3"/>
    <w:rsid w:val="00B902C9"/>
    <w:rsid w:val="00B904B7"/>
    <w:rsid w:val="00B90AF3"/>
    <w:rsid w:val="00B91266"/>
    <w:rsid w:val="00B91C20"/>
    <w:rsid w:val="00B92152"/>
    <w:rsid w:val="00B92687"/>
    <w:rsid w:val="00B9287D"/>
    <w:rsid w:val="00B92CA7"/>
    <w:rsid w:val="00B9395E"/>
    <w:rsid w:val="00B94248"/>
    <w:rsid w:val="00B942A1"/>
    <w:rsid w:val="00B94B4F"/>
    <w:rsid w:val="00B9517E"/>
    <w:rsid w:val="00B95419"/>
    <w:rsid w:val="00B95E7A"/>
    <w:rsid w:val="00B96219"/>
    <w:rsid w:val="00B976F6"/>
    <w:rsid w:val="00B9770B"/>
    <w:rsid w:val="00BA0033"/>
    <w:rsid w:val="00BA0318"/>
    <w:rsid w:val="00BA289C"/>
    <w:rsid w:val="00BA3205"/>
    <w:rsid w:val="00BA400F"/>
    <w:rsid w:val="00BA416B"/>
    <w:rsid w:val="00BA557C"/>
    <w:rsid w:val="00BA5621"/>
    <w:rsid w:val="00BA5F41"/>
    <w:rsid w:val="00BA7385"/>
    <w:rsid w:val="00BB180C"/>
    <w:rsid w:val="00BB187C"/>
    <w:rsid w:val="00BB266F"/>
    <w:rsid w:val="00BB296B"/>
    <w:rsid w:val="00BB3604"/>
    <w:rsid w:val="00BB3622"/>
    <w:rsid w:val="00BB3739"/>
    <w:rsid w:val="00BB3C24"/>
    <w:rsid w:val="00BB424B"/>
    <w:rsid w:val="00BB42D6"/>
    <w:rsid w:val="00BB682C"/>
    <w:rsid w:val="00BB6FDC"/>
    <w:rsid w:val="00BB7057"/>
    <w:rsid w:val="00BB77EE"/>
    <w:rsid w:val="00BB7CA9"/>
    <w:rsid w:val="00BC0595"/>
    <w:rsid w:val="00BC09A2"/>
    <w:rsid w:val="00BC0A9E"/>
    <w:rsid w:val="00BC0FC9"/>
    <w:rsid w:val="00BC132F"/>
    <w:rsid w:val="00BC1B9E"/>
    <w:rsid w:val="00BC236B"/>
    <w:rsid w:val="00BC2BB4"/>
    <w:rsid w:val="00BC4C73"/>
    <w:rsid w:val="00BC65D9"/>
    <w:rsid w:val="00BC72B7"/>
    <w:rsid w:val="00BC759B"/>
    <w:rsid w:val="00BC7C52"/>
    <w:rsid w:val="00BD0447"/>
    <w:rsid w:val="00BD09E3"/>
    <w:rsid w:val="00BD0C2F"/>
    <w:rsid w:val="00BD0CF6"/>
    <w:rsid w:val="00BD11AF"/>
    <w:rsid w:val="00BD1471"/>
    <w:rsid w:val="00BD14C5"/>
    <w:rsid w:val="00BD196A"/>
    <w:rsid w:val="00BD2081"/>
    <w:rsid w:val="00BD20CB"/>
    <w:rsid w:val="00BD2311"/>
    <w:rsid w:val="00BD2801"/>
    <w:rsid w:val="00BD3EA2"/>
    <w:rsid w:val="00BD55F7"/>
    <w:rsid w:val="00BD6140"/>
    <w:rsid w:val="00BD6262"/>
    <w:rsid w:val="00BE0F3E"/>
    <w:rsid w:val="00BE2C19"/>
    <w:rsid w:val="00BE32A4"/>
    <w:rsid w:val="00BE34C4"/>
    <w:rsid w:val="00BE3AB1"/>
    <w:rsid w:val="00BE4C48"/>
    <w:rsid w:val="00BE503E"/>
    <w:rsid w:val="00BE594D"/>
    <w:rsid w:val="00BE5E3B"/>
    <w:rsid w:val="00BE61C1"/>
    <w:rsid w:val="00BE64AF"/>
    <w:rsid w:val="00BE6717"/>
    <w:rsid w:val="00BE70B2"/>
    <w:rsid w:val="00BF0381"/>
    <w:rsid w:val="00BF06D7"/>
    <w:rsid w:val="00BF0AB3"/>
    <w:rsid w:val="00BF1636"/>
    <w:rsid w:val="00BF3268"/>
    <w:rsid w:val="00BF4040"/>
    <w:rsid w:val="00BF4195"/>
    <w:rsid w:val="00BF463E"/>
    <w:rsid w:val="00BF4C65"/>
    <w:rsid w:val="00BF5109"/>
    <w:rsid w:val="00BF595E"/>
    <w:rsid w:val="00BF6020"/>
    <w:rsid w:val="00BF6086"/>
    <w:rsid w:val="00BF67A7"/>
    <w:rsid w:val="00BF6E7B"/>
    <w:rsid w:val="00BF773C"/>
    <w:rsid w:val="00C005CB"/>
    <w:rsid w:val="00C00880"/>
    <w:rsid w:val="00C01021"/>
    <w:rsid w:val="00C0141F"/>
    <w:rsid w:val="00C01884"/>
    <w:rsid w:val="00C02EC7"/>
    <w:rsid w:val="00C031F0"/>
    <w:rsid w:val="00C040F0"/>
    <w:rsid w:val="00C04250"/>
    <w:rsid w:val="00C04512"/>
    <w:rsid w:val="00C04527"/>
    <w:rsid w:val="00C04628"/>
    <w:rsid w:val="00C048AF"/>
    <w:rsid w:val="00C04EF5"/>
    <w:rsid w:val="00C064D0"/>
    <w:rsid w:val="00C077E0"/>
    <w:rsid w:val="00C07DE6"/>
    <w:rsid w:val="00C14ABB"/>
    <w:rsid w:val="00C14E9C"/>
    <w:rsid w:val="00C154B5"/>
    <w:rsid w:val="00C172A5"/>
    <w:rsid w:val="00C172FA"/>
    <w:rsid w:val="00C17872"/>
    <w:rsid w:val="00C205E9"/>
    <w:rsid w:val="00C212FC"/>
    <w:rsid w:val="00C23565"/>
    <w:rsid w:val="00C23F48"/>
    <w:rsid w:val="00C25307"/>
    <w:rsid w:val="00C25683"/>
    <w:rsid w:val="00C25961"/>
    <w:rsid w:val="00C25AE6"/>
    <w:rsid w:val="00C25CFE"/>
    <w:rsid w:val="00C25F79"/>
    <w:rsid w:val="00C262BD"/>
    <w:rsid w:val="00C2660C"/>
    <w:rsid w:val="00C26E9F"/>
    <w:rsid w:val="00C3032F"/>
    <w:rsid w:val="00C30485"/>
    <w:rsid w:val="00C30ADD"/>
    <w:rsid w:val="00C30C37"/>
    <w:rsid w:val="00C310C2"/>
    <w:rsid w:val="00C31E0F"/>
    <w:rsid w:val="00C320AC"/>
    <w:rsid w:val="00C32590"/>
    <w:rsid w:val="00C33185"/>
    <w:rsid w:val="00C331A6"/>
    <w:rsid w:val="00C331FF"/>
    <w:rsid w:val="00C3375E"/>
    <w:rsid w:val="00C359B3"/>
    <w:rsid w:val="00C36525"/>
    <w:rsid w:val="00C3668C"/>
    <w:rsid w:val="00C36EED"/>
    <w:rsid w:val="00C40690"/>
    <w:rsid w:val="00C40EB3"/>
    <w:rsid w:val="00C40FC5"/>
    <w:rsid w:val="00C41BD9"/>
    <w:rsid w:val="00C4202C"/>
    <w:rsid w:val="00C42B04"/>
    <w:rsid w:val="00C42F77"/>
    <w:rsid w:val="00C434FD"/>
    <w:rsid w:val="00C4396B"/>
    <w:rsid w:val="00C44B82"/>
    <w:rsid w:val="00C44BBC"/>
    <w:rsid w:val="00C47008"/>
    <w:rsid w:val="00C47AC7"/>
    <w:rsid w:val="00C47B74"/>
    <w:rsid w:val="00C50E79"/>
    <w:rsid w:val="00C514BD"/>
    <w:rsid w:val="00C5192E"/>
    <w:rsid w:val="00C52DC2"/>
    <w:rsid w:val="00C52DE6"/>
    <w:rsid w:val="00C52DFB"/>
    <w:rsid w:val="00C53A33"/>
    <w:rsid w:val="00C55BD0"/>
    <w:rsid w:val="00C56469"/>
    <w:rsid w:val="00C56B85"/>
    <w:rsid w:val="00C57C08"/>
    <w:rsid w:val="00C57CFE"/>
    <w:rsid w:val="00C6016B"/>
    <w:rsid w:val="00C60954"/>
    <w:rsid w:val="00C61891"/>
    <w:rsid w:val="00C6256C"/>
    <w:rsid w:val="00C62750"/>
    <w:rsid w:val="00C634A7"/>
    <w:rsid w:val="00C638D7"/>
    <w:rsid w:val="00C638DF"/>
    <w:rsid w:val="00C63CA0"/>
    <w:rsid w:val="00C64720"/>
    <w:rsid w:val="00C65036"/>
    <w:rsid w:val="00C650AD"/>
    <w:rsid w:val="00C6517F"/>
    <w:rsid w:val="00C672E0"/>
    <w:rsid w:val="00C67BA6"/>
    <w:rsid w:val="00C7061C"/>
    <w:rsid w:val="00C70C94"/>
    <w:rsid w:val="00C70DA3"/>
    <w:rsid w:val="00C71920"/>
    <w:rsid w:val="00C72A63"/>
    <w:rsid w:val="00C72AAA"/>
    <w:rsid w:val="00C73745"/>
    <w:rsid w:val="00C73EE3"/>
    <w:rsid w:val="00C7424E"/>
    <w:rsid w:val="00C74A65"/>
    <w:rsid w:val="00C77461"/>
    <w:rsid w:val="00C80481"/>
    <w:rsid w:val="00C80AE4"/>
    <w:rsid w:val="00C80E96"/>
    <w:rsid w:val="00C81067"/>
    <w:rsid w:val="00C823A5"/>
    <w:rsid w:val="00C82A2D"/>
    <w:rsid w:val="00C82AF1"/>
    <w:rsid w:val="00C82C2F"/>
    <w:rsid w:val="00C8565F"/>
    <w:rsid w:val="00C857F1"/>
    <w:rsid w:val="00C85A17"/>
    <w:rsid w:val="00C871C4"/>
    <w:rsid w:val="00C8725C"/>
    <w:rsid w:val="00C90A57"/>
    <w:rsid w:val="00C92341"/>
    <w:rsid w:val="00C92B3A"/>
    <w:rsid w:val="00C93E0F"/>
    <w:rsid w:val="00C9409A"/>
    <w:rsid w:val="00C949D9"/>
    <w:rsid w:val="00C951C6"/>
    <w:rsid w:val="00C960A9"/>
    <w:rsid w:val="00C965F9"/>
    <w:rsid w:val="00C96767"/>
    <w:rsid w:val="00C96F9C"/>
    <w:rsid w:val="00CA0C79"/>
    <w:rsid w:val="00CA1130"/>
    <w:rsid w:val="00CA2DA2"/>
    <w:rsid w:val="00CA3347"/>
    <w:rsid w:val="00CA415F"/>
    <w:rsid w:val="00CA436D"/>
    <w:rsid w:val="00CA59A8"/>
    <w:rsid w:val="00CA5EA7"/>
    <w:rsid w:val="00CA796E"/>
    <w:rsid w:val="00CA7E91"/>
    <w:rsid w:val="00CB026C"/>
    <w:rsid w:val="00CB0C54"/>
    <w:rsid w:val="00CB2322"/>
    <w:rsid w:val="00CB2C14"/>
    <w:rsid w:val="00CB333B"/>
    <w:rsid w:val="00CB39B1"/>
    <w:rsid w:val="00CB4AB3"/>
    <w:rsid w:val="00CB4FD3"/>
    <w:rsid w:val="00CB5A49"/>
    <w:rsid w:val="00CB5C15"/>
    <w:rsid w:val="00CB5DC1"/>
    <w:rsid w:val="00CB678B"/>
    <w:rsid w:val="00CB74A2"/>
    <w:rsid w:val="00CB7534"/>
    <w:rsid w:val="00CC0074"/>
    <w:rsid w:val="00CC1228"/>
    <w:rsid w:val="00CC1A21"/>
    <w:rsid w:val="00CC28D7"/>
    <w:rsid w:val="00CC2DF8"/>
    <w:rsid w:val="00CC3BED"/>
    <w:rsid w:val="00CC47B6"/>
    <w:rsid w:val="00CC4A02"/>
    <w:rsid w:val="00CC4ABB"/>
    <w:rsid w:val="00CC5491"/>
    <w:rsid w:val="00CC66B6"/>
    <w:rsid w:val="00CC66DE"/>
    <w:rsid w:val="00CC67F8"/>
    <w:rsid w:val="00CC6A84"/>
    <w:rsid w:val="00CC79F4"/>
    <w:rsid w:val="00CC7C0C"/>
    <w:rsid w:val="00CC7E42"/>
    <w:rsid w:val="00CC7E7F"/>
    <w:rsid w:val="00CD05AC"/>
    <w:rsid w:val="00CD05BE"/>
    <w:rsid w:val="00CD0698"/>
    <w:rsid w:val="00CD0EA3"/>
    <w:rsid w:val="00CD10BC"/>
    <w:rsid w:val="00CD19F1"/>
    <w:rsid w:val="00CD1E7B"/>
    <w:rsid w:val="00CD233A"/>
    <w:rsid w:val="00CD23A3"/>
    <w:rsid w:val="00CD23D6"/>
    <w:rsid w:val="00CD252E"/>
    <w:rsid w:val="00CD2A3F"/>
    <w:rsid w:val="00CD2F32"/>
    <w:rsid w:val="00CD42E9"/>
    <w:rsid w:val="00CD44D4"/>
    <w:rsid w:val="00CD488B"/>
    <w:rsid w:val="00CD50F4"/>
    <w:rsid w:val="00CD6175"/>
    <w:rsid w:val="00CD6591"/>
    <w:rsid w:val="00CD6E47"/>
    <w:rsid w:val="00CD7142"/>
    <w:rsid w:val="00CD73C0"/>
    <w:rsid w:val="00CD75E3"/>
    <w:rsid w:val="00CE0A5D"/>
    <w:rsid w:val="00CE0E9C"/>
    <w:rsid w:val="00CE0FE7"/>
    <w:rsid w:val="00CE2268"/>
    <w:rsid w:val="00CE2627"/>
    <w:rsid w:val="00CE2A23"/>
    <w:rsid w:val="00CE2EB2"/>
    <w:rsid w:val="00CE31BA"/>
    <w:rsid w:val="00CE3824"/>
    <w:rsid w:val="00CE430F"/>
    <w:rsid w:val="00CE525D"/>
    <w:rsid w:val="00CE58E4"/>
    <w:rsid w:val="00CE5C99"/>
    <w:rsid w:val="00CE6DEB"/>
    <w:rsid w:val="00CF052C"/>
    <w:rsid w:val="00CF0A55"/>
    <w:rsid w:val="00CF0DDB"/>
    <w:rsid w:val="00CF1230"/>
    <w:rsid w:val="00CF23EE"/>
    <w:rsid w:val="00CF2A81"/>
    <w:rsid w:val="00CF4513"/>
    <w:rsid w:val="00CF4C76"/>
    <w:rsid w:val="00CF670C"/>
    <w:rsid w:val="00CF6845"/>
    <w:rsid w:val="00CF7145"/>
    <w:rsid w:val="00CF797C"/>
    <w:rsid w:val="00D00602"/>
    <w:rsid w:val="00D02B4C"/>
    <w:rsid w:val="00D03812"/>
    <w:rsid w:val="00D03A34"/>
    <w:rsid w:val="00D0477C"/>
    <w:rsid w:val="00D06462"/>
    <w:rsid w:val="00D07996"/>
    <w:rsid w:val="00D10102"/>
    <w:rsid w:val="00D105BD"/>
    <w:rsid w:val="00D10CDB"/>
    <w:rsid w:val="00D11357"/>
    <w:rsid w:val="00D1156E"/>
    <w:rsid w:val="00D126F7"/>
    <w:rsid w:val="00D129F5"/>
    <w:rsid w:val="00D12DBD"/>
    <w:rsid w:val="00D12E84"/>
    <w:rsid w:val="00D12ED9"/>
    <w:rsid w:val="00D1407D"/>
    <w:rsid w:val="00D141DD"/>
    <w:rsid w:val="00D14220"/>
    <w:rsid w:val="00D1494A"/>
    <w:rsid w:val="00D16139"/>
    <w:rsid w:val="00D175AA"/>
    <w:rsid w:val="00D21887"/>
    <w:rsid w:val="00D22022"/>
    <w:rsid w:val="00D22BB2"/>
    <w:rsid w:val="00D24777"/>
    <w:rsid w:val="00D25E83"/>
    <w:rsid w:val="00D266DE"/>
    <w:rsid w:val="00D2699A"/>
    <w:rsid w:val="00D3021C"/>
    <w:rsid w:val="00D3059B"/>
    <w:rsid w:val="00D30E31"/>
    <w:rsid w:val="00D30F9C"/>
    <w:rsid w:val="00D310D8"/>
    <w:rsid w:val="00D311B6"/>
    <w:rsid w:val="00D31689"/>
    <w:rsid w:val="00D31E61"/>
    <w:rsid w:val="00D325B0"/>
    <w:rsid w:val="00D33495"/>
    <w:rsid w:val="00D33A1C"/>
    <w:rsid w:val="00D33FF9"/>
    <w:rsid w:val="00D34769"/>
    <w:rsid w:val="00D355E8"/>
    <w:rsid w:val="00D35771"/>
    <w:rsid w:val="00D36FE3"/>
    <w:rsid w:val="00D40211"/>
    <w:rsid w:val="00D41AEE"/>
    <w:rsid w:val="00D41DF8"/>
    <w:rsid w:val="00D428E0"/>
    <w:rsid w:val="00D43590"/>
    <w:rsid w:val="00D436AE"/>
    <w:rsid w:val="00D43DD6"/>
    <w:rsid w:val="00D44C9A"/>
    <w:rsid w:val="00D458E6"/>
    <w:rsid w:val="00D46074"/>
    <w:rsid w:val="00D462DC"/>
    <w:rsid w:val="00D47B80"/>
    <w:rsid w:val="00D50311"/>
    <w:rsid w:val="00D504A7"/>
    <w:rsid w:val="00D507F3"/>
    <w:rsid w:val="00D50A8C"/>
    <w:rsid w:val="00D516B4"/>
    <w:rsid w:val="00D51958"/>
    <w:rsid w:val="00D51C2C"/>
    <w:rsid w:val="00D51C38"/>
    <w:rsid w:val="00D51FD8"/>
    <w:rsid w:val="00D52409"/>
    <w:rsid w:val="00D529C7"/>
    <w:rsid w:val="00D52C59"/>
    <w:rsid w:val="00D5505F"/>
    <w:rsid w:val="00D55168"/>
    <w:rsid w:val="00D55A36"/>
    <w:rsid w:val="00D5689A"/>
    <w:rsid w:val="00D57072"/>
    <w:rsid w:val="00D57775"/>
    <w:rsid w:val="00D60BEF"/>
    <w:rsid w:val="00D60F8B"/>
    <w:rsid w:val="00D61249"/>
    <w:rsid w:val="00D61AE5"/>
    <w:rsid w:val="00D62458"/>
    <w:rsid w:val="00D63B77"/>
    <w:rsid w:val="00D64636"/>
    <w:rsid w:val="00D65800"/>
    <w:rsid w:val="00D65FFD"/>
    <w:rsid w:val="00D668E4"/>
    <w:rsid w:val="00D67466"/>
    <w:rsid w:val="00D703C2"/>
    <w:rsid w:val="00D7047B"/>
    <w:rsid w:val="00D708DE"/>
    <w:rsid w:val="00D709C8"/>
    <w:rsid w:val="00D70E02"/>
    <w:rsid w:val="00D718CD"/>
    <w:rsid w:val="00D71B64"/>
    <w:rsid w:val="00D71F80"/>
    <w:rsid w:val="00D729A9"/>
    <w:rsid w:val="00D741F4"/>
    <w:rsid w:val="00D744E7"/>
    <w:rsid w:val="00D74A45"/>
    <w:rsid w:val="00D74FEC"/>
    <w:rsid w:val="00D75505"/>
    <w:rsid w:val="00D75576"/>
    <w:rsid w:val="00D7565F"/>
    <w:rsid w:val="00D7569A"/>
    <w:rsid w:val="00D75833"/>
    <w:rsid w:val="00D7611F"/>
    <w:rsid w:val="00D76695"/>
    <w:rsid w:val="00D77DAB"/>
    <w:rsid w:val="00D77E11"/>
    <w:rsid w:val="00D80219"/>
    <w:rsid w:val="00D80AE4"/>
    <w:rsid w:val="00D810B9"/>
    <w:rsid w:val="00D8202B"/>
    <w:rsid w:val="00D8228F"/>
    <w:rsid w:val="00D82E3D"/>
    <w:rsid w:val="00D83CB1"/>
    <w:rsid w:val="00D84A8C"/>
    <w:rsid w:val="00D84E1A"/>
    <w:rsid w:val="00D854E6"/>
    <w:rsid w:val="00D85A73"/>
    <w:rsid w:val="00D862DA"/>
    <w:rsid w:val="00D8640C"/>
    <w:rsid w:val="00D86456"/>
    <w:rsid w:val="00D86A9D"/>
    <w:rsid w:val="00D870BD"/>
    <w:rsid w:val="00D90095"/>
    <w:rsid w:val="00D90AE6"/>
    <w:rsid w:val="00D90B80"/>
    <w:rsid w:val="00D90ED8"/>
    <w:rsid w:val="00D9284F"/>
    <w:rsid w:val="00D92CCC"/>
    <w:rsid w:val="00D9393A"/>
    <w:rsid w:val="00D93D07"/>
    <w:rsid w:val="00D94966"/>
    <w:rsid w:val="00D95433"/>
    <w:rsid w:val="00D95EF6"/>
    <w:rsid w:val="00DA0995"/>
    <w:rsid w:val="00DA2D7E"/>
    <w:rsid w:val="00DA3D7B"/>
    <w:rsid w:val="00DA5F9B"/>
    <w:rsid w:val="00DA60A3"/>
    <w:rsid w:val="00DA630A"/>
    <w:rsid w:val="00DA6721"/>
    <w:rsid w:val="00DA6ABE"/>
    <w:rsid w:val="00DA7189"/>
    <w:rsid w:val="00DA7370"/>
    <w:rsid w:val="00DA75C2"/>
    <w:rsid w:val="00DA7BAD"/>
    <w:rsid w:val="00DB0317"/>
    <w:rsid w:val="00DB0484"/>
    <w:rsid w:val="00DB0485"/>
    <w:rsid w:val="00DB0C18"/>
    <w:rsid w:val="00DB0CC8"/>
    <w:rsid w:val="00DB1190"/>
    <w:rsid w:val="00DB16C1"/>
    <w:rsid w:val="00DB2B62"/>
    <w:rsid w:val="00DB2E7A"/>
    <w:rsid w:val="00DB3DDC"/>
    <w:rsid w:val="00DB4422"/>
    <w:rsid w:val="00DB4594"/>
    <w:rsid w:val="00DB4AA3"/>
    <w:rsid w:val="00DB5202"/>
    <w:rsid w:val="00DB68FF"/>
    <w:rsid w:val="00DB7230"/>
    <w:rsid w:val="00DB7794"/>
    <w:rsid w:val="00DC0C3C"/>
    <w:rsid w:val="00DC0D39"/>
    <w:rsid w:val="00DC1820"/>
    <w:rsid w:val="00DC3126"/>
    <w:rsid w:val="00DC32BA"/>
    <w:rsid w:val="00DC4AE2"/>
    <w:rsid w:val="00DC5543"/>
    <w:rsid w:val="00DC5FD8"/>
    <w:rsid w:val="00DC6D15"/>
    <w:rsid w:val="00DD0A03"/>
    <w:rsid w:val="00DD0C50"/>
    <w:rsid w:val="00DD25FF"/>
    <w:rsid w:val="00DD39BD"/>
    <w:rsid w:val="00DD437C"/>
    <w:rsid w:val="00DD495B"/>
    <w:rsid w:val="00DD4CEE"/>
    <w:rsid w:val="00DD50D0"/>
    <w:rsid w:val="00DD632D"/>
    <w:rsid w:val="00DD651B"/>
    <w:rsid w:val="00DD6537"/>
    <w:rsid w:val="00DD6667"/>
    <w:rsid w:val="00DD6970"/>
    <w:rsid w:val="00DD7452"/>
    <w:rsid w:val="00DD74A2"/>
    <w:rsid w:val="00DD77FE"/>
    <w:rsid w:val="00DD7C15"/>
    <w:rsid w:val="00DE03C8"/>
    <w:rsid w:val="00DE0BDB"/>
    <w:rsid w:val="00DE167F"/>
    <w:rsid w:val="00DE1DD0"/>
    <w:rsid w:val="00DE2271"/>
    <w:rsid w:val="00DE2A49"/>
    <w:rsid w:val="00DE2ECA"/>
    <w:rsid w:val="00DE383B"/>
    <w:rsid w:val="00DE3C3E"/>
    <w:rsid w:val="00DE49BE"/>
    <w:rsid w:val="00DE4E0D"/>
    <w:rsid w:val="00DE514E"/>
    <w:rsid w:val="00DE5EB6"/>
    <w:rsid w:val="00DE5FA2"/>
    <w:rsid w:val="00DE623F"/>
    <w:rsid w:val="00DE6576"/>
    <w:rsid w:val="00DE6E12"/>
    <w:rsid w:val="00DE72AC"/>
    <w:rsid w:val="00DE745B"/>
    <w:rsid w:val="00DE76D5"/>
    <w:rsid w:val="00DE7F5B"/>
    <w:rsid w:val="00DF005D"/>
    <w:rsid w:val="00DF1125"/>
    <w:rsid w:val="00DF1FF6"/>
    <w:rsid w:val="00DF389A"/>
    <w:rsid w:val="00DF3BD8"/>
    <w:rsid w:val="00DF4257"/>
    <w:rsid w:val="00DF4614"/>
    <w:rsid w:val="00DF4AC7"/>
    <w:rsid w:val="00DF5807"/>
    <w:rsid w:val="00DF5B8E"/>
    <w:rsid w:val="00DF6D10"/>
    <w:rsid w:val="00DF7458"/>
    <w:rsid w:val="00DF75D8"/>
    <w:rsid w:val="00DF7B25"/>
    <w:rsid w:val="00E009C3"/>
    <w:rsid w:val="00E00B67"/>
    <w:rsid w:val="00E039A3"/>
    <w:rsid w:val="00E03BB9"/>
    <w:rsid w:val="00E03F70"/>
    <w:rsid w:val="00E041B9"/>
    <w:rsid w:val="00E053B6"/>
    <w:rsid w:val="00E06871"/>
    <w:rsid w:val="00E06BC3"/>
    <w:rsid w:val="00E11946"/>
    <w:rsid w:val="00E135A1"/>
    <w:rsid w:val="00E138D7"/>
    <w:rsid w:val="00E13B2C"/>
    <w:rsid w:val="00E13FA6"/>
    <w:rsid w:val="00E1496E"/>
    <w:rsid w:val="00E14FF5"/>
    <w:rsid w:val="00E15AE0"/>
    <w:rsid w:val="00E16EF1"/>
    <w:rsid w:val="00E177A0"/>
    <w:rsid w:val="00E17F63"/>
    <w:rsid w:val="00E207EC"/>
    <w:rsid w:val="00E21E13"/>
    <w:rsid w:val="00E220B1"/>
    <w:rsid w:val="00E22406"/>
    <w:rsid w:val="00E2240C"/>
    <w:rsid w:val="00E22442"/>
    <w:rsid w:val="00E233DA"/>
    <w:rsid w:val="00E25178"/>
    <w:rsid w:val="00E253AE"/>
    <w:rsid w:val="00E25C7C"/>
    <w:rsid w:val="00E27B92"/>
    <w:rsid w:val="00E27FCD"/>
    <w:rsid w:val="00E32105"/>
    <w:rsid w:val="00E32481"/>
    <w:rsid w:val="00E3334B"/>
    <w:rsid w:val="00E33D8F"/>
    <w:rsid w:val="00E34906"/>
    <w:rsid w:val="00E34BA1"/>
    <w:rsid w:val="00E34E2D"/>
    <w:rsid w:val="00E36E5F"/>
    <w:rsid w:val="00E3734F"/>
    <w:rsid w:val="00E375AF"/>
    <w:rsid w:val="00E37C54"/>
    <w:rsid w:val="00E37CA9"/>
    <w:rsid w:val="00E40B22"/>
    <w:rsid w:val="00E40D64"/>
    <w:rsid w:val="00E40F68"/>
    <w:rsid w:val="00E415DB"/>
    <w:rsid w:val="00E41A76"/>
    <w:rsid w:val="00E41E1C"/>
    <w:rsid w:val="00E420ED"/>
    <w:rsid w:val="00E430A4"/>
    <w:rsid w:val="00E43BB0"/>
    <w:rsid w:val="00E43C06"/>
    <w:rsid w:val="00E44208"/>
    <w:rsid w:val="00E449B1"/>
    <w:rsid w:val="00E44ED1"/>
    <w:rsid w:val="00E45BC1"/>
    <w:rsid w:val="00E46AEF"/>
    <w:rsid w:val="00E46D8A"/>
    <w:rsid w:val="00E47B12"/>
    <w:rsid w:val="00E47B31"/>
    <w:rsid w:val="00E501F7"/>
    <w:rsid w:val="00E50669"/>
    <w:rsid w:val="00E5082D"/>
    <w:rsid w:val="00E51E38"/>
    <w:rsid w:val="00E52D7C"/>
    <w:rsid w:val="00E52D93"/>
    <w:rsid w:val="00E5352E"/>
    <w:rsid w:val="00E539E9"/>
    <w:rsid w:val="00E53F0A"/>
    <w:rsid w:val="00E544CE"/>
    <w:rsid w:val="00E55D4E"/>
    <w:rsid w:val="00E574A9"/>
    <w:rsid w:val="00E57810"/>
    <w:rsid w:val="00E60E9F"/>
    <w:rsid w:val="00E612AE"/>
    <w:rsid w:val="00E61355"/>
    <w:rsid w:val="00E613BC"/>
    <w:rsid w:val="00E61524"/>
    <w:rsid w:val="00E6193D"/>
    <w:rsid w:val="00E61F1E"/>
    <w:rsid w:val="00E62016"/>
    <w:rsid w:val="00E62E35"/>
    <w:rsid w:val="00E63566"/>
    <w:rsid w:val="00E64675"/>
    <w:rsid w:val="00E6470E"/>
    <w:rsid w:val="00E66861"/>
    <w:rsid w:val="00E66E21"/>
    <w:rsid w:val="00E67063"/>
    <w:rsid w:val="00E67C15"/>
    <w:rsid w:val="00E702AE"/>
    <w:rsid w:val="00E70F38"/>
    <w:rsid w:val="00E710FC"/>
    <w:rsid w:val="00E71915"/>
    <w:rsid w:val="00E71D1F"/>
    <w:rsid w:val="00E72E74"/>
    <w:rsid w:val="00E736FF"/>
    <w:rsid w:val="00E73C20"/>
    <w:rsid w:val="00E75234"/>
    <w:rsid w:val="00E75408"/>
    <w:rsid w:val="00E76780"/>
    <w:rsid w:val="00E76F5F"/>
    <w:rsid w:val="00E77273"/>
    <w:rsid w:val="00E802D3"/>
    <w:rsid w:val="00E80916"/>
    <w:rsid w:val="00E809F5"/>
    <w:rsid w:val="00E8123B"/>
    <w:rsid w:val="00E82E07"/>
    <w:rsid w:val="00E8315C"/>
    <w:rsid w:val="00E831FF"/>
    <w:rsid w:val="00E8384C"/>
    <w:rsid w:val="00E840DF"/>
    <w:rsid w:val="00E8489E"/>
    <w:rsid w:val="00E85229"/>
    <w:rsid w:val="00E8560F"/>
    <w:rsid w:val="00E85C47"/>
    <w:rsid w:val="00E87484"/>
    <w:rsid w:val="00E8780A"/>
    <w:rsid w:val="00E900F9"/>
    <w:rsid w:val="00E90BCE"/>
    <w:rsid w:val="00E91114"/>
    <w:rsid w:val="00E91406"/>
    <w:rsid w:val="00E915A2"/>
    <w:rsid w:val="00E91F0F"/>
    <w:rsid w:val="00E9233B"/>
    <w:rsid w:val="00E92E33"/>
    <w:rsid w:val="00E9310C"/>
    <w:rsid w:val="00E9336E"/>
    <w:rsid w:val="00E93497"/>
    <w:rsid w:val="00E94B7E"/>
    <w:rsid w:val="00E95126"/>
    <w:rsid w:val="00E956C7"/>
    <w:rsid w:val="00E957FC"/>
    <w:rsid w:val="00E96A8C"/>
    <w:rsid w:val="00E96B4E"/>
    <w:rsid w:val="00E970C1"/>
    <w:rsid w:val="00E97E72"/>
    <w:rsid w:val="00EA0289"/>
    <w:rsid w:val="00EA02E9"/>
    <w:rsid w:val="00EA2760"/>
    <w:rsid w:val="00EA2FFE"/>
    <w:rsid w:val="00EA3E65"/>
    <w:rsid w:val="00EA4C1A"/>
    <w:rsid w:val="00EA5F58"/>
    <w:rsid w:val="00EA6E52"/>
    <w:rsid w:val="00EA6FFA"/>
    <w:rsid w:val="00EA748C"/>
    <w:rsid w:val="00EA7C7D"/>
    <w:rsid w:val="00EB0699"/>
    <w:rsid w:val="00EB088A"/>
    <w:rsid w:val="00EB0BAD"/>
    <w:rsid w:val="00EB0D0A"/>
    <w:rsid w:val="00EB11D1"/>
    <w:rsid w:val="00EB12B2"/>
    <w:rsid w:val="00EB181B"/>
    <w:rsid w:val="00EB1A6A"/>
    <w:rsid w:val="00EB1CA4"/>
    <w:rsid w:val="00EB2DEA"/>
    <w:rsid w:val="00EB3514"/>
    <w:rsid w:val="00EB391A"/>
    <w:rsid w:val="00EB3A4E"/>
    <w:rsid w:val="00EB5039"/>
    <w:rsid w:val="00EB54EA"/>
    <w:rsid w:val="00EB6CD6"/>
    <w:rsid w:val="00EC2119"/>
    <w:rsid w:val="00EC22F3"/>
    <w:rsid w:val="00EC2471"/>
    <w:rsid w:val="00EC28E1"/>
    <w:rsid w:val="00EC3158"/>
    <w:rsid w:val="00EC341C"/>
    <w:rsid w:val="00EC41A4"/>
    <w:rsid w:val="00EC6258"/>
    <w:rsid w:val="00ED0317"/>
    <w:rsid w:val="00ED1657"/>
    <w:rsid w:val="00ED2761"/>
    <w:rsid w:val="00ED2F37"/>
    <w:rsid w:val="00ED3041"/>
    <w:rsid w:val="00ED342F"/>
    <w:rsid w:val="00ED3B2C"/>
    <w:rsid w:val="00ED3C37"/>
    <w:rsid w:val="00ED448C"/>
    <w:rsid w:val="00ED45E3"/>
    <w:rsid w:val="00ED46EE"/>
    <w:rsid w:val="00ED5637"/>
    <w:rsid w:val="00ED6618"/>
    <w:rsid w:val="00ED7040"/>
    <w:rsid w:val="00ED7953"/>
    <w:rsid w:val="00EE0072"/>
    <w:rsid w:val="00EE023E"/>
    <w:rsid w:val="00EE04E1"/>
    <w:rsid w:val="00EE088A"/>
    <w:rsid w:val="00EE21BC"/>
    <w:rsid w:val="00EE2508"/>
    <w:rsid w:val="00EE2734"/>
    <w:rsid w:val="00EE327A"/>
    <w:rsid w:val="00EE3399"/>
    <w:rsid w:val="00EE39CC"/>
    <w:rsid w:val="00EE67E0"/>
    <w:rsid w:val="00EE6AEC"/>
    <w:rsid w:val="00EE6CC0"/>
    <w:rsid w:val="00EE71C9"/>
    <w:rsid w:val="00EE787A"/>
    <w:rsid w:val="00EE7A63"/>
    <w:rsid w:val="00EF0A89"/>
    <w:rsid w:val="00EF0CD9"/>
    <w:rsid w:val="00EF1890"/>
    <w:rsid w:val="00EF352D"/>
    <w:rsid w:val="00EF3776"/>
    <w:rsid w:val="00EF3AF8"/>
    <w:rsid w:val="00EF3F36"/>
    <w:rsid w:val="00EF44EE"/>
    <w:rsid w:val="00EF4A66"/>
    <w:rsid w:val="00EF4AEE"/>
    <w:rsid w:val="00EF51EE"/>
    <w:rsid w:val="00EF6E41"/>
    <w:rsid w:val="00F01111"/>
    <w:rsid w:val="00F0250B"/>
    <w:rsid w:val="00F03F3B"/>
    <w:rsid w:val="00F06879"/>
    <w:rsid w:val="00F07468"/>
    <w:rsid w:val="00F111A2"/>
    <w:rsid w:val="00F11DDC"/>
    <w:rsid w:val="00F1302B"/>
    <w:rsid w:val="00F1312F"/>
    <w:rsid w:val="00F13735"/>
    <w:rsid w:val="00F13C71"/>
    <w:rsid w:val="00F13F76"/>
    <w:rsid w:val="00F1711B"/>
    <w:rsid w:val="00F178A6"/>
    <w:rsid w:val="00F17AD9"/>
    <w:rsid w:val="00F212B0"/>
    <w:rsid w:val="00F2176B"/>
    <w:rsid w:val="00F22D82"/>
    <w:rsid w:val="00F23A8E"/>
    <w:rsid w:val="00F23F2A"/>
    <w:rsid w:val="00F24B0B"/>
    <w:rsid w:val="00F24EE3"/>
    <w:rsid w:val="00F250D4"/>
    <w:rsid w:val="00F252A9"/>
    <w:rsid w:val="00F25886"/>
    <w:rsid w:val="00F26D40"/>
    <w:rsid w:val="00F26FD1"/>
    <w:rsid w:val="00F304EF"/>
    <w:rsid w:val="00F3163F"/>
    <w:rsid w:val="00F31AB7"/>
    <w:rsid w:val="00F32F28"/>
    <w:rsid w:val="00F33674"/>
    <w:rsid w:val="00F33FC8"/>
    <w:rsid w:val="00F340B6"/>
    <w:rsid w:val="00F3419A"/>
    <w:rsid w:val="00F3490E"/>
    <w:rsid w:val="00F361B7"/>
    <w:rsid w:val="00F3759F"/>
    <w:rsid w:val="00F408A7"/>
    <w:rsid w:val="00F40A27"/>
    <w:rsid w:val="00F40BAE"/>
    <w:rsid w:val="00F41E00"/>
    <w:rsid w:val="00F42383"/>
    <w:rsid w:val="00F42AFB"/>
    <w:rsid w:val="00F433AC"/>
    <w:rsid w:val="00F444AA"/>
    <w:rsid w:val="00F44BD8"/>
    <w:rsid w:val="00F44EC8"/>
    <w:rsid w:val="00F45BAD"/>
    <w:rsid w:val="00F47DA1"/>
    <w:rsid w:val="00F47EC8"/>
    <w:rsid w:val="00F50787"/>
    <w:rsid w:val="00F51F68"/>
    <w:rsid w:val="00F52A90"/>
    <w:rsid w:val="00F52F93"/>
    <w:rsid w:val="00F531ED"/>
    <w:rsid w:val="00F5353E"/>
    <w:rsid w:val="00F540F0"/>
    <w:rsid w:val="00F54608"/>
    <w:rsid w:val="00F547AC"/>
    <w:rsid w:val="00F54DE1"/>
    <w:rsid w:val="00F54F28"/>
    <w:rsid w:val="00F552F2"/>
    <w:rsid w:val="00F55E52"/>
    <w:rsid w:val="00F56B54"/>
    <w:rsid w:val="00F5778B"/>
    <w:rsid w:val="00F57EF0"/>
    <w:rsid w:val="00F6055A"/>
    <w:rsid w:val="00F61503"/>
    <w:rsid w:val="00F61C39"/>
    <w:rsid w:val="00F6262C"/>
    <w:rsid w:val="00F627E2"/>
    <w:rsid w:val="00F62A1D"/>
    <w:rsid w:val="00F62F41"/>
    <w:rsid w:val="00F651D8"/>
    <w:rsid w:val="00F65494"/>
    <w:rsid w:val="00F668E0"/>
    <w:rsid w:val="00F66DFC"/>
    <w:rsid w:val="00F672F1"/>
    <w:rsid w:val="00F67DF2"/>
    <w:rsid w:val="00F71520"/>
    <w:rsid w:val="00F723CB"/>
    <w:rsid w:val="00F72585"/>
    <w:rsid w:val="00F74025"/>
    <w:rsid w:val="00F741E2"/>
    <w:rsid w:val="00F742C4"/>
    <w:rsid w:val="00F74436"/>
    <w:rsid w:val="00F74C86"/>
    <w:rsid w:val="00F75612"/>
    <w:rsid w:val="00F7590F"/>
    <w:rsid w:val="00F75FE2"/>
    <w:rsid w:val="00F7710C"/>
    <w:rsid w:val="00F771EF"/>
    <w:rsid w:val="00F772CC"/>
    <w:rsid w:val="00F80531"/>
    <w:rsid w:val="00F806EC"/>
    <w:rsid w:val="00F80E55"/>
    <w:rsid w:val="00F810C5"/>
    <w:rsid w:val="00F815CE"/>
    <w:rsid w:val="00F81D18"/>
    <w:rsid w:val="00F82C89"/>
    <w:rsid w:val="00F83813"/>
    <w:rsid w:val="00F848B0"/>
    <w:rsid w:val="00F85568"/>
    <w:rsid w:val="00F8569E"/>
    <w:rsid w:val="00F85A14"/>
    <w:rsid w:val="00F86156"/>
    <w:rsid w:val="00F86511"/>
    <w:rsid w:val="00F86C77"/>
    <w:rsid w:val="00F871E6"/>
    <w:rsid w:val="00F87655"/>
    <w:rsid w:val="00F90EB0"/>
    <w:rsid w:val="00F913C6"/>
    <w:rsid w:val="00F917EA"/>
    <w:rsid w:val="00F9261B"/>
    <w:rsid w:val="00F93172"/>
    <w:rsid w:val="00F9373D"/>
    <w:rsid w:val="00F939EE"/>
    <w:rsid w:val="00F93F7C"/>
    <w:rsid w:val="00F94719"/>
    <w:rsid w:val="00F94864"/>
    <w:rsid w:val="00F94D33"/>
    <w:rsid w:val="00F95BDD"/>
    <w:rsid w:val="00F95C2B"/>
    <w:rsid w:val="00F9660A"/>
    <w:rsid w:val="00F96AA6"/>
    <w:rsid w:val="00F9716A"/>
    <w:rsid w:val="00F97F4E"/>
    <w:rsid w:val="00FA02EE"/>
    <w:rsid w:val="00FA0574"/>
    <w:rsid w:val="00FA25C9"/>
    <w:rsid w:val="00FA33A6"/>
    <w:rsid w:val="00FA3961"/>
    <w:rsid w:val="00FA4A1F"/>
    <w:rsid w:val="00FA58B2"/>
    <w:rsid w:val="00FA6A51"/>
    <w:rsid w:val="00FA7588"/>
    <w:rsid w:val="00FA7B31"/>
    <w:rsid w:val="00FA7B80"/>
    <w:rsid w:val="00FB09E0"/>
    <w:rsid w:val="00FB0B18"/>
    <w:rsid w:val="00FB1D0B"/>
    <w:rsid w:val="00FB2A8A"/>
    <w:rsid w:val="00FB2ACA"/>
    <w:rsid w:val="00FB2CF0"/>
    <w:rsid w:val="00FB36B2"/>
    <w:rsid w:val="00FB5193"/>
    <w:rsid w:val="00FB54D4"/>
    <w:rsid w:val="00FB54EC"/>
    <w:rsid w:val="00FB652D"/>
    <w:rsid w:val="00FB66A6"/>
    <w:rsid w:val="00FB673E"/>
    <w:rsid w:val="00FB687B"/>
    <w:rsid w:val="00FB753B"/>
    <w:rsid w:val="00FB7E5E"/>
    <w:rsid w:val="00FC2B8E"/>
    <w:rsid w:val="00FC3D57"/>
    <w:rsid w:val="00FC3EB4"/>
    <w:rsid w:val="00FC3F95"/>
    <w:rsid w:val="00FC51B8"/>
    <w:rsid w:val="00FC5962"/>
    <w:rsid w:val="00FC5E49"/>
    <w:rsid w:val="00FC5FD1"/>
    <w:rsid w:val="00FC6519"/>
    <w:rsid w:val="00FC68FF"/>
    <w:rsid w:val="00FC6C2D"/>
    <w:rsid w:val="00FC7CD5"/>
    <w:rsid w:val="00FD16AB"/>
    <w:rsid w:val="00FD1D1B"/>
    <w:rsid w:val="00FD1D63"/>
    <w:rsid w:val="00FD20DA"/>
    <w:rsid w:val="00FD2417"/>
    <w:rsid w:val="00FD2833"/>
    <w:rsid w:val="00FD2E3A"/>
    <w:rsid w:val="00FD33B8"/>
    <w:rsid w:val="00FD369D"/>
    <w:rsid w:val="00FD38C2"/>
    <w:rsid w:val="00FD38DC"/>
    <w:rsid w:val="00FD3F34"/>
    <w:rsid w:val="00FD6457"/>
    <w:rsid w:val="00FD670D"/>
    <w:rsid w:val="00FD695F"/>
    <w:rsid w:val="00FD755E"/>
    <w:rsid w:val="00FD78AA"/>
    <w:rsid w:val="00FD7CD3"/>
    <w:rsid w:val="00FD7F91"/>
    <w:rsid w:val="00FE0559"/>
    <w:rsid w:val="00FE0DB0"/>
    <w:rsid w:val="00FE1494"/>
    <w:rsid w:val="00FE22A2"/>
    <w:rsid w:val="00FE2F00"/>
    <w:rsid w:val="00FE42BA"/>
    <w:rsid w:val="00FE44C5"/>
    <w:rsid w:val="00FE4A60"/>
    <w:rsid w:val="00FE665B"/>
    <w:rsid w:val="00FE6CA0"/>
    <w:rsid w:val="00FF1021"/>
    <w:rsid w:val="00FF1160"/>
    <w:rsid w:val="00FF141F"/>
    <w:rsid w:val="00FF3E2E"/>
    <w:rsid w:val="00FF406D"/>
    <w:rsid w:val="00FF5CE3"/>
    <w:rsid w:val="00FF67EE"/>
    <w:rsid w:val="00FF6F16"/>
    <w:rsid w:val="00FF77D2"/>
    <w:rsid w:val="00FF7F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D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qFormat="1"/>
    <w:lsdException w:name="heading 1" w:uiPriority="9"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A8358B"/>
    <w:rPr>
      <w:sz w:val="16"/>
      <w:szCs w:val="16"/>
    </w:rPr>
  </w:style>
  <w:style w:type="paragraph" w:styleId="CommentText">
    <w:name w:val="annotation text"/>
    <w:basedOn w:val="Normal"/>
    <w:link w:val="CommentTextChar"/>
    <w:uiPriority w:val="99"/>
    <w:unhideWhenUsed/>
    <w:locked/>
    <w:rsid w:val="00A8358B"/>
    <w:pPr>
      <w:spacing w:line="240" w:lineRule="auto"/>
    </w:pPr>
    <w:rPr>
      <w:sz w:val="20"/>
      <w:szCs w:val="20"/>
    </w:rPr>
  </w:style>
  <w:style w:type="character" w:customStyle="1" w:styleId="CommentTextChar">
    <w:name w:val="Comment Text Char"/>
    <w:basedOn w:val="DefaultParagraphFont"/>
    <w:link w:val="CommentText"/>
    <w:uiPriority w:val="99"/>
    <w:rsid w:val="00A8358B"/>
    <w:rPr>
      <w:sz w:val="20"/>
      <w:szCs w:val="20"/>
    </w:rPr>
  </w:style>
  <w:style w:type="paragraph" w:styleId="CommentSubject">
    <w:name w:val="annotation subject"/>
    <w:basedOn w:val="CommentText"/>
    <w:next w:val="CommentText"/>
    <w:link w:val="CommentSubjectChar"/>
    <w:uiPriority w:val="99"/>
    <w:semiHidden/>
    <w:unhideWhenUsed/>
    <w:locked/>
    <w:rsid w:val="00A8358B"/>
    <w:rPr>
      <w:b/>
      <w:bCs/>
    </w:rPr>
  </w:style>
  <w:style w:type="character" w:customStyle="1" w:styleId="CommentSubjectChar">
    <w:name w:val="Comment Subject Char"/>
    <w:basedOn w:val="CommentTextChar"/>
    <w:link w:val="CommentSubject"/>
    <w:uiPriority w:val="99"/>
    <w:semiHidden/>
    <w:rsid w:val="00A8358B"/>
    <w:rPr>
      <w:b/>
      <w:bCs/>
      <w:sz w:val="20"/>
      <w:szCs w:val="20"/>
    </w:rPr>
  </w:style>
  <w:style w:type="character" w:styleId="Hyperlink">
    <w:name w:val="Hyperlink"/>
    <w:basedOn w:val="DefaultParagraphFont"/>
    <w:uiPriority w:val="99"/>
    <w:semiHidden/>
    <w:unhideWhenUsed/>
    <w:locked/>
    <w:rsid w:val="009A143F"/>
    <w:rPr>
      <w:color w:val="0000FF"/>
      <w:u w:val="single"/>
    </w:rPr>
  </w:style>
  <w:style w:type="paragraph" w:styleId="Revision">
    <w:name w:val="Revision"/>
    <w:hidden/>
    <w:uiPriority w:val="99"/>
    <w:semiHidden/>
    <w:rsid w:val="00887E03"/>
  </w:style>
  <w:style w:type="paragraph" w:styleId="ListParagraph">
    <w:name w:val="List Paragraph"/>
    <w:basedOn w:val="Normal"/>
    <w:uiPriority w:val="34"/>
    <w:qFormat/>
    <w:locked/>
    <w:rsid w:val="0042544D"/>
    <w:pPr>
      <w:ind w:left="720"/>
      <w:contextualSpacing/>
    </w:pPr>
  </w:style>
  <w:style w:type="paragraph" w:styleId="EndnoteText">
    <w:name w:val="endnote text"/>
    <w:basedOn w:val="Normal"/>
    <w:link w:val="EndnoteTextChar"/>
    <w:uiPriority w:val="99"/>
    <w:semiHidden/>
    <w:unhideWhenUsed/>
    <w:locked/>
    <w:rsid w:val="0042544D"/>
    <w:pPr>
      <w:spacing w:line="240" w:lineRule="auto"/>
    </w:pPr>
    <w:rPr>
      <w:sz w:val="20"/>
      <w:szCs w:val="20"/>
    </w:rPr>
  </w:style>
  <w:style w:type="character" w:customStyle="1" w:styleId="EndnoteTextChar">
    <w:name w:val="Endnote Text Char"/>
    <w:basedOn w:val="DefaultParagraphFont"/>
    <w:link w:val="EndnoteText"/>
    <w:uiPriority w:val="99"/>
    <w:semiHidden/>
    <w:rsid w:val="0042544D"/>
    <w:rPr>
      <w:sz w:val="20"/>
      <w:szCs w:val="20"/>
    </w:rPr>
  </w:style>
  <w:style w:type="character" w:styleId="EndnoteReference">
    <w:name w:val="endnote reference"/>
    <w:basedOn w:val="DefaultParagraphFont"/>
    <w:uiPriority w:val="99"/>
    <w:semiHidden/>
    <w:unhideWhenUsed/>
    <w:locked/>
    <w:rsid w:val="0042544D"/>
    <w:rPr>
      <w:vertAlign w:val="superscript"/>
    </w:rPr>
  </w:style>
  <w:style w:type="paragraph" w:customStyle="1" w:styleId="Body">
    <w:name w:val="Body"/>
    <w:basedOn w:val="Normal"/>
    <w:qFormat/>
    <w:rsid w:val="00594E3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594E3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594E3E"/>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594E3E"/>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594E3E"/>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594E3E"/>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69364">
      <w:bodyDiv w:val="1"/>
      <w:marLeft w:val="0"/>
      <w:marRight w:val="0"/>
      <w:marTop w:val="0"/>
      <w:marBottom w:val="0"/>
      <w:divBdr>
        <w:top w:val="none" w:sz="0" w:space="0" w:color="auto"/>
        <w:left w:val="none" w:sz="0" w:space="0" w:color="auto"/>
        <w:bottom w:val="none" w:sz="0" w:space="0" w:color="auto"/>
        <w:right w:val="none" w:sz="0" w:space="0" w:color="auto"/>
      </w:divBdr>
    </w:div>
    <w:div w:id="1360350581">
      <w:bodyDiv w:val="1"/>
      <w:marLeft w:val="0"/>
      <w:marRight w:val="0"/>
      <w:marTop w:val="0"/>
      <w:marBottom w:val="0"/>
      <w:divBdr>
        <w:top w:val="none" w:sz="0" w:space="0" w:color="auto"/>
        <w:left w:val="none" w:sz="0" w:space="0" w:color="auto"/>
        <w:bottom w:val="none" w:sz="0" w:space="0" w:color="auto"/>
        <w:right w:val="none" w:sz="0" w:space="0" w:color="auto"/>
      </w:divBdr>
    </w:div>
    <w:div w:id="1667199943">
      <w:bodyDiv w:val="1"/>
      <w:marLeft w:val="0"/>
      <w:marRight w:val="0"/>
      <w:marTop w:val="0"/>
      <w:marBottom w:val="0"/>
      <w:divBdr>
        <w:top w:val="none" w:sz="0" w:space="0" w:color="auto"/>
        <w:left w:val="none" w:sz="0" w:space="0" w:color="auto"/>
        <w:bottom w:val="none" w:sz="0" w:space="0" w:color="auto"/>
        <w:right w:val="none" w:sz="0" w:space="0" w:color="auto"/>
      </w:divBdr>
    </w:div>
    <w:div w:id="17172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austlii.edu.au/cgi-bin/viewdoc/au/cases/cth/HCA/2008/3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3" ma:contentTypeDescription="Create a new document." ma:contentTypeScope="" ma:versionID="fb43d68931a3c8c0d0f8cb7dbba5eb3c">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9210046a415cbfb2248b7b4f0129263"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6E67A187-3C5A-4D49-8717-1E97436AAF7A}">
  <ds:schemaRefs>
    <ds:schemaRef ds:uri="http://schemas.openxmlformats.org/officeDocument/2006/bibliography"/>
  </ds:schemaRefs>
</ds:datastoreItem>
</file>

<file path=customXml/itemProps4.xml><?xml version="1.0" encoding="utf-8"?>
<ds:datastoreItem xmlns:ds="http://schemas.openxmlformats.org/officeDocument/2006/customXml" ds:itemID="{C21E41DE-2F24-4A32-BBFF-813865229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51</Pages>
  <Words>14983</Words>
  <Characters>85407</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100190</CharactersWithSpaces>
  <SharedDoc>false</SharedDoc>
  <HLinks>
    <vt:vector size="6" baseType="variant">
      <vt:variant>
        <vt:i4>851998</vt:i4>
      </vt:variant>
      <vt:variant>
        <vt:i4>0</vt:i4>
      </vt:variant>
      <vt:variant>
        <vt:i4>0</vt:i4>
      </vt:variant>
      <vt:variant>
        <vt:i4>5</vt:i4>
      </vt:variant>
      <vt:variant>
        <vt:lpwstr>http://www.austlii.edu.au/cgi-bin/viewdoc/au/cases/cth/HCA/2008/31.html</vt:lpwstr>
      </vt:variant>
      <vt:variant>
        <vt:lpwstr>para40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2022-08-11T23:52:00Z</dcterms:created>
  <dcterms:modified xsi:type="dcterms:W3CDTF">2022-08-12T01:07:00Z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y fmtid="{D5CDD505-2E9C-101B-9397-08002B2CF9AE}" pid="10" name="MediaServiceImageTags">
    <vt:lpwstr/>
  </property>
</Properties>
</file>