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561B" w14:textId="77777777" w:rsidR="00F77E33" w:rsidRPr="00704FF8" w:rsidRDefault="00F77E33" w:rsidP="00704FF8">
      <w:pPr>
        <w:pStyle w:val="OrdersTopLine"/>
      </w:pPr>
      <w:r w:rsidRPr="00704FF8">
        <w:t>HIGH COURT OF AUSTRALIA</w:t>
      </w:r>
    </w:p>
    <w:p w14:paraId="26D424EC" w14:textId="77777777" w:rsidR="00F77E33" w:rsidRPr="00704FF8" w:rsidRDefault="00F77E33" w:rsidP="00704FF8">
      <w:pPr>
        <w:pStyle w:val="OrderCentre"/>
      </w:pPr>
    </w:p>
    <w:p w14:paraId="339946C7" w14:textId="77777777" w:rsidR="00F77E33" w:rsidRPr="00913A6B" w:rsidRDefault="00F77E33" w:rsidP="00704FF8">
      <w:pPr>
        <w:pStyle w:val="OrderCentre"/>
        <w:rPr>
          <w:sz w:val="24"/>
          <w:szCs w:val="24"/>
        </w:rPr>
      </w:pPr>
      <w:r w:rsidRPr="00913A6B">
        <w:rPr>
          <w:sz w:val="24"/>
          <w:szCs w:val="24"/>
        </w:rPr>
        <w:t>KIEFEL CJ,</w:t>
      </w:r>
    </w:p>
    <w:p w14:paraId="1A3D205B" w14:textId="77777777" w:rsidR="00F77E33" w:rsidRPr="00913A6B" w:rsidRDefault="00F77E33" w:rsidP="00704FF8">
      <w:pPr>
        <w:pStyle w:val="OrderCentre"/>
        <w:rPr>
          <w:sz w:val="24"/>
          <w:szCs w:val="24"/>
        </w:rPr>
      </w:pPr>
      <w:r w:rsidRPr="00913A6B">
        <w:rPr>
          <w:sz w:val="24"/>
          <w:szCs w:val="24"/>
        </w:rPr>
        <w:t>GAGELER, KEANE, GORDON, EDELMAN, STEWARD AND GLEESON JJ</w:t>
      </w:r>
    </w:p>
    <w:p w14:paraId="360EF14A" w14:textId="77777777" w:rsidR="00F77E33" w:rsidRPr="00427F3A" w:rsidRDefault="00F77E33" w:rsidP="00EE5374">
      <w:pPr>
        <w:pStyle w:val="Centre"/>
        <w:rPr>
          <w:lang w:val="en-AU"/>
        </w:rPr>
      </w:pPr>
    </w:p>
    <w:p w14:paraId="764B807E" w14:textId="77777777" w:rsidR="00F77E33" w:rsidRPr="00704FF8" w:rsidRDefault="00F77E33" w:rsidP="00704FF8">
      <w:pPr>
        <w:pStyle w:val="OrdersCenteredBorder"/>
      </w:pPr>
    </w:p>
    <w:p w14:paraId="498D4F18" w14:textId="77777777" w:rsidR="00F77E33" w:rsidRPr="00704FF8" w:rsidRDefault="00F77E33" w:rsidP="0032341F">
      <w:pPr>
        <w:pStyle w:val="OrdersBodyHeading"/>
      </w:pPr>
    </w:p>
    <w:p w14:paraId="4D202628" w14:textId="77777777" w:rsidR="00F77E33" w:rsidRPr="0032341F" w:rsidRDefault="00F77E33" w:rsidP="009362E8">
      <w:pPr>
        <w:pStyle w:val="OrdersPartyName"/>
        <w:ind w:right="-1"/>
      </w:pPr>
      <w:r w:rsidRPr="00DA1AA6">
        <w:t>PETER ROBERT</w:t>
      </w:r>
      <w:r>
        <w:t xml:space="preserve"> </w:t>
      </w:r>
      <w:r w:rsidRPr="00DA1AA6">
        <w:t>GARLETT</w:t>
      </w:r>
      <w:r w:rsidRPr="0032341F">
        <w:tab/>
      </w:r>
      <w:r w:rsidRPr="00DA1AA6">
        <w:t>APPELLANT</w:t>
      </w:r>
    </w:p>
    <w:p w14:paraId="6564AF96" w14:textId="77777777" w:rsidR="00F77E33" w:rsidRPr="0032341F" w:rsidRDefault="00F77E33" w:rsidP="009362E8">
      <w:pPr>
        <w:pStyle w:val="OrdersPartyName"/>
        <w:ind w:right="-1"/>
      </w:pPr>
    </w:p>
    <w:p w14:paraId="62B0EC46" w14:textId="77777777" w:rsidR="00F77E33" w:rsidRPr="0032341F" w:rsidRDefault="00F77E33" w:rsidP="009362E8">
      <w:pPr>
        <w:pStyle w:val="OrdersPartyName"/>
        <w:ind w:right="-1"/>
      </w:pPr>
      <w:r w:rsidRPr="0032341F">
        <w:t>AND</w:t>
      </w:r>
    </w:p>
    <w:p w14:paraId="38653104" w14:textId="77777777" w:rsidR="00F77E33" w:rsidRPr="0032341F" w:rsidRDefault="00F77E33" w:rsidP="009362E8">
      <w:pPr>
        <w:pStyle w:val="OrdersPartyName"/>
        <w:ind w:right="-1"/>
      </w:pPr>
    </w:p>
    <w:p w14:paraId="1D163C66" w14:textId="77777777" w:rsidR="00F77E33" w:rsidRPr="0032341F" w:rsidRDefault="00F77E33" w:rsidP="009362E8">
      <w:pPr>
        <w:pStyle w:val="OrdersPartyName"/>
        <w:ind w:right="-1"/>
      </w:pPr>
      <w:r w:rsidRPr="00DA1AA6">
        <w:t>THE STATE OF WESTERN AUSTRALIA &amp; ANOR</w:t>
      </w:r>
      <w:r w:rsidRPr="0032341F">
        <w:tab/>
        <w:t>RESPONDENT</w:t>
      </w:r>
      <w:r>
        <w:t>S</w:t>
      </w:r>
    </w:p>
    <w:p w14:paraId="7917D5A4" w14:textId="77777777" w:rsidR="00F77E33" w:rsidRPr="00427F3A" w:rsidRDefault="00F77E33" w:rsidP="00AF0A5E">
      <w:pPr>
        <w:pStyle w:val="BodyHeading"/>
      </w:pPr>
    </w:p>
    <w:p w14:paraId="226BE473" w14:textId="77777777" w:rsidR="00F77E33" w:rsidRPr="00427F3A" w:rsidRDefault="00F77E33" w:rsidP="00BE0A6C">
      <w:pPr>
        <w:pStyle w:val="BodyHeading"/>
      </w:pPr>
    </w:p>
    <w:p w14:paraId="2027CA99" w14:textId="77777777" w:rsidR="00F77E33" w:rsidRPr="00427F3A" w:rsidRDefault="00F77E33" w:rsidP="00EE5374">
      <w:pPr>
        <w:pStyle w:val="CentreItalics"/>
      </w:pPr>
      <w:proofErr w:type="spellStart"/>
      <w:r w:rsidRPr="005D6B64">
        <w:t>Garlett</w:t>
      </w:r>
      <w:proofErr w:type="spellEnd"/>
      <w:r w:rsidRPr="005D6B64">
        <w:t xml:space="preserve"> v Western Australia </w:t>
      </w:r>
    </w:p>
    <w:p w14:paraId="3194199D" w14:textId="77777777" w:rsidR="00F77E33" w:rsidRPr="00427F3A" w:rsidRDefault="00F77E33" w:rsidP="00E90E4F">
      <w:pPr>
        <w:pStyle w:val="OrdersCentre"/>
      </w:pPr>
      <w:r>
        <w:t>[2022</w:t>
      </w:r>
      <w:r w:rsidRPr="00427F3A">
        <w:t xml:space="preserve">] HCA </w:t>
      </w:r>
      <w:r>
        <w:t>30</w:t>
      </w:r>
    </w:p>
    <w:p w14:paraId="19A76132" w14:textId="77777777" w:rsidR="00F77E33" w:rsidRDefault="00F77E33" w:rsidP="00E90E4F">
      <w:pPr>
        <w:pStyle w:val="OrdersCentreItalics"/>
      </w:pPr>
      <w:r>
        <w:t>Date of Hearing: 10 &amp; 11 March 2022</w:t>
      </w:r>
    </w:p>
    <w:p w14:paraId="454887BE" w14:textId="77777777" w:rsidR="00F77E33" w:rsidRPr="00427F3A" w:rsidRDefault="00F77E33" w:rsidP="00E90E4F">
      <w:pPr>
        <w:pStyle w:val="OrdersCentreItalics"/>
      </w:pPr>
      <w:r>
        <w:t>Date of Judgment:7 September 2022</w:t>
      </w:r>
    </w:p>
    <w:p w14:paraId="0A8C4FEE" w14:textId="77777777" w:rsidR="00F77E33" w:rsidRDefault="00F77E33" w:rsidP="00E90E4F">
      <w:pPr>
        <w:pStyle w:val="OrdersCentre"/>
      </w:pPr>
      <w:r w:rsidRPr="00DA1AA6">
        <w:t>P56/2021</w:t>
      </w:r>
    </w:p>
    <w:p w14:paraId="43E31103" w14:textId="77777777" w:rsidR="00F77E33" w:rsidRPr="00427F3A" w:rsidRDefault="00F77E33" w:rsidP="00E90E4F">
      <w:pPr>
        <w:pStyle w:val="OrdersCentre"/>
      </w:pPr>
    </w:p>
    <w:p w14:paraId="791078BA" w14:textId="77777777" w:rsidR="00F77E33" w:rsidRPr="00BE0A6C" w:rsidRDefault="00F77E33" w:rsidP="00E90E4F">
      <w:pPr>
        <w:pStyle w:val="OrderCentreBold"/>
      </w:pPr>
      <w:r w:rsidRPr="00BE0A6C">
        <w:t>ORDER</w:t>
      </w:r>
    </w:p>
    <w:p w14:paraId="07F47335" w14:textId="77777777" w:rsidR="00F77E33" w:rsidRPr="00427F3A" w:rsidRDefault="00F77E33" w:rsidP="00736C52">
      <w:pPr>
        <w:pStyle w:val="Centre"/>
        <w:rPr>
          <w:lang w:val="en-AU"/>
        </w:rPr>
      </w:pPr>
    </w:p>
    <w:p w14:paraId="47F460A4" w14:textId="77777777" w:rsidR="00F77E33" w:rsidRPr="00E7248A" w:rsidRDefault="00F77E33" w:rsidP="00445A63">
      <w:pPr>
        <w:pStyle w:val="OrdersText"/>
        <w:ind w:left="0" w:firstLine="0"/>
      </w:pPr>
      <w:r>
        <w:t xml:space="preserve">The part of the appeal pending in the Court of Appeal of the Supreme Court of Western Australia removed into the High Court of Australia be dismissed. </w:t>
      </w:r>
    </w:p>
    <w:p w14:paraId="052C49C0" w14:textId="77777777" w:rsidR="00F77E33" w:rsidRDefault="00F77E33" w:rsidP="00EE5374">
      <w:pPr>
        <w:pStyle w:val="Body"/>
      </w:pPr>
    </w:p>
    <w:p w14:paraId="0F15F9E2" w14:textId="77777777" w:rsidR="00F77E33" w:rsidRPr="00427F3A" w:rsidRDefault="00F77E33" w:rsidP="00EE5374">
      <w:pPr>
        <w:pStyle w:val="Body"/>
      </w:pPr>
    </w:p>
    <w:p w14:paraId="5920103E" w14:textId="77777777" w:rsidR="00F77E33" w:rsidRPr="00427F3A" w:rsidRDefault="00F77E33" w:rsidP="00E90E4F">
      <w:pPr>
        <w:pStyle w:val="OrdersBodyHeading"/>
      </w:pPr>
      <w:r w:rsidRPr="00427F3A">
        <w:t>Representation</w:t>
      </w:r>
    </w:p>
    <w:p w14:paraId="3E1BFCC1" w14:textId="77777777" w:rsidR="00F77E33" w:rsidRDefault="00F77E33" w:rsidP="00EE5374">
      <w:pPr>
        <w:pStyle w:val="Body"/>
      </w:pPr>
    </w:p>
    <w:p w14:paraId="52BC56F9" w14:textId="77777777" w:rsidR="00F77E33" w:rsidRPr="00377BB2" w:rsidRDefault="00F77E33" w:rsidP="00E90E4F">
      <w:pPr>
        <w:pStyle w:val="OrdersBody"/>
      </w:pPr>
      <w:r w:rsidRPr="00377BB2">
        <w:t>G R Donaldson SC with R Young for the appellant (instructed by Roe Legal Services)</w:t>
      </w:r>
    </w:p>
    <w:p w14:paraId="1E6166A6" w14:textId="77777777" w:rsidR="00F77E33" w:rsidRPr="00377BB2" w:rsidRDefault="00F77E33" w:rsidP="001B3C97">
      <w:pPr>
        <w:pStyle w:val="Body"/>
      </w:pPr>
    </w:p>
    <w:p w14:paraId="19ABC021" w14:textId="77777777" w:rsidR="00F77E33" w:rsidRPr="0018607D" w:rsidRDefault="00F77E33" w:rsidP="00D92896">
      <w:pPr>
        <w:pStyle w:val="OrdersBody"/>
      </w:pPr>
      <w:r w:rsidRPr="00377BB2">
        <w:t>Submitting appearance for the first respondent</w:t>
      </w:r>
    </w:p>
    <w:p w14:paraId="6CF672F3" w14:textId="77777777" w:rsidR="00F77E33" w:rsidRDefault="00F77E33" w:rsidP="00D92896">
      <w:pPr>
        <w:pStyle w:val="Body"/>
      </w:pPr>
    </w:p>
    <w:p w14:paraId="45A4C0A0" w14:textId="77777777" w:rsidR="00F77E33" w:rsidRPr="00377BB2" w:rsidRDefault="00F77E33" w:rsidP="00E90E4F">
      <w:pPr>
        <w:pStyle w:val="OrdersBody"/>
      </w:pPr>
      <w:r w:rsidRPr="00377BB2">
        <w:t>J A Thomson SC, Solicitor-General for the State of Western Australia, with S R Pack for the second respondent (instructed by State Solicitor</w:t>
      </w:r>
      <w:r w:rsidRPr="00377BB2">
        <w:rPr>
          <w:lang w:val="en-AU"/>
        </w:rPr>
        <w:t>'</w:t>
      </w:r>
      <w:r w:rsidRPr="00377BB2">
        <w:t>s Office (WA))</w:t>
      </w:r>
    </w:p>
    <w:p w14:paraId="5C7E86C6" w14:textId="77777777" w:rsidR="00F77E33" w:rsidRPr="00377BB2" w:rsidRDefault="00F77E33" w:rsidP="00A01277">
      <w:pPr>
        <w:pStyle w:val="Body"/>
      </w:pPr>
    </w:p>
    <w:p w14:paraId="7D055329" w14:textId="77777777" w:rsidR="00F77E33" w:rsidRPr="00377BB2" w:rsidRDefault="00F77E33" w:rsidP="00EB2770">
      <w:pPr>
        <w:pStyle w:val="OrdersBody"/>
      </w:pPr>
      <w:r w:rsidRPr="00377BB2">
        <w:t xml:space="preserve">A M Mitchelmore SC with M </w:t>
      </w:r>
      <w:proofErr w:type="gramStart"/>
      <w:r w:rsidRPr="00377BB2">
        <w:t>A</w:t>
      </w:r>
      <w:proofErr w:type="gramEnd"/>
      <w:r w:rsidRPr="00377BB2">
        <w:t xml:space="preserve"> Hosking for the Attorney-General of the Commonwealth, intervening (instructed by Australian Government Solicitor)</w:t>
      </w:r>
    </w:p>
    <w:p w14:paraId="5054480D" w14:textId="77777777" w:rsidR="00F77E33" w:rsidRPr="00377BB2" w:rsidRDefault="00F77E33" w:rsidP="0018607D">
      <w:pPr>
        <w:pStyle w:val="Body"/>
      </w:pPr>
    </w:p>
    <w:p w14:paraId="397AA649" w14:textId="77777777"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01E5FAFD" w14:textId="77777777"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4C5CF3D0" w14:textId="314A13CA" w:rsidR="00F77E33" w:rsidRPr="00377BB2" w:rsidRDefault="00F77E33" w:rsidP="0018607D">
      <w:pPr>
        <w:pStyle w:val="OrdersBody"/>
      </w:pPr>
      <w:r w:rsidRPr="00377BB2">
        <w:lastRenderedPageBreak/>
        <w:t>M G Sexton SC, Solicitor-General for the State of New South Wales, with J S Caldwell for the Attorney-General for the State of New South Wales, intervening (instructed by Crown Solicitor</w:t>
      </w:r>
      <w:r w:rsidRPr="00377BB2">
        <w:rPr>
          <w:lang w:val="en-AU"/>
        </w:rPr>
        <w:t>'</w:t>
      </w:r>
      <w:r w:rsidRPr="00377BB2">
        <w:t>s Office (NSW))</w:t>
      </w:r>
    </w:p>
    <w:p w14:paraId="25024B48" w14:textId="77777777" w:rsidR="00F77E33" w:rsidRPr="00377BB2" w:rsidRDefault="00F77E33" w:rsidP="0018607D">
      <w:pPr>
        <w:pStyle w:val="Body"/>
      </w:pPr>
    </w:p>
    <w:p w14:paraId="640EBF07" w14:textId="77777777" w:rsidR="00F77E33" w:rsidRPr="00377BB2" w:rsidRDefault="00F77E33" w:rsidP="0018607D">
      <w:pPr>
        <w:pStyle w:val="OrdersBody"/>
      </w:pPr>
      <w:r w:rsidRPr="00377BB2">
        <w:t>G A Thompson QC, Solicitor-General of the State of Queensland, with P M </w:t>
      </w:r>
      <w:proofErr w:type="spellStart"/>
      <w:r w:rsidRPr="00377BB2">
        <w:t>Clohessy</w:t>
      </w:r>
      <w:proofErr w:type="spellEnd"/>
      <w:r w:rsidRPr="00377BB2">
        <w:t xml:space="preserve"> and F J </w:t>
      </w:r>
      <w:proofErr w:type="spellStart"/>
      <w:r w:rsidRPr="00377BB2">
        <w:t>Nagorcka</w:t>
      </w:r>
      <w:proofErr w:type="spellEnd"/>
      <w:r w:rsidRPr="00377BB2">
        <w:t xml:space="preserve"> for the Attorney-General of the State of Queensland, intervening (instructed by Crown Law (Qld))</w:t>
      </w:r>
    </w:p>
    <w:p w14:paraId="24C36063" w14:textId="77777777" w:rsidR="00F77E33" w:rsidRPr="00377BB2" w:rsidRDefault="00F77E33" w:rsidP="0018607D">
      <w:pPr>
        <w:pStyle w:val="Body"/>
      </w:pPr>
    </w:p>
    <w:p w14:paraId="76557E91" w14:textId="77777777" w:rsidR="00F77E33" w:rsidRPr="00377BB2" w:rsidRDefault="00F77E33" w:rsidP="0018607D">
      <w:pPr>
        <w:pStyle w:val="OrdersBody"/>
      </w:pPr>
      <w:r w:rsidRPr="00377BB2">
        <w:t>M J Wait SC, Solicitor-General for the State of South Australia, with S T O</w:t>
      </w:r>
      <w:r w:rsidRPr="00377BB2">
        <w:rPr>
          <w:lang w:val="en-AU"/>
        </w:rPr>
        <w:t>'</w:t>
      </w:r>
      <w:r w:rsidRPr="00377BB2">
        <w:t>Flaherty for the Attorney-General for the State of South Australia, intervening (instructed by Crown Solicitor</w:t>
      </w:r>
      <w:r w:rsidRPr="00377BB2">
        <w:rPr>
          <w:lang w:val="en-AU"/>
        </w:rPr>
        <w:t>'</w:t>
      </w:r>
      <w:r w:rsidRPr="00377BB2">
        <w:t>s Office (SA))</w:t>
      </w:r>
    </w:p>
    <w:p w14:paraId="48E58141" w14:textId="77777777" w:rsidR="00F77E33" w:rsidRPr="00377BB2" w:rsidRDefault="00F77E33" w:rsidP="0018607D">
      <w:pPr>
        <w:pStyle w:val="Body"/>
      </w:pPr>
    </w:p>
    <w:p w14:paraId="279C68C4" w14:textId="77777777" w:rsidR="00F77E33" w:rsidRPr="00377BB2" w:rsidRDefault="00F77E33" w:rsidP="0018607D">
      <w:pPr>
        <w:pStyle w:val="OrdersBody"/>
      </w:pPr>
      <w:r w:rsidRPr="00377BB2">
        <w:t>R J Orr QC, Solicitor-General for the State of Victoria, with F I Gordon and T M Wood for the Attorney-General for the State of Victoria, intervening (instructed by Victorian Government Solicitor</w:t>
      </w:r>
      <w:r w:rsidRPr="00377BB2">
        <w:rPr>
          <w:lang w:val="en-AU"/>
        </w:rPr>
        <w:t>'</w:t>
      </w:r>
      <w:r w:rsidRPr="00377BB2">
        <w:t>s Office)</w:t>
      </w:r>
    </w:p>
    <w:p w14:paraId="366BEBFD" w14:textId="77777777" w:rsidR="00F77E33" w:rsidRPr="00377BB2" w:rsidRDefault="00F77E33" w:rsidP="0018607D">
      <w:pPr>
        <w:pStyle w:val="Body"/>
      </w:pPr>
    </w:p>
    <w:p w14:paraId="62DEFD54" w14:textId="77777777" w:rsidR="00172757" w:rsidRDefault="00F77E33" w:rsidP="00172757">
      <w:pPr>
        <w:pStyle w:val="OrdersBody"/>
      </w:pPr>
      <w:r w:rsidRPr="00377BB2">
        <w:t>S K Kay SC, Solicitor-General for the State of Tasmania, with J L Rudolf for the Attorney-General for the State of Tasmania, intervening (instructed by Office of the Solicitor</w:t>
      </w:r>
      <w:r>
        <w:t>-</w:t>
      </w:r>
      <w:r w:rsidRPr="00377BB2">
        <w:t>General (Tasmania))</w:t>
      </w:r>
    </w:p>
    <w:p w14:paraId="7AA90291" w14:textId="77777777" w:rsidR="00172757" w:rsidRDefault="00172757" w:rsidP="00172757">
      <w:pPr>
        <w:pStyle w:val="OrdersBody"/>
      </w:pPr>
    </w:p>
    <w:p w14:paraId="0866CFD7" w14:textId="04D5018C" w:rsidR="00F77E33" w:rsidRPr="0051049D" w:rsidRDefault="00F77E33" w:rsidP="00172757">
      <w:pPr>
        <w:pStyle w:val="OrdersBody"/>
      </w:pPr>
      <w:r>
        <w:t>Mr Derek Ryan</w:t>
      </w:r>
      <w:r w:rsidRPr="0051049D">
        <w:t xml:space="preserve"> appearing as amicus curiae, limited to written submissions</w:t>
      </w:r>
    </w:p>
    <w:p w14:paraId="6B402EFD" w14:textId="77777777" w:rsidR="00F77E33" w:rsidRPr="00377BB2" w:rsidRDefault="00F77E33" w:rsidP="00A01277">
      <w:pPr>
        <w:pStyle w:val="Body"/>
      </w:pPr>
    </w:p>
    <w:p w14:paraId="18578F7B" w14:textId="77777777" w:rsidR="00F77E33" w:rsidRDefault="00F77E33" w:rsidP="00EE5374">
      <w:pPr>
        <w:pStyle w:val="Body"/>
      </w:pPr>
    </w:p>
    <w:p w14:paraId="722826FD" w14:textId="77777777" w:rsidR="00F77E33" w:rsidRDefault="00F77E33" w:rsidP="00EE5374">
      <w:pPr>
        <w:pStyle w:val="Body"/>
      </w:pPr>
    </w:p>
    <w:p w14:paraId="096CB8CA" w14:textId="77777777" w:rsidR="00F77E33" w:rsidRDefault="00F77E33" w:rsidP="00EE5374">
      <w:pPr>
        <w:pStyle w:val="Body"/>
      </w:pPr>
    </w:p>
    <w:p w14:paraId="2AF9E10B" w14:textId="77777777" w:rsidR="00F77E33" w:rsidRDefault="00F77E33" w:rsidP="00EE5374">
      <w:pPr>
        <w:pStyle w:val="Body"/>
      </w:pPr>
    </w:p>
    <w:p w14:paraId="15F1DBB3" w14:textId="77777777" w:rsidR="00F77E33" w:rsidRDefault="00F77E33" w:rsidP="00EE5374">
      <w:pPr>
        <w:pStyle w:val="Body"/>
      </w:pPr>
    </w:p>
    <w:p w14:paraId="7A860E02" w14:textId="77777777" w:rsidR="00F77E33" w:rsidRDefault="00F77E33" w:rsidP="00EE5374">
      <w:pPr>
        <w:pStyle w:val="Body"/>
      </w:pPr>
    </w:p>
    <w:p w14:paraId="03D45479" w14:textId="77777777" w:rsidR="00F77E33" w:rsidRDefault="00F77E33" w:rsidP="00EE5374">
      <w:pPr>
        <w:pStyle w:val="Body"/>
      </w:pPr>
    </w:p>
    <w:p w14:paraId="03B94F3F" w14:textId="77777777" w:rsidR="00F77E33" w:rsidRDefault="00F77E33" w:rsidP="00EE5374">
      <w:pPr>
        <w:pStyle w:val="Body"/>
      </w:pPr>
    </w:p>
    <w:p w14:paraId="7721DA95" w14:textId="77777777" w:rsidR="00F77E33" w:rsidRDefault="00F77E33" w:rsidP="00EE5374">
      <w:pPr>
        <w:pStyle w:val="Body"/>
      </w:pPr>
    </w:p>
    <w:p w14:paraId="68CB76E5" w14:textId="77777777" w:rsidR="00F77E33" w:rsidRDefault="00F77E33" w:rsidP="00EE5374">
      <w:pPr>
        <w:pStyle w:val="Body"/>
      </w:pPr>
    </w:p>
    <w:p w14:paraId="609D1744" w14:textId="77777777" w:rsidR="00F77E33" w:rsidRDefault="00F77E33" w:rsidP="00EE5374">
      <w:pPr>
        <w:pStyle w:val="Body"/>
      </w:pPr>
    </w:p>
    <w:p w14:paraId="05927103" w14:textId="77777777" w:rsidR="00F77E33" w:rsidRDefault="00F77E33" w:rsidP="00EE5374">
      <w:pPr>
        <w:pStyle w:val="Body"/>
      </w:pPr>
    </w:p>
    <w:p w14:paraId="5E062361" w14:textId="77777777" w:rsidR="00F77E33" w:rsidRDefault="00F77E33" w:rsidP="00EE5374">
      <w:pPr>
        <w:pStyle w:val="Body"/>
      </w:pPr>
    </w:p>
    <w:p w14:paraId="2C882F49" w14:textId="77777777" w:rsidR="00F77E33" w:rsidRDefault="00F77E33" w:rsidP="00EE5374">
      <w:pPr>
        <w:pStyle w:val="Body"/>
      </w:pPr>
    </w:p>
    <w:p w14:paraId="7F8ABE56" w14:textId="77777777" w:rsidR="00F77E33" w:rsidRDefault="00F77E33" w:rsidP="00EE5374">
      <w:pPr>
        <w:pStyle w:val="Body"/>
      </w:pPr>
    </w:p>
    <w:p w14:paraId="08B4D9A3" w14:textId="77777777" w:rsidR="00F77E33" w:rsidRDefault="00F77E33" w:rsidP="00EE5374">
      <w:pPr>
        <w:pStyle w:val="Body"/>
      </w:pPr>
    </w:p>
    <w:p w14:paraId="1D0E0760" w14:textId="77777777" w:rsidR="00F77E33" w:rsidRDefault="00F77E33" w:rsidP="00EE5374">
      <w:pPr>
        <w:pStyle w:val="Body"/>
      </w:pPr>
    </w:p>
    <w:p w14:paraId="3A62E621" w14:textId="77777777" w:rsidR="00F77E33" w:rsidRPr="00427F3A" w:rsidRDefault="00F77E33" w:rsidP="00EE5374">
      <w:pPr>
        <w:pStyle w:val="Body"/>
      </w:pPr>
    </w:p>
    <w:p w14:paraId="6126C00B" w14:textId="77777777" w:rsidR="00F77E33" w:rsidRPr="00427F3A" w:rsidRDefault="00F77E33" w:rsidP="00F9713B">
      <w:pPr>
        <w:pStyle w:val="Notice"/>
        <w:rPr>
          <w:lang w:val="en-AU"/>
        </w:rPr>
      </w:pPr>
      <w:r w:rsidRPr="00427F3A">
        <w:rPr>
          <w:lang w:val="en-AU"/>
        </w:rPr>
        <w:t>Notice:  This copy of the Court's Reasons for Judgment is subject to formal revision prior to publication in the Commonwealth Law Reports.</w:t>
      </w:r>
    </w:p>
    <w:p w14:paraId="32530A3E" w14:textId="2052D7D0"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0307CE7" w14:textId="77777777"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F77E33" w:rsidSect="00F77E33">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C9AB414" w14:textId="77777777" w:rsidR="00F77E33" w:rsidRDefault="00F77E33" w:rsidP="00F77E33">
      <w:pPr>
        <w:pStyle w:val="CatchwordsBold"/>
      </w:pPr>
      <w:r>
        <w:lastRenderedPageBreak/>
        <w:t>CATCHWORDS</w:t>
      </w:r>
    </w:p>
    <w:p w14:paraId="65FB48A4" w14:textId="77777777" w:rsidR="00F77E33" w:rsidRDefault="00F77E33" w:rsidP="00F77E33">
      <w:pPr>
        <w:pStyle w:val="CatchwordsBold"/>
      </w:pPr>
    </w:p>
    <w:p w14:paraId="741EB290" w14:textId="77777777" w:rsidR="00F77E33" w:rsidRDefault="00F77E33" w:rsidP="00F77E33">
      <w:pPr>
        <w:pStyle w:val="CatchwordsBold"/>
      </w:pPr>
      <w:bookmarkStart w:id="0" w:name="CaseName"/>
      <w:proofErr w:type="spellStart"/>
      <w:r>
        <w:t>Garlett</w:t>
      </w:r>
      <w:proofErr w:type="spellEnd"/>
      <w:r>
        <w:t xml:space="preserve"> v Western Australia </w:t>
      </w:r>
    </w:p>
    <w:bookmarkEnd w:id="0"/>
    <w:p w14:paraId="58B5293C" w14:textId="77777777" w:rsidR="00F77E33" w:rsidRDefault="00F77E33" w:rsidP="00F77E33">
      <w:pPr>
        <w:spacing w:line="280" w:lineRule="exact"/>
        <w:ind w:firstLine="0"/>
        <w:jc w:val="both"/>
        <w:rPr>
          <w:rFonts w:ascii="Times New Roman" w:hAnsi="Times New Roman"/>
        </w:rPr>
      </w:pPr>
    </w:p>
    <w:p w14:paraId="38FBC46E" w14:textId="77777777" w:rsidR="00F77E33" w:rsidRPr="00621D0D" w:rsidRDefault="00F77E33" w:rsidP="00F77E33">
      <w:pPr>
        <w:pStyle w:val="CatchwordsText"/>
      </w:pPr>
      <w:r w:rsidRPr="00C6345C">
        <w:t>Constitutional law</w:t>
      </w:r>
      <w:r w:rsidRPr="00D91517">
        <w:t xml:space="preserve"> </w:t>
      </w:r>
      <w:r>
        <w:t>(</w:t>
      </w:r>
      <w:proofErr w:type="spellStart"/>
      <w:r>
        <w:t>Cth</w:t>
      </w:r>
      <w:proofErr w:type="spellEnd"/>
      <w:r>
        <w:t xml:space="preserve">) – Judicial power of Commonwealth – </w:t>
      </w:r>
      <w:r w:rsidRPr="00960AEF">
        <w:t>Jurisdiction vested in State courts</w:t>
      </w:r>
      <w:r>
        <w:t xml:space="preserve"> – Institutional integrity of State courts – Where </w:t>
      </w:r>
      <w:r>
        <w:rPr>
          <w:i/>
          <w:iCs/>
        </w:rPr>
        <w:t xml:space="preserve">High Risk Serious Offenders Act 2020 </w:t>
      </w:r>
      <w:r>
        <w:t xml:space="preserve">(WA) ("Act") required State court </w:t>
      </w:r>
      <w:r w:rsidRPr="000E603C">
        <w:t>to make restriction order in relation to serious offender if satisfied that order necessary to ensure adequate protection of community against unacceptable risk that offender will commit serious offence</w:t>
      </w:r>
      <w:r>
        <w:t xml:space="preserve"> – Where robbery specified as "serious offence" under </w:t>
      </w:r>
      <w:r w:rsidRPr="00C23492">
        <w:t xml:space="preserve">item 34 of </w:t>
      </w:r>
      <w:proofErr w:type="spellStart"/>
      <w:r w:rsidRPr="00C23492">
        <w:t>Subdiv</w:t>
      </w:r>
      <w:proofErr w:type="spellEnd"/>
      <w:r w:rsidRPr="00C23492">
        <w:t xml:space="preserve"> 3 of </w:t>
      </w:r>
      <w:proofErr w:type="spellStart"/>
      <w:r w:rsidRPr="00C23492">
        <w:t>Div</w:t>
      </w:r>
      <w:proofErr w:type="spellEnd"/>
      <w:r w:rsidRPr="00C23492">
        <w:t xml:space="preserve"> 1 of Sch 1 to</w:t>
      </w:r>
      <w:r>
        <w:t xml:space="preserve"> Act –</w:t>
      </w:r>
      <w:r w:rsidRPr="00A47D1E">
        <w:t> </w:t>
      </w:r>
      <w:r>
        <w:t xml:space="preserve">Where appellant imprisoned for offences including robbery – Where State sought restriction order in relation to appellant – Whether State court acting under dictation of executive government – </w:t>
      </w:r>
      <w:r w:rsidRPr="00A47D1E">
        <w:t xml:space="preserve">Whether </w:t>
      </w:r>
      <w:r>
        <w:t>function</w:t>
      </w:r>
      <w:r w:rsidRPr="00A47D1E">
        <w:t xml:space="preserve"> conferred by Act on </w:t>
      </w:r>
      <w:r>
        <w:t xml:space="preserve">State court </w:t>
      </w:r>
      <w:r w:rsidRPr="00A47D1E">
        <w:t xml:space="preserve">incompatible with </w:t>
      </w:r>
      <w:r>
        <w:t xml:space="preserve">State court </w:t>
      </w:r>
      <w:r w:rsidRPr="00A47D1E">
        <w:t>being</w:t>
      </w:r>
      <w:r>
        <w:t xml:space="preserve"> </w:t>
      </w:r>
      <w:r w:rsidRPr="00A47D1E">
        <w:t>repository of judicial power of Commonwealth</w:t>
      </w:r>
      <w:r>
        <w:t xml:space="preserve"> </w:t>
      </w:r>
      <w:bookmarkStart w:id="1" w:name="_Hlk112054938"/>
      <w:r>
        <w:t>–</w:t>
      </w:r>
      <w:bookmarkEnd w:id="1"/>
      <w:r>
        <w:t xml:space="preserve"> Whether function conferred by Act on State court compromises institutional integrity of State court. </w:t>
      </w:r>
    </w:p>
    <w:p w14:paraId="2DAB7D70" w14:textId="77777777" w:rsidR="00F77E33" w:rsidRDefault="00F77E33" w:rsidP="00F77E33">
      <w:pPr>
        <w:pStyle w:val="CatchwordsText"/>
      </w:pPr>
    </w:p>
    <w:p w14:paraId="26F8047C" w14:textId="77777777" w:rsidR="00F77E33" w:rsidRDefault="00F77E33" w:rsidP="00F77E33">
      <w:pPr>
        <w:pStyle w:val="CatchwordsText"/>
      </w:pPr>
      <w:r>
        <w:t>Words and phrases – "adequate protection of the community", "dictation from the executive", "high risk serious offender", "indefinite detention", "institutional integrity", "involuntary detention", "</w:t>
      </w:r>
      <w:r w:rsidRPr="000E3F1B">
        <w:rPr>
          <w:i/>
          <w:iCs/>
        </w:rPr>
        <w:t>Kable</w:t>
      </w:r>
      <w:r>
        <w:t xml:space="preserve"> principle", "preventive detention", "protective purpose", "public confidence in the judicial process", "repository of federal jurisdiction", "repository of the judicial power of the Commonwealth", "restriction order", "serious offence", "unacceptable risk of harm to the community". </w:t>
      </w:r>
    </w:p>
    <w:p w14:paraId="13D0D7E0" w14:textId="77777777" w:rsidR="00F77E33" w:rsidRDefault="00F77E33" w:rsidP="00F77E33">
      <w:pPr>
        <w:pStyle w:val="CatchwordsText"/>
      </w:pPr>
    </w:p>
    <w:p w14:paraId="4DF66326" w14:textId="77777777" w:rsidR="00F77E33" w:rsidRPr="00621D0D" w:rsidRDefault="00F77E33" w:rsidP="00F77E33">
      <w:pPr>
        <w:pStyle w:val="CatchwordsText"/>
        <w:rPr>
          <w:iCs/>
        </w:rPr>
      </w:pPr>
      <w:r>
        <w:rPr>
          <w:i/>
        </w:rPr>
        <w:t>Constitution</w:t>
      </w:r>
      <w:r>
        <w:rPr>
          <w:iCs/>
        </w:rPr>
        <w:t>,</w:t>
      </w:r>
      <w:r>
        <w:rPr>
          <w:i/>
        </w:rPr>
        <w:t xml:space="preserve"> </w:t>
      </w:r>
      <w:r>
        <w:rPr>
          <w:iCs/>
        </w:rPr>
        <w:t>Ch III.</w:t>
      </w:r>
    </w:p>
    <w:p w14:paraId="00467A2E" w14:textId="42821B2F" w:rsidR="00F77E33" w:rsidRPr="00621D0D" w:rsidRDefault="00F77E33" w:rsidP="00F77E33">
      <w:pPr>
        <w:pStyle w:val="CatchwordsText"/>
        <w:rPr>
          <w:iCs/>
        </w:rPr>
      </w:pPr>
      <w:r>
        <w:rPr>
          <w:i/>
        </w:rPr>
        <w:t xml:space="preserve">High Risk Serious Offenders Act 2020 </w:t>
      </w:r>
      <w:r>
        <w:rPr>
          <w:iCs/>
        </w:rPr>
        <w:t xml:space="preserve">(WA), ss 7, 48, Sch 1, </w:t>
      </w:r>
      <w:proofErr w:type="spellStart"/>
      <w:r>
        <w:rPr>
          <w:iCs/>
        </w:rPr>
        <w:t>Div</w:t>
      </w:r>
      <w:proofErr w:type="spellEnd"/>
      <w:r>
        <w:rPr>
          <w:iCs/>
        </w:rPr>
        <w:t xml:space="preserve"> 1, </w:t>
      </w:r>
      <w:proofErr w:type="spellStart"/>
      <w:r>
        <w:rPr>
          <w:iCs/>
        </w:rPr>
        <w:t>Subdiv</w:t>
      </w:r>
      <w:proofErr w:type="spellEnd"/>
      <w:r>
        <w:rPr>
          <w:iCs/>
        </w:rPr>
        <w:t xml:space="preserve"> 3, item</w:t>
      </w:r>
      <w:r w:rsidR="000A5C04">
        <w:rPr>
          <w:iCs/>
        </w:rPr>
        <w:t> </w:t>
      </w:r>
      <w:r>
        <w:rPr>
          <w:iCs/>
        </w:rPr>
        <w:t>34.</w:t>
      </w:r>
    </w:p>
    <w:p w14:paraId="252E13AA" w14:textId="030349BD" w:rsidR="00F77E33" w:rsidRDefault="00F77E33" w:rsidP="00F77E33">
      <w:pPr>
        <w:pStyle w:val="CatchwordsText"/>
      </w:pPr>
    </w:p>
    <w:p w14:paraId="78B557FD" w14:textId="230B4701"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2AFA824" w14:textId="27D21817" w:rsidR="00F77E33" w:rsidRDefault="00F77E3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1F2E7E0" w14:textId="77777777" w:rsidR="00F77E33" w:rsidRDefault="00F77E33" w:rsidP="00C06B3A">
      <w:pPr>
        <w:pStyle w:val="FixListStyle"/>
        <w:tabs>
          <w:tab w:val="clear" w:pos="720"/>
          <w:tab w:val="left" w:pos="0"/>
        </w:tabs>
        <w:spacing w:after="260" w:line="280" w:lineRule="exact"/>
        <w:ind w:right="0"/>
        <w:jc w:val="both"/>
        <w:rPr>
          <w:rFonts w:ascii="Times New Roman" w:hAnsi="Times New Roman"/>
        </w:rPr>
        <w:sectPr w:rsidR="00F77E33" w:rsidSect="00F77E33">
          <w:pgSz w:w="11907" w:h="16839" w:code="9"/>
          <w:pgMar w:top="1440" w:right="1701" w:bottom="1984" w:left="1701" w:header="720" w:footer="720" w:gutter="0"/>
          <w:pgNumType w:start="1"/>
          <w:cols w:space="720"/>
          <w:titlePg/>
          <w:docGrid w:linePitch="354"/>
        </w:sectPr>
      </w:pPr>
    </w:p>
    <w:p w14:paraId="1DDE7BF2" w14:textId="2488E201" w:rsidR="00A73989" w:rsidRPr="00C06B3A" w:rsidRDefault="00C06B3A" w:rsidP="00C06B3A">
      <w:pPr>
        <w:pStyle w:val="FixListStyle"/>
        <w:tabs>
          <w:tab w:val="clear" w:pos="720"/>
          <w:tab w:val="left" w:pos="0"/>
        </w:tabs>
        <w:spacing w:after="260" w:line="280" w:lineRule="exact"/>
        <w:ind w:right="0"/>
        <w:jc w:val="both"/>
        <w:rPr>
          <w:rFonts w:ascii="Times New Roman" w:hAnsi="Times New Roman"/>
        </w:rPr>
      </w:pPr>
      <w:r w:rsidRPr="00C06B3A">
        <w:rPr>
          <w:rFonts w:ascii="Times New Roman" w:hAnsi="Times New Roman"/>
        </w:rPr>
        <w:lastRenderedPageBreak/>
        <w:t xml:space="preserve">KIEFEL CJ, KEANE AND STEWARD JJ.   </w:t>
      </w:r>
      <w:r w:rsidR="00F97FB9" w:rsidRPr="00C06B3A">
        <w:rPr>
          <w:rFonts w:ascii="Times New Roman" w:hAnsi="Times New Roman"/>
        </w:rPr>
        <w:t xml:space="preserve">On 19 November 2017, the </w:t>
      </w:r>
      <w:r w:rsidR="003A6F7F" w:rsidRPr="00C06B3A">
        <w:rPr>
          <w:rFonts w:ascii="Times New Roman" w:hAnsi="Times New Roman"/>
        </w:rPr>
        <w:t>appellant</w:t>
      </w:r>
      <w:r w:rsidR="00F97FB9" w:rsidRPr="00C06B3A">
        <w:rPr>
          <w:rFonts w:ascii="Times New Roman" w:hAnsi="Times New Roman"/>
        </w:rPr>
        <w:t xml:space="preserve"> ("Mr </w:t>
      </w:r>
      <w:proofErr w:type="spellStart"/>
      <w:r w:rsidR="00F97FB9" w:rsidRPr="00C06B3A">
        <w:rPr>
          <w:rFonts w:ascii="Times New Roman" w:hAnsi="Times New Roman"/>
        </w:rPr>
        <w:t>Garlett</w:t>
      </w:r>
      <w:proofErr w:type="spellEnd"/>
      <w:r w:rsidR="00F97FB9" w:rsidRPr="00C06B3A">
        <w:rPr>
          <w:rFonts w:ascii="Times New Roman" w:hAnsi="Times New Roman"/>
        </w:rPr>
        <w:t>")</w:t>
      </w:r>
      <w:r w:rsidR="00D718EB" w:rsidRPr="00C06B3A">
        <w:rPr>
          <w:rFonts w:ascii="Times New Roman" w:hAnsi="Times New Roman"/>
        </w:rPr>
        <w:t xml:space="preserve">, in company </w:t>
      </w:r>
      <w:r w:rsidR="00E116ED" w:rsidRPr="00C06B3A">
        <w:rPr>
          <w:rFonts w:ascii="Times New Roman" w:hAnsi="Times New Roman"/>
        </w:rPr>
        <w:t xml:space="preserve">with </w:t>
      </w:r>
      <w:r w:rsidR="00D718EB" w:rsidRPr="00C06B3A">
        <w:rPr>
          <w:rFonts w:ascii="Times New Roman" w:hAnsi="Times New Roman"/>
        </w:rPr>
        <w:t xml:space="preserve">others, entered a dwelling </w:t>
      </w:r>
      <w:r w:rsidR="006518D3" w:rsidRPr="00C06B3A">
        <w:rPr>
          <w:rFonts w:ascii="Times New Roman" w:hAnsi="Times New Roman"/>
        </w:rPr>
        <w:t>without consent</w:t>
      </w:r>
      <w:r w:rsidR="00AD072F" w:rsidRPr="00C06B3A">
        <w:rPr>
          <w:rFonts w:ascii="Times New Roman" w:hAnsi="Times New Roman"/>
        </w:rPr>
        <w:t xml:space="preserve"> and</w:t>
      </w:r>
      <w:r w:rsidR="00D519E9" w:rsidRPr="00C06B3A">
        <w:rPr>
          <w:rFonts w:ascii="Times New Roman" w:hAnsi="Times New Roman"/>
        </w:rPr>
        <w:t>,</w:t>
      </w:r>
      <w:r w:rsidR="00AD072F" w:rsidRPr="00C06B3A">
        <w:rPr>
          <w:rFonts w:ascii="Times New Roman" w:hAnsi="Times New Roman"/>
        </w:rPr>
        <w:t xml:space="preserve"> with threats of violence, stole a pendant necklace and $20 in cash. He pretended to be armed with a handgun</w:t>
      </w:r>
      <w:r w:rsidR="00D04BFF" w:rsidRPr="00C06B3A">
        <w:rPr>
          <w:rFonts w:ascii="Times New Roman" w:hAnsi="Times New Roman"/>
        </w:rPr>
        <w:t xml:space="preserve">. </w:t>
      </w:r>
      <w:r w:rsidR="0099775A" w:rsidRPr="00C06B3A">
        <w:rPr>
          <w:rFonts w:ascii="Times New Roman" w:hAnsi="Times New Roman"/>
        </w:rPr>
        <w:t>He</w:t>
      </w:r>
      <w:r w:rsidR="00841D85" w:rsidRPr="00C06B3A">
        <w:rPr>
          <w:rFonts w:ascii="Times New Roman" w:hAnsi="Times New Roman"/>
        </w:rPr>
        <w:t xml:space="preserve"> was arrested the following day and </w:t>
      </w:r>
      <w:r w:rsidR="002C29AD">
        <w:rPr>
          <w:rFonts w:ascii="Times New Roman" w:hAnsi="Times New Roman"/>
        </w:rPr>
        <w:t>remanded</w:t>
      </w:r>
      <w:r w:rsidR="00841D85" w:rsidRPr="00C06B3A">
        <w:rPr>
          <w:rFonts w:ascii="Times New Roman" w:hAnsi="Times New Roman"/>
        </w:rPr>
        <w:t xml:space="preserve"> </w:t>
      </w:r>
      <w:r w:rsidR="003D26D0" w:rsidRPr="00C06B3A">
        <w:rPr>
          <w:rFonts w:ascii="Times New Roman" w:hAnsi="Times New Roman"/>
        </w:rPr>
        <w:t>in custody</w:t>
      </w:r>
      <w:r w:rsidR="00841D85" w:rsidRPr="00C06B3A">
        <w:rPr>
          <w:rFonts w:ascii="Times New Roman" w:hAnsi="Times New Roman"/>
        </w:rPr>
        <w:t xml:space="preserve">. </w:t>
      </w:r>
      <w:r w:rsidR="00E46453" w:rsidRPr="00C06B3A">
        <w:rPr>
          <w:rFonts w:ascii="Times New Roman" w:hAnsi="Times New Roman"/>
        </w:rPr>
        <w:t xml:space="preserve">He was </w:t>
      </w:r>
      <w:r w:rsidR="00E10CC0" w:rsidRPr="00C06B3A">
        <w:rPr>
          <w:rFonts w:ascii="Times New Roman" w:hAnsi="Times New Roman"/>
        </w:rPr>
        <w:t>charged with, and plead</w:t>
      </w:r>
      <w:r w:rsidR="0099775A" w:rsidRPr="00C06B3A">
        <w:rPr>
          <w:rFonts w:ascii="Times New Roman" w:hAnsi="Times New Roman"/>
        </w:rPr>
        <w:t>ed</w:t>
      </w:r>
      <w:r w:rsidR="00E10CC0" w:rsidRPr="00C06B3A">
        <w:rPr>
          <w:rFonts w:ascii="Times New Roman" w:hAnsi="Times New Roman"/>
        </w:rPr>
        <w:t xml:space="preserve"> guilty to, the offences of robbery</w:t>
      </w:r>
      <w:r w:rsidR="00EB5FE4" w:rsidRPr="00C06B3A">
        <w:rPr>
          <w:rFonts w:ascii="Times New Roman" w:hAnsi="Times New Roman"/>
        </w:rPr>
        <w:t xml:space="preserve"> and assault with intent to rob, contrary to ss 392 and 393, respectively, of the </w:t>
      </w:r>
      <w:r w:rsidR="00263595" w:rsidRPr="00C06B3A">
        <w:rPr>
          <w:rFonts w:ascii="Times New Roman" w:hAnsi="Times New Roman"/>
          <w:i/>
        </w:rPr>
        <w:t>Criminal Code </w:t>
      </w:r>
      <w:r w:rsidR="00263595" w:rsidRPr="00C06B3A">
        <w:rPr>
          <w:rFonts w:ascii="Times New Roman" w:hAnsi="Times New Roman"/>
        </w:rPr>
        <w:t>(WA)</w:t>
      </w:r>
      <w:r w:rsidR="00C172A9" w:rsidRPr="00C06B3A">
        <w:rPr>
          <w:rStyle w:val="FootnoteReference"/>
          <w:rFonts w:ascii="Times New Roman" w:hAnsi="Times New Roman"/>
          <w:sz w:val="24"/>
        </w:rPr>
        <w:footnoteReference w:id="2"/>
      </w:r>
      <w:r w:rsidR="00DC0E37" w:rsidRPr="00C06B3A">
        <w:rPr>
          <w:rFonts w:ascii="Times New Roman" w:hAnsi="Times New Roman"/>
        </w:rPr>
        <w:t xml:space="preserve"> ("the November 2017 offending")</w:t>
      </w:r>
      <w:r w:rsidR="00263595" w:rsidRPr="00C06B3A">
        <w:rPr>
          <w:rFonts w:ascii="Times New Roman" w:hAnsi="Times New Roman"/>
        </w:rPr>
        <w:t>.</w:t>
      </w:r>
    </w:p>
    <w:p w14:paraId="2E3EA9EE" w14:textId="7F0BFD74" w:rsidR="004C1AEC" w:rsidRPr="00C06B3A" w:rsidRDefault="004C1AEC" w:rsidP="00C06B3A">
      <w:pPr>
        <w:pStyle w:val="FixListStyle"/>
        <w:spacing w:after="260" w:line="280" w:lineRule="exact"/>
        <w:ind w:right="0"/>
        <w:jc w:val="both"/>
        <w:rPr>
          <w:rFonts w:ascii="Times New Roman" w:hAnsi="Times New Roman"/>
        </w:rPr>
      </w:pPr>
      <w:r w:rsidRPr="00C06B3A">
        <w:rPr>
          <w:rFonts w:ascii="Times New Roman" w:hAnsi="Times New Roman"/>
        </w:rPr>
        <w:tab/>
        <w:t>For the November</w:t>
      </w:r>
      <w:r w:rsidR="007E4387" w:rsidRPr="00C06B3A">
        <w:rPr>
          <w:rFonts w:ascii="Times New Roman" w:hAnsi="Times New Roman"/>
        </w:rPr>
        <w:t> </w:t>
      </w:r>
      <w:r w:rsidRPr="00C06B3A">
        <w:rPr>
          <w:rFonts w:ascii="Times New Roman" w:hAnsi="Times New Roman"/>
        </w:rPr>
        <w:t>2017 offending, Mr </w:t>
      </w:r>
      <w:proofErr w:type="spellStart"/>
      <w:r w:rsidRPr="00C06B3A">
        <w:rPr>
          <w:rFonts w:ascii="Times New Roman" w:hAnsi="Times New Roman"/>
        </w:rPr>
        <w:t>Garlett</w:t>
      </w:r>
      <w:proofErr w:type="spellEnd"/>
      <w:r w:rsidRPr="00C06B3A">
        <w:rPr>
          <w:rFonts w:ascii="Times New Roman" w:hAnsi="Times New Roman"/>
        </w:rPr>
        <w:t xml:space="preserve"> was sentenced in July</w:t>
      </w:r>
      <w:r w:rsidR="007E4387" w:rsidRPr="00C06B3A">
        <w:rPr>
          <w:rFonts w:ascii="Times New Roman" w:hAnsi="Times New Roman"/>
        </w:rPr>
        <w:t> </w:t>
      </w:r>
      <w:r w:rsidRPr="00C06B3A">
        <w:rPr>
          <w:rFonts w:ascii="Times New Roman" w:hAnsi="Times New Roman"/>
        </w:rPr>
        <w:t>2019 to a total effective sentence of three years and six months' imprisonment, backdated to commence on 20 November 2017</w:t>
      </w:r>
      <w:r w:rsidRPr="00C06B3A">
        <w:rPr>
          <w:rStyle w:val="FootnoteReference"/>
          <w:rFonts w:ascii="Times New Roman" w:hAnsi="Times New Roman"/>
          <w:sz w:val="24"/>
        </w:rPr>
        <w:footnoteReference w:id="3"/>
      </w:r>
      <w:r w:rsidRPr="00C06B3A">
        <w:rPr>
          <w:rFonts w:ascii="Times New Roman" w:hAnsi="Times New Roman"/>
        </w:rPr>
        <w:t>. On 12 January 2021, he was sentenced to a further five months' imprisonment for an offence of criminal damage committed while he was in prison. Mr </w:t>
      </w:r>
      <w:proofErr w:type="spellStart"/>
      <w:r w:rsidRPr="00C06B3A">
        <w:rPr>
          <w:rFonts w:ascii="Times New Roman" w:hAnsi="Times New Roman"/>
        </w:rPr>
        <w:t>Garlett's</w:t>
      </w:r>
      <w:proofErr w:type="spellEnd"/>
      <w:r w:rsidRPr="00C06B3A">
        <w:rPr>
          <w:rFonts w:ascii="Times New Roman" w:hAnsi="Times New Roman"/>
        </w:rPr>
        <w:t xml:space="preserve"> release date was 19 October 2021</w:t>
      </w:r>
      <w:r w:rsidRPr="00C06B3A">
        <w:rPr>
          <w:rStyle w:val="FootnoteReference"/>
          <w:rFonts w:ascii="Times New Roman" w:hAnsi="Times New Roman"/>
          <w:sz w:val="24"/>
        </w:rPr>
        <w:footnoteReference w:id="4"/>
      </w:r>
      <w:r w:rsidRPr="00C06B3A">
        <w:rPr>
          <w:rFonts w:ascii="Times New Roman" w:hAnsi="Times New Roman"/>
        </w:rPr>
        <w:t xml:space="preserve">. </w:t>
      </w:r>
    </w:p>
    <w:p w14:paraId="33E6C85A" w14:textId="707F600E" w:rsidR="00FB4236" w:rsidRPr="00C06B3A" w:rsidRDefault="009151E6" w:rsidP="00C06B3A">
      <w:pPr>
        <w:pStyle w:val="FixListStyle"/>
        <w:spacing w:after="260" w:line="280" w:lineRule="exact"/>
        <w:ind w:right="0"/>
        <w:jc w:val="both"/>
        <w:rPr>
          <w:rFonts w:ascii="Times New Roman" w:hAnsi="Times New Roman"/>
        </w:rPr>
      </w:pPr>
      <w:r w:rsidRPr="00C06B3A">
        <w:rPr>
          <w:rFonts w:ascii="Times New Roman" w:hAnsi="Times New Roman"/>
        </w:rPr>
        <w:tab/>
        <w:t>Mr </w:t>
      </w:r>
      <w:proofErr w:type="spellStart"/>
      <w:r w:rsidRPr="00C06B3A">
        <w:rPr>
          <w:rFonts w:ascii="Times New Roman" w:hAnsi="Times New Roman"/>
        </w:rPr>
        <w:t>Garlett</w:t>
      </w:r>
      <w:proofErr w:type="spellEnd"/>
      <w:r w:rsidR="00955C23" w:rsidRPr="00C06B3A">
        <w:rPr>
          <w:rFonts w:ascii="Times New Roman" w:hAnsi="Times New Roman"/>
        </w:rPr>
        <w:t xml:space="preserve"> was </w:t>
      </w:r>
      <w:r w:rsidR="009F4DF7" w:rsidRPr="00C06B3A">
        <w:rPr>
          <w:rFonts w:ascii="Times New Roman" w:hAnsi="Times New Roman"/>
        </w:rPr>
        <w:t>23 years old at the time of the November 2017 offending</w:t>
      </w:r>
      <w:r w:rsidR="005B081C" w:rsidRPr="00C06B3A">
        <w:rPr>
          <w:rStyle w:val="FootnoteReference"/>
          <w:rFonts w:ascii="Times New Roman" w:hAnsi="Times New Roman"/>
          <w:sz w:val="24"/>
        </w:rPr>
        <w:footnoteReference w:id="5"/>
      </w:r>
      <w:r w:rsidR="00740CF3" w:rsidRPr="00C06B3A">
        <w:rPr>
          <w:rFonts w:ascii="Times New Roman" w:hAnsi="Times New Roman"/>
        </w:rPr>
        <w:t>. He</w:t>
      </w:r>
      <w:r w:rsidR="00955C23" w:rsidRPr="00C06B3A">
        <w:rPr>
          <w:rFonts w:ascii="Times New Roman" w:hAnsi="Times New Roman"/>
        </w:rPr>
        <w:t xml:space="preserve"> </w:t>
      </w:r>
      <w:r w:rsidRPr="00C06B3A">
        <w:rPr>
          <w:rFonts w:ascii="Times New Roman" w:hAnsi="Times New Roman"/>
        </w:rPr>
        <w:t xml:space="preserve">has a </w:t>
      </w:r>
      <w:r w:rsidR="00313D96" w:rsidRPr="00C06B3A">
        <w:rPr>
          <w:rFonts w:ascii="Times New Roman" w:hAnsi="Times New Roman"/>
        </w:rPr>
        <w:t xml:space="preserve">lengthy </w:t>
      </w:r>
      <w:r w:rsidRPr="00C06B3A">
        <w:rPr>
          <w:rFonts w:ascii="Times New Roman" w:hAnsi="Times New Roman"/>
        </w:rPr>
        <w:t>history of offending, which includes numerous aggravated burglaries, aggravated robberies and stealing motor vehicles</w:t>
      </w:r>
      <w:r w:rsidRPr="00C06B3A">
        <w:rPr>
          <w:rStyle w:val="FootnoteReference"/>
          <w:rFonts w:ascii="Times New Roman" w:hAnsi="Times New Roman"/>
          <w:sz w:val="24"/>
        </w:rPr>
        <w:footnoteReference w:id="6"/>
      </w:r>
      <w:r w:rsidRPr="00C06B3A">
        <w:rPr>
          <w:rFonts w:ascii="Times New Roman" w:hAnsi="Times New Roman"/>
        </w:rPr>
        <w:t xml:space="preserve">. </w:t>
      </w:r>
      <w:proofErr w:type="gramStart"/>
      <w:r w:rsidR="00BA5064" w:rsidRPr="00C06B3A">
        <w:rPr>
          <w:rFonts w:ascii="Times New Roman" w:hAnsi="Times New Roman"/>
        </w:rPr>
        <w:t>Generally speaking, he</w:t>
      </w:r>
      <w:proofErr w:type="gramEnd"/>
      <w:r w:rsidR="00BA5064" w:rsidRPr="00C06B3A">
        <w:rPr>
          <w:rFonts w:ascii="Times New Roman" w:hAnsi="Times New Roman"/>
        </w:rPr>
        <w:t xml:space="preserve"> has a record of poor behaviour while in custody</w:t>
      </w:r>
      <w:r w:rsidR="00BA5064" w:rsidRPr="00C06B3A">
        <w:rPr>
          <w:rStyle w:val="FootnoteReference"/>
          <w:rFonts w:ascii="Times New Roman" w:hAnsi="Times New Roman"/>
          <w:sz w:val="24"/>
        </w:rPr>
        <w:footnoteReference w:id="7"/>
      </w:r>
      <w:r w:rsidR="00BA5064" w:rsidRPr="00C06B3A">
        <w:rPr>
          <w:rFonts w:ascii="Times New Roman" w:hAnsi="Times New Roman"/>
        </w:rPr>
        <w:t xml:space="preserve">. </w:t>
      </w:r>
      <w:r w:rsidR="00B42E8A" w:rsidRPr="00C06B3A">
        <w:rPr>
          <w:rFonts w:ascii="Times New Roman" w:hAnsi="Times New Roman"/>
        </w:rPr>
        <w:t>H</w:t>
      </w:r>
      <w:r w:rsidR="00875ADA" w:rsidRPr="00C06B3A">
        <w:rPr>
          <w:rFonts w:ascii="Times New Roman" w:hAnsi="Times New Roman"/>
        </w:rPr>
        <w:t>is history of offending</w:t>
      </w:r>
      <w:r w:rsidR="00963C7F" w:rsidRPr="00C06B3A">
        <w:rPr>
          <w:rFonts w:ascii="Times New Roman" w:hAnsi="Times New Roman"/>
        </w:rPr>
        <w:t>, with his first recorded convictions in April 2007,</w:t>
      </w:r>
      <w:r w:rsidR="00875ADA" w:rsidRPr="00C06B3A">
        <w:rPr>
          <w:rFonts w:ascii="Times New Roman" w:hAnsi="Times New Roman"/>
        </w:rPr>
        <w:t xml:space="preserve"> is related to </w:t>
      </w:r>
      <w:r w:rsidR="0038244E" w:rsidRPr="00C06B3A">
        <w:rPr>
          <w:rFonts w:ascii="Times New Roman" w:hAnsi="Times New Roman"/>
        </w:rPr>
        <w:t>his</w:t>
      </w:r>
      <w:r w:rsidR="00B17209" w:rsidRPr="00C06B3A">
        <w:rPr>
          <w:rFonts w:ascii="Times New Roman" w:hAnsi="Times New Roman"/>
        </w:rPr>
        <w:t xml:space="preserve"> </w:t>
      </w:r>
      <w:r w:rsidR="00875ADA" w:rsidRPr="00C06B3A">
        <w:rPr>
          <w:rFonts w:ascii="Times New Roman" w:hAnsi="Times New Roman"/>
        </w:rPr>
        <w:t>abuse of alcohol and drugs</w:t>
      </w:r>
      <w:r w:rsidR="005813CB" w:rsidRPr="00C06B3A">
        <w:rPr>
          <w:rFonts w:ascii="Times New Roman" w:hAnsi="Times New Roman"/>
        </w:rPr>
        <w:t>,</w:t>
      </w:r>
      <w:r w:rsidR="00955C23" w:rsidRPr="00C06B3A">
        <w:rPr>
          <w:rFonts w:ascii="Times New Roman" w:hAnsi="Times New Roman"/>
        </w:rPr>
        <w:t xml:space="preserve"> </w:t>
      </w:r>
      <w:r w:rsidR="00313D96" w:rsidRPr="00C06B3A">
        <w:rPr>
          <w:rFonts w:ascii="Times New Roman" w:hAnsi="Times New Roman"/>
        </w:rPr>
        <w:t xml:space="preserve">which </w:t>
      </w:r>
      <w:r w:rsidR="003817E3" w:rsidRPr="00C06B3A">
        <w:rPr>
          <w:rFonts w:ascii="Times New Roman" w:hAnsi="Times New Roman"/>
        </w:rPr>
        <w:t xml:space="preserve">was already manifest </w:t>
      </w:r>
      <w:r w:rsidR="000C5C36" w:rsidRPr="00C06B3A">
        <w:rPr>
          <w:rFonts w:ascii="Times New Roman" w:hAnsi="Times New Roman"/>
        </w:rPr>
        <w:t>when he was</w:t>
      </w:r>
      <w:r w:rsidR="003817E3" w:rsidRPr="00C06B3A">
        <w:rPr>
          <w:rFonts w:ascii="Times New Roman" w:hAnsi="Times New Roman"/>
        </w:rPr>
        <w:t xml:space="preserve"> 12 years old</w:t>
      </w:r>
      <w:r w:rsidR="00875ADA" w:rsidRPr="00C06B3A">
        <w:rPr>
          <w:rFonts w:ascii="Times New Roman" w:hAnsi="Times New Roman"/>
        </w:rPr>
        <w:t>.</w:t>
      </w:r>
      <w:r w:rsidR="000932B7" w:rsidRPr="00C06B3A">
        <w:rPr>
          <w:rFonts w:ascii="Times New Roman" w:hAnsi="Times New Roman"/>
        </w:rPr>
        <w:t xml:space="preserve"> </w:t>
      </w:r>
      <w:r w:rsidR="00FB4236" w:rsidRPr="00C06B3A">
        <w:rPr>
          <w:rFonts w:ascii="Times New Roman" w:hAnsi="Times New Roman"/>
        </w:rPr>
        <w:t>Mr </w:t>
      </w:r>
      <w:proofErr w:type="spellStart"/>
      <w:r w:rsidR="00FB4236" w:rsidRPr="00C06B3A">
        <w:rPr>
          <w:rFonts w:ascii="Times New Roman" w:hAnsi="Times New Roman"/>
        </w:rPr>
        <w:t>Garlett</w:t>
      </w:r>
      <w:proofErr w:type="spellEnd"/>
      <w:r w:rsidR="00FB4236" w:rsidRPr="00C06B3A">
        <w:rPr>
          <w:rFonts w:ascii="Times New Roman" w:hAnsi="Times New Roman"/>
        </w:rPr>
        <w:t xml:space="preserve"> was released into the community in September 2017</w:t>
      </w:r>
      <w:r w:rsidR="003E1069" w:rsidRPr="00C06B3A">
        <w:rPr>
          <w:rFonts w:ascii="Times New Roman" w:hAnsi="Times New Roman"/>
        </w:rPr>
        <w:t xml:space="preserve"> from imprisonment for earlier offending,</w:t>
      </w:r>
      <w:r w:rsidR="00FB4236" w:rsidRPr="00C06B3A">
        <w:rPr>
          <w:rFonts w:ascii="Times New Roman" w:hAnsi="Times New Roman"/>
        </w:rPr>
        <w:t xml:space="preserve"> but shortly thereafter he tested positive for methylamphetamine, amphetamine and cannabis</w:t>
      </w:r>
      <w:r w:rsidR="003E1069" w:rsidRPr="00C06B3A">
        <w:rPr>
          <w:rStyle w:val="FootnoteReference"/>
          <w:rFonts w:ascii="Times New Roman" w:hAnsi="Times New Roman"/>
          <w:sz w:val="24"/>
        </w:rPr>
        <w:footnoteReference w:id="8"/>
      </w:r>
      <w:r w:rsidR="000F6759" w:rsidRPr="00C06B3A">
        <w:rPr>
          <w:rFonts w:ascii="Times New Roman" w:hAnsi="Times New Roman"/>
        </w:rPr>
        <w:t>.</w:t>
      </w:r>
      <w:r w:rsidR="00102E66" w:rsidRPr="00C06B3A">
        <w:rPr>
          <w:rFonts w:ascii="Times New Roman" w:hAnsi="Times New Roman"/>
        </w:rPr>
        <w:t xml:space="preserve"> It is noteworthy that the November 2017 offending occurred only two months later. By his admission, </w:t>
      </w:r>
      <w:r w:rsidR="008C3A99" w:rsidRPr="00C06B3A">
        <w:rPr>
          <w:rFonts w:ascii="Times New Roman" w:hAnsi="Times New Roman"/>
        </w:rPr>
        <w:t>Mr </w:t>
      </w:r>
      <w:proofErr w:type="spellStart"/>
      <w:r w:rsidR="008C3A99" w:rsidRPr="00C06B3A">
        <w:rPr>
          <w:rFonts w:ascii="Times New Roman" w:hAnsi="Times New Roman"/>
        </w:rPr>
        <w:t>Garlett</w:t>
      </w:r>
      <w:proofErr w:type="spellEnd"/>
      <w:r w:rsidR="008C3A99" w:rsidRPr="00C06B3A">
        <w:rPr>
          <w:rFonts w:ascii="Times New Roman" w:hAnsi="Times New Roman"/>
        </w:rPr>
        <w:t xml:space="preserve"> was injecting methylamphetamine daily at the time of that offending</w:t>
      </w:r>
      <w:r w:rsidR="00C610A6" w:rsidRPr="00C06B3A">
        <w:rPr>
          <w:rStyle w:val="FootnoteReference"/>
          <w:rFonts w:ascii="Times New Roman" w:hAnsi="Times New Roman"/>
          <w:sz w:val="24"/>
        </w:rPr>
        <w:footnoteReference w:id="9"/>
      </w:r>
      <w:r w:rsidR="008C3A99" w:rsidRPr="00C06B3A">
        <w:rPr>
          <w:rFonts w:ascii="Times New Roman" w:hAnsi="Times New Roman"/>
        </w:rPr>
        <w:t>.</w:t>
      </w:r>
    </w:p>
    <w:p w14:paraId="36260AB6" w14:textId="05C2F869" w:rsidR="00D71EB2" w:rsidRPr="00C06B3A" w:rsidRDefault="00DC76BD"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r>
      <w:r w:rsidR="00D71EB2" w:rsidRPr="00C06B3A">
        <w:rPr>
          <w:rFonts w:ascii="Times New Roman" w:hAnsi="Times New Roman"/>
        </w:rPr>
        <w:t xml:space="preserve">In </w:t>
      </w:r>
      <w:proofErr w:type="spellStart"/>
      <w:r w:rsidR="00D71EB2" w:rsidRPr="00C06B3A">
        <w:rPr>
          <w:rFonts w:ascii="Times New Roman" w:hAnsi="Times New Roman"/>
          <w:i/>
          <w:iCs/>
        </w:rPr>
        <w:t>Fardon</w:t>
      </w:r>
      <w:proofErr w:type="spellEnd"/>
      <w:r w:rsidR="00D71EB2" w:rsidRPr="00C06B3A">
        <w:rPr>
          <w:rFonts w:ascii="Times New Roman" w:hAnsi="Times New Roman"/>
          <w:i/>
          <w:iCs/>
        </w:rPr>
        <w:t xml:space="preserve"> v Attorney</w:t>
      </w:r>
      <w:r w:rsidR="00D71EB2" w:rsidRPr="00C06B3A">
        <w:rPr>
          <w:rFonts w:ascii="Times New Roman" w:hAnsi="Times New Roman"/>
          <w:i/>
          <w:iCs/>
        </w:rPr>
        <w:noBreakHyphen/>
        <w:t>General (Qld)</w:t>
      </w:r>
      <w:r w:rsidR="00D71EB2" w:rsidRPr="00C06B3A">
        <w:rPr>
          <w:rStyle w:val="FootnoteReference"/>
          <w:rFonts w:ascii="Times New Roman" w:hAnsi="Times New Roman"/>
          <w:iCs/>
          <w:sz w:val="24"/>
        </w:rPr>
        <w:footnoteReference w:id="10"/>
      </w:r>
      <w:r w:rsidR="00D71EB2" w:rsidRPr="00C06B3A">
        <w:rPr>
          <w:rFonts w:ascii="Times New Roman" w:hAnsi="Times New Roman"/>
        </w:rPr>
        <w:t xml:space="preserve">, Gleeson CJ observed that "difficult questions involving the reconciliation of rights to liberty and </w:t>
      </w:r>
      <w:r w:rsidR="005460C1" w:rsidRPr="00C06B3A">
        <w:rPr>
          <w:rFonts w:ascii="Times New Roman" w:hAnsi="Times New Roman"/>
        </w:rPr>
        <w:t xml:space="preserve">concerns for the </w:t>
      </w:r>
      <w:r w:rsidR="00D71EB2" w:rsidRPr="00C06B3A">
        <w:rPr>
          <w:rFonts w:ascii="Times New Roman" w:hAnsi="Times New Roman"/>
        </w:rPr>
        <w:t>protection of the community ... typically arise in the case of a small number of unfortunate individuals who suffer disorders which make them dangerous to others"</w:t>
      </w:r>
      <w:r w:rsidR="00C46F30" w:rsidRPr="00C06B3A">
        <w:rPr>
          <w:rFonts w:ascii="Times New Roman" w:hAnsi="Times New Roman"/>
        </w:rPr>
        <w:t>.</w:t>
      </w:r>
      <w:r w:rsidR="00D71EB2" w:rsidRPr="00C06B3A">
        <w:rPr>
          <w:rFonts w:ascii="Times New Roman" w:hAnsi="Times New Roman"/>
        </w:rPr>
        <w:t xml:space="preserve"> </w:t>
      </w:r>
      <w:r w:rsidR="0050114A" w:rsidRPr="00C06B3A">
        <w:rPr>
          <w:rFonts w:ascii="Times New Roman" w:hAnsi="Times New Roman"/>
        </w:rPr>
        <w:t>The November</w:t>
      </w:r>
      <w:r w:rsidR="00C46F30" w:rsidRPr="00C06B3A">
        <w:rPr>
          <w:rFonts w:ascii="Times New Roman" w:hAnsi="Times New Roman"/>
        </w:rPr>
        <w:t> </w:t>
      </w:r>
      <w:r w:rsidR="0050114A" w:rsidRPr="00C06B3A">
        <w:rPr>
          <w:rFonts w:ascii="Times New Roman" w:hAnsi="Times New Roman"/>
        </w:rPr>
        <w:t>2017 offending, and Mr </w:t>
      </w:r>
      <w:proofErr w:type="spellStart"/>
      <w:r w:rsidR="0050114A" w:rsidRPr="00C06B3A">
        <w:rPr>
          <w:rFonts w:ascii="Times New Roman" w:hAnsi="Times New Roman"/>
        </w:rPr>
        <w:t>Garlett's</w:t>
      </w:r>
      <w:proofErr w:type="spellEnd"/>
      <w:r w:rsidR="0050114A" w:rsidRPr="00C06B3A">
        <w:rPr>
          <w:rFonts w:ascii="Times New Roman" w:hAnsi="Times New Roman"/>
        </w:rPr>
        <w:t xml:space="preserve"> </w:t>
      </w:r>
      <w:r w:rsidR="00D71EB2" w:rsidRPr="00C06B3A">
        <w:rPr>
          <w:rFonts w:ascii="Times New Roman" w:hAnsi="Times New Roman"/>
        </w:rPr>
        <w:t xml:space="preserve">history of offending, associated with </w:t>
      </w:r>
      <w:r w:rsidR="00945761" w:rsidRPr="00C06B3A">
        <w:rPr>
          <w:rFonts w:ascii="Times New Roman" w:hAnsi="Times New Roman"/>
        </w:rPr>
        <w:t>his long</w:t>
      </w:r>
      <w:r w:rsidR="00945761" w:rsidRPr="00C06B3A">
        <w:rPr>
          <w:rFonts w:ascii="Times New Roman" w:hAnsi="Times New Roman"/>
        </w:rPr>
        <w:noBreakHyphen/>
        <w:t xml:space="preserve">term </w:t>
      </w:r>
      <w:r w:rsidR="00D71EB2" w:rsidRPr="00C06B3A">
        <w:rPr>
          <w:rFonts w:ascii="Times New Roman" w:hAnsi="Times New Roman"/>
        </w:rPr>
        <w:t xml:space="preserve">abuse of </w:t>
      </w:r>
      <w:r w:rsidR="00C46F30" w:rsidRPr="00C06B3A">
        <w:rPr>
          <w:rFonts w:ascii="Times New Roman" w:hAnsi="Times New Roman"/>
        </w:rPr>
        <w:t xml:space="preserve">alcohol and </w:t>
      </w:r>
      <w:r w:rsidR="0050114A" w:rsidRPr="00C06B3A">
        <w:rPr>
          <w:rFonts w:ascii="Times New Roman" w:hAnsi="Times New Roman"/>
        </w:rPr>
        <w:t>drugs,</w:t>
      </w:r>
      <w:r w:rsidR="00631691" w:rsidRPr="00C06B3A">
        <w:rPr>
          <w:rFonts w:ascii="Times New Roman" w:hAnsi="Times New Roman"/>
        </w:rPr>
        <w:t xml:space="preserve"> particularly </w:t>
      </w:r>
      <w:r w:rsidR="00D71EB2" w:rsidRPr="00C06B3A">
        <w:rPr>
          <w:rFonts w:ascii="Times New Roman" w:hAnsi="Times New Roman"/>
        </w:rPr>
        <w:t>methylamphetamine</w:t>
      </w:r>
      <w:r w:rsidR="00631691" w:rsidRPr="00C06B3A">
        <w:rPr>
          <w:rFonts w:ascii="Times New Roman" w:hAnsi="Times New Roman"/>
        </w:rPr>
        <w:t xml:space="preserve">, </w:t>
      </w:r>
      <w:r w:rsidR="00442209" w:rsidRPr="00C06B3A">
        <w:rPr>
          <w:rFonts w:ascii="Times New Roman" w:hAnsi="Times New Roman"/>
        </w:rPr>
        <w:t xml:space="preserve">may </w:t>
      </w:r>
      <w:r w:rsidR="00945761" w:rsidRPr="00C06B3A">
        <w:rPr>
          <w:rFonts w:ascii="Times New Roman" w:hAnsi="Times New Roman"/>
        </w:rPr>
        <w:t xml:space="preserve">be reason for a concern </w:t>
      </w:r>
      <w:r w:rsidR="0053470B" w:rsidRPr="00C06B3A">
        <w:rPr>
          <w:rFonts w:ascii="Times New Roman" w:hAnsi="Times New Roman"/>
        </w:rPr>
        <w:t xml:space="preserve">that he is </w:t>
      </w:r>
      <w:r w:rsidR="00D71EB2" w:rsidRPr="00C06B3A">
        <w:rPr>
          <w:rFonts w:ascii="Times New Roman" w:hAnsi="Times New Roman"/>
        </w:rPr>
        <w:t>one of these unfortunate individuals.</w:t>
      </w:r>
    </w:p>
    <w:p w14:paraId="745943CE" w14:textId="318C3947" w:rsidR="001D104F" w:rsidRPr="00C06B3A" w:rsidRDefault="00A6738E"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EC4C7F" w:rsidRPr="00C06B3A">
        <w:rPr>
          <w:rFonts w:ascii="Times New Roman" w:hAnsi="Times New Roman"/>
        </w:rPr>
        <w:t xml:space="preserve">The </w:t>
      </w:r>
      <w:proofErr w:type="gramStart"/>
      <w:r w:rsidRPr="00C06B3A">
        <w:rPr>
          <w:rFonts w:ascii="Times New Roman" w:hAnsi="Times New Roman"/>
          <w:i/>
        </w:rPr>
        <w:t>High Risk</w:t>
      </w:r>
      <w:proofErr w:type="gramEnd"/>
      <w:r w:rsidRPr="00C06B3A">
        <w:rPr>
          <w:rFonts w:ascii="Times New Roman" w:hAnsi="Times New Roman"/>
          <w:i/>
        </w:rPr>
        <w:t xml:space="preserve"> Serious Offenders Act 2020 </w:t>
      </w:r>
      <w:r w:rsidRPr="00C06B3A">
        <w:rPr>
          <w:rFonts w:ascii="Times New Roman" w:hAnsi="Times New Roman"/>
        </w:rPr>
        <w:t>(WA) ("the HRSO</w:t>
      </w:r>
      <w:r w:rsidR="00B12F7F" w:rsidRPr="00C06B3A">
        <w:rPr>
          <w:rFonts w:ascii="Times New Roman" w:hAnsi="Times New Roman"/>
        </w:rPr>
        <w:t> </w:t>
      </w:r>
      <w:r w:rsidRPr="00C06B3A">
        <w:rPr>
          <w:rFonts w:ascii="Times New Roman" w:hAnsi="Times New Roman"/>
        </w:rPr>
        <w:t xml:space="preserve">Act") </w:t>
      </w:r>
      <w:r w:rsidR="00AE1817" w:rsidRPr="00C06B3A">
        <w:rPr>
          <w:rFonts w:ascii="Times New Roman" w:hAnsi="Times New Roman"/>
        </w:rPr>
        <w:t>is addressed to that concern</w:t>
      </w:r>
      <w:r w:rsidR="001C6513" w:rsidRPr="00C06B3A">
        <w:rPr>
          <w:rFonts w:ascii="Times New Roman" w:hAnsi="Times New Roman"/>
        </w:rPr>
        <w:t xml:space="preserve"> and to reconciling that concern with the right to liberty</w:t>
      </w:r>
      <w:r w:rsidR="00AE1817" w:rsidRPr="00C06B3A">
        <w:rPr>
          <w:rFonts w:ascii="Times New Roman" w:hAnsi="Times New Roman"/>
        </w:rPr>
        <w:t xml:space="preserve">. </w:t>
      </w:r>
      <w:r w:rsidR="00457459" w:rsidRPr="00C06B3A">
        <w:rPr>
          <w:rFonts w:ascii="Times New Roman" w:hAnsi="Times New Roman"/>
        </w:rPr>
        <w:t>The HRSO</w:t>
      </w:r>
      <w:r w:rsidR="00B12F7F" w:rsidRPr="00C06B3A">
        <w:rPr>
          <w:rFonts w:ascii="Times New Roman" w:hAnsi="Times New Roman"/>
        </w:rPr>
        <w:t> </w:t>
      </w:r>
      <w:r w:rsidR="00457459" w:rsidRPr="00C06B3A">
        <w:rPr>
          <w:rFonts w:ascii="Times New Roman" w:hAnsi="Times New Roman"/>
        </w:rPr>
        <w:t>Act</w:t>
      </w:r>
      <w:r w:rsidR="00AE1817" w:rsidRPr="00C06B3A">
        <w:rPr>
          <w:rFonts w:ascii="Times New Roman" w:hAnsi="Times New Roman"/>
        </w:rPr>
        <w:t xml:space="preserve"> </w:t>
      </w:r>
      <w:r w:rsidRPr="00C06B3A">
        <w:rPr>
          <w:rFonts w:ascii="Times New Roman" w:hAnsi="Times New Roman"/>
        </w:rPr>
        <w:t xml:space="preserve">provides that the first respondent ("the State") may apply to the Supreme Court </w:t>
      </w:r>
      <w:r w:rsidR="00217206" w:rsidRPr="00C06B3A">
        <w:rPr>
          <w:rFonts w:ascii="Times New Roman" w:hAnsi="Times New Roman"/>
        </w:rPr>
        <w:t xml:space="preserve">of Western Australia </w:t>
      </w:r>
      <w:r w:rsidRPr="00C06B3A">
        <w:rPr>
          <w:rFonts w:ascii="Times New Roman" w:hAnsi="Times New Roman"/>
        </w:rPr>
        <w:t>for a restriction order in relation to a "serious offender under custodial sentence who is not a serious offender under restriction"</w:t>
      </w:r>
      <w:r w:rsidRPr="00C06B3A">
        <w:rPr>
          <w:rStyle w:val="FootnoteReference"/>
          <w:rFonts w:ascii="Times New Roman" w:hAnsi="Times New Roman"/>
          <w:sz w:val="24"/>
        </w:rPr>
        <w:footnoteReference w:id="11"/>
      </w:r>
      <w:r w:rsidRPr="00C06B3A">
        <w:rPr>
          <w:rFonts w:ascii="Times New Roman" w:hAnsi="Times New Roman"/>
        </w:rPr>
        <w:t>.</w:t>
      </w:r>
      <w:r w:rsidR="00BB75C8" w:rsidRPr="00C06B3A">
        <w:rPr>
          <w:rFonts w:ascii="Times New Roman" w:hAnsi="Times New Roman"/>
        </w:rPr>
        <w:t xml:space="preserve"> </w:t>
      </w:r>
    </w:p>
    <w:p w14:paraId="4E9DC5BF" w14:textId="024BF66A" w:rsidR="00F70EF6" w:rsidRPr="00C06B3A" w:rsidRDefault="001D104F"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BB75C8" w:rsidRPr="00C06B3A">
        <w:rPr>
          <w:rFonts w:ascii="Times New Roman" w:hAnsi="Times New Roman"/>
        </w:rPr>
        <w:t>On</w:t>
      </w:r>
      <w:r w:rsidR="00A6738E" w:rsidRPr="00C06B3A">
        <w:rPr>
          <w:rFonts w:ascii="Times New Roman" w:hAnsi="Times New Roman"/>
        </w:rPr>
        <w:t xml:space="preserve"> 29 July 2021, the State applied for a restriction order</w:t>
      </w:r>
      <w:r w:rsidR="00CC4994" w:rsidRPr="00C06B3A">
        <w:rPr>
          <w:rFonts w:ascii="Times New Roman" w:hAnsi="Times New Roman"/>
        </w:rPr>
        <w:t xml:space="preserve"> in relation to Mr </w:t>
      </w:r>
      <w:proofErr w:type="spellStart"/>
      <w:r w:rsidR="00CC4994" w:rsidRPr="00C06B3A">
        <w:rPr>
          <w:rFonts w:ascii="Times New Roman" w:hAnsi="Times New Roman"/>
        </w:rPr>
        <w:t>Garlett</w:t>
      </w:r>
      <w:proofErr w:type="spellEnd"/>
      <w:r w:rsidR="00C07F82" w:rsidRPr="00C06B3A">
        <w:rPr>
          <w:rFonts w:ascii="Times New Roman" w:hAnsi="Times New Roman"/>
        </w:rPr>
        <w:t xml:space="preserve">, </w:t>
      </w:r>
      <w:proofErr w:type="gramStart"/>
      <w:r w:rsidR="00C07F82" w:rsidRPr="00C06B3A">
        <w:rPr>
          <w:rFonts w:ascii="Times New Roman" w:hAnsi="Times New Roman"/>
        </w:rPr>
        <w:t>on the basis of</w:t>
      </w:r>
      <w:proofErr w:type="gramEnd"/>
      <w:r w:rsidR="00C07F82" w:rsidRPr="00C06B3A">
        <w:rPr>
          <w:rFonts w:ascii="Times New Roman" w:hAnsi="Times New Roman"/>
        </w:rPr>
        <w:t xml:space="preserve"> the November 2017 offending</w:t>
      </w:r>
      <w:r w:rsidR="00BB75C8" w:rsidRPr="00C06B3A">
        <w:rPr>
          <w:rFonts w:ascii="Times New Roman" w:hAnsi="Times New Roman"/>
        </w:rPr>
        <w:t>.</w:t>
      </w:r>
      <w:r w:rsidR="00A6738E" w:rsidRPr="00C06B3A">
        <w:rPr>
          <w:rFonts w:ascii="Times New Roman" w:hAnsi="Times New Roman"/>
        </w:rPr>
        <w:t xml:space="preserve"> </w:t>
      </w:r>
      <w:r w:rsidR="00D71EB2" w:rsidRPr="00C06B3A">
        <w:rPr>
          <w:rFonts w:ascii="Times New Roman" w:hAnsi="Times New Roman"/>
        </w:rPr>
        <w:t>In response to the</w:t>
      </w:r>
      <w:r w:rsidRPr="00C06B3A">
        <w:rPr>
          <w:rFonts w:ascii="Times New Roman" w:hAnsi="Times New Roman"/>
        </w:rPr>
        <w:t xml:space="preserve"> State's</w:t>
      </w:r>
      <w:r w:rsidR="00D71EB2" w:rsidRPr="00C06B3A">
        <w:rPr>
          <w:rFonts w:ascii="Times New Roman" w:hAnsi="Times New Roman"/>
        </w:rPr>
        <w:t xml:space="preserve"> application</w:t>
      </w:r>
      <w:r w:rsidR="00535AF0" w:rsidRPr="00C06B3A">
        <w:rPr>
          <w:rFonts w:ascii="Times New Roman" w:hAnsi="Times New Roman"/>
        </w:rPr>
        <w:t xml:space="preserve">, </w:t>
      </w:r>
      <w:r w:rsidR="00F70EF6" w:rsidRPr="00C06B3A">
        <w:rPr>
          <w:rFonts w:ascii="Times New Roman" w:hAnsi="Times New Roman"/>
        </w:rPr>
        <w:t>Mr</w:t>
      </w:r>
      <w:r w:rsidR="00535AF0" w:rsidRPr="00C06B3A">
        <w:rPr>
          <w:rFonts w:ascii="Times New Roman" w:hAnsi="Times New Roman"/>
        </w:rPr>
        <w:t> </w:t>
      </w:r>
      <w:proofErr w:type="spellStart"/>
      <w:r w:rsidR="00F70EF6" w:rsidRPr="00C06B3A">
        <w:rPr>
          <w:rFonts w:ascii="Times New Roman" w:hAnsi="Times New Roman"/>
        </w:rPr>
        <w:t>Garlett</w:t>
      </w:r>
      <w:proofErr w:type="spellEnd"/>
      <w:r w:rsidR="00F70EF6" w:rsidRPr="00C06B3A">
        <w:rPr>
          <w:rFonts w:ascii="Times New Roman" w:hAnsi="Times New Roman"/>
        </w:rPr>
        <w:t xml:space="preserve"> challenge</w:t>
      </w:r>
      <w:r w:rsidR="00D9327E" w:rsidRPr="00C06B3A">
        <w:rPr>
          <w:rFonts w:ascii="Times New Roman" w:hAnsi="Times New Roman"/>
        </w:rPr>
        <w:t>d</w:t>
      </w:r>
      <w:r w:rsidR="00F70EF6" w:rsidRPr="00C06B3A">
        <w:rPr>
          <w:rFonts w:ascii="Times New Roman" w:hAnsi="Times New Roman"/>
        </w:rPr>
        <w:t xml:space="preserve"> the validity of the HRSO</w:t>
      </w:r>
      <w:r w:rsidR="00C129C4" w:rsidRPr="00C06B3A">
        <w:rPr>
          <w:rFonts w:ascii="Times New Roman" w:hAnsi="Times New Roman"/>
        </w:rPr>
        <w:t> </w:t>
      </w:r>
      <w:r w:rsidR="00F70EF6" w:rsidRPr="00C06B3A">
        <w:rPr>
          <w:rFonts w:ascii="Times New Roman" w:hAnsi="Times New Roman"/>
        </w:rPr>
        <w:t xml:space="preserve">Act or parts of </w:t>
      </w:r>
      <w:r w:rsidR="00D9327E" w:rsidRPr="00C06B3A">
        <w:rPr>
          <w:rFonts w:ascii="Times New Roman" w:hAnsi="Times New Roman"/>
        </w:rPr>
        <w:t>it.</w:t>
      </w:r>
      <w:r w:rsidR="00F70EF6" w:rsidRPr="00C06B3A">
        <w:rPr>
          <w:rFonts w:ascii="Times New Roman" w:hAnsi="Times New Roman"/>
        </w:rPr>
        <w:t xml:space="preserve"> Subsequently, </w:t>
      </w:r>
      <w:r w:rsidR="00114A20" w:rsidRPr="00C06B3A">
        <w:rPr>
          <w:rFonts w:ascii="Times New Roman" w:hAnsi="Times New Roman"/>
        </w:rPr>
        <w:t>his</w:t>
      </w:r>
      <w:r w:rsidR="00F70EF6" w:rsidRPr="00C06B3A">
        <w:rPr>
          <w:rFonts w:ascii="Times New Roman" w:hAnsi="Times New Roman"/>
        </w:rPr>
        <w:t xml:space="preserve"> </w:t>
      </w:r>
      <w:r w:rsidR="00DC1CFB" w:rsidRPr="00C06B3A">
        <w:rPr>
          <w:rFonts w:ascii="Times New Roman" w:hAnsi="Times New Roman"/>
        </w:rPr>
        <w:t>challenge was</w:t>
      </w:r>
      <w:r w:rsidR="002649D8" w:rsidRPr="00C06B3A">
        <w:rPr>
          <w:rFonts w:ascii="Times New Roman" w:hAnsi="Times New Roman"/>
        </w:rPr>
        <w:t xml:space="preserve"> confined to</w:t>
      </w:r>
      <w:r w:rsidR="00114A20" w:rsidRPr="00C06B3A">
        <w:rPr>
          <w:rFonts w:ascii="Times New Roman" w:hAnsi="Times New Roman"/>
        </w:rPr>
        <w:t xml:space="preserve"> the validity of</w:t>
      </w:r>
      <w:r w:rsidR="002649D8" w:rsidRPr="00C06B3A">
        <w:rPr>
          <w:rFonts w:ascii="Times New Roman" w:hAnsi="Times New Roman"/>
        </w:rPr>
        <w:t xml:space="preserve"> </w:t>
      </w:r>
      <w:r w:rsidR="007B29CA" w:rsidRPr="00C06B3A">
        <w:rPr>
          <w:rFonts w:ascii="Times New Roman" w:hAnsi="Times New Roman"/>
        </w:rPr>
        <w:t>i</w:t>
      </w:r>
      <w:r w:rsidR="00F70EF6" w:rsidRPr="00C06B3A">
        <w:rPr>
          <w:rFonts w:ascii="Times New Roman" w:hAnsi="Times New Roman"/>
        </w:rPr>
        <w:t>tem</w:t>
      </w:r>
      <w:r w:rsidR="007B29CA" w:rsidRPr="00C06B3A">
        <w:rPr>
          <w:rFonts w:ascii="Times New Roman" w:hAnsi="Times New Roman"/>
        </w:rPr>
        <w:t>s 34 and 35</w:t>
      </w:r>
      <w:r w:rsidR="00F70EF6" w:rsidRPr="00C06B3A">
        <w:rPr>
          <w:rFonts w:ascii="Times New Roman" w:hAnsi="Times New Roman"/>
        </w:rPr>
        <w:t xml:space="preserve"> of </w:t>
      </w:r>
      <w:proofErr w:type="spellStart"/>
      <w:r w:rsidR="00505DA2" w:rsidRPr="00C06B3A">
        <w:rPr>
          <w:rFonts w:ascii="Times New Roman" w:hAnsi="Times New Roman"/>
        </w:rPr>
        <w:t>Subdiv</w:t>
      </w:r>
      <w:proofErr w:type="spellEnd"/>
      <w:r w:rsidR="00505DA2" w:rsidRPr="00C06B3A">
        <w:rPr>
          <w:rFonts w:ascii="Times New Roman" w:hAnsi="Times New Roman"/>
        </w:rPr>
        <w:t xml:space="preserve"> 3 of </w:t>
      </w:r>
      <w:proofErr w:type="spellStart"/>
      <w:r w:rsidR="00505DA2" w:rsidRPr="00C06B3A">
        <w:rPr>
          <w:rFonts w:ascii="Times New Roman" w:hAnsi="Times New Roman"/>
        </w:rPr>
        <w:t>Div</w:t>
      </w:r>
      <w:proofErr w:type="spellEnd"/>
      <w:r w:rsidR="00505DA2" w:rsidRPr="00C06B3A">
        <w:rPr>
          <w:rFonts w:ascii="Times New Roman" w:hAnsi="Times New Roman"/>
        </w:rPr>
        <w:t xml:space="preserve"> 1 of </w:t>
      </w:r>
      <w:r w:rsidR="00F70EF6" w:rsidRPr="00C06B3A">
        <w:rPr>
          <w:rFonts w:ascii="Times New Roman" w:hAnsi="Times New Roman"/>
        </w:rPr>
        <w:t xml:space="preserve">Sch 1 to the HRSO Act. </w:t>
      </w:r>
      <w:r w:rsidR="009E2684" w:rsidRPr="00C06B3A">
        <w:rPr>
          <w:rFonts w:ascii="Times New Roman" w:hAnsi="Times New Roman"/>
        </w:rPr>
        <w:t>Th</w:t>
      </w:r>
      <w:r w:rsidR="007B29CA" w:rsidRPr="00C06B3A">
        <w:rPr>
          <w:rFonts w:ascii="Times New Roman" w:hAnsi="Times New Roman"/>
        </w:rPr>
        <w:t>ese</w:t>
      </w:r>
      <w:r w:rsidR="009E2684" w:rsidRPr="00C06B3A">
        <w:rPr>
          <w:rFonts w:ascii="Times New Roman" w:hAnsi="Times New Roman"/>
        </w:rPr>
        <w:t xml:space="preserve"> item</w:t>
      </w:r>
      <w:r w:rsidR="007B29CA" w:rsidRPr="00C06B3A">
        <w:rPr>
          <w:rFonts w:ascii="Times New Roman" w:hAnsi="Times New Roman"/>
        </w:rPr>
        <w:t xml:space="preserve">s </w:t>
      </w:r>
      <w:r w:rsidR="009E2684" w:rsidRPr="00C06B3A">
        <w:rPr>
          <w:rFonts w:ascii="Times New Roman" w:hAnsi="Times New Roman"/>
        </w:rPr>
        <w:t>specif</w:t>
      </w:r>
      <w:r w:rsidR="007B29CA" w:rsidRPr="00C06B3A">
        <w:rPr>
          <w:rFonts w:ascii="Times New Roman" w:hAnsi="Times New Roman"/>
        </w:rPr>
        <w:t>y</w:t>
      </w:r>
      <w:r w:rsidR="009E2684" w:rsidRPr="00C06B3A">
        <w:rPr>
          <w:rFonts w:ascii="Times New Roman" w:hAnsi="Times New Roman"/>
        </w:rPr>
        <w:t xml:space="preserve"> that the offence</w:t>
      </w:r>
      <w:r w:rsidR="0011449D" w:rsidRPr="00C06B3A">
        <w:rPr>
          <w:rFonts w:ascii="Times New Roman" w:hAnsi="Times New Roman"/>
        </w:rPr>
        <w:t>s</w:t>
      </w:r>
      <w:r w:rsidR="009E2684" w:rsidRPr="00C06B3A">
        <w:rPr>
          <w:rFonts w:ascii="Times New Roman" w:hAnsi="Times New Roman"/>
        </w:rPr>
        <w:t xml:space="preserve"> of robbery</w:t>
      </w:r>
      <w:r w:rsidR="0011449D" w:rsidRPr="00C06B3A">
        <w:rPr>
          <w:rFonts w:ascii="Times New Roman" w:hAnsi="Times New Roman"/>
        </w:rPr>
        <w:t xml:space="preserve"> and assault with intent to rob</w:t>
      </w:r>
      <w:r w:rsidR="00F70EF6" w:rsidRPr="00C06B3A">
        <w:rPr>
          <w:rStyle w:val="FootnoteReference"/>
          <w:rFonts w:ascii="Times New Roman" w:hAnsi="Times New Roman"/>
          <w:sz w:val="24"/>
        </w:rPr>
        <w:footnoteReference w:id="12"/>
      </w:r>
      <w:r w:rsidR="00F70EF6" w:rsidRPr="00C06B3A">
        <w:rPr>
          <w:rFonts w:ascii="Times New Roman" w:hAnsi="Times New Roman"/>
        </w:rPr>
        <w:t> </w:t>
      </w:r>
      <w:r w:rsidR="00F878D7" w:rsidRPr="00C06B3A">
        <w:rPr>
          <w:rFonts w:ascii="Times New Roman" w:hAnsi="Times New Roman"/>
        </w:rPr>
        <w:t>–</w:t>
      </w:r>
      <w:r w:rsidR="00F70EF6" w:rsidRPr="00C06B3A">
        <w:rPr>
          <w:rFonts w:ascii="Times New Roman" w:hAnsi="Times New Roman"/>
        </w:rPr>
        <w:t xml:space="preserve"> </w:t>
      </w:r>
      <w:r w:rsidR="009129EF" w:rsidRPr="00C06B3A">
        <w:rPr>
          <w:rFonts w:ascii="Times New Roman" w:hAnsi="Times New Roman"/>
        </w:rPr>
        <w:t xml:space="preserve">of </w:t>
      </w:r>
      <w:r w:rsidR="00F70EF6" w:rsidRPr="00C06B3A">
        <w:rPr>
          <w:rFonts w:ascii="Times New Roman" w:hAnsi="Times New Roman"/>
        </w:rPr>
        <w:t>which Mr </w:t>
      </w:r>
      <w:proofErr w:type="spellStart"/>
      <w:r w:rsidR="00F70EF6" w:rsidRPr="00C06B3A">
        <w:rPr>
          <w:rFonts w:ascii="Times New Roman" w:hAnsi="Times New Roman"/>
        </w:rPr>
        <w:t>Garlett</w:t>
      </w:r>
      <w:proofErr w:type="spellEnd"/>
      <w:r w:rsidR="00F70EF6" w:rsidRPr="00C06B3A">
        <w:rPr>
          <w:rFonts w:ascii="Times New Roman" w:hAnsi="Times New Roman"/>
        </w:rPr>
        <w:t xml:space="preserve"> was convicted </w:t>
      </w:r>
      <w:r w:rsidR="001223D7" w:rsidRPr="00C06B3A">
        <w:rPr>
          <w:rFonts w:ascii="Times New Roman" w:hAnsi="Times New Roman"/>
        </w:rPr>
        <w:t>–</w:t>
      </w:r>
      <w:r w:rsidR="00F70EF6" w:rsidRPr="00C06B3A">
        <w:rPr>
          <w:rFonts w:ascii="Times New Roman" w:hAnsi="Times New Roman"/>
        </w:rPr>
        <w:t xml:space="preserve"> </w:t>
      </w:r>
      <w:r w:rsidR="0011449D" w:rsidRPr="00C06B3A">
        <w:rPr>
          <w:rFonts w:ascii="Times New Roman" w:hAnsi="Times New Roman"/>
        </w:rPr>
        <w:t>are both</w:t>
      </w:r>
      <w:r w:rsidR="000B6AC1" w:rsidRPr="00C06B3A">
        <w:rPr>
          <w:rFonts w:ascii="Times New Roman" w:hAnsi="Times New Roman"/>
        </w:rPr>
        <w:t xml:space="preserve"> a </w:t>
      </w:r>
      <w:r w:rsidR="00F70EF6" w:rsidRPr="00C06B3A">
        <w:rPr>
          <w:rFonts w:ascii="Times New Roman" w:hAnsi="Times New Roman"/>
        </w:rPr>
        <w:t>"serious offence" for the purposes of the HRSO Act</w:t>
      </w:r>
      <w:r w:rsidR="00F70EF6" w:rsidRPr="00C06B3A">
        <w:rPr>
          <w:rStyle w:val="FootnoteReference"/>
          <w:rFonts w:ascii="Times New Roman" w:hAnsi="Times New Roman"/>
          <w:sz w:val="24"/>
        </w:rPr>
        <w:footnoteReference w:id="13"/>
      </w:r>
      <w:r w:rsidR="00F70EF6" w:rsidRPr="00C06B3A">
        <w:rPr>
          <w:rFonts w:ascii="Times New Roman" w:hAnsi="Times New Roman"/>
        </w:rPr>
        <w:t>.</w:t>
      </w:r>
    </w:p>
    <w:p w14:paraId="7B827CF7" w14:textId="23B35680" w:rsidR="00CA3610" w:rsidRPr="00C06B3A" w:rsidRDefault="00E2759C"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077D6C" w:rsidRPr="00C06B3A">
        <w:rPr>
          <w:rFonts w:ascii="Times New Roman" w:hAnsi="Times New Roman"/>
        </w:rPr>
        <w:t xml:space="preserve">Initially, </w:t>
      </w:r>
      <w:r w:rsidR="0075703B" w:rsidRPr="00C06B3A">
        <w:rPr>
          <w:rFonts w:ascii="Times New Roman" w:hAnsi="Times New Roman"/>
        </w:rPr>
        <w:t xml:space="preserve">Mr </w:t>
      </w:r>
      <w:proofErr w:type="spellStart"/>
      <w:r w:rsidR="0075703B" w:rsidRPr="00C06B3A">
        <w:rPr>
          <w:rFonts w:ascii="Times New Roman" w:hAnsi="Times New Roman"/>
        </w:rPr>
        <w:t>Garlett</w:t>
      </w:r>
      <w:r w:rsidR="0089634A" w:rsidRPr="00C06B3A">
        <w:rPr>
          <w:rFonts w:ascii="Times New Roman" w:hAnsi="Times New Roman"/>
        </w:rPr>
        <w:t>'s</w:t>
      </w:r>
      <w:proofErr w:type="spellEnd"/>
      <w:r w:rsidR="0075703B" w:rsidRPr="00C06B3A">
        <w:rPr>
          <w:rFonts w:ascii="Times New Roman" w:hAnsi="Times New Roman"/>
        </w:rPr>
        <w:t xml:space="preserve"> challenge </w:t>
      </w:r>
      <w:r w:rsidR="0089634A" w:rsidRPr="00C06B3A">
        <w:rPr>
          <w:rFonts w:ascii="Times New Roman" w:hAnsi="Times New Roman"/>
        </w:rPr>
        <w:t>was put</w:t>
      </w:r>
      <w:r w:rsidR="004C148C" w:rsidRPr="00C06B3A">
        <w:rPr>
          <w:rFonts w:ascii="Times New Roman" w:hAnsi="Times New Roman"/>
        </w:rPr>
        <w:t xml:space="preserve"> on several bases</w:t>
      </w:r>
      <w:r w:rsidR="00562A60" w:rsidRPr="00C06B3A">
        <w:rPr>
          <w:rStyle w:val="FootnoteReference"/>
          <w:rFonts w:ascii="Times New Roman" w:hAnsi="Times New Roman"/>
          <w:sz w:val="24"/>
        </w:rPr>
        <w:footnoteReference w:id="14"/>
      </w:r>
      <w:r w:rsidR="00A83762" w:rsidRPr="00C06B3A">
        <w:rPr>
          <w:rFonts w:ascii="Times New Roman" w:hAnsi="Times New Roman"/>
        </w:rPr>
        <w:t>; but t</w:t>
      </w:r>
      <w:r w:rsidR="009E7D42" w:rsidRPr="00C06B3A">
        <w:rPr>
          <w:rFonts w:ascii="Times New Roman" w:hAnsi="Times New Roman"/>
        </w:rPr>
        <w:t>he</w:t>
      </w:r>
      <w:r w:rsidR="00C37AFC" w:rsidRPr="00C06B3A">
        <w:rPr>
          <w:rFonts w:ascii="Times New Roman" w:hAnsi="Times New Roman"/>
        </w:rPr>
        <w:t xml:space="preserve"> only basis now </w:t>
      </w:r>
      <w:r w:rsidR="00F7342A" w:rsidRPr="00C06B3A">
        <w:rPr>
          <w:rFonts w:ascii="Times New Roman" w:hAnsi="Times New Roman"/>
        </w:rPr>
        <w:t>pursued is</w:t>
      </w:r>
      <w:r w:rsidR="00C37AFC" w:rsidRPr="00C06B3A">
        <w:rPr>
          <w:rFonts w:ascii="Times New Roman" w:hAnsi="Times New Roman"/>
        </w:rPr>
        <w:t xml:space="preserve"> that </w:t>
      </w:r>
      <w:r w:rsidR="00203E74" w:rsidRPr="00C06B3A">
        <w:rPr>
          <w:rFonts w:ascii="Times New Roman" w:hAnsi="Times New Roman"/>
        </w:rPr>
        <w:t>the HRSO</w:t>
      </w:r>
      <w:r w:rsidR="00481779" w:rsidRPr="00C06B3A">
        <w:rPr>
          <w:rFonts w:ascii="Times New Roman" w:hAnsi="Times New Roman"/>
        </w:rPr>
        <w:t> </w:t>
      </w:r>
      <w:r w:rsidR="00203E74" w:rsidRPr="00C06B3A">
        <w:rPr>
          <w:rFonts w:ascii="Times New Roman" w:hAnsi="Times New Roman"/>
        </w:rPr>
        <w:t>Act</w:t>
      </w:r>
      <w:r w:rsidR="00481779" w:rsidRPr="00C06B3A">
        <w:rPr>
          <w:rFonts w:ascii="Times New Roman" w:hAnsi="Times New Roman"/>
        </w:rPr>
        <w:t>, insofar as its provisions apply to a person who has been convicted of robbery, as referred to in item 34,</w:t>
      </w:r>
      <w:r w:rsidR="00203E74" w:rsidRPr="00C06B3A">
        <w:rPr>
          <w:rFonts w:ascii="Times New Roman" w:hAnsi="Times New Roman"/>
        </w:rPr>
        <w:t xml:space="preserve"> </w:t>
      </w:r>
      <w:r w:rsidR="003C5364" w:rsidRPr="00C06B3A">
        <w:rPr>
          <w:rFonts w:ascii="Times New Roman" w:hAnsi="Times New Roman"/>
        </w:rPr>
        <w:t xml:space="preserve">is contrary to </w:t>
      </w:r>
      <w:r w:rsidR="00C37AFC" w:rsidRPr="00C06B3A">
        <w:rPr>
          <w:rFonts w:ascii="Times New Roman" w:hAnsi="Times New Roman"/>
        </w:rPr>
        <w:t xml:space="preserve">Ch III of the </w:t>
      </w:r>
      <w:r w:rsidR="00C37AFC" w:rsidRPr="00C06B3A">
        <w:rPr>
          <w:rFonts w:ascii="Times New Roman" w:hAnsi="Times New Roman"/>
          <w:i/>
          <w:iCs/>
        </w:rPr>
        <w:t>Constitution</w:t>
      </w:r>
      <w:r w:rsidR="00C37AFC" w:rsidRPr="00C06B3A">
        <w:rPr>
          <w:rFonts w:ascii="Times New Roman" w:hAnsi="Times New Roman"/>
        </w:rPr>
        <w:t xml:space="preserve"> by reason of the principle in </w:t>
      </w:r>
      <w:r w:rsidR="00C37AFC" w:rsidRPr="00C06B3A">
        <w:rPr>
          <w:rFonts w:ascii="Times New Roman" w:hAnsi="Times New Roman"/>
          <w:i/>
          <w:iCs/>
        </w:rPr>
        <w:t xml:space="preserve">Kable v Director of Public </w:t>
      </w:r>
      <w:r w:rsidR="00C37AFC" w:rsidRPr="00C06B3A">
        <w:rPr>
          <w:rFonts w:ascii="Times New Roman" w:hAnsi="Times New Roman"/>
          <w:i/>
          <w:iCs/>
        </w:rPr>
        <w:lastRenderedPageBreak/>
        <w:t>Prosecutions</w:t>
      </w:r>
      <w:r w:rsidR="003C5364" w:rsidRPr="00C06B3A">
        <w:rPr>
          <w:rFonts w:ascii="Times New Roman" w:hAnsi="Times New Roman"/>
          <w:i/>
          <w:iCs/>
        </w:rPr>
        <w:t xml:space="preserve"> (NSW)</w:t>
      </w:r>
      <w:r w:rsidR="00A96632" w:rsidRPr="00C06B3A">
        <w:rPr>
          <w:rStyle w:val="FootnoteReference"/>
          <w:rFonts w:ascii="Times New Roman" w:hAnsi="Times New Roman"/>
          <w:iCs/>
          <w:sz w:val="24"/>
        </w:rPr>
        <w:footnoteReference w:id="15"/>
      </w:r>
      <w:r w:rsidR="00A96632" w:rsidRPr="00C06B3A">
        <w:rPr>
          <w:rFonts w:ascii="Times New Roman" w:hAnsi="Times New Roman"/>
        </w:rPr>
        <w:t>.</w:t>
      </w:r>
      <w:r w:rsidR="00C635B0" w:rsidRPr="00C06B3A">
        <w:rPr>
          <w:rFonts w:ascii="Times New Roman" w:hAnsi="Times New Roman"/>
        </w:rPr>
        <w:t xml:space="preserve"> </w:t>
      </w:r>
      <w:r w:rsidR="00CA3610" w:rsidRPr="00C06B3A">
        <w:rPr>
          <w:rFonts w:ascii="Times New Roman" w:hAnsi="Times New Roman"/>
        </w:rPr>
        <w:t xml:space="preserve">The decision in </w:t>
      </w:r>
      <w:r w:rsidR="00CA3610" w:rsidRPr="00C06B3A">
        <w:rPr>
          <w:rFonts w:ascii="Times New Roman" w:hAnsi="Times New Roman"/>
          <w:i/>
        </w:rPr>
        <w:t>Kable</w:t>
      </w:r>
      <w:r w:rsidR="00CA3610" w:rsidRPr="00C06B3A">
        <w:rPr>
          <w:rStyle w:val="FootnoteReference"/>
          <w:rFonts w:ascii="Times New Roman" w:hAnsi="Times New Roman"/>
          <w:sz w:val="24"/>
        </w:rPr>
        <w:footnoteReference w:id="16"/>
      </w:r>
      <w:r w:rsidR="00CA3610" w:rsidRPr="00C06B3A">
        <w:rPr>
          <w:rFonts w:ascii="Times New Roman" w:hAnsi="Times New Roman"/>
        </w:rPr>
        <w:t xml:space="preserve"> established that, </w:t>
      </w:r>
      <w:r w:rsidR="00175E40" w:rsidRPr="00C06B3A">
        <w:rPr>
          <w:rFonts w:ascii="Times New Roman" w:hAnsi="Times New Roman"/>
        </w:rPr>
        <w:t>by reason of</w:t>
      </w:r>
      <w:r w:rsidR="00CA3610" w:rsidRPr="00C06B3A">
        <w:rPr>
          <w:rFonts w:ascii="Times New Roman" w:hAnsi="Times New Roman"/>
        </w:rPr>
        <w:t xml:space="preserve"> the integrated system</w:t>
      </w:r>
      <w:r w:rsidR="00EA29F3" w:rsidRPr="00C06B3A">
        <w:rPr>
          <w:rFonts w:ascii="Times New Roman" w:hAnsi="Times New Roman"/>
        </w:rPr>
        <w:t xml:space="preserve"> of courts</w:t>
      </w:r>
      <w:r w:rsidR="00CA3610" w:rsidRPr="00C06B3A">
        <w:rPr>
          <w:rFonts w:ascii="Times New Roman" w:hAnsi="Times New Roman"/>
        </w:rPr>
        <w:t xml:space="preserve"> </w:t>
      </w:r>
      <w:r w:rsidR="003F4925" w:rsidRPr="00C06B3A">
        <w:rPr>
          <w:rFonts w:ascii="Times New Roman" w:hAnsi="Times New Roman"/>
        </w:rPr>
        <w:t>postulated by</w:t>
      </w:r>
      <w:r w:rsidR="00C36955" w:rsidRPr="00C06B3A">
        <w:rPr>
          <w:rFonts w:ascii="Times New Roman" w:hAnsi="Times New Roman"/>
        </w:rPr>
        <w:t xml:space="preserve"> the provisions of Ch III of </w:t>
      </w:r>
      <w:r w:rsidR="00CA3610" w:rsidRPr="00C06B3A">
        <w:rPr>
          <w:rFonts w:ascii="Times New Roman" w:hAnsi="Times New Roman"/>
        </w:rPr>
        <w:t xml:space="preserve">the </w:t>
      </w:r>
      <w:r w:rsidR="00CA3610" w:rsidRPr="00C06B3A">
        <w:rPr>
          <w:rFonts w:ascii="Times New Roman" w:hAnsi="Times New Roman"/>
          <w:i/>
        </w:rPr>
        <w:t>Constitution</w:t>
      </w:r>
      <w:r w:rsidR="00CA3610" w:rsidRPr="00C06B3A">
        <w:rPr>
          <w:rStyle w:val="FootnoteReference"/>
          <w:rFonts w:ascii="Times New Roman" w:hAnsi="Times New Roman"/>
          <w:sz w:val="24"/>
        </w:rPr>
        <w:footnoteReference w:id="17"/>
      </w:r>
      <w:r w:rsidR="00CA3610" w:rsidRPr="00C06B3A">
        <w:rPr>
          <w:rFonts w:ascii="Times New Roman" w:hAnsi="Times New Roman"/>
        </w:rPr>
        <w:t xml:space="preserve">, State legislation which purports to confer upon </w:t>
      </w:r>
      <w:r w:rsidR="00E37C9E" w:rsidRPr="00C06B3A">
        <w:rPr>
          <w:rFonts w:ascii="Times New Roman" w:hAnsi="Times New Roman"/>
        </w:rPr>
        <w:t>a State Supreme Court</w:t>
      </w:r>
      <w:r w:rsidR="00CA3610" w:rsidRPr="00C06B3A">
        <w:rPr>
          <w:rFonts w:ascii="Times New Roman" w:hAnsi="Times New Roman"/>
        </w:rPr>
        <w:t xml:space="preserve"> a function which substantially impairs </w:t>
      </w:r>
      <w:r w:rsidR="00227882" w:rsidRPr="00C06B3A">
        <w:rPr>
          <w:rFonts w:ascii="Times New Roman" w:hAnsi="Times New Roman"/>
        </w:rPr>
        <w:t xml:space="preserve">the </w:t>
      </w:r>
      <w:r w:rsidR="00CA3610" w:rsidRPr="00C06B3A">
        <w:rPr>
          <w:rFonts w:ascii="Times New Roman" w:hAnsi="Times New Roman"/>
        </w:rPr>
        <w:t>institutional integrity</w:t>
      </w:r>
      <w:r w:rsidR="00955651" w:rsidRPr="00C06B3A">
        <w:rPr>
          <w:rFonts w:ascii="Times New Roman" w:hAnsi="Times New Roman"/>
        </w:rPr>
        <w:t xml:space="preserve"> of </w:t>
      </w:r>
      <w:r w:rsidR="00A8348A" w:rsidRPr="00C06B3A">
        <w:rPr>
          <w:rFonts w:ascii="Times New Roman" w:hAnsi="Times New Roman"/>
        </w:rPr>
        <w:t xml:space="preserve">such a </w:t>
      </w:r>
      <w:r w:rsidR="00396732" w:rsidRPr="00C06B3A">
        <w:rPr>
          <w:rFonts w:ascii="Times New Roman" w:hAnsi="Times New Roman"/>
        </w:rPr>
        <w:t xml:space="preserve">court </w:t>
      </w:r>
      <w:r w:rsidR="002044A8" w:rsidRPr="00C06B3A">
        <w:rPr>
          <w:rFonts w:ascii="Times New Roman" w:hAnsi="Times New Roman"/>
        </w:rPr>
        <w:t xml:space="preserve">in its role </w:t>
      </w:r>
      <w:r w:rsidR="00396732" w:rsidRPr="00C06B3A">
        <w:rPr>
          <w:rFonts w:ascii="Times New Roman" w:hAnsi="Times New Roman"/>
        </w:rPr>
        <w:t>as</w:t>
      </w:r>
      <w:r w:rsidR="00955651" w:rsidRPr="00C06B3A">
        <w:rPr>
          <w:rFonts w:ascii="Times New Roman" w:hAnsi="Times New Roman"/>
        </w:rPr>
        <w:t xml:space="preserve"> a repository of federal jurisdiction</w:t>
      </w:r>
      <w:r w:rsidR="00CA3610" w:rsidRPr="00C06B3A">
        <w:rPr>
          <w:rFonts w:ascii="Times New Roman" w:hAnsi="Times New Roman"/>
        </w:rPr>
        <w:t xml:space="preserve"> is "repugnant to or incompatible with" </w:t>
      </w:r>
      <w:r w:rsidR="00077D6C" w:rsidRPr="00C06B3A">
        <w:rPr>
          <w:rFonts w:ascii="Times New Roman" w:hAnsi="Times New Roman"/>
        </w:rPr>
        <w:t>that</w:t>
      </w:r>
      <w:r w:rsidR="00CA3610" w:rsidRPr="00C06B3A">
        <w:rPr>
          <w:rFonts w:ascii="Times New Roman" w:hAnsi="Times New Roman"/>
        </w:rPr>
        <w:t xml:space="preserve"> role</w:t>
      </w:r>
      <w:r w:rsidR="00540E5B" w:rsidRPr="00C06B3A">
        <w:rPr>
          <w:rFonts w:ascii="Times New Roman" w:hAnsi="Times New Roman"/>
        </w:rPr>
        <w:t xml:space="preserve"> and</w:t>
      </w:r>
      <w:r w:rsidR="00A00A3B" w:rsidRPr="00C06B3A">
        <w:rPr>
          <w:rFonts w:ascii="Times New Roman" w:hAnsi="Times New Roman"/>
        </w:rPr>
        <w:t xml:space="preserve"> is, therefore, </w:t>
      </w:r>
      <w:r w:rsidR="00CA3610" w:rsidRPr="00C06B3A">
        <w:rPr>
          <w:rFonts w:ascii="Times New Roman" w:hAnsi="Times New Roman"/>
        </w:rPr>
        <w:t>invalid</w:t>
      </w:r>
      <w:r w:rsidR="002044A8" w:rsidRPr="00C06B3A">
        <w:rPr>
          <w:rStyle w:val="FootnoteReference"/>
          <w:rFonts w:ascii="Times New Roman" w:hAnsi="Times New Roman"/>
          <w:sz w:val="24"/>
        </w:rPr>
        <w:footnoteReference w:id="18"/>
      </w:r>
      <w:r w:rsidR="00CA3610" w:rsidRPr="00C06B3A">
        <w:rPr>
          <w:rFonts w:ascii="Times New Roman" w:hAnsi="Times New Roman"/>
        </w:rPr>
        <w:t>.</w:t>
      </w:r>
    </w:p>
    <w:p w14:paraId="3AF8BE9C" w14:textId="648BE63A" w:rsidR="0075703B" w:rsidRPr="00C06B3A" w:rsidRDefault="00B47559" w:rsidP="00C06B3A">
      <w:pPr>
        <w:pStyle w:val="FixListStyle"/>
        <w:spacing w:after="260" w:line="280" w:lineRule="exact"/>
        <w:ind w:right="0"/>
        <w:jc w:val="both"/>
        <w:rPr>
          <w:rFonts w:ascii="Times New Roman" w:hAnsi="Times New Roman"/>
        </w:rPr>
      </w:pPr>
      <w:r w:rsidRPr="00C06B3A">
        <w:rPr>
          <w:rFonts w:ascii="Times New Roman" w:hAnsi="Times New Roman"/>
        </w:rPr>
        <w:tab/>
      </w:r>
      <w:proofErr w:type="gramStart"/>
      <w:r w:rsidR="004323EF" w:rsidRPr="00C06B3A">
        <w:rPr>
          <w:rFonts w:ascii="Times New Roman" w:hAnsi="Times New Roman"/>
        </w:rPr>
        <w:t>For the reasons that</w:t>
      </w:r>
      <w:proofErr w:type="gramEnd"/>
      <w:r w:rsidR="004323EF" w:rsidRPr="00C06B3A">
        <w:rPr>
          <w:rFonts w:ascii="Times New Roman" w:hAnsi="Times New Roman"/>
        </w:rPr>
        <w:t xml:space="preserve"> follow,</w:t>
      </w:r>
      <w:r w:rsidR="00F765CE" w:rsidRPr="00C06B3A">
        <w:rPr>
          <w:rFonts w:ascii="Times New Roman" w:hAnsi="Times New Roman"/>
        </w:rPr>
        <w:t xml:space="preserve"> the question whether </w:t>
      </w:r>
      <w:r w:rsidR="009A0867" w:rsidRPr="00C06B3A">
        <w:rPr>
          <w:rFonts w:ascii="Times New Roman" w:hAnsi="Times New Roman"/>
        </w:rPr>
        <w:t>i</w:t>
      </w:r>
      <w:r w:rsidR="00D63514" w:rsidRPr="00C06B3A">
        <w:rPr>
          <w:rFonts w:ascii="Times New Roman" w:hAnsi="Times New Roman"/>
        </w:rPr>
        <w:t xml:space="preserve">tem 34 of </w:t>
      </w:r>
      <w:proofErr w:type="spellStart"/>
      <w:r w:rsidR="00230CC2" w:rsidRPr="00C06B3A">
        <w:rPr>
          <w:rFonts w:ascii="Times New Roman" w:hAnsi="Times New Roman"/>
        </w:rPr>
        <w:t>Subdiv</w:t>
      </w:r>
      <w:proofErr w:type="spellEnd"/>
      <w:r w:rsidR="00230CC2" w:rsidRPr="00C06B3A">
        <w:rPr>
          <w:rFonts w:ascii="Times New Roman" w:hAnsi="Times New Roman"/>
        </w:rPr>
        <w:t xml:space="preserve"> 3 of </w:t>
      </w:r>
      <w:proofErr w:type="spellStart"/>
      <w:r w:rsidR="00230CC2" w:rsidRPr="00C06B3A">
        <w:rPr>
          <w:rFonts w:ascii="Times New Roman" w:hAnsi="Times New Roman"/>
        </w:rPr>
        <w:t>Div</w:t>
      </w:r>
      <w:proofErr w:type="spellEnd"/>
      <w:r w:rsidR="00230CC2" w:rsidRPr="00C06B3A">
        <w:rPr>
          <w:rFonts w:ascii="Times New Roman" w:hAnsi="Times New Roman"/>
        </w:rPr>
        <w:t xml:space="preserve"> 1 of </w:t>
      </w:r>
      <w:r w:rsidR="00D63514" w:rsidRPr="00C06B3A">
        <w:rPr>
          <w:rFonts w:ascii="Times New Roman" w:hAnsi="Times New Roman"/>
        </w:rPr>
        <w:t>Sch 1</w:t>
      </w:r>
      <w:r w:rsidR="008E12EF" w:rsidRPr="00C06B3A">
        <w:rPr>
          <w:rFonts w:ascii="Times New Roman" w:hAnsi="Times New Roman"/>
        </w:rPr>
        <w:t xml:space="preserve"> </w:t>
      </w:r>
      <w:r w:rsidR="009A0867" w:rsidRPr="00C06B3A">
        <w:rPr>
          <w:rFonts w:ascii="Times New Roman" w:hAnsi="Times New Roman"/>
        </w:rPr>
        <w:t>to</w:t>
      </w:r>
      <w:r w:rsidRPr="00C06B3A">
        <w:rPr>
          <w:rFonts w:ascii="Times New Roman" w:hAnsi="Times New Roman"/>
        </w:rPr>
        <w:t xml:space="preserve"> the HRSO Act infringe</w:t>
      </w:r>
      <w:r w:rsidR="00FC4215" w:rsidRPr="00C06B3A">
        <w:rPr>
          <w:rFonts w:ascii="Times New Roman" w:hAnsi="Times New Roman"/>
        </w:rPr>
        <w:t>s</w:t>
      </w:r>
      <w:r w:rsidRPr="00C06B3A">
        <w:rPr>
          <w:rFonts w:ascii="Times New Roman" w:hAnsi="Times New Roman"/>
        </w:rPr>
        <w:t xml:space="preserve"> the </w:t>
      </w:r>
      <w:r w:rsidRPr="00C06B3A">
        <w:rPr>
          <w:rFonts w:ascii="Times New Roman" w:hAnsi="Times New Roman"/>
          <w:i/>
        </w:rPr>
        <w:t xml:space="preserve">Kable </w:t>
      </w:r>
      <w:r w:rsidRPr="00C06B3A">
        <w:rPr>
          <w:rFonts w:ascii="Times New Roman" w:hAnsi="Times New Roman"/>
        </w:rPr>
        <w:t>principle</w:t>
      </w:r>
      <w:r w:rsidR="009D53F1" w:rsidRPr="00C06B3A">
        <w:rPr>
          <w:rFonts w:ascii="Times New Roman" w:hAnsi="Times New Roman"/>
        </w:rPr>
        <w:t xml:space="preserve"> </w:t>
      </w:r>
      <w:r w:rsidR="0074288F" w:rsidRPr="00C06B3A">
        <w:rPr>
          <w:rFonts w:ascii="Times New Roman" w:hAnsi="Times New Roman"/>
        </w:rPr>
        <w:t xml:space="preserve">should be </w:t>
      </w:r>
      <w:r w:rsidR="009D53F1" w:rsidRPr="00C06B3A">
        <w:rPr>
          <w:rFonts w:ascii="Times New Roman" w:hAnsi="Times New Roman"/>
        </w:rPr>
        <w:t xml:space="preserve">resolved in favour of the validity of the </w:t>
      </w:r>
      <w:r w:rsidR="00396732" w:rsidRPr="00C06B3A">
        <w:rPr>
          <w:rFonts w:ascii="Times New Roman" w:hAnsi="Times New Roman"/>
        </w:rPr>
        <w:t>HRSO</w:t>
      </w:r>
      <w:r w:rsidR="00E02487" w:rsidRPr="00C06B3A">
        <w:rPr>
          <w:rFonts w:ascii="Times New Roman" w:hAnsi="Times New Roman"/>
        </w:rPr>
        <w:t> </w:t>
      </w:r>
      <w:r w:rsidR="00396732" w:rsidRPr="00C06B3A">
        <w:rPr>
          <w:rFonts w:ascii="Times New Roman" w:hAnsi="Times New Roman"/>
        </w:rPr>
        <w:t>Act</w:t>
      </w:r>
      <w:r w:rsidR="00C02CFA" w:rsidRPr="00C06B3A">
        <w:rPr>
          <w:rFonts w:ascii="Times New Roman" w:hAnsi="Times New Roman"/>
        </w:rPr>
        <w:t xml:space="preserve">. </w:t>
      </w:r>
      <w:r w:rsidR="00292DAC" w:rsidRPr="00C06B3A">
        <w:rPr>
          <w:rFonts w:ascii="Times New Roman" w:hAnsi="Times New Roman"/>
        </w:rPr>
        <w:t>Th</w:t>
      </w:r>
      <w:r w:rsidR="00154A5F" w:rsidRPr="00C06B3A">
        <w:rPr>
          <w:rFonts w:ascii="Times New Roman" w:hAnsi="Times New Roman"/>
        </w:rPr>
        <w:t>is</w:t>
      </w:r>
      <w:r w:rsidR="00292DAC" w:rsidRPr="00C06B3A">
        <w:rPr>
          <w:rFonts w:ascii="Times New Roman" w:hAnsi="Times New Roman"/>
        </w:rPr>
        <w:t xml:space="preserve"> conclusion accord</w:t>
      </w:r>
      <w:r w:rsidR="00154A5F" w:rsidRPr="00C06B3A">
        <w:rPr>
          <w:rFonts w:ascii="Times New Roman" w:hAnsi="Times New Roman"/>
        </w:rPr>
        <w:t>s</w:t>
      </w:r>
      <w:r w:rsidR="00292DAC" w:rsidRPr="00C06B3A">
        <w:rPr>
          <w:rFonts w:ascii="Times New Roman" w:hAnsi="Times New Roman"/>
        </w:rPr>
        <w:t xml:space="preserve"> with the decision of this Court in </w:t>
      </w:r>
      <w:proofErr w:type="spellStart"/>
      <w:r w:rsidR="00292DAC" w:rsidRPr="00C06B3A">
        <w:rPr>
          <w:rFonts w:ascii="Times New Roman" w:hAnsi="Times New Roman"/>
          <w:i/>
          <w:iCs/>
        </w:rPr>
        <w:t>Fardon</w:t>
      </w:r>
      <w:proofErr w:type="spellEnd"/>
      <w:r w:rsidR="00E02487" w:rsidRPr="00C06B3A">
        <w:rPr>
          <w:rFonts w:ascii="Times New Roman" w:hAnsi="Times New Roman"/>
          <w:iCs/>
        </w:rPr>
        <w:t>,</w:t>
      </w:r>
      <w:r w:rsidR="00292DAC" w:rsidRPr="00C06B3A">
        <w:rPr>
          <w:rFonts w:ascii="Times New Roman" w:hAnsi="Times New Roman"/>
        </w:rPr>
        <w:t xml:space="preserve"> which concerned legislation</w:t>
      </w:r>
      <w:r w:rsidR="0050274C" w:rsidRPr="00C06B3A">
        <w:rPr>
          <w:rFonts w:ascii="Times New Roman" w:hAnsi="Times New Roman"/>
        </w:rPr>
        <w:t xml:space="preserve">, the </w:t>
      </w:r>
      <w:r w:rsidR="0050274C" w:rsidRPr="00C06B3A">
        <w:rPr>
          <w:rFonts w:ascii="Times New Roman" w:hAnsi="Times New Roman"/>
          <w:i/>
        </w:rPr>
        <w:t xml:space="preserve">Dangerous Prisoners </w:t>
      </w:r>
      <w:r w:rsidR="002044A8" w:rsidRPr="00C06B3A">
        <w:rPr>
          <w:rFonts w:ascii="Times New Roman" w:hAnsi="Times New Roman"/>
          <w:i/>
        </w:rPr>
        <w:t>(</w:t>
      </w:r>
      <w:r w:rsidR="0050274C" w:rsidRPr="00C06B3A">
        <w:rPr>
          <w:rFonts w:ascii="Times New Roman" w:hAnsi="Times New Roman"/>
          <w:i/>
        </w:rPr>
        <w:t>Sexual Offenders</w:t>
      </w:r>
      <w:r w:rsidR="002044A8" w:rsidRPr="00C06B3A">
        <w:rPr>
          <w:rFonts w:ascii="Times New Roman" w:hAnsi="Times New Roman"/>
          <w:i/>
        </w:rPr>
        <w:t>)</w:t>
      </w:r>
      <w:r w:rsidR="0050274C" w:rsidRPr="00C06B3A">
        <w:rPr>
          <w:rFonts w:ascii="Times New Roman" w:hAnsi="Times New Roman"/>
          <w:i/>
        </w:rPr>
        <w:t xml:space="preserve"> Act 2003</w:t>
      </w:r>
      <w:r w:rsidR="005F05AC" w:rsidRPr="00C06B3A">
        <w:rPr>
          <w:rFonts w:ascii="Times New Roman" w:hAnsi="Times New Roman"/>
          <w:i/>
        </w:rPr>
        <w:t> </w:t>
      </w:r>
      <w:r w:rsidR="0050274C" w:rsidRPr="00C06B3A">
        <w:rPr>
          <w:rFonts w:ascii="Times New Roman" w:hAnsi="Times New Roman"/>
        </w:rPr>
        <w:t>(Qld) ("the DPSO</w:t>
      </w:r>
      <w:r w:rsidR="005F05AC" w:rsidRPr="00C06B3A">
        <w:rPr>
          <w:rFonts w:ascii="Times New Roman" w:hAnsi="Times New Roman"/>
        </w:rPr>
        <w:t> </w:t>
      </w:r>
      <w:r w:rsidR="0050274C" w:rsidRPr="00C06B3A">
        <w:rPr>
          <w:rFonts w:ascii="Times New Roman" w:hAnsi="Times New Roman"/>
        </w:rPr>
        <w:t>Act"),</w:t>
      </w:r>
      <w:r w:rsidR="00292DAC" w:rsidRPr="00C06B3A">
        <w:rPr>
          <w:rFonts w:ascii="Times New Roman" w:hAnsi="Times New Roman"/>
        </w:rPr>
        <w:t xml:space="preserve"> which is</w:t>
      </w:r>
      <w:r w:rsidR="008E5501" w:rsidRPr="00C06B3A">
        <w:rPr>
          <w:rFonts w:ascii="Times New Roman" w:hAnsi="Times New Roman"/>
        </w:rPr>
        <w:t>, as will be explained,</w:t>
      </w:r>
      <w:r w:rsidR="00292DAC" w:rsidRPr="00C06B3A">
        <w:rPr>
          <w:rFonts w:ascii="Times New Roman" w:hAnsi="Times New Roman"/>
        </w:rPr>
        <w:t xml:space="preserve"> materially indistinguishable from the HRSO</w:t>
      </w:r>
      <w:r w:rsidR="005F26AA" w:rsidRPr="00C06B3A">
        <w:rPr>
          <w:rFonts w:ascii="Times New Roman" w:hAnsi="Times New Roman"/>
        </w:rPr>
        <w:t> </w:t>
      </w:r>
      <w:r w:rsidR="00292DAC" w:rsidRPr="00C06B3A">
        <w:rPr>
          <w:rFonts w:ascii="Times New Roman" w:hAnsi="Times New Roman"/>
        </w:rPr>
        <w:t>Act.</w:t>
      </w:r>
    </w:p>
    <w:p w14:paraId="5411661B" w14:textId="2A19DEFD" w:rsidR="00E73CF4" w:rsidRPr="00C06B3A" w:rsidRDefault="00E73CF4" w:rsidP="00C06B3A">
      <w:pPr>
        <w:pStyle w:val="HeadingL1"/>
        <w:spacing w:after="260" w:line="280" w:lineRule="exact"/>
        <w:ind w:right="0"/>
        <w:jc w:val="both"/>
        <w:rPr>
          <w:rFonts w:ascii="Times New Roman" w:hAnsi="Times New Roman"/>
        </w:rPr>
      </w:pPr>
      <w:r w:rsidRPr="00C06B3A">
        <w:rPr>
          <w:rFonts w:ascii="Times New Roman" w:hAnsi="Times New Roman"/>
        </w:rPr>
        <w:t>The proceedings</w:t>
      </w:r>
    </w:p>
    <w:p w14:paraId="0E686BD8" w14:textId="2C3636D4" w:rsidR="00B9524C" w:rsidRPr="00C06B3A" w:rsidRDefault="00B9353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1C7710" w:rsidRPr="00C06B3A">
        <w:rPr>
          <w:rFonts w:ascii="Times New Roman" w:hAnsi="Times New Roman"/>
        </w:rPr>
        <w:t>A preliminary hearing</w:t>
      </w:r>
      <w:r w:rsidR="00AD43D1" w:rsidRPr="00C06B3A">
        <w:rPr>
          <w:rFonts w:ascii="Times New Roman" w:hAnsi="Times New Roman"/>
        </w:rPr>
        <w:t xml:space="preserve"> of the State's application</w:t>
      </w:r>
      <w:r w:rsidR="00D00F83" w:rsidRPr="00C06B3A">
        <w:rPr>
          <w:rFonts w:ascii="Times New Roman" w:hAnsi="Times New Roman"/>
        </w:rPr>
        <w:t xml:space="preserve"> for a restriction order was held</w:t>
      </w:r>
      <w:r w:rsidR="001C7710" w:rsidRPr="00C06B3A">
        <w:rPr>
          <w:rFonts w:ascii="Times New Roman" w:hAnsi="Times New Roman"/>
        </w:rPr>
        <w:t xml:space="preserve"> on 13 October 2021</w:t>
      </w:r>
      <w:r w:rsidR="00525817" w:rsidRPr="00C06B3A">
        <w:rPr>
          <w:rFonts w:ascii="Times New Roman" w:hAnsi="Times New Roman"/>
        </w:rPr>
        <w:t xml:space="preserve">. </w:t>
      </w:r>
      <w:r w:rsidR="00E73CF4" w:rsidRPr="00C06B3A">
        <w:rPr>
          <w:rFonts w:ascii="Times New Roman" w:hAnsi="Times New Roman"/>
        </w:rPr>
        <w:t>A</w:t>
      </w:r>
      <w:r w:rsidR="00525817" w:rsidRPr="00C06B3A">
        <w:rPr>
          <w:rFonts w:ascii="Times New Roman" w:hAnsi="Times New Roman"/>
        </w:rPr>
        <w:t xml:space="preserve">s </w:t>
      </w:r>
      <w:r w:rsidR="00D85ECB" w:rsidRPr="00C06B3A">
        <w:rPr>
          <w:rFonts w:ascii="Times New Roman" w:hAnsi="Times New Roman"/>
        </w:rPr>
        <w:t>Mr</w:t>
      </w:r>
      <w:r w:rsidR="00B91275" w:rsidRPr="00C06B3A">
        <w:rPr>
          <w:rFonts w:ascii="Times New Roman" w:hAnsi="Times New Roman"/>
        </w:rPr>
        <w:t> </w:t>
      </w:r>
      <w:proofErr w:type="spellStart"/>
      <w:r w:rsidR="00D85ECB" w:rsidRPr="00C06B3A">
        <w:rPr>
          <w:rFonts w:ascii="Times New Roman" w:hAnsi="Times New Roman"/>
        </w:rPr>
        <w:t>Garlett</w:t>
      </w:r>
      <w:proofErr w:type="spellEnd"/>
      <w:r w:rsidR="00B40A6F" w:rsidRPr="00C06B3A">
        <w:rPr>
          <w:rFonts w:ascii="Times New Roman" w:hAnsi="Times New Roman"/>
        </w:rPr>
        <w:t xml:space="preserve"> was due to be released from custody</w:t>
      </w:r>
      <w:r w:rsidR="001817E5" w:rsidRPr="00C06B3A">
        <w:rPr>
          <w:rFonts w:ascii="Times New Roman" w:hAnsi="Times New Roman"/>
        </w:rPr>
        <w:t xml:space="preserve"> soon</w:t>
      </w:r>
      <w:r w:rsidR="00452487" w:rsidRPr="00C06B3A">
        <w:rPr>
          <w:rFonts w:ascii="Times New Roman" w:hAnsi="Times New Roman"/>
        </w:rPr>
        <w:t xml:space="preserve"> thereafter</w:t>
      </w:r>
      <w:r w:rsidR="00B40A6F" w:rsidRPr="00C06B3A">
        <w:rPr>
          <w:rFonts w:ascii="Times New Roman" w:hAnsi="Times New Roman"/>
        </w:rPr>
        <w:t xml:space="preserve">, it was necessary to determine </w:t>
      </w:r>
      <w:r w:rsidR="00D00F83" w:rsidRPr="00C06B3A">
        <w:rPr>
          <w:rFonts w:ascii="Times New Roman" w:hAnsi="Times New Roman"/>
        </w:rPr>
        <w:t xml:space="preserve">promptly </w:t>
      </w:r>
      <w:r w:rsidR="00B40A6F" w:rsidRPr="00C06B3A">
        <w:rPr>
          <w:rFonts w:ascii="Times New Roman" w:hAnsi="Times New Roman"/>
        </w:rPr>
        <w:t>whether orders should be made under s 46 of the HRSO Act</w:t>
      </w:r>
      <w:r w:rsidR="00525817" w:rsidRPr="00C06B3A">
        <w:rPr>
          <w:rFonts w:ascii="Times New Roman" w:hAnsi="Times New Roman"/>
        </w:rPr>
        <w:t xml:space="preserve">. That required a decision </w:t>
      </w:r>
      <w:r w:rsidR="00A6243A" w:rsidRPr="00C06B3A">
        <w:rPr>
          <w:rFonts w:ascii="Times New Roman" w:hAnsi="Times New Roman"/>
        </w:rPr>
        <w:t xml:space="preserve">as well </w:t>
      </w:r>
      <w:r w:rsidR="00525817" w:rsidRPr="00C06B3A">
        <w:rPr>
          <w:rFonts w:ascii="Times New Roman" w:hAnsi="Times New Roman"/>
        </w:rPr>
        <w:t>on the</w:t>
      </w:r>
      <w:r w:rsidR="00EA4132" w:rsidRPr="00C06B3A">
        <w:rPr>
          <w:rFonts w:ascii="Times New Roman" w:hAnsi="Times New Roman"/>
        </w:rPr>
        <w:t xml:space="preserve"> challenge to the</w:t>
      </w:r>
      <w:r w:rsidR="00525817" w:rsidRPr="00C06B3A">
        <w:rPr>
          <w:rFonts w:ascii="Times New Roman" w:hAnsi="Times New Roman"/>
        </w:rPr>
        <w:t xml:space="preserve"> validity of the impugned parts of the</w:t>
      </w:r>
      <w:r w:rsidR="00B9524C" w:rsidRPr="00C06B3A">
        <w:rPr>
          <w:rFonts w:ascii="Times New Roman" w:hAnsi="Times New Roman"/>
        </w:rPr>
        <w:t xml:space="preserve"> HRSO Act</w:t>
      </w:r>
      <w:r w:rsidR="00B9524C" w:rsidRPr="00C06B3A">
        <w:rPr>
          <w:rStyle w:val="FootnoteReference"/>
          <w:rFonts w:ascii="Times New Roman" w:hAnsi="Times New Roman"/>
          <w:sz w:val="24"/>
        </w:rPr>
        <w:footnoteReference w:id="19"/>
      </w:r>
      <w:r w:rsidR="00B9524C" w:rsidRPr="00C06B3A">
        <w:rPr>
          <w:rFonts w:ascii="Times New Roman" w:hAnsi="Times New Roman"/>
        </w:rPr>
        <w:t>.</w:t>
      </w:r>
    </w:p>
    <w:p w14:paraId="1D884145" w14:textId="0E899A07" w:rsidR="00FB4C64" w:rsidRPr="00C06B3A" w:rsidRDefault="003867D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87570C" w:rsidRPr="00C06B3A">
        <w:rPr>
          <w:rFonts w:ascii="Times New Roman" w:hAnsi="Times New Roman"/>
        </w:rPr>
        <w:t>T</w:t>
      </w:r>
      <w:r w:rsidR="00CB0AD2" w:rsidRPr="00C06B3A">
        <w:rPr>
          <w:rFonts w:ascii="Times New Roman" w:hAnsi="Times New Roman"/>
        </w:rPr>
        <w:t>he primary judge</w:t>
      </w:r>
      <w:r w:rsidR="006A1967" w:rsidRPr="00C06B3A">
        <w:rPr>
          <w:rFonts w:ascii="Times New Roman" w:hAnsi="Times New Roman"/>
        </w:rPr>
        <w:t xml:space="preserve"> (</w:t>
      </w:r>
      <w:proofErr w:type="spellStart"/>
      <w:r w:rsidR="006A1967" w:rsidRPr="00C06B3A">
        <w:rPr>
          <w:rFonts w:ascii="Times New Roman" w:hAnsi="Times New Roman"/>
        </w:rPr>
        <w:t>Corboy</w:t>
      </w:r>
      <w:proofErr w:type="spellEnd"/>
      <w:r w:rsidR="006A1967" w:rsidRPr="00C06B3A">
        <w:rPr>
          <w:rFonts w:ascii="Times New Roman" w:hAnsi="Times New Roman"/>
        </w:rPr>
        <w:t> J)</w:t>
      </w:r>
      <w:r w:rsidR="00AB7B83" w:rsidRPr="00C06B3A">
        <w:rPr>
          <w:rFonts w:ascii="Times New Roman" w:hAnsi="Times New Roman"/>
        </w:rPr>
        <w:t xml:space="preserve"> </w:t>
      </w:r>
      <w:r w:rsidR="00AD43D1" w:rsidRPr="00C06B3A">
        <w:rPr>
          <w:rFonts w:ascii="Times New Roman" w:hAnsi="Times New Roman"/>
        </w:rPr>
        <w:t>concluded</w:t>
      </w:r>
      <w:r w:rsidR="00791C93" w:rsidRPr="00C06B3A">
        <w:rPr>
          <w:rFonts w:ascii="Times New Roman" w:hAnsi="Times New Roman"/>
        </w:rPr>
        <w:t xml:space="preserve"> </w:t>
      </w:r>
      <w:r w:rsidR="003D7FE9" w:rsidRPr="00C06B3A">
        <w:rPr>
          <w:rFonts w:ascii="Times New Roman" w:hAnsi="Times New Roman"/>
        </w:rPr>
        <w:t>that</w:t>
      </w:r>
      <w:r w:rsidR="00F10030" w:rsidRPr="00C06B3A">
        <w:rPr>
          <w:rFonts w:ascii="Times New Roman" w:hAnsi="Times New Roman"/>
        </w:rPr>
        <w:t xml:space="preserve"> </w:t>
      </w:r>
      <w:r w:rsidR="00DC02BF" w:rsidRPr="00C06B3A">
        <w:rPr>
          <w:rFonts w:ascii="Times New Roman" w:hAnsi="Times New Roman"/>
        </w:rPr>
        <w:t xml:space="preserve">the impugned parts of the HRSO Act </w:t>
      </w:r>
      <w:r w:rsidR="00CC192C" w:rsidRPr="00C06B3A">
        <w:rPr>
          <w:rFonts w:ascii="Times New Roman" w:hAnsi="Times New Roman"/>
        </w:rPr>
        <w:t xml:space="preserve">did </w:t>
      </w:r>
      <w:r w:rsidR="00DC02BF" w:rsidRPr="00C06B3A">
        <w:rPr>
          <w:rFonts w:ascii="Times New Roman" w:hAnsi="Times New Roman"/>
        </w:rPr>
        <w:t>not confer powers on the Court that were repugnant to or incompatible with th</w:t>
      </w:r>
      <w:r w:rsidR="002F0D03" w:rsidRPr="00C06B3A">
        <w:rPr>
          <w:rFonts w:ascii="Times New Roman" w:hAnsi="Times New Roman"/>
        </w:rPr>
        <w:t>at</w:t>
      </w:r>
      <w:r w:rsidR="00DC02BF" w:rsidRPr="00C06B3A">
        <w:rPr>
          <w:rFonts w:ascii="Times New Roman" w:hAnsi="Times New Roman"/>
        </w:rPr>
        <w:t xml:space="preserve"> </w:t>
      </w:r>
      <w:r w:rsidR="00AA3CB7" w:rsidRPr="00C06B3A">
        <w:rPr>
          <w:rFonts w:ascii="Times New Roman" w:hAnsi="Times New Roman"/>
        </w:rPr>
        <w:t>C</w:t>
      </w:r>
      <w:r w:rsidR="00DC02BF" w:rsidRPr="00C06B3A">
        <w:rPr>
          <w:rFonts w:ascii="Times New Roman" w:hAnsi="Times New Roman"/>
        </w:rPr>
        <w:t xml:space="preserve">ourt's </w:t>
      </w:r>
      <w:r w:rsidR="002F0D03" w:rsidRPr="00C06B3A">
        <w:rPr>
          <w:rFonts w:ascii="Times New Roman" w:hAnsi="Times New Roman"/>
        </w:rPr>
        <w:t>role as a repository</w:t>
      </w:r>
      <w:r w:rsidR="00DC02BF" w:rsidRPr="00C06B3A">
        <w:rPr>
          <w:rFonts w:ascii="Times New Roman" w:hAnsi="Times New Roman"/>
        </w:rPr>
        <w:t xml:space="preserve"> of federal jurisdiction</w:t>
      </w:r>
      <w:r w:rsidR="002F0D03" w:rsidRPr="00C06B3A">
        <w:rPr>
          <w:rFonts w:ascii="Times New Roman" w:hAnsi="Times New Roman"/>
        </w:rPr>
        <w:t xml:space="preserve"> under Ch III of the </w:t>
      </w:r>
      <w:r w:rsidR="002F0D03" w:rsidRPr="00C06B3A">
        <w:rPr>
          <w:rFonts w:ascii="Times New Roman" w:hAnsi="Times New Roman"/>
          <w:i/>
          <w:iCs/>
        </w:rPr>
        <w:t>Constitution</w:t>
      </w:r>
      <w:r w:rsidR="005449D3" w:rsidRPr="00C06B3A">
        <w:rPr>
          <w:rStyle w:val="FootnoteReference"/>
          <w:rFonts w:ascii="Times New Roman" w:hAnsi="Times New Roman"/>
          <w:sz w:val="24"/>
        </w:rPr>
        <w:footnoteReference w:id="20"/>
      </w:r>
      <w:r w:rsidR="00FB4C64" w:rsidRPr="00C06B3A">
        <w:rPr>
          <w:rFonts w:ascii="Times New Roman" w:hAnsi="Times New Roman"/>
        </w:rPr>
        <w:t>.</w:t>
      </w:r>
      <w:r w:rsidR="00F10030" w:rsidRPr="00C06B3A">
        <w:rPr>
          <w:rFonts w:ascii="Times New Roman" w:hAnsi="Times New Roman"/>
        </w:rPr>
        <w:t xml:space="preserve"> </w:t>
      </w:r>
      <w:r w:rsidR="00DC6619" w:rsidRPr="00C06B3A">
        <w:rPr>
          <w:rFonts w:ascii="Times New Roman" w:hAnsi="Times New Roman"/>
        </w:rPr>
        <w:t>Relevantly, h</w:t>
      </w:r>
      <w:r w:rsidR="0078358B" w:rsidRPr="00C06B3A">
        <w:rPr>
          <w:rFonts w:ascii="Times New Roman" w:hAnsi="Times New Roman"/>
        </w:rPr>
        <w:t>is Honour</w:t>
      </w:r>
      <w:r w:rsidR="001B10FC" w:rsidRPr="00C06B3A">
        <w:rPr>
          <w:rFonts w:ascii="Times New Roman" w:hAnsi="Times New Roman"/>
        </w:rPr>
        <w:t xml:space="preserve"> </w:t>
      </w:r>
      <w:r w:rsidR="00A15016" w:rsidRPr="00C06B3A">
        <w:rPr>
          <w:rFonts w:ascii="Times New Roman" w:hAnsi="Times New Roman"/>
        </w:rPr>
        <w:t xml:space="preserve">declared </w:t>
      </w:r>
      <w:r w:rsidR="0078358B" w:rsidRPr="00C06B3A">
        <w:rPr>
          <w:rFonts w:ascii="Times New Roman" w:hAnsi="Times New Roman"/>
        </w:rPr>
        <w:t>that none of the provisions of the HRSO</w:t>
      </w:r>
      <w:r w:rsidR="005449D3" w:rsidRPr="00C06B3A">
        <w:rPr>
          <w:rFonts w:ascii="Times New Roman" w:hAnsi="Times New Roman"/>
        </w:rPr>
        <w:t> </w:t>
      </w:r>
      <w:r w:rsidR="0078358B" w:rsidRPr="00C06B3A">
        <w:rPr>
          <w:rFonts w:ascii="Times New Roman" w:hAnsi="Times New Roman"/>
        </w:rPr>
        <w:t xml:space="preserve">Act contravened Ch III of the </w:t>
      </w:r>
      <w:r w:rsidR="0078358B" w:rsidRPr="00C06B3A">
        <w:rPr>
          <w:rFonts w:ascii="Times New Roman" w:hAnsi="Times New Roman"/>
          <w:i/>
        </w:rPr>
        <w:t>Constitution</w:t>
      </w:r>
      <w:r w:rsidR="00E93E5D" w:rsidRPr="00C06B3A">
        <w:rPr>
          <w:rFonts w:ascii="Times New Roman" w:hAnsi="Times New Roman"/>
        </w:rPr>
        <w:t>,</w:t>
      </w:r>
      <w:r w:rsidR="0078358B" w:rsidRPr="00C06B3A">
        <w:rPr>
          <w:rFonts w:ascii="Times New Roman" w:hAnsi="Times New Roman"/>
        </w:rPr>
        <w:t xml:space="preserve"> insofar as they apply to a serious offender under custodial sentence who has been convicted of the </w:t>
      </w:r>
      <w:r w:rsidR="0078358B" w:rsidRPr="00C06B3A">
        <w:rPr>
          <w:rFonts w:ascii="Times New Roman" w:hAnsi="Times New Roman"/>
        </w:rPr>
        <w:lastRenderedPageBreak/>
        <w:t xml:space="preserve">offence of robbery as referred to in </w:t>
      </w:r>
      <w:r w:rsidR="00E93E5D" w:rsidRPr="00C06B3A">
        <w:rPr>
          <w:rFonts w:ascii="Times New Roman" w:hAnsi="Times New Roman"/>
        </w:rPr>
        <w:t>i</w:t>
      </w:r>
      <w:r w:rsidR="0078358B" w:rsidRPr="00C06B3A">
        <w:rPr>
          <w:rFonts w:ascii="Times New Roman" w:hAnsi="Times New Roman"/>
        </w:rPr>
        <w:t>tem</w:t>
      </w:r>
      <w:r w:rsidR="00E93E5D" w:rsidRPr="00C06B3A">
        <w:rPr>
          <w:rFonts w:ascii="Times New Roman" w:hAnsi="Times New Roman"/>
        </w:rPr>
        <w:t> </w:t>
      </w:r>
      <w:r w:rsidR="0078358B" w:rsidRPr="00C06B3A">
        <w:rPr>
          <w:rFonts w:ascii="Times New Roman" w:hAnsi="Times New Roman"/>
        </w:rPr>
        <w:t xml:space="preserve">34 of </w:t>
      </w:r>
      <w:proofErr w:type="spellStart"/>
      <w:r w:rsidR="003212CC" w:rsidRPr="00C06B3A">
        <w:rPr>
          <w:rFonts w:ascii="Times New Roman" w:hAnsi="Times New Roman"/>
        </w:rPr>
        <w:t>Subdiv</w:t>
      </w:r>
      <w:proofErr w:type="spellEnd"/>
      <w:r w:rsidR="003212CC" w:rsidRPr="00C06B3A">
        <w:rPr>
          <w:rFonts w:ascii="Times New Roman" w:hAnsi="Times New Roman"/>
        </w:rPr>
        <w:t xml:space="preserve"> 3 </w:t>
      </w:r>
      <w:r w:rsidR="00B00E0C" w:rsidRPr="00C06B3A">
        <w:rPr>
          <w:rFonts w:ascii="Times New Roman" w:hAnsi="Times New Roman"/>
        </w:rPr>
        <w:t xml:space="preserve">of </w:t>
      </w:r>
      <w:proofErr w:type="spellStart"/>
      <w:r w:rsidR="00B00E0C" w:rsidRPr="00C06B3A">
        <w:rPr>
          <w:rFonts w:ascii="Times New Roman" w:hAnsi="Times New Roman"/>
        </w:rPr>
        <w:t>Div</w:t>
      </w:r>
      <w:proofErr w:type="spellEnd"/>
      <w:r w:rsidR="00B00E0C" w:rsidRPr="00C06B3A">
        <w:rPr>
          <w:rFonts w:ascii="Times New Roman" w:hAnsi="Times New Roman"/>
        </w:rPr>
        <w:t xml:space="preserve"> 1 of </w:t>
      </w:r>
      <w:r w:rsidR="0078358B" w:rsidRPr="00C06B3A">
        <w:rPr>
          <w:rFonts w:ascii="Times New Roman" w:hAnsi="Times New Roman"/>
        </w:rPr>
        <w:t xml:space="preserve">Sch 1 </w:t>
      </w:r>
      <w:r w:rsidR="00E93E5D" w:rsidRPr="00C06B3A">
        <w:rPr>
          <w:rFonts w:ascii="Times New Roman" w:hAnsi="Times New Roman"/>
        </w:rPr>
        <w:t>to</w:t>
      </w:r>
      <w:r w:rsidR="0078358B" w:rsidRPr="00C06B3A">
        <w:rPr>
          <w:rFonts w:ascii="Times New Roman" w:hAnsi="Times New Roman"/>
        </w:rPr>
        <w:t xml:space="preserve"> the HRSO Act.</w:t>
      </w:r>
    </w:p>
    <w:p w14:paraId="03A4FC42" w14:textId="77777777" w:rsidR="00C06B3A" w:rsidRDefault="00FB4C64"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3F51CC" w:rsidRPr="00C06B3A">
        <w:rPr>
          <w:rFonts w:ascii="Times New Roman" w:hAnsi="Times New Roman"/>
        </w:rPr>
        <w:t>His</w:t>
      </w:r>
      <w:r w:rsidR="00863CC4" w:rsidRPr="00C06B3A">
        <w:rPr>
          <w:rFonts w:ascii="Times New Roman" w:hAnsi="Times New Roman"/>
        </w:rPr>
        <w:t> </w:t>
      </w:r>
      <w:r w:rsidR="003F51CC" w:rsidRPr="00C06B3A">
        <w:rPr>
          <w:rFonts w:ascii="Times New Roman" w:hAnsi="Times New Roman"/>
        </w:rPr>
        <w:t xml:space="preserve">Honour also concluded that </w:t>
      </w:r>
      <w:r w:rsidR="00931E27" w:rsidRPr="00C06B3A">
        <w:rPr>
          <w:rFonts w:ascii="Times New Roman" w:hAnsi="Times New Roman"/>
        </w:rPr>
        <w:t>there were reasonable grounds</w:t>
      </w:r>
      <w:r w:rsidR="00432F85" w:rsidRPr="00C06B3A">
        <w:rPr>
          <w:rFonts w:ascii="Times New Roman" w:hAnsi="Times New Roman"/>
        </w:rPr>
        <w:t xml:space="preserve"> for believing that the </w:t>
      </w:r>
      <w:r w:rsidR="00863CC4" w:rsidRPr="00C06B3A">
        <w:rPr>
          <w:rFonts w:ascii="Times New Roman" w:hAnsi="Times New Roman"/>
        </w:rPr>
        <w:t>C</w:t>
      </w:r>
      <w:r w:rsidR="00432F85" w:rsidRPr="00C06B3A">
        <w:rPr>
          <w:rFonts w:ascii="Times New Roman" w:hAnsi="Times New Roman"/>
        </w:rPr>
        <w:t>ourt might, in accordance with s 7 of the HRSO Act, find that Mr</w:t>
      </w:r>
      <w:r w:rsidR="00240226" w:rsidRPr="00C06B3A">
        <w:rPr>
          <w:rFonts w:ascii="Times New Roman" w:hAnsi="Times New Roman"/>
        </w:rPr>
        <w:t> </w:t>
      </w:r>
      <w:proofErr w:type="spellStart"/>
      <w:r w:rsidR="00432F85" w:rsidRPr="00C06B3A">
        <w:rPr>
          <w:rFonts w:ascii="Times New Roman" w:hAnsi="Times New Roman"/>
        </w:rPr>
        <w:t>Garlett</w:t>
      </w:r>
      <w:proofErr w:type="spellEnd"/>
      <w:r w:rsidR="00432F85" w:rsidRPr="00C06B3A">
        <w:rPr>
          <w:rFonts w:ascii="Times New Roman" w:hAnsi="Times New Roman"/>
        </w:rPr>
        <w:t xml:space="preserve"> </w:t>
      </w:r>
      <w:r w:rsidR="00085640" w:rsidRPr="00C06B3A">
        <w:rPr>
          <w:rFonts w:ascii="Times New Roman" w:hAnsi="Times New Roman"/>
        </w:rPr>
        <w:t xml:space="preserve">was </w:t>
      </w:r>
      <w:r w:rsidR="00432F85" w:rsidRPr="00C06B3A">
        <w:rPr>
          <w:rFonts w:ascii="Times New Roman" w:hAnsi="Times New Roman"/>
        </w:rPr>
        <w:t>a "high risk serious offender"; and</w:t>
      </w:r>
      <w:r w:rsidR="006C03C0" w:rsidRPr="00C06B3A">
        <w:rPr>
          <w:rFonts w:ascii="Times New Roman" w:hAnsi="Times New Roman"/>
        </w:rPr>
        <w:t xml:space="preserve"> </w:t>
      </w:r>
      <w:proofErr w:type="gramStart"/>
      <w:r w:rsidR="001B10FC" w:rsidRPr="00C06B3A">
        <w:rPr>
          <w:rFonts w:ascii="Times New Roman" w:hAnsi="Times New Roman"/>
        </w:rPr>
        <w:t>consequently</w:t>
      </w:r>
      <w:proofErr w:type="gramEnd"/>
      <w:r w:rsidR="00AA3CB7" w:rsidRPr="00C06B3A">
        <w:rPr>
          <w:rFonts w:ascii="Times New Roman" w:hAnsi="Times New Roman"/>
        </w:rPr>
        <w:t xml:space="preserve"> held</w:t>
      </w:r>
      <w:r w:rsidR="001B10FC" w:rsidRPr="00C06B3A">
        <w:rPr>
          <w:rFonts w:ascii="Times New Roman" w:hAnsi="Times New Roman"/>
        </w:rPr>
        <w:t xml:space="preserve"> </w:t>
      </w:r>
      <w:r w:rsidR="006C03C0" w:rsidRPr="00C06B3A">
        <w:rPr>
          <w:rFonts w:ascii="Times New Roman" w:hAnsi="Times New Roman"/>
        </w:rPr>
        <w:t xml:space="preserve">that </w:t>
      </w:r>
      <w:r w:rsidR="00432F85" w:rsidRPr="00C06B3A">
        <w:rPr>
          <w:rFonts w:ascii="Times New Roman" w:hAnsi="Times New Roman"/>
        </w:rPr>
        <w:t>an order should be made under s 46(2)(c) of the HRSO</w:t>
      </w:r>
      <w:r w:rsidR="00197050" w:rsidRPr="00C06B3A">
        <w:rPr>
          <w:rFonts w:ascii="Times New Roman" w:hAnsi="Times New Roman"/>
        </w:rPr>
        <w:t> </w:t>
      </w:r>
      <w:r w:rsidR="00432F85" w:rsidRPr="00C06B3A">
        <w:rPr>
          <w:rFonts w:ascii="Times New Roman" w:hAnsi="Times New Roman"/>
        </w:rPr>
        <w:t>Act for Mr </w:t>
      </w:r>
      <w:proofErr w:type="spellStart"/>
      <w:r w:rsidR="00432F85" w:rsidRPr="00C06B3A">
        <w:rPr>
          <w:rFonts w:ascii="Times New Roman" w:hAnsi="Times New Roman"/>
        </w:rPr>
        <w:t>Garlett</w:t>
      </w:r>
      <w:proofErr w:type="spellEnd"/>
      <w:r w:rsidR="00790E1D" w:rsidRPr="00C06B3A">
        <w:rPr>
          <w:rFonts w:ascii="Times New Roman" w:hAnsi="Times New Roman"/>
        </w:rPr>
        <w:t xml:space="preserve"> to be detained until the application </w:t>
      </w:r>
      <w:r w:rsidR="00197050" w:rsidRPr="00C06B3A">
        <w:rPr>
          <w:rFonts w:ascii="Times New Roman" w:hAnsi="Times New Roman"/>
        </w:rPr>
        <w:t>was</w:t>
      </w:r>
      <w:r w:rsidR="00790E1D" w:rsidRPr="00C06B3A">
        <w:rPr>
          <w:rFonts w:ascii="Times New Roman" w:hAnsi="Times New Roman"/>
        </w:rPr>
        <w:t xml:space="preserve"> finally determined</w:t>
      </w:r>
      <w:r w:rsidR="00197050" w:rsidRPr="00C06B3A">
        <w:rPr>
          <w:rStyle w:val="FootnoteReference"/>
          <w:rFonts w:ascii="Times New Roman" w:hAnsi="Times New Roman"/>
          <w:sz w:val="24"/>
        </w:rPr>
        <w:footnoteReference w:id="21"/>
      </w:r>
      <w:r w:rsidR="00790E1D" w:rsidRPr="00C06B3A">
        <w:rPr>
          <w:rFonts w:ascii="Times New Roman" w:hAnsi="Times New Roman"/>
        </w:rPr>
        <w:t>.</w:t>
      </w:r>
    </w:p>
    <w:p w14:paraId="57E869C2" w14:textId="3D766F9F" w:rsidR="00867263" w:rsidRPr="00C06B3A" w:rsidRDefault="00790E1D"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867263" w:rsidRPr="00C06B3A">
        <w:rPr>
          <w:rFonts w:ascii="Times New Roman" w:hAnsi="Times New Roman"/>
        </w:rPr>
        <w:t>Mr </w:t>
      </w:r>
      <w:proofErr w:type="spellStart"/>
      <w:r w:rsidR="00867263" w:rsidRPr="00C06B3A">
        <w:rPr>
          <w:rFonts w:ascii="Times New Roman" w:hAnsi="Times New Roman"/>
        </w:rPr>
        <w:t>Garlett</w:t>
      </w:r>
      <w:proofErr w:type="spellEnd"/>
      <w:r w:rsidR="00867263" w:rsidRPr="00C06B3A">
        <w:rPr>
          <w:rFonts w:ascii="Times New Roman" w:hAnsi="Times New Roman"/>
        </w:rPr>
        <w:t xml:space="preserve"> appealed </w:t>
      </w:r>
      <w:r w:rsidR="001A4F5E" w:rsidRPr="00C06B3A">
        <w:rPr>
          <w:rFonts w:ascii="Times New Roman" w:hAnsi="Times New Roman"/>
        </w:rPr>
        <w:t xml:space="preserve">to the Court of Appeal of the Supreme Court of Western Australia </w:t>
      </w:r>
      <w:r w:rsidR="00F91F84" w:rsidRPr="00C06B3A">
        <w:rPr>
          <w:rFonts w:ascii="Times New Roman" w:hAnsi="Times New Roman"/>
        </w:rPr>
        <w:t>seeking to set aside th</w:t>
      </w:r>
      <w:r w:rsidR="0078358B" w:rsidRPr="00C06B3A">
        <w:rPr>
          <w:rFonts w:ascii="Times New Roman" w:hAnsi="Times New Roman"/>
        </w:rPr>
        <w:t>e</w:t>
      </w:r>
      <w:r w:rsidR="00F91F84" w:rsidRPr="00C06B3A">
        <w:rPr>
          <w:rFonts w:ascii="Times New Roman" w:hAnsi="Times New Roman"/>
        </w:rPr>
        <w:t xml:space="preserve"> declaration</w:t>
      </w:r>
      <w:r w:rsidR="00C562F3" w:rsidRPr="00C06B3A">
        <w:rPr>
          <w:rFonts w:ascii="Times New Roman" w:hAnsi="Times New Roman"/>
        </w:rPr>
        <w:t xml:space="preserve"> on grounds</w:t>
      </w:r>
      <w:r w:rsidR="00CF1F35" w:rsidRPr="00C06B3A">
        <w:rPr>
          <w:rFonts w:ascii="Times New Roman" w:hAnsi="Times New Roman"/>
        </w:rPr>
        <w:t xml:space="preserve"> which included the </w:t>
      </w:r>
      <w:r w:rsidR="00CF1F35" w:rsidRPr="00C06B3A">
        <w:rPr>
          <w:rFonts w:ascii="Times New Roman" w:hAnsi="Times New Roman"/>
          <w:i/>
          <w:iCs/>
        </w:rPr>
        <w:t xml:space="preserve">Kable </w:t>
      </w:r>
      <w:r w:rsidR="00CF1F35" w:rsidRPr="00C06B3A">
        <w:rPr>
          <w:rFonts w:ascii="Times New Roman" w:hAnsi="Times New Roman"/>
        </w:rPr>
        <w:t>ground.</w:t>
      </w:r>
      <w:r w:rsidR="00104A67" w:rsidRPr="00C06B3A">
        <w:rPr>
          <w:rFonts w:ascii="Times New Roman" w:hAnsi="Times New Roman"/>
        </w:rPr>
        <w:t xml:space="preserve"> On </w:t>
      </w:r>
      <w:r w:rsidR="00090BD4" w:rsidRPr="00C06B3A">
        <w:rPr>
          <w:rFonts w:ascii="Times New Roman" w:hAnsi="Times New Roman"/>
        </w:rPr>
        <w:t xml:space="preserve">21 December 2021, </w:t>
      </w:r>
      <w:r w:rsidR="00B72033" w:rsidRPr="00C06B3A">
        <w:rPr>
          <w:rFonts w:ascii="Times New Roman" w:hAnsi="Times New Roman"/>
        </w:rPr>
        <w:t>Gordon</w:t>
      </w:r>
      <w:r w:rsidR="00CF1F35" w:rsidRPr="00C06B3A">
        <w:rPr>
          <w:rFonts w:ascii="Times New Roman" w:hAnsi="Times New Roman"/>
        </w:rPr>
        <w:t> </w:t>
      </w:r>
      <w:r w:rsidR="00B72033" w:rsidRPr="00C06B3A">
        <w:rPr>
          <w:rFonts w:ascii="Times New Roman" w:hAnsi="Times New Roman"/>
        </w:rPr>
        <w:t>J ordered that t</w:t>
      </w:r>
      <w:r w:rsidR="00104A67" w:rsidRPr="00C06B3A">
        <w:rPr>
          <w:rFonts w:ascii="Times New Roman" w:hAnsi="Times New Roman"/>
        </w:rPr>
        <w:t>hat part of the cause pending in the Court of Appeal</w:t>
      </w:r>
      <w:r w:rsidR="00703C88" w:rsidRPr="00C06B3A">
        <w:rPr>
          <w:rFonts w:ascii="Times New Roman" w:hAnsi="Times New Roman"/>
        </w:rPr>
        <w:t xml:space="preserve"> </w:t>
      </w:r>
      <w:r w:rsidR="00AB53A6" w:rsidRPr="00C06B3A">
        <w:rPr>
          <w:rFonts w:ascii="Times New Roman" w:hAnsi="Times New Roman"/>
        </w:rPr>
        <w:t xml:space="preserve">concerned with the </w:t>
      </w:r>
      <w:r w:rsidR="00AB53A6" w:rsidRPr="00C06B3A">
        <w:rPr>
          <w:rFonts w:ascii="Times New Roman" w:hAnsi="Times New Roman"/>
          <w:i/>
          <w:iCs/>
        </w:rPr>
        <w:t>Kable</w:t>
      </w:r>
      <w:r w:rsidR="00AB53A6" w:rsidRPr="00C06B3A">
        <w:rPr>
          <w:rFonts w:ascii="Times New Roman" w:hAnsi="Times New Roman"/>
        </w:rPr>
        <w:t xml:space="preserve"> ground</w:t>
      </w:r>
      <w:r w:rsidR="00703C88" w:rsidRPr="00C06B3A">
        <w:rPr>
          <w:rFonts w:ascii="Times New Roman" w:hAnsi="Times New Roman"/>
        </w:rPr>
        <w:t xml:space="preserve"> </w:t>
      </w:r>
      <w:r w:rsidR="00104A67" w:rsidRPr="00C06B3A">
        <w:rPr>
          <w:rFonts w:ascii="Times New Roman" w:hAnsi="Times New Roman"/>
        </w:rPr>
        <w:t xml:space="preserve">be removed </w:t>
      </w:r>
      <w:r w:rsidR="008A69CC" w:rsidRPr="00C06B3A">
        <w:rPr>
          <w:rFonts w:ascii="Times New Roman" w:hAnsi="Times New Roman"/>
        </w:rPr>
        <w:t>in</w:t>
      </w:r>
      <w:r w:rsidR="00104A67" w:rsidRPr="00C06B3A">
        <w:rPr>
          <w:rFonts w:ascii="Times New Roman" w:hAnsi="Times New Roman"/>
        </w:rPr>
        <w:t>to this Court</w:t>
      </w:r>
      <w:r w:rsidR="00703C88" w:rsidRPr="00C06B3A">
        <w:rPr>
          <w:rFonts w:ascii="Times New Roman" w:hAnsi="Times New Roman"/>
        </w:rPr>
        <w:t xml:space="preserve"> pursuant to s 40 of the </w:t>
      </w:r>
      <w:r w:rsidR="00703C88" w:rsidRPr="00C06B3A">
        <w:rPr>
          <w:rFonts w:ascii="Times New Roman" w:hAnsi="Times New Roman"/>
          <w:i/>
          <w:iCs/>
        </w:rPr>
        <w:t>Judiciary Act 1903</w:t>
      </w:r>
      <w:r w:rsidR="00010DF9" w:rsidRPr="00C06B3A">
        <w:rPr>
          <w:rFonts w:ascii="Times New Roman" w:hAnsi="Times New Roman"/>
          <w:i/>
          <w:iCs/>
        </w:rPr>
        <w:t> </w:t>
      </w:r>
      <w:r w:rsidR="008677DB" w:rsidRPr="00C06B3A">
        <w:rPr>
          <w:rFonts w:ascii="Times New Roman" w:hAnsi="Times New Roman"/>
        </w:rPr>
        <w:t>(</w:t>
      </w:r>
      <w:proofErr w:type="spellStart"/>
      <w:r w:rsidR="008677DB" w:rsidRPr="00C06B3A">
        <w:rPr>
          <w:rFonts w:ascii="Times New Roman" w:hAnsi="Times New Roman"/>
        </w:rPr>
        <w:t>Cth</w:t>
      </w:r>
      <w:proofErr w:type="spellEnd"/>
      <w:r w:rsidR="008677DB" w:rsidRPr="00C06B3A">
        <w:rPr>
          <w:rFonts w:ascii="Times New Roman" w:hAnsi="Times New Roman"/>
        </w:rPr>
        <w:t>)</w:t>
      </w:r>
      <w:r w:rsidR="006654AD" w:rsidRPr="00C06B3A">
        <w:rPr>
          <w:rFonts w:ascii="Times New Roman" w:hAnsi="Times New Roman"/>
        </w:rPr>
        <w:t>.</w:t>
      </w:r>
    </w:p>
    <w:p w14:paraId="6E078555" w14:textId="48A739C6" w:rsidR="0012034D" w:rsidRPr="00C06B3A" w:rsidRDefault="006654AD"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C2758F" w:rsidRPr="00C06B3A">
        <w:rPr>
          <w:rFonts w:ascii="Times New Roman" w:hAnsi="Times New Roman"/>
        </w:rPr>
        <w:t xml:space="preserve">As the primary judge noted, the legal consequences of the designation of an offence as a "serious offence" attach only by force of other </w:t>
      </w:r>
      <w:r w:rsidR="00C91742" w:rsidRPr="00C06B3A">
        <w:rPr>
          <w:rFonts w:ascii="Times New Roman" w:hAnsi="Times New Roman"/>
        </w:rPr>
        <w:t xml:space="preserve">relevant </w:t>
      </w:r>
      <w:r w:rsidR="00C2758F" w:rsidRPr="00C06B3A">
        <w:rPr>
          <w:rFonts w:ascii="Times New Roman" w:hAnsi="Times New Roman"/>
        </w:rPr>
        <w:t xml:space="preserve">provisions of the HRSO Act, </w:t>
      </w:r>
      <w:r w:rsidR="001018C1" w:rsidRPr="00C06B3A">
        <w:rPr>
          <w:rFonts w:ascii="Times New Roman" w:hAnsi="Times New Roman"/>
        </w:rPr>
        <w:t xml:space="preserve">and </w:t>
      </w:r>
      <w:r w:rsidR="00C2758F" w:rsidRPr="00C06B3A">
        <w:rPr>
          <w:rFonts w:ascii="Times New Roman" w:hAnsi="Times New Roman"/>
        </w:rPr>
        <w:t xml:space="preserve">so it </w:t>
      </w:r>
      <w:r w:rsidR="001018C1" w:rsidRPr="00C06B3A">
        <w:rPr>
          <w:rFonts w:ascii="Times New Roman" w:hAnsi="Times New Roman"/>
        </w:rPr>
        <w:t>i</w:t>
      </w:r>
      <w:r w:rsidR="00C2758F" w:rsidRPr="00C06B3A">
        <w:rPr>
          <w:rFonts w:ascii="Times New Roman" w:hAnsi="Times New Roman"/>
        </w:rPr>
        <w:t>s "not especially meaningful" to consider the validity of item</w:t>
      </w:r>
      <w:r w:rsidR="00010DF9" w:rsidRPr="00C06B3A">
        <w:rPr>
          <w:rFonts w:ascii="Times New Roman" w:hAnsi="Times New Roman"/>
        </w:rPr>
        <w:t> </w:t>
      </w:r>
      <w:r w:rsidR="00C2758F" w:rsidRPr="00C06B3A">
        <w:rPr>
          <w:rFonts w:ascii="Times New Roman" w:hAnsi="Times New Roman"/>
        </w:rPr>
        <w:t xml:space="preserve">34 </w:t>
      </w:r>
      <w:r w:rsidR="006D0CB8" w:rsidRPr="00C06B3A">
        <w:rPr>
          <w:rFonts w:ascii="Times New Roman" w:hAnsi="Times New Roman"/>
        </w:rPr>
        <w:t xml:space="preserve">separately </w:t>
      </w:r>
      <w:r w:rsidR="00C2758F" w:rsidRPr="00C06B3A">
        <w:rPr>
          <w:rFonts w:ascii="Times New Roman" w:hAnsi="Times New Roman"/>
        </w:rPr>
        <w:t>from the rest of the HRSO Act</w:t>
      </w:r>
      <w:r w:rsidR="00C2758F" w:rsidRPr="00C06B3A">
        <w:rPr>
          <w:rStyle w:val="FootnoteReference"/>
          <w:rFonts w:ascii="Times New Roman" w:hAnsi="Times New Roman"/>
          <w:sz w:val="24"/>
        </w:rPr>
        <w:footnoteReference w:id="22"/>
      </w:r>
      <w:r w:rsidR="00C2758F" w:rsidRPr="00C06B3A">
        <w:rPr>
          <w:rFonts w:ascii="Times New Roman" w:hAnsi="Times New Roman"/>
        </w:rPr>
        <w:t xml:space="preserve">. </w:t>
      </w:r>
      <w:proofErr w:type="gramStart"/>
      <w:r w:rsidR="00314705" w:rsidRPr="00C06B3A">
        <w:rPr>
          <w:rFonts w:ascii="Times New Roman" w:hAnsi="Times New Roman"/>
        </w:rPr>
        <w:t>In order to</w:t>
      </w:r>
      <w:proofErr w:type="gramEnd"/>
      <w:r w:rsidR="00314705" w:rsidRPr="00C06B3A">
        <w:rPr>
          <w:rFonts w:ascii="Times New Roman" w:hAnsi="Times New Roman"/>
        </w:rPr>
        <w:t xml:space="preserve"> appreciate the arguments agitated by Mr </w:t>
      </w:r>
      <w:proofErr w:type="spellStart"/>
      <w:r w:rsidR="00314705" w:rsidRPr="00C06B3A">
        <w:rPr>
          <w:rFonts w:ascii="Times New Roman" w:hAnsi="Times New Roman"/>
        </w:rPr>
        <w:t>Garlett</w:t>
      </w:r>
      <w:proofErr w:type="spellEnd"/>
      <w:r w:rsidR="00314705" w:rsidRPr="00C06B3A">
        <w:rPr>
          <w:rFonts w:ascii="Times New Roman" w:hAnsi="Times New Roman"/>
        </w:rPr>
        <w:t xml:space="preserve"> in this Court, it is necessary to set out the provisions of the HRSO</w:t>
      </w:r>
      <w:r w:rsidR="00010DF9" w:rsidRPr="00C06B3A">
        <w:rPr>
          <w:rFonts w:ascii="Times New Roman" w:hAnsi="Times New Roman"/>
        </w:rPr>
        <w:t> </w:t>
      </w:r>
      <w:r w:rsidR="00314705" w:rsidRPr="00C06B3A">
        <w:rPr>
          <w:rFonts w:ascii="Times New Roman" w:hAnsi="Times New Roman"/>
        </w:rPr>
        <w:t>Act at some length.</w:t>
      </w:r>
    </w:p>
    <w:p w14:paraId="25DAB9EE" w14:textId="575046F4" w:rsidR="0012034D" w:rsidRPr="00C06B3A" w:rsidRDefault="008A69CC" w:rsidP="00C06B3A">
      <w:pPr>
        <w:pStyle w:val="HeadingL1"/>
        <w:spacing w:after="260" w:line="280" w:lineRule="exact"/>
        <w:ind w:right="0"/>
        <w:jc w:val="both"/>
        <w:rPr>
          <w:rFonts w:ascii="Times New Roman" w:hAnsi="Times New Roman"/>
        </w:rPr>
      </w:pPr>
      <w:r w:rsidRPr="00C06B3A">
        <w:rPr>
          <w:rFonts w:ascii="Times New Roman" w:hAnsi="Times New Roman"/>
        </w:rPr>
        <w:t xml:space="preserve">The </w:t>
      </w:r>
      <w:r w:rsidR="0012034D" w:rsidRPr="00C06B3A">
        <w:rPr>
          <w:rFonts w:ascii="Times New Roman" w:hAnsi="Times New Roman"/>
        </w:rPr>
        <w:t>HRSO Act</w:t>
      </w:r>
    </w:p>
    <w:p w14:paraId="3C487C3A" w14:textId="4BD49478" w:rsidR="00117C33" w:rsidRPr="00C06B3A" w:rsidRDefault="00493E88"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9842F2" w:rsidRPr="00C06B3A">
        <w:rPr>
          <w:rFonts w:ascii="Times New Roman" w:hAnsi="Times New Roman"/>
        </w:rPr>
        <w:t xml:space="preserve">The HRSO Act </w:t>
      </w:r>
      <w:r w:rsidR="00EA2A62" w:rsidRPr="00C06B3A">
        <w:rPr>
          <w:rFonts w:ascii="Times New Roman" w:hAnsi="Times New Roman"/>
        </w:rPr>
        <w:t>commenced</w:t>
      </w:r>
      <w:r w:rsidR="009842F2" w:rsidRPr="00C06B3A">
        <w:rPr>
          <w:rFonts w:ascii="Times New Roman" w:hAnsi="Times New Roman"/>
        </w:rPr>
        <w:t xml:space="preserve"> </w:t>
      </w:r>
      <w:r w:rsidR="00EA2A62" w:rsidRPr="00C06B3A">
        <w:rPr>
          <w:rFonts w:ascii="Times New Roman" w:hAnsi="Times New Roman"/>
        </w:rPr>
        <w:t>in 2020</w:t>
      </w:r>
      <w:r w:rsidR="00564515" w:rsidRPr="00C06B3A">
        <w:rPr>
          <w:rFonts w:ascii="Times New Roman" w:hAnsi="Times New Roman"/>
        </w:rPr>
        <w:t xml:space="preserve">, save one provision that is not </w:t>
      </w:r>
      <w:r w:rsidR="00F9042D" w:rsidRPr="00C06B3A">
        <w:rPr>
          <w:rFonts w:ascii="Times New Roman" w:hAnsi="Times New Roman"/>
        </w:rPr>
        <w:t>presently relevant</w:t>
      </w:r>
      <w:r w:rsidR="00564515" w:rsidRPr="00C06B3A">
        <w:rPr>
          <w:rStyle w:val="FootnoteReference"/>
          <w:rFonts w:ascii="Times New Roman" w:hAnsi="Times New Roman"/>
          <w:sz w:val="24"/>
        </w:rPr>
        <w:footnoteReference w:id="23"/>
      </w:r>
      <w:r w:rsidR="00F97965" w:rsidRPr="00C06B3A">
        <w:rPr>
          <w:rFonts w:ascii="Times New Roman" w:hAnsi="Times New Roman"/>
        </w:rPr>
        <w:t>. It</w:t>
      </w:r>
      <w:r w:rsidR="00EA2A62" w:rsidRPr="00C06B3A">
        <w:rPr>
          <w:rFonts w:ascii="Times New Roman" w:hAnsi="Times New Roman"/>
        </w:rPr>
        <w:t xml:space="preserve"> repealed the </w:t>
      </w:r>
      <w:r w:rsidR="00EA2A62" w:rsidRPr="00C06B3A">
        <w:rPr>
          <w:rFonts w:ascii="Times New Roman" w:hAnsi="Times New Roman"/>
          <w:i/>
        </w:rPr>
        <w:t>Dangerous Sexual Offenders Act 2006 </w:t>
      </w:r>
      <w:r w:rsidR="00EA2A62" w:rsidRPr="00C06B3A">
        <w:rPr>
          <w:rFonts w:ascii="Times New Roman" w:hAnsi="Times New Roman"/>
        </w:rPr>
        <w:t>(WA) ("the DSO Act").</w:t>
      </w:r>
      <w:r w:rsidR="00E07127" w:rsidRPr="00C06B3A">
        <w:rPr>
          <w:rFonts w:ascii="Times New Roman" w:hAnsi="Times New Roman"/>
        </w:rPr>
        <w:t xml:space="preserve"> </w:t>
      </w:r>
      <w:r w:rsidR="007E4FFC" w:rsidRPr="00C06B3A">
        <w:rPr>
          <w:rFonts w:ascii="Times New Roman" w:hAnsi="Times New Roman"/>
        </w:rPr>
        <w:t>The</w:t>
      </w:r>
      <w:r w:rsidR="00192E08" w:rsidRPr="00C06B3A">
        <w:rPr>
          <w:rFonts w:ascii="Times New Roman" w:hAnsi="Times New Roman"/>
        </w:rPr>
        <w:t xml:space="preserve"> application of</w:t>
      </w:r>
      <w:r w:rsidR="007E4FFC" w:rsidRPr="00C06B3A">
        <w:rPr>
          <w:rFonts w:ascii="Times New Roman" w:hAnsi="Times New Roman"/>
        </w:rPr>
        <w:t xml:space="preserve"> </w:t>
      </w:r>
      <w:r w:rsidR="000F55F1" w:rsidRPr="00C06B3A">
        <w:rPr>
          <w:rFonts w:ascii="Times New Roman" w:hAnsi="Times New Roman"/>
        </w:rPr>
        <w:t xml:space="preserve">the </w:t>
      </w:r>
      <w:r w:rsidR="00E07127" w:rsidRPr="00C06B3A">
        <w:rPr>
          <w:rFonts w:ascii="Times New Roman" w:hAnsi="Times New Roman"/>
        </w:rPr>
        <w:t>DSO Act was limited to persons who had been convicted of a "serious sexual offence"</w:t>
      </w:r>
      <w:r w:rsidR="00E77EAA" w:rsidRPr="00C06B3A">
        <w:rPr>
          <w:rStyle w:val="FootnoteReference"/>
          <w:rFonts w:ascii="Times New Roman" w:hAnsi="Times New Roman"/>
          <w:sz w:val="24"/>
        </w:rPr>
        <w:footnoteReference w:id="24"/>
      </w:r>
      <w:r w:rsidR="00E07127" w:rsidRPr="00C06B3A">
        <w:rPr>
          <w:rFonts w:ascii="Times New Roman" w:hAnsi="Times New Roman"/>
        </w:rPr>
        <w:t>.</w:t>
      </w:r>
      <w:r w:rsidR="00E77EAA" w:rsidRPr="00C06B3A">
        <w:rPr>
          <w:rFonts w:ascii="Times New Roman" w:hAnsi="Times New Roman"/>
        </w:rPr>
        <w:t xml:space="preserve"> </w:t>
      </w:r>
      <w:r w:rsidR="000F55F1" w:rsidRPr="00C06B3A">
        <w:rPr>
          <w:rFonts w:ascii="Times New Roman" w:hAnsi="Times New Roman"/>
        </w:rPr>
        <w:t>T</w:t>
      </w:r>
      <w:r w:rsidR="00E77EAA" w:rsidRPr="00C06B3A">
        <w:rPr>
          <w:rFonts w:ascii="Times New Roman" w:hAnsi="Times New Roman"/>
        </w:rPr>
        <w:t xml:space="preserve">he HRSO Act is broader, applying </w:t>
      </w:r>
      <w:r w:rsidR="00E77EAA" w:rsidRPr="00C06B3A">
        <w:rPr>
          <w:rFonts w:ascii="Times New Roman" w:hAnsi="Times New Roman"/>
        </w:rPr>
        <w:lastRenderedPageBreak/>
        <w:t xml:space="preserve">to persons who have been convicted of </w:t>
      </w:r>
      <w:r w:rsidR="00F618E0" w:rsidRPr="00C06B3A">
        <w:rPr>
          <w:rFonts w:ascii="Times New Roman" w:hAnsi="Times New Roman"/>
        </w:rPr>
        <w:t xml:space="preserve">a </w:t>
      </w:r>
      <w:r w:rsidR="00117C33" w:rsidRPr="00C06B3A">
        <w:rPr>
          <w:rFonts w:ascii="Times New Roman" w:hAnsi="Times New Roman"/>
        </w:rPr>
        <w:t>"serious offence"</w:t>
      </w:r>
      <w:r w:rsidR="00114362" w:rsidRPr="00C06B3A">
        <w:rPr>
          <w:rStyle w:val="FootnoteReference"/>
          <w:rFonts w:ascii="Times New Roman" w:hAnsi="Times New Roman"/>
          <w:sz w:val="24"/>
        </w:rPr>
        <w:footnoteReference w:id="25"/>
      </w:r>
      <w:r w:rsidR="00F618E0" w:rsidRPr="00C06B3A">
        <w:rPr>
          <w:rFonts w:ascii="Times New Roman" w:hAnsi="Times New Roman"/>
        </w:rPr>
        <w:t xml:space="preserve"> as listed in Sch 1 to that Act</w:t>
      </w:r>
      <w:r w:rsidR="008A69CC" w:rsidRPr="00C06B3A">
        <w:rPr>
          <w:rFonts w:ascii="Times New Roman" w:hAnsi="Times New Roman"/>
        </w:rPr>
        <w:t>. The list of serious</w:t>
      </w:r>
      <w:r w:rsidR="007B5CA4" w:rsidRPr="00C06B3A">
        <w:rPr>
          <w:rFonts w:ascii="Times New Roman" w:hAnsi="Times New Roman"/>
        </w:rPr>
        <w:t xml:space="preserve"> offences include</w:t>
      </w:r>
      <w:r w:rsidR="00AD0BFD" w:rsidRPr="00C06B3A">
        <w:rPr>
          <w:rFonts w:ascii="Times New Roman" w:hAnsi="Times New Roman"/>
        </w:rPr>
        <w:t>s</w:t>
      </w:r>
      <w:r w:rsidR="000E629B" w:rsidRPr="00C06B3A">
        <w:rPr>
          <w:rFonts w:ascii="Times New Roman" w:hAnsi="Times New Roman"/>
        </w:rPr>
        <w:t>,</w:t>
      </w:r>
      <w:r w:rsidR="00117C33" w:rsidRPr="00C06B3A">
        <w:rPr>
          <w:rFonts w:ascii="Times New Roman" w:hAnsi="Times New Roman"/>
        </w:rPr>
        <w:t xml:space="preserve"> </w:t>
      </w:r>
      <w:r w:rsidR="00F618E0" w:rsidRPr="00C06B3A">
        <w:rPr>
          <w:rFonts w:ascii="Times New Roman" w:hAnsi="Times New Roman"/>
        </w:rPr>
        <w:t>relevantly, robbery</w:t>
      </w:r>
      <w:r w:rsidR="00613069" w:rsidRPr="00C06B3A">
        <w:rPr>
          <w:rStyle w:val="FootnoteReference"/>
          <w:rFonts w:ascii="Times New Roman" w:hAnsi="Times New Roman"/>
          <w:sz w:val="24"/>
        </w:rPr>
        <w:footnoteReference w:id="26"/>
      </w:r>
      <w:r w:rsidR="00AD0BFD" w:rsidRPr="00C06B3A">
        <w:rPr>
          <w:rFonts w:ascii="Times New Roman" w:hAnsi="Times New Roman"/>
        </w:rPr>
        <w:t>.</w:t>
      </w:r>
    </w:p>
    <w:p w14:paraId="0C551196" w14:textId="77777777" w:rsidR="00252AA8" w:rsidRPr="00C06B3A" w:rsidRDefault="000E629B"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52AA8" w:rsidRPr="00C06B3A">
        <w:rPr>
          <w:rFonts w:ascii="Times New Roman" w:hAnsi="Times New Roman"/>
        </w:rPr>
        <w:t>Section 8 states the objects of the HRSO Act to be:</w:t>
      </w:r>
    </w:p>
    <w:p w14:paraId="369057F9" w14:textId="77777777" w:rsidR="00252AA8" w:rsidRPr="00C06B3A" w:rsidRDefault="00252AA8" w:rsidP="00C06B3A">
      <w:pPr>
        <w:pStyle w:val="LRHangingafterHC"/>
        <w:spacing w:before="0" w:after="260" w:line="280" w:lineRule="exact"/>
        <w:ind w:right="0"/>
        <w:jc w:val="both"/>
        <w:rPr>
          <w:rFonts w:ascii="Times New Roman" w:hAnsi="Times New Roman"/>
        </w:rPr>
      </w:pPr>
      <w:r w:rsidRPr="00C06B3A">
        <w:rPr>
          <w:rFonts w:ascii="Times New Roman" w:hAnsi="Times New Roman"/>
        </w:rPr>
        <w:t>"(a)</w:t>
      </w:r>
      <w:r w:rsidRPr="00C06B3A">
        <w:rPr>
          <w:rFonts w:ascii="Times New Roman" w:hAnsi="Times New Roman"/>
        </w:rPr>
        <w:tab/>
        <w:t xml:space="preserve">to provide for the detention in custody or the supervision of </w:t>
      </w:r>
      <w:proofErr w:type="gramStart"/>
      <w:r w:rsidRPr="00C06B3A">
        <w:rPr>
          <w:rFonts w:ascii="Times New Roman" w:hAnsi="Times New Roman"/>
        </w:rPr>
        <w:t>high risk</w:t>
      </w:r>
      <w:proofErr w:type="gramEnd"/>
      <w:r w:rsidRPr="00C06B3A">
        <w:rPr>
          <w:rFonts w:ascii="Times New Roman" w:hAnsi="Times New Roman"/>
        </w:rPr>
        <w:t xml:space="preserve"> serious offenders to ensure adequate protection of the community and of victims of serious offences; and</w:t>
      </w:r>
    </w:p>
    <w:p w14:paraId="2E4E686C" w14:textId="77777777" w:rsidR="00C06B3A" w:rsidRDefault="00252AA8" w:rsidP="00C06B3A">
      <w:pPr>
        <w:pStyle w:val="LeftrightHanging"/>
        <w:spacing w:before="0" w:after="260" w:line="280" w:lineRule="exact"/>
        <w:ind w:right="0"/>
        <w:jc w:val="both"/>
        <w:rPr>
          <w:rFonts w:ascii="Times New Roman" w:hAnsi="Times New Roman"/>
        </w:rPr>
      </w:pPr>
      <w:r w:rsidRPr="00C06B3A">
        <w:rPr>
          <w:rFonts w:ascii="Times New Roman" w:hAnsi="Times New Roman"/>
        </w:rPr>
        <w:t>(b)</w:t>
      </w:r>
      <w:r w:rsidRPr="00C06B3A">
        <w:rPr>
          <w:rFonts w:ascii="Times New Roman" w:hAnsi="Times New Roman"/>
        </w:rPr>
        <w:tab/>
        <w:t xml:space="preserve">to provide for continuing control, care or treatment of </w:t>
      </w:r>
      <w:proofErr w:type="gramStart"/>
      <w:r w:rsidRPr="00C06B3A">
        <w:rPr>
          <w:rFonts w:ascii="Times New Roman" w:hAnsi="Times New Roman"/>
        </w:rPr>
        <w:t>high risk</w:t>
      </w:r>
      <w:proofErr w:type="gramEnd"/>
      <w:r w:rsidRPr="00C06B3A">
        <w:rPr>
          <w:rFonts w:ascii="Times New Roman" w:hAnsi="Times New Roman"/>
        </w:rPr>
        <w:t xml:space="preserve"> serious offenders."</w:t>
      </w:r>
    </w:p>
    <w:p w14:paraId="017D0347" w14:textId="7358BCC3" w:rsidR="00CE753E" w:rsidRPr="00C06B3A" w:rsidRDefault="00605DE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5F665C" w:rsidRPr="00C06B3A">
        <w:rPr>
          <w:rFonts w:ascii="Times New Roman" w:hAnsi="Times New Roman"/>
        </w:rPr>
        <w:t xml:space="preserve">The relevant "community" is defined in s 4 to </w:t>
      </w:r>
      <w:r w:rsidR="00900E06" w:rsidRPr="00C06B3A">
        <w:rPr>
          <w:rFonts w:ascii="Times New Roman" w:hAnsi="Times New Roman"/>
        </w:rPr>
        <w:t>include any community and is not limited to the community of Western Australia or Australia.</w:t>
      </w:r>
    </w:p>
    <w:p w14:paraId="3A14D149" w14:textId="461B2A03" w:rsidR="00605DE0" w:rsidRPr="00C06B3A" w:rsidRDefault="00915485"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605DE0" w:rsidRPr="00C06B3A">
        <w:rPr>
          <w:rFonts w:ascii="Times New Roman" w:hAnsi="Times New Roman"/>
        </w:rPr>
        <w:t xml:space="preserve">Section 7 </w:t>
      </w:r>
      <w:r w:rsidR="00525F2C" w:rsidRPr="00C06B3A">
        <w:rPr>
          <w:rFonts w:ascii="Times New Roman" w:hAnsi="Times New Roman"/>
        </w:rPr>
        <w:t xml:space="preserve">was said </w:t>
      </w:r>
      <w:r w:rsidR="00AC213F" w:rsidRPr="00C06B3A">
        <w:rPr>
          <w:rFonts w:ascii="Times New Roman" w:hAnsi="Times New Roman"/>
        </w:rPr>
        <w:t xml:space="preserve">by the primary judge to be "central" to the contentions concerning the </w:t>
      </w:r>
      <w:r w:rsidR="00AC213F" w:rsidRPr="00C06B3A">
        <w:rPr>
          <w:rFonts w:ascii="Times New Roman" w:hAnsi="Times New Roman"/>
          <w:i/>
          <w:iCs/>
        </w:rPr>
        <w:t xml:space="preserve">Kable </w:t>
      </w:r>
      <w:r w:rsidR="00AC213F" w:rsidRPr="00C06B3A">
        <w:rPr>
          <w:rFonts w:ascii="Times New Roman" w:hAnsi="Times New Roman"/>
        </w:rPr>
        <w:t>principle</w:t>
      </w:r>
      <w:r w:rsidR="00B12B02" w:rsidRPr="00C06B3A">
        <w:rPr>
          <w:rStyle w:val="FootnoteReference"/>
          <w:rFonts w:ascii="Times New Roman" w:hAnsi="Times New Roman"/>
          <w:sz w:val="24"/>
        </w:rPr>
        <w:footnoteReference w:id="27"/>
      </w:r>
      <w:r w:rsidR="00B12B02" w:rsidRPr="00C06B3A">
        <w:rPr>
          <w:rFonts w:ascii="Times New Roman" w:hAnsi="Times New Roman"/>
        </w:rPr>
        <w:t xml:space="preserve">. Section 7 </w:t>
      </w:r>
      <w:r w:rsidR="00605DE0" w:rsidRPr="00C06B3A">
        <w:rPr>
          <w:rFonts w:ascii="Times New Roman" w:hAnsi="Times New Roman"/>
        </w:rPr>
        <w:t xml:space="preserve">defines a "high risk serious offender" </w:t>
      </w:r>
      <w:r w:rsidR="00DC4510" w:rsidRPr="00C06B3A">
        <w:rPr>
          <w:rFonts w:ascii="Times New Roman" w:hAnsi="Times New Roman"/>
        </w:rPr>
        <w:t>in the following terms:</w:t>
      </w:r>
    </w:p>
    <w:p w14:paraId="256DC0E2" w14:textId="39558AF8" w:rsidR="00DC4510" w:rsidRPr="00C06B3A" w:rsidRDefault="00DC4510" w:rsidP="00C06B3A">
      <w:pPr>
        <w:pStyle w:val="LRHangingafterHC"/>
        <w:spacing w:before="0" w:after="260" w:line="280" w:lineRule="exact"/>
        <w:ind w:right="0"/>
        <w:jc w:val="both"/>
        <w:rPr>
          <w:rFonts w:ascii="Times New Roman" w:hAnsi="Times New Roman"/>
        </w:rPr>
      </w:pPr>
      <w:r w:rsidRPr="00C06B3A">
        <w:rPr>
          <w:rFonts w:ascii="Times New Roman" w:hAnsi="Times New Roman"/>
        </w:rPr>
        <w:t>"(1)</w:t>
      </w:r>
      <w:r w:rsidR="00D00C8F" w:rsidRPr="00C06B3A">
        <w:rPr>
          <w:rFonts w:ascii="Times New Roman" w:hAnsi="Times New Roman"/>
        </w:rPr>
        <w:tab/>
        <w:t xml:space="preserve">An offender is a </w:t>
      </w:r>
      <w:proofErr w:type="gramStart"/>
      <w:r w:rsidR="00D00C8F" w:rsidRPr="00C06B3A">
        <w:rPr>
          <w:rFonts w:ascii="Times New Roman" w:hAnsi="Times New Roman"/>
          <w:b/>
          <w:i/>
        </w:rPr>
        <w:t>high risk</w:t>
      </w:r>
      <w:proofErr w:type="gramEnd"/>
      <w:r w:rsidR="00D00C8F" w:rsidRPr="00C06B3A">
        <w:rPr>
          <w:rFonts w:ascii="Times New Roman" w:hAnsi="Times New Roman"/>
          <w:b/>
          <w:i/>
        </w:rPr>
        <w:t xml:space="preserve"> serious offender </w:t>
      </w:r>
      <w:r w:rsidR="00D00C8F" w:rsidRPr="00C06B3A">
        <w:rPr>
          <w:rFonts w:ascii="Times New Roman" w:hAnsi="Times New Roman"/>
        </w:rPr>
        <w:t>if the court dealing with an application under this Act finds that it is satisfied, by acceptable and cogent evidence and to a high degree of probability, that it is necessary</w:t>
      </w:r>
      <w:r w:rsidR="005903A7" w:rsidRPr="00C06B3A">
        <w:rPr>
          <w:rFonts w:ascii="Times New Roman" w:hAnsi="Times New Roman"/>
        </w:rPr>
        <w:t xml:space="preserve"> to make a restriction order in relation to the offender to ensure adequate protection of the community against an unacceptable risk that the offender will commit a serious offence.</w:t>
      </w:r>
    </w:p>
    <w:p w14:paraId="21C10F28" w14:textId="4FF2090F" w:rsidR="005903A7" w:rsidRPr="00C06B3A" w:rsidRDefault="005903A7" w:rsidP="00C06B3A">
      <w:pPr>
        <w:pStyle w:val="LeftrightHanging"/>
        <w:spacing w:before="0" w:after="260" w:line="280" w:lineRule="exact"/>
        <w:ind w:right="0"/>
        <w:jc w:val="both"/>
        <w:rPr>
          <w:rFonts w:ascii="Times New Roman" w:hAnsi="Times New Roman"/>
        </w:rPr>
      </w:pPr>
      <w:r w:rsidRPr="00C06B3A">
        <w:rPr>
          <w:rFonts w:ascii="Times New Roman" w:hAnsi="Times New Roman"/>
        </w:rPr>
        <w:t>(2)</w:t>
      </w:r>
      <w:r w:rsidRPr="00C06B3A">
        <w:rPr>
          <w:rFonts w:ascii="Times New Roman" w:hAnsi="Times New Roman"/>
        </w:rPr>
        <w:tab/>
        <w:t>The State has the onus of satisfying the court as required by subsection (1).</w:t>
      </w:r>
    </w:p>
    <w:p w14:paraId="1352731F" w14:textId="2108A44C" w:rsidR="005903A7" w:rsidRPr="00C06B3A" w:rsidRDefault="005903A7" w:rsidP="00C06B3A">
      <w:pPr>
        <w:pStyle w:val="LeftrightHanging"/>
        <w:spacing w:before="0" w:after="260" w:line="280" w:lineRule="exact"/>
        <w:ind w:right="0"/>
        <w:jc w:val="both"/>
        <w:rPr>
          <w:rFonts w:ascii="Times New Roman" w:hAnsi="Times New Roman"/>
        </w:rPr>
      </w:pPr>
      <w:r w:rsidRPr="00C06B3A">
        <w:rPr>
          <w:rFonts w:ascii="Times New Roman" w:hAnsi="Times New Roman"/>
        </w:rPr>
        <w:t>(3)</w:t>
      </w:r>
      <w:r w:rsidRPr="00C06B3A">
        <w:rPr>
          <w:rFonts w:ascii="Times New Roman" w:hAnsi="Times New Roman"/>
        </w:rPr>
        <w:tab/>
      </w:r>
      <w:r w:rsidR="00BE20AD" w:rsidRPr="00C06B3A">
        <w:rPr>
          <w:rFonts w:ascii="Times New Roman" w:hAnsi="Times New Roman"/>
        </w:rPr>
        <w:t>In considering whether it is satisfied as required by subsection (1), the court must have regard to the following </w:t>
      </w:r>
      <w:r w:rsidR="00363EC6" w:rsidRPr="00C06B3A">
        <w:rPr>
          <w:rFonts w:ascii="Times New Roman" w:hAnsi="Times New Roman"/>
        </w:rPr>
        <w:t>–</w:t>
      </w:r>
    </w:p>
    <w:p w14:paraId="71EF868A" w14:textId="3D1724A2" w:rsidR="00BE20AD" w:rsidRPr="00C06B3A" w:rsidRDefault="00BE20AD" w:rsidP="00C06B3A">
      <w:pPr>
        <w:pStyle w:val="LRHangingMore"/>
        <w:spacing w:before="0" w:after="260" w:line="280" w:lineRule="exact"/>
        <w:ind w:right="0"/>
        <w:jc w:val="both"/>
        <w:rPr>
          <w:rFonts w:ascii="Times New Roman" w:hAnsi="Times New Roman"/>
        </w:rPr>
      </w:pPr>
      <w:r w:rsidRPr="00C06B3A">
        <w:rPr>
          <w:rFonts w:ascii="Times New Roman" w:hAnsi="Times New Roman"/>
        </w:rPr>
        <w:t>(a)</w:t>
      </w:r>
      <w:r w:rsidRPr="00C06B3A">
        <w:rPr>
          <w:rFonts w:ascii="Times New Roman" w:hAnsi="Times New Roman"/>
        </w:rPr>
        <w:tab/>
        <w:t xml:space="preserve">any report prepared under section 74 for the hearing </w:t>
      </w:r>
      <w:r w:rsidR="00D265C3" w:rsidRPr="00C06B3A">
        <w:rPr>
          <w:rFonts w:ascii="Times New Roman" w:hAnsi="Times New Roman"/>
        </w:rPr>
        <w:t>of the application</w:t>
      </w:r>
      <w:r w:rsidR="003F44EB" w:rsidRPr="00C06B3A">
        <w:rPr>
          <w:rFonts w:ascii="Times New Roman" w:hAnsi="Times New Roman"/>
        </w:rPr>
        <w:t xml:space="preserve"> and the extent to which the offender cooperated in the examination required by that </w:t>
      </w:r>
      <w:proofErr w:type="gramStart"/>
      <w:r w:rsidR="003F44EB" w:rsidRPr="00C06B3A">
        <w:rPr>
          <w:rFonts w:ascii="Times New Roman" w:hAnsi="Times New Roman"/>
        </w:rPr>
        <w:t>section;</w:t>
      </w:r>
      <w:proofErr w:type="gramEnd"/>
    </w:p>
    <w:p w14:paraId="3BE54001" w14:textId="3C27733E" w:rsidR="003F44EB" w:rsidRPr="00C06B3A" w:rsidRDefault="003F44EB" w:rsidP="00C06B3A">
      <w:pPr>
        <w:pStyle w:val="LRHangingMore"/>
        <w:spacing w:before="0" w:after="260" w:line="280" w:lineRule="exact"/>
        <w:ind w:right="0"/>
        <w:jc w:val="both"/>
        <w:rPr>
          <w:rFonts w:ascii="Times New Roman" w:hAnsi="Times New Roman"/>
        </w:rPr>
      </w:pPr>
      <w:r w:rsidRPr="00C06B3A">
        <w:rPr>
          <w:rFonts w:ascii="Times New Roman" w:hAnsi="Times New Roman"/>
        </w:rPr>
        <w:lastRenderedPageBreak/>
        <w:t>(b)</w:t>
      </w:r>
      <w:r w:rsidRPr="00C06B3A">
        <w:rPr>
          <w:rFonts w:ascii="Times New Roman" w:hAnsi="Times New Roman"/>
        </w:rPr>
        <w:tab/>
      </w:r>
      <w:r w:rsidR="00A472E7" w:rsidRPr="00C06B3A">
        <w:rPr>
          <w:rFonts w:ascii="Times New Roman" w:hAnsi="Times New Roman"/>
        </w:rPr>
        <w:t xml:space="preserve">any other medical, psychiatric, psychological, or other assessment relating to the </w:t>
      </w:r>
      <w:proofErr w:type="gramStart"/>
      <w:r w:rsidR="00A472E7" w:rsidRPr="00C06B3A">
        <w:rPr>
          <w:rFonts w:ascii="Times New Roman" w:hAnsi="Times New Roman"/>
        </w:rPr>
        <w:t>offender;</w:t>
      </w:r>
      <w:proofErr w:type="gramEnd"/>
    </w:p>
    <w:p w14:paraId="507CE12C" w14:textId="15EBB354" w:rsidR="00A472E7" w:rsidRPr="00C06B3A" w:rsidRDefault="00A472E7" w:rsidP="00C06B3A">
      <w:pPr>
        <w:pStyle w:val="LRHangingMore"/>
        <w:spacing w:before="0" w:after="260" w:line="280" w:lineRule="exact"/>
        <w:ind w:right="0"/>
        <w:jc w:val="both"/>
        <w:rPr>
          <w:rFonts w:ascii="Times New Roman" w:hAnsi="Times New Roman"/>
        </w:rPr>
      </w:pPr>
      <w:r w:rsidRPr="00C06B3A">
        <w:rPr>
          <w:rFonts w:ascii="Times New Roman" w:hAnsi="Times New Roman"/>
        </w:rPr>
        <w:t>(c)</w:t>
      </w:r>
      <w:r w:rsidRPr="00C06B3A">
        <w:rPr>
          <w:rFonts w:ascii="Times New Roman" w:hAnsi="Times New Roman"/>
        </w:rPr>
        <w:tab/>
        <w:t xml:space="preserve">information indicating whether or not the offender has a propensity to commit serious offences in the </w:t>
      </w:r>
      <w:proofErr w:type="gramStart"/>
      <w:r w:rsidRPr="00C06B3A">
        <w:rPr>
          <w:rFonts w:ascii="Times New Roman" w:hAnsi="Times New Roman"/>
        </w:rPr>
        <w:t>future;</w:t>
      </w:r>
      <w:proofErr w:type="gramEnd"/>
    </w:p>
    <w:p w14:paraId="0E4B4FDF" w14:textId="2D23E9D2" w:rsidR="00A472E7" w:rsidRPr="00C06B3A" w:rsidRDefault="00A472E7" w:rsidP="00C06B3A">
      <w:pPr>
        <w:pStyle w:val="LRHangingMore"/>
        <w:spacing w:before="0" w:after="260" w:line="280" w:lineRule="exact"/>
        <w:ind w:right="0"/>
        <w:jc w:val="both"/>
        <w:rPr>
          <w:rFonts w:ascii="Times New Roman" w:hAnsi="Times New Roman"/>
        </w:rPr>
      </w:pPr>
      <w:r w:rsidRPr="00C06B3A">
        <w:rPr>
          <w:rFonts w:ascii="Times New Roman" w:hAnsi="Times New Roman"/>
        </w:rPr>
        <w:t>(d)</w:t>
      </w:r>
      <w:r w:rsidRPr="00C06B3A">
        <w:rPr>
          <w:rFonts w:ascii="Times New Roman" w:hAnsi="Times New Roman"/>
        </w:rPr>
        <w:tab/>
        <w:t xml:space="preserve">whether or not there is any pattern of offending behaviour by the </w:t>
      </w:r>
      <w:proofErr w:type="gramStart"/>
      <w:r w:rsidRPr="00C06B3A">
        <w:rPr>
          <w:rFonts w:ascii="Times New Roman" w:hAnsi="Times New Roman"/>
        </w:rPr>
        <w:t>offender;</w:t>
      </w:r>
      <w:proofErr w:type="gramEnd"/>
    </w:p>
    <w:p w14:paraId="55CDE525" w14:textId="01A9831F" w:rsidR="00A472E7" w:rsidRPr="00C06B3A" w:rsidRDefault="00A472E7" w:rsidP="00C06B3A">
      <w:pPr>
        <w:pStyle w:val="LRHangingMore"/>
        <w:spacing w:before="0" w:after="260" w:line="280" w:lineRule="exact"/>
        <w:ind w:right="0"/>
        <w:jc w:val="both"/>
        <w:rPr>
          <w:rFonts w:ascii="Times New Roman" w:hAnsi="Times New Roman"/>
        </w:rPr>
      </w:pPr>
      <w:r w:rsidRPr="00C06B3A">
        <w:rPr>
          <w:rFonts w:ascii="Times New Roman" w:hAnsi="Times New Roman"/>
        </w:rPr>
        <w:t>(e)</w:t>
      </w:r>
      <w:r w:rsidRPr="00C06B3A">
        <w:rPr>
          <w:rFonts w:ascii="Times New Roman" w:hAnsi="Times New Roman"/>
        </w:rPr>
        <w:tab/>
        <w:t xml:space="preserve">any efforts by the offender to address the cause or causes of the offender's offending behaviour, including whether the offender has participated in any rehabilitation </w:t>
      </w:r>
      <w:proofErr w:type="gramStart"/>
      <w:r w:rsidRPr="00C06B3A">
        <w:rPr>
          <w:rFonts w:ascii="Times New Roman" w:hAnsi="Times New Roman"/>
        </w:rPr>
        <w:t>programme;</w:t>
      </w:r>
      <w:proofErr w:type="gramEnd"/>
    </w:p>
    <w:p w14:paraId="5F17FEF2" w14:textId="593EA189" w:rsidR="002C1994" w:rsidRPr="00C06B3A" w:rsidRDefault="002C1994" w:rsidP="00C06B3A">
      <w:pPr>
        <w:pStyle w:val="LRHangingMore"/>
        <w:spacing w:before="0" w:after="260" w:line="280" w:lineRule="exact"/>
        <w:ind w:right="0"/>
        <w:jc w:val="both"/>
        <w:rPr>
          <w:rFonts w:ascii="Times New Roman" w:hAnsi="Times New Roman"/>
        </w:rPr>
      </w:pPr>
      <w:r w:rsidRPr="00C06B3A">
        <w:rPr>
          <w:rFonts w:ascii="Times New Roman" w:hAnsi="Times New Roman"/>
        </w:rPr>
        <w:t>(f)</w:t>
      </w:r>
      <w:r w:rsidRPr="00C06B3A">
        <w:rPr>
          <w:rFonts w:ascii="Times New Roman" w:hAnsi="Times New Roman"/>
        </w:rPr>
        <w:tab/>
        <w:t xml:space="preserve">whether or not the offender's participation in any rehabilitation programme has had a positive effect on the </w:t>
      </w:r>
      <w:proofErr w:type="gramStart"/>
      <w:r w:rsidRPr="00C06B3A">
        <w:rPr>
          <w:rFonts w:ascii="Times New Roman" w:hAnsi="Times New Roman"/>
        </w:rPr>
        <w:t>offender;</w:t>
      </w:r>
      <w:proofErr w:type="gramEnd"/>
    </w:p>
    <w:p w14:paraId="52C7F3D0" w14:textId="3F985DB3" w:rsidR="002C1994" w:rsidRPr="00C06B3A" w:rsidRDefault="002C1994" w:rsidP="00C06B3A">
      <w:pPr>
        <w:pStyle w:val="LRHangingMore"/>
        <w:spacing w:before="0" w:after="260" w:line="280" w:lineRule="exact"/>
        <w:ind w:right="0"/>
        <w:jc w:val="both"/>
        <w:rPr>
          <w:rFonts w:ascii="Times New Roman" w:hAnsi="Times New Roman"/>
        </w:rPr>
      </w:pPr>
      <w:r w:rsidRPr="00C06B3A">
        <w:rPr>
          <w:rFonts w:ascii="Times New Roman" w:hAnsi="Times New Roman"/>
        </w:rPr>
        <w:t>(g)</w:t>
      </w:r>
      <w:r w:rsidRPr="00C06B3A">
        <w:rPr>
          <w:rFonts w:ascii="Times New Roman" w:hAnsi="Times New Roman"/>
        </w:rPr>
        <w:tab/>
        <w:t xml:space="preserve">the offender's antecedents and criminal </w:t>
      </w:r>
      <w:proofErr w:type="gramStart"/>
      <w:r w:rsidRPr="00C06B3A">
        <w:rPr>
          <w:rFonts w:ascii="Times New Roman" w:hAnsi="Times New Roman"/>
        </w:rPr>
        <w:t>record;</w:t>
      </w:r>
      <w:proofErr w:type="gramEnd"/>
    </w:p>
    <w:p w14:paraId="534F7F02" w14:textId="07A47ECB" w:rsidR="002C1994" w:rsidRPr="00C06B3A" w:rsidRDefault="002C1994" w:rsidP="00C06B3A">
      <w:pPr>
        <w:pStyle w:val="LRHangingMore"/>
        <w:spacing w:before="0" w:after="260" w:line="280" w:lineRule="exact"/>
        <w:ind w:right="0"/>
        <w:jc w:val="both"/>
        <w:rPr>
          <w:rFonts w:ascii="Times New Roman" w:hAnsi="Times New Roman"/>
        </w:rPr>
      </w:pPr>
      <w:r w:rsidRPr="00C06B3A">
        <w:rPr>
          <w:rFonts w:ascii="Times New Roman" w:hAnsi="Times New Roman"/>
        </w:rPr>
        <w:t>(h)</w:t>
      </w:r>
      <w:r w:rsidRPr="00C06B3A">
        <w:rPr>
          <w:rFonts w:ascii="Times New Roman" w:hAnsi="Times New Roman"/>
        </w:rPr>
        <w:tab/>
        <w:t xml:space="preserve">the risk that, if the offender were not subject to a restriction order, the offender would commit a serious </w:t>
      </w:r>
      <w:proofErr w:type="gramStart"/>
      <w:r w:rsidRPr="00C06B3A">
        <w:rPr>
          <w:rFonts w:ascii="Times New Roman" w:hAnsi="Times New Roman"/>
        </w:rPr>
        <w:t>offence;</w:t>
      </w:r>
      <w:proofErr w:type="gramEnd"/>
    </w:p>
    <w:p w14:paraId="4CA0D3D7" w14:textId="0585B276" w:rsidR="00C95810" w:rsidRPr="00C06B3A" w:rsidRDefault="00C95810" w:rsidP="00C06B3A">
      <w:pPr>
        <w:pStyle w:val="LRHangingMore"/>
        <w:spacing w:before="0" w:after="260" w:line="280" w:lineRule="exact"/>
        <w:ind w:right="0"/>
        <w:jc w:val="both"/>
        <w:rPr>
          <w:rFonts w:ascii="Times New Roman" w:hAnsi="Times New Roman"/>
        </w:rPr>
      </w:pPr>
      <w:r w:rsidRPr="00C06B3A">
        <w:rPr>
          <w:rFonts w:ascii="Times New Roman" w:hAnsi="Times New Roman"/>
        </w:rPr>
        <w:t>(</w:t>
      </w:r>
      <w:proofErr w:type="spellStart"/>
      <w:r w:rsidRPr="00C06B3A">
        <w:rPr>
          <w:rFonts w:ascii="Times New Roman" w:hAnsi="Times New Roman"/>
        </w:rPr>
        <w:t>i</w:t>
      </w:r>
      <w:proofErr w:type="spellEnd"/>
      <w:r w:rsidRPr="00C06B3A">
        <w:rPr>
          <w:rFonts w:ascii="Times New Roman" w:hAnsi="Times New Roman"/>
        </w:rPr>
        <w:t>)</w:t>
      </w:r>
      <w:r w:rsidRPr="00C06B3A">
        <w:rPr>
          <w:rFonts w:ascii="Times New Roman" w:hAnsi="Times New Roman"/>
        </w:rPr>
        <w:tab/>
        <w:t xml:space="preserve">the need to protect members of the community from that </w:t>
      </w:r>
      <w:proofErr w:type="gramStart"/>
      <w:r w:rsidRPr="00C06B3A">
        <w:rPr>
          <w:rFonts w:ascii="Times New Roman" w:hAnsi="Times New Roman"/>
        </w:rPr>
        <w:t>risk;</w:t>
      </w:r>
      <w:proofErr w:type="gramEnd"/>
    </w:p>
    <w:p w14:paraId="7BC0B1BC" w14:textId="2C7F2548" w:rsidR="00CB1920" w:rsidRPr="00C06B3A" w:rsidRDefault="00C95810" w:rsidP="00C06B3A">
      <w:pPr>
        <w:pStyle w:val="LRHangingMore"/>
        <w:spacing w:before="0" w:after="260" w:line="280" w:lineRule="exact"/>
        <w:ind w:right="0"/>
        <w:jc w:val="both"/>
        <w:rPr>
          <w:rFonts w:ascii="Times New Roman" w:hAnsi="Times New Roman"/>
        </w:rPr>
      </w:pPr>
      <w:r w:rsidRPr="00C06B3A">
        <w:rPr>
          <w:rFonts w:ascii="Times New Roman" w:hAnsi="Times New Roman"/>
        </w:rPr>
        <w:t>(j)</w:t>
      </w:r>
      <w:r w:rsidRPr="00C06B3A">
        <w:rPr>
          <w:rFonts w:ascii="Times New Roman" w:hAnsi="Times New Roman"/>
        </w:rPr>
        <w:tab/>
        <w:t>any other relevant matter.</w:t>
      </w:r>
    </w:p>
    <w:p w14:paraId="24C5F77A" w14:textId="6393C682" w:rsidR="00C95810" w:rsidRPr="00C06B3A" w:rsidRDefault="00C95810" w:rsidP="00C06B3A">
      <w:pPr>
        <w:pStyle w:val="LeftrightHanging"/>
        <w:spacing w:before="0" w:after="260" w:line="280" w:lineRule="exact"/>
        <w:ind w:right="0"/>
        <w:jc w:val="both"/>
        <w:rPr>
          <w:rFonts w:ascii="Times New Roman" w:hAnsi="Times New Roman"/>
        </w:rPr>
      </w:pPr>
      <w:r w:rsidRPr="00C06B3A">
        <w:rPr>
          <w:rFonts w:ascii="Times New Roman" w:hAnsi="Times New Roman"/>
        </w:rPr>
        <w:t>(4)</w:t>
      </w:r>
      <w:r w:rsidRPr="00C06B3A">
        <w:rPr>
          <w:rFonts w:ascii="Times New Roman" w:hAnsi="Times New Roman"/>
        </w:rPr>
        <w:tab/>
        <w:t>In considering whether it is satisfied as required by subsection (1), the court must disregard the possibility that the offender might temporarily be prevented from committing a serious offence by </w:t>
      </w:r>
      <w:r w:rsidR="00363EC6" w:rsidRPr="00C06B3A">
        <w:rPr>
          <w:rFonts w:ascii="Times New Roman" w:hAnsi="Times New Roman"/>
        </w:rPr>
        <w:t>–</w:t>
      </w:r>
    </w:p>
    <w:p w14:paraId="1701D6F7" w14:textId="65AEB410" w:rsidR="00C95810" w:rsidRPr="00C06B3A" w:rsidRDefault="00C95810" w:rsidP="00C06B3A">
      <w:pPr>
        <w:pStyle w:val="LRHangingMore"/>
        <w:spacing w:before="0" w:after="260" w:line="280" w:lineRule="exact"/>
        <w:ind w:right="0"/>
        <w:jc w:val="both"/>
        <w:rPr>
          <w:rFonts w:ascii="Times New Roman" w:hAnsi="Times New Roman"/>
        </w:rPr>
      </w:pPr>
      <w:r w:rsidRPr="00C06B3A">
        <w:rPr>
          <w:rFonts w:ascii="Times New Roman" w:hAnsi="Times New Roman"/>
        </w:rPr>
        <w:t>(a)</w:t>
      </w:r>
      <w:r w:rsidRPr="00C06B3A">
        <w:rPr>
          <w:rFonts w:ascii="Times New Roman" w:hAnsi="Times New Roman"/>
        </w:rPr>
        <w:tab/>
        <w:t>imprisonment; or</w:t>
      </w:r>
    </w:p>
    <w:p w14:paraId="7A3EA539" w14:textId="5820E17C" w:rsidR="00C95810" w:rsidRPr="00C06B3A" w:rsidRDefault="00C95810" w:rsidP="00C06B3A">
      <w:pPr>
        <w:pStyle w:val="LRHangingMore"/>
        <w:spacing w:before="0" w:after="260" w:line="280" w:lineRule="exact"/>
        <w:ind w:right="0"/>
        <w:jc w:val="both"/>
        <w:rPr>
          <w:rFonts w:ascii="Times New Roman" w:hAnsi="Times New Roman"/>
        </w:rPr>
      </w:pPr>
      <w:r w:rsidRPr="00C06B3A">
        <w:rPr>
          <w:rFonts w:ascii="Times New Roman" w:hAnsi="Times New Roman"/>
        </w:rPr>
        <w:t>(b)</w:t>
      </w:r>
      <w:r w:rsidRPr="00C06B3A">
        <w:rPr>
          <w:rFonts w:ascii="Times New Roman" w:hAnsi="Times New Roman"/>
        </w:rPr>
        <w:tab/>
        <w:t>remand in custody; or</w:t>
      </w:r>
    </w:p>
    <w:p w14:paraId="7FBD7E38" w14:textId="77777777" w:rsidR="00C06B3A" w:rsidRDefault="00C95810" w:rsidP="00C06B3A">
      <w:pPr>
        <w:pStyle w:val="LRHangingMore"/>
        <w:spacing w:before="0" w:after="260" w:line="280" w:lineRule="exact"/>
        <w:ind w:right="0"/>
        <w:jc w:val="both"/>
        <w:rPr>
          <w:rFonts w:ascii="Times New Roman" w:hAnsi="Times New Roman"/>
        </w:rPr>
      </w:pPr>
      <w:r w:rsidRPr="00C06B3A">
        <w:rPr>
          <w:rFonts w:ascii="Times New Roman" w:hAnsi="Times New Roman"/>
        </w:rPr>
        <w:t>(c)</w:t>
      </w:r>
      <w:r w:rsidRPr="00C06B3A">
        <w:rPr>
          <w:rFonts w:ascii="Times New Roman" w:hAnsi="Times New Roman"/>
        </w:rPr>
        <w:tab/>
        <w:t>the imposition of bail conditions."</w:t>
      </w:r>
    </w:p>
    <w:p w14:paraId="7236E2C5" w14:textId="1C44354D" w:rsidR="00F82DFE" w:rsidRPr="00C06B3A" w:rsidRDefault="006256FE"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523A4E" w:rsidRPr="00C06B3A">
        <w:rPr>
          <w:rFonts w:ascii="Times New Roman" w:hAnsi="Times New Roman"/>
        </w:rPr>
        <w:t>Section 11</w:t>
      </w:r>
      <w:r w:rsidR="00CA7EC0" w:rsidRPr="00C06B3A">
        <w:rPr>
          <w:rFonts w:ascii="Times New Roman" w:hAnsi="Times New Roman"/>
        </w:rPr>
        <w:t>(1)</w:t>
      </w:r>
      <w:r w:rsidR="00523A4E" w:rsidRPr="00C06B3A">
        <w:rPr>
          <w:rFonts w:ascii="Times New Roman" w:hAnsi="Times New Roman"/>
        </w:rPr>
        <w:t xml:space="preserve"> provides</w:t>
      </w:r>
      <w:r w:rsidR="00AA3CB7" w:rsidRPr="00C06B3A">
        <w:rPr>
          <w:rFonts w:ascii="Times New Roman" w:hAnsi="Times New Roman"/>
        </w:rPr>
        <w:t>,</w:t>
      </w:r>
      <w:r w:rsidR="00523A4E" w:rsidRPr="00C06B3A">
        <w:rPr>
          <w:rFonts w:ascii="Times New Roman" w:hAnsi="Times New Roman"/>
        </w:rPr>
        <w:t xml:space="preserve"> </w:t>
      </w:r>
      <w:r w:rsidR="003B7B26" w:rsidRPr="00C06B3A">
        <w:rPr>
          <w:rFonts w:ascii="Times New Roman" w:hAnsi="Times New Roman"/>
        </w:rPr>
        <w:t>relevantly</w:t>
      </w:r>
      <w:r w:rsidR="00AA3CB7" w:rsidRPr="00C06B3A">
        <w:rPr>
          <w:rFonts w:ascii="Times New Roman" w:hAnsi="Times New Roman"/>
        </w:rPr>
        <w:t>,</w:t>
      </w:r>
      <w:r w:rsidR="003B7B26" w:rsidRPr="00C06B3A">
        <w:rPr>
          <w:rFonts w:ascii="Times New Roman" w:hAnsi="Times New Roman"/>
        </w:rPr>
        <w:t xml:space="preserve"> </w:t>
      </w:r>
      <w:r w:rsidR="00523A4E" w:rsidRPr="00C06B3A">
        <w:rPr>
          <w:rFonts w:ascii="Times New Roman" w:hAnsi="Times New Roman"/>
        </w:rPr>
        <w:t>that the Attorney</w:t>
      </w:r>
      <w:r w:rsidR="00523A4E" w:rsidRPr="00C06B3A">
        <w:rPr>
          <w:rFonts w:ascii="Times New Roman" w:hAnsi="Times New Roman"/>
        </w:rPr>
        <w:noBreakHyphen/>
        <w:t>General</w:t>
      </w:r>
      <w:r w:rsidR="00242C4F" w:rsidRPr="00C06B3A">
        <w:rPr>
          <w:rFonts w:ascii="Times New Roman" w:hAnsi="Times New Roman"/>
        </w:rPr>
        <w:t xml:space="preserve"> for the State of Western Australia</w:t>
      </w:r>
      <w:r w:rsidR="00B97070" w:rsidRPr="00C06B3A">
        <w:rPr>
          <w:rFonts w:ascii="Times New Roman" w:hAnsi="Times New Roman"/>
        </w:rPr>
        <w:t xml:space="preserve"> </w:t>
      </w:r>
      <w:r w:rsidR="00242C4F" w:rsidRPr="00C06B3A">
        <w:rPr>
          <w:rFonts w:ascii="Times New Roman" w:hAnsi="Times New Roman"/>
        </w:rPr>
        <w:t>may make applications under the HRSO Act</w:t>
      </w:r>
      <w:r w:rsidR="00F84F27" w:rsidRPr="00C06B3A">
        <w:rPr>
          <w:rFonts w:ascii="Times New Roman" w:hAnsi="Times New Roman"/>
        </w:rPr>
        <w:t xml:space="preserve"> in the name of the State</w:t>
      </w:r>
      <w:r w:rsidR="0065254C" w:rsidRPr="00C06B3A">
        <w:rPr>
          <w:rFonts w:ascii="Times New Roman" w:hAnsi="Times New Roman"/>
        </w:rPr>
        <w:t>.</w:t>
      </w:r>
    </w:p>
    <w:p w14:paraId="7F049369" w14:textId="419D220E" w:rsidR="000E71E6" w:rsidRPr="00C06B3A" w:rsidRDefault="00CA7EC0" w:rsidP="00C06B3A">
      <w:pPr>
        <w:pStyle w:val="FixListStyle"/>
        <w:spacing w:after="260" w:line="280" w:lineRule="exact"/>
        <w:ind w:right="0"/>
        <w:jc w:val="both"/>
        <w:rPr>
          <w:rFonts w:ascii="Times New Roman" w:hAnsi="Times New Roman"/>
        </w:rPr>
      </w:pPr>
      <w:r w:rsidRPr="00C06B3A">
        <w:rPr>
          <w:rFonts w:ascii="Times New Roman" w:hAnsi="Times New Roman"/>
        </w:rPr>
        <w:tab/>
        <w:t>Section 82</w:t>
      </w:r>
      <w:r w:rsidR="00815638" w:rsidRPr="00C06B3A">
        <w:rPr>
          <w:rFonts w:ascii="Times New Roman" w:hAnsi="Times New Roman"/>
        </w:rPr>
        <w:t>(1)</w:t>
      </w:r>
      <w:r w:rsidRPr="00C06B3A">
        <w:rPr>
          <w:rFonts w:ascii="Times New Roman" w:hAnsi="Times New Roman"/>
        </w:rPr>
        <w:t xml:space="preserve"> </w:t>
      </w:r>
      <w:r w:rsidR="007814F6" w:rsidRPr="00C06B3A">
        <w:rPr>
          <w:rFonts w:ascii="Times New Roman" w:hAnsi="Times New Roman"/>
        </w:rPr>
        <w:t xml:space="preserve">provides that proceedings under the HRSO Act, or on </w:t>
      </w:r>
      <w:r w:rsidR="00AA3CB7" w:rsidRPr="00C06B3A">
        <w:rPr>
          <w:rFonts w:ascii="Times New Roman" w:hAnsi="Times New Roman"/>
        </w:rPr>
        <w:t xml:space="preserve">an </w:t>
      </w:r>
      <w:r w:rsidR="007814F6" w:rsidRPr="00C06B3A">
        <w:rPr>
          <w:rFonts w:ascii="Times New Roman" w:hAnsi="Times New Roman"/>
        </w:rPr>
        <w:t xml:space="preserve">appeal under the Act, are taken to be criminal proceedings for all purposes. However, </w:t>
      </w:r>
      <w:r w:rsidR="000E71E6" w:rsidRPr="00C06B3A">
        <w:rPr>
          <w:rFonts w:ascii="Times New Roman" w:hAnsi="Times New Roman"/>
        </w:rPr>
        <w:t>sub</w:t>
      </w:r>
      <w:r w:rsidR="000E71E6" w:rsidRPr="00C06B3A">
        <w:rPr>
          <w:rFonts w:ascii="Times New Roman" w:hAnsi="Times New Roman"/>
        </w:rPr>
        <w:noBreakHyphen/>
        <w:t xml:space="preserve">s (1) does not require anything that is to be evidenced for the </w:t>
      </w:r>
      <w:r w:rsidR="000E71E6" w:rsidRPr="00C06B3A">
        <w:rPr>
          <w:rFonts w:ascii="Times New Roman" w:hAnsi="Times New Roman"/>
        </w:rPr>
        <w:lastRenderedPageBreak/>
        <w:t>purposes of the HRSO</w:t>
      </w:r>
      <w:r w:rsidR="00AB199A" w:rsidRPr="00C06B3A">
        <w:rPr>
          <w:rFonts w:ascii="Times New Roman" w:hAnsi="Times New Roman"/>
        </w:rPr>
        <w:t> </w:t>
      </w:r>
      <w:r w:rsidR="000E71E6" w:rsidRPr="00C06B3A">
        <w:rPr>
          <w:rFonts w:ascii="Times New Roman" w:hAnsi="Times New Roman"/>
        </w:rPr>
        <w:t>Act to be evidenced to a higher standard than is required by s 7(1)</w:t>
      </w:r>
      <w:r w:rsidR="000E71E6" w:rsidRPr="00C06B3A">
        <w:rPr>
          <w:rStyle w:val="FootnoteReference"/>
          <w:rFonts w:ascii="Times New Roman" w:hAnsi="Times New Roman"/>
          <w:sz w:val="24"/>
        </w:rPr>
        <w:footnoteReference w:id="28"/>
      </w:r>
      <w:r w:rsidR="000E71E6" w:rsidRPr="00C06B3A">
        <w:rPr>
          <w:rFonts w:ascii="Times New Roman" w:hAnsi="Times New Roman"/>
        </w:rPr>
        <w:t>.</w:t>
      </w:r>
    </w:p>
    <w:p w14:paraId="405302AA" w14:textId="31270CD1" w:rsidR="00C36A49" w:rsidRPr="00C06B3A" w:rsidRDefault="00FA7251"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Part 2 of the HRSO Act creates the </w:t>
      </w:r>
      <w:proofErr w:type="gramStart"/>
      <w:r w:rsidRPr="00C06B3A">
        <w:rPr>
          <w:rFonts w:ascii="Times New Roman" w:hAnsi="Times New Roman"/>
        </w:rPr>
        <w:t>High Risk</w:t>
      </w:r>
      <w:proofErr w:type="gramEnd"/>
      <w:r w:rsidRPr="00C06B3A">
        <w:rPr>
          <w:rFonts w:ascii="Times New Roman" w:hAnsi="Times New Roman"/>
        </w:rPr>
        <w:t xml:space="preserve"> Serious Offenders Board</w:t>
      </w:r>
      <w:r w:rsidR="00AB199A" w:rsidRPr="00C06B3A">
        <w:rPr>
          <w:rStyle w:val="FootnoteReference"/>
          <w:rFonts w:ascii="Times New Roman" w:hAnsi="Times New Roman"/>
          <w:sz w:val="24"/>
        </w:rPr>
        <w:footnoteReference w:id="29"/>
      </w:r>
      <w:r w:rsidRPr="00C06B3A">
        <w:rPr>
          <w:rFonts w:ascii="Times New Roman" w:hAnsi="Times New Roman"/>
        </w:rPr>
        <w:t xml:space="preserve">. </w:t>
      </w:r>
      <w:r w:rsidR="00C36A49" w:rsidRPr="00C06B3A">
        <w:rPr>
          <w:rFonts w:ascii="Times New Roman" w:hAnsi="Times New Roman"/>
        </w:rPr>
        <w:t>Its functions are specified in s 15(1)</w:t>
      </w:r>
      <w:r w:rsidR="00A03165" w:rsidRPr="00C06B3A">
        <w:rPr>
          <w:rFonts w:ascii="Times New Roman" w:hAnsi="Times New Roman"/>
        </w:rPr>
        <w:t>, and it has the power to do "all things necessary or convenient to be done for, or in connection with, or as incidental to, the performance of its functions"</w:t>
      </w:r>
      <w:r w:rsidR="00A03165" w:rsidRPr="00C06B3A">
        <w:rPr>
          <w:rStyle w:val="FootnoteReference"/>
          <w:rFonts w:ascii="Times New Roman" w:hAnsi="Times New Roman"/>
          <w:sz w:val="24"/>
        </w:rPr>
        <w:footnoteReference w:id="30"/>
      </w:r>
      <w:r w:rsidR="00F42607" w:rsidRPr="00C06B3A">
        <w:rPr>
          <w:rFonts w:ascii="Times New Roman" w:hAnsi="Times New Roman"/>
        </w:rPr>
        <w:t>.</w:t>
      </w:r>
      <w:r w:rsidR="0090055A" w:rsidRPr="00C06B3A">
        <w:rPr>
          <w:rFonts w:ascii="Times New Roman" w:hAnsi="Times New Roman"/>
        </w:rPr>
        <w:t xml:space="preserve"> The membership of the Board comprises</w:t>
      </w:r>
      <w:r w:rsidR="00443C2C" w:rsidRPr="00C06B3A">
        <w:rPr>
          <w:rFonts w:ascii="Times New Roman" w:hAnsi="Times New Roman"/>
        </w:rPr>
        <w:t>:</w:t>
      </w:r>
      <w:r w:rsidR="0090055A" w:rsidRPr="00C06B3A">
        <w:rPr>
          <w:rFonts w:ascii="Times New Roman" w:hAnsi="Times New Roman"/>
        </w:rPr>
        <w:t xml:space="preserve"> the </w:t>
      </w:r>
      <w:r w:rsidR="00545344" w:rsidRPr="00C06B3A">
        <w:rPr>
          <w:rFonts w:ascii="Times New Roman" w:hAnsi="Times New Roman"/>
        </w:rPr>
        <w:t>c</w:t>
      </w:r>
      <w:r w:rsidR="0090055A" w:rsidRPr="00C06B3A">
        <w:rPr>
          <w:rFonts w:ascii="Times New Roman" w:hAnsi="Times New Roman"/>
        </w:rPr>
        <w:t xml:space="preserve">hief </w:t>
      </w:r>
      <w:r w:rsidR="00545344" w:rsidRPr="00C06B3A">
        <w:rPr>
          <w:rFonts w:ascii="Times New Roman" w:hAnsi="Times New Roman"/>
        </w:rPr>
        <w:t>e</w:t>
      </w:r>
      <w:r w:rsidR="0090055A" w:rsidRPr="00C06B3A">
        <w:rPr>
          <w:rFonts w:ascii="Times New Roman" w:hAnsi="Times New Roman"/>
        </w:rPr>
        <w:t xml:space="preserve">xecutive </w:t>
      </w:r>
      <w:r w:rsidR="00545344" w:rsidRPr="00C06B3A">
        <w:rPr>
          <w:rFonts w:ascii="Times New Roman" w:hAnsi="Times New Roman"/>
        </w:rPr>
        <w:t>o</w:t>
      </w:r>
      <w:r w:rsidR="0090055A" w:rsidRPr="00C06B3A">
        <w:rPr>
          <w:rFonts w:ascii="Times New Roman" w:hAnsi="Times New Roman"/>
        </w:rPr>
        <w:t xml:space="preserve">fficer </w:t>
      </w:r>
      <w:r w:rsidR="00146236" w:rsidRPr="00C06B3A">
        <w:rPr>
          <w:rFonts w:ascii="Times New Roman" w:hAnsi="Times New Roman"/>
        </w:rPr>
        <w:t>or chief employee</w:t>
      </w:r>
      <w:r w:rsidR="00CD5C1C" w:rsidRPr="00C06B3A">
        <w:rPr>
          <w:rFonts w:ascii="Times New Roman" w:hAnsi="Times New Roman"/>
        </w:rPr>
        <w:t xml:space="preserve">, or </w:t>
      </w:r>
      <w:r w:rsidR="00545344" w:rsidRPr="00C06B3A">
        <w:rPr>
          <w:rFonts w:ascii="Times New Roman" w:hAnsi="Times New Roman"/>
        </w:rPr>
        <w:t>an appointed member</w:t>
      </w:r>
      <w:r w:rsidR="00173AD0" w:rsidRPr="00C06B3A">
        <w:rPr>
          <w:rFonts w:ascii="Times New Roman" w:hAnsi="Times New Roman"/>
        </w:rPr>
        <w:t xml:space="preserve"> of staff</w:t>
      </w:r>
      <w:r w:rsidR="0075774E" w:rsidRPr="00C06B3A">
        <w:rPr>
          <w:rFonts w:ascii="Times New Roman" w:hAnsi="Times New Roman"/>
        </w:rPr>
        <w:t>,</w:t>
      </w:r>
      <w:r w:rsidR="00146236" w:rsidRPr="00C06B3A">
        <w:rPr>
          <w:rFonts w:ascii="Times New Roman" w:hAnsi="Times New Roman"/>
        </w:rPr>
        <w:t xml:space="preserve"> </w:t>
      </w:r>
      <w:r w:rsidR="0090055A" w:rsidRPr="00C06B3A">
        <w:rPr>
          <w:rFonts w:ascii="Times New Roman" w:hAnsi="Times New Roman"/>
        </w:rPr>
        <w:t>of the Department of the public service principally assisting in the administration of the HRSO Act</w:t>
      </w:r>
      <w:r w:rsidR="00D04B18" w:rsidRPr="00C06B3A">
        <w:rPr>
          <w:rFonts w:ascii="Times New Roman" w:hAnsi="Times New Roman"/>
        </w:rPr>
        <w:t>; the Chief Psychiatrist or an appointed member of staff of the Chief Psychiatrist;</w:t>
      </w:r>
      <w:r w:rsidR="005C2B2C" w:rsidRPr="00C06B3A">
        <w:rPr>
          <w:rFonts w:ascii="Times New Roman" w:hAnsi="Times New Roman"/>
        </w:rPr>
        <w:t xml:space="preserve"> the </w:t>
      </w:r>
      <w:r w:rsidR="00480CC9" w:rsidRPr="00C06B3A">
        <w:rPr>
          <w:rFonts w:ascii="Times New Roman" w:hAnsi="Times New Roman"/>
        </w:rPr>
        <w:t>c</w:t>
      </w:r>
      <w:r w:rsidR="005C2B2C" w:rsidRPr="00C06B3A">
        <w:rPr>
          <w:rFonts w:ascii="Times New Roman" w:hAnsi="Times New Roman"/>
        </w:rPr>
        <w:t xml:space="preserve">hief </w:t>
      </w:r>
      <w:r w:rsidR="00480CC9" w:rsidRPr="00C06B3A">
        <w:rPr>
          <w:rFonts w:ascii="Times New Roman" w:hAnsi="Times New Roman"/>
        </w:rPr>
        <w:t>e</w:t>
      </w:r>
      <w:r w:rsidR="005C2B2C" w:rsidRPr="00C06B3A">
        <w:rPr>
          <w:rFonts w:ascii="Times New Roman" w:hAnsi="Times New Roman"/>
        </w:rPr>
        <w:t xml:space="preserve">xecutive </w:t>
      </w:r>
      <w:r w:rsidR="00480CC9" w:rsidRPr="00C06B3A">
        <w:rPr>
          <w:rFonts w:ascii="Times New Roman" w:hAnsi="Times New Roman"/>
        </w:rPr>
        <w:t>o</w:t>
      </w:r>
      <w:r w:rsidR="005C2B2C" w:rsidRPr="00C06B3A">
        <w:rPr>
          <w:rFonts w:ascii="Times New Roman" w:hAnsi="Times New Roman"/>
        </w:rPr>
        <w:t>fficer or chief employee</w:t>
      </w:r>
      <w:r w:rsidR="00C14830" w:rsidRPr="00C06B3A">
        <w:rPr>
          <w:rFonts w:ascii="Times New Roman" w:hAnsi="Times New Roman"/>
        </w:rPr>
        <w:t>,</w:t>
      </w:r>
      <w:r w:rsidR="005C2B2C" w:rsidRPr="00C06B3A">
        <w:rPr>
          <w:rFonts w:ascii="Times New Roman" w:hAnsi="Times New Roman"/>
        </w:rPr>
        <w:t xml:space="preserve"> or an appointed member of staff</w:t>
      </w:r>
      <w:r w:rsidR="00193E08" w:rsidRPr="00C06B3A">
        <w:rPr>
          <w:rFonts w:ascii="Times New Roman" w:hAnsi="Times New Roman"/>
        </w:rPr>
        <w:t>,</w:t>
      </w:r>
      <w:r w:rsidR="005C2B2C" w:rsidRPr="00C06B3A">
        <w:rPr>
          <w:rFonts w:ascii="Times New Roman" w:hAnsi="Times New Roman"/>
        </w:rPr>
        <w:t xml:space="preserve"> for a number of </w:t>
      </w:r>
      <w:r w:rsidR="0030694C" w:rsidRPr="00C06B3A">
        <w:rPr>
          <w:rFonts w:ascii="Times New Roman" w:hAnsi="Times New Roman"/>
        </w:rPr>
        <w:t xml:space="preserve">government </w:t>
      </w:r>
      <w:r w:rsidR="005C2B2C" w:rsidRPr="00C06B3A">
        <w:rPr>
          <w:rFonts w:ascii="Times New Roman" w:hAnsi="Times New Roman"/>
        </w:rPr>
        <w:t>agencies (which are generally concerned with</w:t>
      </w:r>
      <w:r w:rsidR="00BE44C3" w:rsidRPr="00C06B3A">
        <w:rPr>
          <w:rFonts w:ascii="Times New Roman" w:hAnsi="Times New Roman"/>
        </w:rPr>
        <w:t xml:space="preserve"> health, housing and </w:t>
      </w:r>
      <w:r w:rsidR="00AA3CB7" w:rsidRPr="00C06B3A">
        <w:rPr>
          <w:rFonts w:ascii="Times New Roman" w:hAnsi="Times New Roman"/>
        </w:rPr>
        <w:t>police</w:t>
      </w:r>
      <w:r w:rsidR="00BE44C3" w:rsidRPr="00C06B3A">
        <w:rPr>
          <w:rFonts w:ascii="Times New Roman" w:hAnsi="Times New Roman"/>
        </w:rPr>
        <w:t>)</w:t>
      </w:r>
      <w:r w:rsidR="00A30E4B" w:rsidRPr="00C06B3A">
        <w:rPr>
          <w:rFonts w:ascii="Times New Roman" w:hAnsi="Times New Roman"/>
        </w:rPr>
        <w:t>;</w:t>
      </w:r>
      <w:r w:rsidR="00BE44C3" w:rsidRPr="00C06B3A">
        <w:rPr>
          <w:rFonts w:ascii="Times New Roman" w:hAnsi="Times New Roman"/>
        </w:rPr>
        <w:t xml:space="preserve"> and community members</w:t>
      </w:r>
      <w:r w:rsidR="00BE44C3" w:rsidRPr="00C06B3A">
        <w:rPr>
          <w:rStyle w:val="FootnoteReference"/>
          <w:rFonts w:ascii="Times New Roman" w:hAnsi="Times New Roman"/>
          <w:sz w:val="24"/>
        </w:rPr>
        <w:footnoteReference w:id="31"/>
      </w:r>
      <w:r w:rsidR="008C596F" w:rsidRPr="00C06B3A">
        <w:rPr>
          <w:rFonts w:ascii="Times New Roman" w:hAnsi="Times New Roman"/>
        </w:rPr>
        <w:t>.</w:t>
      </w:r>
    </w:p>
    <w:p w14:paraId="32E2A953" w14:textId="574EA33B" w:rsidR="00E84D20" w:rsidRPr="00C06B3A" w:rsidRDefault="00453E25"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811A82" w:rsidRPr="00C06B3A">
        <w:rPr>
          <w:rFonts w:ascii="Times New Roman" w:hAnsi="Times New Roman"/>
        </w:rPr>
        <w:t>T</w:t>
      </w:r>
      <w:r w:rsidR="000250E7" w:rsidRPr="00C06B3A">
        <w:rPr>
          <w:rFonts w:ascii="Times New Roman" w:hAnsi="Times New Roman"/>
        </w:rPr>
        <w:t>wo types of restriction order</w:t>
      </w:r>
      <w:r w:rsidR="0088523B" w:rsidRPr="00C06B3A">
        <w:rPr>
          <w:rFonts w:ascii="Times New Roman" w:hAnsi="Times New Roman"/>
        </w:rPr>
        <w:t xml:space="preserve"> may be made </w:t>
      </w:r>
      <w:r w:rsidR="000250E7" w:rsidRPr="00C06B3A">
        <w:rPr>
          <w:rFonts w:ascii="Times New Roman" w:hAnsi="Times New Roman"/>
        </w:rPr>
        <w:t>under the HRSO Act: a</w:t>
      </w:r>
      <w:r w:rsidR="00FD4ECB" w:rsidRPr="00C06B3A">
        <w:rPr>
          <w:rFonts w:ascii="Times New Roman" w:hAnsi="Times New Roman"/>
        </w:rPr>
        <w:t xml:space="preserve"> "continuing detention order"</w:t>
      </w:r>
      <w:r w:rsidR="000250E7" w:rsidRPr="00C06B3A">
        <w:rPr>
          <w:rFonts w:ascii="Times New Roman" w:hAnsi="Times New Roman"/>
        </w:rPr>
        <w:t xml:space="preserve"> under s 26</w:t>
      </w:r>
      <w:r w:rsidR="00FD4ECB" w:rsidRPr="00C06B3A">
        <w:rPr>
          <w:rFonts w:ascii="Times New Roman" w:hAnsi="Times New Roman"/>
        </w:rPr>
        <w:t xml:space="preserve">, and </w:t>
      </w:r>
      <w:r w:rsidR="000250E7" w:rsidRPr="00C06B3A">
        <w:rPr>
          <w:rFonts w:ascii="Times New Roman" w:hAnsi="Times New Roman"/>
        </w:rPr>
        <w:t>a</w:t>
      </w:r>
      <w:r w:rsidR="00FD4ECB" w:rsidRPr="00C06B3A">
        <w:rPr>
          <w:rFonts w:ascii="Times New Roman" w:hAnsi="Times New Roman"/>
        </w:rPr>
        <w:t xml:space="preserve"> "supervision order"</w:t>
      </w:r>
      <w:r w:rsidR="000250E7" w:rsidRPr="00C06B3A">
        <w:rPr>
          <w:rFonts w:ascii="Times New Roman" w:hAnsi="Times New Roman"/>
        </w:rPr>
        <w:t xml:space="preserve"> under s 27</w:t>
      </w:r>
      <w:r w:rsidR="00FD4ECB" w:rsidRPr="00C06B3A">
        <w:rPr>
          <w:rFonts w:ascii="Times New Roman" w:hAnsi="Times New Roman"/>
        </w:rPr>
        <w:t>.</w:t>
      </w:r>
      <w:r w:rsidR="002C0782" w:rsidRPr="00C06B3A">
        <w:rPr>
          <w:rFonts w:ascii="Times New Roman" w:hAnsi="Times New Roman"/>
        </w:rPr>
        <w:t xml:space="preserve"> A continuing detention order, in relation to an offender, is an order that the offender be detained in custody for an indefinite term for control, care or treatment</w:t>
      </w:r>
      <w:r w:rsidR="00CE575F" w:rsidRPr="00C06B3A">
        <w:rPr>
          <w:rStyle w:val="FootnoteReference"/>
          <w:rFonts w:ascii="Times New Roman" w:hAnsi="Times New Roman"/>
          <w:sz w:val="24"/>
        </w:rPr>
        <w:footnoteReference w:id="32"/>
      </w:r>
      <w:r w:rsidR="002C0782" w:rsidRPr="00C06B3A">
        <w:rPr>
          <w:rFonts w:ascii="Times New Roman" w:hAnsi="Times New Roman"/>
        </w:rPr>
        <w:t xml:space="preserve">. </w:t>
      </w:r>
      <w:r w:rsidR="00CE575F" w:rsidRPr="00C06B3A">
        <w:rPr>
          <w:rFonts w:ascii="Times New Roman" w:hAnsi="Times New Roman"/>
        </w:rPr>
        <w:t xml:space="preserve">A supervision order, in relation to an offender, is an order that the offender, when not in custody, is to be subject to stated conditions that the </w:t>
      </w:r>
      <w:r w:rsidR="0030694C" w:rsidRPr="00C06B3A">
        <w:rPr>
          <w:rFonts w:ascii="Times New Roman" w:hAnsi="Times New Roman"/>
        </w:rPr>
        <w:t>C</w:t>
      </w:r>
      <w:r w:rsidR="00CE575F" w:rsidRPr="00C06B3A">
        <w:rPr>
          <w:rFonts w:ascii="Times New Roman" w:hAnsi="Times New Roman"/>
        </w:rPr>
        <w:t>ourt considers appropriate, in accordance with s 30</w:t>
      </w:r>
      <w:r w:rsidR="00CE575F" w:rsidRPr="00C06B3A">
        <w:rPr>
          <w:rStyle w:val="FootnoteReference"/>
          <w:rFonts w:ascii="Times New Roman" w:hAnsi="Times New Roman"/>
          <w:sz w:val="24"/>
        </w:rPr>
        <w:footnoteReference w:id="33"/>
      </w:r>
      <w:r w:rsidR="00CE575F" w:rsidRPr="00C06B3A">
        <w:rPr>
          <w:rFonts w:ascii="Times New Roman" w:hAnsi="Times New Roman"/>
        </w:rPr>
        <w:t>.</w:t>
      </w:r>
      <w:r w:rsidR="00E36DE5" w:rsidRPr="00C06B3A">
        <w:rPr>
          <w:rFonts w:ascii="Times New Roman" w:hAnsi="Times New Roman"/>
        </w:rPr>
        <w:t xml:space="preserve"> </w:t>
      </w:r>
    </w:p>
    <w:p w14:paraId="460ECAA7" w14:textId="46BE35CA" w:rsidR="009431B8" w:rsidRPr="00C06B3A" w:rsidRDefault="000D57D2"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9431B8" w:rsidRPr="00C06B3A">
        <w:rPr>
          <w:rFonts w:ascii="Times New Roman" w:hAnsi="Times New Roman"/>
        </w:rPr>
        <w:t xml:space="preserve">Section 29 limits the power of </w:t>
      </w:r>
      <w:r w:rsidR="00B43B98" w:rsidRPr="00C06B3A">
        <w:rPr>
          <w:rFonts w:ascii="Times New Roman" w:hAnsi="Times New Roman"/>
        </w:rPr>
        <w:t>the C</w:t>
      </w:r>
      <w:r w:rsidR="009431B8" w:rsidRPr="00C06B3A">
        <w:rPr>
          <w:rFonts w:ascii="Times New Roman" w:hAnsi="Times New Roman"/>
        </w:rPr>
        <w:t>ourt to make a supervision order</w:t>
      </w:r>
      <w:r w:rsidR="007C47A0" w:rsidRPr="00C06B3A">
        <w:rPr>
          <w:rFonts w:ascii="Times New Roman" w:hAnsi="Times New Roman"/>
        </w:rPr>
        <w:t>, rather than an order for continuing detention</w:t>
      </w:r>
      <w:r w:rsidR="009431B8" w:rsidRPr="00C06B3A">
        <w:rPr>
          <w:rFonts w:ascii="Times New Roman" w:hAnsi="Times New Roman"/>
        </w:rPr>
        <w:t>. It is in the following terms:</w:t>
      </w:r>
    </w:p>
    <w:p w14:paraId="40813026" w14:textId="77777777" w:rsidR="009431B8" w:rsidRPr="00C06B3A" w:rsidRDefault="009431B8" w:rsidP="00C06B3A">
      <w:pPr>
        <w:pStyle w:val="LRHangingafterHC"/>
        <w:spacing w:before="0" w:after="260" w:line="280" w:lineRule="exact"/>
        <w:ind w:right="0"/>
        <w:jc w:val="both"/>
        <w:rPr>
          <w:rFonts w:ascii="Times New Roman" w:hAnsi="Times New Roman"/>
        </w:rPr>
      </w:pPr>
      <w:r w:rsidRPr="00C06B3A">
        <w:rPr>
          <w:rFonts w:ascii="Times New Roman" w:hAnsi="Times New Roman"/>
        </w:rPr>
        <w:t>"(1)</w:t>
      </w:r>
      <w:r w:rsidRPr="00C06B3A">
        <w:rPr>
          <w:rFonts w:ascii="Times New Roman" w:hAnsi="Times New Roman"/>
        </w:rPr>
        <w:tab/>
        <w:t>A court cannot make, affirm or amend a supervision order in relation to an offender unless it is satisfied, on the balance of probabilities, that the offender will substantially comply with the standard conditions of the order as made, affirmed or amended.</w:t>
      </w:r>
    </w:p>
    <w:p w14:paraId="37210696" w14:textId="77777777" w:rsidR="009431B8" w:rsidRPr="00C06B3A" w:rsidRDefault="009431B8" w:rsidP="00C06B3A">
      <w:pPr>
        <w:pStyle w:val="LeftrightHanging"/>
        <w:spacing w:before="0" w:after="260" w:line="280" w:lineRule="exact"/>
        <w:ind w:right="0"/>
        <w:jc w:val="both"/>
        <w:rPr>
          <w:rFonts w:ascii="Times New Roman" w:hAnsi="Times New Roman"/>
        </w:rPr>
      </w:pPr>
      <w:r w:rsidRPr="00C06B3A">
        <w:rPr>
          <w:rFonts w:ascii="Times New Roman" w:hAnsi="Times New Roman"/>
        </w:rPr>
        <w:lastRenderedPageBreak/>
        <w:t>(2)</w:t>
      </w:r>
      <w:r w:rsidRPr="00C06B3A">
        <w:rPr>
          <w:rFonts w:ascii="Times New Roman" w:hAnsi="Times New Roman"/>
        </w:rPr>
        <w:tab/>
        <w:t>The onus of proof as to the matter described in subsection (1) is on the offender.</w:t>
      </w:r>
    </w:p>
    <w:p w14:paraId="07364842" w14:textId="77777777" w:rsidR="00C06B3A" w:rsidRDefault="009431B8" w:rsidP="00C06B3A">
      <w:pPr>
        <w:pStyle w:val="LeftrightHanging"/>
        <w:spacing w:before="0" w:after="260" w:line="280" w:lineRule="exact"/>
        <w:ind w:right="0"/>
        <w:jc w:val="both"/>
        <w:rPr>
          <w:rFonts w:ascii="Times New Roman" w:hAnsi="Times New Roman"/>
        </w:rPr>
      </w:pPr>
      <w:r w:rsidRPr="00C06B3A">
        <w:rPr>
          <w:rFonts w:ascii="Times New Roman" w:hAnsi="Times New Roman"/>
        </w:rPr>
        <w:t>(3)</w:t>
      </w:r>
      <w:r w:rsidRPr="00C06B3A">
        <w:rPr>
          <w:rFonts w:ascii="Times New Roman" w:hAnsi="Times New Roman"/>
        </w:rPr>
        <w:tab/>
        <w:t>This section does not apply to the making of an interim supervision order."</w:t>
      </w:r>
    </w:p>
    <w:p w14:paraId="0AEDAA56" w14:textId="17EA0108" w:rsidR="00970C00" w:rsidRPr="00C06B3A" w:rsidRDefault="00FE0241" w:rsidP="00C06B3A">
      <w:pPr>
        <w:pStyle w:val="FixListStyle"/>
        <w:spacing w:after="260" w:line="280" w:lineRule="exact"/>
        <w:ind w:right="0"/>
        <w:jc w:val="both"/>
        <w:rPr>
          <w:rFonts w:ascii="Times New Roman" w:hAnsi="Times New Roman"/>
        </w:rPr>
      </w:pPr>
      <w:r w:rsidRPr="00C06B3A">
        <w:rPr>
          <w:rFonts w:ascii="Times New Roman" w:hAnsi="Times New Roman"/>
        </w:rPr>
        <w:tab/>
        <w:t>Section 30(2) states the</w:t>
      </w:r>
      <w:r w:rsidR="007C47A0" w:rsidRPr="00C06B3A">
        <w:rPr>
          <w:rFonts w:ascii="Times New Roman" w:hAnsi="Times New Roman"/>
        </w:rPr>
        <w:t xml:space="preserve"> standard</w:t>
      </w:r>
      <w:r w:rsidRPr="00C06B3A">
        <w:rPr>
          <w:rFonts w:ascii="Times New Roman" w:hAnsi="Times New Roman"/>
        </w:rPr>
        <w:t xml:space="preserve"> conditions of a supervision order. </w:t>
      </w:r>
      <w:r w:rsidR="00265B4A" w:rsidRPr="00C06B3A">
        <w:rPr>
          <w:rFonts w:ascii="Times New Roman" w:hAnsi="Times New Roman"/>
        </w:rPr>
        <w:t>It relevantly provides:</w:t>
      </w:r>
    </w:p>
    <w:p w14:paraId="11B66AAE" w14:textId="5D1D7BD8" w:rsidR="00265B4A" w:rsidRPr="00C06B3A" w:rsidRDefault="00265B4A" w:rsidP="00C06B3A">
      <w:pPr>
        <w:pStyle w:val="LeftrightafterHC"/>
        <w:spacing w:before="0" w:after="260" w:line="280" w:lineRule="exact"/>
        <w:ind w:right="0"/>
        <w:jc w:val="both"/>
        <w:rPr>
          <w:rFonts w:ascii="Times New Roman" w:hAnsi="Times New Roman"/>
        </w:rPr>
      </w:pPr>
      <w:r w:rsidRPr="00C06B3A">
        <w:rPr>
          <w:rFonts w:ascii="Times New Roman" w:hAnsi="Times New Roman"/>
        </w:rPr>
        <w:t>"A supervision order in relation to an offender must require that the offender</w:t>
      </w:r>
      <w:r w:rsidR="006E3266">
        <w:rPr>
          <w:rFonts w:ascii="Times New Roman" w:hAnsi="Times New Roman"/>
        </w:rPr>
        <w:t> </w:t>
      </w:r>
      <w:r w:rsidR="00E01766" w:rsidRPr="00C06B3A">
        <w:rPr>
          <w:rFonts w:ascii="Times New Roman" w:hAnsi="Times New Roman"/>
        </w:rPr>
        <w:t>–</w:t>
      </w:r>
    </w:p>
    <w:p w14:paraId="4C4DB28D" w14:textId="180FCEC6" w:rsidR="00265B4A" w:rsidRPr="00C06B3A" w:rsidRDefault="00E67D5A"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(a)</w:t>
      </w:r>
      <w:r w:rsidRPr="00C06B3A">
        <w:rPr>
          <w:rFonts w:ascii="Times New Roman" w:hAnsi="Times New Roman"/>
        </w:rPr>
        <w:tab/>
      </w:r>
      <w:r w:rsidR="00701133" w:rsidRPr="00C06B3A">
        <w:rPr>
          <w:rFonts w:ascii="Times New Roman" w:hAnsi="Times New Roman"/>
        </w:rPr>
        <w:t xml:space="preserve">report to </w:t>
      </w:r>
      <w:r w:rsidR="008B4CD9" w:rsidRPr="00C06B3A">
        <w:rPr>
          <w:rFonts w:ascii="Times New Roman" w:hAnsi="Times New Roman"/>
        </w:rPr>
        <w:t>a</w:t>
      </w:r>
      <w:r w:rsidR="00701133" w:rsidRPr="00C06B3A">
        <w:rPr>
          <w:rFonts w:ascii="Times New Roman" w:hAnsi="Times New Roman"/>
        </w:rPr>
        <w:t xml:space="preserve"> community corrections officer at the place, and within the time, stated in the order and advise the officer of the offender's current name and address; and</w:t>
      </w:r>
    </w:p>
    <w:p w14:paraId="2595BE3B" w14:textId="75D0DB3E" w:rsidR="00701133" w:rsidRPr="00C06B3A" w:rsidRDefault="00E67D5A"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(b)</w:t>
      </w:r>
      <w:r w:rsidRPr="00C06B3A">
        <w:rPr>
          <w:rFonts w:ascii="Times New Roman" w:hAnsi="Times New Roman"/>
        </w:rPr>
        <w:tab/>
      </w:r>
      <w:r w:rsidR="00901CEE" w:rsidRPr="00C06B3A">
        <w:rPr>
          <w:rFonts w:ascii="Times New Roman" w:hAnsi="Times New Roman"/>
        </w:rPr>
        <w:t>report to, and receive visits from, a community corrections officer as directed by the court; and</w:t>
      </w:r>
    </w:p>
    <w:p w14:paraId="56E0F7C3" w14:textId="5FDD2821" w:rsidR="00901CEE" w:rsidRPr="00C06B3A" w:rsidRDefault="00282314"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(c)</w:t>
      </w:r>
      <w:r w:rsidRPr="00C06B3A">
        <w:rPr>
          <w:rFonts w:ascii="Times New Roman" w:hAnsi="Times New Roman"/>
        </w:rPr>
        <w:tab/>
      </w:r>
      <w:r w:rsidR="00901CEE" w:rsidRPr="00C06B3A">
        <w:rPr>
          <w:rFonts w:ascii="Times New Roman" w:hAnsi="Times New Roman"/>
        </w:rPr>
        <w:t xml:space="preserve">notify a community corrections officer of every change of the offender's name, place of </w:t>
      </w:r>
      <w:r w:rsidR="00FF39E6" w:rsidRPr="00C06B3A">
        <w:rPr>
          <w:rFonts w:ascii="Times New Roman" w:hAnsi="Times New Roman"/>
        </w:rPr>
        <w:t xml:space="preserve">residence </w:t>
      </w:r>
      <w:r w:rsidR="00901CEE" w:rsidRPr="00C06B3A">
        <w:rPr>
          <w:rFonts w:ascii="Times New Roman" w:hAnsi="Times New Roman"/>
        </w:rPr>
        <w:t xml:space="preserve">or place of employment at least </w:t>
      </w:r>
      <w:r w:rsidR="00907FB7" w:rsidRPr="00C06B3A">
        <w:rPr>
          <w:rFonts w:ascii="Times New Roman" w:hAnsi="Times New Roman"/>
        </w:rPr>
        <w:t xml:space="preserve">2 days before the change </w:t>
      </w:r>
      <w:proofErr w:type="gramStart"/>
      <w:r w:rsidR="00907FB7" w:rsidRPr="00C06B3A">
        <w:rPr>
          <w:rFonts w:ascii="Times New Roman" w:hAnsi="Times New Roman"/>
        </w:rPr>
        <w:t>happens;</w:t>
      </w:r>
      <w:proofErr w:type="gramEnd"/>
      <w:r w:rsidR="00484637" w:rsidRPr="00C06B3A">
        <w:rPr>
          <w:rFonts w:ascii="Times New Roman" w:hAnsi="Times New Roman"/>
        </w:rPr>
        <w:t xml:space="preserve"> and</w:t>
      </w:r>
    </w:p>
    <w:p w14:paraId="0B5A9CD0" w14:textId="7FB272E9" w:rsidR="00907FB7" w:rsidRPr="00C06B3A" w:rsidRDefault="00484637"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(d)</w:t>
      </w:r>
      <w:r w:rsidRPr="00C06B3A">
        <w:rPr>
          <w:rFonts w:ascii="Times New Roman" w:hAnsi="Times New Roman"/>
        </w:rPr>
        <w:tab/>
      </w:r>
      <w:r w:rsidR="00907FB7" w:rsidRPr="00C06B3A">
        <w:rPr>
          <w:rFonts w:ascii="Times New Roman" w:hAnsi="Times New Roman"/>
        </w:rPr>
        <w:t>be under the supervision of a community corrections officer and comply with any reasonable direction of the officer ...</w:t>
      </w:r>
      <w:r w:rsidR="00AA3CB7" w:rsidRPr="00C06B3A">
        <w:rPr>
          <w:rFonts w:ascii="Times New Roman" w:hAnsi="Times New Roman"/>
        </w:rPr>
        <w:t>;</w:t>
      </w:r>
      <w:r w:rsidR="00907FB7" w:rsidRPr="00C06B3A">
        <w:rPr>
          <w:rFonts w:ascii="Times New Roman" w:hAnsi="Times New Roman"/>
        </w:rPr>
        <w:t xml:space="preserve"> and </w:t>
      </w:r>
    </w:p>
    <w:p w14:paraId="51B2F580" w14:textId="6782A418" w:rsidR="00907FB7" w:rsidRPr="00C06B3A" w:rsidRDefault="0013338A"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(e)</w:t>
      </w:r>
      <w:r w:rsidRPr="00C06B3A">
        <w:rPr>
          <w:rFonts w:ascii="Times New Roman" w:hAnsi="Times New Roman"/>
        </w:rPr>
        <w:tab/>
      </w:r>
      <w:r w:rsidR="00907FB7" w:rsidRPr="00C06B3A">
        <w:rPr>
          <w:rFonts w:ascii="Times New Roman" w:hAnsi="Times New Roman"/>
        </w:rPr>
        <w:t>not leave</w:t>
      </w:r>
      <w:r w:rsidR="00C33686" w:rsidRPr="00C06B3A">
        <w:rPr>
          <w:rFonts w:ascii="Times New Roman" w:hAnsi="Times New Roman"/>
        </w:rPr>
        <w:t>,</w:t>
      </w:r>
      <w:r w:rsidR="00907FB7" w:rsidRPr="00C06B3A">
        <w:rPr>
          <w:rFonts w:ascii="Times New Roman" w:hAnsi="Times New Roman"/>
        </w:rPr>
        <w:t xml:space="preserve"> or stay out of, the State of Western Australia without the permission of a community corrections</w:t>
      </w:r>
      <w:r w:rsidR="00535601" w:rsidRPr="00C06B3A">
        <w:rPr>
          <w:rFonts w:ascii="Times New Roman" w:hAnsi="Times New Roman"/>
        </w:rPr>
        <w:t xml:space="preserve"> officer; and</w:t>
      </w:r>
    </w:p>
    <w:p w14:paraId="59C75050" w14:textId="38A0DB40" w:rsidR="00535601" w:rsidRPr="00C06B3A" w:rsidRDefault="0013338A"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(f)</w:t>
      </w:r>
      <w:r w:rsidRPr="00C06B3A">
        <w:rPr>
          <w:rFonts w:ascii="Times New Roman" w:hAnsi="Times New Roman"/>
        </w:rPr>
        <w:tab/>
      </w:r>
      <w:r w:rsidR="00535601" w:rsidRPr="00C06B3A">
        <w:rPr>
          <w:rFonts w:ascii="Times New Roman" w:hAnsi="Times New Roman"/>
        </w:rPr>
        <w:t>not commit a serious offence during the period of the order; and</w:t>
      </w:r>
    </w:p>
    <w:p w14:paraId="510E06DB" w14:textId="77777777" w:rsidR="00C06B3A" w:rsidRDefault="009133B8" w:rsidP="00C06B3A">
      <w:pPr>
        <w:pStyle w:val="leftright"/>
        <w:spacing w:before="0" w:after="260" w:line="280" w:lineRule="exact"/>
        <w:ind w:left="1440" w:right="0" w:hanging="720"/>
        <w:jc w:val="both"/>
        <w:rPr>
          <w:rFonts w:ascii="Times New Roman" w:hAnsi="Times New Roman"/>
        </w:rPr>
      </w:pPr>
      <w:r w:rsidRPr="00C06B3A">
        <w:rPr>
          <w:rFonts w:ascii="Times New Roman" w:hAnsi="Times New Roman"/>
        </w:rPr>
        <w:t>(g)</w:t>
      </w:r>
      <w:r w:rsidRPr="00C06B3A">
        <w:rPr>
          <w:rFonts w:ascii="Times New Roman" w:hAnsi="Times New Roman"/>
        </w:rPr>
        <w:tab/>
      </w:r>
      <w:r w:rsidR="00535601" w:rsidRPr="00C06B3A">
        <w:rPr>
          <w:rFonts w:ascii="Times New Roman" w:hAnsi="Times New Roman"/>
        </w:rPr>
        <w:t>be subject to electronic monitor</w:t>
      </w:r>
      <w:r w:rsidR="00927AEA" w:rsidRPr="00C06B3A">
        <w:rPr>
          <w:rFonts w:ascii="Times New Roman" w:hAnsi="Times New Roman"/>
        </w:rPr>
        <w:t>ing under section 31."</w:t>
      </w:r>
    </w:p>
    <w:p w14:paraId="3F8B679D" w14:textId="74A74BA6" w:rsidR="00FE0241" w:rsidRPr="00C06B3A" w:rsidRDefault="00265B4A"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FE0241" w:rsidRPr="00C06B3A">
        <w:rPr>
          <w:rFonts w:ascii="Times New Roman" w:hAnsi="Times New Roman"/>
        </w:rPr>
        <w:t xml:space="preserve">Section 30(5) provides that a supervision order may also contain any other terms that the </w:t>
      </w:r>
      <w:r w:rsidR="00AA3CB7" w:rsidRPr="00C06B3A">
        <w:rPr>
          <w:rFonts w:ascii="Times New Roman" w:hAnsi="Times New Roman"/>
        </w:rPr>
        <w:t>C</w:t>
      </w:r>
      <w:r w:rsidR="00FE0241" w:rsidRPr="00C06B3A">
        <w:rPr>
          <w:rFonts w:ascii="Times New Roman" w:hAnsi="Times New Roman"/>
        </w:rPr>
        <w:t>ourt thinks appropriate</w:t>
      </w:r>
      <w:r w:rsidR="00FE2535" w:rsidRPr="00C06B3A">
        <w:rPr>
          <w:rFonts w:ascii="Times New Roman" w:hAnsi="Times New Roman"/>
        </w:rPr>
        <w:t>:</w:t>
      </w:r>
      <w:r w:rsidR="00FE0241" w:rsidRPr="00C06B3A">
        <w:rPr>
          <w:rFonts w:ascii="Times New Roman" w:hAnsi="Times New Roman"/>
        </w:rPr>
        <w:t xml:space="preserve"> to ensure adequate protection of the community; or for the rehabilitation, </w:t>
      </w:r>
      <w:proofErr w:type="gramStart"/>
      <w:r w:rsidR="00FE0241" w:rsidRPr="00C06B3A">
        <w:rPr>
          <w:rFonts w:ascii="Times New Roman" w:hAnsi="Times New Roman"/>
        </w:rPr>
        <w:t>care</w:t>
      </w:r>
      <w:proofErr w:type="gramEnd"/>
      <w:r w:rsidR="00FE0241" w:rsidRPr="00C06B3A">
        <w:rPr>
          <w:rFonts w:ascii="Times New Roman" w:hAnsi="Times New Roman"/>
        </w:rPr>
        <w:t xml:space="preserve"> or treatment of the offender subject to the order; or to ensure adequate protection of victims of serious offences committed by the offender subject to the order.</w:t>
      </w:r>
    </w:p>
    <w:p w14:paraId="5E013CD6" w14:textId="535EA122" w:rsidR="00453E25" w:rsidRPr="00C06B3A" w:rsidRDefault="00E84D2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E36DE5" w:rsidRPr="00C06B3A">
        <w:rPr>
          <w:rFonts w:ascii="Times New Roman" w:hAnsi="Times New Roman"/>
        </w:rPr>
        <w:t>A</w:t>
      </w:r>
      <w:r w:rsidR="00B85680" w:rsidRPr="00C06B3A">
        <w:rPr>
          <w:rFonts w:ascii="Times New Roman" w:hAnsi="Times New Roman"/>
        </w:rPr>
        <w:t>n application for a restriction order must be accompanied by an</w:t>
      </w:r>
      <w:r w:rsidR="00C33686" w:rsidRPr="00C06B3A">
        <w:rPr>
          <w:rFonts w:ascii="Times New Roman" w:hAnsi="Times New Roman"/>
        </w:rPr>
        <w:t>y</w:t>
      </w:r>
      <w:r w:rsidR="00B85680" w:rsidRPr="00C06B3A">
        <w:rPr>
          <w:rFonts w:ascii="Times New Roman" w:hAnsi="Times New Roman"/>
        </w:rPr>
        <w:t xml:space="preserve"> affidavit</w:t>
      </w:r>
      <w:r w:rsidR="00C33686" w:rsidRPr="00C06B3A">
        <w:rPr>
          <w:rFonts w:ascii="Times New Roman" w:hAnsi="Times New Roman"/>
        </w:rPr>
        <w:t>s</w:t>
      </w:r>
      <w:r w:rsidR="00B85680" w:rsidRPr="00C06B3A">
        <w:rPr>
          <w:rFonts w:ascii="Times New Roman" w:hAnsi="Times New Roman"/>
        </w:rPr>
        <w:t xml:space="preserve"> to be relied upon by the State for the purpose of seeking </w:t>
      </w:r>
      <w:r w:rsidR="00C33686" w:rsidRPr="00C06B3A">
        <w:rPr>
          <w:rFonts w:ascii="Times New Roman" w:hAnsi="Times New Roman"/>
        </w:rPr>
        <w:t xml:space="preserve">an order or </w:t>
      </w:r>
      <w:r w:rsidR="00B85680" w:rsidRPr="00C06B3A">
        <w:rPr>
          <w:rFonts w:ascii="Times New Roman" w:hAnsi="Times New Roman"/>
        </w:rPr>
        <w:t xml:space="preserve">orders under </w:t>
      </w:r>
      <w:r w:rsidR="00B85680" w:rsidRPr="00C06B3A">
        <w:rPr>
          <w:rFonts w:ascii="Times New Roman" w:hAnsi="Times New Roman"/>
        </w:rPr>
        <w:lastRenderedPageBreak/>
        <w:t>s 46.</w:t>
      </w:r>
      <w:r w:rsidR="00B90E14" w:rsidRPr="00C06B3A">
        <w:rPr>
          <w:rFonts w:ascii="Times New Roman" w:hAnsi="Times New Roman"/>
        </w:rPr>
        <w:t xml:space="preserve"> A copy of both the application and </w:t>
      </w:r>
      <w:r w:rsidR="006800BE" w:rsidRPr="00C06B3A">
        <w:rPr>
          <w:rFonts w:ascii="Times New Roman" w:hAnsi="Times New Roman"/>
        </w:rPr>
        <w:t xml:space="preserve">any </w:t>
      </w:r>
      <w:r w:rsidR="00B90E14" w:rsidRPr="00C06B3A">
        <w:rPr>
          <w:rFonts w:ascii="Times New Roman" w:hAnsi="Times New Roman"/>
        </w:rPr>
        <w:t>accompanying affidavit</w:t>
      </w:r>
      <w:r w:rsidR="006800BE" w:rsidRPr="00C06B3A">
        <w:rPr>
          <w:rFonts w:ascii="Times New Roman" w:hAnsi="Times New Roman"/>
        </w:rPr>
        <w:t>s</w:t>
      </w:r>
      <w:r w:rsidR="00B90E14" w:rsidRPr="00C06B3A">
        <w:rPr>
          <w:rFonts w:ascii="Times New Roman" w:hAnsi="Times New Roman"/>
        </w:rPr>
        <w:t xml:space="preserve"> must be provided to the </w:t>
      </w:r>
      <w:r w:rsidR="0041363C" w:rsidRPr="00C06B3A">
        <w:rPr>
          <w:rFonts w:ascii="Times New Roman" w:hAnsi="Times New Roman"/>
        </w:rPr>
        <w:t xml:space="preserve">offender within seven days </w:t>
      </w:r>
      <w:r w:rsidR="006800BE" w:rsidRPr="00C06B3A">
        <w:rPr>
          <w:rFonts w:ascii="Times New Roman" w:hAnsi="Times New Roman"/>
        </w:rPr>
        <w:t>after</w:t>
      </w:r>
      <w:r w:rsidR="0041363C" w:rsidRPr="00C06B3A">
        <w:rPr>
          <w:rFonts w:ascii="Times New Roman" w:hAnsi="Times New Roman"/>
        </w:rPr>
        <w:t xml:space="preserve"> making the application</w:t>
      </w:r>
      <w:r w:rsidR="0041363C" w:rsidRPr="00C06B3A">
        <w:rPr>
          <w:rStyle w:val="FootnoteReference"/>
          <w:rFonts w:ascii="Times New Roman" w:hAnsi="Times New Roman"/>
          <w:sz w:val="24"/>
        </w:rPr>
        <w:footnoteReference w:id="34"/>
      </w:r>
      <w:r w:rsidR="0041363C" w:rsidRPr="00C06B3A">
        <w:rPr>
          <w:rFonts w:ascii="Times New Roman" w:hAnsi="Times New Roman"/>
        </w:rPr>
        <w:t>.</w:t>
      </w:r>
    </w:p>
    <w:p w14:paraId="312BE430" w14:textId="6B0FC8C3" w:rsidR="005265E0" w:rsidRPr="00C06B3A" w:rsidRDefault="00E36DE5"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DA37D0" w:rsidRPr="00C06B3A">
        <w:rPr>
          <w:rFonts w:ascii="Times New Roman" w:hAnsi="Times New Roman"/>
        </w:rPr>
        <w:t>After a</w:t>
      </w:r>
      <w:r w:rsidR="00355C1B" w:rsidRPr="00C06B3A">
        <w:rPr>
          <w:rFonts w:ascii="Times New Roman" w:hAnsi="Times New Roman"/>
        </w:rPr>
        <w:t>n application for a</w:t>
      </w:r>
      <w:r w:rsidR="00DA37D0" w:rsidRPr="00C06B3A">
        <w:rPr>
          <w:rFonts w:ascii="Times New Roman" w:hAnsi="Times New Roman"/>
        </w:rPr>
        <w:t xml:space="preserve"> restriction order is made</w:t>
      </w:r>
      <w:r w:rsidR="00355C1B" w:rsidRPr="00C06B3A">
        <w:rPr>
          <w:rFonts w:ascii="Times New Roman" w:hAnsi="Times New Roman"/>
        </w:rPr>
        <w:t xml:space="preserve"> by the State</w:t>
      </w:r>
      <w:r w:rsidR="00DA37D0" w:rsidRPr="00C06B3A">
        <w:rPr>
          <w:rFonts w:ascii="Times New Roman" w:hAnsi="Times New Roman"/>
        </w:rPr>
        <w:t xml:space="preserve">, the </w:t>
      </w:r>
      <w:r w:rsidR="006800BE" w:rsidRPr="00C06B3A">
        <w:rPr>
          <w:rFonts w:ascii="Times New Roman" w:hAnsi="Times New Roman"/>
        </w:rPr>
        <w:t>C</w:t>
      </w:r>
      <w:r w:rsidR="00DA37D0" w:rsidRPr="00C06B3A">
        <w:rPr>
          <w:rFonts w:ascii="Times New Roman" w:hAnsi="Times New Roman"/>
        </w:rPr>
        <w:t>ourt must fix a day for a preliminary hearing before</w:t>
      </w:r>
      <w:r w:rsidR="006800BE" w:rsidRPr="00C06B3A">
        <w:rPr>
          <w:rFonts w:ascii="Times New Roman" w:hAnsi="Times New Roman"/>
        </w:rPr>
        <w:t xml:space="preserve"> it</w:t>
      </w:r>
      <w:r w:rsidR="00AB1193" w:rsidRPr="00C06B3A">
        <w:rPr>
          <w:rStyle w:val="FootnoteReference"/>
          <w:rFonts w:ascii="Times New Roman" w:hAnsi="Times New Roman"/>
          <w:sz w:val="24"/>
        </w:rPr>
        <w:footnoteReference w:id="35"/>
      </w:r>
      <w:r w:rsidR="00DA37D0" w:rsidRPr="00C06B3A">
        <w:rPr>
          <w:rFonts w:ascii="Times New Roman" w:hAnsi="Times New Roman"/>
        </w:rPr>
        <w:t>.</w:t>
      </w:r>
      <w:r w:rsidR="00032D78" w:rsidRPr="00C06B3A">
        <w:rPr>
          <w:rFonts w:ascii="Times New Roman" w:hAnsi="Times New Roman"/>
        </w:rPr>
        <w:t xml:space="preserve"> </w:t>
      </w:r>
      <w:r w:rsidR="005265E0" w:rsidRPr="00C06B3A">
        <w:rPr>
          <w:rFonts w:ascii="Times New Roman" w:hAnsi="Times New Roman"/>
        </w:rPr>
        <w:t xml:space="preserve">Affidavits for use in a preliminary hearing must be confined to evidence that </w:t>
      </w:r>
      <w:r w:rsidR="00D103CF" w:rsidRPr="00C06B3A">
        <w:rPr>
          <w:rFonts w:ascii="Times New Roman" w:hAnsi="Times New Roman"/>
        </w:rPr>
        <w:t>the person making it could give</w:t>
      </w:r>
      <w:r w:rsidR="005265E0" w:rsidRPr="00C06B3A">
        <w:rPr>
          <w:rFonts w:ascii="Times New Roman" w:hAnsi="Times New Roman"/>
        </w:rPr>
        <w:t xml:space="preserve"> orally, except that they may contain statements based on information and belief if </w:t>
      </w:r>
      <w:r w:rsidR="00D103CF" w:rsidRPr="00C06B3A">
        <w:rPr>
          <w:rFonts w:ascii="Times New Roman" w:hAnsi="Times New Roman"/>
        </w:rPr>
        <w:t xml:space="preserve">the person making the affidavit states </w:t>
      </w:r>
      <w:r w:rsidR="005265E0" w:rsidRPr="00C06B3A">
        <w:rPr>
          <w:rFonts w:ascii="Times New Roman" w:hAnsi="Times New Roman"/>
        </w:rPr>
        <w:t>the source of the information and the grounds for the belief</w:t>
      </w:r>
      <w:r w:rsidR="005265E0" w:rsidRPr="00C06B3A">
        <w:rPr>
          <w:rStyle w:val="FootnoteReference"/>
          <w:rFonts w:ascii="Times New Roman" w:hAnsi="Times New Roman"/>
          <w:sz w:val="24"/>
        </w:rPr>
        <w:footnoteReference w:id="36"/>
      </w:r>
      <w:r w:rsidR="005265E0" w:rsidRPr="00C06B3A">
        <w:rPr>
          <w:rFonts w:ascii="Times New Roman" w:hAnsi="Times New Roman"/>
        </w:rPr>
        <w:t>.</w:t>
      </w:r>
    </w:p>
    <w:p w14:paraId="7BDDC62C" w14:textId="67ED032C" w:rsidR="005265E0" w:rsidRPr="00C06B3A" w:rsidRDefault="005265E0" w:rsidP="00C06B3A">
      <w:pPr>
        <w:pStyle w:val="FixListStyle"/>
        <w:spacing w:after="260" w:line="280" w:lineRule="exact"/>
        <w:ind w:right="0"/>
        <w:jc w:val="both"/>
        <w:rPr>
          <w:rFonts w:ascii="Times New Roman" w:hAnsi="Times New Roman"/>
        </w:rPr>
      </w:pPr>
      <w:r w:rsidRPr="00C06B3A">
        <w:rPr>
          <w:rFonts w:ascii="Times New Roman" w:hAnsi="Times New Roman"/>
        </w:rPr>
        <w:tab/>
        <w:t>As to the preliminary hearing, s 46 provides</w:t>
      </w:r>
      <w:r w:rsidR="00AA3CB7" w:rsidRPr="00C06B3A">
        <w:rPr>
          <w:rFonts w:ascii="Times New Roman" w:hAnsi="Times New Roman"/>
        </w:rPr>
        <w:t>,</w:t>
      </w:r>
      <w:r w:rsidRPr="00C06B3A">
        <w:rPr>
          <w:rFonts w:ascii="Times New Roman" w:hAnsi="Times New Roman"/>
        </w:rPr>
        <w:t xml:space="preserve"> relevantly:</w:t>
      </w:r>
    </w:p>
    <w:p w14:paraId="060883CB" w14:textId="1D1E3C8D" w:rsidR="005265E0" w:rsidRPr="00C06B3A" w:rsidRDefault="005265E0" w:rsidP="00C06B3A">
      <w:pPr>
        <w:pStyle w:val="LRHangingafterHC"/>
        <w:spacing w:before="0" w:after="260" w:line="280" w:lineRule="exact"/>
        <w:ind w:right="0"/>
        <w:jc w:val="both"/>
        <w:rPr>
          <w:rFonts w:ascii="Times New Roman" w:hAnsi="Times New Roman"/>
        </w:rPr>
      </w:pPr>
      <w:r w:rsidRPr="00C06B3A">
        <w:rPr>
          <w:rFonts w:ascii="Times New Roman" w:hAnsi="Times New Roman"/>
        </w:rPr>
        <w:t>"(1)</w:t>
      </w:r>
      <w:r w:rsidRPr="00C06B3A">
        <w:rPr>
          <w:rFonts w:ascii="Times New Roman" w:hAnsi="Times New Roman"/>
        </w:rPr>
        <w:tab/>
        <w:t xml:space="preserve">The main purpose of </w:t>
      </w:r>
      <w:r w:rsidR="00166289" w:rsidRPr="00C06B3A">
        <w:rPr>
          <w:rFonts w:ascii="Times New Roman" w:hAnsi="Times New Roman"/>
        </w:rPr>
        <w:t>the</w:t>
      </w:r>
      <w:r w:rsidRPr="00C06B3A">
        <w:rPr>
          <w:rFonts w:ascii="Times New Roman" w:hAnsi="Times New Roman"/>
        </w:rPr>
        <w:t xml:space="preserve"> preliminary hearing is to decide whether the court is satisfied that there are reasonable grounds for believing that the court might, in accordance with section 7, find that the offender is a </w:t>
      </w:r>
      <w:proofErr w:type="gramStart"/>
      <w:r w:rsidRPr="00C06B3A">
        <w:rPr>
          <w:rFonts w:ascii="Times New Roman" w:hAnsi="Times New Roman"/>
        </w:rPr>
        <w:t>high risk</w:t>
      </w:r>
      <w:proofErr w:type="gramEnd"/>
      <w:r w:rsidRPr="00C06B3A">
        <w:rPr>
          <w:rFonts w:ascii="Times New Roman" w:hAnsi="Times New Roman"/>
        </w:rPr>
        <w:t xml:space="preserve"> serious offender.</w:t>
      </w:r>
    </w:p>
    <w:p w14:paraId="0FB4B553" w14:textId="78423A10" w:rsidR="005265E0" w:rsidRPr="00C06B3A" w:rsidRDefault="005265E0" w:rsidP="00C06B3A">
      <w:pPr>
        <w:pStyle w:val="LeftrightHanging"/>
        <w:spacing w:before="0" w:after="260" w:line="280" w:lineRule="exact"/>
        <w:ind w:right="0"/>
        <w:jc w:val="both"/>
        <w:rPr>
          <w:rFonts w:ascii="Times New Roman" w:hAnsi="Times New Roman"/>
        </w:rPr>
      </w:pPr>
      <w:r w:rsidRPr="00C06B3A">
        <w:rPr>
          <w:rFonts w:ascii="Times New Roman" w:hAnsi="Times New Roman"/>
        </w:rPr>
        <w:t>(2)</w:t>
      </w:r>
      <w:r w:rsidRPr="00C06B3A">
        <w:rPr>
          <w:rFonts w:ascii="Times New Roman" w:hAnsi="Times New Roman"/>
        </w:rPr>
        <w:tab/>
        <w:t xml:space="preserve">If </w:t>
      </w:r>
      <w:r w:rsidR="00B30C32" w:rsidRPr="00C06B3A">
        <w:rPr>
          <w:rFonts w:ascii="Times New Roman" w:hAnsi="Times New Roman"/>
        </w:rPr>
        <w:t>the</w:t>
      </w:r>
      <w:r w:rsidRPr="00C06B3A">
        <w:rPr>
          <w:rFonts w:ascii="Times New Roman" w:hAnsi="Times New Roman"/>
        </w:rPr>
        <w:t xml:space="preserve"> court is satisfied as described in subsection (1) </w:t>
      </w:r>
      <w:r w:rsidR="00B30C32" w:rsidRPr="00C06B3A">
        <w:rPr>
          <w:rFonts w:ascii="Times New Roman" w:hAnsi="Times New Roman"/>
        </w:rPr>
        <w:t>–</w:t>
      </w:r>
    </w:p>
    <w:p w14:paraId="229CFBEF" w14:textId="77777777" w:rsidR="005265E0" w:rsidRPr="00C06B3A" w:rsidRDefault="005265E0" w:rsidP="00C06B3A">
      <w:pPr>
        <w:pStyle w:val="LRHangingMore"/>
        <w:spacing w:before="0" w:after="260" w:line="280" w:lineRule="exact"/>
        <w:ind w:right="0"/>
        <w:jc w:val="both"/>
        <w:rPr>
          <w:rFonts w:ascii="Times New Roman" w:hAnsi="Times New Roman"/>
        </w:rPr>
      </w:pPr>
      <w:r w:rsidRPr="00C06B3A">
        <w:rPr>
          <w:rFonts w:ascii="Times New Roman" w:hAnsi="Times New Roman"/>
        </w:rPr>
        <w:t>(a)</w:t>
      </w:r>
      <w:r w:rsidRPr="00C06B3A">
        <w:rPr>
          <w:rFonts w:ascii="Times New Roman" w:hAnsi="Times New Roman"/>
        </w:rPr>
        <w:tab/>
        <w:t>the court must order that the offender undergo examination by a psychiatrist and a qualified psychologist for the purpose of preparing reports in accordance with section 74 to be used on the hearing of the restriction order application; and</w:t>
      </w:r>
    </w:p>
    <w:p w14:paraId="7B79BDF0" w14:textId="77777777" w:rsidR="005265E0" w:rsidRPr="00C06B3A" w:rsidRDefault="005265E0" w:rsidP="00C06B3A">
      <w:pPr>
        <w:pStyle w:val="LRHangingMore"/>
        <w:spacing w:before="0" w:after="260" w:line="280" w:lineRule="exact"/>
        <w:ind w:right="0"/>
        <w:jc w:val="both"/>
        <w:rPr>
          <w:rFonts w:ascii="Times New Roman" w:hAnsi="Times New Roman"/>
        </w:rPr>
      </w:pPr>
      <w:r w:rsidRPr="00C06B3A">
        <w:rPr>
          <w:rFonts w:ascii="Times New Roman" w:hAnsi="Times New Roman"/>
        </w:rPr>
        <w:t>(b)</w:t>
      </w:r>
      <w:r w:rsidRPr="00C06B3A">
        <w:rPr>
          <w:rFonts w:ascii="Times New Roman" w:hAnsi="Times New Roman"/>
        </w:rPr>
        <w:tab/>
        <w:t>the court may, on the application of the State or of the offender, order that a person or body named by the court prepare a report in accordance with section 75 to be used on the hearing of the restriction order application on questions or topics set out in the order; and</w:t>
      </w:r>
    </w:p>
    <w:p w14:paraId="08789049" w14:textId="1FBA7745" w:rsidR="005265E0" w:rsidRPr="00C06B3A" w:rsidRDefault="005265E0" w:rsidP="00C06B3A">
      <w:pPr>
        <w:pStyle w:val="LRHangingMore"/>
        <w:spacing w:before="0" w:after="260" w:line="280" w:lineRule="exact"/>
        <w:ind w:right="0"/>
        <w:jc w:val="both"/>
        <w:rPr>
          <w:rFonts w:ascii="Times New Roman" w:hAnsi="Times New Roman"/>
        </w:rPr>
      </w:pPr>
      <w:r w:rsidRPr="00C06B3A">
        <w:rPr>
          <w:rFonts w:ascii="Times New Roman" w:hAnsi="Times New Roman"/>
        </w:rPr>
        <w:t>(c)</w:t>
      </w:r>
      <w:r w:rsidRPr="00C06B3A">
        <w:rPr>
          <w:rFonts w:ascii="Times New Roman" w:hAnsi="Times New Roman"/>
        </w:rPr>
        <w:tab/>
        <w:t>the court may </w:t>
      </w:r>
      <w:r w:rsidR="006914C4" w:rsidRPr="00C06B3A">
        <w:rPr>
          <w:rFonts w:ascii="Times New Roman" w:hAnsi="Times New Roman"/>
        </w:rPr>
        <w:t>–</w:t>
      </w:r>
    </w:p>
    <w:p w14:paraId="1443E9CF" w14:textId="77777777" w:rsidR="005265E0" w:rsidRPr="00C06B3A" w:rsidRDefault="005265E0" w:rsidP="00C06B3A">
      <w:pPr>
        <w:pStyle w:val="LRHangingMore"/>
        <w:spacing w:before="0" w:after="260" w:line="280" w:lineRule="exact"/>
        <w:ind w:left="2880" w:right="0"/>
        <w:jc w:val="both"/>
        <w:rPr>
          <w:rFonts w:ascii="Times New Roman" w:hAnsi="Times New Roman"/>
        </w:rPr>
      </w:pPr>
      <w:r w:rsidRPr="00C06B3A">
        <w:rPr>
          <w:rFonts w:ascii="Times New Roman" w:hAnsi="Times New Roman"/>
        </w:rPr>
        <w:t>(</w:t>
      </w:r>
      <w:proofErr w:type="spellStart"/>
      <w:r w:rsidRPr="00C06B3A">
        <w:rPr>
          <w:rFonts w:ascii="Times New Roman" w:hAnsi="Times New Roman"/>
        </w:rPr>
        <w:t>i</w:t>
      </w:r>
      <w:proofErr w:type="spellEnd"/>
      <w:r w:rsidRPr="00C06B3A">
        <w:rPr>
          <w:rFonts w:ascii="Times New Roman" w:hAnsi="Times New Roman"/>
        </w:rPr>
        <w:t>)</w:t>
      </w:r>
      <w:r w:rsidRPr="00C06B3A">
        <w:rPr>
          <w:rFonts w:ascii="Times New Roman" w:hAnsi="Times New Roman"/>
        </w:rPr>
        <w:tab/>
        <w:t>if the offender is in custody and might otherwise be released from custody before the restriction order application is finally decided, order that the offender be detained in custody for the period stated in the order; and</w:t>
      </w:r>
    </w:p>
    <w:p w14:paraId="3F142111" w14:textId="77777777" w:rsidR="006914C4" w:rsidRPr="00C06B3A" w:rsidRDefault="005265E0" w:rsidP="00C06B3A">
      <w:pPr>
        <w:pStyle w:val="LRHangingMore"/>
        <w:spacing w:before="0" w:after="260" w:line="280" w:lineRule="exact"/>
        <w:ind w:left="2880" w:right="0"/>
        <w:jc w:val="both"/>
        <w:rPr>
          <w:rFonts w:ascii="Times New Roman" w:hAnsi="Times New Roman"/>
        </w:rPr>
      </w:pPr>
      <w:r w:rsidRPr="00C06B3A">
        <w:rPr>
          <w:rFonts w:ascii="Times New Roman" w:hAnsi="Times New Roman"/>
        </w:rPr>
        <w:lastRenderedPageBreak/>
        <w:t>(ii)</w:t>
      </w:r>
      <w:r w:rsidRPr="00C06B3A">
        <w:rPr>
          <w:rFonts w:ascii="Times New Roman" w:hAnsi="Times New Roman"/>
        </w:rPr>
        <w:tab/>
        <w:t xml:space="preserve">if the offender is not in custody, order that the offender be detained in custody for the period stated in the </w:t>
      </w:r>
      <w:proofErr w:type="gramStart"/>
      <w:r w:rsidRPr="00C06B3A">
        <w:rPr>
          <w:rFonts w:ascii="Times New Roman" w:hAnsi="Times New Roman"/>
        </w:rPr>
        <w:t>order;</w:t>
      </w:r>
      <w:proofErr w:type="gramEnd"/>
      <w:r w:rsidRPr="00C06B3A">
        <w:rPr>
          <w:rFonts w:ascii="Times New Roman" w:hAnsi="Times New Roman"/>
        </w:rPr>
        <w:t xml:space="preserve"> </w:t>
      </w:r>
    </w:p>
    <w:p w14:paraId="0C6D60E6" w14:textId="7B852CC9" w:rsidR="005265E0" w:rsidRPr="00C06B3A" w:rsidRDefault="005265E0" w:rsidP="00C06B3A">
      <w:pPr>
        <w:pStyle w:val="LRHangingMore"/>
        <w:spacing w:before="0" w:after="260" w:line="280" w:lineRule="exact"/>
        <w:ind w:left="2880" w:right="0"/>
        <w:jc w:val="both"/>
        <w:rPr>
          <w:rFonts w:ascii="Times New Roman" w:hAnsi="Times New Roman"/>
        </w:rPr>
      </w:pPr>
      <w:r w:rsidRPr="00C06B3A">
        <w:rPr>
          <w:rFonts w:ascii="Times New Roman" w:hAnsi="Times New Roman"/>
        </w:rPr>
        <w:t>and</w:t>
      </w:r>
    </w:p>
    <w:p w14:paraId="69794EEF" w14:textId="77777777" w:rsidR="00C06B3A" w:rsidRDefault="005265E0" w:rsidP="00C06B3A">
      <w:pPr>
        <w:pStyle w:val="LRHangingMore"/>
        <w:spacing w:before="0" w:after="260" w:line="280" w:lineRule="exact"/>
        <w:ind w:right="0"/>
        <w:jc w:val="both"/>
        <w:rPr>
          <w:rFonts w:ascii="Times New Roman" w:hAnsi="Times New Roman"/>
        </w:rPr>
      </w:pPr>
      <w:r w:rsidRPr="00C06B3A">
        <w:rPr>
          <w:rFonts w:ascii="Times New Roman" w:hAnsi="Times New Roman"/>
        </w:rPr>
        <w:t>(d)</w:t>
      </w:r>
      <w:r w:rsidRPr="00C06B3A">
        <w:rPr>
          <w:rFonts w:ascii="Times New Roman" w:hAnsi="Times New Roman"/>
        </w:rPr>
        <w:tab/>
        <w:t>the court must, except as provided in subsection (3), fix a day for the hearing of the restriction order application."</w:t>
      </w:r>
    </w:p>
    <w:p w14:paraId="51379E30" w14:textId="34C44AE0" w:rsidR="00301AE7" w:rsidRPr="00C06B3A" w:rsidRDefault="008555DA"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33986" w:rsidRPr="00C06B3A">
        <w:rPr>
          <w:rFonts w:ascii="Times New Roman" w:hAnsi="Times New Roman"/>
        </w:rPr>
        <w:t xml:space="preserve">An offender must disclose any expert evidence material and </w:t>
      </w:r>
      <w:r w:rsidR="00AA3CB7" w:rsidRPr="00C06B3A">
        <w:rPr>
          <w:rFonts w:ascii="Times New Roman" w:hAnsi="Times New Roman"/>
        </w:rPr>
        <w:t xml:space="preserve">may </w:t>
      </w:r>
      <w:r w:rsidR="00233986" w:rsidRPr="00C06B3A">
        <w:rPr>
          <w:rFonts w:ascii="Times New Roman" w:hAnsi="Times New Roman"/>
        </w:rPr>
        <w:t>file and serve affidavits upon which the offender proposes to rely prior to a preliminary hearing</w:t>
      </w:r>
      <w:r w:rsidR="00233986" w:rsidRPr="00C06B3A">
        <w:rPr>
          <w:rStyle w:val="FootnoteReference"/>
          <w:rFonts w:ascii="Times New Roman" w:hAnsi="Times New Roman"/>
          <w:sz w:val="24"/>
        </w:rPr>
        <w:footnoteReference w:id="37"/>
      </w:r>
      <w:r w:rsidR="00233986" w:rsidRPr="00C06B3A">
        <w:rPr>
          <w:rFonts w:ascii="Times New Roman" w:hAnsi="Times New Roman"/>
        </w:rPr>
        <w:t xml:space="preserve">. </w:t>
      </w:r>
      <w:r w:rsidR="003B129C" w:rsidRPr="00C06B3A">
        <w:rPr>
          <w:rFonts w:ascii="Times New Roman" w:hAnsi="Times New Roman"/>
        </w:rPr>
        <w:t>Conversely, t</w:t>
      </w:r>
      <w:r w:rsidR="005C5C3D" w:rsidRPr="00C06B3A">
        <w:rPr>
          <w:rFonts w:ascii="Times New Roman" w:hAnsi="Times New Roman"/>
        </w:rPr>
        <w:t>he State is under</w:t>
      </w:r>
      <w:r w:rsidR="002F0AE0" w:rsidRPr="00C06B3A">
        <w:rPr>
          <w:rFonts w:ascii="Times New Roman" w:hAnsi="Times New Roman"/>
        </w:rPr>
        <w:t xml:space="preserve"> a continuing</w:t>
      </w:r>
      <w:r w:rsidR="005C5C3D" w:rsidRPr="00C06B3A">
        <w:rPr>
          <w:rFonts w:ascii="Times New Roman" w:hAnsi="Times New Roman"/>
        </w:rPr>
        <w:t xml:space="preserve"> obligation of disclosure</w:t>
      </w:r>
      <w:r w:rsidR="003B129C" w:rsidRPr="00C06B3A">
        <w:rPr>
          <w:rFonts w:ascii="Times New Roman" w:hAnsi="Times New Roman"/>
        </w:rPr>
        <w:t>, subject to certain exceptions,</w:t>
      </w:r>
      <w:r w:rsidR="005C5C3D" w:rsidRPr="00C06B3A">
        <w:rPr>
          <w:rFonts w:ascii="Times New Roman" w:hAnsi="Times New Roman"/>
        </w:rPr>
        <w:t xml:space="preserve"> after a preliminary hearing has been conducted</w:t>
      </w:r>
      <w:r w:rsidR="002F0AE0" w:rsidRPr="00C06B3A">
        <w:rPr>
          <w:rStyle w:val="FootnoteReference"/>
          <w:rFonts w:ascii="Times New Roman" w:hAnsi="Times New Roman"/>
          <w:sz w:val="24"/>
        </w:rPr>
        <w:footnoteReference w:id="38"/>
      </w:r>
      <w:r w:rsidR="002F0AE0" w:rsidRPr="00C06B3A">
        <w:rPr>
          <w:rFonts w:ascii="Times New Roman" w:hAnsi="Times New Roman"/>
        </w:rPr>
        <w:t>.</w:t>
      </w:r>
    </w:p>
    <w:p w14:paraId="4682189C" w14:textId="5FD60933" w:rsidR="00B64E23" w:rsidRPr="00C06B3A" w:rsidRDefault="00301AE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97BD1" w:rsidRPr="00C06B3A">
        <w:rPr>
          <w:rFonts w:ascii="Times New Roman" w:hAnsi="Times New Roman"/>
        </w:rPr>
        <w:t xml:space="preserve">Section 48 </w:t>
      </w:r>
      <w:r w:rsidR="0038025B" w:rsidRPr="00C06B3A">
        <w:rPr>
          <w:rFonts w:ascii="Times New Roman" w:hAnsi="Times New Roman"/>
        </w:rPr>
        <w:t>makes provision for the determination of an application for a restriction order. Its operation depends upon the evaluative judgment</w:t>
      </w:r>
      <w:r w:rsidR="00893797" w:rsidRPr="00C06B3A">
        <w:rPr>
          <w:rFonts w:ascii="Times New Roman" w:hAnsi="Times New Roman"/>
        </w:rPr>
        <w:t xml:space="preserve"> contemplated by s 7. Section 48 </w:t>
      </w:r>
      <w:r w:rsidR="001A7F5B" w:rsidRPr="00C06B3A">
        <w:rPr>
          <w:rFonts w:ascii="Times New Roman" w:hAnsi="Times New Roman"/>
        </w:rPr>
        <w:t>provides:</w:t>
      </w:r>
    </w:p>
    <w:p w14:paraId="787875E5" w14:textId="0DC3700B" w:rsidR="001A7F5B" w:rsidRPr="00C06B3A" w:rsidRDefault="001A7F5B" w:rsidP="00C06B3A">
      <w:pPr>
        <w:pStyle w:val="LRHangingafterHC"/>
        <w:spacing w:before="0" w:after="260" w:line="280" w:lineRule="exact"/>
        <w:ind w:right="0"/>
        <w:jc w:val="both"/>
        <w:rPr>
          <w:rFonts w:ascii="Times New Roman" w:hAnsi="Times New Roman"/>
        </w:rPr>
      </w:pPr>
      <w:r w:rsidRPr="00C06B3A">
        <w:rPr>
          <w:rFonts w:ascii="Times New Roman" w:hAnsi="Times New Roman"/>
        </w:rPr>
        <w:t>"(1)</w:t>
      </w:r>
      <w:r w:rsidRPr="00C06B3A">
        <w:rPr>
          <w:rFonts w:ascii="Times New Roman" w:hAnsi="Times New Roman"/>
        </w:rPr>
        <w:tab/>
        <w:t xml:space="preserve">If the court hearing a restriction order application finds that the offender is a </w:t>
      </w:r>
      <w:proofErr w:type="gramStart"/>
      <w:r w:rsidRPr="00C06B3A">
        <w:rPr>
          <w:rFonts w:ascii="Times New Roman" w:hAnsi="Times New Roman"/>
        </w:rPr>
        <w:t>high risk</w:t>
      </w:r>
      <w:proofErr w:type="gramEnd"/>
      <w:r w:rsidRPr="00C06B3A">
        <w:rPr>
          <w:rFonts w:ascii="Times New Roman" w:hAnsi="Times New Roman"/>
        </w:rPr>
        <w:t xml:space="preserve"> serious offender, the court must </w:t>
      </w:r>
      <w:r w:rsidR="006E40BC" w:rsidRPr="00C06B3A">
        <w:rPr>
          <w:rFonts w:ascii="Times New Roman" w:hAnsi="Times New Roman"/>
        </w:rPr>
        <w:t>–</w:t>
      </w:r>
    </w:p>
    <w:p w14:paraId="317E35CA" w14:textId="624723E0" w:rsidR="00203787" w:rsidRPr="00C06B3A" w:rsidRDefault="00203787" w:rsidP="00C06B3A">
      <w:pPr>
        <w:pStyle w:val="LRHangingMore"/>
        <w:spacing w:before="0" w:after="260" w:line="280" w:lineRule="exact"/>
        <w:ind w:right="0"/>
        <w:jc w:val="both"/>
        <w:rPr>
          <w:rFonts w:ascii="Times New Roman" w:hAnsi="Times New Roman"/>
        </w:rPr>
      </w:pPr>
      <w:r w:rsidRPr="00C06B3A">
        <w:rPr>
          <w:rFonts w:ascii="Times New Roman" w:hAnsi="Times New Roman"/>
        </w:rPr>
        <w:t>(a)</w:t>
      </w:r>
      <w:r w:rsidRPr="00C06B3A">
        <w:rPr>
          <w:rFonts w:ascii="Times New Roman" w:hAnsi="Times New Roman"/>
        </w:rPr>
        <w:tab/>
        <w:t>make a continuing detention order in relation to the offender; or</w:t>
      </w:r>
    </w:p>
    <w:p w14:paraId="5E38341F" w14:textId="77DBE9AA" w:rsidR="00203787" w:rsidRPr="00C06B3A" w:rsidRDefault="00203787" w:rsidP="00C06B3A">
      <w:pPr>
        <w:pStyle w:val="LRHangingMore"/>
        <w:spacing w:before="0" w:after="260" w:line="280" w:lineRule="exact"/>
        <w:ind w:right="0"/>
        <w:jc w:val="both"/>
        <w:rPr>
          <w:rFonts w:ascii="Times New Roman" w:hAnsi="Times New Roman"/>
        </w:rPr>
      </w:pPr>
      <w:r w:rsidRPr="00C06B3A">
        <w:rPr>
          <w:rFonts w:ascii="Times New Roman" w:hAnsi="Times New Roman"/>
        </w:rPr>
        <w:t>(b)</w:t>
      </w:r>
      <w:r w:rsidRPr="00C06B3A">
        <w:rPr>
          <w:rFonts w:ascii="Times New Roman" w:hAnsi="Times New Roman"/>
        </w:rPr>
        <w:tab/>
        <w:t>except as provided in section 29, make a supervision order in relation to the offender.</w:t>
      </w:r>
    </w:p>
    <w:p w14:paraId="07D8862C" w14:textId="77777777" w:rsidR="00C06B3A" w:rsidRDefault="00203787" w:rsidP="00C06B3A">
      <w:pPr>
        <w:pStyle w:val="LeftrightHanging"/>
        <w:spacing w:before="0" w:after="260" w:line="280" w:lineRule="exact"/>
        <w:ind w:right="0"/>
        <w:jc w:val="both"/>
        <w:rPr>
          <w:rFonts w:ascii="Times New Roman" w:hAnsi="Times New Roman"/>
        </w:rPr>
      </w:pPr>
      <w:r w:rsidRPr="00C06B3A">
        <w:rPr>
          <w:rFonts w:ascii="Times New Roman" w:hAnsi="Times New Roman"/>
        </w:rPr>
        <w:t>(2)</w:t>
      </w:r>
      <w:r w:rsidRPr="00C06B3A">
        <w:rPr>
          <w:rFonts w:ascii="Times New Roman" w:hAnsi="Times New Roman"/>
        </w:rPr>
        <w:tab/>
        <w:t xml:space="preserve">In deciding whether to make an order under subsection (1)(a) or (b), the paramount consideration is to be the need to ensure </w:t>
      </w:r>
      <w:r w:rsidR="00DD5AEA" w:rsidRPr="00C06B3A">
        <w:rPr>
          <w:rFonts w:ascii="Times New Roman" w:hAnsi="Times New Roman"/>
        </w:rPr>
        <w:t>adequate protection of the community."</w:t>
      </w:r>
    </w:p>
    <w:p w14:paraId="55FA6135" w14:textId="0AEED7C6" w:rsidR="00E10714" w:rsidRPr="00C06B3A" w:rsidRDefault="00DD5AEA"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1E1C0E" w:rsidRPr="00C06B3A">
        <w:rPr>
          <w:rFonts w:ascii="Times New Roman" w:hAnsi="Times New Roman"/>
        </w:rPr>
        <w:t xml:space="preserve">It may be noted that s 48(1) provides that, if the </w:t>
      </w:r>
      <w:r w:rsidR="009566D4" w:rsidRPr="00C06B3A">
        <w:rPr>
          <w:rFonts w:ascii="Times New Roman" w:hAnsi="Times New Roman"/>
        </w:rPr>
        <w:t>C</w:t>
      </w:r>
      <w:r w:rsidR="001E1C0E" w:rsidRPr="00C06B3A">
        <w:rPr>
          <w:rFonts w:ascii="Times New Roman" w:hAnsi="Times New Roman"/>
        </w:rPr>
        <w:t xml:space="preserve">ourt finds that the offender is a </w:t>
      </w:r>
      <w:proofErr w:type="gramStart"/>
      <w:r w:rsidR="001E1C0E" w:rsidRPr="00C06B3A">
        <w:rPr>
          <w:rFonts w:ascii="Times New Roman" w:hAnsi="Times New Roman"/>
        </w:rPr>
        <w:t>high risk</w:t>
      </w:r>
      <w:proofErr w:type="gramEnd"/>
      <w:r w:rsidR="001E1C0E" w:rsidRPr="00C06B3A">
        <w:rPr>
          <w:rFonts w:ascii="Times New Roman" w:hAnsi="Times New Roman"/>
        </w:rPr>
        <w:t xml:space="preserve"> serious offender in accordance with s 7, the </w:t>
      </w:r>
      <w:r w:rsidR="009566D4" w:rsidRPr="00C06B3A">
        <w:rPr>
          <w:rFonts w:ascii="Times New Roman" w:hAnsi="Times New Roman"/>
        </w:rPr>
        <w:t>C</w:t>
      </w:r>
      <w:r w:rsidR="001E1C0E" w:rsidRPr="00C06B3A">
        <w:rPr>
          <w:rFonts w:ascii="Times New Roman" w:hAnsi="Times New Roman"/>
        </w:rPr>
        <w:t>ourt "must" make a restriction order.</w:t>
      </w:r>
    </w:p>
    <w:p w14:paraId="7912E854" w14:textId="36EF7798" w:rsidR="002D08CB" w:rsidRPr="00C06B3A" w:rsidRDefault="00E10714"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D08CB" w:rsidRPr="00C06B3A">
        <w:rPr>
          <w:rFonts w:ascii="Times New Roman" w:hAnsi="Times New Roman"/>
        </w:rPr>
        <w:t>Part 5</w:t>
      </w:r>
      <w:r w:rsidR="00531238" w:rsidRPr="00C06B3A">
        <w:rPr>
          <w:rFonts w:ascii="Times New Roman" w:hAnsi="Times New Roman"/>
        </w:rPr>
        <w:t xml:space="preserve"> of the HRSO</w:t>
      </w:r>
      <w:r w:rsidR="009566D4" w:rsidRPr="00C06B3A">
        <w:rPr>
          <w:rFonts w:ascii="Times New Roman" w:hAnsi="Times New Roman"/>
        </w:rPr>
        <w:t> </w:t>
      </w:r>
      <w:r w:rsidR="00531238" w:rsidRPr="00C06B3A">
        <w:rPr>
          <w:rFonts w:ascii="Times New Roman" w:hAnsi="Times New Roman"/>
        </w:rPr>
        <w:t>Act</w:t>
      </w:r>
      <w:r w:rsidR="002D08CB" w:rsidRPr="00C06B3A">
        <w:rPr>
          <w:rFonts w:ascii="Times New Roman" w:hAnsi="Times New Roman"/>
        </w:rPr>
        <w:t xml:space="preserve"> provides for periodic review of </w:t>
      </w:r>
      <w:r w:rsidR="00991D50" w:rsidRPr="00C06B3A">
        <w:rPr>
          <w:rFonts w:ascii="Times New Roman" w:hAnsi="Times New Roman"/>
        </w:rPr>
        <w:t xml:space="preserve">detention under </w:t>
      </w:r>
      <w:r w:rsidR="002D08CB" w:rsidRPr="00C06B3A">
        <w:rPr>
          <w:rFonts w:ascii="Times New Roman" w:hAnsi="Times New Roman"/>
        </w:rPr>
        <w:t xml:space="preserve">a continuing detention order. </w:t>
      </w:r>
      <w:r w:rsidR="00531238" w:rsidRPr="00C06B3A">
        <w:rPr>
          <w:rFonts w:ascii="Times New Roman" w:hAnsi="Times New Roman"/>
        </w:rPr>
        <w:t>In this regard, s</w:t>
      </w:r>
      <w:r w:rsidR="002D08CB" w:rsidRPr="00C06B3A">
        <w:rPr>
          <w:rFonts w:ascii="Times New Roman" w:hAnsi="Times New Roman"/>
        </w:rPr>
        <w:t> 64(2) requires the State to apply for a review to be carried out</w:t>
      </w:r>
      <w:r w:rsidR="00756DF6" w:rsidRPr="00C06B3A">
        <w:rPr>
          <w:rFonts w:ascii="Times New Roman" w:hAnsi="Times New Roman"/>
        </w:rPr>
        <w:t>:</w:t>
      </w:r>
      <w:r w:rsidR="002D08CB" w:rsidRPr="00C06B3A">
        <w:rPr>
          <w:rFonts w:ascii="Times New Roman" w:hAnsi="Times New Roman"/>
        </w:rPr>
        <w:t xml:space="preserve"> as soon as practicable after</w:t>
      </w:r>
      <w:r w:rsidR="00C91DBA" w:rsidRPr="00C06B3A">
        <w:rPr>
          <w:rFonts w:ascii="Times New Roman" w:hAnsi="Times New Roman"/>
        </w:rPr>
        <w:t xml:space="preserve"> the end </w:t>
      </w:r>
      <w:r w:rsidR="00056777" w:rsidRPr="00C06B3A">
        <w:rPr>
          <w:rFonts w:ascii="Times New Roman" w:hAnsi="Times New Roman"/>
        </w:rPr>
        <w:t xml:space="preserve">of the period of one year commencing when the offender is first in custody pursuant to the continuing detention order; and as soon as practicable </w:t>
      </w:r>
      <w:r w:rsidR="005E7C6B" w:rsidRPr="00C06B3A">
        <w:rPr>
          <w:rFonts w:ascii="Times New Roman" w:hAnsi="Times New Roman"/>
        </w:rPr>
        <w:t xml:space="preserve">after the end of the period of two years </w:t>
      </w:r>
      <w:r w:rsidR="002F1861" w:rsidRPr="00C06B3A">
        <w:rPr>
          <w:rFonts w:ascii="Times New Roman" w:hAnsi="Times New Roman"/>
        </w:rPr>
        <w:lastRenderedPageBreak/>
        <w:t xml:space="preserve">commencing when the detention was most recently reviewed under s 64 or </w:t>
      </w:r>
      <w:r w:rsidR="00CF53DA" w:rsidRPr="00C06B3A">
        <w:rPr>
          <w:rFonts w:ascii="Times New Roman" w:hAnsi="Times New Roman"/>
        </w:rPr>
        <w:t>s </w:t>
      </w:r>
      <w:r w:rsidR="002F1861" w:rsidRPr="00C06B3A">
        <w:rPr>
          <w:rFonts w:ascii="Times New Roman" w:hAnsi="Times New Roman"/>
        </w:rPr>
        <w:t>65</w:t>
      </w:r>
      <w:r w:rsidR="005E7C6B" w:rsidRPr="00C06B3A">
        <w:rPr>
          <w:rFonts w:ascii="Times New Roman" w:hAnsi="Times New Roman"/>
        </w:rPr>
        <w:t>. Alternatively, the offender may</w:t>
      </w:r>
      <w:r w:rsidR="00CA1788" w:rsidRPr="00C06B3A">
        <w:rPr>
          <w:rFonts w:ascii="Times New Roman" w:hAnsi="Times New Roman"/>
        </w:rPr>
        <w:t xml:space="preserve">, with the leave of the </w:t>
      </w:r>
      <w:r w:rsidR="00366379" w:rsidRPr="00C06B3A">
        <w:rPr>
          <w:rFonts w:ascii="Times New Roman" w:hAnsi="Times New Roman"/>
        </w:rPr>
        <w:t>C</w:t>
      </w:r>
      <w:r w:rsidR="00CA1788" w:rsidRPr="00C06B3A">
        <w:rPr>
          <w:rFonts w:ascii="Times New Roman" w:hAnsi="Times New Roman"/>
        </w:rPr>
        <w:t xml:space="preserve">ourt, apply for review of </w:t>
      </w:r>
      <w:r w:rsidR="003C4BE0" w:rsidRPr="00C06B3A">
        <w:rPr>
          <w:rFonts w:ascii="Times New Roman" w:hAnsi="Times New Roman"/>
        </w:rPr>
        <w:t>his or her</w:t>
      </w:r>
      <w:r w:rsidR="00CA1788" w:rsidRPr="00C06B3A">
        <w:rPr>
          <w:rFonts w:ascii="Times New Roman" w:hAnsi="Times New Roman"/>
        </w:rPr>
        <w:t xml:space="preserve"> continuing detention order</w:t>
      </w:r>
      <w:r w:rsidR="00CA1788" w:rsidRPr="00C06B3A">
        <w:rPr>
          <w:rStyle w:val="FootnoteReference"/>
          <w:rFonts w:ascii="Times New Roman" w:hAnsi="Times New Roman"/>
          <w:sz w:val="24"/>
        </w:rPr>
        <w:footnoteReference w:id="39"/>
      </w:r>
      <w:r w:rsidR="00CA1788" w:rsidRPr="00C06B3A">
        <w:rPr>
          <w:rFonts w:ascii="Times New Roman" w:hAnsi="Times New Roman"/>
        </w:rPr>
        <w:t>.</w:t>
      </w:r>
    </w:p>
    <w:p w14:paraId="612C9701" w14:textId="2FAC8343" w:rsidR="000453E9" w:rsidRPr="00C06B3A" w:rsidRDefault="000453E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A continuing detention order must be rescinded if, on a review, the </w:t>
      </w:r>
      <w:r w:rsidR="00366379" w:rsidRPr="00C06B3A">
        <w:rPr>
          <w:rFonts w:ascii="Times New Roman" w:hAnsi="Times New Roman"/>
        </w:rPr>
        <w:t>C</w:t>
      </w:r>
      <w:r w:rsidRPr="00C06B3A">
        <w:rPr>
          <w:rFonts w:ascii="Times New Roman" w:hAnsi="Times New Roman"/>
        </w:rPr>
        <w:t xml:space="preserve">ourt </w:t>
      </w:r>
      <w:r w:rsidR="00AA3CB7" w:rsidRPr="00C06B3A">
        <w:rPr>
          <w:rFonts w:ascii="Times New Roman" w:hAnsi="Times New Roman"/>
        </w:rPr>
        <w:t xml:space="preserve">does not </w:t>
      </w:r>
      <w:r w:rsidRPr="00C06B3A">
        <w:rPr>
          <w:rFonts w:ascii="Times New Roman" w:hAnsi="Times New Roman"/>
        </w:rPr>
        <w:t>find that the offender remain</w:t>
      </w:r>
      <w:r w:rsidR="00AA3CB7" w:rsidRPr="00C06B3A">
        <w:rPr>
          <w:rFonts w:ascii="Times New Roman" w:hAnsi="Times New Roman"/>
        </w:rPr>
        <w:t>s</w:t>
      </w:r>
      <w:r w:rsidRPr="00C06B3A">
        <w:rPr>
          <w:rFonts w:ascii="Times New Roman" w:hAnsi="Times New Roman"/>
        </w:rPr>
        <w:t xml:space="preserve"> a "high risk serious offender". If the </w:t>
      </w:r>
      <w:r w:rsidR="00366379" w:rsidRPr="00C06B3A">
        <w:rPr>
          <w:rFonts w:ascii="Times New Roman" w:hAnsi="Times New Roman"/>
        </w:rPr>
        <w:t>C</w:t>
      </w:r>
      <w:r w:rsidRPr="00C06B3A">
        <w:rPr>
          <w:rFonts w:ascii="Times New Roman" w:hAnsi="Times New Roman"/>
        </w:rPr>
        <w:t xml:space="preserve">ourt finds that </w:t>
      </w:r>
      <w:r w:rsidR="006C72D7" w:rsidRPr="00C06B3A">
        <w:rPr>
          <w:rFonts w:ascii="Times New Roman" w:hAnsi="Times New Roman"/>
        </w:rPr>
        <w:t xml:space="preserve">the offender does remain a "high risk serious offender", it must </w:t>
      </w:r>
      <w:r w:rsidR="007C7037" w:rsidRPr="00C06B3A">
        <w:rPr>
          <w:rFonts w:ascii="Times New Roman" w:hAnsi="Times New Roman"/>
        </w:rPr>
        <w:t>affirm</w:t>
      </w:r>
      <w:r w:rsidR="006C72D7" w:rsidRPr="00C06B3A">
        <w:rPr>
          <w:rFonts w:ascii="Times New Roman" w:hAnsi="Times New Roman"/>
        </w:rPr>
        <w:t xml:space="preserve"> the continuing detention order, or rescind it and make a supervision order</w:t>
      </w:r>
      <w:r w:rsidR="005C4E30" w:rsidRPr="00C06B3A">
        <w:rPr>
          <w:rFonts w:ascii="Times New Roman" w:hAnsi="Times New Roman"/>
        </w:rPr>
        <w:t>. In deciding which order to make, the paramount consideration is to be the need to ensure adequate protection of the community</w:t>
      </w:r>
      <w:r w:rsidR="006C72D7" w:rsidRPr="00C06B3A">
        <w:rPr>
          <w:rStyle w:val="FootnoteReference"/>
          <w:rFonts w:ascii="Times New Roman" w:hAnsi="Times New Roman"/>
          <w:sz w:val="24"/>
        </w:rPr>
        <w:footnoteReference w:id="40"/>
      </w:r>
      <w:r w:rsidR="006C72D7" w:rsidRPr="00C06B3A">
        <w:rPr>
          <w:rFonts w:ascii="Times New Roman" w:hAnsi="Times New Roman"/>
        </w:rPr>
        <w:t>.</w:t>
      </w:r>
    </w:p>
    <w:p w14:paraId="6E36112D" w14:textId="75493DA2" w:rsidR="005C4E30" w:rsidRPr="00C06B3A" w:rsidRDefault="005C4E30" w:rsidP="00C06B3A">
      <w:pPr>
        <w:pStyle w:val="FixListStyle"/>
        <w:spacing w:after="260" w:line="280" w:lineRule="exact"/>
        <w:ind w:right="0"/>
        <w:jc w:val="both"/>
        <w:rPr>
          <w:rFonts w:ascii="Times New Roman" w:hAnsi="Times New Roman"/>
        </w:rPr>
      </w:pPr>
      <w:r w:rsidRPr="00C06B3A">
        <w:rPr>
          <w:rFonts w:ascii="Times New Roman" w:hAnsi="Times New Roman"/>
        </w:rPr>
        <w:tab/>
        <w:t>Part 6</w:t>
      </w:r>
      <w:r w:rsidR="00E10714" w:rsidRPr="00C06B3A">
        <w:rPr>
          <w:rFonts w:ascii="Times New Roman" w:hAnsi="Times New Roman"/>
        </w:rPr>
        <w:t xml:space="preserve"> of the HRSO</w:t>
      </w:r>
      <w:r w:rsidR="007C7037" w:rsidRPr="00C06B3A">
        <w:rPr>
          <w:rFonts w:ascii="Times New Roman" w:hAnsi="Times New Roman"/>
        </w:rPr>
        <w:t> </w:t>
      </w:r>
      <w:r w:rsidR="00E10714" w:rsidRPr="00C06B3A">
        <w:rPr>
          <w:rFonts w:ascii="Times New Roman" w:hAnsi="Times New Roman"/>
        </w:rPr>
        <w:t>Act</w:t>
      </w:r>
      <w:r w:rsidRPr="00C06B3A">
        <w:rPr>
          <w:rFonts w:ascii="Times New Roman" w:hAnsi="Times New Roman"/>
        </w:rPr>
        <w:t xml:space="preserve"> provides for appeals</w:t>
      </w:r>
      <w:r w:rsidR="00A8651E" w:rsidRPr="00C06B3A">
        <w:rPr>
          <w:rFonts w:ascii="Times New Roman" w:hAnsi="Times New Roman"/>
        </w:rPr>
        <w:t xml:space="preserve"> against </w:t>
      </w:r>
      <w:r w:rsidR="007C7037" w:rsidRPr="00C06B3A">
        <w:rPr>
          <w:rFonts w:ascii="Times New Roman" w:hAnsi="Times New Roman"/>
        </w:rPr>
        <w:t xml:space="preserve">decisions made under the Act, including </w:t>
      </w:r>
      <w:r w:rsidR="00A8651E" w:rsidRPr="00C06B3A">
        <w:rPr>
          <w:rFonts w:ascii="Times New Roman" w:hAnsi="Times New Roman"/>
        </w:rPr>
        <w:t xml:space="preserve">the making of a </w:t>
      </w:r>
      <w:r w:rsidR="007859A5" w:rsidRPr="00C06B3A">
        <w:rPr>
          <w:rFonts w:ascii="Times New Roman" w:hAnsi="Times New Roman"/>
        </w:rPr>
        <w:t xml:space="preserve">restriction </w:t>
      </w:r>
      <w:r w:rsidR="00A8651E" w:rsidRPr="00C06B3A">
        <w:rPr>
          <w:rFonts w:ascii="Times New Roman" w:hAnsi="Times New Roman"/>
        </w:rPr>
        <w:t>order</w:t>
      </w:r>
      <w:r w:rsidRPr="00C06B3A">
        <w:rPr>
          <w:rFonts w:ascii="Times New Roman" w:hAnsi="Times New Roman"/>
        </w:rPr>
        <w:t>.</w:t>
      </w:r>
      <w:r w:rsidR="00AB0873" w:rsidRPr="00C06B3A">
        <w:rPr>
          <w:rFonts w:ascii="Times New Roman" w:hAnsi="Times New Roman"/>
        </w:rPr>
        <w:t xml:space="preserve"> Either the State or </w:t>
      </w:r>
      <w:r w:rsidR="00E64822" w:rsidRPr="00C06B3A">
        <w:rPr>
          <w:rFonts w:ascii="Times New Roman" w:hAnsi="Times New Roman"/>
        </w:rPr>
        <w:t xml:space="preserve">a </w:t>
      </w:r>
      <w:r w:rsidR="00AB0873" w:rsidRPr="00C06B3A">
        <w:rPr>
          <w:rFonts w:ascii="Times New Roman" w:hAnsi="Times New Roman"/>
        </w:rPr>
        <w:t xml:space="preserve">person in relation to whom the </w:t>
      </w:r>
      <w:r w:rsidR="000A28D6" w:rsidRPr="00C06B3A">
        <w:rPr>
          <w:rFonts w:ascii="Times New Roman" w:hAnsi="Times New Roman"/>
        </w:rPr>
        <w:t>C</w:t>
      </w:r>
      <w:r w:rsidR="00AB0873" w:rsidRPr="00C06B3A">
        <w:rPr>
          <w:rFonts w:ascii="Times New Roman" w:hAnsi="Times New Roman"/>
        </w:rPr>
        <w:t xml:space="preserve">ourt </w:t>
      </w:r>
      <w:proofErr w:type="gramStart"/>
      <w:r w:rsidR="00AB0873" w:rsidRPr="00C06B3A">
        <w:rPr>
          <w:rFonts w:ascii="Times New Roman" w:hAnsi="Times New Roman"/>
        </w:rPr>
        <w:t xml:space="preserve">makes a </w:t>
      </w:r>
      <w:r w:rsidR="00EA36DE" w:rsidRPr="00C06B3A">
        <w:rPr>
          <w:rFonts w:ascii="Times New Roman" w:hAnsi="Times New Roman"/>
        </w:rPr>
        <w:t>decision</w:t>
      </w:r>
      <w:proofErr w:type="gramEnd"/>
      <w:r w:rsidR="00AB0873" w:rsidRPr="00C06B3A">
        <w:rPr>
          <w:rFonts w:ascii="Times New Roman" w:hAnsi="Times New Roman"/>
        </w:rPr>
        <w:t xml:space="preserve"> under the HRSO Act</w:t>
      </w:r>
      <w:r w:rsidR="00EA36DE" w:rsidRPr="00C06B3A">
        <w:rPr>
          <w:rFonts w:ascii="Times New Roman" w:hAnsi="Times New Roman"/>
        </w:rPr>
        <w:t xml:space="preserve"> may appeal to the Court of Appeal against the decision. However, an appeal does not lie against, inter alia, a decision on an order made at a preliminary hearing</w:t>
      </w:r>
      <w:r w:rsidR="00EA36DE" w:rsidRPr="00C06B3A">
        <w:rPr>
          <w:rStyle w:val="FootnoteReference"/>
          <w:rFonts w:ascii="Times New Roman" w:hAnsi="Times New Roman"/>
          <w:sz w:val="24"/>
        </w:rPr>
        <w:footnoteReference w:id="41"/>
      </w:r>
      <w:r w:rsidR="00EA36DE" w:rsidRPr="00C06B3A">
        <w:rPr>
          <w:rFonts w:ascii="Times New Roman" w:hAnsi="Times New Roman"/>
        </w:rPr>
        <w:t>.</w:t>
      </w:r>
    </w:p>
    <w:p w14:paraId="0A3A9C15" w14:textId="48AC838A" w:rsidR="00443311" w:rsidRPr="00C06B3A" w:rsidRDefault="00443311" w:rsidP="00C06B3A">
      <w:pPr>
        <w:pStyle w:val="HeadingL1"/>
        <w:spacing w:after="260" w:line="280" w:lineRule="exact"/>
        <w:ind w:right="0"/>
        <w:jc w:val="both"/>
        <w:rPr>
          <w:rFonts w:ascii="Times New Roman" w:hAnsi="Times New Roman"/>
        </w:rPr>
      </w:pPr>
      <w:r w:rsidRPr="00C06B3A">
        <w:rPr>
          <w:rFonts w:ascii="Times New Roman" w:hAnsi="Times New Roman"/>
        </w:rPr>
        <w:t>The primary judge</w:t>
      </w:r>
      <w:r w:rsidR="00B96196" w:rsidRPr="00C06B3A">
        <w:rPr>
          <w:rFonts w:ascii="Times New Roman" w:hAnsi="Times New Roman"/>
        </w:rPr>
        <w:t>'s reasons</w:t>
      </w:r>
    </w:p>
    <w:p w14:paraId="07271C07" w14:textId="13729C9F" w:rsidR="003C4BE0" w:rsidRPr="00C06B3A" w:rsidRDefault="00443311" w:rsidP="00C06B3A">
      <w:pPr>
        <w:pStyle w:val="FixListStyle"/>
        <w:spacing w:after="260" w:line="280" w:lineRule="exact"/>
        <w:ind w:right="0"/>
        <w:jc w:val="both"/>
        <w:rPr>
          <w:rFonts w:ascii="Times New Roman" w:hAnsi="Times New Roman"/>
        </w:rPr>
      </w:pPr>
      <w:r w:rsidRPr="00C06B3A">
        <w:rPr>
          <w:rFonts w:ascii="Times New Roman" w:hAnsi="Times New Roman"/>
        </w:rPr>
        <w:tab/>
        <w:t>The primary judge concluded</w:t>
      </w:r>
      <w:r w:rsidR="000A28D6" w:rsidRPr="00C06B3A">
        <w:rPr>
          <w:rFonts w:ascii="Times New Roman" w:hAnsi="Times New Roman"/>
        </w:rPr>
        <w:t xml:space="preserve">, by reference to </w:t>
      </w:r>
      <w:proofErr w:type="spellStart"/>
      <w:r w:rsidR="000A28D6" w:rsidRPr="00C06B3A">
        <w:rPr>
          <w:rFonts w:ascii="Times New Roman" w:hAnsi="Times New Roman"/>
          <w:i/>
        </w:rPr>
        <w:t>Fardon</w:t>
      </w:r>
      <w:proofErr w:type="spellEnd"/>
      <w:r w:rsidR="000A28D6" w:rsidRPr="00C06B3A">
        <w:rPr>
          <w:rFonts w:ascii="Times New Roman" w:hAnsi="Times New Roman"/>
        </w:rPr>
        <w:t>,</w:t>
      </w:r>
      <w:r w:rsidRPr="00C06B3A">
        <w:rPr>
          <w:rFonts w:ascii="Times New Roman" w:hAnsi="Times New Roman"/>
        </w:rPr>
        <w:t xml:space="preserve"> that the legislature had no</w:t>
      </w:r>
      <w:r w:rsidR="001B191A" w:rsidRPr="00C06B3A">
        <w:rPr>
          <w:rFonts w:ascii="Times New Roman" w:hAnsi="Times New Roman"/>
        </w:rPr>
        <w:t>t</w:t>
      </w:r>
      <w:r w:rsidRPr="00C06B3A">
        <w:rPr>
          <w:rFonts w:ascii="Times New Roman" w:hAnsi="Times New Roman"/>
        </w:rPr>
        <w:t xml:space="preserve"> compromised the independence or impartiality of the </w:t>
      </w:r>
      <w:r w:rsidR="00AA3CB7" w:rsidRPr="00C06B3A">
        <w:rPr>
          <w:rFonts w:ascii="Times New Roman" w:hAnsi="Times New Roman"/>
        </w:rPr>
        <w:t>C</w:t>
      </w:r>
      <w:r w:rsidRPr="00C06B3A">
        <w:rPr>
          <w:rFonts w:ascii="Times New Roman" w:hAnsi="Times New Roman"/>
        </w:rPr>
        <w:t xml:space="preserve">ourt by </w:t>
      </w:r>
      <w:r w:rsidR="00E706AB" w:rsidRPr="00C06B3A">
        <w:rPr>
          <w:rFonts w:ascii="Times New Roman" w:hAnsi="Times New Roman"/>
        </w:rPr>
        <w:t xml:space="preserve">conditioning the making of a restriction order </w:t>
      </w:r>
      <w:r w:rsidR="00F555EF" w:rsidRPr="00C06B3A">
        <w:rPr>
          <w:rFonts w:ascii="Times New Roman" w:hAnsi="Times New Roman"/>
        </w:rPr>
        <w:t xml:space="preserve">under the HRSO Act </w:t>
      </w:r>
      <w:r w:rsidR="00E706AB" w:rsidRPr="00C06B3A">
        <w:rPr>
          <w:rFonts w:ascii="Times New Roman" w:hAnsi="Times New Roman"/>
        </w:rPr>
        <w:t xml:space="preserve">upon the commission of a </w:t>
      </w:r>
      <w:r w:rsidRPr="00C06B3A">
        <w:rPr>
          <w:rFonts w:ascii="Times New Roman" w:hAnsi="Times New Roman"/>
        </w:rPr>
        <w:t>"serious offence"</w:t>
      </w:r>
      <w:r w:rsidR="00FF5A6F" w:rsidRPr="00C06B3A">
        <w:rPr>
          <w:rFonts w:ascii="Times New Roman" w:hAnsi="Times New Roman"/>
        </w:rPr>
        <w:t xml:space="preserve"> of the kind identified in Sch 1</w:t>
      </w:r>
      <w:r w:rsidRPr="00C06B3A">
        <w:rPr>
          <w:rStyle w:val="FootnoteReference"/>
          <w:rFonts w:ascii="Times New Roman" w:hAnsi="Times New Roman"/>
          <w:sz w:val="24"/>
        </w:rPr>
        <w:footnoteReference w:id="42"/>
      </w:r>
      <w:r w:rsidRPr="00C06B3A">
        <w:rPr>
          <w:rFonts w:ascii="Times New Roman" w:hAnsi="Times New Roman"/>
        </w:rPr>
        <w:t>.</w:t>
      </w:r>
      <w:r w:rsidR="00B9688C" w:rsidRPr="00C06B3A">
        <w:rPr>
          <w:rFonts w:ascii="Times New Roman" w:hAnsi="Times New Roman"/>
        </w:rPr>
        <w:t xml:space="preserve"> </w:t>
      </w:r>
    </w:p>
    <w:p w14:paraId="1A906F73" w14:textId="1F15F5AD" w:rsidR="00443311" w:rsidRPr="00C06B3A" w:rsidRDefault="003C4BE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3E02B3" w:rsidRPr="00C06B3A">
        <w:rPr>
          <w:rFonts w:ascii="Times New Roman" w:hAnsi="Times New Roman"/>
        </w:rPr>
        <w:t>H</w:t>
      </w:r>
      <w:r w:rsidR="00443311" w:rsidRPr="00C06B3A">
        <w:rPr>
          <w:rFonts w:ascii="Times New Roman" w:hAnsi="Times New Roman"/>
        </w:rPr>
        <w:t>is</w:t>
      </w:r>
      <w:r w:rsidR="00F555EF" w:rsidRPr="00C06B3A">
        <w:rPr>
          <w:rFonts w:ascii="Times New Roman" w:hAnsi="Times New Roman"/>
        </w:rPr>
        <w:t> </w:t>
      </w:r>
      <w:r w:rsidR="00443311" w:rsidRPr="00C06B3A">
        <w:rPr>
          <w:rFonts w:ascii="Times New Roman" w:hAnsi="Times New Roman"/>
        </w:rPr>
        <w:t xml:space="preserve">Honour made three points about the operation of s 7(3). First, the matters for the </w:t>
      </w:r>
      <w:r w:rsidR="006525AB" w:rsidRPr="00C06B3A">
        <w:rPr>
          <w:rFonts w:ascii="Times New Roman" w:hAnsi="Times New Roman"/>
        </w:rPr>
        <w:t>C</w:t>
      </w:r>
      <w:r w:rsidR="00443311" w:rsidRPr="00C06B3A">
        <w:rPr>
          <w:rFonts w:ascii="Times New Roman" w:hAnsi="Times New Roman"/>
        </w:rPr>
        <w:t xml:space="preserve">ourt's consideration </w:t>
      </w:r>
      <w:r w:rsidR="000943CA" w:rsidRPr="00C06B3A">
        <w:rPr>
          <w:rFonts w:ascii="Times New Roman" w:hAnsi="Times New Roman"/>
        </w:rPr>
        <w:t xml:space="preserve">were </w:t>
      </w:r>
      <w:r w:rsidR="00AA3CB7" w:rsidRPr="00C06B3A">
        <w:rPr>
          <w:rFonts w:ascii="Times New Roman" w:hAnsi="Times New Roman"/>
        </w:rPr>
        <w:t xml:space="preserve">specified by </w:t>
      </w:r>
      <w:proofErr w:type="gramStart"/>
      <w:r w:rsidR="00AA3CB7" w:rsidRPr="00C06B3A">
        <w:rPr>
          <w:rFonts w:ascii="Times New Roman" w:hAnsi="Times New Roman"/>
        </w:rPr>
        <w:t>Parliament, and</w:t>
      </w:r>
      <w:proofErr w:type="gramEnd"/>
      <w:r w:rsidR="00AA3CB7" w:rsidRPr="00C06B3A">
        <w:rPr>
          <w:rFonts w:ascii="Times New Roman" w:hAnsi="Times New Roman"/>
        </w:rPr>
        <w:t xml:space="preserve"> were </w:t>
      </w:r>
      <w:r w:rsidR="000943CA" w:rsidRPr="00C06B3A">
        <w:rPr>
          <w:rFonts w:ascii="Times New Roman" w:hAnsi="Times New Roman"/>
        </w:rPr>
        <w:t>not specified "</w:t>
      </w:r>
      <w:r w:rsidR="00443311" w:rsidRPr="00C06B3A">
        <w:rPr>
          <w:rFonts w:ascii="Times New Roman" w:hAnsi="Times New Roman"/>
        </w:rPr>
        <w:t>by an executive act in any relevant sense"</w:t>
      </w:r>
      <w:r w:rsidR="00443311" w:rsidRPr="00C06B3A">
        <w:rPr>
          <w:rStyle w:val="FootnoteReference"/>
          <w:rFonts w:ascii="Times New Roman" w:hAnsi="Times New Roman"/>
          <w:sz w:val="24"/>
        </w:rPr>
        <w:footnoteReference w:id="43"/>
      </w:r>
      <w:r w:rsidR="00443311" w:rsidRPr="00C06B3A">
        <w:rPr>
          <w:rFonts w:ascii="Times New Roman" w:hAnsi="Times New Roman"/>
        </w:rPr>
        <w:t xml:space="preserve">. Secondly, what is a "relevant matter" that </w:t>
      </w:r>
      <w:r w:rsidR="006525AB" w:rsidRPr="00C06B3A">
        <w:rPr>
          <w:rFonts w:ascii="Times New Roman" w:hAnsi="Times New Roman"/>
        </w:rPr>
        <w:t>the C</w:t>
      </w:r>
      <w:r w:rsidR="00443311" w:rsidRPr="00C06B3A">
        <w:rPr>
          <w:rFonts w:ascii="Times New Roman" w:hAnsi="Times New Roman"/>
        </w:rPr>
        <w:t xml:space="preserve">ourt is permitted to </w:t>
      </w:r>
      <w:proofErr w:type="gramStart"/>
      <w:r w:rsidR="00443311" w:rsidRPr="00C06B3A">
        <w:rPr>
          <w:rFonts w:ascii="Times New Roman" w:hAnsi="Times New Roman"/>
        </w:rPr>
        <w:t>take into account</w:t>
      </w:r>
      <w:proofErr w:type="gramEnd"/>
      <w:r w:rsidR="00443311" w:rsidRPr="00C06B3A">
        <w:rPr>
          <w:rFonts w:ascii="Times New Roman" w:hAnsi="Times New Roman"/>
        </w:rPr>
        <w:t xml:space="preserve"> by virtue of s 7(3)(j) </w:t>
      </w:r>
      <w:r w:rsidR="000943CA" w:rsidRPr="00C06B3A">
        <w:rPr>
          <w:rFonts w:ascii="Times New Roman" w:hAnsi="Times New Roman"/>
        </w:rPr>
        <w:t>is</w:t>
      </w:r>
      <w:r w:rsidR="00443311" w:rsidRPr="00C06B3A">
        <w:rPr>
          <w:rFonts w:ascii="Times New Roman" w:hAnsi="Times New Roman"/>
        </w:rPr>
        <w:t xml:space="preserve"> determined by the objects of the HRSO</w:t>
      </w:r>
      <w:r w:rsidR="006525AB" w:rsidRPr="00C06B3A">
        <w:rPr>
          <w:rFonts w:ascii="Times New Roman" w:hAnsi="Times New Roman"/>
        </w:rPr>
        <w:t> </w:t>
      </w:r>
      <w:r w:rsidR="00443311" w:rsidRPr="00C06B3A">
        <w:rPr>
          <w:rFonts w:ascii="Times New Roman" w:hAnsi="Times New Roman"/>
        </w:rPr>
        <w:t>Act and a consideration of its provisions as a whole</w:t>
      </w:r>
      <w:r w:rsidR="00443311" w:rsidRPr="00C06B3A">
        <w:rPr>
          <w:rStyle w:val="FootnoteReference"/>
          <w:rFonts w:ascii="Times New Roman" w:hAnsi="Times New Roman"/>
          <w:sz w:val="24"/>
        </w:rPr>
        <w:footnoteReference w:id="44"/>
      </w:r>
      <w:r w:rsidR="00443311" w:rsidRPr="00C06B3A">
        <w:rPr>
          <w:rFonts w:ascii="Times New Roman" w:hAnsi="Times New Roman"/>
        </w:rPr>
        <w:t xml:space="preserve">. And thirdly, s 7(3) </w:t>
      </w:r>
      <w:r w:rsidR="00E4065A" w:rsidRPr="00C06B3A">
        <w:rPr>
          <w:rFonts w:ascii="Times New Roman" w:hAnsi="Times New Roman"/>
        </w:rPr>
        <w:t xml:space="preserve">emphasised </w:t>
      </w:r>
      <w:r w:rsidR="00443311" w:rsidRPr="00C06B3A">
        <w:rPr>
          <w:rFonts w:ascii="Times New Roman" w:hAnsi="Times New Roman"/>
        </w:rPr>
        <w:t xml:space="preserve">the evaluative nature of </w:t>
      </w:r>
      <w:r w:rsidR="00443311" w:rsidRPr="00C06B3A">
        <w:rPr>
          <w:rFonts w:ascii="Times New Roman" w:hAnsi="Times New Roman"/>
        </w:rPr>
        <w:lastRenderedPageBreak/>
        <w:t>the decision required by s 7(1)</w:t>
      </w:r>
      <w:r w:rsidR="005637BA" w:rsidRPr="00C06B3A">
        <w:rPr>
          <w:rFonts w:ascii="Times New Roman" w:hAnsi="Times New Roman"/>
        </w:rPr>
        <w:t>:</w:t>
      </w:r>
      <w:r w:rsidR="00443311" w:rsidRPr="00C06B3A">
        <w:rPr>
          <w:rFonts w:ascii="Times New Roman" w:hAnsi="Times New Roman"/>
        </w:rPr>
        <w:t xml:space="preserve"> </w:t>
      </w:r>
      <w:r w:rsidR="005637BA" w:rsidRPr="00C06B3A">
        <w:rPr>
          <w:rFonts w:ascii="Times New Roman" w:hAnsi="Times New Roman"/>
        </w:rPr>
        <w:t>i</w:t>
      </w:r>
      <w:r w:rsidR="00443311" w:rsidRPr="00C06B3A">
        <w:rPr>
          <w:rFonts w:ascii="Times New Roman" w:hAnsi="Times New Roman"/>
        </w:rPr>
        <w:t xml:space="preserve">t </w:t>
      </w:r>
      <w:r w:rsidR="00300F54" w:rsidRPr="00C06B3A">
        <w:rPr>
          <w:rFonts w:ascii="Times New Roman" w:hAnsi="Times New Roman"/>
        </w:rPr>
        <w:t>d</w:t>
      </w:r>
      <w:r w:rsidR="00E4065A" w:rsidRPr="00C06B3A">
        <w:rPr>
          <w:rFonts w:ascii="Times New Roman" w:hAnsi="Times New Roman"/>
        </w:rPr>
        <w:t>oes</w:t>
      </w:r>
      <w:r w:rsidR="00300F54" w:rsidRPr="00C06B3A">
        <w:rPr>
          <w:rFonts w:ascii="Times New Roman" w:hAnsi="Times New Roman"/>
        </w:rPr>
        <w:t xml:space="preserve"> not</w:t>
      </w:r>
      <w:r w:rsidR="00FC1049" w:rsidRPr="00C06B3A">
        <w:rPr>
          <w:rFonts w:ascii="Times New Roman" w:hAnsi="Times New Roman"/>
        </w:rPr>
        <w:t xml:space="preserve"> </w:t>
      </w:r>
      <w:r w:rsidR="00072152" w:rsidRPr="00C06B3A">
        <w:rPr>
          <w:rFonts w:ascii="Times New Roman" w:hAnsi="Times New Roman"/>
        </w:rPr>
        <w:t xml:space="preserve">constrain </w:t>
      </w:r>
      <w:r w:rsidR="00443311" w:rsidRPr="00C06B3A">
        <w:rPr>
          <w:rFonts w:ascii="Times New Roman" w:hAnsi="Times New Roman"/>
        </w:rPr>
        <w:t xml:space="preserve">the matters which the </w:t>
      </w:r>
      <w:r w:rsidR="003B06CB" w:rsidRPr="00C06B3A">
        <w:rPr>
          <w:rFonts w:ascii="Times New Roman" w:hAnsi="Times New Roman"/>
        </w:rPr>
        <w:t>C</w:t>
      </w:r>
      <w:r w:rsidR="00443311" w:rsidRPr="00C06B3A">
        <w:rPr>
          <w:rFonts w:ascii="Times New Roman" w:hAnsi="Times New Roman"/>
        </w:rPr>
        <w:t>ourt may consider in making a finding under s 7(1)</w:t>
      </w:r>
      <w:r w:rsidR="00443311" w:rsidRPr="00C06B3A">
        <w:rPr>
          <w:rStyle w:val="FootnoteReference"/>
          <w:rFonts w:ascii="Times New Roman" w:hAnsi="Times New Roman"/>
          <w:sz w:val="24"/>
        </w:rPr>
        <w:footnoteReference w:id="45"/>
      </w:r>
      <w:r w:rsidR="00443311" w:rsidRPr="00C06B3A">
        <w:rPr>
          <w:rFonts w:ascii="Times New Roman" w:hAnsi="Times New Roman"/>
        </w:rPr>
        <w:t>.</w:t>
      </w:r>
    </w:p>
    <w:p w14:paraId="32105C8E" w14:textId="3FCA22C0" w:rsidR="00443311" w:rsidRPr="00C06B3A" w:rsidRDefault="00443311" w:rsidP="00C06B3A">
      <w:pPr>
        <w:pStyle w:val="FixListStyle"/>
        <w:spacing w:after="260" w:line="280" w:lineRule="exact"/>
        <w:ind w:right="0"/>
        <w:jc w:val="both"/>
        <w:rPr>
          <w:rFonts w:ascii="Times New Roman" w:hAnsi="Times New Roman"/>
        </w:rPr>
      </w:pPr>
      <w:r w:rsidRPr="00C06B3A">
        <w:rPr>
          <w:rFonts w:ascii="Times New Roman" w:hAnsi="Times New Roman"/>
        </w:rPr>
        <w:tab/>
        <w:t>The primary judge held that s 48 of the HRSO</w:t>
      </w:r>
      <w:r w:rsidR="003B06CB" w:rsidRPr="00C06B3A">
        <w:rPr>
          <w:rFonts w:ascii="Times New Roman" w:hAnsi="Times New Roman"/>
        </w:rPr>
        <w:t> </w:t>
      </w:r>
      <w:r w:rsidRPr="00C06B3A">
        <w:rPr>
          <w:rFonts w:ascii="Times New Roman" w:hAnsi="Times New Roman"/>
        </w:rPr>
        <w:t xml:space="preserve">Act was to be interpreted as requiring the </w:t>
      </w:r>
      <w:r w:rsidR="003B06CB" w:rsidRPr="00C06B3A">
        <w:rPr>
          <w:rFonts w:ascii="Times New Roman" w:hAnsi="Times New Roman"/>
        </w:rPr>
        <w:t>C</w:t>
      </w:r>
      <w:r w:rsidRPr="00C06B3A">
        <w:rPr>
          <w:rFonts w:ascii="Times New Roman" w:hAnsi="Times New Roman"/>
        </w:rPr>
        <w:t>ourt to make the order that is "least invasive or destructive" of the right to liberty of the person subject to the order, while ensuring an adequate degree of protection for the community</w:t>
      </w:r>
      <w:r w:rsidRPr="00C06B3A">
        <w:rPr>
          <w:rStyle w:val="FootnoteReference"/>
          <w:rFonts w:ascii="Times New Roman" w:hAnsi="Times New Roman"/>
          <w:sz w:val="24"/>
        </w:rPr>
        <w:footnoteReference w:id="46"/>
      </w:r>
      <w:r w:rsidRPr="00C06B3A">
        <w:rPr>
          <w:rFonts w:ascii="Times New Roman" w:hAnsi="Times New Roman"/>
        </w:rPr>
        <w:t xml:space="preserve">. </w:t>
      </w:r>
      <w:r w:rsidR="00B9688C" w:rsidRPr="00C06B3A">
        <w:rPr>
          <w:rFonts w:ascii="Times New Roman" w:hAnsi="Times New Roman"/>
        </w:rPr>
        <w:t>In this regard, h</w:t>
      </w:r>
      <w:r w:rsidR="00567A24" w:rsidRPr="00C06B3A">
        <w:rPr>
          <w:rFonts w:ascii="Times New Roman" w:hAnsi="Times New Roman"/>
        </w:rPr>
        <w:t>is</w:t>
      </w:r>
      <w:r w:rsidR="003B06CB" w:rsidRPr="00C06B3A">
        <w:rPr>
          <w:rFonts w:ascii="Times New Roman" w:hAnsi="Times New Roman"/>
        </w:rPr>
        <w:t> </w:t>
      </w:r>
      <w:r w:rsidR="00567A24" w:rsidRPr="00C06B3A">
        <w:rPr>
          <w:rFonts w:ascii="Times New Roman" w:hAnsi="Times New Roman"/>
        </w:rPr>
        <w:t>Honour</w:t>
      </w:r>
      <w:r w:rsidRPr="00C06B3A">
        <w:rPr>
          <w:rFonts w:ascii="Times New Roman" w:hAnsi="Times New Roman"/>
        </w:rPr>
        <w:t xml:space="preserve"> </w:t>
      </w:r>
      <w:r w:rsidR="00002E16" w:rsidRPr="00C06B3A">
        <w:rPr>
          <w:rFonts w:ascii="Times New Roman" w:hAnsi="Times New Roman"/>
        </w:rPr>
        <w:t>followed the approach</w:t>
      </w:r>
      <w:r w:rsidR="007B4CA9" w:rsidRPr="00C06B3A">
        <w:rPr>
          <w:rFonts w:ascii="Times New Roman" w:hAnsi="Times New Roman"/>
        </w:rPr>
        <w:t xml:space="preserve"> of</w:t>
      </w:r>
      <w:r w:rsidRPr="00C06B3A">
        <w:rPr>
          <w:rFonts w:ascii="Times New Roman" w:hAnsi="Times New Roman"/>
        </w:rPr>
        <w:t xml:space="preserve"> Beech J in </w:t>
      </w:r>
      <w:r w:rsidRPr="00C06B3A">
        <w:rPr>
          <w:rFonts w:ascii="Times New Roman" w:hAnsi="Times New Roman"/>
          <w:i/>
        </w:rPr>
        <w:t>Director of Public Prosecutions (WA) v DAL [No</w:t>
      </w:r>
      <w:r w:rsidR="003B06CB" w:rsidRPr="00C06B3A">
        <w:rPr>
          <w:rFonts w:ascii="Times New Roman" w:hAnsi="Times New Roman"/>
          <w:i/>
        </w:rPr>
        <w:t> </w:t>
      </w:r>
      <w:r w:rsidRPr="00C06B3A">
        <w:rPr>
          <w:rFonts w:ascii="Times New Roman" w:hAnsi="Times New Roman"/>
          <w:i/>
        </w:rPr>
        <w:t>2]</w:t>
      </w:r>
      <w:r w:rsidR="00706613" w:rsidRPr="00C06B3A">
        <w:rPr>
          <w:rStyle w:val="FootnoteReference"/>
          <w:rFonts w:ascii="Times New Roman" w:hAnsi="Times New Roman"/>
          <w:sz w:val="24"/>
        </w:rPr>
        <w:footnoteReference w:id="47"/>
      </w:r>
      <w:r w:rsidRPr="00C06B3A">
        <w:rPr>
          <w:rFonts w:ascii="Times New Roman" w:hAnsi="Times New Roman"/>
          <w:i/>
        </w:rPr>
        <w:t xml:space="preserve"> </w:t>
      </w:r>
      <w:r w:rsidR="007B4CA9" w:rsidRPr="00C06B3A">
        <w:rPr>
          <w:rFonts w:ascii="Times New Roman" w:hAnsi="Times New Roman"/>
        </w:rPr>
        <w:t>in determining</w:t>
      </w:r>
      <w:r w:rsidRPr="00C06B3A">
        <w:rPr>
          <w:rFonts w:ascii="Times New Roman" w:hAnsi="Times New Roman"/>
        </w:rPr>
        <w:t xml:space="preserve"> whether a continuing detention order or supervision order should be made under s 48</w:t>
      </w:r>
      <w:r w:rsidR="00C96E28" w:rsidRPr="00C06B3A">
        <w:rPr>
          <w:rStyle w:val="FootnoteReference"/>
          <w:rFonts w:ascii="Times New Roman" w:hAnsi="Times New Roman"/>
          <w:sz w:val="24"/>
        </w:rPr>
        <w:footnoteReference w:id="48"/>
      </w:r>
      <w:r w:rsidRPr="00C06B3A">
        <w:rPr>
          <w:rFonts w:ascii="Times New Roman" w:hAnsi="Times New Roman"/>
        </w:rPr>
        <w:t>.</w:t>
      </w:r>
    </w:p>
    <w:p w14:paraId="38BB7BE4" w14:textId="4F250774" w:rsidR="00443311" w:rsidRPr="00C06B3A" w:rsidRDefault="00443311"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567A24" w:rsidRPr="00C06B3A">
        <w:rPr>
          <w:rFonts w:ascii="Times New Roman" w:hAnsi="Times New Roman"/>
        </w:rPr>
        <w:t>The primary judge</w:t>
      </w:r>
      <w:r w:rsidRPr="00C06B3A">
        <w:rPr>
          <w:rFonts w:ascii="Times New Roman" w:hAnsi="Times New Roman"/>
        </w:rPr>
        <w:t xml:space="preserve"> </w:t>
      </w:r>
      <w:r w:rsidR="00040CDD" w:rsidRPr="00C06B3A">
        <w:rPr>
          <w:rFonts w:ascii="Times New Roman" w:hAnsi="Times New Roman"/>
        </w:rPr>
        <w:t xml:space="preserve">held </w:t>
      </w:r>
      <w:r w:rsidRPr="00C06B3A">
        <w:rPr>
          <w:rFonts w:ascii="Times New Roman" w:hAnsi="Times New Roman"/>
        </w:rPr>
        <w:t>that the HRSO</w:t>
      </w:r>
      <w:r w:rsidR="00F63E6E" w:rsidRPr="00C06B3A">
        <w:rPr>
          <w:rFonts w:ascii="Times New Roman" w:hAnsi="Times New Roman"/>
        </w:rPr>
        <w:t> </w:t>
      </w:r>
      <w:r w:rsidRPr="00C06B3A">
        <w:rPr>
          <w:rFonts w:ascii="Times New Roman" w:hAnsi="Times New Roman"/>
        </w:rPr>
        <w:t>Act incorporated procedures that are the "hallmarks of traditional forms and procedures" of the judicial process: the onus of proof rests on the State; the "ordinary" rules of evidence apply (with one common exception relating to statements of information and belief</w:t>
      </w:r>
      <w:r w:rsidRPr="00C06B3A">
        <w:rPr>
          <w:rStyle w:val="FootnoteReference"/>
          <w:rFonts w:ascii="Times New Roman" w:hAnsi="Times New Roman"/>
          <w:sz w:val="24"/>
        </w:rPr>
        <w:footnoteReference w:id="49"/>
      </w:r>
      <w:r w:rsidRPr="00C06B3A">
        <w:rPr>
          <w:rFonts w:ascii="Times New Roman" w:hAnsi="Times New Roman"/>
        </w:rPr>
        <w:t>)</w:t>
      </w:r>
      <w:r w:rsidR="005A07C8" w:rsidRPr="00C06B3A">
        <w:rPr>
          <w:rFonts w:ascii="Times New Roman" w:hAnsi="Times New Roman"/>
        </w:rPr>
        <w:t>;</w:t>
      </w:r>
      <w:r w:rsidRPr="00C06B3A">
        <w:rPr>
          <w:rFonts w:ascii="Times New Roman" w:hAnsi="Times New Roman"/>
        </w:rPr>
        <w:t xml:space="preserve"> the offender has a right to appear and adduce evidence</w:t>
      </w:r>
      <w:r w:rsidRPr="00C06B3A">
        <w:rPr>
          <w:rStyle w:val="FootnoteReference"/>
          <w:rFonts w:ascii="Times New Roman" w:hAnsi="Times New Roman"/>
          <w:sz w:val="24"/>
        </w:rPr>
        <w:footnoteReference w:id="50"/>
      </w:r>
      <w:r w:rsidR="005A07C8" w:rsidRPr="00C06B3A">
        <w:rPr>
          <w:rFonts w:ascii="Times New Roman" w:hAnsi="Times New Roman"/>
        </w:rPr>
        <w:t>;</w:t>
      </w:r>
      <w:r w:rsidRPr="00C06B3A">
        <w:rPr>
          <w:rFonts w:ascii="Times New Roman" w:hAnsi="Times New Roman"/>
        </w:rPr>
        <w:t xml:space="preserve"> experts must prepare an "independent report"</w:t>
      </w:r>
      <w:r w:rsidRPr="00C06B3A">
        <w:rPr>
          <w:rStyle w:val="FootnoteReference"/>
          <w:rFonts w:ascii="Times New Roman" w:hAnsi="Times New Roman"/>
          <w:sz w:val="24"/>
        </w:rPr>
        <w:footnoteReference w:id="51"/>
      </w:r>
      <w:r w:rsidR="005A07C8" w:rsidRPr="00C06B3A">
        <w:rPr>
          <w:rFonts w:ascii="Times New Roman" w:hAnsi="Times New Roman"/>
        </w:rPr>
        <w:t>;</w:t>
      </w:r>
      <w:r w:rsidRPr="00C06B3A">
        <w:rPr>
          <w:rFonts w:ascii="Times New Roman" w:hAnsi="Times New Roman"/>
        </w:rPr>
        <w:t xml:space="preserve"> the State is under a</w:t>
      </w:r>
      <w:r w:rsidR="00B33AF6" w:rsidRPr="00C06B3A">
        <w:rPr>
          <w:rFonts w:ascii="Times New Roman" w:hAnsi="Times New Roman"/>
        </w:rPr>
        <w:t xml:space="preserve"> continuing </w:t>
      </w:r>
      <w:r w:rsidRPr="00C06B3A">
        <w:rPr>
          <w:rFonts w:ascii="Times New Roman" w:hAnsi="Times New Roman"/>
        </w:rPr>
        <w:t>obligation of disclosure and must serve expert reports</w:t>
      </w:r>
      <w:r w:rsidR="005A07C8" w:rsidRPr="00C06B3A">
        <w:rPr>
          <w:rFonts w:ascii="Times New Roman" w:hAnsi="Times New Roman"/>
        </w:rPr>
        <w:t>;</w:t>
      </w:r>
      <w:r w:rsidRPr="00C06B3A">
        <w:rPr>
          <w:rFonts w:ascii="Times New Roman" w:hAnsi="Times New Roman"/>
        </w:rPr>
        <w:t xml:space="preserve"> hearings are conducted in public</w:t>
      </w:r>
      <w:r w:rsidR="005A07C8" w:rsidRPr="00C06B3A">
        <w:rPr>
          <w:rFonts w:ascii="Times New Roman" w:hAnsi="Times New Roman"/>
        </w:rPr>
        <w:t>;</w:t>
      </w:r>
      <w:r w:rsidRPr="00C06B3A">
        <w:rPr>
          <w:rFonts w:ascii="Times New Roman" w:hAnsi="Times New Roman"/>
        </w:rPr>
        <w:t xml:space="preserve"> and there is a right of appeal</w:t>
      </w:r>
      <w:r w:rsidRPr="00C06B3A">
        <w:rPr>
          <w:rStyle w:val="FootnoteReference"/>
          <w:rFonts w:ascii="Times New Roman" w:hAnsi="Times New Roman"/>
          <w:sz w:val="24"/>
        </w:rPr>
        <w:footnoteReference w:id="52"/>
      </w:r>
      <w:r w:rsidRPr="00C06B3A">
        <w:rPr>
          <w:rFonts w:ascii="Times New Roman" w:hAnsi="Times New Roman"/>
        </w:rPr>
        <w:t>.</w:t>
      </w:r>
      <w:r w:rsidR="00593ADC" w:rsidRPr="00C06B3A">
        <w:rPr>
          <w:rFonts w:ascii="Times New Roman" w:hAnsi="Times New Roman"/>
        </w:rPr>
        <w:t xml:space="preserve"> </w:t>
      </w:r>
      <w:r w:rsidR="00927FF5" w:rsidRPr="00C06B3A">
        <w:rPr>
          <w:rFonts w:ascii="Times New Roman" w:hAnsi="Times New Roman"/>
        </w:rPr>
        <w:t>Having regard to the circumstances, h</w:t>
      </w:r>
      <w:r w:rsidR="00230A2B" w:rsidRPr="00C06B3A">
        <w:rPr>
          <w:rFonts w:ascii="Times New Roman" w:hAnsi="Times New Roman"/>
        </w:rPr>
        <w:t>is</w:t>
      </w:r>
      <w:r w:rsidR="00106E7D" w:rsidRPr="00C06B3A">
        <w:rPr>
          <w:rFonts w:ascii="Times New Roman" w:hAnsi="Times New Roman"/>
        </w:rPr>
        <w:t> </w:t>
      </w:r>
      <w:r w:rsidR="00230A2B" w:rsidRPr="00C06B3A">
        <w:rPr>
          <w:rFonts w:ascii="Times New Roman" w:hAnsi="Times New Roman"/>
        </w:rPr>
        <w:t>Honour</w:t>
      </w:r>
      <w:r w:rsidR="00BA6399" w:rsidRPr="00C06B3A">
        <w:rPr>
          <w:rFonts w:ascii="Times New Roman" w:hAnsi="Times New Roman"/>
        </w:rPr>
        <w:t xml:space="preserve"> concluded that the provisions of the HRSO Act maintained the "essential character" of </w:t>
      </w:r>
      <w:r w:rsidR="009C2911" w:rsidRPr="00C06B3A">
        <w:rPr>
          <w:rFonts w:ascii="Times New Roman" w:hAnsi="Times New Roman"/>
        </w:rPr>
        <w:t>the</w:t>
      </w:r>
      <w:r w:rsidR="00BA6399" w:rsidRPr="00C06B3A">
        <w:rPr>
          <w:rFonts w:ascii="Times New Roman" w:hAnsi="Times New Roman"/>
        </w:rPr>
        <w:t xml:space="preserve"> </w:t>
      </w:r>
      <w:r w:rsidR="009C2911" w:rsidRPr="00C06B3A">
        <w:rPr>
          <w:rFonts w:ascii="Times New Roman" w:hAnsi="Times New Roman"/>
        </w:rPr>
        <w:t>C</w:t>
      </w:r>
      <w:r w:rsidR="00BA6399" w:rsidRPr="00C06B3A">
        <w:rPr>
          <w:rFonts w:ascii="Times New Roman" w:hAnsi="Times New Roman"/>
        </w:rPr>
        <w:t>ourt</w:t>
      </w:r>
      <w:r w:rsidR="009C2911" w:rsidRPr="00C06B3A">
        <w:rPr>
          <w:rFonts w:ascii="Times New Roman" w:hAnsi="Times New Roman"/>
        </w:rPr>
        <w:t xml:space="preserve"> as a court exercising </w:t>
      </w:r>
      <w:r w:rsidR="00ED653F">
        <w:rPr>
          <w:rFonts w:ascii="Times New Roman" w:hAnsi="Times New Roman"/>
        </w:rPr>
        <w:t>S</w:t>
      </w:r>
      <w:r w:rsidR="009C2911" w:rsidRPr="00C06B3A">
        <w:rPr>
          <w:rFonts w:ascii="Times New Roman" w:hAnsi="Times New Roman"/>
        </w:rPr>
        <w:t>tate and federal judicial power</w:t>
      </w:r>
      <w:r w:rsidR="00BA6399" w:rsidRPr="00C06B3A">
        <w:rPr>
          <w:rFonts w:ascii="Times New Roman" w:hAnsi="Times New Roman"/>
        </w:rPr>
        <w:t>: impartiality, independence, procedural fairness, and open decision</w:t>
      </w:r>
      <w:r w:rsidR="00BA6399" w:rsidRPr="00C06B3A">
        <w:rPr>
          <w:rFonts w:ascii="Times New Roman" w:hAnsi="Times New Roman"/>
        </w:rPr>
        <w:noBreakHyphen/>
        <w:t>making</w:t>
      </w:r>
      <w:r w:rsidR="00BA6399" w:rsidRPr="00C06B3A">
        <w:rPr>
          <w:rStyle w:val="FootnoteReference"/>
          <w:rFonts w:ascii="Times New Roman" w:hAnsi="Times New Roman"/>
          <w:sz w:val="24"/>
        </w:rPr>
        <w:footnoteReference w:id="53"/>
      </w:r>
      <w:r w:rsidR="00BA6399" w:rsidRPr="00C06B3A">
        <w:rPr>
          <w:rFonts w:ascii="Times New Roman" w:hAnsi="Times New Roman"/>
        </w:rPr>
        <w:t>.</w:t>
      </w:r>
    </w:p>
    <w:p w14:paraId="0B8CBE89" w14:textId="0BA2D472" w:rsidR="00443311" w:rsidRPr="00C06B3A" w:rsidRDefault="00443311"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5637BA" w:rsidRPr="00C06B3A">
        <w:rPr>
          <w:rFonts w:ascii="Times New Roman" w:hAnsi="Times New Roman"/>
        </w:rPr>
        <w:t>T</w:t>
      </w:r>
      <w:r w:rsidR="00567A24" w:rsidRPr="00C06B3A">
        <w:rPr>
          <w:rFonts w:ascii="Times New Roman" w:hAnsi="Times New Roman"/>
        </w:rPr>
        <w:t>he primary judge</w:t>
      </w:r>
      <w:r w:rsidR="005637BA" w:rsidRPr="00C06B3A">
        <w:rPr>
          <w:rFonts w:ascii="Times New Roman" w:hAnsi="Times New Roman"/>
        </w:rPr>
        <w:t xml:space="preserve"> also concluded that</w:t>
      </w:r>
      <w:r w:rsidR="00043F7F" w:rsidRPr="00C06B3A">
        <w:rPr>
          <w:rFonts w:ascii="Times New Roman" w:hAnsi="Times New Roman"/>
        </w:rPr>
        <w:t xml:space="preserve"> </w:t>
      </w:r>
      <w:r w:rsidRPr="00C06B3A">
        <w:rPr>
          <w:rFonts w:ascii="Times New Roman" w:hAnsi="Times New Roman"/>
        </w:rPr>
        <w:t>the</w:t>
      </w:r>
      <w:r w:rsidR="00C67653" w:rsidRPr="00C06B3A">
        <w:rPr>
          <w:rFonts w:ascii="Times New Roman" w:hAnsi="Times New Roman"/>
        </w:rPr>
        <w:t xml:space="preserve"> purpose of the</w:t>
      </w:r>
      <w:r w:rsidRPr="00C06B3A">
        <w:rPr>
          <w:rFonts w:ascii="Times New Roman" w:hAnsi="Times New Roman"/>
        </w:rPr>
        <w:t xml:space="preserve"> HRSO</w:t>
      </w:r>
      <w:r w:rsidR="009C2911" w:rsidRPr="00C06B3A">
        <w:rPr>
          <w:rFonts w:ascii="Times New Roman" w:hAnsi="Times New Roman"/>
        </w:rPr>
        <w:t> </w:t>
      </w:r>
      <w:r w:rsidRPr="00C06B3A">
        <w:rPr>
          <w:rFonts w:ascii="Times New Roman" w:hAnsi="Times New Roman"/>
        </w:rPr>
        <w:t>Act was protective</w:t>
      </w:r>
      <w:r w:rsidR="000F49EF" w:rsidRPr="00C06B3A">
        <w:rPr>
          <w:rFonts w:ascii="Times New Roman" w:hAnsi="Times New Roman"/>
        </w:rPr>
        <w:t>, not</w:t>
      </w:r>
      <w:r w:rsidRPr="00C06B3A">
        <w:rPr>
          <w:rFonts w:ascii="Times New Roman" w:hAnsi="Times New Roman"/>
        </w:rPr>
        <w:t xml:space="preserve"> punitive</w:t>
      </w:r>
      <w:r w:rsidR="001F2DF5" w:rsidRPr="00C06B3A">
        <w:rPr>
          <w:rFonts w:ascii="Times New Roman" w:hAnsi="Times New Roman"/>
        </w:rPr>
        <w:t>. His</w:t>
      </w:r>
      <w:r w:rsidR="009C2911" w:rsidRPr="00C06B3A">
        <w:rPr>
          <w:rFonts w:ascii="Times New Roman" w:hAnsi="Times New Roman"/>
        </w:rPr>
        <w:t> </w:t>
      </w:r>
      <w:r w:rsidR="001F2DF5" w:rsidRPr="00C06B3A">
        <w:rPr>
          <w:rFonts w:ascii="Times New Roman" w:hAnsi="Times New Roman"/>
        </w:rPr>
        <w:t>Honour</w:t>
      </w:r>
      <w:r w:rsidR="000F49EF" w:rsidRPr="00C06B3A">
        <w:rPr>
          <w:rFonts w:ascii="Times New Roman" w:hAnsi="Times New Roman"/>
        </w:rPr>
        <w:t xml:space="preserve"> </w:t>
      </w:r>
      <w:r w:rsidRPr="00C06B3A">
        <w:rPr>
          <w:rFonts w:ascii="Times New Roman" w:hAnsi="Times New Roman"/>
        </w:rPr>
        <w:t>noted that</w:t>
      </w:r>
      <w:r w:rsidR="001F2DF5" w:rsidRPr="00C06B3A">
        <w:rPr>
          <w:rFonts w:ascii="Times New Roman" w:hAnsi="Times New Roman"/>
        </w:rPr>
        <w:t xml:space="preserve"> the central provisions</w:t>
      </w:r>
      <w:r w:rsidRPr="00C06B3A">
        <w:rPr>
          <w:rFonts w:ascii="Times New Roman" w:hAnsi="Times New Roman"/>
        </w:rPr>
        <w:t xml:space="preserve"> of the HRSO</w:t>
      </w:r>
      <w:r w:rsidR="009C2911" w:rsidRPr="00C06B3A">
        <w:rPr>
          <w:rFonts w:ascii="Times New Roman" w:hAnsi="Times New Roman"/>
        </w:rPr>
        <w:t> </w:t>
      </w:r>
      <w:r w:rsidRPr="00C06B3A">
        <w:rPr>
          <w:rFonts w:ascii="Times New Roman" w:hAnsi="Times New Roman"/>
        </w:rPr>
        <w:t xml:space="preserve">Act and its objects were, in substance, </w:t>
      </w:r>
      <w:r w:rsidR="00C00B9A" w:rsidRPr="00C06B3A">
        <w:rPr>
          <w:rFonts w:ascii="Times New Roman" w:hAnsi="Times New Roman"/>
        </w:rPr>
        <w:t>protective</w:t>
      </w:r>
      <w:r w:rsidRPr="00C06B3A">
        <w:rPr>
          <w:rFonts w:ascii="Times New Roman" w:hAnsi="Times New Roman"/>
        </w:rPr>
        <w:t xml:space="preserve"> and not punitive in </w:t>
      </w:r>
      <w:r w:rsidRPr="00C06B3A">
        <w:rPr>
          <w:rFonts w:ascii="Times New Roman" w:hAnsi="Times New Roman"/>
        </w:rPr>
        <w:lastRenderedPageBreak/>
        <w:t>character</w:t>
      </w:r>
      <w:r w:rsidRPr="00C06B3A">
        <w:rPr>
          <w:rStyle w:val="FootnoteReference"/>
          <w:rFonts w:ascii="Times New Roman" w:hAnsi="Times New Roman"/>
          <w:sz w:val="24"/>
        </w:rPr>
        <w:footnoteReference w:id="54"/>
      </w:r>
      <w:r w:rsidRPr="00C06B3A">
        <w:rPr>
          <w:rFonts w:ascii="Times New Roman" w:hAnsi="Times New Roman"/>
        </w:rPr>
        <w:t xml:space="preserve">. </w:t>
      </w:r>
      <w:r w:rsidR="00230A2B" w:rsidRPr="00C06B3A">
        <w:rPr>
          <w:rFonts w:ascii="Times New Roman" w:hAnsi="Times New Roman"/>
        </w:rPr>
        <w:t>T</w:t>
      </w:r>
      <w:r w:rsidR="007817B8" w:rsidRPr="00C06B3A">
        <w:rPr>
          <w:rFonts w:ascii="Times New Roman" w:hAnsi="Times New Roman"/>
        </w:rPr>
        <w:t>hree</w:t>
      </w:r>
      <w:r w:rsidRPr="00C06B3A">
        <w:rPr>
          <w:rFonts w:ascii="Times New Roman" w:hAnsi="Times New Roman"/>
        </w:rPr>
        <w:t xml:space="preserve"> further features of the HRSO Act </w:t>
      </w:r>
      <w:r w:rsidR="007817B8" w:rsidRPr="00C06B3A">
        <w:rPr>
          <w:rFonts w:ascii="Times New Roman" w:hAnsi="Times New Roman"/>
        </w:rPr>
        <w:t>confirmed</w:t>
      </w:r>
      <w:r w:rsidRPr="00C06B3A">
        <w:rPr>
          <w:rFonts w:ascii="Times New Roman" w:hAnsi="Times New Roman"/>
        </w:rPr>
        <w:t xml:space="preserve"> its pr</w:t>
      </w:r>
      <w:r w:rsidR="005940D2" w:rsidRPr="00C06B3A">
        <w:rPr>
          <w:rFonts w:ascii="Times New Roman" w:hAnsi="Times New Roman"/>
        </w:rPr>
        <w:t>otective</w:t>
      </w:r>
      <w:r w:rsidRPr="00C06B3A">
        <w:rPr>
          <w:rFonts w:ascii="Times New Roman" w:hAnsi="Times New Roman"/>
        </w:rPr>
        <w:t xml:space="preserve"> character, </w:t>
      </w:r>
      <w:r w:rsidR="005940D2" w:rsidRPr="00C06B3A">
        <w:rPr>
          <w:rFonts w:ascii="Times New Roman" w:hAnsi="Times New Roman"/>
        </w:rPr>
        <w:t>namely</w:t>
      </w:r>
      <w:r w:rsidRPr="00C06B3A">
        <w:rPr>
          <w:rFonts w:ascii="Times New Roman" w:hAnsi="Times New Roman"/>
        </w:rPr>
        <w:t xml:space="preserve"> the establishment of the </w:t>
      </w:r>
      <w:proofErr w:type="gramStart"/>
      <w:r w:rsidRPr="00C06B3A">
        <w:rPr>
          <w:rFonts w:ascii="Times New Roman" w:hAnsi="Times New Roman"/>
        </w:rPr>
        <w:t>High Risk</w:t>
      </w:r>
      <w:proofErr w:type="gramEnd"/>
      <w:r w:rsidRPr="00C06B3A">
        <w:rPr>
          <w:rFonts w:ascii="Times New Roman" w:hAnsi="Times New Roman"/>
        </w:rPr>
        <w:t xml:space="preserve"> Serious Offenders Board, the imposition of obligations on "supporting agencies" in respect of serious offenders, and the </w:t>
      </w:r>
      <w:r w:rsidR="00481909" w:rsidRPr="00C06B3A">
        <w:rPr>
          <w:rFonts w:ascii="Times New Roman" w:hAnsi="Times New Roman"/>
        </w:rPr>
        <w:t>circumstance</w:t>
      </w:r>
      <w:r w:rsidRPr="00C06B3A">
        <w:rPr>
          <w:rFonts w:ascii="Times New Roman" w:hAnsi="Times New Roman"/>
        </w:rPr>
        <w:t xml:space="preserve"> that the HRSO</w:t>
      </w:r>
      <w:r w:rsidR="002E22CE" w:rsidRPr="00C06B3A">
        <w:rPr>
          <w:rFonts w:ascii="Times New Roman" w:hAnsi="Times New Roman"/>
        </w:rPr>
        <w:t> </w:t>
      </w:r>
      <w:r w:rsidRPr="00C06B3A">
        <w:rPr>
          <w:rFonts w:ascii="Times New Roman" w:hAnsi="Times New Roman"/>
        </w:rPr>
        <w:t>Act required periodic reviews and thereby did not provide for indefinite detention in any relevant sense</w:t>
      </w:r>
      <w:r w:rsidRPr="00C06B3A">
        <w:rPr>
          <w:rStyle w:val="FootnoteReference"/>
          <w:rFonts w:ascii="Times New Roman" w:hAnsi="Times New Roman"/>
          <w:sz w:val="24"/>
        </w:rPr>
        <w:footnoteReference w:id="55"/>
      </w:r>
      <w:r w:rsidRPr="00C06B3A">
        <w:rPr>
          <w:rFonts w:ascii="Times New Roman" w:hAnsi="Times New Roman"/>
        </w:rPr>
        <w:t xml:space="preserve">. </w:t>
      </w:r>
    </w:p>
    <w:p w14:paraId="0334A792" w14:textId="73FB90DE" w:rsidR="000A307D" w:rsidRPr="00C06B3A" w:rsidRDefault="000A307D" w:rsidP="00C06B3A">
      <w:pPr>
        <w:pStyle w:val="HeadingL1"/>
        <w:spacing w:after="260" w:line="280" w:lineRule="exact"/>
        <w:ind w:right="0"/>
        <w:jc w:val="both"/>
        <w:rPr>
          <w:rFonts w:ascii="Times New Roman" w:hAnsi="Times New Roman"/>
        </w:rPr>
      </w:pPr>
      <w:r w:rsidRPr="00C06B3A">
        <w:rPr>
          <w:rFonts w:ascii="Times New Roman" w:hAnsi="Times New Roman"/>
        </w:rPr>
        <w:t xml:space="preserve">Mr </w:t>
      </w:r>
      <w:proofErr w:type="spellStart"/>
      <w:r w:rsidRPr="00C06B3A">
        <w:rPr>
          <w:rFonts w:ascii="Times New Roman" w:hAnsi="Times New Roman"/>
        </w:rPr>
        <w:t>Garlett's</w:t>
      </w:r>
      <w:proofErr w:type="spellEnd"/>
      <w:r w:rsidRPr="00C06B3A">
        <w:rPr>
          <w:rFonts w:ascii="Times New Roman" w:hAnsi="Times New Roman"/>
        </w:rPr>
        <w:t xml:space="preserve"> </w:t>
      </w:r>
      <w:r w:rsidR="00926833" w:rsidRPr="00C06B3A">
        <w:rPr>
          <w:rFonts w:ascii="Times New Roman" w:hAnsi="Times New Roman"/>
        </w:rPr>
        <w:t>argument</w:t>
      </w:r>
      <w:r w:rsidR="00851721" w:rsidRPr="00C06B3A">
        <w:rPr>
          <w:rFonts w:ascii="Times New Roman" w:hAnsi="Times New Roman"/>
        </w:rPr>
        <w:t>s</w:t>
      </w:r>
      <w:r w:rsidR="00B42365" w:rsidRPr="00C06B3A">
        <w:rPr>
          <w:rFonts w:ascii="Times New Roman" w:hAnsi="Times New Roman"/>
        </w:rPr>
        <w:t xml:space="preserve"> in this Court</w:t>
      </w:r>
    </w:p>
    <w:p w14:paraId="1263DED1" w14:textId="6EB28A26" w:rsidR="0026541F" w:rsidRPr="00C06B3A" w:rsidRDefault="0099118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8F5431" w:rsidRPr="00C06B3A">
        <w:rPr>
          <w:rFonts w:ascii="Times New Roman" w:hAnsi="Times New Roman"/>
        </w:rPr>
        <w:t xml:space="preserve">While </w:t>
      </w:r>
      <w:r w:rsidRPr="00C06B3A">
        <w:rPr>
          <w:rFonts w:ascii="Times New Roman" w:hAnsi="Times New Roman"/>
        </w:rPr>
        <w:t>Mr </w:t>
      </w:r>
      <w:proofErr w:type="spellStart"/>
      <w:r w:rsidRPr="00C06B3A">
        <w:rPr>
          <w:rFonts w:ascii="Times New Roman" w:hAnsi="Times New Roman"/>
        </w:rPr>
        <w:t>Garlett's</w:t>
      </w:r>
      <w:proofErr w:type="spellEnd"/>
      <w:r w:rsidRPr="00C06B3A">
        <w:rPr>
          <w:rFonts w:ascii="Times New Roman" w:hAnsi="Times New Roman"/>
        </w:rPr>
        <w:t xml:space="preserve"> challenge to the validity of </w:t>
      </w:r>
      <w:r w:rsidR="00016A7A" w:rsidRPr="00C06B3A">
        <w:rPr>
          <w:rFonts w:ascii="Times New Roman" w:hAnsi="Times New Roman"/>
        </w:rPr>
        <w:t>i</w:t>
      </w:r>
      <w:r w:rsidRPr="00C06B3A">
        <w:rPr>
          <w:rFonts w:ascii="Times New Roman" w:hAnsi="Times New Roman"/>
        </w:rPr>
        <w:t xml:space="preserve">tem 34 of </w:t>
      </w:r>
      <w:proofErr w:type="spellStart"/>
      <w:r w:rsidR="00AD53A3" w:rsidRPr="00C06B3A">
        <w:rPr>
          <w:rFonts w:ascii="Times New Roman" w:hAnsi="Times New Roman"/>
        </w:rPr>
        <w:t>Subdiv</w:t>
      </w:r>
      <w:proofErr w:type="spellEnd"/>
      <w:r w:rsidR="00AD53A3" w:rsidRPr="00C06B3A">
        <w:rPr>
          <w:rFonts w:ascii="Times New Roman" w:hAnsi="Times New Roman"/>
        </w:rPr>
        <w:t xml:space="preserve"> 3 of </w:t>
      </w:r>
      <w:proofErr w:type="spellStart"/>
      <w:r w:rsidR="00AD53A3" w:rsidRPr="00C06B3A">
        <w:rPr>
          <w:rFonts w:ascii="Times New Roman" w:hAnsi="Times New Roman"/>
        </w:rPr>
        <w:t>Div</w:t>
      </w:r>
      <w:proofErr w:type="spellEnd"/>
      <w:r w:rsidR="00AD53A3" w:rsidRPr="00C06B3A">
        <w:rPr>
          <w:rFonts w:ascii="Times New Roman" w:hAnsi="Times New Roman"/>
        </w:rPr>
        <w:t xml:space="preserve"> 1 of </w:t>
      </w:r>
      <w:r w:rsidRPr="00C06B3A">
        <w:rPr>
          <w:rFonts w:ascii="Times New Roman" w:hAnsi="Times New Roman"/>
        </w:rPr>
        <w:t xml:space="preserve">Sch 1 </w:t>
      </w:r>
      <w:r w:rsidR="00016A7A" w:rsidRPr="00C06B3A">
        <w:rPr>
          <w:rFonts w:ascii="Times New Roman" w:hAnsi="Times New Roman"/>
        </w:rPr>
        <w:t>to</w:t>
      </w:r>
      <w:r w:rsidRPr="00C06B3A">
        <w:rPr>
          <w:rFonts w:ascii="Times New Roman" w:hAnsi="Times New Roman"/>
        </w:rPr>
        <w:t xml:space="preserve"> the HRSO</w:t>
      </w:r>
      <w:r w:rsidR="00016A7A" w:rsidRPr="00C06B3A">
        <w:rPr>
          <w:rFonts w:ascii="Times New Roman" w:hAnsi="Times New Roman"/>
        </w:rPr>
        <w:t> </w:t>
      </w:r>
      <w:r w:rsidRPr="00C06B3A">
        <w:rPr>
          <w:rFonts w:ascii="Times New Roman" w:hAnsi="Times New Roman"/>
        </w:rPr>
        <w:t xml:space="preserve">Act </w:t>
      </w:r>
      <w:r w:rsidR="00B56E78" w:rsidRPr="00C06B3A">
        <w:rPr>
          <w:rFonts w:ascii="Times New Roman" w:hAnsi="Times New Roman"/>
        </w:rPr>
        <w:t xml:space="preserve">invoked </w:t>
      </w:r>
      <w:r w:rsidRPr="00C06B3A">
        <w:rPr>
          <w:rFonts w:ascii="Times New Roman" w:hAnsi="Times New Roman"/>
        </w:rPr>
        <w:t xml:space="preserve">the </w:t>
      </w:r>
      <w:r w:rsidRPr="00C06B3A">
        <w:rPr>
          <w:rFonts w:ascii="Times New Roman" w:hAnsi="Times New Roman"/>
          <w:i/>
          <w:iCs/>
        </w:rPr>
        <w:t xml:space="preserve">Kable </w:t>
      </w:r>
      <w:r w:rsidRPr="00C06B3A">
        <w:rPr>
          <w:rFonts w:ascii="Times New Roman" w:hAnsi="Times New Roman"/>
        </w:rPr>
        <w:t>principle</w:t>
      </w:r>
      <w:r w:rsidR="008F5431" w:rsidRPr="00C06B3A">
        <w:rPr>
          <w:rFonts w:ascii="Times New Roman" w:hAnsi="Times New Roman"/>
        </w:rPr>
        <w:t>,</w:t>
      </w:r>
      <w:r w:rsidR="007A5E36" w:rsidRPr="00C06B3A">
        <w:rPr>
          <w:rFonts w:ascii="Times New Roman" w:hAnsi="Times New Roman"/>
        </w:rPr>
        <w:t xml:space="preserve"> </w:t>
      </w:r>
      <w:r w:rsidRPr="00C06B3A">
        <w:rPr>
          <w:rFonts w:ascii="Times New Roman" w:hAnsi="Times New Roman"/>
        </w:rPr>
        <w:t>the argument advanced on his behalf</w:t>
      </w:r>
      <w:r w:rsidR="00481909" w:rsidRPr="00C06B3A">
        <w:rPr>
          <w:rFonts w:ascii="Times New Roman" w:hAnsi="Times New Roman"/>
        </w:rPr>
        <w:t xml:space="preserve"> </w:t>
      </w:r>
      <w:r w:rsidR="003E38CE" w:rsidRPr="00C06B3A">
        <w:rPr>
          <w:rFonts w:ascii="Times New Roman" w:hAnsi="Times New Roman"/>
        </w:rPr>
        <w:t>conflated</w:t>
      </w:r>
      <w:r w:rsidRPr="00C06B3A">
        <w:rPr>
          <w:rFonts w:ascii="Times New Roman" w:hAnsi="Times New Roman"/>
        </w:rPr>
        <w:t xml:space="preserve"> the </w:t>
      </w:r>
      <w:r w:rsidRPr="00C06B3A">
        <w:rPr>
          <w:rFonts w:ascii="Times New Roman" w:hAnsi="Times New Roman"/>
          <w:i/>
          <w:iCs/>
        </w:rPr>
        <w:t xml:space="preserve">Kable </w:t>
      </w:r>
      <w:r w:rsidRPr="00C06B3A">
        <w:rPr>
          <w:rFonts w:ascii="Times New Roman" w:hAnsi="Times New Roman"/>
        </w:rPr>
        <w:t>issue with a contention that the power exercisable under ss 7 and 48 of the HRSO</w:t>
      </w:r>
      <w:r w:rsidR="00016A7A" w:rsidRPr="00C06B3A">
        <w:rPr>
          <w:rFonts w:ascii="Times New Roman" w:hAnsi="Times New Roman"/>
        </w:rPr>
        <w:t> </w:t>
      </w:r>
      <w:r w:rsidRPr="00C06B3A">
        <w:rPr>
          <w:rFonts w:ascii="Times New Roman" w:hAnsi="Times New Roman"/>
        </w:rPr>
        <w:t>Act</w:t>
      </w:r>
      <w:r w:rsidR="00112CD7" w:rsidRPr="00C06B3A">
        <w:rPr>
          <w:rFonts w:ascii="Times New Roman" w:hAnsi="Times New Roman"/>
        </w:rPr>
        <w:t xml:space="preserve"> </w:t>
      </w:r>
      <w:r w:rsidR="00883BAD" w:rsidRPr="00C06B3A">
        <w:rPr>
          <w:rFonts w:ascii="Times New Roman" w:hAnsi="Times New Roman"/>
        </w:rPr>
        <w:t>was not</w:t>
      </w:r>
      <w:r w:rsidR="00112CD7" w:rsidRPr="00C06B3A">
        <w:rPr>
          <w:rFonts w:ascii="Times New Roman" w:hAnsi="Times New Roman"/>
        </w:rPr>
        <w:t xml:space="preserve"> judicial power such as might be </w:t>
      </w:r>
      <w:r w:rsidR="003E34FB" w:rsidRPr="00C06B3A">
        <w:rPr>
          <w:rFonts w:ascii="Times New Roman" w:hAnsi="Times New Roman"/>
        </w:rPr>
        <w:t xml:space="preserve">conferred upon a </w:t>
      </w:r>
      <w:r w:rsidR="006F60A2" w:rsidRPr="00C06B3A">
        <w:rPr>
          <w:rFonts w:ascii="Times New Roman" w:hAnsi="Times New Roman"/>
        </w:rPr>
        <w:t>court exercising federal jurisdiction</w:t>
      </w:r>
      <w:r w:rsidR="00F933E5" w:rsidRPr="00C06B3A">
        <w:rPr>
          <w:rFonts w:ascii="Times New Roman" w:hAnsi="Times New Roman"/>
        </w:rPr>
        <w:t xml:space="preserve"> consistently with Ch III of the </w:t>
      </w:r>
      <w:r w:rsidR="00F933E5" w:rsidRPr="00C06B3A">
        <w:rPr>
          <w:rFonts w:ascii="Times New Roman" w:hAnsi="Times New Roman"/>
          <w:i/>
          <w:iCs/>
        </w:rPr>
        <w:t>Constitution</w:t>
      </w:r>
      <w:r w:rsidR="00F933E5" w:rsidRPr="00C06B3A">
        <w:rPr>
          <w:rFonts w:ascii="Times New Roman" w:hAnsi="Times New Roman"/>
        </w:rPr>
        <w:t>.</w:t>
      </w:r>
      <w:r w:rsidR="00666488" w:rsidRPr="00C06B3A">
        <w:rPr>
          <w:rFonts w:ascii="Times New Roman" w:hAnsi="Times New Roman"/>
        </w:rPr>
        <w:t xml:space="preserve"> </w:t>
      </w:r>
      <w:r w:rsidR="00112CD7" w:rsidRPr="00C06B3A">
        <w:rPr>
          <w:rFonts w:ascii="Times New Roman" w:hAnsi="Times New Roman"/>
        </w:rPr>
        <w:t>In this regard, Mr </w:t>
      </w:r>
      <w:proofErr w:type="spellStart"/>
      <w:r w:rsidR="00112CD7" w:rsidRPr="00C06B3A">
        <w:rPr>
          <w:rFonts w:ascii="Times New Roman" w:hAnsi="Times New Roman"/>
        </w:rPr>
        <w:t>Garlett</w:t>
      </w:r>
      <w:proofErr w:type="spellEnd"/>
      <w:r w:rsidR="00112CD7" w:rsidRPr="00C06B3A">
        <w:rPr>
          <w:rFonts w:ascii="Times New Roman" w:hAnsi="Times New Roman"/>
        </w:rPr>
        <w:t xml:space="preserve"> </w:t>
      </w:r>
      <w:r w:rsidR="003E38CE" w:rsidRPr="00C06B3A">
        <w:rPr>
          <w:rFonts w:ascii="Times New Roman" w:hAnsi="Times New Roman"/>
        </w:rPr>
        <w:t>relied upon</w:t>
      </w:r>
      <w:r w:rsidR="00B42F30" w:rsidRPr="00C06B3A">
        <w:rPr>
          <w:rFonts w:ascii="Times New Roman" w:hAnsi="Times New Roman"/>
        </w:rPr>
        <w:t xml:space="preserve"> </w:t>
      </w:r>
      <w:r w:rsidR="00112CD7" w:rsidRPr="00C06B3A">
        <w:rPr>
          <w:rFonts w:ascii="Times New Roman" w:hAnsi="Times New Roman"/>
        </w:rPr>
        <w:t xml:space="preserve">the statement of principle </w:t>
      </w:r>
      <w:r w:rsidR="003E34FB" w:rsidRPr="00C06B3A">
        <w:rPr>
          <w:rFonts w:ascii="Times New Roman" w:hAnsi="Times New Roman"/>
        </w:rPr>
        <w:t>by Brennan, Deane and Dawson JJ</w:t>
      </w:r>
      <w:r w:rsidR="006A697C" w:rsidRPr="00C06B3A">
        <w:rPr>
          <w:rFonts w:ascii="Times New Roman" w:hAnsi="Times New Roman"/>
        </w:rPr>
        <w:t xml:space="preserve"> in</w:t>
      </w:r>
      <w:r w:rsidR="0043110B" w:rsidRPr="00C06B3A">
        <w:rPr>
          <w:rFonts w:ascii="Times New Roman" w:hAnsi="Times New Roman"/>
        </w:rPr>
        <w:t xml:space="preserve"> </w:t>
      </w:r>
      <w:r w:rsidR="0026541F" w:rsidRPr="00C06B3A">
        <w:rPr>
          <w:rFonts w:ascii="Times New Roman" w:hAnsi="Times New Roman"/>
          <w:i/>
        </w:rPr>
        <w:t>Chu Kheng Lim v Minister for Immigration, Local Government and Ethnic Affairs</w:t>
      </w:r>
      <w:r w:rsidR="0026541F" w:rsidRPr="00C06B3A">
        <w:rPr>
          <w:rStyle w:val="FootnoteReference"/>
          <w:rFonts w:ascii="Times New Roman" w:hAnsi="Times New Roman"/>
          <w:sz w:val="24"/>
        </w:rPr>
        <w:footnoteReference w:id="56"/>
      </w:r>
      <w:r w:rsidR="0026541F" w:rsidRPr="00C06B3A">
        <w:rPr>
          <w:rFonts w:ascii="Times New Roman" w:hAnsi="Times New Roman"/>
          <w:i/>
        </w:rPr>
        <w:t xml:space="preserve"> </w:t>
      </w:r>
      <w:r w:rsidR="0026541F" w:rsidRPr="00C06B3A">
        <w:rPr>
          <w:rFonts w:ascii="Times New Roman" w:hAnsi="Times New Roman"/>
        </w:rPr>
        <w:t>that:</w:t>
      </w:r>
    </w:p>
    <w:p w14:paraId="472D54BA" w14:textId="4625FAF9" w:rsidR="00C06B3A" w:rsidRDefault="0026541F" w:rsidP="00C06B3A">
      <w:pPr>
        <w:pStyle w:val="LeftrightafterHC"/>
        <w:spacing w:before="0" w:after="260" w:line="280" w:lineRule="exact"/>
        <w:ind w:right="0"/>
        <w:jc w:val="both"/>
        <w:rPr>
          <w:rFonts w:ascii="Times New Roman" w:hAnsi="Times New Roman"/>
        </w:rPr>
      </w:pPr>
      <w:r w:rsidRPr="00C06B3A">
        <w:rPr>
          <w:rFonts w:ascii="Times New Roman" w:hAnsi="Times New Roman"/>
        </w:rPr>
        <w:t>"</w:t>
      </w:r>
      <w:proofErr w:type="gramStart"/>
      <w:r w:rsidRPr="00C06B3A">
        <w:rPr>
          <w:rFonts w:ascii="Times New Roman" w:hAnsi="Times New Roman"/>
        </w:rPr>
        <w:t>putting</w:t>
      </w:r>
      <w:proofErr w:type="gramEnd"/>
      <w:r w:rsidRPr="00C06B3A">
        <w:rPr>
          <w:rFonts w:ascii="Times New Roman" w:hAnsi="Times New Roman"/>
        </w:rPr>
        <w:t xml:space="preserve"> to one side the exceptional cases to which reference is made below, the involuntary detention of a citizen in custody by the State is penal or punitive in character and, under our system of government, exists only as an incident of the exclusively judicial function of adjudging and punishing criminal guilt"</w:t>
      </w:r>
      <w:r w:rsidR="003505B5">
        <w:rPr>
          <w:rFonts w:ascii="Times New Roman" w:hAnsi="Times New Roman"/>
        </w:rPr>
        <w:t>.</w:t>
      </w:r>
    </w:p>
    <w:p w14:paraId="63404DCE" w14:textId="1C10AF99" w:rsidR="00511F3A" w:rsidRPr="00C06B3A" w:rsidRDefault="00B42F3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666488" w:rsidRPr="00C06B3A">
        <w:rPr>
          <w:rFonts w:ascii="Times New Roman" w:hAnsi="Times New Roman"/>
        </w:rPr>
        <w:t>Mr </w:t>
      </w:r>
      <w:proofErr w:type="spellStart"/>
      <w:r w:rsidR="00666488" w:rsidRPr="00C06B3A">
        <w:rPr>
          <w:rFonts w:ascii="Times New Roman" w:hAnsi="Times New Roman"/>
        </w:rPr>
        <w:t>Garlett</w:t>
      </w:r>
      <w:r w:rsidR="00D82409" w:rsidRPr="00C06B3A">
        <w:rPr>
          <w:rFonts w:ascii="Times New Roman" w:hAnsi="Times New Roman"/>
        </w:rPr>
        <w:t>'s</w:t>
      </w:r>
      <w:proofErr w:type="spellEnd"/>
      <w:r w:rsidR="00D82409" w:rsidRPr="00C06B3A">
        <w:rPr>
          <w:rFonts w:ascii="Times New Roman" w:hAnsi="Times New Roman"/>
        </w:rPr>
        <w:t xml:space="preserve"> argument </w:t>
      </w:r>
      <w:r w:rsidR="009D079B" w:rsidRPr="00C06B3A">
        <w:rPr>
          <w:rFonts w:ascii="Times New Roman" w:hAnsi="Times New Roman"/>
        </w:rPr>
        <w:t>was not put on the basis</w:t>
      </w:r>
      <w:r w:rsidR="00666488" w:rsidRPr="00C06B3A">
        <w:rPr>
          <w:rFonts w:ascii="Times New Roman" w:hAnsi="Times New Roman"/>
        </w:rPr>
        <w:t xml:space="preserve"> </w:t>
      </w:r>
      <w:r w:rsidRPr="00C06B3A">
        <w:rPr>
          <w:rFonts w:ascii="Times New Roman" w:hAnsi="Times New Roman"/>
        </w:rPr>
        <w:t>that</w:t>
      </w:r>
      <w:r w:rsidR="00FF025D" w:rsidRPr="00C06B3A">
        <w:rPr>
          <w:rFonts w:ascii="Times New Roman" w:hAnsi="Times New Roman"/>
        </w:rPr>
        <w:t xml:space="preserve"> </w:t>
      </w:r>
      <w:r w:rsidR="0043110B" w:rsidRPr="00C06B3A">
        <w:rPr>
          <w:rFonts w:ascii="Times New Roman" w:hAnsi="Times New Roman"/>
        </w:rPr>
        <w:t>the Court</w:t>
      </w:r>
      <w:r w:rsidR="007E20C7" w:rsidRPr="00C06B3A">
        <w:rPr>
          <w:rFonts w:ascii="Times New Roman" w:hAnsi="Times New Roman"/>
        </w:rPr>
        <w:t>,</w:t>
      </w:r>
      <w:r w:rsidR="0043110B" w:rsidRPr="00C06B3A">
        <w:rPr>
          <w:rFonts w:ascii="Times New Roman" w:hAnsi="Times New Roman"/>
        </w:rPr>
        <w:t xml:space="preserve"> in exercising the powers conferred on it by the HRSO</w:t>
      </w:r>
      <w:r w:rsidR="00430683" w:rsidRPr="00C06B3A">
        <w:rPr>
          <w:rFonts w:ascii="Times New Roman" w:hAnsi="Times New Roman"/>
        </w:rPr>
        <w:t> </w:t>
      </w:r>
      <w:r w:rsidR="0043110B" w:rsidRPr="00C06B3A">
        <w:rPr>
          <w:rFonts w:ascii="Times New Roman" w:hAnsi="Times New Roman"/>
        </w:rPr>
        <w:t>Act</w:t>
      </w:r>
      <w:r w:rsidR="007E20C7" w:rsidRPr="00C06B3A">
        <w:rPr>
          <w:rFonts w:ascii="Times New Roman" w:hAnsi="Times New Roman"/>
        </w:rPr>
        <w:t>,</w:t>
      </w:r>
      <w:r w:rsidR="0043110B" w:rsidRPr="00C06B3A">
        <w:rPr>
          <w:rFonts w:ascii="Times New Roman" w:hAnsi="Times New Roman"/>
        </w:rPr>
        <w:t xml:space="preserve"> </w:t>
      </w:r>
      <w:r w:rsidR="007E20C7" w:rsidRPr="00C06B3A">
        <w:rPr>
          <w:rFonts w:ascii="Times New Roman" w:hAnsi="Times New Roman"/>
        </w:rPr>
        <w:t>exercise</w:t>
      </w:r>
      <w:r w:rsidR="009410D1" w:rsidRPr="00C06B3A">
        <w:rPr>
          <w:rFonts w:ascii="Times New Roman" w:hAnsi="Times New Roman"/>
        </w:rPr>
        <w:t>s</w:t>
      </w:r>
      <w:r w:rsidR="00F67E14" w:rsidRPr="00C06B3A">
        <w:rPr>
          <w:rFonts w:ascii="Times New Roman" w:hAnsi="Times New Roman"/>
        </w:rPr>
        <w:t xml:space="preserve"> </w:t>
      </w:r>
      <w:r w:rsidR="0043110B" w:rsidRPr="00C06B3A">
        <w:rPr>
          <w:rFonts w:ascii="Times New Roman" w:hAnsi="Times New Roman"/>
        </w:rPr>
        <w:t>federal jurisdiction</w:t>
      </w:r>
      <w:r w:rsidR="002F1ECF" w:rsidRPr="00C06B3A">
        <w:rPr>
          <w:rFonts w:ascii="Times New Roman" w:hAnsi="Times New Roman"/>
        </w:rPr>
        <w:t xml:space="preserve">. Rather, it was that its exercise of those powers is inconsistent with it </w:t>
      </w:r>
      <w:r w:rsidR="0033372C" w:rsidRPr="00C06B3A">
        <w:rPr>
          <w:rFonts w:ascii="Times New Roman" w:hAnsi="Times New Roman"/>
        </w:rPr>
        <w:t>being a</w:t>
      </w:r>
      <w:r w:rsidR="00F137E0" w:rsidRPr="00C06B3A">
        <w:rPr>
          <w:rFonts w:ascii="Times New Roman" w:hAnsi="Times New Roman"/>
        </w:rPr>
        <w:t xml:space="preserve"> </w:t>
      </w:r>
      <w:r w:rsidR="0033372C" w:rsidRPr="00C06B3A">
        <w:rPr>
          <w:rFonts w:ascii="Times New Roman" w:hAnsi="Times New Roman"/>
        </w:rPr>
        <w:t>repository of federal jurisdiction</w:t>
      </w:r>
      <w:r w:rsidR="00BF4090" w:rsidRPr="00C06B3A">
        <w:rPr>
          <w:rFonts w:ascii="Times New Roman" w:hAnsi="Times New Roman"/>
        </w:rPr>
        <w:t xml:space="preserve"> because </w:t>
      </w:r>
      <w:r w:rsidR="00170183" w:rsidRPr="00C06B3A">
        <w:rPr>
          <w:rFonts w:ascii="Times New Roman" w:hAnsi="Times New Roman"/>
        </w:rPr>
        <w:t>the exercise of power pursuant to the impugned provisions is non</w:t>
      </w:r>
      <w:r w:rsidR="00170183" w:rsidRPr="00C06B3A">
        <w:rPr>
          <w:rFonts w:ascii="Times New Roman" w:hAnsi="Times New Roman"/>
        </w:rPr>
        <w:noBreakHyphen/>
        <w:t>judicial</w:t>
      </w:r>
      <w:r w:rsidR="00F67E14" w:rsidRPr="00C06B3A">
        <w:rPr>
          <w:rFonts w:ascii="Times New Roman" w:hAnsi="Times New Roman"/>
        </w:rPr>
        <w:t>.</w:t>
      </w:r>
      <w:r w:rsidR="00CF26AB" w:rsidRPr="00C06B3A">
        <w:rPr>
          <w:rFonts w:ascii="Times New Roman" w:hAnsi="Times New Roman"/>
        </w:rPr>
        <w:t xml:space="preserve"> </w:t>
      </w:r>
      <w:r w:rsidR="007E6018" w:rsidRPr="00C06B3A">
        <w:rPr>
          <w:rFonts w:ascii="Times New Roman" w:hAnsi="Times New Roman"/>
        </w:rPr>
        <w:t>Th</w:t>
      </w:r>
      <w:r w:rsidR="008B1DF6" w:rsidRPr="00C06B3A">
        <w:rPr>
          <w:rFonts w:ascii="Times New Roman" w:hAnsi="Times New Roman"/>
        </w:rPr>
        <w:t xml:space="preserve">e </w:t>
      </w:r>
      <w:proofErr w:type="gramStart"/>
      <w:r w:rsidR="008B1DF6" w:rsidRPr="00C06B3A">
        <w:rPr>
          <w:rFonts w:ascii="Times New Roman" w:hAnsi="Times New Roman"/>
        </w:rPr>
        <w:t>manner in which</w:t>
      </w:r>
      <w:proofErr w:type="gramEnd"/>
      <w:r w:rsidR="008B1DF6" w:rsidRPr="00C06B3A">
        <w:rPr>
          <w:rFonts w:ascii="Times New Roman" w:hAnsi="Times New Roman"/>
        </w:rPr>
        <w:t xml:space="preserve"> the argument is framed</w:t>
      </w:r>
      <w:r w:rsidR="007E6018" w:rsidRPr="00C06B3A">
        <w:rPr>
          <w:rFonts w:ascii="Times New Roman" w:hAnsi="Times New Roman"/>
        </w:rPr>
        <w:t xml:space="preserve"> rightly </w:t>
      </w:r>
      <w:r w:rsidR="008B1DF6" w:rsidRPr="00C06B3A">
        <w:rPr>
          <w:rFonts w:ascii="Times New Roman" w:hAnsi="Times New Roman"/>
        </w:rPr>
        <w:t>recognises that</w:t>
      </w:r>
      <w:r w:rsidR="007E6018" w:rsidRPr="00C06B3A">
        <w:rPr>
          <w:rFonts w:ascii="Times New Roman" w:hAnsi="Times New Roman"/>
        </w:rPr>
        <w:t xml:space="preserve"> </w:t>
      </w:r>
      <w:r w:rsidR="008B1DF6" w:rsidRPr="00C06B3A">
        <w:rPr>
          <w:rFonts w:ascii="Times New Roman" w:hAnsi="Times New Roman"/>
        </w:rPr>
        <w:t>t</w:t>
      </w:r>
      <w:r w:rsidR="00E24DB4" w:rsidRPr="00C06B3A">
        <w:rPr>
          <w:rFonts w:ascii="Times New Roman" w:hAnsi="Times New Roman"/>
        </w:rPr>
        <w:t xml:space="preserve">he power to make a continuing detention order </w:t>
      </w:r>
      <w:r w:rsidR="00904AAC" w:rsidRPr="00C06B3A">
        <w:rPr>
          <w:rFonts w:ascii="Times New Roman" w:hAnsi="Times New Roman"/>
        </w:rPr>
        <w:t xml:space="preserve">or a supervision order </w:t>
      </w:r>
      <w:r w:rsidR="00E24DB4" w:rsidRPr="00C06B3A">
        <w:rPr>
          <w:rFonts w:ascii="Times New Roman" w:hAnsi="Times New Roman"/>
        </w:rPr>
        <w:t>under the HRSO Act has been conferred by a State Parliament on a State court.</w:t>
      </w:r>
      <w:r w:rsidR="00F67E14" w:rsidRPr="00C06B3A">
        <w:rPr>
          <w:rFonts w:ascii="Times New Roman" w:hAnsi="Times New Roman"/>
        </w:rPr>
        <w:t xml:space="preserve"> </w:t>
      </w:r>
      <w:r w:rsidR="00BD025A" w:rsidRPr="00C06B3A">
        <w:rPr>
          <w:rFonts w:ascii="Times New Roman" w:hAnsi="Times New Roman"/>
        </w:rPr>
        <w:t xml:space="preserve">Whether or not </w:t>
      </w:r>
      <w:r w:rsidR="007C54BA" w:rsidRPr="00C06B3A">
        <w:rPr>
          <w:rFonts w:ascii="Times New Roman" w:hAnsi="Times New Roman"/>
        </w:rPr>
        <w:t>that</w:t>
      </w:r>
      <w:r w:rsidR="00BD025A" w:rsidRPr="00C06B3A">
        <w:rPr>
          <w:rFonts w:ascii="Times New Roman" w:hAnsi="Times New Roman"/>
        </w:rPr>
        <w:t xml:space="preserve"> power is judicial or non</w:t>
      </w:r>
      <w:r w:rsidR="00BD025A" w:rsidRPr="00C06B3A">
        <w:rPr>
          <w:rFonts w:ascii="Times New Roman" w:hAnsi="Times New Roman"/>
        </w:rPr>
        <w:noBreakHyphen/>
        <w:t xml:space="preserve">judicial in character is not determinative as to whether the </w:t>
      </w:r>
      <w:r w:rsidR="00BD025A" w:rsidRPr="00C06B3A">
        <w:rPr>
          <w:rFonts w:ascii="Times New Roman" w:hAnsi="Times New Roman"/>
          <w:i/>
        </w:rPr>
        <w:t xml:space="preserve">Kable </w:t>
      </w:r>
      <w:r w:rsidR="00BD025A" w:rsidRPr="00C06B3A">
        <w:rPr>
          <w:rFonts w:ascii="Times New Roman" w:hAnsi="Times New Roman"/>
        </w:rPr>
        <w:t>principle has been infringed. T</w:t>
      </w:r>
      <w:r w:rsidR="00BC6333" w:rsidRPr="00C06B3A">
        <w:rPr>
          <w:rFonts w:ascii="Times New Roman" w:hAnsi="Times New Roman"/>
        </w:rPr>
        <w:t>he suggestion that</w:t>
      </w:r>
      <w:r w:rsidR="00BD025A" w:rsidRPr="00C06B3A">
        <w:rPr>
          <w:rFonts w:ascii="Times New Roman" w:hAnsi="Times New Roman"/>
        </w:rPr>
        <w:t xml:space="preserve"> investing a power in a </w:t>
      </w:r>
      <w:proofErr w:type="gramStart"/>
      <w:r w:rsidR="00BD025A" w:rsidRPr="00C06B3A">
        <w:rPr>
          <w:rFonts w:ascii="Times New Roman" w:hAnsi="Times New Roman"/>
        </w:rPr>
        <w:t>State</w:t>
      </w:r>
      <w:proofErr w:type="gramEnd"/>
      <w:r w:rsidR="00BD025A" w:rsidRPr="00C06B3A">
        <w:rPr>
          <w:rFonts w:ascii="Times New Roman" w:hAnsi="Times New Roman"/>
        </w:rPr>
        <w:t xml:space="preserve"> court to order preventive detention is repugnant to </w:t>
      </w:r>
      <w:r w:rsidR="00CA74C9" w:rsidRPr="00C06B3A">
        <w:rPr>
          <w:rFonts w:ascii="Times New Roman" w:hAnsi="Times New Roman"/>
        </w:rPr>
        <w:t>its</w:t>
      </w:r>
      <w:r w:rsidR="00BD025A" w:rsidRPr="00C06B3A">
        <w:rPr>
          <w:rFonts w:ascii="Times New Roman" w:hAnsi="Times New Roman"/>
        </w:rPr>
        <w:t xml:space="preserve"> institutional integrity as a Ch III court </w:t>
      </w:r>
      <w:r w:rsidR="00BC6333" w:rsidRPr="00C06B3A">
        <w:rPr>
          <w:rFonts w:ascii="Times New Roman" w:hAnsi="Times New Roman"/>
        </w:rPr>
        <w:t>cannot stand with this Court's decision in</w:t>
      </w:r>
      <w:r w:rsidR="00BD025A" w:rsidRPr="00C06B3A">
        <w:rPr>
          <w:rFonts w:ascii="Times New Roman" w:hAnsi="Times New Roman"/>
        </w:rPr>
        <w:t xml:space="preserve"> </w:t>
      </w:r>
      <w:proofErr w:type="spellStart"/>
      <w:r w:rsidR="00BD025A" w:rsidRPr="00C06B3A">
        <w:rPr>
          <w:rFonts w:ascii="Times New Roman" w:hAnsi="Times New Roman"/>
          <w:i/>
          <w:iCs/>
        </w:rPr>
        <w:t>Fardon</w:t>
      </w:r>
      <w:proofErr w:type="spellEnd"/>
      <w:r w:rsidR="00511F3A" w:rsidRPr="00C06B3A">
        <w:rPr>
          <w:rFonts w:ascii="Times New Roman" w:hAnsi="Times New Roman"/>
        </w:rPr>
        <w:t>;</w:t>
      </w:r>
      <w:r w:rsidR="00E56C02" w:rsidRPr="00C06B3A">
        <w:rPr>
          <w:rFonts w:ascii="Times New Roman" w:hAnsi="Times New Roman"/>
        </w:rPr>
        <w:t xml:space="preserve"> and that is so</w:t>
      </w:r>
      <w:r w:rsidR="00BD025A" w:rsidRPr="00C06B3A">
        <w:rPr>
          <w:rFonts w:ascii="Times New Roman" w:hAnsi="Times New Roman"/>
          <w:i/>
          <w:iCs/>
        </w:rPr>
        <w:t xml:space="preserve"> </w:t>
      </w:r>
      <w:r w:rsidR="00BD025A" w:rsidRPr="00C06B3A">
        <w:rPr>
          <w:rFonts w:ascii="Times New Roman" w:hAnsi="Times New Roman"/>
        </w:rPr>
        <w:t>whether or not that power is</w:t>
      </w:r>
      <w:r w:rsidR="00E56C02" w:rsidRPr="00C06B3A">
        <w:rPr>
          <w:rFonts w:ascii="Times New Roman" w:hAnsi="Times New Roman"/>
        </w:rPr>
        <w:t xml:space="preserve"> properly</w:t>
      </w:r>
      <w:r w:rsidR="00BD025A" w:rsidRPr="00C06B3A">
        <w:rPr>
          <w:rFonts w:ascii="Times New Roman" w:hAnsi="Times New Roman"/>
        </w:rPr>
        <w:t xml:space="preserve"> characterised as </w:t>
      </w:r>
      <w:r w:rsidR="00BD025A" w:rsidRPr="00C06B3A">
        <w:rPr>
          <w:rFonts w:ascii="Times New Roman" w:hAnsi="Times New Roman"/>
        </w:rPr>
        <w:lastRenderedPageBreak/>
        <w:t>judicial power</w:t>
      </w:r>
      <w:r w:rsidR="00BD025A" w:rsidRPr="00C06B3A">
        <w:rPr>
          <w:rStyle w:val="FootnoteReference"/>
          <w:rFonts w:ascii="Times New Roman" w:hAnsi="Times New Roman"/>
          <w:sz w:val="24"/>
        </w:rPr>
        <w:footnoteReference w:id="57"/>
      </w:r>
      <w:r w:rsidR="00BD025A" w:rsidRPr="00C06B3A">
        <w:rPr>
          <w:rFonts w:ascii="Times New Roman" w:hAnsi="Times New Roman"/>
        </w:rPr>
        <w:t xml:space="preserve">. </w:t>
      </w:r>
      <w:r w:rsidR="004D275B" w:rsidRPr="00C06B3A">
        <w:rPr>
          <w:rFonts w:ascii="Times New Roman" w:hAnsi="Times New Roman"/>
        </w:rPr>
        <w:t>Accordingly,</w:t>
      </w:r>
      <w:r w:rsidR="005A07A3" w:rsidRPr="00C06B3A">
        <w:rPr>
          <w:rFonts w:ascii="Times New Roman" w:hAnsi="Times New Roman"/>
        </w:rPr>
        <w:t xml:space="preserve"> </w:t>
      </w:r>
      <w:r w:rsidR="0043110B" w:rsidRPr="00C06B3A">
        <w:rPr>
          <w:rFonts w:ascii="Times New Roman" w:hAnsi="Times New Roman"/>
        </w:rPr>
        <w:t xml:space="preserve">the </w:t>
      </w:r>
      <w:r w:rsidR="0043110B" w:rsidRPr="00C06B3A">
        <w:rPr>
          <w:rFonts w:ascii="Times New Roman" w:hAnsi="Times New Roman"/>
          <w:i/>
        </w:rPr>
        <w:t xml:space="preserve">Lim </w:t>
      </w:r>
      <w:r w:rsidR="0043110B" w:rsidRPr="00C06B3A">
        <w:rPr>
          <w:rFonts w:ascii="Times New Roman" w:hAnsi="Times New Roman"/>
          <w:iCs/>
        </w:rPr>
        <w:t>principle</w:t>
      </w:r>
      <w:r w:rsidR="00170A1E" w:rsidRPr="00C06B3A">
        <w:rPr>
          <w:rFonts w:ascii="Times New Roman" w:hAnsi="Times New Roman"/>
          <w:iCs/>
        </w:rPr>
        <w:t xml:space="preserve"> has no application to</w:t>
      </w:r>
      <w:r w:rsidR="009A6DC9" w:rsidRPr="00C06B3A">
        <w:rPr>
          <w:rFonts w:ascii="Times New Roman" w:hAnsi="Times New Roman"/>
          <w:iCs/>
        </w:rPr>
        <w:t xml:space="preserve"> establish the invalidity of the </w:t>
      </w:r>
      <w:r w:rsidR="00D10C79" w:rsidRPr="00C06B3A">
        <w:rPr>
          <w:rFonts w:ascii="Times New Roman" w:hAnsi="Times New Roman"/>
          <w:iCs/>
        </w:rPr>
        <w:t>HRSO</w:t>
      </w:r>
      <w:r w:rsidR="00CA74C9" w:rsidRPr="00C06B3A">
        <w:rPr>
          <w:rFonts w:ascii="Times New Roman" w:hAnsi="Times New Roman"/>
          <w:iCs/>
        </w:rPr>
        <w:t> </w:t>
      </w:r>
      <w:r w:rsidR="00D10C79" w:rsidRPr="00C06B3A">
        <w:rPr>
          <w:rFonts w:ascii="Times New Roman" w:hAnsi="Times New Roman"/>
          <w:iCs/>
        </w:rPr>
        <w:t>Act</w:t>
      </w:r>
      <w:r w:rsidR="0018666C" w:rsidRPr="00C06B3A">
        <w:rPr>
          <w:rFonts w:ascii="Times New Roman" w:hAnsi="Times New Roman"/>
          <w:iCs/>
        </w:rPr>
        <w:t xml:space="preserve">. </w:t>
      </w:r>
      <w:r w:rsidR="00CA74C9" w:rsidRPr="00C06B3A">
        <w:rPr>
          <w:rFonts w:ascii="Times New Roman" w:hAnsi="Times New Roman"/>
        </w:rPr>
        <w:t xml:space="preserve">Even if the HRSO Act were a law of the Commonwealth, it would not contravene the </w:t>
      </w:r>
      <w:r w:rsidR="00CA74C9" w:rsidRPr="00C06B3A">
        <w:rPr>
          <w:rFonts w:ascii="Times New Roman" w:hAnsi="Times New Roman"/>
          <w:i/>
          <w:iCs/>
        </w:rPr>
        <w:t>Lim</w:t>
      </w:r>
      <w:r w:rsidR="00CA74C9" w:rsidRPr="00C06B3A">
        <w:rPr>
          <w:rFonts w:ascii="Times New Roman" w:hAnsi="Times New Roman"/>
        </w:rPr>
        <w:t xml:space="preserve"> principle.</w:t>
      </w:r>
    </w:p>
    <w:p w14:paraId="1358E417" w14:textId="4FE3CB25" w:rsidR="00100CA8" w:rsidRPr="00C06B3A" w:rsidRDefault="00511F3A" w:rsidP="00C06B3A">
      <w:pPr>
        <w:pStyle w:val="FixListStyle"/>
        <w:spacing w:after="260" w:line="280" w:lineRule="exact"/>
        <w:ind w:right="0"/>
        <w:jc w:val="both"/>
        <w:rPr>
          <w:rFonts w:ascii="Times New Roman" w:hAnsi="Times New Roman"/>
        </w:rPr>
      </w:pPr>
      <w:r w:rsidRPr="00C06B3A">
        <w:rPr>
          <w:rFonts w:ascii="Times New Roman" w:hAnsi="Times New Roman"/>
          <w:iCs/>
        </w:rPr>
        <w:tab/>
      </w:r>
      <w:r w:rsidR="007E6018" w:rsidRPr="00C06B3A">
        <w:rPr>
          <w:rFonts w:ascii="Times New Roman" w:hAnsi="Times New Roman"/>
          <w:iCs/>
        </w:rPr>
        <w:t xml:space="preserve">Nevertheless, </w:t>
      </w:r>
      <w:r w:rsidR="00C51E3F" w:rsidRPr="00C06B3A">
        <w:rPr>
          <w:rFonts w:ascii="Times New Roman" w:hAnsi="Times New Roman"/>
        </w:rPr>
        <w:t>Mr </w:t>
      </w:r>
      <w:proofErr w:type="spellStart"/>
      <w:r w:rsidR="00C51E3F" w:rsidRPr="00C06B3A">
        <w:rPr>
          <w:rFonts w:ascii="Times New Roman" w:hAnsi="Times New Roman"/>
        </w:rPr>
        <w:t>Garlett</w:t>
      </w:r>
      <w:proofErr w:type="spellEnd"/>
      <w:r w:rsidR="00C51E3F" w:rsidRPr="00C06B3A">
        <w:rPr>
          <w:rFonts w:ascii="Times New Roman" w:hAnsi="Times New Roman"/>
        </w:rPr>
        <w:t xml:space="preserve"> sought to maintain </w:t>
      </w:r>
      <w:r w:rsidR="005B3834" w:rsidRPr="00C06B3A">
        <w:rPr>
          <w:rFonts w:ascii="Times New Roman" w:hAnsi="Times New Roman"/>
        </w:rPr>
        <w:t xml:space="preserve">the </w:t>
      </w:r>
      <w:r w:rsidR="00C51E3F" w:rsidRPr="00C06B3A">
        <w:rPr>
          <w:rFonts w:ascii="Times New Roman" w:hAnsi="Times New Roman"/>
        </w:rPr>
        <w:t>submission that the power conferred by the HRSO</w:t>
      </w:r>
      <w:r w:rsidR="00504087" w:rsidRPr="00C06B3A">
        <w:rPr>
          <w:rFonts w:ascii="Times New Roman" w:hAnsi="Times New Roman"/>
        </w:rPr>
        <w:t> </w:t>
      </w:r>
      <w:r w:rsidR="00C51E3F" w:rsidRPr="00C06B3A">
        <w:rPr>
          <w:rFonts w:ascii="Times New Roman" w:hAnsi="Times New Roman"/>
        </w:rPr>
        <w:t>Act</w:t>
      </w:r>
      <w:r w:rsidR="00504087" w:rsidRPr="00C06B3A">
        <w:rPr>
          <w:rFonts w:ascii="Times New Roman" w:hAnsi="Times New Roman"/>
        </w:rPr>
        <w:t>, being</w:t>
      </w:r>
      <w:r w:rsidR="00C51E3F" w:rsidRPr="00C06B3A">
        <w:rPr>
          <w:rFonts w:ascii="Times New Roman" w:hAnsi="Times New Roman"/>
        </w:rPr>
        <w:t xml:space="preserve"> non</w:t>
      </w:r>
      <w:r w:rsidR="00C51E3F" w:rsidRPr="00C06B3A">
        <w:rPr>
          <w:rFonts w:ascii="Times New Roman" w:hAnsi="Times New Roman"/>
        </w:rPr>
        <w:noBreakHyphen/>
        <w:t>judicial</w:t>
      </w:r>
      <w:r w:rsidR="00100CA8" w:rsidRPr="00C06B3A">
        <w:rPr>
          <w:rFonts w:ascii="Times New Roman" w:hAnsi="Times New Roman"/>
        </w:rPr>
        <w:t xml:space="preserve"> in character</w:t>
      </w:r>
      <w:r w:rsidR="00504087" w:rsidRPr="00C06B3A">
        <w:rPr>
          <w:rFonts w:ascii="Times New Roman" w:hAnsi="Times New Roman"/>
        </w:rPr>
        <w:t>,</w:t>
      </w:r>
      <w:r w:rsidR="00100CA8" w:rsidRPr="00C06B3A">
        <w:rPr>
          <w:rFonts w:ascii="Times New Roman" w:hAnsi="Times New Roman"/>
        </w:rPr>
        <w:t xml:space="preserve"> </w:t>
      </w:r>
      <w:r w:rsidR="00504087" w:rsidRPr="00C06B3A">
        <w:rPr>
          <w:rFonts w:ascii="Times New Roman" w:hAnsi="Times New Roman"/>
        </w:rPr>
        <w:t>w</w:t>
      </w:r>
      <w:r w:rsidR="00100CA8" w:rsidRPr="00C06B3A">
        <w:rPr>
          <w:rFonts w:ascii="Times New Roman" w:hAnsi="Times New Roman"/>
        </w:rPr>
        <w:t xml:space="preserve">as a </w:t>
      </w:r>
      <w:r w:rsidR="00C51E3F" w:rsidRPr="00C06B3A">
        <w:rPr>
          <w:rFonts w:ascii="Times New Roman" w:hAnsi="Times New Roman"/>
        </w:rPr>
        <w:t>factor pointing to the conclusion that the impugned provisions of the HRSO</w:t>
      </w:r>
      <w:r w:rsidR="00504087" w:rsidRPr="00C06B3A">
        <w:rPr>
          <w:rFonts w:ascii="Times New Roman" w:hAnsi="Times New Roman"/>
        </w:rPr>
        <w:t> </w:t>
      </w:r>
      <w:r w:rsidR="00C51E3F" w:rsidRPr="00C06B3A">
        <w:rPr>
          <w:rFonts w:ascii="Times New Roman" w:hAnsi="Times New Roman"/>
        </w:rPr>
        <w:t xml:space="preserve">Act substantially impair the </w:t>
      </w:r>
      <w:r w:rsidR="00504087" w:rsidRPr="00C06B3A">
        <w:rPr>
          <w:rFonts w:ascii="Times New Roman" w:hAnsi="Times New Roman"/>
        </w:rPr>
        <w:t xml:space="preserve">institutional </w:t>
      </w:r>
      <w:r w:rsidR="00C51E3F" w:rsidRPr="00C06B3A">
        <w:rPr>
          <w:rFonts w:ascii="Times New Roman" w:hAnsi="Times New Roman"/>
        </w:rPr>
        <w:t>integrity of the Court.</w:t>
      </w:r>
      <w:r w:rsidR="003F7D55" w:rsidRPr="00C06B3A">
        <w:rPr>
          <w:rFonts w:ascii="Times New Roman" w:hAnsi="Times New Roman"/>
        </w:rPr>
        <w:t xml:space="preserve"> </w:t>
      </w:r>
      <w:r w:rsidR="004D275B" w:rsidRPr="00C06B3A">
        <w:rPr>
          <w:rFonts w:ascii="Times New Roman" w:hAnsi="Times New Roman"/>
        </w:rPr>
        <w:t xml:space="preserve">That </w:t>
      </w:r>
      <w:r w:rsidR="002510A7" w:rsidRPr="00C06B3A">
        <w:rPr>
          <w:rFonts w:ascii="Times New Roman" w:hAnsi="Times New Roman"/>
        </w:rPr>
        <w:t>argument should be rejected. Indeed, the</w:t>
      </w:r>
      <w:r w:rsidR="004437C4" w:rsidRPr="00C06B3A">
        <w:rPr>
          <w:rFonts w:ascii="Times New Roman" w:hAnsi="Times New Roman"/>
        </w:rPr>
        <w:t xml:space="preserve"> circumstance that </w:t>
      </w:r>
      <w:r w:rsidR="0029554D" w:rsidRPr="00C06B3A">
        <w:rPr>
          <w:rFonts w:ascii="Times New Roman" w:hAnsi="Times New Roman"/>
        </w:rPr>
        <w:t xml:space="preserve">the power invested in </w:t>
      </w:r>
      <w:r w:rsidR="001912D0" w:rsidRPr="00C06B3A">
        <w:rPr>
          <w:rFonts w:ascii="Times New Roman" w:hAnsi="Times New Roman"/>
        </w:rPr>
        <w:t xml:space="preserve">the Court </w:t>
      </w:r>
      <w:r w:rsidR="00701BEC" w:rsidRPr="00C06B3A">
        <w:rPr>
          <w:rFonts w:ascii="Times New Roman" w:hAnsi="Times New Roman"/>
        </w:rPr>
        <w:t>is recognisable</w:t>
      </w:r>
      <w:r w:rsidR="001912D0" w:rsidRPr="00C06B3A">
        <w:rPr>
          <w:rFonts w:ascii="Times New Roman" w:hAnsi="Times New Roman"/>
        </w:rPr>
        <w:t xml:space="preserve"> as an orthodox exercise of judicial power</w:t>
      </w:r>
      <w:r w:rsidR="004437C4" w:rsidRPr="00C06B3A">
        <w:rPr>
          <w:rFonts w:ascii="Times New Roman" w:hAnsi="Times New Roman"/>
        </w:rPr>
        <w:t xml:space="preserve"> </w:t>
      </w:r>
      <w:r w:rsidR="000E435C" w:rsidRPr="00C06B3A">
        <w:rPr>
          <w:rFonts w:ascii="Times New Roman" w:hAnsi="Times New Roman"/>
        </w:rPr>
        <w:t>may be seen as</w:t>
      </w:r>
      <w:r w:rsidR="004437C4" w:rsidRPr="00C06B3A">
        <w:rPr>
          <w:rFonts w:ascii="Times New Roman" w:hAnsi="Times New Roman"/>
        </w:rPr>
        <w:t xml:space="preserve"> a positive indicator of validity.</w:t>
      </w:r>
    </w:p>
    <w:p w14:paraId="42C321DA" w14:textId="5922A661" w:rsidR="003D3F4D" w:rsidRPr="00C06B3A" w:rsidRDefault="00351117" w:rsidP="00C06B3A">
      <w:pPr>
        <w:pStyle w:val="FixListStyle"/>
        <w:spacing w:after="260" w:line="280" w:lineRule="exact"/>
        <w:ind w:right="0"/>
        <w:jc w:val="both"/>
        <w:rPr>
          <w:rFonts w:ascii="Times New Roman" w:hAnsi="Times New Roman"/>
        </w:rPr>
      </w:pPr>
      <w:r w:rsidRPr="00C06B3A">
        <w:rPr>
          <w:rFonts w:ascii="Times New Roman" w:hAnsi="Times New Roman"/>
          <w:iCs/>
        </w:rPr>
        <w:tab/>
      </w:r>
      <w:r w:rsidR="003D5B1B" w:rsidRPr="00C06B3A">
        <w:rPr>
          <w:rFonts w:ascii="Times New Roman" w:hAnsi="Times New Roman"/>
        </w:rPr>
        <w:t>Mr </w:t>
      </w:r>
      <w:proofErr w:type="spellStart"/>
      <w:r w:rsidR="003D5B1B" w:rsidRPr="00C06B3A">
        <w:rPr>
          <w:rFonts w:ascii="Times New Roman" w:hAnsi="Times New Roman"/>
        </w:rPr>
        <w:t>Garlett</w:t>
      </w:r>
      <w:proofErr w:type="spellEnd"/>
      <w:r w:rsidR="003D5B1B" w:rsidRPr="00C06B3A">
        <w:rPr>
          <w:rFonts w:ascii="Times New Roman" w:hAnsi="Times New Roman"/>
        </w:rPr>
        <w:t xml:space="preserve"> </w:t>
      </w:r>
      <w:r w:rsidR="006E676A" w:rsidRPr="00C06B3A">
        <w:rPr>
          <w:rFonts w:ascii="Times New Roman" w:hAnsi="Times New Roman"/>
        </w:rPr>
        <w:t xml:space="preserve">sought to </w:t>
      </w:r>
      <w:r w:rsidR="00231BF0" w:rsidRPr="00C06B3A">
        <w:rPr>
          <w:rFonts w:ascii="Times New Roman" w:hAnsi="Times New Roman"/>
        </w:rPr>
        <w:t xml:space="preserve">sideline the authority of </w:t>
      </w:r>
      <w:proofErr w:type="spellStart"/>
      <w:r w:rsidR="00231BF0" w:rsidRPr="00C06B3A">
        <w:rPr>
          <w:rFonts w:ascii="Times New Roman" w:hAnsi="Times New Roman"/>
          <w:i/>
          <w:iCs/>
        </w:rPr>
        <w:t>Fardon</w:t>
      </w:r>
      <w:proofErr w:type="spellEnd"/>
      <w:r w:rsidR="00522B8D" w:rsidRPr="00C06B3A">
        <w:rPr>
          <w:rFonts w:ascii="Times New Roman" w:hAnsi="Times New Roman"/>
          <w:i/>
          <w:iCs/>
        </w:rPr>
        <w:t xml:space="preserve"> </w:t>
      </w:r>
      <w:r w:rsidR="00522B8D" w:rsidRPr="00C06B3A">
        <w:rPr>
          <w:rFonts w:ascii="Times New Roman" w:hAnsi="Times New Roman"/>
        </w:rPr>
        <w:t>by noting differences between</w:t>
      </w:r>
      <w:r w:rsidR="006E676A" w:rsidRPr="00C06B3A">
        <w:rPr>
          <w:rFonts w:ascii="Times New Roman" w:hAnsi="Times New Roman"/>
        </w:rPr>
        <w:t xml:space="preserve"> the HRSO</w:t>
      </w:r>
      <w:r w:rsidR="008E6714" w:rsidRPr="00C06B3A">
        <w:rPr>
          <w:rFonts w:ascii="Times New Roman" w:hAnsi="Times New Roman"/>
        </w:rPr>
        <w:t> </w:t>
      </w:r>
      <w:r w:rsidR="006E676A" w:rsidRPr="00C06B3A">
        <w:rPr>
          <w:rFonts w:ascii="Times New Roman" w:hAnsi="Times New Roman"/>
        </w:rPr>
        <w:t xml:space="preserve">Act </w:t>
      </w:r>
      <w:r w:rsidR="003D3F4D" w:rsidRPr="00C06B3A">
        <w:rPr>
          <w:rFonts w:ascii="Times New Roman" w:hAnsi="Times New Roman"/>
        </w:rPr>
        <w:t>and</w:t>
      </w:r>
      <w:r w:rsidR="006E676A" w:rsidRPr="00C06B3A">
        <w:rPr>
          <w:rFonts w:ascii="Times New Roman" w:hAnsi="Times New Roman"/>
        </w:rPr>
        <w:t xml:space="preserve"> the </w:t>
      </w:r>
      <w:r w:rsidR="008E6714" w:rsidRPr="00C06B3A">
        <w:rPr>
          <w:rFonts w:ascii="Times New Roman" w:hAnsi="Times New Roman"/>
        </w:rPr>
        <w:t>DPSO Act</w:t>
      </w:r>
      <w:r w:rsidR="006E676A" w:rsidRPr="00C06B3A">
        <w:rPr>
          <w:rFonts w:ascii="Times New Roman" w:hAnsi="Times New Roman"/>
        </w:rPr>
        <w:t xml:space="preserve">. </w:t>
      </w:r>
      <w:r w:rsidR="00D1200C" w:rsidRPr="00C06B3A">
        <w:rPr>
          <w:rFonts w:ascii="Times New Roman" w:hAnsi="Times New Roman"/>
        </w:rPr>
        <w:t xml:space="preserve">It was said that because s 48 of the HRSO Act </w:t>
      </w:r>
      <w:r w:rsidR="003D3F4D" w:rsidRPr="00C06B3A">
        <w:rPr>
          <w:rFonts w:ascii="Times New Roman" w:hAnsi="Times New Roman"/>
        </w:rPr>
        <w:t>provides that</w:t>
      </w:r>
      <w:r w:rsidR="00D1200C" w:rsidRPr="00C06B3A">
        <w:rPr>
          <w:rFonts w:ascii="Times New Roman" w:hAnsi="Times New Roman"/>
        </w:rPr>
        <w:t xml:space="preserve"> the Court </w:t>
      </w:r>
      <w:r w:rsidR="003D3F4D" w:rsidRPr="00C06B3A">
        <w:rPr>
          <w:rFonts w:ascii="Times New Roman" w:hAnsi="Times New Roman"/>
        </w:rPr>
        <w:t>must</w:t>
      </w:r>
      <w:r w:rsidR="00D1200C" w:rsidRPr="00C06B3A">
        <w:rPr>
          <w:rFonts w:ascii="Times New Roman" w:hAnsi="Times New Roman"/>
        </w:rPr>
        <w:t xml:space="preserve"> make a restrictio</w:t>
      </w:r>
      <w:r w:rsidR="000C0CCC" w:rsidRPr="00C06B3A">
        <w:rPr>
          <w:rFonts w:ascii="Times New Roman" w:hAnsi="Times New Roman"/>
        </w:rPr>
        <w:t>n</w:t>
      </w:r>
      <w:r w:rsidR="00D1200C" w:rsidRPr="00C06B3A">
        <w:rPr>
          <w:rFonts w:ascii="Times New Roman" w:hAnsi="Times New Roman"/>
        </w:rPr>
        <w:t xml:space="preserve"> order if satisfied of the matters in s 7, the abs</w:t>
      </w:r>
      <w:r w:rsidR="000C0CCC" w:rsidRPr="00C06B3A">
        <w:rPr>
          <w:rFonts w:ascii="Times New Roman" w:hAnsi="Times New Roman"/>
        </w:rPr>
        <w:t>e</w:t>
      </w:r>
      <w:r w:rsidR="00D1200C" w:rsidRPr="00C06B3A">
        <w:rPr>
          <w:rFonts w:ascii="Times New Roman" w:hAnsi="Times New Roman"/>
        </w:rPr>
        <w:t xml:space="preserve">nce of a discretion in the Court not to make </w:t>
      </w:r>
      <w:r w:rsidR="003D3F4D" w:rsidRPr="00C06B3A">
        <w:rPr>
          <w:rFonts w:ascii="Times New Roman" w:hAnsi="Times New Roman"/>
        </w:rPr>
        <w:t>the</w:t>
      </w:r>
      <w:r w:rsidR="00D1200C" w:rsidRPr="00C06B3A">
        <w:rPr>
          <w:rFonts w:ascii="Times New Roman" w:hAnsi="Times New Roman"/>
        </w:rPr>
        <w:t xml:space="preserve"> order means that the Court is required to act under dicta</w:t>
      </w:r>
      <w:r w:rsidR="000C0CCC" w:rsidRPr="00C06B3A">
        <w:rPr>
          <w:rFonts w:ascii="Times New Roman" w:hAnsi="Times New Roman"/>
        </w:rPr>
        <w:t>ti</w:t>
      </w:r>
      <w:r w:rsidR="00D1200C" w:rsidRPr="00C06B3A">
        <w:rPr>
          <w:rFonts w:ascii="Times New Roman" w:hAnsi="Times New Roman"/>
        </w:rPr>
        <w:t xml:space="preserve">on from the </w:t>
      </w:r>
      <w:r w:rsidR="00A45B2B" w:rsidRPr="00C06B3A">
        <w:rPr>
          <w:rFonts w:ascii="Times New Roman" w:hAnsi="Times New Roman"/>
        </w:rPr>
        <w:t>executive</w:t>
      </w:r>
      <w:r w:rsidR="00D1200C" w:rsidRPr="00C06B3A">
        <w:rPr>
          <w:rFonts w:ascii="Times New Roman" w:hAnsi="Times New Roman"/>
        </w:rPr>
        <w:t xml:space="preserve">. </w:t>
      </w:r>
    </w:p>
    <w:p w14:paraId="20CE49D7" w14:textId="055DBF14" w:rsidR="0099600D" w:rsidRPr="00C06B3A" w:rsidRDefault="003D3F4D"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6E676A" w:rsidRPr="00C06B3A">
        <w:rPr>
          <w:rFonts w:ascii="Times New Roman" w:hAnsi="Times New Roman"/>
        </w:rPr>
        <w:t xml:space="preserve">It was </w:t>
      </w:r>
      <w:r w:rsidR="00D1200C" w:rsidRPr="00C06B3A">
        <w:rPr>
          <w:rFonts w:ascii="Times New Roman" w:hAnsi="Times New Roman"/>
        </w:rPr>
        <w:t xml:space="preserve">also </w:t>
      </w:r>
      <w:r w:rsidR="003D5B1B" w:rsidRPr="00C06B3A">
        <w:rPr>
          <w:rFonts w:ascii="Times New Roman" w:hAnsi="Times New Roman"/>
        </w:rPr>
        <w:t xml:space="preserve">argued that the </w:t>
      </w:r>
      <w:r w:rsidR="00D10C79" w:rsidRPr="00C06B3A">
        <w:rPr>
          <w:rFonts w:ascii="Times New Roman" w:hAnsi="Times New Roman"/>
        </w:rPr>
        <w:t>HRSO</w:t>
      </w:r>
      <w:r w:rsidR="003D5B1B" w:rsidRPr="00C06B3A">
        <w:rPr>
          <w:rFonts w:ascii="Times New Roman" w:hAnsi="Times New Roman"/>
        </w:rPr>
        <w:t xml:space="preserve"> Act </w:t>
      </w:r>
      <w:r w:rsidR="00D10C79" w:rsidRPr="00C06B3A">
        <w:rPr>
          <w:rFonts w:ascii="Times New Roman" w:hAnsi="Times New Roman"/>
        </w:rPr>
        <w:t xml:space="preserve">is significantly different </w:t>
      </w:r>
      <w:r w:rsidR="00647B5C" w:rsidRPr="00C06B3A">
        <w:rPr>
          <w:rFonts w:ascii="Times New Roman" w:hAnsi="Times New Roman"/>
        </w:rPr>
        <w:t xml:space="preserve">from the </w:t>
      </w:r>
      <w:r w:rsidR="00B7124A" w:rsidRPr="00C06B3A">
        <w:rPr>
          <w:rFonts w:ascii="Times New Roman" w:hAnsi="Times New Roman"/>
        </w:rPr>
        <w:t>DPSO Act</w:t>
      </w:r>
      <w:r w:rsidR="00F475D1" w:rsidRPr="00C06B3A">
        <w:rPr>
          <w:rFonts w:ascii="Times New Roman" w:hAnsi="Times New Roman"/>
        </w:rPr>
        <w:t>,</w:t>
      </w:r>
      <w:r w:rsidR="006A5F65" w:rsidRPr="00C06B3A">
        <w:rPr>
          <w:rFonts w:ascii="Times New Roman" w:hAnsi="Times New Roman"/>
          <w:i/>
          <w:iCs/>
        </w:rPr>
        <w:t xml:space="preserve"> </w:t>
      </w:r>
      <w:r w:rsidR="006A5F65" w:rsidRPr="00C06B3A">
        <w:rPr>
          <w:rFonts w:ascii="Times New Roman" w:hAnsi="Times New Roman"/>
        </w:rPr>
        <w:t xml:space="preserve">which </w:t>
      </w:r>
      <w:r w:rsidR="00F475D1" w:rsidRPr="00C06B3A">
        <w:rPr>
          <w:rFonts w:ascii="Times New Roman" w:hAnsi="Times New Roman"/>
        </w:rPr>
        <w:t>applied only to a "serious sexual offence"</w:t>
      </w:r>
      <w:r w:rsidR="00F475D1" w:rsidRPr="00C06B3A">
        <w:rPr>
          <w:rStyle w:val="FootnoteReference"/>
          <w:rFonts w:ascii="Times New Roman" w:hAnsi="Times New Roman"/>
          <w:sz w:val="24"/>
        </w:rPr>
        <w:footnoteReference w:id="58"/>
      </w:r>
      <w:r w:rsidR="003D5B1B" w:rsidRPr="00C06B3A">
        <w:rPr>
          <w:rFonts w:ascii="Times New Roman" w:hAnsi="Times New Roman"/>
        </w:rPr>
        <w:t xml:space="preserve">. </w:t>
      </w:r>
      <w:r w:rsidR="00BC1CAC" w:rsidRPr="00C06B3A">
        <w:rPr>
          <w:rFonts w:ascii="Times New Roman" w:hAnsi="Times New Roman"/>
        </w:rPr>
        <w:t>This submission was developed by</w:t>
      </w:r>
      <w:r w:rsidR="003D5B1B" w:rsidRPr="00C06B3A">
        <w:rPr>
          <w:rFonts w:ascii="Times New Roman" w:hAnsi="Times New Roman"/>
        </w:rPr>
        <w:t xml:space="preserve"> </w:t>
      </w:r>
      <w:proofErr w:type="gramStart"/>
      <w:r w:rsidR="003D5B1B" w:rsidRPr="00C06B3A">
        <w:rPr>
          <w:rFonts w:ascii="Times New Roman" w:hAnsi="Times New Roman"/>
        </w:rPr>
        <w:t>a number of</w:t>
      </w:r>
      <w:proofErr w:type="gramEnd"/>
      <w:r w:rsidR="003D5B1B" w:rsidRPr="00C06B3A">
        <w:rPr>
          <w:rFonts w:ascii="Times New Roman" w:hAnsi="Times New Roman"/>
        </w:rPr>
        <w:t xml:space="preserve"> contentions advanced in various ways; but the gravamen of </w:t>
      </w:r>
      <w:r w:rsidR="00BC1CAC" w:rsidRPr="00C06B3A">
        <w:rPr>
          <w:rFonts w:ascii="Times New Roman" w:hAnsi="Times New Roman"/>
        </w:rPr>
        <w:t>Mr </w:t>
      </w:r>
      <w:proofErr w:type="spellStart"/>
      <w:r w:rsidR="00BC1CAC" w:rsidRPr="00C06B3A">
        <w:rPr>
          <w:rFonts w:ascii="Times New Roman" w:hAnsi="Times New Roman"/>
        </w:rPr>
        <w:t>Garlett's</w:t>
      </w:r>
      <w:proofErr w:type="spellEnd"/>
      <w:r w:rsidR="003D5B1B" w:rsidRPr="00C06B3A">
        <w:rPr>
          <w:rFonts w:ascii="Times New Roman" w:hAnsi="Times New Roman"/>
        </w:rPr>
        <w:t xml:space="preserve"> argument</w:t>
      </w:r>
      <w:r w:rsidR="00BC1CAC" w:rsidRPr="00C06B3A">
        <w:rPr>
          <w:rFonts w:ascii="Times New Roman" w:hAnsi="Times New Roman"/>
        </w:rPr>
        <w:t xml:space="preserve"> </w:t>
      </w:r>
      <w:r w:rsidR="003D5B1B" w:rsidRPr="00C06B3A">
        <w:rPr>
          <w:rFonts w:ascii="Times New Roman" w:hAnsi="Times New Roman"/>
        </w:rPr>
        <w:t xml:space="preserve">was that the offence of robbery under s 392 of the </w:t>
      </w:r>
      <w:r w:rsidR="003D5B1B" w:rsidRPr="00C06B3A">
        <w:rPr>
          <w:rFonts w:ascii="Times New Roman" w:hAnsi="Times New Roman"/>
          <w:i/>
          <w:iCs/>
        </w:rPr>
        <w:t>Criminal Code</w:t>
      </w:r>
      <w:r w:rsidR="004541B2" w:rsidRPr="00C06B3A">
        <w:rPr>
          <w:rFonts w:ascii="Times New Roman" w:hAnsi="Times New Roman"/>
          <w:iCs/>
        </w:rPr>
        <w:t> (WA)</w:t>
      </w:r>
      <w:r w:rsidR="003D5B1B" w:rsidRPr="00C06B3A">
        <w:rPr>
          <w:rFonts w:ascii="Times New Roman" w:hAnsi="Times New Roman"/>
          <w:i/>
          <w:iCs/>
        </w:rPr>
        <w:t xml:space="preserve"> </w:t>
      </w:r>
      <w:r w:rsidR="00BC1CAC" w:rsidRPr="00C06B3A">
        <w:rPr>
          <w:rFonts w:ascii="Times New Roman" w:hAnsi="Times New Roman"/>
        </w:rPr>
        <w:t>simply</w:t>
      </w:r>
      <w:r w:rsidR="003D5B1B" w:rsidRPr="00C06B3A">
        <w:rPr>
          <w:rFonts w:ascii="Times New Roman" w:hAnsi="Times New Roman"/>
        </w:rPr>
        <w:t xml:space="preserve"> </w:t>
      </w:r>
      <w:r w:rsidR="00877621" w:rsidRPr="00C06B3A">
        <w:rPr>
          <w:rFonts w:ascii="Times New Roman" w:hAnsi="Times New Roman"/>
        </w:rPr>
        <w:t>can</w:t>
      </w:r>
      <w:r w:rsidR="003D5B1B" w:rsidRPr="00C06B3A">
        <w:rPr>
          <w:rFonts w:ascii="Times New Roman" w:hAnsi="Times New Roman"/>
        </w:rPr>
        <w:t>not</w:t>
      </w:r>
      <w:r w:rsidR="00877621" w:rsidRPr="00C06B3A">
        <w:rPr>
          <w:rFonts w:ascii="Times New Roman" w:hAnsi="Times New Roman"/>
        </w:rPr>
        <w:t xml:space="preserve"> be</w:t>
      </w:r>
      <w:r w:rsidR="003D5B1B" w:rsidRPr="00C06B3A">
        <w:rPr>
          <w:rFonts w:ascii="Times New Roman" w:hAnsi="Times New Roman"/>
        </w:rPr>
        <w:t xml:space="preserve"> sufficiently </w:t>
      </w:r>
      <w:r w:rsidR="00BC1CAC" w:rsidRPr="00C06B3A">
        <w:rPr>
          <w:rFonts w:ascii="Times New Roman" w:hAnsi="Times New Roman"/>
        </w:rPr>
        <w:t>"</w:t>
      </w:r>
      <w:r w:rsidR="003D5B1B" w:rsidRPr="00C06B3A">
        <w:rPr>
          <w:rFonts w:ascii="Times New Roman" w:hAnsi="Times New Roman"/>
        </w:rPr>
        <w:t>serious</w:t>
      </w:r>
      <w:r w:rsidR="00BC1CAC" w:rsidRPr="00C06B3A">
        <w:rPr>
          <w:rFonts w:ascii="Times New Roman" w:hAnsi="Times New Roman"/>
        </w:rPr>
        <w:t>"</w:t>
      </w:r>
      <w:r w:rsidR="003D5B1B" w:rsidRPr="00C06B3A">
        <w:rPr>
          <w:rFonts w:ascii="Times New Roman" w:hAnsi="Times New Roman"/>
        </w:rPr>
        <w:t xml:space="preserve"> to be a </w:t>
      </w:r>
      <w:r w:rsidR="00144138" w:rsidRPr="00C06B3A">
        <w:rPr>
          <w:rFonts w:ascii="Times New Roman" w:hAnsi="Times New Roman"/>
        </w:rPr>
        <w:t xml:space="preserve">permissible </w:t>
      </w:r>
      <w:r w:rsidR="003D5B1B" w:rsidRPr="00C06B3A">
        <w:rPr>
          <w:rFonts w:ascii="Times New Roman" w:hAnsi="Times New Roman"/>
        </w:rPr>
        <w:t>basis for</w:t>
      </w:r>
      <w:r w:rsidR="00877621" w:rsidRPr="00C06B3A">
        <w:rPr>
          <w:rFonts w:ascii="Times New Roman" w:hAnsi="Times New Roman"/>
        </w:rPr>
        <w:t xml:space="preserve"> seeking</w:t>
      </w:r>
      <w:r w:rsidR="003D5B1B" w:rsidRPr="00C06B3A">
        <w:rPr>
          <w:rFonts w:ascii="Times New Roman" w:hAnsi="Times New Roman"/>
        </w:rPr>
        <w:t xml:space="preserve"> a </w:t>
      </w:r>
      <w:r w:rsidR="00877621" w:rsidRPr="00C06B3A">
        <w:rPr>
          <w:rFonts w:ascii="Times New Roman" w:hAnsi="Times New Roman"/>
        </w:rPr>
        <w:t>restriction</w:t>
      </w:r>
      <w:r w:rsidR="003D5B1B" w:rsidRPr="00C06B3A">
        <w:rPr>
          <w:rFonts w:ascii="Times New Roman" w:hAnsi="Times New Roman"/>
        </w:rPr>
        <w:t xml:space="preserve"> order. </w:t>
      </w:r>
      <w:r w:rsidR="004F18A0" w:rsidRPr="00C06B3A">
        <w:rPr>
          <w:rFonts w:ascii="Times New Roman" w:hAnsi="Times New Roman"/>
        </w:rPr>
        <w:t xml:space="preserve">It was also </w:t>
      </w:r>
      <w:r w:rsidR="00DD0C6B" w:rsidRPr="00C06B3A">
        <w:rPr>
          <w:rFonts w:ascii="Times New Roman" w:hAnsi="Times New Roman"/>
        </w:rPr>
        <w:t>said</w:t>
      </w:r>
      <w:r w:rsidR="009B3B63" w:rsidRPr="00C06B3A">
        <w:rPr>
          <w:rFonts w:ascii="Times New Roman" w:hAnsi="Times New Roman"/>
        </w:rPr>
        <w:t xml:space="preserve"> on Mr </w:t>
      </w:r>
      <w:proofErr w:type="spellStart"/>
      <w:r w:rsidR="009B3B63" w:rsidRPr="00C06B3A">
        <w:rPr>
          <w:rFonts w:ascii="Times New Roman" w:hAnsi="Times New Roman"/>
        </w:rPr>
        <w:t>Garlett's</w:t>
      </w:r>
      <w:proofErr w:type="spellEnd"/>
      <w:r w:rsidR="009B3B63" w:rsidRPr="00C06B3A">
        <w:rPr>
          <w:rFonts w:ascii="Times New Roman" w:hAnsi="Times New Roman"/>
        </w:rPr>
        <w:t xml:space="preserve"> behalf </w:t>
      </w:r>
      <w:r w:rsidR="004F18A0" w:rsidRPr="00C06B3A">
        <w:rPr>
          <w:rFonts w:ascii="Times New Roman" w:hAnsi="Times New Roman"/>
        </w:rPr>
        <w:t>that</w:t>
      </w:r>
      <w:r w:rsidR="00DD0C6B" w:rsidRPr="00C06B3A">
        <w:rPr>
          <w:rFonts w:ascii="Times New Roman" w:hAnsi="Times New Roman"/>
        </w:rPr>
        <w:t xml:space="preserve"> because</w:t>
      </w:r>
      <w:r w:rsidR="004F18A0" w:rsidRPr="00C06B3A">
        <w:rPr>
          <w:rFonts w:ascii="Times New Roman" w:hAnsi="Times New Roman"/>
        </w:rPr>
        <w:t xml:space="preserve"> there is no correlation in the HRSO Act between the nature of the </w:t>
      </w:r>
      <w:r w:rsidR="007C1C09" w:rsidRPr="00C06B3A">
        <w:rPr>
          <w:rFonts w:ascii="Times New Roman" w:hAnsi="Times New Roman"/>
        </w:rPr>
        <w:t>"serious offence"</w:t>
      </w:r>
      <w:r w:rsidR="004F18A0" w:rsidRPr="00C06B3A">
        <w:rPr>
          <w:rFonts w:ascii="Times New Roman" w:hAnsi="Times New Roman"/>
        </w:rPr>
        <w:t xml:space="preserve"> which</w:t>
      </w:r>
      <w:r w:rsidR="007C1C09" w:rsidRPr="00C06B3A">
        <w:rPr>
          <w:rFonts w:ascii="Times New Roman" w:hAnsi="Times New Roman"/>
        </w:rPr>
        <w:t xml:space="preserve"> may</w:t>
      </w:r>
      <w:r w:rsidR="004F18A0" w:rsidRPr="00C06B3A">
        <w:rPr>
          <w:rFonts w:ascii="Times New Roman" w:hAnsi="Times New Roman"/>
        </w:rPr>
        <w:t xml:space="preserve"> trigger the operation of the Act, and the risk </w:t>
      </w:r>
      <w:r w:rsidR="007C1C09" w:rsidRPr="00C06B3A">
        <w:rPr>
          <w:rFonts w:ascii="Times New Roman" w:hAnsi="Times New Roman"/>
        </w:rPr>
        <w:t xml:space="preserve">of harm </w:t>
      </w:r>
      <w:r w:rsidR="004F18A0" w:rsidRPr="00C06B3A">
        <w:rPr>
          <w:rFonts w:ascii="Times New Roman" w:hAnsi="Times New Roman"/>
        </w:rPr>
        <w:t>against which a detention order is to protect</w:t>
      </w:r>
      <w:r w:rsidR="00DD0C6B" w:rsidRPr="00C06B3A">
        <w:rPr>
          <w:rFonts w:ascii="Times New Roman" w:hAnsi="Times New Roman"/>
        </w:rPr>
        <w:t>, t</w:t>
      </w:r>
      <w:r w:rsidR="004F18A0" w:rsidRPr="00C06B3A">
        <w:rPr>
          <w:rFonts w:ascii="Times New Roman" w:hAnsi="Times New Roman"/>
        </w:rPr>
        <w:t xml:space="preserve">he HRSO Act </w:t>
      </w:r>
      <w:r w:rsidR="002E694D" w:rsidRPr="00C06B3A">
        <w:rPr>
          <w:rFonts w:ascii="Times New Roman" w:hAnsi="Times New Roman"/>
        </w:rPr>
        <w:t>i</w:t>
      </w:r>
      <w:r w:rsidR="00F6105A" w:rsidRPr="00C06B3A">
        <w:rPr>
          <w:rFonts w:ascii="Times New Roman" w:hAnsi="Times New Roman"/>
        </w:rPr>
        <w:t>mpermissi</w:t>
      </w:r>
      <w:r w:rsidR="002F33BB" w:rsidRPr="00C06B3A">
        <w:rPr>
          <w:rFonts w:ascii="Times New Roman" w:hAnsi="Times New Roman"/>
        </w:rPr>
        <w:t>bly</w:t>
      </w:r>
      <w:r w:rsidR="002E39BF" w:rsidRPr="00C06B3A">
        <w:rPr>
          <w:rFonts w:ascii="Times New Roman" w:hAnsi="Times New Roman"/>
        </w:rPr>
        <w:t xml:space="preserve"> create</w:t>
      </w:r>
      <w:r w:rsidR="002D59D9" w:rsidRPr="00C06B3A">
        <w:rPr>
          <w:rFonts w:ascii="Times New Roman" w:hAnsi="Times New Roman"/>
        </w:rPr>
        <w:t>s</w:t>
      </w:r>
      <w:r w:rsidR="002E39BF" w:rsidRPr="00C06B3A">
        <w:rPr>
          <w:rFonts w:ascii="Times New Roman" w:hAnsi="Times New Roman"/>
        </w:rPr>
        <w:t xml:space="preserve"> a scheme </w:t>
      </w:r>
      <w:r w:rsidR="002F33BB" w:rsidRPr="00C06B3A">
        <w:rPr>
          <w:rFonts w:ascii="Times New Roman" w:hAnsi="Times New Roman"/>
        </w:rPr>
        <w:t>under which</w:t>
      </w:r>
      <w:r w:rsidR="002E39BF" w:rsidRPr="00C06B3A">
        <w:rPr>
          <w:rFonts w:ascii="Times New Roman" w:hAnsi="Times New Roman"/>
        </w:rPr>
        <w:t xml:space="preserve"> the Court </w:t>
      </w:r>
      <w:r w:rsidR="007B7DDF" w:rsidRPr="00C06B3A">
        <w:rPr>
          <w:rFonts w:ascii="Times New Roman" w:hAnsi="Times New Roman"/>
        </w:rPr>
        <w:t xml:space="preserve">may </w:t>
      </w:r>
      <w:r w:rsidR="002D59D9" w:rsidRPr="00C06B3A">
        <w:rPr>
          <w:rFonts w:ascii="Times New Roman" w:hAnsi="Times New Roman"/>
        </w:rPr>
        <w:t>decide that</w:t>
      </w:r>
      <w:r w:rsidR="004F18A0" w:rsidRPr="00C06B3A">
        <w:rPr>
          <w:rFonts w:ascii="Times New Roman" w:hAnsi="Times New Roman"/>
        </w:rPr>
        <w:t xml:space="preserve"> a </w:t>
      </w:r>
      <w:r w:rsidR="002E1B97" w:rsidRPr="00C06B3A">
        <w:rPr>
          <w:rFonts w:ascii="Times New Roman" w:hAnsi="Times New Roman"/>
        </w:rPr>
        <w:t>person</w:t>
      </w:r>
      <w:r w:rsidR="004F18A0" w:rsidRPr="00C06B3A">
        <w:rPr>
          <w:rFonts w:ascii="Times New Roman" w:hAnsi="Times New Roman"/>
        </w:rPr>
        <w:t xml:space="preserve">, having served a term for rape, should </w:t>
      </w:r>
      <w:r w:rsidR="00144138" w:rsidRPr="00C06B3A">
        <w:rPr>
          <w:rFonts w:ascii="Times New Roman" w:hAnsi="Times New Roman"/>
        </w:rPr>
        <w:t xml:space="preserve">not </w:t>
      </w:r>
      <w:r w:rsidR="004F18A0" w:rsidRPr="00C06B3A">
        <w:rPr>
          <w:rFonts w:ascii="Times New Roman" w:hAnsi="Times New Roman"/>
        </w:rPr>
        <w:t xml:space="preserve">be released from prison because of the risk that </w:t>
      </w:r>
      <w:r w:rsidR="002E1B97" w:rsidRPr="00C06B3A">
        <w:rPr>
          <w:rFonts w:ascii="Times New Roman" w:hAnsi="Times New Roman"/>
        </w:rPr>
        <w:t>the person</w:t>
      </w:r>
      <w:r w:rsidR="004F18A0" w:rsidRPr="00C06B3A">
        <w:rPr>
          <w:rFonts w:ascii="Times New Roman" w:hAnsi="Times New Roman"/>
        </w:rPr>
        <w:t xml:space="preserve"> might commit a robbery.</w:t>
      </w:r>
    </w:p>
    <w:p w14:paraId="3448AE44" w14:textId="161B72E5" w:rsidR="00013080" w:rsidRPr="00C06B3A" w:rsidRDefault="00013080" w:rsidP="00C06B3A">
      <w:pPr>
        <w:pStyle w:val="FixListStyle"/>
        <w:spacing w:after="260" w:line="280" w:lineRule="exact"/>
        <w:ind w:right="0"/>
        <w:jc w:val="both"/>
        <w:rPr>
          <w:rFonts w:ascii="Times New Roman" w:hAnsi="Times New Roman"/>
        </w:rPr>
      </w:pPr>
      <w:r w:rsidRPr="00C06B3A">
        <w:rPr>
          <w:rFonts w:ascii="Times New Roman" w:hAnsi="Times New Roman"/>
        </w:rPr>
        <w:tab/>
        <w:t>Mr </w:t>
      </w:r>
      <w:proofErr w:type="spellStart"/>
      <w:r w:rsidRPr="00C06B3A">
        <w:rPr>
          <w:rFonts w:ascii="Times New Roman" w:hAnsi="Times New Roman"/>
        </w:rPr>
        <w:t>Garlett's</w:t>
      </w:r>
      <w:proofErr w:type="spellEnd"/>
      <w:r w:rsidRPr="00C06B3A">
        <w:rPr>
          <w:rFonts w:ascii="Times New Roman" w:hAnsi="Times New Roman"/>
        </w:rPr>
        <w:t xml:space="preserve"> arguments may now be considered.</w:t>
      </w:r>
    </w:p>
    <w:p w14:paraId="599D1236" w14:textId="77777777" w:rsidR="00B35ADC" w:rsidRPr="00C06B3A" w:rsidRDefault="00B35ADC" w:rsidP="00C06B3A">
      <w:pPr>
        <w:pStyle w:val="HeadingL1"/>
        <w:spacing w:after="260" w:line="280" w:lineRule="exact"/>
        <w:ind w:right="0"/>
        <w:jc w:val="both"/>
        <w:rPr>
          <w:rFonts w:ascii="Times New Roman" w:hAnsi="Times New Roman"/>
        </w:rPr>
      </w:pPr>
      <w:r w:rsidRPr="00C06B3A">
        <w:rPr>
          <w:rFonts w:ascii="Times New Roman" w:hAnsi="Times New Roman"/>
        </w:rPr>
        <w:t xml:space="preserve">The </w:t>
      </w:r>
      <w:r w:rsidRPr="00C06B3A">
        <w:rPr>
          <w:rFonts w:ascii="Times New Roman" w:hAnsi="Times New Roman"/>
          <w:i/>
        </w:rPr>
        <w:t>Lim</w:t>
      </w:r>
      <w:r w:rsidRPr="00C06B3A">
        <w:rPr>
          <w:rFonts w:ascii="Times New Roman" w:hAnsi="Times New Roman"/>
        </w:rPr>
        <w:t xml:space="preserve"> principle</w:t>
      </w:r>
    </w:p>
    <w:p w14:paraId="79D07BFA" w14:textId="5B8E36D1" w:rsidR="00B35ADC" w:rsidRPr="00C06B3A" w:rsidRDefault="00B35ADC"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8459B2" w:rsidRPr="00C06B3A">
        <w:rPr>
          <w:rFonts w:ascii="Times New Roman" w:hAnsi="Times New Roman"/>
        </w:rPr>
        <w:t>The HRSO Act</w:t>
      </w:r>
      <w:r w:rsidRPr="00C06B3A">
        <w:rPr>
          <w:rFonts w:ascii="Times New Roman" w:hAnsi="Times New Roman"/>
        </w:rPr>
        <w:t xml:space="preserve"> establishes a non</w:t>
      </w:r>
      <w:r w:rsidRPr="00C06B3A">
        <w:rPr>
          <w:rFonts w:ascii="Times New Roman" w:hAnsi="Times New Roman"/>
        </w:rPr>
        <w:noBreakHyphen/>
        <w:t>punitive scheme that has as its object the protection of the community from harm.</w:t>
      </w:r>
    </w:p>
    <w:p w14:paraId="04FBE823" w14:textId="6AD46757" w:rsidR="00582035" w:rsidRPr="00C06B3A" w:rsidRDefault="00582035"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t>The proposition that, under the laws of the Commonwealth, the function of adjud</w:t>
      </w:r>
      <w:r w:rsidR="0037760E" w:rsidRPr="00C06B3A">
        <w:rPr>
          <w:rFonts w:ascii="Times New Roman" w:hAnsi="Times New Roman"/>
        </w:rPr>
        <w:t>g</w:t>
      </w:r>
      <w:r w:rsidRPr="00C06B3A">
        <w:rPr>
          <w:rFonts w:ascii="Times New Roman" w:hAnsi="Times New Roman"/>
        </w:rPr>
        <w:t xml:space="preserve">ing or punishing criminal guilt is exclusively the province of Ch III courts was stated in </w:t>
      </w:r>
      <w:r w:rsidRPr="00C06B3A">
        <w:rPr>
          <w:rFonts w:ascii="Times New Roman" w:hAnsi="Times New Roman"/>
          <w:i/>
          <w:iCs/>
        </w:rPr>
        <w:t>Lim</w:t>
      </w:r>
      <w:r w:rsidRPr="00C06B3A">
        <w:rPr>
          <w:rFonts w:ascii="Times New Roman" w:hAnsi="Times New Roman"/>
        </w:rPr>
        <w:t xml:space="preserve"> in terms which e</w:t>
      </w:r>
      <w:r w:rsidR="004A7695" w:rsidRPr="00C06B3A">
        <w:rPr>
          <w:rFonts w:ascii="Times New Roman" w:hAnsi="Times New Roman"/>
        </w:rPr>
        <w:t>xpressly</w:t>
      </w:r>
      <w:r w:rsidRPr="00C06B3A">
        <w:rPr>
          <w:rFonts w:ascii="Times New Roman" w:hAnsi="Times New Roman"/>
        </w:rPr>
        <w:t xml:space="preserve"> </w:t>
      </w:r>
      <w:r w:rsidR="00C67FDA" w:rsidRPr="00C06B3A">
        <w:rPr>
          <w:rFonts w:ascii="Times New Roman" w:hAnsi="Times New Roman"/>
        </w:rPr>
        <w:t>recognised that it did not encompass laws the purpose of which w</w:t>
      </w:r>
      <w:r w:rsidR="004A4B2F" w:rsidRPr="00C06B3A">
        <w:rPr>
          <w:rFonts w:ascii="Times New Roman" w:hAnsi="Times New Roman"/>
        </w:rPr>
        <w:t>ere</w:t>
      </w:r>
      <w:r w:rsidR="00C67FDA" w:rsidRPr="00C06B3A">
        <w:rPr>
          <w:rFonts w:ascii="Times New Roman" w:hAnsi="Times New Roman"/>
        </w:rPr>
        <w:t xml:space="preserve"> to protect the community from harm, </w:t>
      </w:r>
      <w:r w:rsidR="003B565D" w:rsidRPr="00C06B3A">
        <w:rPr>
          <w:rFonts w:ascii="Times New Roman" w:hAnsi="Times New Roman"/>
        </w:rPr>
        <w:t>such as</w:t>
      </w:r>
      <w:r w:rsidR="00C67FDA" w:rsidRPr="00C06B3A">
        <w:rPr>
          <w:rFonts w:ascii="Times New Roman" w:hAnsi="Times New Roman"/>
        </w:rPr>
        <w:t xml:space="preserve"> laws relating</w:t>
      </w:r>
      <w:r w:rsidR="004A4B2F" w:rsidRPr="00C06B3A">
        <w:rPr>
          <w:rFonts w:ascii="Times New Roman" w:hAnsi="Times New Roman"/>
        </w:rPr>
        <w:t xml:space="preserve"> t</w:t>
      </w:r>
      <w:r w:rsidR="00C67FDA" w:rsidRPr="00C06B3A">
        <w:rPr>
          <w:rFonts w:ascii="Times New Roman" w:hAnsi="Times New Roman"/>
        </w:rPr>
        <w:t xml:space="preserve">o </w:t>
      </w:r>
      <w:r w:rsidR="004A4B2F" w:rsidRPr="00C06B3A">
        <w:rPr>
          <w:rFonts w:ascii="Times New Roman" w:hAnsi="Times New Roman"/>
        </w:rPr>
        <w:t>q</w:t>
      </w:r>
      <w:r w:rsidR="00C67FDA" w:rsidRPr="00C06B3A">
        <w:rPr>
          <w:rFonts w:ascii="Times New Roman" w:hAnsi="Times New Roman"/>
        </w:rPr>
        <w:t>uar</w:t>
      </w:r>
      <w:r w:rsidR="004A4B2F" w:rsidRPr="00C06B3A">
        <w:rPr>
          <w:rFonts w:ascii="Times New Roman" w:hAnsi="Times New Roman"/>
        </w:rPr>
        <w:t>a</w:t>
      </w:r>
      <w:r w:rsidR="00C67FDA" w:rsidRPr="00C06B3A">
        <w:rPr>
          <w:rFonts w:ascii="Times New Roman" w:hAnsi="Times New Roman"/>
        </w:rPr>
        <w:t>ntine from infectious</w:t>
      </w:r>
      <w:r w:rsidR="00CB1119" w:rsidRPr="00C06B3A">
        <w:rPr>
          <w:rFonts w:ascii="Times New Roman" w:hAnsi="Times New Roman"/>
        </w:rPr>
        <w:t xml:space="preserve"> </w:t>
      </w:r>
      <w:r w:rsidR="00C67FDA" w:rsidRPr="00C06B3A">
        <w:rPr>
          <w:rFonts w:ascii="Times New Roman" w:hAnsi="Times New Roman"/>
        </w:rPr>
        <w:t>diseases and laws for the confinement of some categories of</w:t>
      </w:r>
      <w:r w:rsidR="00CB1119" w:rsidRPr="00C06B3A">
        <w:rPr>
          <w:rFonts w:ascii="Times New Roman" w:hAnsi="Times New Roman"/>
        </w:rPr>
        <w:t xml:space="preserve"> </w:t>
      </w:r>
      <w:r w:rsidR="00C67FDA" w:rsidRPr="00C06B3A">
        <w:rPr>
          <w:rFonts w:ascii="Times New Roman" w:hAnsi="Times New Roman"/>
        </w:rPr>
        <w:t>mentally ill persons</w:t>
      </w:r>
      <w:r w:rsidR="00C67FDA" w:rsidRPr="00C06B3A">
        <w:rPr>
          <w:rStyle w:val="FootnoteReference"/>
          <w:rFonts w:ascii="Times New Roman" w:hAnsi="Times New Roman"/>
          <w:sz w:val="24"/>
        </w:rPr>
        <w:footnoteReference w:id="59"/>
      </w:r>
      <w:r w:rsidR="00CB1119" w:rsidRPr="00C06B3A">
        <w:rPr>
          <w:rFonts w:ascii="Times New Roman" w:hAnsi="Times New Roman"/>
        </w:rPr>
        <w:t>.</w:t>
      </w:r>
      <w:r w:rsidR="007956F5" w:rsidRPr="00C06B3A">
        <w:rPr>
          <w:rFonts w:ascii="Times New Roman" w:hAnsi="Times New Roman"/>
        </w:rPr>
        <w:t xml:space="preserve"> This Court's decision in </w:t>
      </w:r>
      <w:r w:rsidR="003B565D" w:rsidRPr="00C06B3A">
        <w:rPr>
          <w:rFonts w:ascii="Times New Roman" w:hAnsi="Times New Roman"/>
          <w:i/>
        </w:rPr>
        <w:t xml:space="preserve">Minister for Home Affairs v </w:t>
      </w:r>
      <w:proofErr w:type="spellStart"/>
      <w:r w:rsidR="007956F5" w:rsidRPr="00C06B3A">
        <w:rPr>
          <w:rFonts w:ascii="Times New Roman" w:hAnsi="Times New Roman"/>
          <w:i/>
          <w:iCs/>
        </w:rPr>
        <w:t>Benbrika</w:t>
      </w:r>
      <w:proofErr w:type="spellEnd"/>
      <w:r w:rsidR="007956F5" w:rsidRPr="00C06B3A">
        <w:rPr>
          <w:rStyle w:val="FootnoteReference"/>
          <w:rFonts w:ascii="Times New Roman" w:hAnsi="Times New Roman"/>
          <w:iCs/>
          <w:sz w:val="24"/>
        </w:rPr>
        <w:footnoteReference w:id="60"/>
      </w:r>
      <w:r w:rsidR="00D11795" w:rsidRPr="00C06B3A">
        <w:rPr>
          <w:rFonts w:ascii="Times New Roman" w:hAnsi="Times New Roman"/>
        </w:rPr>
        <w:t xml:space="preserve"> </w:t>
      </w:r>
      <w:r w:rsidR="007924AC" w:rsidRPr="00C06B3A">
        <w:rPr>
          <w:rFonts w:ascii="Times New Roman" w:hAnsi="Times New Roman"/>
        </w:rPr>
        <w:t>affirmed</w:t>
      </w:r>
      <w:r w:rsidR="00D11795" w:rsidRPr="00C06B3A">
        <w:rPr>
          <w:rFonts w:ascii="Times New Roman" w:hAnsi="Times New Roman"/>
        </w:rPr>
        <w:t xml:space="preserve"> that the distinction between detention of an individual </w:t>
      </w:r>
      <w:r w:rsidR="00AA3CB7" w:rsidRPr="00C06B3A">
        <w:rPr>
          <w:rFonts w:ascii="Times New Roman" w:hAnsi="Times New Roman"/>
        </w:rPr>
        <w:t>for the</w:t>
      </w:r>
      <w:r w:rsidR="00D11795" w:rsidRPr="00C06B3A">
        <w:rPr>
          <w:rFonts w:ascii="Times New Roman" w:hAnsi="Times New Roman"/>
        </w:rPr>
        <w:t xml:space="preserve"> punishment for a crime</w:t>
      </w:r>
      <w:r w:rsidR="00D0399E" w:rsidRPr="00C06B3A">
        <w:rPr>
          <w:rFonts w:ascii="Times New Roman" w:hAnsi="Times New Roman"/>
        </w:rPr>
        <w:t>,</w:t>
      </w:r>
      <w:r w:rsidR="00D11795" w:rsidRPr="00C06B3A">
        <w:rPr>
          <w:rFonts w:ascii="Times New Roman" w:hAnsi="Times New Roman"/>
        </w:rPr>
        <w:t xml:space="preserve"> and detentio</w:t>
      </w:r>
      <w:r w:rsidR="009E31F3" w:rsidRPr="00C06B3A">
        <w:rPr>
          <w:rFonts w:ascii="Times New Roman" w:hAnsi="Times New Roman"/>
        </w:rPr>
        <w:t>n</w:t>
      </w:r>
      <w:r w:rsidR="00D11795" w:rsidRPr="00C06B3A">
        <w:rPr>
          <w:rFonts w:ascii="Times New Roman" w:hAnsi="Times New Roman"/>
        </w:rPr>
        <w:t xml:space="preserve"> of an individual for</w:t>
      </w:r>
      <w:r w:rsidR="009E31F3" w:rsidRPr="00C06B3A">
        <w:rPr>
          <w:rFonts w:ascii="Times New Roman" w:hAnsi="Times New Roman"/>
        </w:rPr>
        <w:t xml:space="preserve"> </w:t>
      </w:r>
      <w:r w:rsidR="00D11795" w:rsidRPr="00C06B3A">
        <w:rPr>
          <w:rFonts w:ascii="Times New Roman" w:hAnsi="Times New Roman"/>
        </w:rPr>
        <w:t>the protection of the communit</w:t>
      </w:r>
      <w:r w:rsidR="009E31F3" w:rsidRPr="00C06B3A">
        <w:rPr>
          <w:rFonts w:ascii="Times New Roman" w:hAnsi="Times New Roman"/>
        </w:rPr>
        <w:t>y from a proven unacceptable risk of serious harm</w:t>
      </w:r>
      <w:r w:rsidR="00680FF9">
        <w:rPr>
          <w:rFonts w:ascii="Times New Roman" w:hAnsi="Times New Roman"/>
        </w:rPr>
        <w:t>,</w:t>
      </w:r>
      <w:r w:rsidR="009E31F3" w:rsidRPr="00C06B3A">
        <w:rPr>
          <w:rFonts w:ascii="Times New Roman" w:hAnsi="Times New Roman"/>
        </w:rPr>
        <w:t xml:space="preserve"> is not illusory.</w:t>
      </w:r>
    </w:p>
    <w:p w14:paraId="4E312845" w14:textId="77777777" w:rsidR="00B35ADC" w:rsidRPr="00C06B3A" w:rsidRDefault="00B35ADC"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proofErr w:type="spellStart"/>
      <w:r w:rsidRPr="00C06B3A">
        <w:rPr>
          <w:rFonts w:ascii="Times New Roman" w:hAnsi="Times New Roman"/>
          <w:i/>
        </w:rPr>
        <w:t>Benbrika</w:t>
      </w:r>
      <w:proofErr w:type="spellEnd"/>
      <w:r w:rsidRPr="00C06B3A">
        <w:rPr>
          <w:rFonts w:ascii="Times New Roman" w:hAnsi="Times New Roman"/>
        </w:rPr>
        <w:t>, the plurality said of the legislation there under consideration</w:t>
      </w:r>
      <w:r w:rsidRPr="00C06B3A">
        <w:rPr>
          <w:rStyle w:val="FootnoteReference"/>
          <w:rFonts w:ascii="Times New Roman" w:hAnsi="Times New Roman"/>
          <w:sz w:val="24"/>
        </w:rPr>
        <w:footnoteReference w:id="61"/>
      </w:r>
      <w:r w:rsidRPr="00C06B3A">
        <w:rPr>
          <w:rFonts w:ascii="Times New Roman" w:hAnsi="Times New Roman"/>
        </w:rPr>
        <w:t>:</w:t>
      </w:r>
    </w:p>
    <w:p w14:paraId="78AB910D" w14:textId="77777777" w:rsidR="00C06B3A" w:rsidRDefault="00B35ADC" w:rsidP="00C06B3A">
      <w:pPr>
        <w:pStyle w:val="LeftrightafterHC"/>
        <w:spacing w:before="0" w:after="260" w:line="280" w:lineRule="exact"/>
        <w:ind w:right="0"/>
        <w:jc w:val="both"/>
        <w:rPr>
          <w:rFonts w:ascii="Times New Roman" w:hAnsi="Times New Roman"/>
        </w:rPr>
      </w:pPr>
      <w:r w:rsidRPr="00C06B3A">
        <w:rPr>
          <w:rFonts w:ascii="Times New Roman" w:hAnsi="Times New Roman"/>
        </w:rPr>
        <w:t>"</w:t>
      </w:r>
      <w:r w:rsidR="00F65620" w:rsidRPr="00C06B3A">
        <w:rPr>
          <w:rFonts w:ascii="Times New Roman" w:hAnsi="Times New Roman"/>
        </w:rPr>
        <w:t>T</w:t>
      </w:r>
      <w:r w:rsidRPr="00C06B3A">
        <w:rPr>
          <w:rFonts w:ascii="Times New Roman" w:hAnsi="Times New Roman"/>
        </w:rPr>
        <w:t>he order for indefinite detention is founded on the court's assessment, in the exercise of State judicial power, of the danger to society that the offender would present at the completion of the nominal sentence. As Gleeson</w:t>
      </w:r>
      <w:r w:rsidR="00F65620" w:rsidRPr="00C06B3A">
        <w:rPr>
          <w:rFonts w:ascii="Times New Roman" w:hAnsi="Times New Roman"/>
        </w:rPr>
        <w:t> </w:t>
      </w:r>
      <w:r w:rsidRPr="00C06B3A">
        <w:rPr>
          <w:rFonts w:ascii="Times New Roman" w:hAnsi="Times New Roman"/>
        </w:rPr>
        <w:t xml:space="preserve">CJ observed in </w:t>
      </w:r>
      <w:proofErr w:type="spellStart"/>
      <w:r w:rsidRPr="00C06B3A">
        <w:rPr>
          <w:rFonts w:ascii="Times New Roman" w:hAnsi="Times New Roman"/>
          <w:i/>
        </w:rPr>
        <w:t>Fardon</w:t>
      </w:r>
      <w:proofErr w:type="spellEnd"/>
      <w:r w:rsidRPr="00C06B3A">
        <w:rPr>
          <w:rFonts w:ascii="Times New Roman" w:hAnsi="Times New Roman"/>
        </w:rPr>
        <w:t>, if the lawful exercise of judicial power admits of the judge assessing the danger an offender poses to the community at the time of sentencing it is curious that it does not admit of the judge making such an assessment at or near the time of imminent release when that danger might be assessed more accurately."</w:t>
      </w:r>
      <w:r w:rsidR="00F65620" w:rsidRPr="00C06B3A">
        <w:rPr>
          <w:rFonts w:ascii="Times New Roman" w:hAnsi="Times New Roman"/>
        </w:rPr>
        <w:t xml:space="preserve"> (</w:t>
      </w:r>
      <w:proofErr w:type="gramStart"/>
      <w:r w:rsidR="00B91482" w:rsidRPr="00C06B3A">
        <w:rPr>
          <w:rFonts w:ascii="Times New Roman" w:hAnsi="Times New Roman"/>
        </w:rPr>
        <w:t>footnote</w:t>
      </w:r>
      <w:proofErr w:type="gramEnd"/>
      <w:r w:rsidR="00B91482" w:rsidRPr="00C06B3A">
        <w:rPr>
          <w:rFonts w:ascii="Times New Roman" w:hAnsi="Times New Roman"/>
        </w:rPr>
        <w:t xml:space="preserve"> </w:t>
      </w:r>
      <w:r w:rsidR="00F65620" w:rsidRPr="00C06B3A">
        <w:rPr>
          <w:rFonts w:ascii="Times New Roman" w:hAnsi="Times New Roman"/>
        </w:rPr>
        <w:t>omitted)</w:t>
      </w:r>
    </w:p>
    <w:p w14:paraId="5AA650F1" w14:textId="73CC1E19" w:rsidR="00B35ADC" w:rsidRPr="00C06B3A" w:rsidRDefault="00B35ADC"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The decision in </w:t>
      </w:r>
      <w:proofErr w:type="spellStart"/>
      <w:r w:rsidRPr="00C06B3A">
        <w:rPr>
          <w:rFonts w:ascii="Times New Roman" w:hAnsi="Times New Roman"/>
          <w:i/>
          <w:iCs/>
        </w:rPr>
        <w:t>Benbrika</w:t>
      </w:r>
      <w:proofErr w:type="spellEnd"/>
      <w:r w:rsidRPr="00C06B3A">
        <w:rPr>
          <w:rFonts w:ascii="Times New Roman" w:hAnsi="Times New Roman"/>
          <w:i/>
          <w:iCs/>
        </w:rPr>
        <w:t xml:space="preserve"> </w:t>
      </w:r>
      <w:r w:rsidRPr="00C06B3A">
        <w:rPr>
          <w:rFonts w:ascii="Times New Roman" w:hAnsi="Times New Roman"/>
        </w:rPr>
        <w:t>confirms</w:t>
      </w:r>
      <w:r w:rsidR="00AA3CB7" w:rsidRPr="00C06B3A">
        <w:rPr>
          <w:rFonts w:ascii="Times New Roman" w:hAnsi="Times New Roman"/>
        </w:rPr>
        <w:t xml:space="preserve"> </w:t>
      </w:r>
      <w:r w:rsidR="00400E78" w:rsidRPr="00C06B3A">
        <w:rPr>
          <w:rFonts w:ascii="Times New Roman" w:hAnsi="Times New Roman"/>
        </w:rPr>
        <w:t>the statement of the primary judge</w:t>
      </w:r>
      <w:r w:rsidR="00A616D0" w:rsidRPr="00C06B3A">
        <w:rPr>
          <w:rFonts w:ascii="Times New Roman" w:hAnsi="Times New Roman"/>
        </w:rPr>
        <w:t xml:space="preserve"> </w:t>
      </w:r>
      <w:r w:rsidRPr="00C06B3A">
        <w:rPr>
          <w:rFonts w:ascii="Times New Roman" w:hAnsi="Times New Roman"/>
        </w:rPr>
        <w:t xml:space="preserve">that a </w:t>
      </w:r>
      <w:proofErr w:type="gramStart"/>
      <w:r w:rsidRPr="00C06B3A">
        <w:rPr>
          <w:rFonts w:ascii="Times New Roman" w:hAnsi="Times New Roman"/>
        </w:rPr>
        <w:t>State</w:t>
      </w:r>
      <w:proofErr w:type="gramEnd"/>
      <w:r w:rsidRPr="00C06B3A">
        <w:rPr>
          <w:rFonts w:ascii="Times New Roman" w:hAnsi="Times New Roman"/>
        </w:rPr>
        <w:t xml:space="preserve"> law will not be invalid "merely because it provides for the detention of a person as a preventative measure to protect the community from the risk of future harm", and that a determination about the risk of future harm is judicial in nature</w:t>
      </w:r>
      <w:r w:rsidRPr="00C06B3A">
        <w:rPr>
          <w:rStyle w:val="FootnoteReference"/>
          <w:rFonts w:ascii="Times New Roman" w:hAnsi="Times New Roman"/>
          <w:sz w:val="24"/>
        </w:rPr>
        <w:footnoteReference w:id="62"/>
      </w:r>
      <w:r w:rsidRPr="00C06B3A">
        <w:rPr>
          <w:rFonts w:ascii="Times New Roman" w:hAnsi="Times New Roman"/>
        </w:rPr>
        <w:t>.</w:t>
      </w:r>
      <w:r w:rsidR="00A616D0" w:rsidRPr="00C06B3A">
        <w:rPr>
          <w:rFonts w:ascii="Times New Roman" w:hAnsi="Times New Roman"/>
        </w:rPr>
        <w:t xml:space="preserve"> </w:t>
      </w:r>
      <w:r w:rsidRPr="00C06B3A">
        <w:rPr>
          <w:rFonts w:ascii="Times New Roman" w:hAnsi="Times New Roman"/>
        </w:rPr>
        <w:t xml:space="preserve">The assessment of whether the subject of an application for a restriction order is a "high risk serious offender" involves consideration of the risk of the person committing a "serious offence" and consideration of the harm that may be occasioned to the community </w:t>
      </w:r>
      <w:r w:rsidR="008D2B07" w:rsidRPr="00C06B3A">
        <w:rPr>
          <w:rFonts w:ascii="Times New Roman" w:hAnsi="Times New Roman"/>
        </w:rPr>
        <w:t>i</w:t>
      </w:r>
      <w:r w:rsidRPr="00C06B3A">
        <w:rPr>
          <w:rFonts w:ascii="Times New Roman" w:hAnsi="Times New Roman"/>
        </w:rPr>
        <w:t xml:space="preserve">f the risk </w:t>
      </w:r>
      <w:r w:rsidR="00A25D6A" w:rsidRPr="00C06B3A">
        <w:rPr>
          <w:rFonts w:ascii="Times New Roman" w:hAnsi="Times New Roman"/>
        </w:rPr>
        <w:t xml:space="preserve">were to </w:t>
      </w:r>
      <w:r w:rsidRPr="00C06B3A">
        <w:rPr>
          <w:rFonts w:ascii="Times New Roman" w:hAnsi="Times New Roman"/>
        </w:rPr>
        <w:t>materialise.</w:t>
      </w:r>
    </w:p>
    <w:p w14:paraId="64D04DA0" w14:textId="1B01E9CA" w:rsidR="00FD77E0" w:rsidRPr="00C06B3A" w:rsidRDefault="008D2B0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FD77E0" w:rsidRPr="00C06B3A">
        <w:rPr>
          <w:rFonts w:ascii="Times New Roman" w:hAnsi="Times New Roman"/>
        </w:rPr>
        <w:t xml:space="preserve">It may be said that because </w:t>
      </w:r>
      <w:r w:rsidR="00A25D6A" w:rsidRPr="00C06B3A">
        <w:rPr>
          <w:rFonts w:ascii="Times New Roman" w:hAnsi="Times New Roman"/>
        </w:rPr>
        <w:t xml:space="preserve">the </w:t>
      </w:r>
      <w:r w:rsidR="00FD77E0" w:rsidRPr="00C06B3A">
        <w:rPr>
          <w:rFonts w:ascii="Times New Roman" w:hAnsi="Times New Roman"/>
        </w:rPr>
        <w:t xml:space="preserve">protection of the community is one of the purposes which informs the exercise of the judicial discretion to impose a proper </w:t>
      </w:r>
      <w:r w:rsidR="00FD77E0" w:rsidRPr="00C06B3A">
        <w:rPr>
          <w:rFonts w:ascii="Times New Roman" w:hAnsi="Times New Roman"/>
        </w:rPr>
        <w:lastRenderedPageBreak/>
        <w:t xml:space="preserve">sentence upon an offender following conviction of </w:t>
      </w:r>
      <w:r w:rsidR="00A25D6A" w:rsidRPr="00C06B3A">
        <w:rPr>
          <w:rFonts w:ascii="Times New Roman" w:hAnsi="Times New Roman"/>
        </w:rPr>
        <w:t xml:space="preserve">a </w:t>
      </w:r>
      <w:r w:rsidR="00FD77E0" w:rsidRPr="00C06B3A">
        <w:rPr>
          <w:rFonts w:ascii="Times New Roman" w:hAnsi="Times New Roman"/>
        </w:rPr>
        <w:t>crime, it may not be possible to discern the operation of the protective purpose of the criminal law separately and distinct</w:t>
      </w:r>
      <w:r w:rsidR="00A25D6A" w:rsidRPr="00C06B3A">
        <w:rPr>
          <w:rFonts w:ascii="Times New Roman" w:hAnsi="Times New Roman"/>
        </w:rPr>
        <w:t>ly</w:t>
      </w:r>
      <w:r w:rsidR="00FD77E0" w:rsidRPr="00C06B3A">
        <w:rPr>
          <w:rFonts w:ascii="Times New Roman" w:hAnsi="Times New Roman"/>
        </w:rPr>
        <w:t xml:space="preserve"> from the deterrent or retributive purpose of the criminal law. That may well have been so in relation to criminal sentencing in earlier times, but it is not so in relation to orders under the HRSO</w:t>
      </w:r>
      <w:r w:rsidR="00846D25" w:rsidRPr="00C06B3A">
        <w:rPr>
          <w:rFonts w:ascii="Times New Roman" w:hAnsi="Times New Roman"/>
        </w:rPr>
        <w:t> </w:t>
      </w:r>
      <w:r w:rsidR="00FD77E0" w:rsidRPr="00C06B3A">
        <w:rPr>
          <w:rFonts w:ascii="Times New Roman" w:hAnsi="Times New Roman"/>
        </w:rPr>
        <w:t>Act.</w:t>
      </w:r>
    </w:p>
    <w:p w14:paraId="263EE983" w14:textId="37FA7636" w:rsidR="00FD77E0"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rPr>
        <w:tab/>
        <w:t>In the late 18th century, Sir</w:t>
      </w:r>
      <w:r w:rsidR="00846D25" w:rsidRPr="00C06B3A">
        <w:rPr>
          <w:rFonts w:ascii="Times New Roman" w:hAnsi="Times New Roman"/>
        </w:rPr>
        <w:t> </w:t>
      </w:r>
      <w:r w:rsidRPr="00C06B3A">
        <w:rPr>
          <w:rFonts w:ascii="Times New Roman" w:hAnsi="Times New Roman"/>
        </w:rPr>
        <w:t>William Blackstone wrote</w:t>
      </w:r>
      <w:r w:rsidRPr="00C06B3A">
        <w:rPr>
          <w:rStyle w:val="FootnoteReference"/>
          <w:rFonts w:ascii="Times New Roman" w:hAnsi="Times New Roman"/>
          <w:sz w:val="24"/>
        </w:rPr>
        <w:footnoteReference w:id="63"/>
      </w:r>
      <w:r w:rsidRPr="00C06B3A">
        <w:rPr>
          <w:rFonts w:ascii="Times New Roman" w:hAnsi="Times New Roman"/>
        </w:rPr>
        <w:t>:</w:t>
      </w:r>
    </w:p>
    <w:p w14:paraId="74F2ECF2" w14:textId="77777777" w:rsidR="00C06B3A" w:rsidRDefault="00FD77E0" w:rsidP="00C06B3A">
      <w:pPr>
        <w:pStyle w:val="LeftrightafterHC"/>
        <w:spacing w:before="0" w:after="260" w:line="280" w:lineRule="exact"/>
        <w:ind w:right="0"/>
        <w:jc w:val="both"/>
        <w:rPr>
          <w:rFonts w:ascii="Times New Roman" w:hAnsi="Times New Roman"/>
        </w:rPr>
      </w:pPr>
      <w:r w:rsidRPr="00C06B3A">
        <w:rPr>
          <w:rFonts w:ascii="Times New Roman" w:hAnsi="Times New Roman"/>
        </w:rPr>
        <w:tab/>
        <w:t xml:space="preserve">"As to the </w:t>
      </w:r>
      <w:r w:rsidRPr="00C06B3A">
        <w:rPr>
          <w:rFonts w:ascii="Times New Roman" w:hAnsi="Times New Roman"/>
          <w:i/>
          <w:iCs/>
        </w:rPr>
        <w:t xml:space="preserve">end </w:t>
      </w:r>
      <w:r w:rsidRPr="00C06B3A">
        <w:rPr>
          <w:rFonts w:ascii="Times New Roman" w:hAnsi="Times New Roman"/>
        </w:rPr>
        <w:t>... of human punishments. This is not by way of atonement or expiation for the crime committed ... but as a precaution against future offences of the same kind. This is effected three ways: either by the amendment of the offender himself; for which purpose all corporal punishments, fines, and temporary exile or imprisonment are inflicted: or, by deterring others by the dread of his example from offending in the like way, ... or, lastly, by depriving the party injuring of the power to do future mischief; which is effected by either putting him to death, or condemning him to perpetual confinement, slavery</w:t>
      </w:r>
      <w:r w:rsidR="0075641C" w:rsidRPr="00C06B3A">
        <w:rPr>
          <w:rFonts w:ascii="Times New Roman" w:hAnsi="Times New Roman"/>
        </w:rPr>
        <w:t>,</w:t>
      </w:r>
      <w:r w:rsidRPr="00C06B3A">
        <w:rPr>
          <w:rFonts w:ascii="Times New Roman" w:hAnsi="Times New Roman"/>
        </w:rPr>
        <w:t xml:space="preserve"> or exile. </w:t>
      </w:r>
      <w:proofErr w:type="gramStart"/>
      <w:r w:rsidRPr="00C06B3A">
        <w:rPr>
          <w:rFonts w:ascii="Times New Roman" w:hAnsi="Times New Roman"/>
        </w:rPr>
        <w:t>The same one end,</w:t>
      </w:r>
      <w:proofErr w:type="gramEnd"/>
      <w:r w:rsidRPr="00C06B3A">
        <w:rPr>
          <w:rFonts w:ascii="Times New Roman" w:hAnsi="Times New Roman"/>
        </w:rPr>
        <w:t xml:space="preserve"> of preventing future crimes, is endeavoured to be answered by each of these three species of punishment."</w:t>
      </w:r>
    </w:p>
    <w:p w14:paraId="11B091AE" w14:textId="30562C6C" w:rsidR="00FD77E0" w:rsidRPr="00C06B3A" w:rsidRDefault="00FD77E0" w:rsidP="00C06B3A">
      <w:pPr>
        <w:pStyle w:val="NormalBody"/>
        <w:spacing w:after="260" w:line="280" w:lineRule="exact"/>
        <w:ind w:right="0"/>
        <w:jc w:val="both"/>
        <w:rPr>
          <w:rFonts w:ascii="Times New Roman" w:hAnsi="Times New Roman"/>
        </w:rPr>
      </w:pPr>
      <w:r w:rsidRPr="00C06B3A">
        <w:rPr>
          <w:rFonts w:ascii="Times New Roman" w:hAnsi="Times New Roman"/>
        </w:rPr>
        <w:t>Oliver Wendell Holmes</w:t>
      </w:r>
      <w:r w:rsidR="00D771A8" w:rsidRPr="00C06B3A">
        <w:rPr>
          <w:rFonts w:ascii="Times New Roman" w:hAnsi="Times New Roman"/>
        </w:rPr>
        <w:t> Jr</w:t>
      </w:r>
      <w:r w:rsidRPr="00C06B3A">
        <w:rPr>
          <w:rFonts w:ascii="Times New Roman" w:hAnsi="Times New Roman"/>
        </w:rPr>
        <w:t>, writing in the late 19th century, said that "probably most English</w:t>
      </w:r>
      <w:r w:rsidRPr="00C06B3A">
        <w:rPr>
          <w:rFonts w:ascii="Times New Roman" w:hAnsi="Times New Roman"/>
        </w:rPr>
        <w:noBreakHyphen/>
        <w:t>speaking lawyers would accept the preventive theory without hesitation"</w:t>
      </w:r>
      <w:r w:rsidRPr="00C06B3A">
        <w:rPr>
          <w:rStyle w:val="FootnoteReference"/>
          <w:rFonts w:ascii="Times New Roman" w:hAnsi="Times New Roman"/>
          <w:sz w:val="24"/>
        </w:rPr>
        <w:footnoteReference w:id="64"/>
      </w:r>
      <w:r w:rsidRPr="00C06B3A">
        <w:rPr>
          <w:rFonts w:ascii="Times New Roman" w:hAnsi="Times New Roman"/>
        </w:rPr>
        <w:t>.</w:t>
      </w:r>
    </w:p>
    <w:p w14:paraId="3DD18CF0" w14:textId="0B8B27E0" w:rsidR="00FD77E0"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As is apparent from the passage cited from Blackstone, </w:t>
      </w:r>
      <w:r w:rsidR="00A25D6A" w:rsidRPr="00C06B3A">
        <w:rPr>
          <w:rFonts w:ascii="Times New Roman" w:hAnsi="Times New Roman"/>
        </w:rPr>
        <w:t xml:space="preserve">at the time </w:t>
      </w:r>
      <w:r w:rsidRPr="00C06B3A">
        <w:rPr>
          <w:rFonts w:ascii="Times New Roman" w:hAnsi="Times New Roman"/>
        </w:rPr>
        <w:t xml:space="preserve">that author wrote, the protective or </w:t>
      </w:r>
      <w:r w:rsidR="00C2508F" w:rsidRPr="00C06B3A">
        <w:rPr>
          <w:rFonts w:ascii="Times New Roman" w:hAnsi="Times New Roman"/>
        </w:rPr>
        <w:t>preventive</w:t>
      </w:r>
      <w:r w:rsidRPr="00C06B3A">
        <w:rPr>
          <w:rFonts w:ascii="Times New Roman" w:hAnsi="Times New Roman"/>
        </w:rPr>
        <w:t xml:space="preserve"> purpose of the criminal law was vindicated to the </w:t>
      </w:r>
      <w:r w:rsidR="00A25D6A" w:rsidRPr="00C06B3A">
        <w:rPr>
          <w:rFonts w:ascii="Times New Roman" w:hAnsi="Times New Roman"/>
        </w:rPr>
        <w:t xml:space="preserve">most </w:t>
      </w:r>
      <w:r w:rsidRPr="00C06B3A">
        <w:rPr>
          <w:rFonts w:ascii="Times New Roman" w:hAnsi="Times New Roman"/>
        </w:rPr>
        <w:t xml:space="preserve">extreme extent possible by the removal of the offender from the community either by the imposition of the death penalty or </w:t>
      </w:r>
      <w:r w:rsidR="00737D5E" w:rsidRPr="00C06B3A">
        <w:rPr>
          <w:rFonts w:ascii="Times New Roman" w:hAnsi="Times New Roman"/>
        </w:rPr>
        <w:t xml:space="preserve">by </w:t>
      </w:r>
      <w:r w:rsidRPr="00C06B3A">
        <w:rPr>
          <w:rFonts w:ascii="Times New Roman" w:hAnsi="Times New Roman"/>
        </w:rPr>
        <w:t>"perpetual confinement, slavery</w:t>
      </w:r>
      <w:r w:rsidR="00B87227" w:rsidRPr="00C06B3A">
        <w:rPr>
          <w:rFonts w:ascii="Times New Roman" w:hAnsi="Times New Roman"/>
        </w:rPr>
        <w:t>,</w:t>
      </w:r>
      <w:r w:rsidRPr="00C06B3A">
        <w:rPr>
          <w:rFonts w:ascii="Times New Roman" w:hAnsi="Times New Roman"/>
        </w:rPr>
        <w:t xml:space="preserve"> or exile". And in the United States, when Holmes wrote, the death penalty was routinely imposed for serious crimes. None of the means of prevention of crime mentioned by Blackstone </w:t>
      </w:r>
      <w:r w:rsidR="00A21295" w:rsidRPr="00C06B3A">
        <w:rPr>
          <w:rFonts w:ascii="Times New Roman" w:hAnsi="Times New Roman"/>
        </w:rPr>
        <w:t xml:space="preserve">is </w:t>
      </w:r>
      <w:r w:rsidRPr="00C06B3A">
        <w:rPr>
          <w:rFonts w:ascii="Times New Roman" w:hAnsi="Times New Roman"/>
        </w:rPr>
        <w:t xml:space="preserve">now available in Australia </w:t>
      </w:r>
      <w:proofErr w:type="gramStart"/>
      <w:r w:rsidRPr="00C06B3A">
        <w:rPr>
          <w:rFonts w:ascii="Times New Roman" w:hAnsi="Times New Roman"/>
        </w:rPr>
        <w:t>as a result of</w:t>
      </w:r>
      <w:proofErr w:type="gramEnd"/>
      <w:r w:rsidRPr="00C06B3A">
        <w:rPr>
          <w:rFonts w:ascii="Times New Roman" w:hAnsi="Times New Roman"/>
        </w:rPr>
        <w:t xml:space="preserve"> legislative intervention to mitigate the extreme harshness of the </w:t>
      </w:r>
      <w:r w:rsidR="00B370A4" w:rsidRPr="00C06B3A">
        <w:rPr>
          <w:rFonts w:ascii="Times New Roman" w:hAnsi="Times New Roman"/>
        </w:rPr>
        <w:t>criminal</w:t>
      </w:r>
      <w:r w:rsidRPr="00C06B3A">
        <w:rPr>
          <w:rFonts w:ascii="Times New Roman" w:hAnsi="Times New Roman"/>
        </w:rPr>
        <w:t xml:space="preserve"> law of these earlier times. But </w:t>
      </w:r>
      <w:r w:rsidR="00B370A4" w:rsidRPr="00C06B3A">
        <w:rPr>
          <w:rFonts w:ascii="Times New Roman" w:hAnsi="Times New Roman"/>
        </w:rPr>
        <w:t>the</w:t>
      </w:r>
      <w:r w:rsidRPr="00C06B3A">
        <w:rPr>
          <w:rFonts w:ascii="Times New Roman" w:hAnsi="Times New Roman"/>
        </w:rPr>
        <w:t xml:space="preserve"> merciful development </w:t>
      </w:r>
      <w:r w:rsidR="00B370A4" w:rsidRPr="00C06B3A">
        <w:rPr>
          <w:rFonts w:ascii="Times New Roman" w:hAnsi="Times New Roman"/>
        </w:rPr>
        <w:t>of</w:t>
      </w:r>
      <w:r w:rsidRPr="00C06B3A">
        <w:rPr>
          <w:rFonts w:ascii="Times New Roman" w:hAnsi="Times New Roman"/>
        </w:rPr>
        <w:t xml:space="preserve"> the criminal law has also meant that the risk to the community posed by the release of a disordered individual who has served his or her proper sentence has been revealed as an issue left </w:t>
      </w:r>
      <w:r w:rsidR="00B370A4" w:rsidRPr="00C06B3A">
        <w:rPr>
          <w:rFonts w:ascii="Times New Roman" w:hAnsi="Times New Roman"/>
        </w:rPr>
        <w:t>un</w:t>
      </w:r>
      <w:r w:rsidRPr="00C06B3A">
        <w:rPr>
          <w:rFonts w:ascii="Times New Roman" w:hAnsi="Times New Roman"/>
        </w:rPr>
        <w:t xml:space="preserve">resolved by the enforcement of the criminal law. </w:t>
      </w:r>
    </w:p>
    <w:p w14:paraId="2B18AD07" w14:textId="748576AB" w:rsidR="00FD77E0"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t xml:space="preserve">Late in the 20th century in Australia, the cases of </w:t>
      </w:r>
      <w:r w:rsidRPr="00C06B3A">
        <w:rPr>
          <w:rFonts w:ascii="Times New Roman" w:hAnsi="Times New Roman"/>
          <w:i/>
          <w:iCs/>
        </w:rPr>
        <w:t>Veen</w:t>
      </w:r>
      <w:r w:rsidR="000263EF" w:rsidRPr="00C06B3A">
        <w:rPr>
          <w:rFonts w:ascii="Times New Roman" w:hAnsi="Times New Roman"/>
          <w:i/>
          <w:iCs/>
        </w:rPr>
        <w:t xml:space="preserve"> v The Queen</w:t>
      </w:r>
      <w:r w:rsidRPr="00C06B3A">
        <w:rPr>
          <w:rStyle w:val="FootnoteReference"/>
          <w:rFonts w:ascii="Times New Roman" w:hAnsi="Times New Roman"/>
          <w:iCs/>
          <w:sz w:val="24"/>
        </w:rPr>
        <w:footnoteReference w:id="65"/>
      </w:r>
      <w:r w:rsidRPr="00C06B3A">
        <w:rPr>
          <w:rFonts w:ascii="Times New Roman" w:hAnsi="Times New Roman"/>
        </w:rPr>
        <w:t xml:space="preserve"> and </w:t>
      </w:r>
      <w:r w:rsidRPr="00C06B3A">
        <w:rPr>
          <w:rFonts w:ascii="Times New Roman" w:hAnsi="Times New Roman"/>
          <w:i/>
          <w:iCs/>
        </w:rPr>
        <w:t>Veen</w:t>
      </w:r>
      <w:r w:rsidR="008C75E2" w:rsidRPr="00C06B3A">
        <w:rPr>
          <w:rFonts w:ascii="Times New Roman" w:hAnsi="Times New Roman"/>
          <w:i/>
          <w:iCs/>
        </w:rPr>
        <w:t xml:space="preserve"> v The Queen </w:t>
      </w:r>
      <w:r w:rsidR="004D2938" w:rsidRPr="00C06B3A">
        <w:rPr>
          <w:rFonts w:ascii="Times New Roman" w:hAnsi="Times New Roman"/>
          <w:i/>
          <w:iCs/>
        </w:rPr>
        <w:t>[</w:t>
      </w:r>
      <w:r w:rsidRPr="00C06B3A">
        <w:rPr>
          <w:rFonts w:ascii="Times New Roman" w:hAnsi="Times New Roman"/>
          <w:i/>
          <w:iCs/>
        </w:rPr>
        <w:t>No 2</w:t>
      </w:r>
      <w:r w:rsidR="004D2938" w:rsidRPr="00C06B3A">
        <w:rPr>
          <w:rFonts w:ascii="Times New Roman" w:hAnsi="Times New Roman"/>
          <w:i/>
          <w:iCs/>
        </w:rPr>
        <w:t>]</w:t>
      </w:r>
      <w:r w:rsidRPr="00C06B3A">
        <w:rPr>
          <w:rStyle w:val="FootnoteReference"/>
          <w:rFonts w:ascii="Times New Roman" w:hAnsi="Times New Roman"/>
          <w:iCs/>
          <w:sz w:val="24"/>
        </w:rPr>
        <w:footnoteReference w:id="66"/>
      </w:r>
      <w:r w:rsidRPr="00C06B3A">
        <w:rPr>
          <w:rFonts w:ascii="Times New Roman" w:hAnsi="Times New Roman"/>
        </w:rPr>
        <w:t xml:space="preserve"> added special poignancy to this unresolved issue. These decisions established as a principle of the criminal law in relation to sentencing that protect</w:t>
      </w:r>
      <w:r w:rsidR="00310951" w:rsidRPr="00C06B3A">
        <w:rPr>
          <w:rFonts w:ascii="Times New Roman" w:hAnsi="Times New Roman"/>
        </w:rPr>
        <w:t>ion of</w:t>
      </w:r>
      <w:r w:rsidRPr="00C06B3A">
        <w:rPr>
          <w:rFonts w:ascii="Times New Roman" w:hAnsi="Times New Roman"/>
        </w:rPr>
        <w:t xml:space="preserve"> the community from the dangerous propensities of an offender could not justify a sentence disproportionate to the moral culpability of the offender and the need for retribution appropriate to the seriousness of the offending. The principle stated by this Court in </w:t>
      </w:r>
      <w:r w:rsidRPr="00C06B3A">
        <w:rPr>
          <w:rFonts w:ascii="Times New Roman" w:hAnsi="Times New Roman"/>
          <w:i/>
          <w:iCs/>
        </w:rPr>
        <w:t>Veen </w:t>
      </w:r>
      <w:r w:rsidR="002D7695" w:rsidRPr="00C06B3A">
        <w:rPr>
          <w:rFonts w:ascii="Times New Roman" w:hAnsi="Times New Roman"/>
          <w:i/>
          <w:iCs/>
        </w:rPr>
        <w:t>[</w:t>
      </w:r>
      <w:r w:rsidRPr="00C06B3A">
        <w:rPr>
          <w:rFonts w:ascii="Times New Roman" w:hAnsi="Times New Roman"/>
          <w:i/>
          <w:iCs/>
        </w:rPr>
        <w:t>No 1</w:t>
      </w:r>
      <w:r w:rsidR="002D7695" w:rsidRPr="00C06B3A">
        <w:rPr>
          <w:rFonts w:ascii="Times New Roman" w:hAnsi="Times New Roman"/>
          <w:i/>
          <w:iCs/>
        </w:rPr>
        <w:t>]</w:t>
      </w:r>
      <w:r w:rsidRPr="00C06B3A">
        <w:rPr>
          <w:rFonts w:ascii="Times New Roman" w:hAnsi="Times New Roman"/>
          <w:i/>
          <w:iCs/>
        </w:rPr>
        <w:t xml:space="preserve"> </w:t>
      </w:r>
      <w:r w:rsidRPr="00C06B3A">
        <w:rPr>
          <w:rFonts w:ascii="Times New Roman" w:hAnsi="Times New Roman"/>
        </w:rPr>
        <w:t xml:space="preserve">and </w:t>
      </w:r>
      <w:r w:rsidRPr="00C06B3A">
        <w:rPr>
          <w:rFonts w:ascii="Times New Roman" w:hAnsi="Times New Roman"/>
          <w:i/>
          <w:iCs/>
        </w:rPr>
        <w:t>Veen </w:t>
      </w:r>
      <w:r w:rsidR="002D7695" w:rsidRPr="00C06B3A">
        <w:rPr>
          <w:rFonts w:ascii="Times New Roman" w:hAnsi="Times New Roman"/>
          <w:i/>
          <w:iCs/>
        </w:rPr>
        <w:t>[</w:t>
      </w:r>
      <w:r w:rsidRPr="00C06B3A">
        <w:rPr>
          <w:rFonts w:ascii="Times New Roman" w:hAnsi="Times New Roman"/>
          <w:i/>
          <w:iCs/>
        </w:rPr>
        <w:t>No 2</w:t>
      </w:r>
      <w:r w:rsidR="002D7695" w:rsidRPr="00C06B3A">
        <w:rPr>
          <w:rFonts w:ascii="Times New Roman" w:hAnsi="Times New Roman"/>
          <w:i/>
          <w:iCs/>
        </w:rPr>
        <w:t>]</w:t>
      </w:r>
      <w:r w:rsidRPr="00C06B3A">
        <w:rPr>
          <w:rFonts w:ascii="Times New Roman" w:hAnsi="Times New Roman"/>
          <w:i/>
          <w:iCs/>
        </w:rPr>
        <w:t xml:space="preserve"> </w:t>
      </w:r>
      <w:r w:rsidRPr="00C06B3A">
        <w:rPr>
          <w:rFonts w:ascii="Times New Roman" w:hAnsi="Times New Roman"/>
        </w:rPr>
        <w:t xml:space="preserve">imposed a limit upon the extent to which the protection of the community from a disordered individual could be </w:t>
      </w:r>
      <w:proofErr w:type="gramStart"/>
      <w:r w:rsidRPr="00C06B3A">
        <w:rPr>
          <w:rFonts w:ascii="Times New Roman" w:hAnsi="Times New Roman"/>
        </w:rPr>
        <w:t>taken into account</w:t>
      </w:r>
      <w:proofErr w:type="gramEnd"/>
      <w:r w:rsidRPr="00C06B3A">
        <w:rPr>
          <w:rFonts w:ascii="Times New Roman" w:hAnsi="Times New Roman"/>
        </w:rPr>
        <w:t xml:space="preserve"> in the exercise of the discretion of a sentencing judge. </w:t>
      </w:r>
    </w:p>
    <w:p w14:paraId="6CB2B736" w14:textId="3F266419" w:rsidR="00FD77E0"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proofErr w:type="spellStart"/>
      <w:r w:rsidRPr="00C06B3A">
        <w:rPr>
          <w:rFonts w:ascii="Times New Roman" w:hAnsi="Times New Roman"/>
          <w:i/>
          <w:iCs/>
        </w:rPr>
        <w:t>Fardon</w:t>
      </w:r>
      <w:proofErr w:type="spellEnd"/>
      <w:r w:rsidRPr="00C06B3A">
        <w:rPr>
          <w:rFonts w:ascii="Times New Roman" w:hAnsi="Times New Roman"/>
        </w:rPr>
        <w:t xml:space="preserve">, Gleeson CJ, in discussing this Court's decisions in </w:t>
      </w:r>
      <w:r w:rsidRPr="00C06B3A">
        <w:rPr>
          <w:rFonts w:ascii="Times New Roman" w:hAnsi="Times New Roman"/>
          <w:i/>
          <w:iCs/>
        </w:rPr>
        <w:t>Veen </w:t>
      </w:r>
      <w:r w:rsidR="007455EB" w:rsidRPr="00C06B3A">
        <w:rPr>
          <w:rFonts w:ascii="Times New Roman" w:hAnsi="Times New Roman"/>
          <w:i/>
          <w:iCs/>
        </w:rPr>
        <w:t>[</w:t>
      </w:r>
      <w:r w:rsidRPr="00C06B3A">
        <w:rPr>
          <w:rFonts w:ascii="Times New Roman" w:hAnsi="Times New Roman"/>
          <w:i/>
          <w:iCs/>
        </w:rPr>
        <w:t>No 1</w:t>
      </w:r>
      <w:r w:rsidR="007455EB" w:rsidRPr="00C06B3A">
        <w:rPr>
          <w:rFonts w:ascii="Times New Roman" w:hAnsi="Times New Roman"/>
          <w:i/>
          <w:iCs/>
        </w:rPr>
        <w:t>]</w:t>
      </w:r>
      <w:r w:rsidRPr="00C06B3A">
        <w:rPr>
          <w:rFonts w:ascii="Times New Roman" w:hAnsi="Times New Roman"/>
        </w:rPr>
        <w:t xml:space="preserve"> and </w:t>
      </w:r>
      <w:r w:rsidRPr="00C06B3A">
        <w:rPr>
          <w:rFonts w:ascii="Times New Roman" w:hAnsi="Times New Roman"/>
          <w:i/>
          <w:iCs/>
        </w:rPr>
        <w:t>Veen </w:t>
      </w:r>
      <w:r w:rsidR="007455EB" w:rsidRPr="00C06B3A">
        <w:rPr>
          <w:rFonts w:ascii="Times New Roman" w:hAnsi="Times New Roman"/>
          <w:i/>
          <w:iCs/>
        </w:rPr>
        <w:t>[</w:t>
      </w:r>
      <w:r w:rsidRPr="00C06B3A">
        <w:rPr>
          <w:rFonts w:ascii="Times New Roman" w:hAnsi="Times New Roman"/>
          <w:i/>
          <w:iCs/>
        </w:rPr>
        <w:t>No 2</w:t>
      </w:r>
      <w:r w:rsidR="007455EB" w:rsidRPr="00C06B3A">
        <w:rPr>
          <w:rFonts w:ascii="Times New Roman" w:hAnsi="Times New Roman"/>
          <w:i/>
          <w:iCs/>
        </w:rPr>
        <w:t>]</w:t>
      </w:r>
      <w:r w:rsidR="00A25D6A" w:rsidRPr="00C06B3A">
        <w:rPr>
          <w:rFonts w:ascii="Times New Roman" w:hAnsi="Times New Roman"/>
          <w:iCs/>
        </w:rPr>
        <w:t>,</w:t>
      </w:r>
      <w:r w:rsidRPr="00C06B3A">
        <w:rPr>
          <w:rFonts w:ascii="Times New Roman" w:hAnsi="Times New Roman"/>
          <w:i/>
          <w:iCs/>
        </w:rPr>
        <w:t xml:space="preserve"> </w:t>
      </w:r>
      <w:r w:rsidRPr="00C06B3A">
        <w:rPr>
          <w:rFonts w:ascii="Times New Roman" w:hAnsi="Times New Roman"/>
        </w:rPr>
        <w:t>noted the tension between the practical effect of each of the two decisions</w:t>
      </w:r>
      <w:r w:rsidR="007455EB" w:rsidRPr="00C06B3A">
        <w:rPr>
          <w:rStyle w:val="FootnoteReference"/>
          <w:rFonts w:ascii="Times New Roman" w:hAnsi="Times New Roman"/>
          <w:iCs/>
          <w:sz w:val="24"/>
        </w:rPr>
        <w:footnoteReference w:id="67"/>
      </w:r>
      <w:r w:rsidRPr="00C06B3A">
        <w:rPr>
          <w:rFonts w:ascii="Times New Roman" w:hAnsi="Times New Roman"/>
        </w:rPr>
        <w:t xml:space="preserve">. In </w:t>
      </w:r>
      <w:r w:rsidRPr="00C06B3A">
        <w:rPr>
          <w:rFonts w:ascii="Times New Roman" w:hAnsi="Times New Roman"/>
          <w:i/>
          <w:iCs/>
        </w:rPr>
        <w:t>Veen </w:t>
      </w:r>
      <w:r w:rsidR="007455EB" w:rsidRPr="00C06B3A">
        <w:rPr>
          <w:rFonts w:ascii="Times New Roman" w:hAnsi="Times New Roman"/>
          <w:i/>
          <w:iCs/>
        </w:rPr>
        <w:t>[</w:t>
      </w:r>
      <w:r w:rsidRPr="00C06B3A">
        <w:rPr>
          <w:rFonts w:ascii="Times New Roman" w:hAnsi="Times New Roman"/>
          <w:i/>
          <w:iCs/>
        </w:rPr>
        <w:t>No 1</w:t>
      </w:r>
      <w:r w:rsidR="007455EB" w:rsidRPr="00C06B3A">
        <w:rPr>
          <w:rFonts w:ascii="Times New Roman" w:hAnsi="Times New Roman"/>
          <w:i/>
          <w:iCs/>
        </w:rPr>
        <w:t>]</w:t>
      </w:r>
      <w:r w:rsidRPr="00C06B3A">
        <w:rPr>
          <w:rFonts w:ascii="Times New Roman" w:hAnsi="Times New Roman"/>
        </w:rPr>
        <w:t xml:space="preserve">, this Court upheld an appeal against a sentence of life imprisonment imposed for the protection of the community </w:t>
      </w:r>
      <w:r w:rsidR="001E2B90" w:rsidRPr="00C06B3A">
        <w:rPr>
          <w:rFonts w:ascii="Times New Roman" w:hAnsi="Times New Roman"/>
        </w:rPr>
        <w:t xml:space="preserve">upon </w:t>
      </w:r>
      <w:r w:rsidRPr="00C06B3A">
        <w:rPr>
          <w:rFonts w:ascii="Times New Roman" w:hAnsi="Times New Roman"/>
        </w:rPr>
        <w:t>Mr Veen</w:t>
      </w:r>
      <w:r w:rsidR="00A25D6A" w:rsidRPr="00C06B3A">
        <w:rPr>
          <w:rFonts w:ascii="Times New Roman" w:hAnsi="Times New Roman"/>
        </w:rPr>
        <w:t>,</w:t>
      </w:r>
      <w:r w:rsidRPr="00C06B3A">
        <w:rPr>
          <w:rFonts w:ascii="Times New Roman" w:hAnsi="Times New Roman"/>
        </w:rPr>
        <w:t xml:space="preserve"> who had been charged with murder but convicted of manslaughter on the ground of diminished responsibility, the sentencing judge having taken the view that</w:t>
      </w:r>
      <w:r w:rsidR="00991A78" w:rsidRPr="00C06B3A">
        <w:rPr>
          <w:rFonts w:ascii="Times New Roman" w:hAnsi="Times New Roman"/>
        </w:rPr>
        <w:t>,</w:t>
      </w:r>
      <w:r w:rsidRPr="00C06B3A">
        <w:rPr>
          <w:rFonts w:ascii="Times New Roman" w:hAnsi="Times New Roman"/>
        </w:rPr>
        <w:t xml:space="preserve"> by reason of brain damage which could cause uncontrolled aggression when affected by alcohol, Mr Veen was likely to kill or injure someone if he were released. This Court reduced Mr Veen's sentence to imprisonment for 12</w:t>
      </w:r>
      <w:r w:rsidR="007455EB" w:rsidRPr="00C06B3A">
        <w:rPr>
          <w:rFonts w:ascii="Times New Roman" w:hAnsi="Times New Roman"/>
        </w:rPr>
        <w:t> </w:t>
      </w:r>
      <w:r w:rsidRPr="00C06B3A">
        <w:rPr>
          <w:rFonts w:ascii="Times New Roman" w:hAnsi="Times New Roman"/>
        </w:rPr>
        <w:t xml:space="preserve">years. Subsequently, Mr Veen was released from custody, and nine months later he stabbed and killed a man. For this crime, the Crown accepted a plea of manslaughter on the ground of diminished responsibility. Once again, Mr Veen was sentenced to life imprisonment, on the ground that he was a danger to </w:t>
      </w:r>
      <w:proofErr w:type="gramStart"/>
      <w:r w:rsidRPr="00C06B3A">
        <w:rPr>
          <w:rFonts w:ascii="Times New Roman" w:hAnsi="Times New Roman"/>
        </w:rPr>
        <w:t>society, and</w:t>
      </w:r>
      <w:proofErr w:type="gramEnd"/>
      <w:r w:rsidRPr="00C06B3A">
        <w:rPr>
          <w:rFonts w:ascii="Times New Roman" w:hAnsi="Times New Roman"/>
        </w:rPr>
        <w:t xml:space="preserve"> was likely to kill again when released. This Court upheld that sentence in </w:t>
      </w:r>
      <w:r w:rsidRPr="00C06B3A">
        <w:rPr>
          <w:rFonts w:ascii="Times New Roman" w:hAnsi="Times New Roman"/>
          <w:i/>
          <w:iCs/>
        </w:rPr>
        <w:t>Veen </w:t>
      </w:r>
      <w:r w:rsidR="000667E1" w:rsidRPr="00C06B3A">
        <w:rPr>
          <w:rFonts w:ascii="Times New Roman" w:hAnsi="Times New Roman"/>
          <w:i/>
          <w:iCs/>
        </w:rPr>
        <w:t>[</w:t>
      </w:r>
      <w:r w:rsidRPr="00C06B3A">
        <w:rPr>
          <w:rFonts w:ascii="Times New Roman" w:hAnsi="Times New Roman"/>
          <w:i/>
          <w:iCs/>
        </w:rPr>
        <w:t>No</w:t>
      </w:r>
      <w:r w:rsidR="000667E1" w:rsidRPr="00C06B3A">
        <w:rPr>
          <w:rFonts w:ascii="Times New Roman" w:hAnsi="Times New Roman"/>
          <w:i/>
          <w:iCs/>
        </w:rPr>
        <w:t> </w:t>
      </w:r>
      <w:r w:rsidRPr="00C06B3A">
        <w:rPr>
          <w:rFonts w:ascii="Times New Roman" w:hAnsi="Times New Roman"/>
          <w:i/>
          <w:iCs/>
        </w:rPr>
        <w:t>2</w:t>
      </w:r>
      <w:r w:rsidR="000667E1" w:rsidRPr="00C06B3A">
        <w:rPr>
          <w:rFonts w:ascii="Times New Roman" w:hAnsi="Times New Roman"/>
          <w:i/>
          <w:iCs/>
        </w:rPr>
        <w:t>]</w:t>
      </w:r>
      <w:r w:rsidRPr="00C06B3A">
        <w:rPr>
          <w:rFonts w:ascii="Times New Roman" w:hAnsi="Times New Roman"/>
          <w:i/>
          <w:iCs/>
        </w:rPr>
        <w:t>.</w:t>
      </w:r>
    </w:p>
    <w:p w14:paraId="1F2B925F" w14:textId="5A9BBBE4" w:rsidR="00FD77E0"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i/>
          <w:iCs/>
        </w:rPr>
        <w:tab/>
      </w:r>
      <w:r w:rsidRPr="00C06B3A">
        <w:rPr>
          <w:rFonts w:ascii="Times New Roman" w:hAnsi="Times New Roman"/>
        </w:rPr>
        <w:t xml:space="preserve">In </w:t>
      </w:r>
      <w:proofErr w:type="spellStart"/>
      <w:r w:rsidRPr="00C06B3A">
        <w:rPr>
          <w:rFonts w:ascii="Times New Roman" w:hAnsi="Times New Roman"/>
          <w:i/>
          <w:iCs/>
        </w:rPr>
        <w:t>Fardon</w:t>
      </w:r>
      <w:proofErr w:type="spellEnd"/>
      <w:r w:rsidRPr="00C06B3A">
        <w:rPr>
          <w:rFonts w:ascii="Times New Roman" w:hAnsi="Times New Roman"/>
        </w:rPr>
        <w:t xml:space="preserve">, Gleeson CJ did not seek to reconcile the outcome in </w:t>
      </w:r>
      <w:r w:rsidRPr="00C06B3A">
        <w:rPr>
          <w:rFonts w:ascii="Times New Roman" w:hAnsi="Times New Roman"/>
          <w:i/>
          <w:iCs/>
        </w:rPr>
        <w:t>Veen </w:t>
      </w:r>
      <w:r w:rsidR="000667E1" w:rsidRPr="00C06B3A">
        <w:rPr>
          <w:rFonts w:ascii="Times New Roman" w:hAnsi="Times New Roman"/>
          <w:i/>
          <w:iCs/>
        </w:rPr>
        <w:t>[</w:t>
      </w:r>
      <w:r w:rsidRPr="00C06B3A">
        <w:rPr>
          <w:rFonts w:ascii="Times New Roman" w:hAnsi="Times New Roman"/>
          <w:i/>
          <w:iCs/>
        </w:rPr>
        <w:t>No</w:t>
      </w:r>
      <w:r w:rsidR="00AF2140">
        <w:rPr>
          <w:rFonts w:ascii="Times New Roman" w:hAnsi="Times New Roman"/>
          <w:i/>
          <w:iCs/>
        </w:rPr>
        <w:t> </w:t>
      </w:r>
      <w:r w:rsidRPr="00C06B3A">
        <w:rPr>
          <w:rFonts w:ascii="Times New Roman" w:hAnsi="Times New Roman"/>
          <w:i/>
          <w:iCs/>
        </w:rPr>
        <w:t>1</w:t>
      </w:r>
      <w:r w:rsidR="000667E1" w:rsidRPr="00C06B3A">
        <w:rPr>
          <w:rFonts w:ascii="Times New Roman" w:hAnsi="Times New Roman"/>
          <w:i/>
          <w:iCs/>
        </w:rPr>
        <w:t>]</w:t>
      </w:r>
      <w:r w:rsidRPr="00C06B3A">
        <w:rPr>
          <w:rFonts w:ascii="Times New Roman" w:hAnsi="Times New Roman"/>
          <w:i/>
          <w:iCs/>
        </w:rPr>
        <w:t xml:space="preserve"> </w:t>
      </w:r>
      <w:r w:rsidRPr="00C06B3A">
        <w:rPr>
          <w:rFonts w:ascii="Times New Roman" w:hAnsi="Times New Roman"/>
        </w:rPr>
        <w:t xml:space="preserve">with the outcome in </w:t>
      </w:r>
      <w:r w:rsidRPr="00C06B3A">
        <w:rPr>
          <w:rFonts w:ascii="Times New Roman" w:hAnsi="Times New Roman"/>
          <w:i/>
          <w:iCs/>
        </w:rPr>
        <w:t>Veen </w:t>
      </w:r>
      <w:r w:rsidR="000667E1" w:rsidRPr="00C06B3A">
        <w:rPr>
          <w:rFonts w:ascii="Times New Roman" w:hAnsi="Times New Roman"/>
          <w:i/>
          <w:iCs/>
        </w:rPr>
        <w:t>[</w:t>
      </w:r>
      <w:r w:rsidRPr="00C06B3A">
        <w:rPr>
          <w:rFonts w:ascii="Times New Roman" w:hAnsi="Times New Roman"/>
          <w:i/>
          <w:iCs/>
        </w:rPr>
        <w:t>No 2</w:t>
      </w:r>
      <w:r w:rsidR="000667E1" w:rsidRPr="00C06B3A">
        <w:rPr>
          <w:rFonts w:ascii="Times New Roman" w:hAnsi="Times New Roman"/>
          <w:i/>
          <w:iCs/>
        </w:rPr>
        <w:t>]</w:t>
      </w:r>
      <w:r w:rsidRPr="00C06B3A">
        <w:rPr>
          <w:rFonts w:ascii="Times New Roman" w:hAnsi="Times New Roman"/>
        </w:rPr>
        <w:t xml:space="preserve">, given that there was no </w:t>
      </w:r>
      <w:r w:rsidR="007C4E0D" w:rsidRPr="00C06B3A">
        <w:rPr>
          <w:rFonts w:ascii="Times New Roman" w:hAnsi="Times New Roman"/>
        </w:rPr>
        <w:t xml:space="preserve">apparent </w:t>
      </w:r>
      <w:r w:rsidRPr="00C06B3A">
        <w:rPr>
          <w:rFonts w:ascii="Times New Roman" w:hAnsi="Times New Roman"/>
        </w:rPr>
        <w:t xml:space="preserve">difference </w:t>
      </w:r>
      <w:r w:rsidR="007C4E0D" w:rsidRPr="00C06B3A">
        <w:rPr>
          <w:rFonts w:ascii="Times New Roman" w:hAnsi="Times New Roman"/>
        </w:rPr>
        <w:t>of</w:t>
      </w:r>
      <w:r w:rsidRPr="00C06B3A">
        <w:rPr>
          <w:rFonts w:ascii="Times New Roman" w:hAnsi="Times New Roman"/>
        </w:rPr>
        <w:t xml:space="preserve"> approach in terms of principle; but his</w:t>
      </w:r>
      <w:r w:rsidR="000667E1" w:rsidRPr="00C06B3A">
        <w:rPr>
          <w:rFonts w:ascii="Times New Roman" w:hAnsi="Times New Roman"/>
        </w:rPr>
        <w:t> </w:t>
      </w:r>
      <w:r w:rsidRPr="00C06B3A">
        <w:rPr>
          <w:rFonts w:ascii="Times New Roman" w:hAnsi="Times New Roman"/>
        </w:rPr>
        <w:t>Honour observed that "</w:t>
      </w:r>
      <w:r w:rsidR="00A25D6A" w:rsidRPr="00C06B3A">
        <w:rPr>
          <w:rFonts w:ascii="Times New Roman" w:hAnsi="Times New Roman"/>
        </w:rPr>
        <w:t>[</w:t>
      </w:r>
      <w:r w:rsidRPr="00C06B3A">
        <w:rPr>
          <w:rFonts w:ascii="Times New Roman" w:hAnsi="Times New Roman"/>
        </w:rPr>
        <w:t>t</w:t>
      </w:r>
      <w:r w:rsidR="00A25D6A" w:rsidRPr="00C06B3A">
        <w:rPr>
          <w:rFonts w:ascii="Times New Roman" w:hAnsi="Times New Roman"/>
        </w:rPr>
        <w:t>]</w:t>
      </w:r>
      <w:r w:rsidRPr="00C06B3A">
        <w:rPr>
          <w:rFonts w:ascii="Times New Roman" w:hAnsi="Times New Roman"/>
        </w:rPr>
        <w:t>he facts of the case reveal a common problem with which courts and legislatures have to deal"</w:t>
      </w:r>
      <w:r w:rsidRPr="00C06B3A">
        <w:rPr>
          <w:rStyle w:val="FootnoteReference"/>
          <w:rFonts w:ascii="Times New Roman" w:hAnsi="Times New Roman"/>
          <w:sz w:val="24"/>
        </w:rPr>
        <w:footnoteReference w:id="68"/>
      </w:r>
      <w:r w:rsidRPr="00C06B3A">
        <w:rPr>
          <w:rFonts w:ascii="Times New Roman" w:hAnsi="Times New Roman"/>
        </w:rPr>
        <w:t>. One legislative response to that problem was the D</w:t>
      </w:r>
      <w:r w:rsidR="00503345" w:rsidRPr="00C06B3A">
        <w:rPr>
          <w:rFonts w:ascii="Times New Roman" w:hAnsi="Times New Roman"/>
        </w:rPr>
        <w:t>P</w:t>
      </w:r>
      <w:r w:rsidRPr="00C06B3A">
        <w:rPr>
          <w:rFonts w:ascii="Times New Roman" w:hAnsi="Times New Roman"/>
        </w:rPr>
        <w:t>SO</w:t>
      </w:r>
      <w:r w:rsidR="00503345" w:rsidRPr="00C06B3A">
        <w:rPr>
          <w:rFonts w:ascii="Times New Roman" w:hAnsi="Times New Roman"/>
        </w:rPr>
        <w:t> </w:t>
      </w:r>
      <w:r w:rsidRPr="00C06B3A">
        <w:rPr>
          <w:rFonts w:ascii="Times New Roman" w:hAnsi="Times New Roman"/>
        </w:rPr>
        <w:t xml:space="preserve">Act and its analogues, such as the HRSO Act. That response addressed the need to protect the community from disordered individuals in a way that the criminal law as expounded in </w:t>
      </w:r>
      <w:r w:rsidRPr="00C06B3A">
        <w:rPr>
          <w:rFonts w:ascii="Times New Roman" w:hAnsi="Times New Roman"/>
          <w:i/>
          <w:iCs/>
        </w:rPr>
        <w:t>Veen </w:t>
      </w:r>
      <w:r w:rsidR="00A25D6A" w:rsidRPr="00C06B3A">
        <w:rPr>
          <w:rFonts w:ascii="Times New Roman" w:hAnsi="Times New Roman"/>
          <w:i/>
          <w:iCs/>
        </w:rPr>
        <w:t>[</w:t>
      </w:r>
      <w:r w:rsidRPr="00C06B3A">
        <w:rPr>
          <w:rFonts w:ascii="Times New Roman" w:hAnsi="Times New Roman"/>
          <w:i/>
          <w:iCs/>
        </w:rPr>
        <w:t>No 1</w:t>
      </w:r>
      <w:r w:rsidR="00A25D6A" w:rsidRPr="00C06B3A">
        <w:rPr>
          <w:rFonts w:ascii="Times New Roman" w:hAnsi="Times New Roman"/>
          <w:i/>
          <w:iCs/>
        </w:rPr>
        <w:t>]</w:t>
      </w:r>
      <w:r w:rsidRPr="00C06B3A">
        <w:rPr>
          <w:rFonts w:ascii="Times New Roman" w:hAnsi="Times New Roman"/>
        </w:rPr>
        <w:t xml:space="preserve"> and </w:t>
      </w:r>
      <w:r w:rsidRPr="00C06B3A">
        <w:rPr>
          <w:rFonts w:ascii="Times New Roman" w:hAnsi="Times New Roman"/>
          <w:i/>
          <w:iCs/>
        </w:rPr>
        <w:t>Veen </w:t>
      </w:r>
      <w:r w:rsidR="00A25D6A" w:rsidRPr="00C06B3A">
        <w:rPr>
          <w:rFonts w:ascii="Times New Roman" w:hAnsi="Times New Roman"/>
          <w:i/>
          <w:iCs/>
        </w:rPr>
        <w:t>[</w:t>
      </w:r>
      <w:r w:rsidRPr="00C06B3A">
        <w:rPr>
          <w:rFonts w:ascii="Times New Roman" w:hAnsi="Times New Roman"/>
          <w:i/>
          <w:iCs/>
        </w:rPr>
        <w:t>No 2</w:t>
      </w:r>
      <w:r w:rsidR="00A25D6A" w:rsidRPr="00C06B3A">
        <w:rPr>
          <w:rFonts w:ascii="Times New Roman" w:hAnsi="Times New Roman"/>
          <w:i/>
          <w:iCs/>
        </w:rPr>
        <w:t>]</w:t>
      </w:r>
      <w:r w:rsidRPr="00C06B3A">
        <w:rPr>
          <w:rFonts w:ascii="Times New Roman" w:hAnsi="Times New Roman"/>
          <w:i/>
          <w:iCs/>
        </w:rPr>
        <w:t xml:space="preserve"> </w:t>
      </w:r>
      <w:r w:rsidRPr="00C06B3A">
        <w:rPr>
          <w:rFonts w:ascii="Times New Roman" w:hAnsi="Times New Roman"/>
        </w:rPr>
        <w:t xml:space="preserve">does not; and that response proceeded by way of a regime which </w:t>
      </w:r>
      <w:r w:rsidRPr="00C06B3A">
        <w:rPr>
          <w:rFonts w:ascii="Times New Roman" w:hAnsi="Times New Roman"/>
        </w:rPr>
        <w:lastRenderedPageBreak/>
        <w:t xml:space="preserve">eschewed entirely the purposes of deterrence and retribution that characterise punishment under the criminal law. </w:t>
      </w:r>
    </w:p>
    <w:p w14:paraId="435B601A" w14:textId="5A970244" w:rsidR="008D2B07" w:rsidRPr="00C06B3A" w:rsidRDefault="00FD77E0" w:rsidP="00C06B3A">
      <w:pPr>
        <w:pStyle w:val="FixListStyle"/>
        <w:spacing w:after="260" w:line="280" w:lineRule="exact"/>
        <w:ind w:right="0"/>
        <w:jc w:val="both"/>
        <w:rPr>
          <w:rFonts w:ascii="Times New Roman" w:hAnsi="Times New Roman"/>
        </w:rPr>
      </w:pPr>
      <w:r w:rsidRPr="00C06B3A">
        <w:rPr>
          <w:rFonts w:ascii="Times New Roman" w:hAnsi="Times New Roman"/>
        </w:rPr>
        <w:tab/>
        <w:t>The purpose of a legislative regime</w:t>
      </w:r>
      <w:r w:rsidR="00634F53" w:rsidRPr="00C06B3A">
        <w:rPr>
          <w:rFonts w:ascii="Times New Roman" w:hAnsi="Times New Roman"/>
        </w:rPr>
        <w:t>,</w:t>
      </w:r>
      <w:r w:rsidRPr="00C06B3A">
        <w:rPr>
          <w:rFonts w:ascii="Times New Roman" w:hAnsi="Times New Roman"/>
        </w:rPr>
        <w:t xml:space="preserve"> such as the D</w:t>
      </w:r>
      <w:r w:rsidR="00634F53" w:rsidRPr="00C06B3A">
        <w:rPr>
          <w:rFonts w:ascii="Times New Roman" w:hAnsi="Times New Roman"/>
        </w:rPr>
        <w:t>P</w:t>
      </w:r>
      <w:r w:rsidRPr="00C06B3A">
        <w:rPr>
          <w:rFonts w:ascii="Times New Roman" w:hAnsi="Times New Roman"/>
        </w:rPr>
        <w:t>SO</w:t>
      </w:r>
      <w:r w:rsidR="00634F53" w:rsidRPr="00C06B3A">
        <w:rPr>
          <w:rFonts w:ascii="Times New Roman" w:hAnsi="Times New Roman"/>
        </w:rPr>
        <w:t> </w:t>
      </w:r>
      <w:r w:rsidRPr="00C06B3A">
        <w:rPr>
          <w:rFonts w:ascii="Times New Roman" w:hAnsi="Times New Roman"/>
        </w:rPr>
        <w:t>Act or the HRSO Act</w:t>
      </w:r>
      <w:r w:rsidR="00634F53" w:rsidRPr="00C06B3A">
        <w:rPr>
          <w:rFonts w:ascii="Times New Roman" w:hAnsi="Times New Roman"/>
        </w:rPr>
        <w:t>,</w:t>
      </w:r>
      <w:r w:rsidRPr="00C06B3A">
        <w:rPr>
          <w:rFonts w:ascii="Times New Roman" w:hAnsi="Times New Roman"/>
        </w:rPr>
        <w:t xml:space="preserve"> is discernibly distinct from the imposition of retribution or deterrence pursued by the criminal law. To the extent that detention or supervised release is part of the legislative regime, the character of the curtailment of the liberty of the individual offender under the regime can be seen to be protective rather than punitive because any curtailment of liberty must be supported by the risk evaluation contemplated by s 7 of the HRSO</w:t>
      </w:r>
      <w:r w:rsidR="00634F53" w:rsidRPr="00C06B3A">
        <w:rPr>
          <w:rFonts w:ascii="Times New Roman" w:hAnsi="Times New Roman"/>
        </w:rPr>
        <w:t> </w:t>
      </w:r>
      <w:r w:rsidRPr="00C06B3A">
        <w:rPr>
          <w:rFonts w:ascii="Times New Roman" w:hAnsi="Times New Roman"/>
        </w:rPr>
        <w:t>Act. In that evaluation, considerations of retribution and deterrence, central to sentencing by way of punishment under the common law, have no part to play. In addition, any curtailment of liberty must be no greater than is necessary adequately to protect the community from the demonstrated unacceptable risk of harm to the community</w:t>
      </w:r>
      <w:r w:rsidR="00800E93" w:rsidRPr="00C06B3A">
        <w:rPr>
          <w:rStyle w:val="FootnoteReference"/>
          <w:rFonts w:ascii="Times New Roman" w:hAnsi="Times New Roman"/>
          <w:sz w:val="24"/>
        </w:rPr>
        <w:footnoteReference w:id="69"/>
      </w:r>
      <w:r w:rsidRPr="00C06B3A">
        <w:rPr>
          <w:rFonts w:ascii="Times New Roman" w:hAnsi="Times New Roman"/>
        </w:rPr>
        <w:t>. Further, any curtailment of liberty is subject to regular review to ensure that the evaluation of risk and response remains current. Where detention can be justified only by that evaluation and cannot be continued beyond the currency of such an evaluation, the purpose of detention and of the regime under which it is imposed can readily be seen to be distinct from the purpose of punishment.</w:t>
      </w:r>
    </w:p>
    <w:p w14:paraId="397C1EFE" w14:textId="780EEF61" w:rsidR="00B35ADC" w:rsidRPr="00C06B3A" w:rsidRDefault="00B35ADC" w:rsidP="00C06B3A">
      <w:pPr>
        <w:pStyle w:val="FixListStyle"/>
        <w:spacing w:after="260" w:line="280" w:lineRule="exact"/>
        <w:ind w:right="0"/>
        <w:jc w:val="both"/>
        <w:rPr>
          <w:rFonts w:ascii="Times New Roman" w:hAnsi="Times New Roman"/>
        </w:rPr>
      </w:pPr>
      <w:r w:rsidRPr="00C06B3A">
        <w:rPr>
          <w:rFonts w:ascii="Times New Roman" w:hAnsi="Times New Roman"/>
        </w:rPr>
        <w:tab/>
        <w:t>The HRSO</w:t>
      </w:r>
      <w:r w:rsidR="00634F53" w:rsidRPr="00C06B3A">
        <w:rPr>
          <w:rFonts w:ascii="Times New Roman" w:hAnsi="Times New Roman"/>
        </w:rPr>
        <w:t> </w:t>
      </w:r>
      <w:r w:rsidRPr="00C06B3A">
        <w:rPr>
          <w:rFonts w:ascii="Times New Roman" w:hAnsi="Times New Roman"/>
        </w:rPr>
        <w:t>Act can be seen to be protective</w:t>
      </w:r>
      <w:r w:rsidR="00382CF2" w:rsidRPr="00C06B3A">
        <w:rPr>
          <w:rFonts w:ascii="Times New Roman" w:hAnsi="Times New Roman"/>
        </w:rPr>
        <w:t>,</w:t>
      </w:r>
      <w:r w:rsidRPr="00C06B3A">
        <w:rPr>
          <w:rFonts w:ascii="Times New Roman" w:hAnsi="Times New Roman"/>
        </w:rPr>
        <w:t xml:space="preserve"> rather than punitive</w:t>
      </w:r>
      <w:r w:rsidR="00382CF2" w:rsidRPr="00C06B3A">
        <w:rPr>
          <w:rFonts w:ascii="Times New Roman" w:hAnsi="Times New Roman"/>
        </w:rPr>
        <w:t>,</w:t>
      </w:r>
      <w:r w:rsidRPr="00C06B3A">
        <w:rPr>
          <w:rFonts w:ascii="Times New Roman" w:hAnsi="Times New Roman"/>
        </w:rPr>
        <w:t xml:space="preserve"> in its purpose and effect because:</w:t>
      </w:r>
    </w:p>
    <w:p w14:paraId="69BDD043" w14:textId="16792BE8" w:rsidR="00B35ADC" w:rsidRPr="00C06B3A" w:rsidRDefault="00B35ADC" w:rsidP="00C06B3A">
      <w:pPr>
        <w:pStyle w:val="NormalBody"/>
        <w:spacing w:after="260" w:line="280" w:lineRule="exact"/>
        <w:ind w:left="1440" w:right="0" w:hanging="720"/>
        <w:jc w:val="both"/>
        <w:rPr>
          <w:rFonts w:ascii="Times New Roman" w:hAnsi="Times New Roman"/>
        </w:rPr>
      </w:pPr>
      <w:r w:rsidRPr="00C06B3A">
        <w:rPr>
          <w:rFonts w:ascii="Times New Roman" w:hAnsi="Times New Roman"/>
        </w:rPr>
        <w:t>(a)</w:t>
      </w:r>
      <w:r w:rsidRPr="00C06B3A">
        <w:rPr>
          <w:rFonts w:ascii="Times New Roman" w:hAnsi="Times New Roman"/>
        </w:rPr>
        <w:tab/>
        <w:t xml:space="preserve">it operates by reason of the evaluation by reference to criteria concerned solely with the risk of harm to the community rather than considerations of retribution or </w:t>
      </w:r>
      <w:proofErr w:type="gramStart"/>
      <w:r w:rsidRPr="00C06B3A">
        <w:rPr>
          <w:rFonts w:ascii="Times New Roman" w:hAnsi="Times New Roman"/>
        </w:rPr>
        <w:t>deterrence;</w:t>
      </w:r>
      <w:proofErr w:type="gramEnd"/>
    </w:p>
    <w:p w14:paraId="31EB79F3" w14:textId="419626CB" w:rsidR="00B35ADC" w:rsidRPr="00C06B3A" w:rsidRDefault="00B35ADC" w:rsidP="00C06B3A">
      <w:pPr>
        <w:pStyle w:val="NormalBody"/>
        <w:spacing w:after="260" w:line="280" w:lineRule="exact"/>
        <w:ind w:left="1440" w:right="0" w:hanging="720"/>
        <w:jc w:val="both"/>
        <w:rPr>
          <w:rFonts w:ascii="Times New Roman" w:hAnsi="Times New Roman"/>
        </w:rPr>
      </w:pPr>
      <w:r w:rsidRPr="00C06B3A">
        <w:rPr>
          <w:rFonts w:ascii="Times New Roman" w:hAnsi="Times New Roman"/>
        </w:rPr>
        <w:t>(b)</w:t>
      </w:r>
      <w:r w:rsidRPr="00C06B3A">
        <w:rPr>
          <w:rFonts w:ascii="Times New Roman" w:hAnsi="Times New Roman"/>
        </w:rPr>
        <w:tab/>
        <w:t xml:space="preserve">the </w:t>
      </w:r>
      <w:r w:rsidR="00A25D6A" w:rsidRPr="00C06B3A">
        <w:rPr>
          <w:rFonts w:ascii="Times New Roman" w:hAnsi="Times New Roman"/>
        </w:rPr>
        <w:t>e</w:t>
      </w:r>
      <w:r w:rsidRPr="00C06B3A">
        <w:rPr>
          <w:rFonts w:ascii="Times New Roman" w:hAnsi="Times New Roman"/>
        </w:rPr>
        <w:t xml:space="preserve">valuation of risk </w:t>
      </w:r>
      <w:r w:rsidR="00382CF2" w:rsidRPr="00C06B3A">
        <w:rPr>
          <w:rFonts w:ascii="Times New Roman" w:hAnsi="Times New Roman"/>
        </w:rPr>
        <w:t>to</w:t>
      </w:r>
      <w:r w:rsidRPr="00C06B3A">
        <w:rPr>
          <w:rFonts w:ascii="Times New Roman" w:hAnsi="Times New Roman"/>
        </w:rPr>
        <w:t xml:space="preserve"> the community is given effect only to the extent that interference with an offender's liberty is necessary to protect the </w:t>
      </w:r>
      <w:proofErr w:type="gramStart"/>
      <w:r w:rsidRPr="00C06B3A">
        <w:rPr>
          <w:rFonts w:ascii="Times New Roman" w:hAnsi="Times New Roman"/>
        </w:rPr>
        <w:t>community;</w:t>
      </w:r>
      <w:proofErr w:type="gramEnd"/>
    </w:p>
    <w:p w14:paraId="31B2306D" w14:textId="098DFC43" w:rsidR="00B35ADC" w:rsidRPr="00C06B3A" w:rsidRDefault="00B35ADC" w:rsidP="00C06B3A">
      <w:pPr>
        <w:pStyle w:val="NormalBody"/>
        <w:spacing w:after="260" w:line="280" w:lineRule="exact"/>
        <w:ind w:left="1440" w:right="0" w:hanging="720"/>
        <w:jc w:val="both"/>
        <w:rPr>
          <w:rFonts w:ascii="Times New Roman" w:hAnsi="Times New Roman"/>
        </w:rPr>
      </w:pPr>
      <w:r w:rsidRPr="00C06B3A">
        <w:rPr>
          <w:rFonts w:ascii="Times New Roman" w:hAnsi="Times New Roman"/>
        </w:rPr>
        <w:t>(c)</w:t>
      </w:r>
      <w:r w:rsidRPr="00C06B3A">
        <w:rPr>
          <w:rFonts w:ascii="Times New Roman" w:hAnsi="Times New Roman"/>
        </w:rPr>
        <w:tab/>
        <w:t>the processes by which the evaluation is undertaken and given effect are familiar as exercises of judicial power and</w:t>
      </w:r>
      <w:r w:rsidR="00A33AFA" w:rsidRPr="00C06B3A">
        <w:rPr>
          <w:rFonts w:ascii="Times New Roman" w:hAnsi="Times New Roman"/>
        </w:rPr>
        <w:t>,</w:t>
      </w:r>
      <w:r w:rsidRPr="00C06B3A">
        <w:rPr>
          <w:rFonts w:ascii="Times New Roman" w:hAnsi="Times New Roman"/>
        </w:rPr>
        <w:t xml:space="preserve"> as such</w:t>
      </w:r>
      <w:r w:rsidR="00382CF2" w:rsidRPr="00C06B3A">
        <w:rPr>
          <w:rFonts w:ascii="Times New Roman" w:hAnsi="Times New Roman"/>
        </w:rPr>
        <w:t>,</w:t>
      </w:r>
      <w:r w:rsidRPr="00C06B3A">
        <w:rPr>
          <w:rFonts w:ascii="Times New Roman" w:hAnsi="Times New Roman"/>
        </w:rPr>
        <w:t xml:space="preserve"> serve to ensure the fairness and rationality of the making of, and giving effect to, the evaluation. There was, </w:t>
      </w:r>
      <w:proofErr w:type="gramStart"/>
      <w:r w:rsidRPr="00C06B3A">
        <w:rPr>
          <w:rFonts w:ascii="Times New Roman" w:hAnsi="Times New Roman"/>
        </w:rPr>
        <w:t>in the course of</w:t>
      </w:r>
      <w:proofErr w:type="gramEnd"/>
      <w:r w:rsidRPr="00C06B3A">
        <w:rPr>
          <w:rFonts w:ascii="Times New Roman" w:hAnsi="Times New Roman"/>
        </w:rPr>
        <w:t xml:space="preserve"> argument in this Court</w:t>
      </w:r>
      <w:r w:rsidR="00D734FE" w:rsidRPr="00C06B3A">
        <w:rPr>
          <w:rFonts w:ascii="Times New Roman" w:hAnsi="Times New Roman"/>
        </w:rPr>
        <w:t>,</w:t>
      </w:r>
      <w:r w:rsidRPr="00C06B3A">
        <w:rPr>
          <w:rFonts w:ascii="Times New Roman" w:hAnsi="Times New Roman"/>
        </w:rPr>
        <w:t xml:space="preserve"> a suggestion that the imposition of </w:t>
      </w:r>
      <w:r w:rsidR="00770539" w:rsidRPr="00C06B3A">
        <w:rPr>
          <w:rFonts w:ascii="Times New Roman" w:hAnsi="Times New Roman"/>
        </w:rPr>
        <w:t>the</w:t>
      </w:r>
      <w:r w:rsidRPr="00C06B3A">
        <w:rPr>
          <w:rFonts w:ascii="Times New Roman" w:hAnsi="Times New Roman"/>
        </w:rPr>
        <w:t xml:space="preserve"> obligation</w:t>
      </w:r>
      <w:r w:rsidR="00770539" w:rsidRPr="00C06B3A">
        <w:rPr>
          <w:rFonts w:ascii="Times New Roman" w:hAnsi="Times New Roman"/>
        </w:rPr>
        <w:t xml:space="preserve"> of disclosure</w:t>
      </w:r>
      <w:r w:rsidRPr="00C06B3A">
        <w:rPr>
          <w:rFonts w:ascii="Times New Roman" w:hAnsi="Times New Roman"/>
        </w:rPr>
        <w:t xml:space="preserve"> upon an offender was a departure from ordinary judicial processes. That suggestion was without foundation: </w:t>
      </w:r>
      <w:r w:rsidR="00770539" w:rsidRPr="00C06B3A">
        <w:rPr>
          <w:rFonts w:ascii="Times New Roman" w:hAnsi="Times New Roman"/>
        </w:rPr>
        <w:t>that</w:t>
      </w:r>
      <w:r w:rsidRPr="00C06B3A">
        <w:rPr>
          <w:rFonts w:ascii="Times New Roman" w:hAnsi="Times New Roman"/>
        </w:rPr>
        <w:t xml:space="preserve"> obligation relates only to </w:t>
      </w:r>
      <w:r w:rsidRPr="00C06B3A">
        <w:rPr>
          <w:rFonts w:ascii="Times New Roman" w:hAnsi="Times New Roman"/>
        </w:rPr>
        <w:lastRenderedPageBreak/>
        <w:t>material upon which the offender proposes to rely. Moreover, it is a familiar aspect of the process of criminal justice</w:t>
      </w:r>
      <w:r w:rsidRPr="00C06B3A">
        <w:rPr>
          <w:rStyle w:val="FootnoteReference"/>
          <w:rFonts w:ascii="Times New Roman" w:hAnsi="Times New Roman"/>
          <w:sz w:val="24"/>
        </w:rPr>
        <w:footnoteReference w:id="70"/>
      </w:r>
      <w:r w:rsidRPr="00C06B3A">
        <w:rPr>
          <w:rFonts w:ascii="Times New Roman" w:hAnsi="Times New Roman"/>
        </w:rPr>
        <w:t>;</w:t>
      </w:r>
      <w:r w:rsidR="00C52B23" w:rsidRPr="00C06B3A">
        <w:rPr>
          <w:rFonts w:ascii="Times New Roman" w:hAnsi="Times New Roman"/>
        </w:rPr>
        <w:t xml:space="preserve"> and</w:t>
      </w:r>
    </w:p>
    <w:p w14:paraId="28302235" w14:textId="171429CD" w:rsidR="00B35ADC" w:rsidRPr="00C06B3A" w:rsidRDefault="00B35ADC" w:rsidP="00C06B3A">
      <w:pPr>
        <w:pStyle w:val="NormalBody"/>
        <w:spacing w:after="260" w:line="280" w:lineRule="exact"/>
        <w:ind w:left="1440" w:right="0" w:hanging="720"/>
        <w:jc w:val="both"/>
        <w:rPr>
          <w:rFonts w:ascii="Times New Roman" w:hAnsi="Times New Roman"/>
        </w:rPr>
      </w:pPr>
      <w:r w:rsidRPr="00C06B3A">
        <w:rPr>
          <w:rFonts w:ascii="Times New Roman" w:hAnsi="Times New Roman"/>
        </w:rPr>
        <w:t>(d)</w:t>
      </w:r>
      <w:r w:rsidRPr="00C06B3A">
        <w:rPr>
          <w:rFonts w:ascii="Times New Roman" w:hAnsi="Times New Roman"/>
        </w:rPr>
        <w:tab/>
        <w:t>the provisions for regular review serve to ensure that the restrictions upon an offender's personal liberty do not continue any longer than is necessary for the protection of the community.</w:t>
      </w:r>
    </w:p>
    <w:p w14:paraId="14E9920D" w14:textId="7349CE46" w:rsidR="00D318FB" w:rsidRPr="00C06B3A" w:rsidRDefault="00073C41" w:rsidP="00C06B3A">
      <w:pPr>
        <w:pStyle w:val="HeadingL1"/>
        <w:spacing w:after="260" w:line="280" w:lineRule="exact"/>
        <w:ind w:right="0"/>
        <w:jc w:val="both"/>
        <w:rPr>
          <w:rFonts w:ascii="Times New Roman" w:hAnsi="Times New Roman"/>
          <w:i/>
          <w:iCs/>
        </w:rPr>
      </w:pPr>
      <w:r w:rsidRPr="00C06B3A">
        <w:rPr>
          <w:rFonts w:ascii="Times New Roman" w:hAnsi="Times New Roman"/>
          <w:i/>
          <w:iCs/>
        </w:rPr>
        <w:t>Kable</w:t>
      </w:r>
    </w:p>
    <w:p w14:paraId="0782D0FA" w14:textId="78780BFF" w:rsidR="00165DE6" w:rsidRPr="00C06B3A" w:rsidRDefault="00400CF2"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006ADC" w:rsidRPr="00C06B3A">
        <w:rPr>
          <w:rFonts w:ascii="Times New Roman" w:hAnsi="Times New Roman"/>
        </w:rPr>
        <w:t xml:space="preserve">In </w:t>
      </w:r>
      <w:r w:rsidR="00006ADC" w:rsidRPr="00C06B3A">
        <w:rPr>
          <w:rFonts w:ascii="Times New Roman" w:hAnsi="Times New Roman"/>
          <w:i/>
        </w:rPr>
        <w:t>Kable</w:t>
      </w:r>
      <w:r w:rsidR="00006ADC" w:rsidRPr="00C06B3A">
        <w:rPr>
          <w:rFonts w:ascii="Times New Roman" w:hAnsi="Times New Roman"/>
        </w:rPr>
        <w:t xml:space="preserve">, the </w:t>
      </w:r>
      <w:r w:rsidR="00006ADC" w:rsidRPr="00C06B3A">
        <w:rPr>
          <w:rFonts w:ascii="Times New Roman" w:hAnsi="Times New Roman"/>
          <w:i/>
        </w:rPr>
        <w:t>Community Protection Act 1994 </w:t>
      </w:r>
      <w:r w:rsidR="00006ADC" w:rsidRPr="00C06B3A">
        <w:rPr>
          <w:rFonts w:ascii="Times New Roman" w:hAnsi="Times New Roman"/>
        </w:rPr>
        <w:t xml:space="preserve">(NSW) </w:t>
      </w:r>
      <w:r w:rsidR="00143018" w:rsidRPr="00C06B3A">
        <w:rPr>
          <w:rFonts w:ascii="Times New Roman" w:hAnsi="Times New Roman"/>
        </w:rPr>
        <w:t xml:space="preserve">authorised </w:t>
      </w:r>
      <w:r w:rsidR="00006ADC" w:rsidRPr="00C06B3A">
        <w:rPr>
          <w:rFonts w:ascii="Times New Roman" w:hAnsi="Times New Roman"/>
        </w:rPr>
        <w:t xml:space="preserve">the Supreme Court of New South Wales to issue a preventive detention order against </w:t>
      </w:r>
      <w:r w:rsidR="007530EF" w:rsidRPr="00C06B3A">
        <w:rPr>
          <w:rFonts w:ascii="Times New Roman" w:hAnsi="Times New Roman"/>
        </w:rPr>
        <w:t>Mr</w:t>
      </w:r>
      <w:r w:rsidR="00006ADC" w:rsidRPr="00C06B3A">
        <w:rPr>
          <w:rFonts w:ascii="Times New Roman" w:hAnsi="Times New Roman"/>
        </w:rPr>
        <w:t> Kable, who had been convicted of the manslaughter of his wife.</w:t>
      </w:r>
      <w:r w:rsidR="0014398F" w:rsidRPr="00C06B3A">
        <w:rPr>
          <w:rFonts w:ascii="Times New Roman" w:hAnsi="Times New Roman"/>
        </w:rPr>
        <w:t xml:space="preserve"> </w:t>
      </w:r>
      <w:proofErr w:type="gramStart"/>
      <w:r w:rsidR="0014398F" w:rsidRPr="00C06B3A">
        <w:rPr>
          <w:rFonts w:ascii="Times New Roman" w:hAnsi="Times New Roman"/>
        </w:rPr>
        <w:t>A majority of</w:t>
      </w:r>
      <w:proofErr w:type="gramEnd"/>
      <w:r w:rsidR="0014398F" w:rsidRPr="00C06B3A">
        <w:rPr>
          <w:rFonts w:ascii="Times New Roman" w:hAnsi="Times New Roman"/>
        </w:rPr>
        <w:t xml:space="preserve"> </w:t>
      </w:r>
      <w:r w:rsidR="001740F7" w:rsidRPr="00C06B3A">
        <w:rPr>
          <w:rFonts w:ascii="Times New Roman" w:hAnsi="Times New Roman"/>
        </w:rPr>
        <w:t>this</w:t>
      </w:r>
      <w:r w:rsidR="0014398F" w:rsidRPr="00C06B3A">
        <w:rPr>
          <w:rFonts w:ascii="Times New Roman" w:hAnsi="Times New Roman"/>
        </w:rPr>
        <w:t xml:space="preserve"> Court (Toohey, </w:t>
      </w:r>
      <w:proofErr w:type="spellStart"/>
      <w:r w:rsidR="0014398F" w:rsidRPr="00C06B3A">
        <w:rPr>
          <w:rFonts w:ascii="Times New Roman" w:hAnsi="Times New Roman"/>
        </w:rPr>
        <w:t>Gaudron</w:t>
      </w:r>
      <w:proofErr w:type="spellEnd"/>
      <w:r w:rsidR="0014398F" w:rsidRPr="00C06B3A">
        <w:rPr>
          <w:rFonts w:ascii="Times New Roman" w:hAnsi="Times New Roman"/>
        </w:rPr>
        <w:t xml:space="preserve">, McHugh and </w:t>
      </w:r>
      <w:proofErr w:type="spellStart"/>
      <w:r w:rsidR="0014398F" w:rsidRPr="00C06B3A">
        <w:rPr>
          <w:rFonts w:ascii="Times New Roman" w:hAnsi="Times New Roman"/>
        </w:rPr>
        <w:t>Gummow</w:t>
      </w:r>
      <w:proofErr w:type="spellEnd"/>
      <w:r w:rsidR="0014398F" w:rsidRPr="00C06B3A">
        <w:rPr>
          <w:rFonts w:ascii="Times New Roman" w:hAnsi="Times New Roman"/>
        </w:rPr>
        <w:t xml:space="preserve"> JJ) held </w:t>
      </w:r>
      <w:r w:rsidR="00194208" w:rsidRPr="00C06B3A">
        <w:rPr>
          <w:rFonts w:ascii="Times New Roman" w:hAnsi="Times New Roman"/>
        </w:rPr>
        <w:t xml:space="preserve">that </w:t>
      </w:r>
      <w:r w:rsidR="0014398F" w:rsidRPr="00C06B3A">
        <w:rPr>
          <w:rFonts w:ascii="Times New Roman" w:hAnsi="Times New Roman"/>
        </w:rPr>
        <w:t xml:space="preserve">the </w:t>
      </w:r>
      <w:r w:rsidR="0014398F" w:rsidRPr="00C06B3A">
        <w:rPr>
          <w:rFonts w:ascii="Times New Roman" w:hAnsi="Times New Roman"/>
          <w:i/>
        </w:rPr>
        <w:t>Community Protection Act</w:t>
      </w:r>
      <w:r w:rsidR="0014398F" w:rsidRPr="00C06B3A">
        <w:rPr>
          <w:rFonts w:ascii="Times New Roman" w:hAnsi="Times New Roman"/>
        </w:rPr>
        <w:t xml:space="preserve"> </w:t>
      </w:r>
      <w:r w:rsidR="00165DE6" w:rsidRPr="00C06B3A">
        <w:rPr>
          <w:rFonts w:ascii="Times New Roman" w:hAnsi="Times New Roman"/>
        </w:rPr>
        <w:t>was</w:t>
      </w:r>
      <w:r w:rsidR="0014398F" w:rsidRPr="00C06B3A">
        <w:rPr>
          <w:rFonts w:ascii="Times New Roman" w:hAnsi="Times New Roman"/>
        </w:rPr>
        <w:t xml:space="preserve"> invalid on the basis that it impaired the institutional integrity of the Supreme Court. Essential to the need to maintain the integrity of Ch III courts</w:t>
      </w:r>
      <w:r w:rsidR="0014398F" w:rsidRPr="00C06B3A">
        <w:rPr>
          <w:rFonts w:ascii="Times New Roman" w:hAnsi="Times New Roman"/>
          <w:i/>
        </w:rPr>
        <w:t xml:space="preserve"> </w:t>
      </w:r>
      <w:r w:rsidR="0014398F" w:rsidRPr="00C06B3A">
        <w:rPr>
          <w:rFonts w:ascii="Times New Roman" w:hAnsi="Times New Roman"/>
        </w:rPr>
        <w:t>was the maintenance of their independence from the other branches of government</w:t>
      </w:r>
      <w:r w:rsidR="004B0555" w:rsidRPr="00C06B3A">
        <w:rPr>
          <w:rFonts w:ascii="Times New Roman" w:hAnsi="Times New Roman"/>
        </w:rPr>
        <w:t>,</w:t>
      </w:r>
      <w:r w:rsidR="0014398F" w:rsidRPr="00C06B3A">
        <w:rPr>
          <w:rFonts w:ascii="Times New Roman" w:hAnsi="Times New Roman"/>
        </w:rPr>
        <w:t xml:space="preserve"> so that they should be free to act impartially in accordance with judicial process</w:t>
      </w:r>
      <w:r w:rsidR="0014398F" w:rsidRPr="00C06B3A">
        <w:rPr>
          <w:rStyle w:val="FootnoteReference"/>
          <w:rFonts w:ascii="Times New Roman" w:hAnsi="Times New Roman"/>
          <w:sz w:val="24"/>
        </w:rPr>
        <w:footnoteReference w:id="71"/>
      </w:r>
      <w:r w:rsidR="0014398F" w:rsidRPr="00C06B3A">
        <w:rPr>
          <w:rFonts w:ascii="Times New Roman" w:hAnsi="Times New Roman"/>
        </w:rPr>
        <w:t xml:space="preserve">. Where </w:t>
      </w:r>
      <w:r w:rsidR="004B0555" w:rsidRPr="00C06B3A">
        <w:rPr>
          <w:rFonts w:ascii="Times New Roman" w:hAnsi="Times New Roman"/>
        </w:rPr>
        <w:t>the</w:t>
      </w:r>
      <w:r w:rsidR="0014398F" w:rsidRPr="00C06B3A">
        <w:rPr>
          <w:rFonts w:ascii="Times New Roman" w:hAnsi="Times New Roman"/>
        </w:rPr>
        <w:t xml:space="preserve"> </w:t>
      </w:r>
      <w:r w:rsidR="004B0555" w:rsidRPr="00C06B3A">
        <w:rPr>
          <w:rFonts w:ascii="Times New Roman" w:hAnsi="Times New Roman"/>
        </w:rPr>
        <w:t>C</w:t>
      </w:r>
      <w:r w:rsidR="0014398F" w:rsidRPr="00C06B3A">
        <w:rPr>
          <w:rFonts w:ascii="Times New Roman" w:hAnsi="Times New Roman"/>
        </w:rPr>
        <w:t>ourt act</w:t>
      </w:r>
      <w:r w:rsidR="004B0555" w:rsidRPr="00C06B3A">
        <w:rPr>
          <w:rFonts w:ascii="Times New Roman" w:hAnsi="Times New Roman"/>
        </w:rPr>
        <w:t>ed</w:t>
      </w:r>
      <w:r w:rsidR="0014398F" w:rsidRPr="00C06B3A">
        <w:rPr>
          <w:rFonts w:ascii="Times New Roman" w:hAnsi="Times New Roman"/>
        </w:rPr>
        <w:t xml:space="preserve"> as an "instrument of </w:t>
      </w:r>
      <w:r w:rsidR="00A25D6A" w:rsidRPr="00C06B3A">
        <w:rPr>
          <w:rFonts w:ascii="Times New Roman" w:hAnsi="Times New Roman"/>
        </w:rPr>
        <w:t xml:space="preserve">executive </w:t>
      </w:r>
      <w:r w:rsidR="0014398F" w:rsidRPr="00C06B3A">
        <w:rPr>
          <w:rFonts w:ascii="Times New Roman" w:hAnsi="Times New Roman"/>
        </w:rPr>
        <w:t xml:space="preserve">government policy", as required by the </w:t>
      </w:r>
      <w:r w:rsidR="0014398F" w:rsidRPr="00C06B3A">
        <w:rPr>
          <w:rFonts w:ascii="Times New Roman" w:hAnsi="Times New Roman"/>
          <w:i/>
          <w:iCs/>
        </w:rPr>
        <w:t>Community Protection Act</w:t>
      </w:r>
      <w:r w:rsidR="0014398F" w:rsidRPr="00C06B3A">
        <w:rPr>
          <w:rFonts w:ascii="Times New Roman" w:hAnsi="Times New Roman"/>
        </w:rPr>
        <w:t xml:space="preserve">, public confidence in the </w:t>
      </w:r>
      <w:r w:rsidR="00471568" w:rsidRPr="00C06B3A">
        <w:rPr>
          <w:rFonts w:ascii="Times New Roman" w:hAnsi="Times New Roman"/>
        </w:rPr>
        <w:t>C</w:t>
      </w:r>
      <w:r w:rsidR="0014398F" w:rsidRPr="00C06B3A">
        <w:rPr>
          <w:rFonts w:ascii="Times New Roman" w:hAnsi="Times New Roman"/>
        </w:rPr>
        <w:t>ourt "must inevitably be impaired"</w:t>
      </w:r>
      <w:r w:rsidR="0014398F" w:rsidRPr="00C06B3A">
        <w:rPr>
          <w:rStyle w:val="FootnoteReference"/>
          <w:rFonts w:ascii="Times New Roman" w:hAnsi="Times New Roman"/>
          <w:sz w:val="24"/>
        </w:rPr>
        <w:footnoteReference w:id="72"/>
      </w:r>
      <w:r w:rsidR="0014398F" w:rsidRPr="00C06B3A">
        <w:rPr>
          <w:rFonts w:ascii="Times New Roman" w:hAnsi="Times New Roman"/>
        </w:rPr>
        <w:t xml:space="preserve">. </w:t>
      </w:r>
    </w:p>
    <w:p w14:paraId="1D6AB4F6" w14:textId="59DB8526" w:rsidR="00286161" w:rsidRPr="00C06B3A" w:rsidRDefault="00165DE6"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006ADC" w:rsidRPr="00C06B3A">
        <w:rPr>
          <w:rFonts w:ascii="Times New Roman" w:hAnsi="Times New Roman"/>
        </w:rPr>
        <w:t xml:space="preserve">Although </w:t>
      </w:r>
      <w:r w:rsidR="00202C51" w:rsidRPr="00C06B3A">
        <w:rPr>
          <w:rFonts w:ascii="Times New Roman" w:hAnsi="Times New Roman"/>
        </w:rPr>
        <w:t xml:space="preserve">the </w:t>
      </w:r>
      <w:r w:rsidR="00471568" w:rsidRPr="00C06B3A">
        <w:rPr>
          <w:rFonts w:ascii="Times New Roman" w:hAnsi="Times New Roman"/>
          <w:i/>
        </w:rPr>
        <w:t>Community Protection Act</w:t>
      </w:r>
      <w:r w:rsidR="003664CC" w:rsidRPr="00C06B3A">
        <w:rPr>
          <w:rFonts w:ascii="Times New Roman" w:hAnsi="Times New Roman"/>
          <w:i/>
          <w:iCs/>
        </w:rPr>
        <w:t xml:space="preserve"> </w:t>
      </w:r>
      <w:r w:rsidR="00006ADC" w:rsidRPr="00C06B3A">
        <w:rPr>
          <w:rFonts w:ascii="Times New Roman" w:hAnsi="Times New Roman"/>
        </w:rPr>
        <w:t>was framed in general terms, s 3 made it clear that it was confined in its operation to Mr Kable; th</w:t>
      </w:r>
      <w:r w:rsidR="00BA6DCB" w:rsidRPr="00C06B3A">
        <w:rPr>
          <w:rFonts w:ascii="Times New Roman" w:hAnsi="Times New Roman"/>
        </w:rPr>
        <w:t>e</w:t>
      </w:r>
      <w:r w:rsidR="00006ADC" w:rsidRPr="00C06B3A">
        <w:rPr>
          <w:rFonts w:ascii="Times New Roman" w:hAnsi="Times New Roman"/>
        </w:rPr>
        <w:t xml:space="preserve"> ad hominem </w:t>
      </w:r>
      <w:r w:rsidR="00BA6DCB" w:rsidRPr="00C06B3A">
        <w:rPr>
          <w:rFonts w:ascii="Times New Roman" w:hAnsi="Times New Roman"/>
        </w:rPr>
        <w:t xml:space="preserve">focus of the </w:t>
      </w:r>
      <w:r w:rsidR="00006ADC" w:rsidRPr="00C06B3A">
        <w:rPr>
          <w:rFonts w:ascii="Times New Roman" w:hAnsi="Times New Roman"/>
        </w:rPr>
        <w:t>legislation was seen to be problematic</w:t>
      </w:r>
      <w:r w:rsidR="00006ADC" w:rsidRPr="00C06B3A">
        <w:rPr>
          <w:rStyle w:val="FootnoteReference"/>
          <w:rFonts w:ascii="Times New Roman" w:hAnsi="Times New Roman"/>
          <w:sz w:val="24"/>
        </w:rPr>
        <w:footnoteReference w:id="73"/>
      </w:r>
      <w:r w:rsidR="00006ADC" w:rsidRPr="00C06B3A">
        <w:rPr>
          <w:rFonts w:ascii="Times New Roman" w:hAnsi="Times New Roman"/>
        </w:rPr>
        <w:t xml:space="preserve">. </w:t>
      </w:r>
    </w:p>
    <w:p w14:paraId="7A5400F0" w14:textId="1D570F71" w:rsidR="00242F21" w:rsidRPr="00C06B3A" w:rsidRDefault="00286161"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42F21" w:rsidRPr="00C06B3A">
        <w:rPr>
          <w:rFonts w:ascii="Times New Roman" w:hAnsi="Times New Roman"/>
        </w:rPr>
        <w:t xml:space="preserve">In </w:t>
      </w:r>
      <w:r w:rsidR="00242F21" w:rsidRPr="00C06B3A">
        <w:rPr>
          <w:rFonts w:ascii="Times New Roman" w:hAnsi="Times New Roman"/>
          <w:i/>
          <w:iCs/>
        </w:rPr>
        <w:t>Attorney</w:t>
      </w:r>
      <w:r w:rsidR="00242F21" w:rsidRPr="00C06B3A">
        <w:rPr>
          <w:rFonts w:ascii="Times New Roman" w:hAnsi="Times New Roman"/>
          <w:i/>
          <w:iCs/>
        </w:rPr>
        <w:noBreakHyphen/>
        <w:t>General (NT) v Emmerson</w:t>
      </w:r>
      <w:r w:rsidR="00B13F16" w:rsidRPr="00C06B3A">
        <w:rPr>
          <w:rStyle w:val="FootnoteReference"/>
          <w:rFonts w:ascii="Times New Roman" w:hAnsi="Times New Roman"/>
          <w:iCs/>
          <w:sz w:val="24"/>
        </w:rPr>
        <w:footnoteReference w:id="74"/>
      </w:r>
      <w:r w:rsidR="009D3AEC" w:rsidRPr="00C06B3A">
        <w:rPr>
          <w:rFonts w:ascii="Times New Roman" w:hAnsi="Times New Roman"/>
          <w:iCs/>
        </w:rPr>
        <w:t>,</w:t>
      </w:r>
      <w:r w:rsidR="003161F6" w:rsidRPr="00C06B3A">
        <w:rPr>
          <w:rFonts w:ascii="Times New Roman" w:hAnsi="Times New Roman"/>
        </w:rPr>
        <w:t xml:space="preserve"> French CJ, </w:t>
      </w:r>
      <w:r w:rsidR="004C43DB" w:rsidRPr="00C06B3A">
        <w:rPr>
          <w:rFonts w:ascii="Times New Roman" w:hAnsi="Times New Roman"/>
        </w:rPr>
        <w:t xml:space="preserve">Hayne, </w:t>
      </w:r>
      <w:proofErr w:type="spellStart"/>
      <w:r w:rsidR="004C43DB" w:rsidRPr="00C06B3A">
        <w:rPr>
          <w:rFonts w:ascii="Times New Roman" w:hAnsi="Times New Roman"/>
        </w:rPr>
        <w:t>Crennan</w:t>
      </w:r>
      <w:proofErr w:type="spellEnd"/>
      <w:r w:rsidR="004C43DB" w:rsidRPr="00C06B3A">
        <w:rPr>
          <w:rFonts w:ascii="Times New Roman" w:hAnsi="Times New Roman"/>
        </w:rPr>
        <w:t>, Kiefel, Bell and Keane JJ said</w:t>
      </w:r>
      <w:r w:rsidR="0064349B" w:rsidRPr="00C06B3A">
        <w:rPr>
          <w:rFonts w:ascii="Times New Roman" w:hAnsi="Times New Roman"/>
        </w:rPr>
        <w:t>:</w:t>
      </w:r>
    </w:p>
    <w:p w14:paraId="0273455F" w14:textId="77777777" w:rsidR="00C06B3A" w:rsidRDefault="00766C8C" w:rsidP="00C06B3A">
      <w:pPr>
        <w:pStyle w:val="LRIndentafterHC"/>
        <w:spacing w:before="0" w:after="260" w:line="280" w:lineRule="exact"/>
        <w:ind w:right="0"/>
        <w:jc w:val="both"/>
        <w:rPr>
          <w:rFonts w:ascii="Times New Roman" w:hAnsi="Times New Roman"/>
        </w:rPr>
      </w:pPr>
      <w:r w:rsidRPr="00C06B3A">
        <w:rPr>
          <w:rFonts w:ascii="Times New Roman" w:hAnsi="Times New Roman"/>
        </w:rPr>
        <w:lastRenderedPageBreak/>
        <w:t xml:space="preserve">"The ad hominem legislation in </w:t>
      </w:r>
      <w:r w:rsidRPr="00C06B3A">
        <w:rPr>
          <w:rFonts w:ascii="Times New Roman" w:hAnsi="Times New Roman"/>
          <w:i/>
          <w:iCs/>
        </w:rPr>
        <w:t>Kable</w:t>
      </w:r>
      <w:r w:rsidRPr="00C06B3A">
        <w:rPr>
          <w:rFonts w:ascii="Times New Roman" w:hAnsi="Times New Roman"/>
        </w:rPr>
        <w:t xml:space="preserve"> (the stated object of which was 'to protect the community</w:t>
      </w:r>
      <w:r w:rsidR="0035788C" w:rsidRPr="00C06B3A">
        <w:rPr>
          <w:rFonts w:ascii="Times New Roman" w:hAnsi="Times New Roman"/>
        </w:rPr>
        <w:t>'</w:t>
      </w:r>
      <w:r w:rsidR="0035788C" w:rsidRPr="00C06B3A">
        <w:rPr>
          <w:rStyle w:val="FootnoteReference"/>
          <w:rFonts w:ascii="Times New Roman" w:hAnsi="Times New Roman"/>
          <w:sz w:val="24"/>
        </w:rPr>
        <w:footnoteReference w:id="75"/>
      </w:r>
      <w:r w:rsidR="00A25D6A" w:rsidRPr="00C06B3A">
        <w:rPr>
          <w:rFonts w:ascii="Times New Roman" w:hAnsi="Times New Roman"/>
        </w:rPr>
        <w:t>)</w:t>
      </w:r>
      <w:r w:rsidRPr="00C06B3A">
        <w:rPr>
          <w:rFonts w:ascii="Times New Roman" w:hAnsi="Times New Roman"/>
        </w:rPr>
        <w:t xml:space="preserve"> authorised the Supreme Court of New South Wales to order preventive detention without any breach of the law being alleged or any adjudication of guilt</w:t>
      </w:r>
      <w:r w:rsidR="009D6234" w:rsidRPr="00C06B3A">
        <w:rPr>
          <w:rStyle w:val="FootnoteReference"/>
          <w:rFonts w:ascii="Times New Roman" w:hAnsi="Times New Roman"/>
          <w:sz w:val="24"/>
        </w:rPr>
        <w:footnoteReference w:id="76"/>
      </w:r>
      <w:r w:rsidRPr="00C06B3A">
        <w:rPr>
          <w:rFonts w:ascii="Times New Roman" w:hAnsi="Times New Roman"/>
        </w:rPr>
        <w:t xml:space="preserve">. </w:t>
      </w:r>
      <w:proofErr w:type="gramStart"/>
      <w:r w:rsidRPr="00C06B3A">
        <w:rPr>
          <w:rFonts w:ascii="Times New Roman" w:hAnsi="Times New Roman"/>
        </w:rPr>
        <w:t>A majority of</w:t>
      </w:r>
      <w:proofErr w:type="gramEnd"/>
      <w:r w:rsidRPr="00C06B3A">
        <w:rPr>
          <w:rFonts w:ascii="Times New Roman" w:hAnsi="Times New Roman"/>
        </w:rPr>
        <w:t xml:space="preserve"> this Court found that task incompatible with the institutional integrity of the Supreme Court because the legislation drew the Court into implementing what was essentially a political decision or government policy that Mr</w:t>
      </w:r>
      <w:r w:rsidR="00AF0A05" w:rsidRPr="00C06B3A">
        <w:rPr>
          <w:rFonts w:ascii="Times New Roman" w:hAnsi="Times New Roman"/>
        </w:rPr>
        <w:t> </w:t>
      </w:r>
      <w:r w:rsidRPr="00C06B3A">
        <w:rPr>
          <w:rFonts w:ascii="Times New Roman" w:hAnsi="Times New Roman"/>
        </w:rPr>
        <w:t>Kable should be detained, without the benefit of ordinary judicial process</w:t>
      </w:r>
      <w:r w:rsidR="004124AA" w:rsidRPr="00C06B3A">
        <w:rPr>
          <w:rStyle w:val="FootnoteReference"/>
          <w:rFonts w:ascii="Times New Roman" w:hAnsi="Times New Roman"/>
          <w:sz w:val="24"/>
        </w:rPr>
        <w:footnoteReference w:id="77"/>
      </w:r>
      <w:r w:rsidRPr="00C06B3A">
        <w:rPr>
          <w:rFonts w:ascii="Times New Roman" w:hAnsi="Times New Roman"/>
        </w:rPr>
        <w:t>.</w:t>
      </w:r>
      <w:r w:rsidR="0006124B" w:rsidRPr="00C06B3A">
        <w:rPr>
          <w:rFonts w:ascii="Times New Roman" w:hAnsi="Times New Roman"/>
        </w:rPr>
        <w:t>"</w:t>
      </w:r>
    </w:p>
    <w:p w14:paraId="3ADEB37B" w14:textId="4F5B73B8" w:rsidR="00286161" w:rsidRPr="00C06B3A" w:rsidRDefault="00294695"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4E4A93" w:rsidRPr="00C06B3A">
        <w:rPr>
          <w:rFonts w:ascii="Times New Roman" w:hAnsi="Times New Roman"/>
        </w:rPr>
        <w:t xml:space="preserve">The general proposition for which </w:t>
      </w:r>
      <w:r w:rsidR="004E4A93" w:rsidRPr="00C06B3A">
        <w:rPr>
          <w:rFonts w:ascii="Times New Roman" w:hAnsi="Times New Roman"/>
          <w:i/>
          <w:iCs/>
        </w:rPr>
        <w:t>Kable</w:t>
      </w:r>
      <w:r w:rsidR="004E4A93" w:rsidRPr="00C06B3A">
        <w:rPr>
          <w:rFonts w:ascii="Times New Roman" w:hAnsi="Times New Roman"/>
        </w:rPr>
        <w:t xml:space="preserve"> stands</w:t>
      </w:r>
      <w:r w:rsidR="00C0614B" w:rsidRPr="00C06B3A">
        <w:rPr>
          <w:rStyle w:val="FootnoteReference"/>
          <w:rFonts w:ascii="Times New Roman" w:hAnsi="Times New Roman"/>
          <w:sz w:val="24"/>
        </w:rPr>
        <w:footnoteReference w:id="78"/>
      </w:r>
      <w:r w:rsidR="00FB6901" w:rsidRPr="00C06B3A">
        <w:rPr>
          <w:rFonts w:ascii="Times New Roman" w:hAnsi="Times New Roman"/>
        </w:rPr>
        <w:t xml:space="preserve"> must be understood and applied bearing in mind that </w:t>
      </w:r>
      <w:r w:rsidR="00255D26" w:rsidRPr="00C06B3A">
        <w:rPr>
          <w:rFonts w:ascii="Times New Roman" w:hAnsi="Times New Roman"/>
        </w:rPr>
        <w:t xml:space="preserve">all </w:t>
      </w:r>
      <w:r w:rsidR="00FB6901" w:rsidRPr="00C06B3A">
        <w:rPr>
          <w:rFonts w:ascii="Times New Roman" w:hAnsi="Times New Roman"/>
        </w:rPr>
        <w:t>legislati</w:t>
      </w:r>
      <w:r w:rsidR="00D926DA" w:rsidRPr="00C06B3A">
        <w:rPr>
          <w:rFonts w:ascii="Times New Roman" w:hAnsi="Times New Roman"/>
        </w:rPr>
        <w:t>o</w:t>
      </w:r>
      <w:r w:rsidR="00FB6901" w:rsidRPr="00C06B3A">
        <w:rPr>
          <w:rFonts w:ascii="Times New Roman" w:hAnsi="Times New Roman"/>
        </w:rPr>
        <w:t>n reflect</w:t>
      </w:r>
      <w:r w:rsidR="00255D26" w:rsidRPr="00C06B3A">
        <w:rPr>
          <w:rFonts w:ascii="Times New Roman" w:hAnsi="Times New Roman"/>
        </w:rPr>
        <w:t>s</w:t>
      </w:r>
      <w:r w:rsidR="00FB6901" w:rsidRPr="00C06B3A">
        <w:rPr>
          <w:rFonts w:ascii="Times New Roman" w:hAnsi="Times New Roman"/>
        </w:rPr>
        <w:t xml:space="preserve"> p</w:t>
      </w:r>
      <w:r w:rsidR="00D926DA" w:rsidRPr="00C06B3A">
        <w:rPr>
          <w:rFonts w:ascii="Times New Roman" w:hAnsi="Times New Roman"/>
        </w:rPr>
        <w:t>o</w:t>
      </w:r>
      <w:r w:rsidR="00FB6901" w:rsidRPr="00C06B3A">
        <w:rPr>
          <w:rFonts w:ascii="Times New Roman" w:hAnsi="Times New Roman"/>
        </w:rPr>
        <w:t xml:space="preserve">litical decisions and government policy </w:t>
      </w:r>
      <w:r w:rsidR="00255D26" w:rsidRPr="00C06B3A">
        <w:rPr>
          <w:rFonts w:ascii="Times New Roman" w:hAnsi="Times New Roman"/>
        </w:rPr>
        <w:t>a</w:t>
      </w:r>
      <w:r w:rsidR="00FB6901" w:rsidRPr="00C06B3A">
        <w:rPr>
          <w:rFonts w:ascii="Times New Roman" w:hAnsi="Times New Roman"/>
        </w:rPr>
        <w:t xml:space="preserve">s a source of </w:t>
      </w:r>
      <w:r w:rsidR="00255D26" w:rsidRPr="00C06B3A">
        <w:rPr>
          <w:rFonts w:ascii="Times New Roman" w:hAnsi="Times New Roman"/>
        </w:rPr>
        <w:t>laws</w:t>
      </w:r>
      <w:r w:rsidR="00FB6901" w:rsidRPr="00C06B3A">
        <w:rPr>
          <w:rFonts w:ascii="Times New Roman" w:hAnsi="Times New Roman"/>
        </w:rPr>
        <w:t>, substantive and adjectival</w:t>
      </w:r>
      <w:r w:rsidR="007A78EC" w:rsidRPr="00C06B3A">
        <w:rPr>
          <w:rFonts w:ascii="Times New Roman" w:hAnsi="Times New Roman"/>
        </w:rPr>
        <w:t xml:space="preserve">; and that it is the essential role of the judiciary to enforce those </w:t>
      </w:r>
      <w:r w:rsidR="005B331F" w:rsidRPr="00C06B3A">
        <w:rPr>
          <w:rFonts w:ascii="Times New Roman" w:hAnsi="Times New Roman"/>
        </w:rPr>
        <w:t>laws</w:t>
      </w:r>
      <w:r w:rsidR="007A78EC" w:rsidRPr="00C06B3A">
        <w:rPr>
          <w:rFonts w:ascii="Times New Roman" w:hAnsi="Times New Roman"/>
        </w:rPr>
        <w:t xml:space="preserve"> by the exercise of judicial power</w:t>
      </w:r>
      <w:r w:rsidR="00E44EA9" w:rsidRPr="00C06B3A">
        <w:rPr>
          <w:rStyle w:val="FootnoteReference"/>
          <w:rFonts w:ascii="Times New Roman" w:hAnsi="Times New Roman"/>
          <w:sz w:val="24"/>
        </w:rPr>
        <w:footnoteReference w:id="79"/>
      </w:r>
      <w:r w:rsidR="004D7588" w:rsidRPr="00C06B3A">
        <w:rPr>
          <w:rFonts w:ascii="Times New Roman" w:hAnsi="Times New Roman"/>
        </w:rPr>
        <w:t>.</w:t>
      </w:r>
      <w:r w:rsidR="00BB2C6A" w:rsidRPr="00C06B3A">
        <w:rPr>
          <w:rFonts w:ascii="Times New Roman" w:hAnsi="Times New Roman"/>
        </w:rPr>
        <w:t xml:space="preserve"> </w:t>
      </w:r>
      <w:r w:rsidR="005B331F" w:rsidRPr="00C06B3A">
        <w:rPr>
          <w:rFonts w:ascii="Times New Roman" w:hAnsi="Times New Roman"/>
        </w:rPr>
        <w:t>It is within this context that it can be appreciated that t</w:t>
      </w:r>
      <w:r w:rsidRPr="00C06B3A">
        <w:rPr>
          <w:rFonts w:ascii="Times New Roman" w:hAnsi="Times New Roman"/>
        </w:rPr>
        <w:t xml:space="preserve">he vice of the </w:t>
      </w:r>
      <w:r w:rsidR="009F3769" w:rsidRPr="00C06B3A">
        <w:rPr>
          <w:rFonts w:ascii="Times New Roman" w:hAnsi="Times New Roman"/>
          <w:i/>
        </w:rPr>
        <w:t>Community Protection Act</w:t>
      </w:r>
      <w:r w:rsidRPr="00C06B3A">
        <w:rPr>
          <w:rFonts w:ascii="Times New Roman" w:hAnsi="Times New Roman"/>
        </w:rPr>
        <w:t xml:space="preserve"> was that it enlisted the Supreme Court to give effect to a decision on the part of the executive government that Mr Kable should remain in detention.</w:t>
      </w:r>
    </w:p>
    <w:p w14:paraId="01CFD3B6" w14:textId="7D9A569B" w:rsidR="00954F9A" w:rsidRPr="00C06B3A" w:rsidRDefault="00954F9A" w:rsidP="00C06B3A">
      <w:pPr>
        <w:pStyle w:val="HeadingL1"/>
        <w:spacing w:after="260" w:line="280" w:lineRule="exact"/>
        <w:ind w:right="0"/>
        <w:jc w:val="both"/>
        <w:rPr>
          <w:rFonts w:ascii="Times New Roman" w:hAnsi="Times New Roman"/>
          <w:i/>
          <w:iCs/>
        </w:rPr>
      </w:pPr>
      <w:proofErr w:type="spellStart"/>
      <w:r w:rsidRPr="00C06B3A">
        <w:rPr>
          <w:rFonts w:ascii="Times New Roman" w:hAnsi="Times New Roman"/>
          <w:i/>
          <w:iCs/>
        </w:rPr>
        <w:t>Fardon</w:t>
      </w:r>
      <w:proofErr w:type="spellEnd"/>
    </w:p>
    <w:p w14:paraId="1CF9AE02" w14:textId="037320EF" w:rsidR="00954F9A" w:rsidRPr="00C06B3A" w:rsidRDefault="00954F9A"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proofErr w:type="spellStart"/>
      <w:r w:rsidRPr="00C06B3A">
        <w:rPr>
          <w:rFonts w:ascii="Times New Roman" w:hAnsi="Times New Roman"/>
          <w:i/>
        </w:rPr>
        <w:t>Fardon</w:t>
      </w:r>
      <w:proofErr w:type="spellEnd"/>
      <w:r w:rsidRPr="00C06B3A">
        <w:rPr>
          <w:rFonts w:ascii="Times New Roman" w:hAnsi="Times New Roman"/>
        </w:rPr>
        <w:t xml:space="preserve">, </w:t>
      </w:r>
      <w:proofErr w:type="gramStart"/>
      <w:r w:rsidRPr="00C06B3A">
        <w:rPr>
          <w:rFonts w:ascii="Times New Roman" w:hAnsi="Times New Roman"/>
        </w:rPr>
        <w:t>a majority of</w:t>
      </w:r>
      <w:proofErr w:type="gramEnd"/>
      <w:r w:rsidRPr="00C06B3A">
        <w:rPr>
          <w:rFonts w:ascii="Times New Roman" w:hAnsi="Times New Roman"/>
        </w:rPr>
        <w:t xml:space="preserve"> this Court held that the DPSO</w:t>
      </w:r>
      <w:r w:rsidR="00E02FB1" w:rsidRPr="00C06B3A">
        <w:rPr>
          <w:rFonts w:ascii="Times New Roman" w:hAnsi="Times New Roman"/>
        </w:rPr>
        <w:t> </w:t>
      </w:r>
      <w:r w:rsidRPr="00C06B3A">
        <w:rPr>
          <w:rFonts w:ascii="Times New Roman" w:hAnsi="Times New Roman"/>
        </w:rPr>
        <w:t xml:space="preserve">Act did not infringe the </w:t>
      </w:r>
      <w:r w:rsidRPr="00C06B3A">
        <w:rPr>
          <w:rFonts w:ascii="Times New Roman" w:hAnsi="Times New Roman"/>
          <w:i/>
        </w:rPr>
        <w:t xml:space="preserve">Kable </w:t>
      </w:r>
      <w:r w:rsidRPr="00C06B3A">
        <w:rPr>
          <w:rFonts w:ascii="Times New Roman" w:hAnsi="Times New Roman"/>
        </w:rPr>
        <w:t xml:space="preserve">principle. </w:t>
      </w:r>
      <w:r w:rsidR="00A25D6A" w:rsidRPr="00C06B3A">
        <w:rPr>
          <w:rFonts w:ascii="Times New Roman" w:hAnsi="Times New Roman"/>
        </w:rPr>
        <w:t xml:space="preserve">This </w:t>
      </w:r>
      <w:r w:rsidRPr="00C06B3A">
        <w:rPr>
          <w:rFonts w:ascii="Times New Roman" w:hAnsi="Times New Roman"/>
        </w:rPr>
        <w:t xml:space="preserve">Court rejected the contention that the </w:t>
      </w:r>
      <w:r w:rsidR="00A308E7" w:rsidRPr="00C06B3A">
        <w:rPr>
          <w:rFonts w:ascii="Times New Roman" w:hAnsi="Times New Roman"/>
        </w:rPr>
        <w:t xml:space="preserve">involvement of the </w:t>
      </w:r>
      <w:r w:rsidRPr="00C06B3A">
        <w:rPr>
          <w:rFonts w:ascii="Times New Roman" w:hAnsi="Times New Roman"/>
        </w:rPr>
        <w:t>Supreme Court of Queensland in deciding whether prisoners who have been convicted of sexual offences should be the subject of continuing detention orders, on the ground that they pose a danger of harm to the community</w:t>
      </w:r>
      <w:r w:rsidR="004007B9" w:rsidRPr="00C06B3A">
        <w:rPr>
          <w:rFonts w:ascii="Times New Roman" w:hAnsi="Times New Roman"/>
        </w:rPr>
        <w:t>,</w:t>
      </w:r>
      <w:r w:rsidR="00327AA6" w:rsidRPr="00C06B3A">
        <w:rPr>
          <w:rFonts w:ascii="Times New Roman" w:hAnsi="Times New Roman"/>
        </w:rPr>
        <w:t xml:space="preserve"> was</w:t>
      </w:r>
      <w:r w:rsidRPr="00C06B3A">
        <w:rPr>
          <w:rFonts w:ascii="Times New Roman" w:hAnsi="Times New Roman"/>
        </w:rPr>
        <w:t xml:space="preserve"> incompatible with the </w:t>
      </w:r>
      <w:r w:rsidR="00142E24" w:rsidRPr="00C06B3A">
        <w:rPr>
          <w:rFonts w:ascii="Times New Roman" w:hAnsi="Times New Roman"/>
        </w:rPr>
        <w:t>role</w:t>
      </w:r>
      <w:r w:rsidRPr="00C06B3A">
        <w:rPr>
          <w:rFonts w:ascii="Times New Roman" w:hAnsi="Times New Roman"/>
        </w:rPr>
        <w:t xml:space="preserve"> of the Supreme Court</w:t>
      </w:r>
      <w:r w:rsidR="00C76C54" w:rsidRPr="00C06B3A">
        <w:rPr>
          <w:rFonts w:ascii="Times New Roman" w:hAnsi="Times New Roman"/>
        </w:rPr>
        <w:t xml:space="preserve"> </w:t>
      </w:r>
      <w:r w:rsidRPr="00C06B3A">
        <w:rPr>
          <w:rFonts w:ascii="Times New Roman" w:hAnsi="Times New Roman"/>
        </w:rPr>
        <w:t>as a repository of federal judicial power.</w:t>
      </w:r>
    </w:p>
    <w:p w14:paraId="319541BF" w14:textId="7C13EBCD" w:rsidR="00954F9A" w:rsidRPr="00C06B3A" w:rsidRDefault="00954F9A"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Gleeson CJ noted </w:t>
      </w:r>
      <w:proofErr w:type="gramStart"/>
      <w:r w:rsidRPr="00C06B3A">
        <w:rPr>
          <w:rFonts w:ascii="Times New Roman" w:hAnsi="Times New Roman"/>
        </w:rPr>
        <w:t>a number of</w:t>
      </w:r>
      <w:proofErr w:type="gramEnd"/>
      <w:r w:rsidRPr="00C06B3A">
        <w:rPr>
          <w:rFonts w:ascii="Times New Roman" w:hAnsi="Times New Roman"/>
        </w:rPr>
        <w:t xml:space="preserve"> features </w:t>
      </w:r>
      <w:r w:rsidR="00732734" w:rsidRPr="00C06B3A">
        <w:rPr>
          <w:rFonts w:ascii="Times New Roman" w:hAnsi="Times New Roman"/>
        </w:rPr>
        <w:t>of the DPSO</w:t>
      </w:r>
      <w:r w:rsidR="001E0687" w:rsidRPr="00C06B3A">
        <w:rPr>
          <w:rFonts w:ascii="Times New Roman" w:hAnsi="Times New Roman"/>
        </w:rPr>
        <w:t> </w:t>
      </w:r>
      <w:r w:rsidR="00732734" w:rsidRPr="00C06B3A">
        <w:rPr>
          <w:rFonts w:ascii="Times New Roman" w:hAnsi="Times New Roman"/>
        </w:rPr>
        <w:t xml:space="preserve">Act which distinguished it from </w:t>
      </w:r>
      <w:r w:rsidR="00732734" w:rsidRPr="00C06B3A">
        <w:rPr>
          <w:rFonts w:ascii="Times New Roman" w:hAnsi="Times New Roman"/>
          <w:i/>
        </w:rPr>
        <w:t>Kable</w:t>
      </w:r>
      <w:r w:rsidR="00732734" w:rsidRPr="00C06B3A">
        <w:rPr>
          <w:rFonts w:ascii="Times New Roman" w:hAnsi="Times New Roman"/>
        </w:rPr>
        <w:t xml:space="preserve"> and </w:t>
      </w:r>
      <w:r w:rsidR="00D90291" w:rsidRPr="00C06B3A">
        <w:rPr>
          <w:rFonts w:ascii="Times New Roman" w:hAnsi="Times New Roman"/>
        </w:rPr>
        <w:t>supported its validity</w:t>
      </w:r>
      <w:r w:rsidRPr="00C06B3A">
        <w:rPr>
          <w:rStyle w:val="FootnoteReference"/>
          <w:rFonts w:ascii="Times New Roman" w:hAnsi="Times New Roman"/>
          <w:sz w:val="24"/>
        </w:rPr>
        <w:footnoteReference w:id="80"/>
      </w:r>
      <w:r w:rsidRPr="00C06B3A">
        <w:rPr>
          <w:rFonts w:ascii="Times New Roman" w:hAnsi="Times New Roman"/>
        </w:rPr>
        <w:t>:</w:t>
      </w:r>
    </w:p>
    <w:p w14:paraId="2AE800EE" w14:textId="77777777" w:rsidR="00C06B3A" w:rsidRDefault="00954F9A" w:rsidP="00C06B3A">
      <w:pPr>
        <w:pStyle w:val="LRIndentafterHC"/>
        <w:spacing w:before="0" w:after="260" w:line="280" w:lineRule="exact"/>
        <w:ind w:right="0"/>
        <w:jc w:val="both"/>
        <w:rPr>
          <w:rFonts w:ascii="Times New Roman" w:hAnsi="Times New Roman"/>
        </w:rPr>
      </w:pPr>
      <w:r w:rsidRPr="00C06B3A">
        <w:rPr>
          <w:rFonts w:ascii="Times New Roman" w:hAnsi="Times New Roman"/>
        </w:rPr>
        <w:lastRenderedPageBreak/>
        <w:t xml:space="preserve">"The </w:t>
      </w:r>
      <w:r w:rsidR="00380151" w:rsidRPr="00C06B3A">
        <w:rPr>
          <w:rFonts w:ascii="Times New Roman" w:hAnsi="Times New Roman"/>
        </w:rPr>
        <w:t>[DPSO]</w:t>
      </w:r>
      <w:r w:rsidR="001E0687" w:rsidRPr="00C06B3A">
        <w:rPr>
          <w:rFonts w:ascii="Times New Roman" w:hAnsi="Times New Roman"/>
        </w:rPr>
        <w:t> </w:t>
      </w:r>
      <w:r w:rsidRPr="00C06B3A">
        <w:rPr>
          <w:rFonts w:ascii="Times New Roman" w:hAnsi="Times New Roman"/>
        </w:rPr>
        <w:t>Act is a general law authorising the preventive detention of a prisoner in the interests of community protection. It authorises and empowers the Supreme Court [of Queensland] to act in a manner which is consistent with its judicial character. It does not confer functions which are incompatible with the proper discharge of judicial responsibilities or with the exercise of judicial power. It confers a substantial discretion as to whether an order should be made, and if so, the type of order. If an order is made, it might involve either detention or release under supervision. The onus of proof is on the Attorney</w:t>
      </w:r>
      <w:r w:rsidR="001E0687" w:rsidRPr="00C06B3A">
        <w:rPr>
          <w:rFonts w:ascii="Times New Roman" w:hAnsi="Times New Roman"/>
        </w:rPr>
        <w:noBreakHyphen/>
      </w:r>
      <w:r w:rsidRPr="00C06B3A">
        <w:rPr>
          <w:rFonts w:ascii="Times New Roman" w:hAnsi="Times New Roman"/>
        </w:rPr>
        <w:t xml:space="preserve">General [of the State of Queensland]. The rules of evidence apply. The discretion is to be exercised by reference to the criterion of </w:t>
      </w:r>
      <w:proofErr w:type="gramStart"/>
      <w:r w:rsidRPr="00C06B3A">
        <w:rPr>
          <w:rFonts w:ascii="Times New Roman" w:hAnsi="Times New Roman"/>
        </w:rPr>
        <w:t>serious danger</w:t>
      </w:r>
      <w:proofErr w:type="gramEnd"/>
      <w:r w:rsidRPr="00C06B3A">
        <w:rPr>
          <w:rFonts w:ascii="Times New Roman" w:hAnsi="Times New Roman"/>
        </w:rPr>
        <w:t xml:space="preserve"> to the community. The Court is obliged, by s 13(4) of the [DPSO]</w:t>
      </w:r>
      <w:r w:rsidR="001E0687" w:rsidRPr="00C06B3A">
        <w:rPr>
          <w:rFonts w:ascii="Times New Roman" w:hAnsi="Times New Roman"/>
        </w:rPr>
        <w:t> </w:t>
      </w:r>
      <w:r w:rsidRPr="00C06B3A">
        <w:rPr>
          <w:rFonts w:ascii="Times New Roman" w:hAnsi="Times New Roman"/>
        </w:rPr>
        <w:t>Act, to have regard to a list of matters that are all relevant to that criterion. There is a right of appeal. Hearings are conducted in public, and in accordance with the ordinary judicial process. There is nothing to suggest that the Supreme Court is to act as a mere instrument of government policy. The outcome of each case is to be determined on its merits."</w:t>
      </w:r>
    </w:p>
    <w:p w14:paraId="37A52647" w14:textId="48A2DC3E" w:rsidR="00954F9A" w:rsidRPr="00C06B3A" w:rsidRDefault="00954F9A"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0F040C" w:rsidRPr="00C06B3A">
        <w:rPr>
          <w:rFonts w:ascii="Times New Roman" w:hAnsi="Times New Roman"/>
        </w:rPr>
        <w:t xml:space="preserve">Gleeson CJ </w:t>
      </w:r>
      <w:r w:rsidRPr="00C06B3A">
        <w:rPr>
          <w:rFonts w:ascii="Times New Roman" w:hAnsi="Times New Roman"/>
        </w:rPr>
        <w:t>then observed</w:t>
      </w:r>
      <w:r w:rsidRPr="00C06B3A">
        <w:rPr>
          <w:rStyle w:val="FootnoteReference"/>
          <w:rFonts w:ascii="Times New Roman" w:hAnsi="Times New Roman"/>
          <w:sz w:val="24"/>
        </w:rPr>
        <w:footnoteReference w:id="81"/>
      </w:r>
      <w:r w:rsidRPr="00C06B3A">
        <w:rPr>
          <w:rFonts w:ascii="Times New Roman" w:hAnsi="Times New Roman"/>
        </w:rPr>
        <w:t>:</w:t>
      </w:r>
    </w:p>
    <w:p w14:paraId="7B669182" w14:textId="77777777" w:rsidR="00C06B3A" w:rsidRDefault="00954F9A" w:rsidP="00C06B3A">
      <w:pPr>
        <w:pStyle w:val="LRIndentafterHC"/>
        <w:spacing w:before="0" w:after="260" w:line="280" w:lineRule="exact"/>
        <w:ind w:right="0"/>
        <w:jc w:val="both"/>
        <w:rPr>
          <w:rFonts w:ascii="Times New Roman" w:hAnsi="Times New Roman"/>
        </w:rPr>
      </w:pPr>
      <w:r w:rsidRPr="00C06B3A">
        <w:rPr>
          <w:rFonts w:ascii="Times New Roman" w:hAnsi="Times New Roman"/>
        </w:rPr>
        <w:t>"It might be thought that, by conferring the powers in question on the Supreme Court of Queensland, the Queensland Parliament was attempting to ensure that the powers would be exercised independently, impartially, and judicially.</w:t>
      </w:r>
      <w:r w:rsidR="00055F5F" w:rsidRPr="00C06B3A">
        <w:rPr>
          <w:rFonts w:ascii="Times New Roman" w:hAnsi="Times New Roman"/>
        </w:rPr>
        <w:t xml:space="preserve"> </w:t>
      </w:r>
      <w:r w:rsidRPr="00C06B3A">
        <w:rPr>
          <w:rFonts w:ascii="Times New Roman" w:hAnsi="Times New Roman"/>
        </w:rPr>
        <w:t>Unless it can be said that there is something inherent in the making of an order for preventive, as distinct from punitive, detention that compromises the institutional integrity of a court, then it is hard to see the foundation for the appellant's argument."</w:t>
      </w:r>
    </w:p>
    <w:p w14:paraId="14F84BD9" w14:textId="7C23905F" w:rsidR="00252C5C" w:rsidRPr="00C06B3A" w:rsidRDefault="00954F9A"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C76C54" w:rsidRPr="00C06B3A">
        <w:rPr>
          <w:rFonts w:ascii="Times New Roman" w:hAnsi="Times New Roman"/>
        </w:rPr>
        <w:t>His</w:t>
      </w:r>
      <w:r w:rsidR="00055F5F" w:rsidRPr="00C06B3A">
        <w:rPr>
          <w:rFonts w:ascii="Times New Roman" w:hAnsi="Times New Roman"/>
        </w:rPr>
        <w:t> </w:t>
      </w:r>
      <w:r w:rsidR="00C76C54" w:rsidRPr="00C06B3A">
        <w:rPr>
          <w:rFonts w:ascii="Times New Roman" w:hAnsi="Times New Roman"/>
        </w:rPr>
        <w:t>Honour</w:t>
      </w:r>
      <w:r w:rsidR="00B321DE" w:rsidRPr="00C06B3A">
        <w:rPr>
          <w:rFonts w:ascii="Times New Roman" w:hAnsi="Times New Roman"/>
        </w:rPr>
        <w:t>,</w:t>
      </w:r>
      <w:r w:rsidR="00C76C54" w:rsidRPr="00C06B3A">
        <w:rPr>
          <w:rFonts w:ascii="Times New Roman" w:hAnsi="Times New Roman"/>
        </w:rPr>
        <w:t xml:space="preserve"> and </w:t>
      </w:r>
      <w:r w:rsidR="00256272" w:rsidRPr="00C06B3A">
        <w:rPr>
          <w:rFonts w:ascii="Times New Roman" w:hAnsi="Times New Roman"/>
        </w:rPr>
        <w:t xml:space="preserve">most </w:t>
      </w:r>
      <w:r w:rsidR="00252C5C" w:rsidRPr="00C06B3A">
        <w:rPr>
          <w:rFonts w:ascii="Times New Roman" w:hAnsi="Times New Roman"/>
        </w:rPr>
        <w:t>other members of the majority</w:t>
      </w:r>
      <w:r w:rsidR="005E140E" w:rsidRPr="00C06B3A">
        <w:rPr>
          <w:rStyle w:val="FootnoteReference"/>
          <w:rFonts w:ascii="Times New Roman" w:hAnsi="Times New Roman"/>
          <w:sz w:val="24"/>
        </w:rPr>
        <w:footnoteReference w:id="82"/>
      </w:r>
      <w:r w:rsidR="00B321DE" w:rsidRPr="00C06B3A">
        <w:rPr>
          <w:rFonts w:ascii="Times New Roman" w:hAnsi="Times New Roman"/>
        </w:rPr>
        <w:t>,</w:t>
      </w:r>
      <w:r w:rsidR="00C76C54" w:rsidRPr="00C06B3A">
        <w:rPr>
          <w:rFonts w:ascii="Times New Roman" w:hAnsi="Times New Roman"/>
        </w:rPr>
        <w:t xml:space="preserve"> </w:t>
      </w:r>
      <w:r w:rsidR="007935C8" w:rsidRPr="00C06B3A">
        <w:rPr>
          <w:rFonts w:ascii="Times New Roman" w:hAnsi="Times New Roman"/>
        </w:rPr>
        <w:t xml:space="preserve">therefore </w:t>
      </w:r>
      <w:r w:rsidR="0007342E" w:rsidRPr="00C06B3A">
        <w:rPr>
          <w:rFonts w:ascii="Times New Roman" w:hAnsi="Times New Roman"/>
        </w:rPr>
        <w:t>rejected th</w:t>
      </w:r>
      <w:r w:rsidR="0048451E" w:rsidRPr="00C06B3A">
        <w:rPr>
          <w:rFonts w:ascii="Times New Roman" w:hAnsi="Times New Roman"/>
        </w:rPr>
        <w:t>e</w:t>
      </w:r>
      <w:r w:rsidR="0007342E" w:rsidRPr="00C06B3A">
        <w:rPr>
          <w:rFonts w:ascii="Times New Roman" w:hAnsi="Times New Roman"/>
        </w:rPr>
        <w:t xml:space="preserve"> proposition that there is something inherent in the making of an order for preventive</w:t>
      </w:r>
      <w:r w:rsidR="00237B4D" w:rsidRPr="00C06B3A">
        <w:rPr>
          <w:rFonts w:ascii="Times New Roman" w:hAnsi="Times New Roman"/>
        </w:rPr>
        <w:t>, as distinct fro</w:t>
      </w:r>
      <w:r w:rsidR="003A562F" w:rsidRPr="00C06B3A">
        <w:rPr>
          <w:rFonts w:ascii="Times New Roman" w:hAnsi="Times New Roman"/>
        </w:rPr>
        <w:t>m</w:t>
      </w:r>
      <w:r w:rsidR="00237B4D" w:rsidRPr="00C06B3A">
        <w:rPr>
          <w:rFonts w:ascii="Times New Roman" w:hAnsi="Times New Roman"/>
        </w:rPr>
        <w:t xml:space="preserve"> pu</w:t>
      </w:r>
      <w:r w:rsidR="003A562F" w:rsidRPr="00C06B3A">
        <w:rPr>
          <w:rFonts w:ascii="Times New Roman" w:hAnsi="Times New Roman"/>
        </w:rPr>
        <w:t>n</w:t>
      </w:r>
      <w:r w:rsidR="00237B4D" w:rsidRPr="00C06B3A">
        <w:rPr>
          <w:rFonts w:ascii="Times New Roman" w:hAnsi="Times New Roman"/>
        </w:rPr>
        <w:t>itive, detention that compromises the institutional integr</w:t>
      </w:r>
      <w:r w:rsidR="003A562F" w:rsidRPr="00C06B3A">
        <w:rPr>
          <w:rFonts w:ascii="Times New Roman" w:hAnsi="Times New Roman"/>
        </w:rPr>
        <w:t>i</w:t>
      </w:r>
      <w:r w:rsidR="00237B4D" w:rsidRPr="00C06B3A">
        <w:rPr>
          <w:rFonts w:ascii="Times New Roman" w:hAnsi="Times New Roman"/>
        </w:rPr>
        <w:t xml:space="preserve">ty of a court. </w:t>
      </w:r>
      <w:r w:rsidR="0048451E" w:rsidRPr="00C06B3A">
        <w:rPr>
          <w:rFonts w:ascii="Times New Roman" w:hAnsi="Times New Roman"/>
        </w:rPr>
        <w:t>Rather, i</w:t>
      </w:r>
      <w:r w:rsidR="005F217B" w:rsidRPr="00C06B3A">
        <w:rPr>
          <w:rFonts w:ascii="Times New Roman" w:hAnsi="Times New Roman"/>
        </w:rPr>
        <w:t>t was held that the purpose of the DPSO</w:t>
      </w:r>
      <w:r w:rsidR="007935C8" w:rsidRPr="00C06B3A">
        <w:rPr>
          <w:rFonts w:ascii="Times New Roman" w:hAnsi="Times New Roman"/>
        </w:rPr>
        <w:t> </w:t>
      </w:r>
      <w:r w:rsidR="005F217B" w:rsidRPr="00C06B3A">
        <w:rPr>
          <w:rFonts w:ascii="Times New Roman" w:hAnsi="Times New Roman"/>
        </w:rPr>
        <w:t>Act was to protect the community, not to impose punishment, or further punishment, on an offender</w:t>
      </w:r>
      <w:r w:rsidR="005F217B" w:rsidRPr="00C06B3A">
        <w:rPr>
          <w:rStyle w:val="FootnoteReference"/>
          <w:rFonts w:ascii="Times New Roman" w:hAnsi="Times New Roman"/>
          <w:sz w:val="24"/>
        </w:rPr>
        <w:footnoteReference w:id="83"/>
      </w:r>
      <w:r w:rsidR="005F217B" w:rsidRPr="00C06B3A">
        <w:rPr>
          <w:rFonts w:ascii="Times New Roman" w:hAnsi="Times New Roman"/>
        </w:rPr>
        <w:t xml:space="preserve">. </w:t>
      </w:r>
      <w:r w:rsidR="00237B4D" w:rsidRPr="00C06B3A">
        <w:rPr>
          <w:rFonts w:ascii="Times New Roman" w:hAnsi="Times New Roman"/>
        </w:rPr>
        <w:t>Their</w:t>
      </w:r>
      <w:r w:rsidR="007935C8" w:rsidRPr="00C06B3A">
        <w:rPr>
          <w:rFonts w:ascii="Times New Roman" w:hAnsi="Times New Roman"/>
        </w:rPr>
        <w:t> </w:t>
      </w:r>
      <w:r w:rsidR="00237B4D" w:rsidRPr="00C06B3A">
        <w:rPr>
          <w:rFonts w:ascii="Times New Roman" w:hAnsi="Times New Roman"/>
        </w:rPr>
        <w:t xml:space="preserve">Honours </w:t>
      </w:r>
      <w:r w:rsidR="00532AC3" w:rsidRPr="00C06B3A">
        <w:rPr>
          <w:rFonts w:ascii="Times New Roman" w:hAnsi="Times New Roman"/>
        </w:rPr>
        <w:t>emphasised</w:t>
      </w:r>
      <w:r w:rsidR="00C76C54" w:rsidRPr="00C06B3A">
        <w:rPr>
          <w:rFonts w:ascii="Times New Roman" w:hAnsi="Times New Roman"/>
        </w:rPr>
        <w:t xml:space="preserve"> that</w:t>
      </w:r>
      <w:r w:rsidR="00252C5C" w:rsidRPr="00C06B3A">
        <w:rPr>
          <w:rFonts w:ascii="Times New Roman" w:hAnsi="Times New Roman"/>
        </w:rPr>
        <w:t xml:space="preserve"> the DPSO Act required the </w:t>
      </w:r>
      <w:r w:rsidR="007935C8" w:rsidRPr="00C06B3A">
        <w:rPr>
          <w:rFonts w:ascii="Times New Roman" w:hAnsi="Times New Roman"/>
        </w:rPr>
        <w:t>C</w:t>
      </w:r>
      <w:r w:rsidR="00252C5C" w:rsidRPr="00C06B3A">
        <w:rPr>
          <w:rFonts w:ascii="Times New Roman" w:hAnsi="Times New Roman"/>
        </w:rPr>
        <w:t xml:space="preserve">ourt to </w:t>
      </w:r>
      <w:r w:rsidR="00FD0E5C" w:rsidRPr="00C06B3A">
        <w:rPr>
          <w:rFonts w:ascii="Times New Roman" w:hAnsi="Times New Roman"/>
        </w:rPr>
        <w:t>act</w:t>
      </w:r>
      <w:r w:rsidR="00252C5C" w:rsidRPr="00C06B3A">
        <w:rPr>
          <w:rFonts w:ascii="Times New Roman" w:hAnsi="Times New Roman"/>
        </w:rPr>
        <w:t xml:space="preserve"> independent</w:t>
      </w:r>
      <w:r w:rsidR="00413496" w:rsidRPr="00C06B3A">
        <w:rPr>
          <w:rFonts w:ascii="Times New Roman" w:hAnsi="Times New Roman"/>
        </w:rPr>
        <w:t>ly</w:t>
      </w:r>
      <w:r w:rsidR="00252C5C" w:rsidRPr="00C06B3A">
        <w:rPr>
          <w:rFonts w:ascii="Times New Roman" w:hAnsi="Times New Roman"/>
        </w:rPr>
        <w:t xml:space="preserve"> of the other arms of government</w:t>
      </w:r>
      <w:r w:rsidR="00B85697" w:rsidRPr="00C06B3A">
        <w:rPr>
          <w:rFonts w:ascii="Times New Roman" w:hAnsi="Times New Roman"/>
        </w:rPr>
        <w:t>. The</w:t>
      </w:r>
      <w:r w:rsidR="00252C5C" w:rsidRPr="00C06B3A">
        <w:rPr>
          <w:rFonts w:ascii="Times New Roman" w:hAnsi="Times New Roman"/>
        </w:rPr>
        <w:t xml:space="preserve"> </w:t>
      </w:r>
      <w:r w:rsidR="001A53E7" w:rsidRPr="00C06B3A">
        <w:rPr>
          <w:rFonts w:ascii="Times New Roman" w:hAnsi="Times New Roman"/>
        </w:rPr>
        <w:t>C</w:t>
      </w:r>
      <w:r w:rsidR="00252C5C" w:rsidRPr="00C06B3A">
        <w:rPr>
          <w:rFonts w:ascii="Times New Roman" w:hAnsi="Times New Roman"/>
        </w:rPr>
        <w:t xml:space="preserve">ourt was </w:t>
      </w:r>
      <w:r w:rsidR="001D1A57" w:rsidRPr="00C06B3A">
        <w:rPr>
          <w:rFonts w:ascii="Times New Roman" w:hAnsi="Times New Roman"/>
        </w:rPr>
        <w:t xml:space="preserve">required to </w:t>
      </w:r>
      <w:r w:rsidR="0048451E" w:rsidRPr="00C06B3A">
        <w:rPr>
          <w:rFonts w:ascii="Times New Roman" w:hAnsi="Times New Roman"/>
        </w:rPr>
        <w:t>make</w:t>
      </w:r>
      <w:r w:rsidR="00FD0E5C" w:rsidRPr="00C06B3A">
        <w:rPr>
          <w:rFonts w:ascii="Times New Roman" w:hAnsi="Times New Roman"/>
        </w:rPr>
        <w:t xml:space="preserve">, </w:t>
      </w:r>
      <w:r w:rsidR="00FD0E5C" w:rsidRPr="00C06B3A">
        <w:rPr>
          <w:rFonts w:ascii="Times New Roman" w:hAnsi="Times New Roman"/>
        </w:rPr>
        <w:lastRenderedPageBreak/>
        <w:t>and give effect to,</w:t>
      </w:r>
      <w:r w:rsidR="0048451E" w:rsidRPr="00C06B3A">
        <w:rPr>
          <w:rFonts w:ascii="Times New Roman" w:hAnsi="Times New Roman"/>
        </w:rPr>
        <w:t xml:space="preserve"> its own </w:t>
      </w:r>
      <w:r w:rsidR="00FD0E5C" w:rsidRPr="00C06B3A">
        <w:rPr>
          <w:rFonts w:ascii="Times New Roman" w:hAnsi="Times New Roman"/>
        </w:rPr>
        <w:t xml:space="preserve">evaluative judgment </w:t>
      </w:r>
      <w:r w:rsidR="001D1A57" w:rsidRPr="00C06B3A">
        <w:rPr>
          <w:rFonts w:ascii="Times New Roman" w:hAnsi="Times New Roman"/>
        </w:rPr>
        <w:t xml:space="preserve">as to </w:t>
      </w:r>
      <w:r w:rsidR="00252C5C" w:rsidRPr="00C06B3A">
        <w:rPr>
          <w:rFonts w:ascii="Times New Roman" w:hAnsi="Times New Roman"/>
        </w:rPr>
        <w:t xml:space="preserve">whether it was satisfied that there was an "unacceptable risk" that a prisoner would commit a serious sexual offence; and that </w:t>
      </w:r>
      <w:r w:rsidR="006818AF" w:rsidRPr="00C06B3A">
        <w:rPr>
          <w:rFonts w:ascii="Times New Roman" w:hAnsi="Times New Roman"/>
        </w:rPr>
        <w:t>evaluation</w:t>
      </w:r>
      <w:r w:rsidR="00252C5C" w:rsidRPr="00C06B3A">
        <w:rPr>
          <w:rFonts w:ascii="Times New Roman" w:hAnsi="Times New Roman"/>
        </w:rPr>
        <w:t xml:space="preserve"> was </w:t>
      </w:r>
      <w:r w:rsidR="007B3599" w:rsidRPr="00C06B3A">
        <w:rPr>
          <w:rFonts w:ascii="Times New Roman" w:hAnsi="Times New Roman"/>
        </w:rPr>
        <w:t xml:space="preserve">to be </w:t>
      </w:r>
      <w:r w:rsidR="00252C5C" w:rsidRPr="00C06B3A">
        <w:rPr>
          <w:rFonts w:ascii="Times New Roman" w:hAnsi="Times New Roman"/>
        </w:rPr>
        <w:t xml:space="preserve">made in accordance with the rules of evidence, and </w:t>
      </w:r>
      <w:r w:rsidR="007B3599" w:rsidRPr="00C06B3A">
        <w:rPr>
          <w:rFonts w:ascii="Times New Roman" w:hAnsi="Times New Roman"/>
        </w:rPr>
        <w:t xml:space="preserve">other processes </w:t>
      </w:r>
      <w:r w:rsidR="006818AF" w:rsidRPr="00C06B3A">
        <w:rPr>
          <w:rFonts w:ascii="Times New Roman" w:hAnsi="Times New Roman"/>
        </w:rPr>
        <w:t>that</w:t>
      </w:r>
      <w:r w:rsidR="007B3599" w:rsidRPr="00C06B3A">
        <w:rPr>
          <w:rFonts w:ascii="Times New Roman" w:hAnsi="Times New Roman"/>
        </w:rPr>
        <w:t xml:space="preserve"> </w:t>
      </w:r>
      <w:r w:rsidR="00252C5C" w:rsidRPr="00C06B3A">
        <w:rPr>
          <w:rFonts w:ascii="Times New Roman" w:hAnsi="Times New Roman"/>
        </w:rPr>
        <w:t>bore the "hallmarks of traditional judicial forms and procedure"</w:t>
      </w:r>
      <w:r w:rsidR="00252C5C" w:rsidRPr="00C06B3A">
        <w:rPr>
          <w:rStyle w:val="FootnoteReference"/>
          <w:rFonts w:ascii="Times New Roman" w:hAnsi="Times New Roman"/>
          <w:sz w:val="24"/>
        </w:rPr>
        <w:footnoteReference w:id="84"/>
      </w:r>
      <w:r w:rsidR="00252C5C" w:rsidRPr="00C06B3A">
        <w:rPr>
          <w:rFonts w:ascii="Times New Roman" w:hAnsi="Times New Roman"/>
        </w:rPr>
        <w:t>.</w:t>
      </w:r>
      <w:r w:rsidR="007B3599" w:rsidRPr="00C06B3A">
        <w:rPr>
          <w:rFonts w:ascii="Times New Roman" w:hAnsi="Times New Roman"/>
        </w:rPr>
        <w:t xml:space="preserve"> </w:t>
      </w:r>
    </w:p>
    <w:p w14:paraId="6D493E05" w14:textId="2B700CE9" w:rsidR="007070E1" w:rsidRPr="00C06B3A" w:rsidRDefault="007070E1"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r w:rsidRPr="00C06B3A">
        <w:rPr>
          <w:rFonts w:ascii="Times New Roman" w:hAnsi="Times New Roman"/>
          <w:i/>
          <w:iCs/>
        </w:rPr>
        <w:t>Emmerson</w:t>
      </w:r>
      <w:r w:rsidR="001A53E7" w:rsidRPr="00C06B3A">
        <w:rPr>
          <w:rFonts w:ascii="Times New Roman" w:hAnsi="Times New Roman"/>
          <w:iCs/>
        </w:rPr>
        <w:t>,</w:t>
      </w:r>
      <w:r w:rsidR="000D612E" w:rsidRPr="00C06B3A">
        <w:rPr>
          <w:rFonts w:ascii="Times New Roman" w:hAnsi="Times New Roman"/>
        </w:rPr>
        <w:t xml:space="preserve"> French CJ, Hayne, </w:t>
      </w:r>
      <w:proofErr w:type="spellStart"/>
      <w:r w:rsidR="000D612E" w:rsidRPr="00C06B3A">
        <w:rPr>
          <w:rFonts w:ascii="Times New Roman" w:hAnsi="Times New Roman"/>
        </w:rPr>
        <w:t>Crennan</w:t>
      </w:r>
      <w:proofErr w:type="spellEnd"/>
      <w:r w:rsidR="000D612E" w:rsidRPr="00C06B3A">
        <w:rPr>
          <w:rFonts w:ascii="Times New Roman" w:hAnsi="Times New Roman"/>
        </w:rPr>
        <w:t xml:space="preserve">, Kiefel, Bell and Keane JJ, having </w:t>
      </w:r>
      <w:r w:rsidR="006818AF" w:rsidRPr="00C06B3A">
        <w:rPr>
          <w:rFonts w:ascii="Times New Roman" w:hAnsi="Times New Roman"/>
        </w:rPr>
        <w:t>noted</w:t>
      </w:r>
      <w:r w:rsidR="000D612E" w:rsidRPr="00C06B3A">
        <w:rPr>
          <w:rFonts w:ascii="Times New Roman" w:hAnsi="Times New Roman"/>
        </w:rPr>
        <w:t xml:space="preserve"> the basis on which the </w:t>
      </w:r>
      <w:r w:rsidR="001A53E7" w:rsidRPr="00C06B3A">
        <w:rPr>
          <w:rFonts w:ascii="Times New Roman" w:hAnsi="Times New Roman"/>
          <w:i/>
        </w:rPr>
        <w:t>Community Protection Act</w:t>
      </w:r>
      <w:r w:rsidR="00CD1B6D" w:rsidRPr="00C06B3A">
        <w:rPr>
          <w:rFonts w:ascii="Times New Roman" w:hAnsi="Times New Roman"/>
        </w:rPr>
        <w:t xml:space="preserve"> had been held invalid</w:t>
      </w:r>
      <w:r w:rsidR="00DA35A9" w:rsidRPr="00C06B3A">
        <w:rPr>
          <w:rFonts w:ascii="Times New Roman" w:hAnsi="Times New Roman"/>
        </w:rPr>
        <w:t xml:space="preserve"> in </w:t>
      </w:r>
      <w:r w:rsidR="00DA35A9" w:rsidRPr="00C06B3A">
        <w:rPr>
          <w:rFonts w:ascii="Times New Roman" w:hAnsi="Times New Roman"/>
          <w:i/>
        </w:rPr>
        <w:t>Kable</w:t>
      </w:r>
      <w:r w:rsidR="00360693" w:rsidRPr="00C06B3A">
        <w:rPr>
          <w:rFonts w:ascii="Times New Roman" w:hAnsi="Times New Roman"/>
        </w:rPr>
        <w:t>,</w:t>
      </w:r>
      <w:r w:rsidR="00CD1B6D" w:rsidRPr="00C06B3A">
        <w:rPr>
          <w:rFonts w:ascii="Times New Roman" w:hAnsi="Times New Roman"/>
        </w:rPr>
        <w:t xml:space="preserve"> went on to say</w:t>
      </w:r>
      <w:r w:rsidR="001A53E7" w:rsidRPr="00C06B3A">
        <w:rPr>
          <w:rStyle w:val="FootnoteReference"/>
          <w:rFonts w:ascii="Times New Roman" w:hAnsi="Times New Roman"/>
          <w:iCs/>
          <w:sz w:val="24"/>
        </w:rPr>
        <w:footnoteReference w:id="85"/>
      </w:r>
      <w:r w:rsidR="00CD1B6D" w:rsidRPr="00C06B3A">
        <w:rPr>
          <w:rFonts w:ascii="Times New Roman" w:hAnsi="Times New Roman"/>
        </w:rPr>
        <w:t>:</w:t>
      </w:r>
    </w:p>
    <w:p w14:paraId="0E759A48" w14:textId="77777777" w:rsidR="00C06B3A" w:rsidRDefault="00411D03" w:rsidP="00C06B3A">
      <w:pPr>
        <w:pStyle w:val="LRIndentafterHC"/>
        <w:spacing w:before="0" w:after="260" w:line="280" w:lineRule="exact"/>
        <w:ind w:right="0"/>
        <w:jc w:val="both"/>
        <w:rPr>
          <w:rFonts w:ascii="Times New Roman" w:hAnsi="Times New Roman"/>
        </w:rPr>
      </w:pPr>
      <w:r w:rsidRPr="00C06B3A">
        <w:rPr>
          <w:rFonts w:ascii="Times New Roman" w:hAnsi="Times New Roman"/>
        </w:rPr>
        <w:t xml:space="preserve">"By comparison with </w:t>
      </w:r>
      <w:r w:rsidRPr="00C06B3A">
        <w:rPr>
          <w:rFonts w:ascii="Times New Roman" w:hAnsi="Times New Roman"/>
          <w:i/>
          <w:iCs/>
        </w:rPr>
        <w:t>Kable</w:t>
      </w:r>
      <w:r w:rsidRPr="00C06B3A">
        <w:rPr>
          <w:rFonts w:ascii="Times New Roman" w:hAnsi="Times New Roman"/>
        </w:rPr>
        <w:t xml:space="preserve">, in </w:t>
      </w:r>
      <w:proofErr w:type="spellStart"/>
      <w:r w:rsidRPr="00C06B3A">
        <w:rPr>
          <w:rFonts w:ascii="Times New Roman" w:hAnsi="Times New Roman"/>
          <w:i/>
          <w:iCs/>
        </w:rPr>
        <w:t>Fardon</w:t>
      </w:r>
      <w:proofErr w:type="spellEnd"/>
      <w:r w:rsidRPr="00C06B3A">
        <w:rPr>
          <w:rFonts w:ascii="Times New Roman" w:hAnsi="Times New Roman"/>
          <w:i/>
          <w:iCs/>
        </w:rPr>
        <w:t xml:space="preserve"> v Attorney</w:t>
      </w:r>
      <w:r w:rsidR="00360693" w:rsidRPr="00C06B3A">
        <w:rPr>
          <w:rFonts w:ascii="Times New Roman" w:hAnsi="Times New Roman"/>
          <w:i/>
          <w:iCs/>
        </w:rPr>
        <w:noBreakHyphen/>
      </w:r>
      <w:r w:rsidRPr="00C06B3A">
        <w:rPr>
          <w:rFonts w:ascii="Times New Roman" w:hAnsi="Times New Roman"/>
          <w:i/>
          <w:iCs/>
        </w:rPr>
        <w:t>General (Qld)</w:t>
      </w:r>
      <w:r w:rsidRPr="00C06B3A">
        <w:rPr>
          <w:rStyle w:val="FootnoteReference"/>
          <w:rFonts w:ascii="Times New Roman" w:hAnsi="Times New Roman"/>
          <w:iCs/>
          <w:sz w:val="24"/>
        </w:rPr>
        <w:footnoteReference w:id="86"/>
      </w:r>
      <w:r w:rsidRPr="00C06B3A">
        <w:rPr>
          <w:rFonts w:ascii="Times New Roman" w:hAnsi="Times New Roman"/>
        </w:rPr>
        <w:t>, legislation of general application authorising the continued</w:t>
      </w:r>
      <w:r w:rsidR="00A85B79" w:rsidRPr="00C06B3A">
        <w:rPr>
          <w:rFonts w:ascii="Times New Roman" w:hAnsi="Times New Roman"/>
        </w:rPr>
        <w:t xml:space="preserve"> </w:t>
      </w:r>
      <w:r w:rsidRPr="00C06B3A">
        <w:rPr>
          <w:rFonts w:ascii="Times New Roman" w:hAnsi="Times New Roman"/>
        </w:rPr>
        <w:t xml:space="preserve">detention or supervised release of prisoners who were </w:t>
      </w:r>
      <w:r w:rsidR="00A85B79" w:rsidRPr="00C06B3A">
        <w:rPr>
          <w:rFonts w:ascii="Times New Roman" w:hAnsi="Times New Roman"/>
        </w:rPr>
        <w:t>'</w:t>
      </w:r>
      <w:proofErr w:type="gramStart"/>
      <w:r w:rsidRPr="00C06B3A">
        <w:rPr>
          <w:rFonts w:ascii="Times New Roman" w:hAnsi="Times New Roman"/>
        </w:rPr>
        <w:t>a serious</w:t>
      </w:r>
      <w:r w:rsidR="00A85B79" w:rsidRPr="00C06B3A">
        <w:rPr>
          <w:rFonts w:ascii="Times New Roman" w:hAnsi="Times New Roman"/>
        </w:rPr>
        <w:t xml:space="preserve"> </w:t>
      </w:r>
      <w:r w:rsidRPr="00C06B3A">
        <w:rPr>
          <w:rFonts w:ascii="Times New Roman" w:hAnsi="Times New Roman"/>
        </w:rPr>
        <w:t>danger</w:t>
      </w:r>
      <w:proofErr w:type="gramEnd"/>
      <w:r w:rsidRPr="00C06B3A">
        <w:rPr>
          <w:rFonts w:ascii="Times New Roman" w:hAnsi="Times New Roman"/>
        </w:rPr>
        <w:t xml:space="preserve"> to the community</w:t>
      </w:r>
      <w:r w:rsidR="00A85B79" w:rsidRPr="00C06B3A">
        <w:rPr>
          <w:rFonts w:ascii="Times New Roman" w:hAnsi="Times New Roman"/>
        </w:rPr>
        <w:t>'</w:t>
      </w:r>
      <w:r w:rsidRPr="00C06B3A">
        <w:rPr>
          <w:rFonts w:ascii="Times New Roman" w:hAnsi="Times New Roman"/>
        </w:rPr>
        <w:t xml:space="preserve"> was upheld as valid. This was because the</w:t>
      </w:r>
      <w:r w:rsidR="001A52B1" w:rsidRPr="00C06B3A">
        <w:rPr>
          <w:rFonts w:ascii="Times New Roman" w:hAnsi="Times New Roman"/>
        </w:rPr>
        <w:t xml:space="preserve"> adjudicative process required of the State Supreme Court in that case supported the maintenance of the institutional integrity of the Court</w:t>
      </w:r>
      <w:r w:rsidR="0094542C" w:rsidRPr="00C06B3A">
        <w:rPr>
          <w:rStyle w:val="FootnoteReference"/>
          <w:rFonts w:ascii="Times New Roman" w:hAnsi="Times New Roman"/>
          <w:sz w:val="24"/>
        </w:rPr>
        <w:footnoteReference w:id="87"/>
      </w:r>
      <w:r w:rsidR="001A52B1" w:rsidRPr="00C06B3A">
        <w:rPr>
          <w:rFonts w:ascii="Times New Roman" w:hAnsi="Times New Roman"/>
        </w:rPr>
        <w:t xml:space="preserve"> and the adjudicative process required could be performed </w:t>
      </w:r>
      <w:r w:rsidR="00B90CE0" w:rsidRPr="00C06B3A">
        <w:rPr>
          <w:rFonts w:ascii="Times New Roman" w:hAnsi="Times New Roman"/>
        </w:rPr>
        <w:t>'</w:t>
      </w:r>
      <w:r w:rsidR="001A52B1" w:rsidRPr="00C06B3A">
        <w:rPr>
          <w:rFonts w:ascii="Times New Roman" w:hAnsi="Times New Roman"/>
        </w:rPr>
        <w:t>independently of any instruction, advice or wish of the legislative or executive branches of government</w:t>
      </w:r>
      <w:r w:rsidR="00B90CE0" w:rsidRPr="00C06B3A">
        <w:rPr>
          <w:rFonts w:ascii="Times New Roman" w:hAnsi="Times New Roman"/>
        </w:rPr>
        <w:t>'</w:t>
      </w:r>
      <w:r w:rsidR="00B90CE0" w:rsidRPr="00C06B3A">
        <w:rPr>
          <w:rStyle w:val="FootnoteReference"/>
          <w:rFonts w:ascii="Times New Roman" w:hAnsi="Times New Roman"/>
          <w:sz w:val="24"/>
        </w:rPr>
        <w:footnoteReference w:id="88"/>
      </w:r>
      <w:r w:rsidR="001A52B1" w:rsidRPr="00C06B3A">
        <w:rPr>
          <w:rFonts w:ascii="Times New Roman" w:hAnsi="Times New Roman"/>
        </w:rPr>
        <w:t>.</w:t>
      </w:r>
      <w:r w:rsidR="00872CC6" w:rsidRPr="00C06B3A">
        <w:rPr>
          <w:rFonts w:ascii="Times New Roman" w:hAnsi="Times New Roman"/>
        </w:rPr>
        <w:t>"</w:t>
      </w:r>
    </w:p>
    <w:p w14:paraId="7F18DF68" w14:textId="29828002" w:rsidR="00A339CC" w:rsidRPr="00C06B3A" w:rsidRDefault="00A339CC" w:rsidP="00C06B3A">
      <w:pPr>
        <w:pStyle w:val="HeadingL1"/>
        <w:spacing w:after="260" w:line="280" w:lineRule="exact"/>
        <w:ind w:right="0"/>
        <w:jc w:val="both"/>
        <w:rPr>
          <w:rFonts w:ascii="Times New Roman" w:hAnsi="Times New Roman"/>
        </w:rPr>
      </w:pPr>
      <w:r w:rsidRPr="00C06B3A">
        <w:rPr>
          <w:rFonts w:ascii="Times New Roman" w:hAnsi="Times New Roman"/>
        </w:rPr>
        <w:t>The complexity of the task</w:t>
      </w:r>
    </w:p>
    <w:p w14:paraId="783F82E0" w14:textId="7B986A40" w:rsidR="00A339CC" w:rsidRPr="00C06B3A" w:rsidRDefault="00A339CC" w:rsidP="00C06B3A">
      <w:pPr>
        <w:pStyle w:val="FixListStyle"/>
        <w:spacing w:after="260" w:line="280" w:lineRule="exact"/>
        <w:ind w:right="0"/>
        <w:jc w:val="both"/>
        <w:rPr>
          <w:rFonts w:ascii="Times New Roman" w:hAnsi="Times New Roman"/>
        </w:rPr>
      </w:pPr>
      <w:r w:rsidRPr="00C06B3A">
        <w:rPr>
          <w:rFonts w:ascii="Times New Roman" w:hAnsi="Times New Roman"/>
        </w:rPr>
        <w:tab/>
        <w:t>Mr </w:t>
      </w:r>
      <w:proofErr w:type="spellStart"/>
      <w:r w:rsidRPr="00C06B3A">
        <w:rPr>
          <w:rFonts w:ascii="Times New Roman" w:hAnsi="Times New Roman"/>
        </w:rPr>
        <w:t>Garlett</w:t>
      </w:r>
      <w:proofErr w:type="spellEnd"/>
      <w:r w:rsidRPr="00C06B3A">
        <w:rPr>
          <w:rFonts w:ascii="Times New Roman" w:hAnsi="Times New Roman"/>
        </w:rPr>
        <w:t xml:space="preserve"> argued that the application of s 7 </w:t>
      </w:r>
      <w:r w:rsidR="00CC7DD1" w:rsidRPr="00C06B3A">
        <w:rPr>
          <w:rFonts w:ascii="Times New Roman" w:hAnsi="Times New Roman"/>
        </w:rPr>
        <w:t xml:space="preserve">of the HRSO Act </w:t>
      </w:r>
      <w:r w:rsidRPr="00C06B3A">
        <w:rPr>
          <w:rFonts w:ascii="Times New Roman" w:hAnsi="Times New Roman"/>
        </w:rPr>
        <w:t xml:space="preserve">is a task so complex and difficult that it is inherently incompatible with the judicial function. This contention cannot be accepted. A contention to similar effect was rejected in </w:t>
      </w:r>
      <w:proofErr w:type="spellStart"/>
      <w:r w:rsidRPr="00C06B3A">
        <w:rPr>
          <w:rFonts w:ascii="Times New Roman" w:hAnsi="Times New Roman"/>
          <w:i/>
          <w:iCs/>
        </w:rPr>
        <w:t>Fardon</w:t>
      </w:r>
      <w:proofErr w:type="spellEnd"/>
      <w:r w:rsidRPr="00C06B3A">
        <w:rPr>
          <w:rStyle w:val="FootnoteReference"/>
          <w:rFonts w:ascii="Times New Roman" w:hAnsi="Times New Roman"/>
          <w:iCs/>
          <w:sz w:val="24"/>
        </w:rPr>
        <w:footnoteReference w:id="89"/>
      </w:r>
      <w:r w:rsidRPr="00C06B3A">
        <w:rPr>
          <w:rFonts w:ascii="Times New Roman" w:hAnsi="Times New Roman"/>
        </w:rPr>
        <w:t xml:space="preserve">; and in </w:t>
      </w:r>
      <w:r w:rsidRPr="00C06B3A">
        <w:rPr>
          <w:rFonts w:ascii="Times New Roman" w:hAnsi="Times New Roman"/>
          <w:i/>
        </w:rPr>
        <w:t>Vella v Commissioner of Police (NSW)</w:t>
      </w:r>
      <w:r w:rsidR="00CC7DD1" w:rsidRPr="00C06B3A">
        <w:rPr>
          <w:rFonts w:ascii="Times New Roman" w:hAnsi="Times New Roman"/>
        </w:rPr>
        <w:t>,</w:t>
      </w:r>
      <w:r w:rsidRPr="00C06B3A">
        <w:rPr>
          <w:rFonts w:ascii="Times New Roman" w:hAnsi="Times New Roman"/>
        </w:rPr>
        <w:t xml:space="preserve"> Bell, Keane, Nettle and Edelman JJ observed that "open</w:t>
      </w:r>
      <w:r w:rsidRPr="00C06B3A">
        <w:rPr>
          <w:rFonts w:ascii="Times New Roman" w:hAnsi="Times New Roman"/>
        </w:rPr>
        <w:noBreakHyphen/>
        <w:t xml:space="preserve">textured </w:t>
      </w:r>
      <w:r w:rsidR="00CC7DD1" w:rsidRPr="00C06B3A">
        <w:rPr>
          <w:rFonts w:ascii="Times New Roman" w:hAnsi="Times New Roman"/>
        </w:rPr>
        <w:t>criteria</w:t>
      </w:r>
      <w:r w:rsidRPr="00C06B3A">
        <w:rPr>
          <w:rFonts w:ascii="Times New Roman" w:hAnsi="Times New Roman"/>
        </w:rPr>
        <w:t>" </w:t>
      </w:r>
      <w:r w:rsidR="001856FC" w:rsidRPr="00C06B3A">
        <w:rPr>
          <w:rFonts w:ascii="Times New Roman" w:hAnsi="Times New Roman"/>
        </w:rPr>
        <w:t>–</w:t>
      </w:r>
      <w:r w:rsidR="00CC7DD1" w:rsidRPr="00C06B3A">
        <w:rPr>
          <w:rFonts w:ascii="Times New Roman" w:hAnsi="Times New Roman"/>
        </w:rPr>
        <w:t xml:space="preserve"> </w:t>
      </w:r>
      <w:r w:rsidRPr="00C06B3A">
        <w:rPr>
          <w:rFonts w:ascii="Times New Roman" w:hAnsi="Times New Roman"/>
        </w:rPr>
        <w:t xml:space="preserve">such as "an unacceptable risk to the safety, welfare or order of the community", "reasonably necessary", "reasonably appropriate and adapted", "sufficient grounds" and "considers </w:t>
      </w:r>
      <w:r w:rsidRPr="00C06B3A">
        <w:rPr>
          <w:rFonts w:ascii="Times New Roman" w:hAnsi="Times New Roman"/>
        </w:rPr>
        <w:lastRenderedPageBreak/>
        <w:t>appropriate"</w:t>
      </w:r>
      <w:r w:rsidRPr="00C06B3A">
        <w:rPr>
          <w:rStyle w:val="FootnoteReference"/>
          <w:rFonts w:ascii="Times New Roman" w:hAnsi="Times New Roman"/>
          <w:sz w:val="24"/>
        </w:rPr>
        <w:footnoteReference w:id="90"/>
      </w:r>
      <w:r w:rsidRPr="00C06B3A">
        <w:rPr>
          <w:rFonts w:ascii="Times New Roman" w:hAnsi="Times New Roman"/>
        </w:rPr>
        <w:t> </w:t>
      </w:r>
      <w:r w:rsidR="001856FC" w:rsidRPr="00C06B3A">
        <w:rPr>
          <w:rFonts w:ascii="Times New Roman" w:hAnsi="Times New Roman"/>
        </w:rPr>
        <w:t>–</w:t>
      </w:r>
      <w:r w:rsidR="00BF54AF" w:rsidRPr="00C06B3A">
        <w:rPr>
          <w:rFonts w:ascii="Times New Roman" w:hAnsi="Times New Roman"/>
        </w:rPr>
        <w:t xml:space="preserve"> </w:t>
      </w:r>
      <w:r w:rsidRPr="00C06B3A">
        <w:rPr>
          <w:rFonts w:ascii="Times New Roman" w:hAnsi="Times New Roman"/>
        </w:rPr>
        <w:t>have been deployed by the legislature to confer power on courts without falling foul of the concern that the power so conferred was not properly characterised as judicial power</w:t>
      </w:r>
      <w:r w:rsidRPr="00C06B3A">
        <w:rPr>
          <w:rStyle w:val="FootnoteReference"/>
          <w:rFonts w:ascii="Times New Roman" w:hAnsi="Times New Roman"/>
          <w:sz w:val="24"/>
        </w:rPr>
        <w:footnoteReference w:id="91"/>
      </w:r>
      <w:r w:rsidRPr="00C06B3A">
        <w:rPr>
          <w:rFonts w:ascii="Times New Roman" w:hAnsi="Times New Roman"/>
        </w:rPr>
        <w:t>.</w:t>
      </w:r>
    </w:p>
    <w:p w14:paraId="378CD35F" w14:textId="7F14B66A" w:rsidR="00A339CC" w:rsidRPr="00C06B3A" w:rsidRDefault="00A339CC"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It is, no doubt, true to say that the </w:t>
      </w:r>
      <w:r w:rsidR="00BF54AF" w:rsidRPr="00C06B3A">
        <w:rPr>
          <w:rFonts w:ascii="Times New Roman" w:hAnsi="Times New Roman"/>
        </w:rPr>
        <w:t xml:space="preserve">evaluative </w:t>
      </w:r>
      <w:r w:rsidRPr="00C06B3A">
        <w:rPr>
          <w:rFonts w:ascii="Times New Roman" w:hAnsi="Times New Roman"/>
        </w:rPr>
        <w:t>task required of the Court under ss 7 and 48 of the HRSO</w:t>
      </w:r>
      <w:r w:rsidR="00BF54AF" w:rsidRPr="00C06B3A">
        <w:rPr>
          <w:rFonts w:ascii="Times New Roman" w:hAnsi="Times New Roman"/>
        </w:rPr>
        <w:t> </w:t>
      </w:r>
      <w:r w:rsidRPr="00C06B3A">
        <w:rPr>
          <w:rFonts w:ascii="Times New Roman" w:hAnsi="Times New Roman"/>
        </w:rPr>
        <w:t xml:space="preserve">Act is difficult. But its difficulty should not be exaggerated. It is certainly no more onerous than the task given to the </w:t>
      </w:r>
      <w:r w:rsidR="003822C7" w:rsidRPr="00C06B3A">
        <w:rPr>
          <w:rFonts w:ascii="Times New Roman" w:hAnsi="Times New Roman"/>
        </w:rPr>
        <w:t>C</w:t>
      </w:r>
      <w:r w:rsidRPr="00C06B3A">
        <w:rPr>
          <w:rFonts w:ascii="Times New Roman" w:hAnsi="Times New Roman"/>
        </w:rPr>
        <w:t xml:space="preserve">ourt by the </w:t>
      </w:r>
      <w:r w:rsidR="003822C7" w:rsidRPr="00C06B3A">
        <w:rPr>
          <w:rFonts w:ascii="Times New Roman" w:hAnsi="Times New Roman"/>
        </w:rPr>
        <w:t>DPSO Act</w:t>
      </w:r>
      <w:r w:rsidRPr="00C06B3A">
        <w:rPr>
          <w:rFonts w:ascii="Times New Roman" w:hAnsi="Times New Roman"/>
          <w:i/>
          <w:iCs/>
        </w:rPr>
        <w:t xml:space="preserve">. </w:t>
      </w:r>
      <w:r w:rsidRPr="00C06B3A">
        <w:rPr>
          <w:rFonts w:ascii="Times New Roman" w:hAnsi="Times New Roman"/>
        </w:rPr>
        <w:t xml:space="preserve">In </w:t>
      </w:r>
      <w:proofErr w:type="spellStart"/>
      <w:r w:rsidRPr="00C06B3A">
        <w:rPr>
          <w:rFonts w:ascii="Times New Roman" w:hAnsi="Times New Roman"/>
          <w:i/>
          <w:iCs/>
        </w:rPr>
        <w:t>Fardon</w:t>
      </w:r>
      <w:proofErr w:type="spellEnd"/>
      <w:r w:rsidRPr="00C06B3A">
        <w:rPr>
          <w:rFonts w:ascii="Times New Roman" w:hAnsi="Times New Roman"/>
        </w:rPr>
        <w:t>, Gleeson CJ said</w:t>
      </w:r>
      <w:r w:rsidR="003822C7" w:rsidRPr="00C06B3A">
        <w:rPr>
          <w:rStyle w:val="FootnoteReference"/>
          <w:rFonts w:ascii="Times New Roman" w:hAnsi="Times New Roman"/>
          <w:iCs/>
          <w:sz w:val="24"/>
        </w:rPr>
        <w:footnoteReference w:id="92"/>
      </w:r>
      <w:r w:rsidRPr="00C06B3A">
        <w:rPr>
          <w:rFonts w:ascii="Times New Roman" w:hAnsi="Times New Roman"/>
        </w:rPr>
        <w:t>:</w:t>
      </w:r>
    </w:p>
    <w:p w14:paraId="6C2241E6" w14:textId="77777777" w:rsidR="00C06B3A" w:rsidRDefault="00A339CC" w:rsidP="00C06B3A">
      <w:pPr>
        <w:pStyle w:val="LeftrightafterHC"/>
        <w:spacing w:before="0" w:after="260" w:line="280" w:lineRule="exact"/>
        <w:ind w:right="0"/>
        <w:jc w:val="both"/>
        <w:rPr>
          <w:rFonts w:ascii="Times New Roman" w:hAnsi="Times New Roman"/>
        </w:rPr>
      </w:pPr>
      <w:r w:rsidRPr="00C06B3A">
        <w:rPr>
          <w:rFonts w:ascii="Times New Roman" w:hAnsi="Times New Roman"/>
        </w:rPr>
        <w:t xml:space="preserve">"No doubt, predictions of future danger may be unreliable, but, as the case of </w:t>
      </w:r>
      <w:r w:rsidRPr="00C06B3A">
        <w:rPr>
          <w:rFonts w:ascii="Times New Roman" w:hAnsi="Times New Roman"/>
          <w:i/>
          <w:iCs/>
        </w:rPr>
        <w:t>Veen</w:t>
      </w:r>
      <w:r w:rsidRPr="00C06B3A">
        <w:rPr>
          <w:rFonts w:ascii="Times New Roman" w:hAnsi="Times New Roman"/>
        </w:rPr>
        <w:t xml:space="preserve"> shows, they may also be right. Common law sentencing principles, and some legislative regimes, permit or require such predictions at the time of sentencing, which will often be many years before </w:t>
      </w:r>
      <w:r w:rsidR="00DA35A9" w:rsidRPr="00C06B3A">
        <w:rPr>
          <w:rFonts w:ascii="Times New Roman" w:hAnsi="Times New Roman"/>
        </w:rPr>
        <w:t xml:space="preserve">possible </w:t>
      </w:r>
      <w:r w:rsidRPr="00C06B3A">
        <w:rPr>
          <w:rFonts w:ascii="Times New Roman" w:hAnsi="Times New Roman"/>
        </w:rPr>
        <w:t>release. If, as a matter of policy, the unreliability of such predictions is a significant factor, it is not necessarily surprising to find a legislature attempting to postpone the time for prediction until closer to the point of release."</w:t>
      </w:r>
    </w:p>
    <w:p w14:paraId="6B894017" w14:textId="4CA4DF95" w:rsidR="00202F35" w:rsidRPr="00C06B3A" w:rsidRDefault="00A339CC" w:rsidP="00C06B3A">
      <w:pPr>
        <w:pStyle w:val="FixListStyle"/>
        <w:spacing w:after="260" w:line="280" w:lineRule="exact"/>
        <w:ind w:right="0"/>
        <w:jc w:val="both"/>
        <w:rPr>
          <w:rFonts w:ascii="Times New Roman" w:hAnsi="Times New Roman"/>
        </w:rPr>
      </w:pPr>
      <w:r w:rsidRPr="00C06B3A">
        <w:rPr>
          <w:rFonts w:ascii="Times New Roman" w:hAnsi="Times New Roman"/>
        </w:rPr>
        <w:tab/>
        <w:t>The function to be performed by the Court under ss 7 and 48 of the HRSO</w:t>
      </w:r>
      <w:r w:rsidR="00C20BC1" w:rsidRPr="00C06B3A">
        <w:rPr>
          <w:rFonts w:ascii="Times New Roman" w:hAnsi="Times New Roman"/>
        </w:rPr>
        <w:t> </w:t>
      </w:r>
      <w:r w:rsidRPr="00C06B3A">
        <w:rPr>
          <w:rFonts w:ascii="Times New Roman" w:hAnsi="Times New Roman"/>
        </w:rPr>
        <w:t>Act is materially indistinguishable from the function required of the Supreme Court of Queensland by s 13 of the DPSO</w:t>
      </w:r>
      <w:r w:rsidR="001C248D" w:rsidRPr="00C06B3A">
        <w:rPr>
          <w:rFonts w:ascii="Times New Roman" w:hAnsi="Times New Roman"/>
        </w:rPr>
        <w:t> </w:t>
      </w:r>
      <w:r w:rsidRPr="00C06B3A">
        <w:rPr>
          <w:rFonts w:ascii="Times New Roman" w:hAnsi="Times New Roman"/>
        </w:rPr>
        <w:t>Act. Just as the DPSO</w:t>
      </w:r>
      <w:r w:rsidR="001C248D" w:rsidRPr="00C06B3A">
        <w:rPr>
          <w:rFonts w:ascii="Times New Roman" w:hAnsi="Times New Roman"/>
        </w:rPr>
        <w:t> </w:t>
      </w:r>
      <w:r w:rsidRPr="00C06B3A">
        <w:rPr>
          <w:rFonts w:ascii="Times New Roman" w:hAnsi="Times New Roman"/>
        </w:rPr>
        <w:t>Act was not held to impose on the Supreme Court of Queensland a "grossly unjudicial chore"</w:t>
      </w:r>
      <w:r w:rsidRPr="00C06B3A">
        <w:rPr>
          <w:rStyle w:val="FootnoteReference"/>
          <w:rFonts w:ascii="Times New Roman" w:hAnsi="Times New Roman"/>
          <w:sz w:val="24"/>
        </w:rPr>
        <w:footnoteReference w:id="93"/>
      </w:r>
      <w:r w:rsidRPr="00C06B3A">
        <w:rPr>
          <w:rFonts w:ascii="Times New Roman" w:hAnsi="Times New Roman"/>
        </w:rPr>
        <w:t>, so the HRSO</w:t>
      </w:r>
      <w:r w:rsidR="001C248D" w:rsidRPr="00C06B3A">
        <w:rPr>
          <w:rFonts w:ascii="Times New Roman" w:hAnsi="Times New Roman"/>
        </w:rPr>
        <w:t> </w:t>
      </w:r>
      <w:r w:rsidRPr="00C06B3A">
        <w:rPr>
          <w:rFonts w:ascii="Times New Roman" w:hAnsi="Times New Roman"/>
        </w:rPr>
        <w:t>Act does not require the Supreme Court of Western Australia to carry out an unjudicial task.</w:t>
      </w:r>
    </w:p>
    <w:p w14:paraId="4271A5EF" w14:textId="77777777" w:rsidR="00A42219" w:rsidRPr="00C06B3A" w:rsidRDefault="00A42219" w:rsidP="00C06B3A">
      <w:pPr>
        <w:pStyle w:val="HeadingL1"/>
        <w:spacing w:after="260" w:line="280" w:lineRule="exact"/>
        <w:ind w:right="0"/>
        <w:jc w:val="both"/>
        <w:rPr>
          <w:rFonts w:ascii="Times New Roman" w:hAnsi="Times New Roman"/>
          <w:i/>
          <w:iCs/>
        </w:rPr>
      </w:pPr>
      <w:r w:rsidRPr="00C06B3A">
        <w:rPr>
          <w:rFonts w:ascii="Times New Roman" w:hAnsi="Times New Roman"/>
        </w:rPr>
        <w:t xml:space="preserve">Distinguishing </w:t>
      </w:r>
      <w:proofErr w:type="spellStart"/>
      <w:r w:rsidRPr="00C06B3A">
        <w:rPr>
          <w:rFonts w:ascii="Times New Roman" w:hAnsi="Times New Roman"/>
          <w:i/>
          <w:iCs/>
        </w:rPr>
        <w:t>Fardon</w:t>
      </w:r>
      <w:proofErr w:type="spellEnd"/>
    </w:p>
    <w:p w14:paraId="1CF7A269" w14:textId="5DFE82E7"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The arguments advanced on behalf of Mr </w:t>
      </w:r>
      <w:proofErr w:type="spellStart"/>
      <w:r w:rsidRPr="00C06B3A">
        <w:rPr>
          <w:rFonts w:ascii="Times New Roman" w:hAnsi="Times New Roman"/>
        </w:rPr>
        <w:t>Garlett</w:t>
      </w:r>
      <w:proofErr w:type="spellEnd"/>
      <w:r w:rsidRPr="00C06B3A">
        <w:rPr>
          <w:rFonts w:ascii="Times New Roman" w:hAnsi="Times New Roman"/>
        </w:rPr>
        <w:t xml:space="preserve"> did not invite this Court to reconsider its decision in </w:t>
      </w:r>
      <w:proofErr w:type="spellStart"/>
      <w:r w:rsidRPr="00C06B3A">
        <w:rPr>
          <w:rFonts w:ascii="Times New Roman" w:hAnsi="Times New Roman"/>
          <w:i/>
          <w:iCs/>
        </w:rPr>
        <w:t>Fardon</w:t>
      </w:r>
      <w:proofErr w:type="spellEnd"/>
      <w:r w:rsidRPr="00C06B3A">
        <w:rPr>
          <w:rFonts w:ascii="Times New Roman" w:hAnsi="Times New Roman"/>
        </w:rPr>
        <w:t>. Rather</w:t>
      </w:r>
      <w:r w:rsidR="00A2141F" w:rsidRPr="00C06B3A">
        <w:rPr>
          <w:rFonts w:ascii="Times New Roman" w:hAnsi="Times New Roman"/>
        </w:rPr>
        <w:t>,</w:t>
      </w:r>
      <w:r w:rsidRPr="00C06B3A">
        <w:rPr>
          <w:rFonts w:ascii="Times New Roman" w:hAnsi="Times New Roman"/>
        </w:rPr>
        <w:t xml:space="preserve"> Mr </w:t>
      </w:r>
      <w:proofErr w:type="spellStart"/>
      <w:r w:rsidRPr="00C06B3A">
        <w:rPr>
          <w:rFonts w:ascii="Times New Roman" w:hAnsi="Times New Roman"/>
        </w:rPr>
        <w:t>Garlett</w:t>
      </w:r>
      <w:proofErr w:type="spellEnd"/>
      <w:r w:rsidRPr="00C06B3A">
        <w:rPr>
          <w:rFonts w:ascii="Times New Roman" w:hAnsi="Times New Roman"/>
        </w:rPr>
        <w:t xml:space="preserve"> sought to draw attention to some respects in which the HRSO</w:t>
      </w:r>
      <w:r w:rsidR="00B74BB5" w:rsidRPr="00C06B3A">
        <w:rPr>
          <w:rFonts w:ascii="Times New Roman" w:hAnsi="Times New Roman"/>
        </w:rPr>
        <w:t> </w:t>
      </w:r>
      <w:r w:rsidRPr="00C06B3A">
        <w:rPr>
          <w:rFonts w:ascii="Times New Roman" w:hAnsi="Times New Roman"/>
        </w:rPr>
        <w:t xml:space="preserve">Act differs from the DPSO Act, </w:t>
      </w:r>
      <w:proofErr w:type="gramStart"/>
      <w:r w:rsidRPr="00C06B3A">
        <w:rPr>
          <w:rFonts w:ascii="Times New Roman" w:hAnsi="Times New Roman"/>
        </w:rPr>
        <w:t>in order to</w:t>
      </w:r>
      <w:proofErr w:type="gramEnd"/>
      <w:r w:rsidRPr="00C06B3A">
        <w:rPr>
          <w:rFonts w:ascii="Times New Roman" w:hAnsi="Times New Roman"/>
        </w:rPr>
        <w:t xml:space="preserve"> take this case outside the authority of </w:t>
      </w:r>
      <w:proofErr w:type="spellStart"/>
      <w:r w:rsidRPr="00C06B3A">
        <w:rPr>
          <w:rFonts w:ascii="Times New Roman" w:hAnsi="Times New Roman"/>
          <w:i/>
          <w:iCs/>
        </w:rPr>
        <w:t>Fardon</w:t>
      </w:r>
      <w:proofErr w:type="spellEnd"/>
      <w:r w:rsidRPr="00C06B3A">
        <w:rPr>
          <w:rFonts w:ascii="Times New Roman" w:hAnsi="Times New Roman"/>
          <w:i/>
          <w:iCs/>
        </w:rPr>
        <w:t xml:space="preserve">. </w:t>
      </w:r>
      <w:r w:rsidRPr="00C06B3A">
        <w:rPr>
          <w:rFonts w:ascii="Times New Roman" w:hAnsi="Times New Roman"/>
        </w:rPr>
        <w:t xml:space="preserve">An examination of these supposed </w:t>
      </w:r>
      <w:r w:rsidRPr="00C06B3A">
        <w:rPr>
          <w:rFonts w:ascii="Times New Roman" w:hAnsi="Times New Roman"/>
        </w:rPr>
        <w:lastRenderedPageBreak/>
        <w:t>points of difference shows that the two Acts are, in substance, materially indistinguishable</w:t>
      </w:r>
      <w:r w:rsidRPr="00C06B3A">
        <w:rPr>
          <w:rFonts w:ascii="Times New Roman" w:hAnsi="Times New Roman"/>
          <w:i/>
          <w:iCs/>
        </w:rPr>
        <w:t>.</w:t>
      </w:r>
    </w:p>
    <w:p w14:paraId="631E4ECA" w14:textId="4CE5E10F" w:rsidR="00A42219" w:rsidRPr="00C06B3A" w:rsidRDefault="00A42219" w:rsidP="00C06B3A">
      <w:pPr>
        <w:pStyle w:val="HeadingL2"/>
        <w:spacing w:after="260" w:line="280" w:lineRule="exact"/>
        <w:ind w:right="0"/>
        <w:jc w:val="both"/>
        <w:rPr>
          <w:rFonts w:ascii="Times New Roman" w:hAnsi="Times New Roman"/>
        </w:rPr>
      </w:pPr>
      <w:r w:rsidRPr="00C06B3A">
        <w:rPr>
          <w:rFonts w:ascii="Times New Roman" w:hAnsi="Times New Roman"/>
        </w:rPr>
        <w:t>"Must" not "may"</w:t>
      </w:r>
    </w:p>
    <w:p w14:paraId="1CC18183" w14:textId="5AFF55C9"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Section 48 of the HRSO Act contemplates that the Supreme Court "must" make a restriction order if </w:t>
      </w:r>
      <w:r w:rsidR="00DA35A9" w:rsidRPr="00C06B3A">
        <w:rPr>
          <w:rFonts w:ascii="Times New Roman" w:hAnsi="Times New Roman"/>
        </w:rPr>
        <w:t xml:space="preserve">it is </w:t>
      </w:r>
      <w:r w:rsidRPr="00C06B3A">
        <w:rPr>
          <w:rFonts w:ascii="Times New Roman" w:hAnsi="Times New Roman"/>
        </w:rPr>
        <w:t xml:space="preserve">satisfied that the offender is </w:t>
      </w:r>
      <w:r w:rsidR="00A2141F" w:rsidRPr="00C06B3A">
        <w:rPr>
          <w:rFonts w:ascii="Times New Roman" w:hAnsi="Times New Roman"/>
        </w:rPr>
        <w:t xml:space="preserve">a "high risk </w:t>
      </w:r>
      <w:r w:rsidR="001814DB" w:rsidRPr="00C06B3A">
        <w:rPr>
          <w:rFonts w:ascii="Times New Roman" w:hAnsi="Times New Roman"/>
        </w:rPr>
        <w:t xml:space="preserve">serious </w:t>
      </w:r>
      <w:r w:rsidR="00A2141F" w:rsidRPr="00C06B3A">
        <w:rPr>
          <w:rFonts w:ascii="Times New Roman" w:hAnsi="Times New Roman"/>
        </w:rPr>
        <w:t>offender"</w:t>
      </w:r>
      <w:r w:rsidRPr="00C06B3A">
        <w:rPr>
          <w:rFonts w:ascii="Times New Roman" w:hAnsi="Times New Roman"/>
        </w:rPr>
        <w:t>. The DPSO</w:t>
      </w:r>
      <w:r w:rsidR="00A2141F" w:rsidRPr="00C06B3A">
        <w:rPr>
          <w:rFonts w:ascii="Times New Roman" w:hAnsi="Times New Roman"/>
        </w:rPr>
        <w:t> </w:t>
      </w:r>
      <w:r w:rsidRPr="00C06B3A">
        <w:rPr>
          <w:rFonts w:ascii="Times New Roman" w:hAnsi="Times New Roman"/>
        </w:rPr>
        <w:t>Act preserved a discretion in the Supreme Court of Queensland as to whether to make an order where a prisoner was assessed to pose an unacceptable risk of harm to the community</w:t>
      </w:r>
      <w:r w:rsidR="00A2141F" w:rsidRPr="00C06B3A">
        <w:rPr>
          <w:rStyle w:val="FootnoteReference"/>
          <w:rFonts w:ascii="Times New Roman" w:hAnsi="Times New Roman"/>
          <w:iCs/>
          <w:sz w:val="24"/>
        </w:rPr>
        <w:footnoteReference w:id="94"/>
      </w:r>
      <w:r w:rsidRPr="00C06B3A">
        <w:rPr>
          <w:rFonts w:ascii="Times New Roman" w:hAnsi="Times New Roman"/>
        </w:rPr>
        <w:t>. On Mr</w:t>
      </w:r>
      <w:r w:rsidR="00A2141F" w:rsidRPr="00C06B3A">
        <w:rPr>
          <w:rFonts w:ascii="Times New Roman" w:hAnsi="Times New Roman"/>
        </w:rPr>
        <w:t> </w:t>
      </w:r>
      <w:proofErr w:type="spellStart"/>
      <w:r w:rsidRPr="00C06B3A">
        <w:rPr>
          <w:rFonts w:ascii="Times New Roman" w:hAnsi="Times New Roman"/>
        </w:rPr>
        <w:t>Garlett's</w:t>
      </w:r>
      <w:proofErr w:type="spellEnd"/>
      <w:r w:rsidRPr="00C06B3A">
        <w:rPr>
          <w:rFonts w:ascii="Times New Roman" w:hAnsi="Times New Roman"/>
        </w:rPr>
        <w:t xml:space="preserve"> behalf, emphasis was placed on this circumstance as a point of distinction between the two Acts. That submission must be rejected.</w:t>
      </w:r>
    </w:p>
    <w:p w14:paraId="4692482B" w14:textId="428E72E5"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The terms of s 7(1) must be read in conjunction with s 48</w:t>
      </w:r>
      <w:r w:rsidRPr="00C06B3A">
        <w:rPr>
          <w:rStyle w:val="FootnoteReference"/>
          <w:rFonts w:ascii="Times New Roman" w:hAnsi="Times New Roman"/>
          <w:sz w:val="24"/>
        </w:rPr>
        <w:footnoteReference w:id="95"/>
      </w:r>
      <w:r w:rsidRPr="00C06B3A">
        <w:rPr>
          <w:rFonts w:ascii="Times New Roman" w:hAnsi="Times New Roman"/>
        </w:rPr>
        <w:t>. Section 48 authorises and requires the Court to make a restriction order only where a positive determination has been made in accordance with s 7 of the HRSO</w:t>
      </w:r>
      <w:r w:rsidR="00B63569" w:rsidRPr="00C06B3A">
        <w:rPr>
          <w:rFonts w:ascii="Times New Roman" w:hAnsi="Times New Roman"/>
        </w:rPr>
        <w:t> </w:t>
      </w:r>
      <w:r w:rsidRPr="00C06B3A">
        <w:rPr>
          <w:rFonts w:ascii="Times New Roman" w:hAnsi="Times New Roman"/>
        </w:rPr>
        <w:t>Act.</w:t>
      </w:r>
    </w:p>
    <w:p w14:paraId="74E781B2" w14:textId="16B7E2FF"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The circumstance that the Court is not invested with a residual discretion to decline to make a restriction order does not establish that </w:t>
      </w:r>
      <w:r w:rsidR="008677AE" w:rsidRPr="00C06B3A">
        <w:rPr>
          <w:rFonts w:ascii="Times New Roman" w:hAnsi="Times New Roman"/>
        </w:rPr>
        <w:t>it</w:t>
      </w:r>
      <w:r w:rsidRPr="00C06B3A">
        <w:rPr>
          <w:rFonts w:ascii="Times New Roman" w:hAnsi="Times New Roman"/>
        </w:rPr>
        <w:t xml:space="preserve"> is acting upon the dictation of the executive government as to the manner of deciding the case or its outcome. While s 48(1) is couched in mandatory terms, the terms of s 48(2) and the definition of "high risk serious offender" in s 7(1) mean that the judicial evaluation upon which the Court's determination depends is essential to the making of a restriction order. The decisive nature of the Court's evaluation is distinctly inconsistent with the suggestion that it must act upon the dictation of the legislature or the executive as to whether a restriction order should be made in any </w:t>
      </w:r>
      <w:proofErr w:type="gramStart"/>
      <w:r w:rsidRPr="00C06B3A">
        <w:rPr>
          <w:rFonts w:ascii="Times New Roman" w:hAnsi="Times New Roman"/>
        </w:rPr>
        <w:t>particular case</w:t>
      </w:r>
      <w:proofErr w:type="gramEnd"/>
      <w:r w:rsidRPr="00C06B3A">
        <w:rPr>
          <w:rFonts w:ascii="Times New Roman" w:hAnsi="Times New Roman"/>
        </w:rPr>
        <w:t>.</w:t>
      </w:r>
    </w:p>
    <w:p w14:paraId="70676EF7" w14:textId="71A6AA4D"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Whether or not a risk that an offender will commit a </w:t>
      </w:r>
      <w:r w:rsidR="00EE4EB9" w:rsidRPr="00C06B3A">
        <w:rPr>
          <w:rFonts w:ascii="Times New Roman" w:hAnsi="Times New Roman"/>
        </w:rPr>
        <w:t>"</w:t>
      </w:r>
      <w:r w:rsidRPr="00C06B3A">
        <w:rPr>
          <w:rFonts w:ascii="Times New Roman" w:hAnsi="Times New Roman"/>
        </w:rPr>
        <w:t>serious offence</w:t>
      </w:r>
      <w:r w:rsidR="00EE4EB9" w:rsidRPr="00C06B3A">
        <w:rPr>
          <w:rFonts w:ascii="Times New Roman" w:hAnsi="Times New Roman"/>
        </w:rPr>
        <w:t>"</w:t>
      </w:r>
      <w:r w:rsidRPr="00C06B3A">
        <w:rPr>
          <w:rFonts w:ascii="Times New Roman" w:hAnsi="Times New Roman"/>
        </w:rPr>
        <w:t xml:space="preserve"> is "unacceptable" is a question which requires the Court's judgment </w:t>
      </w:r>
      <w:r w:rsidR="00DA35A9" w:rsidRPr="00C06B3A">
        <w:rPr>
          <w:rFonts w:ascii="Times New Roman" w:hAnsi="Times New Roman"/>
        </w:rPr>
        <w:t xml:space="preserve">as </w:t>
      </w:r>
      <w:r w:rsidRPr="00C06B3A">
        <w:rPr>
          <w:rFonts w:ascii="Times New Roman" w:hAnsi="Times New Roman"/>
        </w:rPr>
        <w:t>to the nature and extent of the harm said to be in prospect. Further, whether a restriction order is "necessary" to protect against that risk requires recognition of what would otherwise be the offender's entitlement to be at liberty, an entitlement not lightly to be denied. The Court must consider whether a restriction order is necessary to ensure adequate protection of the community</w:t>
      </w:r>
      <w:r w:rsidR="00EE4EB9" w:rsidRPr="00C06B3A">
        <w:rPr>
          <w:rStyle w:val="FootnoteReference"/>
          <w:rFonts w:ascii="Times New Roman" w:hAnsi="Times New Roman"/>
          <w:sz w:val="24"/>
        </w:rPr>
        <w:footnoteReference w:id="96"/>
      </w:r>
      <w:r w:rsidRPr="00C06B3A">
        <w:rPr>
          <w:rFonts w:ascii="Times New Roman" w:hAnsi="Times New Roman"/>
        </w:rPr>
        <w:t xml:space="preserve">. The Court is required to perform this evaluative exercise and come to its own determination as to whether to make </w:t>
      </w:r>
      <w:r w:rsidRPr="00C06B3A">
        <w:rPr>
          <w:rFonts w:ascii="Times New Roman" w:hAnsi="Times New Roman"/>
        </w:rPr>
        <w:lastRenderedPageBreak/>
        <w:t>a restriction order; it does not automatically follow from the inclusion of an offence in Sch 1 that a restriction order must be made.</w:t>
      </w:r>
    </w:p>
    <w:p w14:paraId="4B18E9BF" w14:textId="40C051C4"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r w:rsidRPr="00C06B3A">
        <w:rPr>
          <w:rFonts w:ascii="Times New Roman" w:hAnsi="Times New Roman"/>
          <w:i/>
          <w:iCs/>
        </w:rPr>
        <w:t>Emmerson</w:t>
      </w:r>
      <w:r w:rsidRPr="00C06B3A">
        <w:rPr>
          <w:rFonts w:ascii="Times New Roman" w:hAnsi="Times New Roman"/>
          <w:iCs/>
        </w:rPr>
        <w:t>,</w:t>
      </w:r>
      <w:r w:rsidRPr="00C06B3A">
        <w:rPr>
          <w:rFonts w:ascii="Times New Roman" w:hAnsi="Times New Roman"/>
        </w:rPr>
        <w:t xml:space="preserve"> French CJ, Hayne, </w:t>
      </w:r>
      <w:proofErr w:type="spellStart"/>
      <w:r w:rsidRPr="00C06B3A">
        <w:rPr>
          <w:rFonts w:ascii="Times New Roman" w:hAnsi="Times New Roman"/>
        </w:rPr>
        <w:t>Crennan</w:t>
      </w:r>
      <w:proofErr w:type="spellEnd"/>
      <w:r w:rsidRPr="00C06B3A">
        <w:rPr>
          <w:rFonts w:ascii="Times New Roman" w:hAnsi="Times New Roman"/>
        </w:rPr>
        <w:t>, Kiefel, Bell and Keane JJ observed that the legislation under consideration in that case provided that the "Supreme Court [</w:t>
      </w:r>
      <w:r w:rsidR="00171A58" w:rsidRPr="00C06B3A">
        <w:rPr>
          <w:rFonts w:ascii="Times New Roman" w:hAnsi="Times New Roman"/>
        </w:rPr>
        <w:t xml:space="preserve">of the Northern Territory </w:t>
      </w:r>
      <w:r w:rsidRPr="00C06B3A">
        <w:rPr>
          <w:rFonts w:ascii="Times New Roman" w:hAnsi="Times New Roman"/>
        </w:rPr>
        <w:t>was] authorised to determine whether the statutory criteria set out [were] satisfied and, if they [were]</w:t>
      </w:r>
      <w:r w:rsidR="00171A58" w:rsidRPr="00C06B3A">
        <w:rPr>
          <w:rFonts w:ascii="Times New Roman" w:hAnsi="Times New Roman"/>
        </w:rPr>
        <w:t>,</w:t>
      </w:r>
      <w:r w:rsidRPr="00C06B3A">
        <w:rPr>
          <w:rFonts w:ascii="Times New Roman" w:hAnsi="Times New Roman"/>
        </w:rPr>
        <w:t xml:space="preserve"> the Court must make the declaration sought" by the executive government</w:t>
      </w:r>
      <w:r w:rsidR="00171A58" w:rsidRPr="00C06B3A">
        <w:rPr>
          <w:rStyle w:val="FootnoteReference"/>
          <w:rFonts w:ascii="Times New Roman" w:hAnsi="Times New Roman"/>
          <w:iCs/>
          <w:sz w:val="24"/>
        </w:rPr>
        <w:footnoteReference w:id="97"/>
      </w:r>
      <w:r w:rsidRPr="00C06B3A">
        <w:rPr>
          <w:rFonts w:ascii="Times New Roman" w:hAnsi="Times New Roman"/>
        </w:rPr>
        <w:t>. The legislation then "provide</w:t>
      </w:r>
      <w:r w:rsidR="001C79F8" w:rsidRPr="00C06B3A">
        <w:rPr>
          <w:rFonts w:ascii="Times New Roman" w:hAnsi="Times New Roman"/>
        </w:rPr>
        <w:t>[</w:t>
      </w:r>
      <w:r w:rsidRPr="00C06B3A">
        <w:rPr>
          <w:rFonts w:ascii="Times New Roman" w:hAnsi="Times New Roman"/>
        </w:rPr>
        <w:t>d</w:t>
      </w:r>
      <w:r w:rsidR="001C79F8" w:rsidRPr="00C06B3A">
        <w:rPr>
          <w:rFonts w:ascii="Times New Roman" w:hAnsi="Times New Roman"/>
        </w:rPr>
        <w:t>]</w:t>
      </w:r>
      <w:r w:rsidRPr="00C06B3A">
        <w:rPr>
          <w:rFonts w:ascii="Times New Roman" w:hAnsi="Times New Roman"/>
        </w:rPr>
        <w:t xml:space="preserve"> the consequences which follow from the Supreme Court's declaration". Their</w:t>
      </w:r>
      <w:r w:rsidR="001C79F8" w:rsidRPr="00C06B3A">
        <w:rPr>
          <w:rFonts w:ascii="Times New Roman" w:hAnsi="Times New Roman"/>
        </w:rPr>
        <w:t> </w:t>
      </w:r>
      <w:r w:rsidRPr="00C06B3A">
        <w:rPr>
          <w:rFonts w:ascii="Times New Roman" w:hAnsi="Times New Roman"/>
        </w:rPr>
        <w:t>Honours said</w:t>
      </w:r>
      <w:r w:rsidR="001C79F8" w:rsidRPr="00C06B3A">
        <w:rPr>
          <w:rStyle w:val="FootnoteReference"/>
          <w:rFonts w:ascii="Times New Roman" w:hAnsi="Times New Roman"/>
          <w:sz w:val="24"/>
        </w:rPr>
        <w:footnoteReference w:id="98"/>
      </w:r>
      <w:r w:rsidRPr="00C06B3A">
        <w:rPr>
          <w:rFonts w:ascii="Times New Roman" w:hAnsi="Times New Roman"/>
        </w:rPr>
        <w:t>:</w:t>
      </w:r>
    </w:p>
    <w:p w14:paraId="3F694393" w14:textId="77777777" w:rsidR="00C06B3A" w:rsidRDefault="00A42219" w:rsidP="00C06B3A">
      <w:pPr>
        <w:pStyle w:val="LeftrightafterHC"/>
        <w:spacing w:before="0" w:after="260" w:line="280" w:lineRule="exact"/>
        <w:ind w:right="0"/>
        <w:jc w:val="both"/>
        <w:rPr>
          <w:rFonts w:ascii="Times New Roman" w:hAnsi="Times New Roman"/>
        </w:rPr>
      </w:pPr>
      <w:r w:rsidRPr="00C06B3A">
        <w:rPr>
          <w:rFonts w:ascii="Times New Roman" w:hAnsi="Times New Roman"/>
        </w:rPr>
        <w:t>"Together, these steps are an unremarkable example of conferring jurisdiction on a court to determine a controversy between parties which, when determined, will engage stated statutory consequences."</w:t>
      </w:r>
    </w:p>
    <w:p w14:paraId="2ACC935D" w14:textId="2E16E559"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The same may be said of ss 7 and 48 of the HRSO</w:t>
      </w:r>
      <w:r w:rsidR="000F79BC" w:rsidRPr="00C06B3A">
        <w:rPr>
          <w:rFonts w:ascii="Times New Roman" w:hAnsi="Times New Roman"/>
        </w:rPr>
        <w:t> </w:t>
      </w:r>
      <w:r w:rsidRPr="00C06B3A">
        <w:rPr>
          <w:rFonts w:ascii="Times New Roman" w:hAnsi="Times New Roman"/>
        </w:rPr>
        <w:t>Act.</w:t>
      </w:r>
      <w:r w:rsidR="004417F8" w:rsidRPr="00C06B3A">
        <w:rPr>
          <w:rFonts w:ascii="Times New Roman" w:hAnsi="Times New Roman"/>
        </w:rPr>
        <w:t xml:space="preserve"> This part of Mr</w:t>
      </w:r>
      <w:r w:rsidR="000F79BC" w:rsidRPr="00C06B3A">
        <w:rPr>
          <w:rFonts w:ascii="Times New Roman" w:hAnsi="Times New Roman"/>
        </w:rPr>
        <w:t> </w:t>
      </w:r>
      <w:proofErr w:type="spellStart"/>
      <w:r w:rsidR="004417F8" w:rsidRPr="00C06B3A">
        <w:rPr>
          <w:rFonts w:ascii="Times New Roman" w:hAnsi="Times New Roman"/>
        </w:rPr>
        <w:t>Garlett's</w:t>
      </w:r>
      <w:proofErr w:type="spellEnd"/>
      <w:r w:rsidR="004417F8" w:rsidRPr="00C06B3A">
        <w:rPr>
          <w:rFonts w:ascii="Times New Roman" w:hAnsi="Times New Roman"/>
        </w:rPr>
        <w:t xml:space="preserve"> argument cannot stand with the decision in </w:t>
      </w:r>
      <w:r w:rsidR="004417F8" w:rsidRPr="00C06B3A">
        <w:rPr>
          <w:rFonts w:ascii="Times New Roman" w:hAnsi="Times New Roman"/>
          <w:i/>
        </w:rPr>
        <w:t>Emmerson</w:t>
      </w:r>
      <w:r w:rsidR="004417F8" w:rsidRPr="00C06B3A">
        <w:rPr>
          <w:rFonts w:ascii="Times New Roman" w:hAnsi="Times New Roman"/>
        </w:rPr>
        <w:t>.</w:t>
      </w:r>
    </w:p>
    <w:p w14:paraId="053E1C53" w14:textId="77777777" w:rsidR="00A42219" w:rsidRPr="00C06B3A" w:rsidRDefault="00A42219" w:rsidP="00C06B3A">
      <w:pPr>
        <w:pStyle w:val="HeadingL2"/>
        <w:spacing w:after="260" w:line="280" w:lineRule="exact"/>
        <w:ind w:right="0"/>
        <w:jc w:val="both"/>
        <w:rPr>
          <w:rFonts w:ascii="Times New Roman" w:hAnsi="Times New Roman"/>
        </w:rPr>
      </w:pPr>
      <w:r w:rsidRPr="00C06B3A">
        <w:rPr>
          <w:rFonts w:ascii="Times New Roman" w:hAnsi="Times New Roman"/>
        </w:rPr>
        <w:t>A serious offence?</w:t>
      </w:r>
    </w:p>
    <w:p w14:paraId="3AD13ED8" w14:textId="6319913A"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DA35A9" w:rsidRPr="00C06B3A">
        <w:rPr>
          <w:rFonts w:ascii="Times New Roman" w:hAnsi="Times New Roman"/>
        </w:rPr>
        <w:t xml:space="preserve">It was submitted on behalf of </w:t>
      </w:r>
      <w:r w:rsidRPr="00C06B3A">
        <w:rPr>
          <w:rFonts w:ascii="Times New Roman" w:hAnsi="Times New Roman"/>
        </w:rPr>
        <w:t>Mr </w:t>
      </w:r>
      <w:proofErr w:type="spellStart"/>
      <w:r w:rsidRPr="00C06B3A">
        <w:rPr>
          <w:rFonts w:ascii="Times New Roman" w:hAnsi="Times New Roman"/>
        </w:rPr>
        <w:t>Garlett</w:t>
      </w:r>
      <w:proofErr w:type="spellEnd"/>
      <w:r w:rsidRPr="00C06B3A">
        <w:rPr>
          <w:rFonts w:ascii="Times New Roman" w:hAnsi="Times New Roman"/>
        </w:rPr>
        <w:t xml:space="preserve"> that </w:t>
      </w:r>
      <w:proofErr w:type="spellStart"/>
      <w:r w:rsidRPr="00C06B3A">
        <w:rPr>
          <w:rFonts w:ascii="Times New Roman" w:hAnsi="Times New Roman"/>
          <w:i/>
        </w:rPr>
        <w:t>Fardon</w:t>
      </w:r>
      <w:proofErr w:type="spellEnd"/>
      <w:r w:rsidRPr="00C06B3A">
        <w:rPr>
          <w:rFonts w:ascii="Times New Roman" w:hAnsi="Times New Roman"/>
          <w:i/>
        </w:rPr>
        <w:t xml:space="preserve"> </w:t>
      </w:r>
      <w:r w:rsidRPr="00C06B3A">
        <w:rPr>
          <w:rFonts w:ascii="Times New Roman" w:hAnsi="Times New Roman"/>
        </w:rPr>
        <w:t xml:space="preserve">is authority only for the narrow proposition that legislation empowering a </w:t>
      </w:r>
      <w:proofErr w:type="gramStart"/>
      <w:r w:rsidRPr="00C06B3A">
        <w:rPr>
          <w:rFonts w:ascii="Times New Roman" w:hAnsi="Times New Roman"/>
        </w:rPr>
        <w:t>State</w:t>
      </w:r>
      <w:proofErr w:type="gramEnd"/>
      <w:r w:rsidRPr="00C06B3A">
        <w:rPr>
          <w:rFonts w:ascii="Times New Roman" w:hAnsi="Times New Roman"/>
        </w:rPr>
        <w:t xml:space="preserve"> </w:t>
      </w:r>
      <w:r w:rsidR="00DA35A9" w:rsidRPr="00C06B3A">
        <w:rPr>
          <w:rFonts w:ascii="Times New Roman" w:hAnsi="Times New Roman"/>
        </w:rPr>
        <w:t>c</w:t>
      </w:r>
      <w:r w:rsidRPr="00C06B3A">
        <w:rPr>
          <w:rFonts w:ascii="Times New Roman" w:hAnsi="Times New Roman"/>
        </w:rPr>
        <w:t xml:space="preserve">ourt to order detention </w:t>
      </w:r>
      <w:r w:rsidR="001A4577" w:rsidRPr="00C06B3A">
        <w:rPr>
          <w:rFonts w:ascii="Times New Roman" w:hAnsi="Times New Roman"/>
        </w:rPr>
        <w:t xml:space="preserve">of </w:t>
      </w:r>
      <w:r w:rsidRPr="00C06B3A">
        <w:rPr>
          <w:rFonts w:ascii="Times New Roman" w:hAnsi="Times New Roman"/>
        </w:rPr>
        <w:t xml:space="preserve">a person serving a sentence for a "serious sexual offence", for the purpose of protecting the community and on the terms provided for in the DPSO Act, does not attract the </w:t>
      </w:r>
      <w:r w:rsidRPr="00C06B3A">
        <w:rPr>
          <w:rFonts w:ascii="Times New Roman" w:hAnsi="Times New Roman"/>
          <w:i/>
        </w:rPr>
        <w:t xml:space="preserve">Kable </w:t>
      </w:r>
      <w:r w:rsidRPr="00C06B3A">
        <w:rPr>
          <w:rFonts w:ascii="Times New Roman" w:hAnsi="Times New Roman"/>
        </w:rPr>
        <w:t>principle.</w:t>
      </w:r>
    </w:p>
    <w:p w14:paraId="0864C222" w14:textId="0B81CBBF"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It was said that the offence of robbery under s 392 of the </w:t>
      </w:r>
      <w:r w:rsidR="00ED000F" w:rsidRPr="00C06B3A">
        <w:rPr>
          <w:rFonts w:ascii="Times New Roman" w:hAnsi="Times New Roman"/>
          <w:i/>
        </w:rPr>
        <w:t>Criminal Code </w:t>
      </w:r>
      <w:r w:rsidR="00ED000F" w:rsidRPr="00C06B3A">
        <w:rPr>
          <w:rFonts w:ascii="Times New Roman" w:hAnsi="Times New Roman"/>
        </w:rPr>
        <w:t>(WA)</w:t>
      </w:r>
      <w:r w:rsidRPr="00C06B3A">
        <w:rPr>
          <w:rFonts w:ascii="Times New Roman" w:hAnsi="Times New Roman"/>
        </w:rPr>
        <w:t xml:space="preserve"> is inherently insufficiently serious to be capable of being regarded as a basis for a restriction order. Mr </w:t>
      </w:r>
      <w:proofErr w:type="spellStart"/>
      <w:r w:rsidRPr="00C06B3A">
        <w:rPr>
          <w:rFonts w:ascii="Times New Roman" w:hAnsi="Times New Roman"/>
        </w:rPr>
        <w:t>Garlett</w:t>
      </w:r>
      <w:proofErr w:type="spellEnd"/>
      <w:r w:rsidRPr="00C06B3A">
        <w:rPr>
          <w:rFonts w:ascii="Times New Roman" w:hAnsi="Times New Roman"/>
        </w:rPr>
        <w:t xml:space="preserve"> focus</w:t>
      </w:r>
      <w:r w:rsidR="00060562" w:rsidRPr="00C06B3A">
        <w:rPr>
          <w:rFonts w:ascii="Times New Roman" w:hAnsi="Times New Roman"/>
        </w:rPr>
        <w:t>s</w:t>
      </w:r>
      <w:r w:rsidRPr="00C06B3A">
        <w:rPr>
          <w:rFonts w:ascii="Times New Roman" w:hAnsi="Times New Roman"/>
        </w:rPr>
        <w:t xml:space="preserve">ed on what was said to be the unexceptional nature of robbery as an offence to argue that the making of a restriction order, in addition to the sentence imposed on the offender for the offence of which he or she was convicted, is disproportionate to the seriousness of that offence for which proper punishment has already been imposed. These contentions cannot be accepted. </w:t>
      </w:r>
    </w:p>
    <w:p w14:paraId="1C7847C7" w14:textId="00BD02E0"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First, Mr </w:t>
      </w:r>
      <w:proofErr w:type="spellStart"/>
      <w:r w:rsidRPr="00C06B3A">
        <w:rPr>
          <w:rFonts w:ascii="Times New Roman" w:hAnsi="Times New Roman"/>
        </w:rPr>
        <w:t>Garlett's</w:t>
      </w:r>
      <w:proofErr w:type="spellEnd"/>
      <w:r w:rsidRPr="00C06B3A">
        <w:rPr>
          <w:rFonts w:ascii="Times New Roman" w:hAnsi="Times New Roman"/>
        </w:rPr>
        <w:t xml:space="preserve"> argument fails to appreciate that the imposition of a restriction order is not by way of further punishment for the </w:t>
      </w:r>
      <w:r w:rsidR="00804C52" w:rsidRPr="00C06B3A">
        <w:rPr>
          <w:rFonts w:ascii="Times New Roman" w:hAnsi="Times New Roman"/>
        </w:rPr>
        <w:t>"</w:t>
      </w:r>
      <w:r w:rsidRPr="00C06B3A">
        <w:rPr>
          <w:rFonts w:ascii="Times New Roman" w:hAnsi="Times New Roman"/>
        </w:rPr>
        <w:t>serious offence</w:t>
      </w:r>
      <w:r w:rsidR="00804C52" w:rsidRPr="00C06B3A">
        <w:rPr>
          <w:rFonts w:ascii="Times New Roman" w:hAnsi="Times New Roman"/>
        </w:rPr>
        <w:t>"</w:t>
      </w:r>
      <w:r w:rsidRPr="00C06B3A">
        <w:rPr>
          <w:rFonts w:ascii="Times New Roman" w:hAnsi="Times New Roman"/>
        </w:rPr>
        <w:t xml:space="preserve"> of </w:t>
      </w:r>
      <w:r w:rsidRPr="00C06B3A">
        <w:rPr>
          <w:rFonts w:ascii="Times New Roman" w:hAnsi="Times New Roman"/>
        </w:rPr>
        <w:lastRenderedPageBreak/>
        <w:t xml:space="preserve">which the offender has been convicted, but a </w:t>
      </w:r>
      <w:r w:rsidR="00845704" w:rsidRPr="00C06B3A">
        <w:rPr>
          <w:rFonts w:ascii="Times New Roman" w:hAnsi="Times New Roman"/>
        </w:rPr>
        <w:t>precaution that has been judicially assessed as necessary</w:t>
      </w:r>
      <w:r w:rsidRPr="00C06B3A">
        <w:rPr>
          <w:rFonts w:ascii="Times New Roman" w:hAnsi="Times New Roman"/>
        </w:rPr>
        <w:t xml:space="preserve"> for the purpose of protecting the community. A restriction order </w:t>
      </w:r>
      <w:r w:rsidR="00804C52" w:rsidRPr="00C06B3A">
        <w:rPr>
          <w:rFonts w:ascii="Times New Roman" w:hAnsi="Times New Roman"/>
        </w:rPr>
        <w:t>does not contravene the principle of</w:t>
      </w:r>
      <w:r w:rsidRPr="00C06B3A">
        <w:rPr>
          <w:rFonts w:ascii="Times New Roman" w:hAnsi="Times New Roman"/>
        </w:rPr>
        <w:t xml:space="preserve"> "double </w:t>
      </w:r>
      <w:r w:rsidR="00804C52" w:rsidRPr="00C06B3A">
        <w:rPr>
          <w:rFonts w:ascii="Times New Roman" w:hAnsi="Times New Roman"/>
        </w:rPr>
        <w:t>jeopardy</w:t>
      </w:r>
      <w:r w:rsidRPr="00C06B3A">
        <w:rPr>
          <w:rFonts w:ascii="Times New Roman" w:hAnsi="Times New Roman"/>
        </w:rPr>
        <w:t>"</w:t>
      </w:r>
      <w:r w:rsidRPr="00C06B3A">
        <w:rPr>
          <w:rStyle w:val="FootnoteReference"/>
          <w:rFonts w:ascii="Times New Roman" w:hAnsi="Times New Roman"/>
          <w:sz w:val="24"/>
        </w:rPr>
        <w:footnoteReference w:id="99"/>
      </w:r>
      <w:r w:rsidR="002671A5" w:rsidRPr="00C06B3A">
        <w:rPr>
          <w:rFonts w:ascii="Times New Roman" w:hAnsi="Times New Roman"/>
        </w:rPr>
        <w:t>, in the sense that it punishes the offender twice,</w:t>
      </w:r>
      <w:r w:rsidRPr="00C06B3A">
        <w:rPr>
          <w:rFonts w:ascii="Times New Roman" w:hAnsi="Times New Roman"/>
        </w:rPr>
        <w:t xml:space="preserve"> for the offence that engages the application of the HRSO</w:t>
      </w:r>
      <w:r w:rsidR="00804C52" w:rsidRPr="00C06B3A">
        <w:rPr>
          <w:rFonts w:ascii="Times New Roman" w:hAnsi="Times New Roman"/>
        </w:rPr>
        <w:t> </w:t>
      </w:r>
      <w:r w:rsidRPr="00C06B3A">
        <w:rPr>
          <w:rFonts w:ascii="Times New Roman" w:hAnsi="Times New Roman"/>
        </w:rPr>
        <w:t>Act. The protective purpose of the HRSO</w:t>
      </w:r>
      <w:r w:rsidR="00202399" w:rsidRPr="00C06B3A">
        <w:rPr>
          <w:rFonts w:ascii="Times New Roman" w:hAnsi="Times New Roman"/>
        </w:rPr>
        <w:t> </w:t>
      </w:r>
      <w:r w:rsidRPr="00C06B3A">
        <w:rPr>
          <w:rFonts w:ascii="Times New Roman" w:hAnsi="Times New Roman"/>
        </w:rPr>
        <w:t>Act is not undermined by a lack of correlation between the past offence, which conditions the operation of the legislation</w:t>
      </w:r>
      <w:r w:rsidR="00202399" w:rsidRPr="00C06B3A">
        <w:rPr>
          <w:rFonts w:ascii="Times New Roman" w:hAnsi="Times New Roman"/>
        </w:rPr>
        <w:t>, and the harm to the community from the commission of any "serious offence" in the future</w:t>
      </w:r>
      <w:r w:rsidRPr="00C06B3A">
        <w:rPr>
          <w:rFonts w:ascii="Times New Roman" w:hAnsi="Times New Roman"/>
        </w:rPr>
        <w:t>.</w:t>
      </w:r>
    </w:p>
    <w:p w14:paraId="4D666453" w14:textId="0591A029"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Secondly, Mr </w:t>
      </w:r>
      <w:proofErr w:type="spellStart"/>
      <w:r w:rsidRPr="00C06B3A">
        <w:rPr>
          <w:rFonts w:ascii="Times New Roman" w:hAnsi="Times New Roman"/>
        </w:rPr>
        <w:t>Garlett's</w:t>
      </w:r>
      <w:proofErr w:type="spellEnd"/>
      <w:r w:rsidRPr="00C06B3A">
        <w:rPr>
          <w:rFonts w:ascii="Times New Roman" w:hAnsi="Times New Roman"/>
        </w:rPr>
        <w:t xml:space="preserve"> argument confuses orthodox notions of proportionality in sentencing with the radically different notion of a judicial usurpation of the responsibility of the legislature to determine the degree of culpability appropriate to various categories of misconduct. The determination of the relative seriousness of criminal offences, reflected in the maximum sentences for those offences, is a matter for the legislature. </w:t>
      </w:r>
    </w:p>
    <w:p w14:paraId="238D0B74" w14:textId="1A5F95AE" w:rsidR="00F1538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The inclusion of an offence, such as robbery, in Sch 1 to the HRSO Act reflects a legislative judgment as to the kinds of offences which may be such as to cause harm of a kind from which the community needs protection different from that provided by the criminal law. It is not inimical to the institutional integrity of </w:t>
      </w:r>
      <w:r w:rsidR="00AD072D" w:rsidRPr="00C06B3A">
        <w:rPr>
          <w:rFonts w:ascii="Times New Roman" w:hAnsi="Times New Roman"/>
        </w:rPr>
        <w:t>the C</w:t>
      </w:r>
      <w:r w:rsidRPr="00C06B3A">
        <w:rPr>
          <w:rFonts w:ascii="Times New Roman" w:hAnsi="Times New Roman"/>
        </w:rPr>
        <w:t xml:space="preserve">ourt to act upon a legislative judgment that robbery should be included in the serious offences listed in Sch 1. That is especially so where an element of the offence is violence </w:t>
      </w:r>
      <w:r w:rsidR="00AD072D" w:rsidRPr="00C06B3A">
        <w:rPr>
          <w:rFonts w:ascii="Times New Roman" w:hAnsi="Times New Roman"/>
        </w:rPr>
        <w:t xml:space="preserve">to person or property, </w:t>
      </w:r>
      <w:r w:rsidRPr="00C06B3A">
        <w:rPr>
          <w:rFonts w:ascii="Times New Roman" w:hAnsi="Times New Roman"/>
        </w:rPr>
        <w:t xml:space="preserve">or the threat of such violence. It is to be borne in mind that the maximum penalty for a contravention of s 392 of the </w:t>
      </w:r>
      <w:r w:rsidRPr="00C06B3A">
        <w:rPr>
          <w:rFonts w:ascii="Times New Roman" w:hAnsi="Times New Roman"/>
          <w:i/>
          <w:iCs/>
        </w:rPr>
        <w:t>Criminal Code</w:t>
      </w:r>
      <w:r w:rsidR="00AD072D" w:rsidRPr="00C06B3A">
        <w:rPr>
          <w:rFonts w:ascii="Times New Roman" w:hAnsi="Times New Roman"/>
          <w:i/>
          <w:iCs/>
        </w:rPr>
        <w:t> </w:t>
      </w:r>
      <w:r w:rsidR="00AD072D" w:rsidRPr="00C06B3A">
        <w:rPr>
          <w:rFonts w:ascii="Times New Roman" w:hAnsi="Times New Roman"/>
          <w:iCs/>
        </w:rPr>
        <w:t>(WA)</w:t>
      </w:r>
      <w:r w:rsidRPr="00C06B3A">
        <w:rPr>
          <w:rFonts w:ascii="Times New Roman" w:hAnsi="Times New Roman"/>
          <w:i/>
          <w:iCs/>
        </w:rPr>
        <w:t xml:space="preserve"> </w:t>
      </w:r>
      <w:r w:rsidRPr="00C06B3A">
        <w:rPr>
          <w:rFonts w:ascii="Times New Roman" w:hAnsi="Times New Roman"/>
        </w:rPr>
        <w:t xml:space="preserve">ranges between </w:t>
      </w:r>
      <w:r w:rsidR="00DA35A9" w:rsidRPr="00C06B3A">
        <w:rPr>
          <w:rFonts w:ascii="Times New Roman" w:hAnsi="Times New Roman"/>
        </w:rPr>
        <w:t xml:space="preserve">imprisonment for </w:t>
      </w:r>
      <w:r w:rsidRPr="00C06B3A">
        <w:rPr>
          <w:rFonts w:ascii="Times New Roman" w:hAnsi="Times New Roman"/>
        </w:rPr>
        <w:t>14</w:t>
      </w:r>
      <w:r w:rsidR="00AD072D" w:rsidRPr="00C06B3A">
        <w:rPr>
          <w:rFonts w:ascii="Times New Roman" w:hAnsi="Times New Roman"/>
        </w:rPr>
        <w:t> </w:t>
      </w:r>
      <w:r w:rsidRPr="00C06B3A">
        <w:rPr>
          <w:rFonts w:ascii="Times New Roman" w:hAnsi="Times New Roman"/>
        </w:rPr>
        <w:t>years,</w:t>
      </w:r>
      <w:r w:rsidR="00AD072D" w:rsidRPr="00C06B3A">
        <w:rPr>
          <w:rFonts w:ascii="Times New Roman" w:hAnsi="Times New Roman"/>
        </w:rPr>
        <w:t xml:space="preserve"> </w:t>
      </w:r>
      <w:r w:rsidRPr="00C06B3A">
        <w:rPr>
          <w:rFonts w:ascii="Times New Roman" w:hAnsi="Times New Roman"/>
        </w:rPr>
        <w:t>20</w:t>
      </w:r>
      <w:r w:rsidR="00AD072D" w:rsidRPr="00C06B3A">
        <w:rPr>
          <w:rFonts w:ascii="Times New Roman" w:hAnsi="Times New Roman"/>
        </w:rPr>
        <w:t> </w:t>
      </w:r>
      <w:r w:rsidRPr="00C06B3A">
        <w:rPr>
          <w:rFonts w:ascii="Times New Roman" w:hAnsi="Times New Roman"/>
        </w:rPr>
        <w:t xml:space="preserve">years and life, depending upon the circumstances of the contravention. </w:t>
      </w:r>
    </w:p>
    <w:p w14:paraId="6C23A57B" w14:textId="143EB066" w:rsidR="00A42219" w:rsidRPr="00C06B3A" w:rsidRDefault="00F15389"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A42219" w:rsidRPr="00C06B3A">
        <w:rPr>
          <w:rFonts w:ascii="Times New Roman" w:hAnsi="Times New Roman"/>
        </w:rPr>
        <w:t>It is</w:t>
      </w:r>
      <w:r w:rsidRPr="00C06B3A">
        <w:rPr>
          <w:rFonts w:ascii="Times New Roman" w:hAnsi="Times New Roman"/>
        </w:rPr>
        <w:t xml:space="preserve"> also</w:t>
      </w:r>
      <w:r w:rsidR="00A42219" w:rsidRPr="00C06B3A">
        <w:rPr>
          <w:rFonts w:ascii="Times New Roman" w:hAnsi="Times New Roman"/>
        </w:rPr>
        <w:t xml:space="preserve"> to be noted that the sexual offences in respect of which the operation of the DPSO</w:t>
      </w:r>
      <w:r w:rsidR="00EA4143" w:rsidRPr="00C06B3A">
        <w:rPr>
          <w:rFonts w:ascii="Times New Roman" w:hAnsi="Times New Roman"/>
        </w:rPr>
        <w:t> </w:t>
      </w:r>
      <w:r w:rsidR="00A42219" w:rsidRPr="00C06B3A">
        <w:rPr>
          <w:rFonts w:ascii="Times New Roman" w:hAnsi="Times New Roman"/>
        </w:rPr>
        <w:t xml:space="preserve">Act </w:t>
      </w:r>
      <w:proofErr w:type="gramStart"/>
      <w:r w:rsidR="00A42219" w:rsidRPr="00C06B3A">
        <w:rPr>
          <w:rFonts w:ascii="Times New Roman" w:hAnsi="Times New Roman"/>
        </w:rPr>
        <w:t>depended</w:t>
      </w:r>
      <w:proofErr w:type="gramEnd"/>
      <w:r w:rsidR="00A42219" w:rsidRPr="00C06B3A">
        <w:rPr>
          <w:rFonts w:ascii="Times New Roman" w:hAnsi="Times New Roman"/>
        </w:rPr>
        <w:t xml:space="preserve"> covered a range of seriousness, with some offences attracting higher penalties than others, but with any one offence being sufficient to engage the application of the regime. In </w:t>
      </w:r>
      <w:proofErr w:type="spellStart"/>
      <w:r w:rsidR="00A42219" w:rsidRPr="00C06B3A">
        <w:rPr>
          <w:rFonts w:ascii="Times New Roman" w:hAnsi="Times New Roman"/>
          <w:i/>
          <w:iCs/>
        </w:rPr>
        <w:t>Benbrika</w:t>
      </w:r>
      <w:proofErr w:type="spellEnd"/>
      <w:r w:rsidR="00A42219" w:rsidRPr="00C06B3A">
        <w:rPr>
          <w:rFonts w:ascii="Times New Roman" w:hAnsi="Times New Roman"/>
        </w:rPr>
        <w:t xml:space="preserve">, Edelman J noted that this Court in </w:t>
      </w:r>
      <w:proofErr w:type="spellStart"/>
      <w:r w:rsidR="00A42219" w:rsidRPr="00C06B3A">
        <w:rPr>
          <w:rFonts w:ascii="Times New Roman" w:hAnsi="Times New Roman"/>
          <w:i/>
          <w:iCs/>
        </w:rPr>
        <w:t>Fardon</w:t>
      </w:r>
      <w:proofErr w:type="spellEnd"/>
      <w:r w:rsidR="00A42219" w:rsidRPr="00C06B3A">
        <w:rPr>
          <w:rFonts w:ascii="Times New Roman" w:hAnsi="Times New Roman"/>
          <w:i/>
          <w:iCs/>
        </w:rPr>
        <w:t xml:space="preserve"> </w:t>
      </w:r>
      <w:r w:rsidR="00A42219" w:rsidRPr="00C06B3A">
        <w:rPr>
          <w:rFonts w:ascii="Times New Roman" w:hAnsi="Times New Roman"/>
        </w:rPr>
        <w:t>respected the judgment of the legislature that all the offences on this spectrum "could potentially involve harm to the community sufficient to permit consideration of a continuing detention order"</w:t>
      </w:r>
      <w:r w:rsidR="00EA4143" w:rsidRPr="00C06B3A">
        <w:rPr>
          <w:rStyle w:val="FootnoteReference"/>
          <w:rFonts w:ascii="Times New Roman" w:hAnsi="Times New Roman"/>
          <w:iCs/>
          <w:sz w:val="24"/>
        </w:rPr>
        <w:footnoteReference w:id="100"/>
      </w:r>
      <w:r w:rsidR="00A42219" w:rsidRPr="00C06B3A">
        <w:rPr>
          <w:rFonts w:ascii="Times New Roman" w:hAnsi="Times New Roman"/>
        </w:rPr>
        <w:t>.</w:t>
      </w:r>
    </w:p>
    <w:p w14:paraId="2E905E04" w14:textId="5FFDE583"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As </w:t>
      </w:r>
      <w:r w:rsidR="00FA5B49" w:rsidRPr="00C06B3A">
        <w:rPr>
          <w:rFonts w:ascii="Times New Roman" w:hAnsi="Times New Roman"/>
        </w:rPr>
        <w:t>his Honour also noted</w:t>
      </w:r>
      <w:r w:rsidRPr="00C06B3A">
        <w:rPr>
          <w:rFonts w:ascii="Times New Roman" w:hAnsi="Times New Roman"/>
        </w:rPr>
        <w:t>, "</w:t>
      </w:r>
      <w:r w:rsidR="00FA5B49" w:rsidRPr="00C06B3A">
        <w:rPr>
          <w:rFonts w:ascii="Times New Roman" w:hAnsi="Times New Roman"/>
        </w:rPr>
        <w:t>'</w:t>
      </w:r>
      <w:r w:rsidRPr="00C06B3A">
        <w:rPr>
          <w:rFonts w:ascii="Times New Roman" w:hAnsi="Times New Roman"/>
        </w:rPr>
        <w:t>conduct is regarded as criminal for the very reason that its commission harms society, or some part of it</w:t>
      </w:r>
      <w:r w:rsidR="00FA5B49" w:rsidRPr="00C06B3A">
        <w:rPr>
          <w:rFonts w:ascii="Times New Roman" w:hAnsi="Times New Roman"/>
        </w:rPr>
        <w:t>'</w:t>
      </w:r>
      <w:r w:rsidRPr="00C06B3A">
        <w:rPr>
          <w:rFonts w:ascii="Times New Roman" w:hAnsi="Times New Roman"/>
        </w:rPr>
        <w:t xml:space="preserve">, and it is rarely the </w:t>
      </w:r>
      <w:r w:rsidRPr="00C06B3A">
        <w:rPr>
          <w:rFonts w:ascii="Times New Roman" w:hAnsi="Times New Roman"/>
        </w:rPr>
        <w:lastRenderedPageBreak/>
        <w:t>role of a court to second</w:t>
      </w:r>
      <w:r w:rsidRPr="00C06B3A">
        <w:rPr>
          <w:rFonts w:ascii="Times New Roman" w:hAnsi="Times New Roman"/>
        </w:rPr>
        <w:noBreakHyphen/>
        <w:t xml:space="preserve">guess Parliament's decision about the seriousness of the harm that various crimes will </w:t>
      </w:r>
      <w:r w:rsidR="002012D5" w:rsidRPr="00C06B3A">
        <w:rPr>
          <w:rFonts w:ascii="Times New Roman" w:hAnsi="Times New Roman"/>
        </w:rPr>
        <w:t>have</w:t>
      </w:r>
      <w:r w:rsidRPr="00C06B3A">
        <w:rPr>
          <w:rFonts w:ascii="Times New Roman" w:hAnsi="Times New Roman"/>
        </w:rPr>
        <w:t xml:space="preserve"> to the community"</w:t>
      </w:r>
      <w:r w:rsidR="002012D5" w:rsidRPr="00C06B3A">
        <w:rPr>
          <w:rStyle w:val="FootnoteReference"/>
          <w:rFonts w:ascii="Times New Roman" w:hAnsi="Times New Roman"/>
          <w:iCs/>
          <w:sz w:val="24"/>
        </w:rPr>
        <w:footnoteReference w:id="101"/>
      </w:r>
      <w:r w:rsidR="002012D5" w:rsidRPr="00C06B3A">
        <w:rPr>
          <w:rFonts w:ascii="Times New Roman" w:hAnsi="Times New Roman"/>
        </w:rPr>
        <w:t>.</w:t>
      </w:r>
      <w:r w:rsidRPr="00C06B3A">
        <w:rPr>
          <w:rFonts w:ascii="Times New Roman" w:hAnsi="Times New Roman"/>
        </w:rPr>
        <w:t xml:space="preserve"> </w:t>
      </w:r>
      <w:r w:rsidR="0088046A" w:rsidRPr="00C06B3A">
        <w:rPr>
          <w:rFonts w:ascii="Times New Roman" w:hAnsi="Times New Roman"/>
        </w:rPr>
        <w:t>Similarly,</w:t>
      </w:r>
      <w:r w:rsidRPr="00C06B3A">
        <w:rPr>
          <w:rFonts w:ascii="Times New Roman" w:hAnsi="Times New Roman"/>
        </w:rPr>
        <w:t xml:space="preserve"> in </w:t>
      </w:r>
      <w:r w:rsidRPr="00C06B3A">
        <w:rPr>
          <w:rFonts w:ascii="Times New Roman" w:hAnsi="Times New Roman"/>
          <w:i/>
          <w:iCs/>
        </w:rPr>
        <w:t>Vella</w:t>
      </w:r>
      <w:r w:rsidRPr="00C06B3A">
        <w:rPr>
          <w:rFonts w:ascii="Times New Roman" w:hAnsi="Times New Roman"/>
        </w:rPr>
        <w:t xml:space="preserve">, the range of offending on which the power of the </w:t>
      </w:r>
      <w:r w:rsidR="0088046A" w:rsidRPr="00C06B3A">
        <w:rPr>
          <w:rFonts w:ascii="Times New Roman" w:hAnsi="Times New Roman"/>
        </w:rPr>
        <w:t>Supreme C</w:t>
      </w:r>
      <w:r w:rsidRPr="00C06B3A">
        <w:rPr>
          <w:rFonts w:ascii="Times New Roman" w:hAnsi="Times New Roman"/>
        </w:rPr>
        <w:t>ourt</w:t>
      </w:r>
      <w:r w:rsidR="0088046A" w:rsidRPr="00C06B3A">
        <w:rPr>
          <w:rFonts w:ascii="Times New Roman" w:hAnsi="Times New Roman"/>
        </w:rPr>
        <w:t xml:space="preserve"> and the District Court of New South Wales</w:t>
      </w:r>
      <w:r w:rsidRPr="00C06B3A">
        <w:rPr>
          <w:rFonts w:ascii="Times New Roman" w:hAnsi="Times New Roman"/>
        </w:rPr>
        <w:t xml:space="preserve"> was conditioned was acknowledged to be "very wide"</w:t>
      </w:r>
      <w:r w:rsidRPr="00C06B3A">
        <w:rPr>
          <w:rStyle w:val="FootnoteReference"/>
          <w:rFonts w:ascii="Times New Roman" w:hAnsi="Times New Roman"/>
          <w:sz w:val="24"/>
        </w:rPr>
        <w:footnoteReference w:id="102"/>
      </w:r>
      <w:r w:rsidRPr="00C06B3A">
        <w:rPr>
          <w:rFonts w:ascii="Times New Roman" w:hAnsi="Times New Roman"/>
        </w:rPr>
        <w:t>.</w:t>
      </w:r>
    </w:p>
    <w:p w14:paraId="73737C84" w14:textId="5D055830" w:rsidR="00A42219" w:rsidRPr="00C06B3A" w:rsidRDefault="005534CD"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A42219" w:rsidRPr="00C06B3A">
        <w:rPr>
          <w:rFonts w:ascii="Times New Roman" w:hAnsi="Times New Roman"/>
        </w:rPr>
        <w:t xml:space="preserve">In </w:t>
      </w:r>
      <w:proofErr w:type="spellStart"/>
      <w:r w:rsidR="00A42219" w:rsidRPr="00C06B3A">
        <w:rPr>
          <w:rFonts w:ascii="Times New Roman" w:hAnsi="Times New Roman"/>
          <w:i/>
          <w:iCs/>
        </w:rPr>
        <w:t>Magaming</w:t>
      </w:r>
      <w:proofErr w:type="spellEnd"/>
      <w:r w:rsidR="00A42219" w:rsidRPr="00C06B3A">
        <w:rPr>
          <w:rFonts w:ascii="Times New Roman" w:hAnsi="Times New Roman"/>
          <w:i/>
          <w:iCs/>
        </w:rPr>
        <w:t xml:space="preserve"> v The Queen</w:t>
      </w:r>
      <w:r w:rsidR="00A42219" w:rsidRPr="00C06B3A">
        <w:rPr>
          <w:rStyle w:val="FootnoteReference"/>
          <w:rFonts w:ascii="Times New Roman" w:hAnsi="Times New Roman"/>
          <w:sz w:val="24"/>
        </w:rPr>
        <w:footnoteReference w:id="103"/>
      </w:r>
      <w:r w:rsidR="00A42219" w:rsidRPr="00C06B3A">
        <w:rPr>
          <w:rFonts w:ascii="Times New Roman" w:hAnsi="Times New Roman"/>
        </w:rPr>
        <w:t>, it was said:</w:t>
      </w:r>
    </w:p>
    <w:p w14:paraId="1EE8C89C" w14:textId="77777777" w:rsidR="00C06B3A" w:rsidRDefault="00A42219" w:rsidP="00C06B3A">
      <w:pPr>
        <w:pStyle w:val="leftright"/>
        <w:spacing w:before="0" w:after="260" w:line="280" w:lineRule="exact"/>
        <w:ind w:right="0"/>
        <w:jc w:val="both"/>
        <w:rPr>
          <w:rFonts w:ascii="Times New Roman" w:hAnsi="Times New Roman"/>
        </w:rPr>
      </w:pPr>
      <w:r w:rsidRPr="00C06B3A">
        <w:rPr>
          <w:rFonts w:ascii="Times New Roman" w:hAnsi="Times New Roman"/>
        </w:rPr>
        <w:tab/>
        <w:t>"The enactment of sentences by the legislature, whether as maxima or minima, involves the resolution of broad issues of policy by the exercise of legislative power. A sentence enacted by the legislature reflects policy</w:t>
      </w:r>
      <w:r w:rsidRPr="00C06B3A">
        <w:rPr>
          <w:rFonts w:ascii="Times New Roman" w:hAnsi="Times New Roman"/>
        </w:rPr>
        <w:noBreakHyphen/>
        <w:t xml:space="preserve">driven assessments of the desirability of the ends pursued by the legislation, and of </w:t>
      </w:r>
      <w:proofErr w:type="gramStart"/>
      <w:r w:rsidRPr="00C06B3A">
        <w:rPr>
          <w:rFonts w:ascii="Times New Roman" w:hAnsi="Times New Roman"/>
        </w:rPr>
        <w:t>the means by which</w:t>
      </w:r>
      <w:proofErr w:type="gramEnd"/>
      <w:r w:rsidRPr="00C06B3A">
        <w:rPr>
          <w:rFonts w:ascii="Times New Roman" w:hAnsi="Times New Roman"/>
        </w:rPr>
        <w:t xml:space="preserve"> those ends might be achieved. It is distinctly the province of the legislature to gauge the seriousness of what is seen as an undesirable activity affecting the peace, order and good government of the Commonwealth and the soundness of a view that condign punishment is called for to suppress that activity, and to determine whether a level of punishment should be enacted as a ceiling or a floor."</w:t>
      </w:r>
    </w:p>
    <w:p w14:paraId="268B6804" w14:textId="7765FEB1"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F15389" w:rsidRPr="00C06B3A">
        <w:rPr>
          <w:rFonts w:ascii="Times New Roman" w:hAnsi="Times New Roman"/>
        </w:rPr>
        <w:t>W</w:t>
      </w:r>
      <w:r w:rsidRPr="00C06B3A">
        <w:rPr>
          <w:rFonts w:ascii="Times New Roman" w:hAnsi="Times New Roman"/>
        </w:rPr>
        <w:t xml:space="preserve">hatever may be said in the abstract of the relative seriousness of an offence designated as a "serious offence" </w:t>
      </w:r>
      <w:r w:rsidR="001210A6" w:rsidRPr="00C06B3A">
        <w:rPr>
          <w:rFonts w:ascii="Times New Roman" w:hAnsi="Times New Roman"/>
        </w:rPr>
        <w:t>for the purposes of</w:t>
      </w:r>
      <w:r w:rsidRPr="00C06B3A">
        <w:rPr>
          <w:rFonts w:ascii="Times New Roman" w:hAnsi="Times New Roman"/>
        </w:rPr>
        <w:t xml:space="preserve"> the HRSO</w:t>
      </w:r>
      <w:r w:rsidR="001210A6" w:rsidRPr="00C06B3A">
        <w:rPr>
          <w:rFonts w:ascii="Times New Roman" w:hAnsi="Times New Roman"/>
        </w:rPr>
        <w:t> </w:t>
      </w:r>
      <w:r w:rsidRPr="00C06B3A">
        <w:rPr>
          <w:rFonts w:ascii="Times New Roman" w:hAnsi="Times New Roman"/>
        </w:rPr>
        <w:t xml:space="preserve">Act, it is always for the </w:t>
      </w:r>
      <w:r w:rsidR="001210A6" w:rsidRPr="00C06B3A">
        <w:rPr>
          <w:rFonts w:ascii="Times New Roman" w:hAnsi="Times New Roman"/>
        </w:rPr>
        <w:t>C</w:t>
      </w:r>
      <w:r w:rsidRPr="00C06B3A">
        <w:rPr>
          <w:rFonts w:ascii="Times New Roman" w:hAnsi="Times New Roman"/>
        </w:rPr>
        <w:t xml:space="preserve">ourt to determine whether there is an </w:t>
      </w:r>
      <w:r w:rsidR="001210A6" w:rsidRPr="00C06B3A">
        <w:rPr>
          <w:rFonts w:ascii="Times New Roman" w:hAnsi="Times New Roman"/>
        </w:rPr>
        <w:t>"</w:t>
      </w:r>
      <w:r w:rsidRPr="00C06B3A">
        <w:rPr>
          <w:rFonts w:ascii="Times New Roman" w:hAnsi="Times New Roman"/>
        </w:rPr>
        <w:t>unacceptable risk</w:t>
      </w:r>
      <w:r w:rsidR="001210A6" w:rsidRPr="00C06B3A">
        <w:rPr>
          <w:rFonts w:ascii="Times New Roman" w:hAnsi="Times New Roman"/>
        </w:rPr>
        <w:t>"</w:t>
      </w:r>
      <w:r w:rsidRPr="00C06B3A">
        <w:rPr>
          <w:rFonts w:ascii="Times New Roman" w:hAnsi="Times New Roman"/>
        </w:rPr>
        <w:t xml:space="preserve"> that the offender will commit such an offence, having regard to the evidence as to the nature of the offending and the circumstances of the offender. Importantly, the evaluative exercise contemplated by s 7 of the HRSO</w:t>
      </w:r>
      <w:r w:rsidR="00D1188B" w:rsidRPr="00C06B3A">
        <w:rPr>
          <w:rFonts w:ascii="Times New Roman" w:hAnsi="Times New Roman"/>
        </w:rPr>
        <w:t> </w:t>
      </w:r>
      <w:r w:rsidRPr="00C06B3A">
        <w:rPr>
          <w:rFonts w:ascii="Times New Roman" w:hAnsi="Times New Roman"/>
        </w:rPr>
        <w:t xml:space="preserve">Act is not an exercise involving the notional ordering in the abstract of the relative culpability of categories of offences. Rather, s 7 contemplates a practical evaluation concerned with the circumstances of the </w:t>
      </w:r>
      <w:proofErr w:type="gramStart"/>
      <w:r w:rsidRPr="00C06B3A">
        <w:rPr>
          <w:rFonts w:ascii="Times New Roman" w:hAnsi="Times New Roman"/>
        </w:rPr>
        <w:t>particular offending</w:t>
      </w:r>
      <w:proofErr w:type="gramEnd"/>
      <w:r w:rsidRPr="00C06B3A">
        <w:rPr>
          <w:rFonts w:ascii="Times New Roman" w:hAnsi="Times New Roman"/>
        </w:rPr>
        <w:t xml:space="preserve"> and the particular offender. While the requirement of an evaluation under s 7 depends upon the offender having been convicted of a "serious offence</w:t>
      </w:r>
      <w:r w:rsidR="00D1188B" w:rsidRPr="00C06B3A">
        <w:rPr>
          <w:rFonts w:ascii="Times New Roman" w:hAnsi="Times New Roman"/>
        </w:rPr>
        <w:t>"</w:t>
      </w:r>
      <w:r w:rsidRPr="00C06B3A">
        <w:rPr>
          <w:rFonts w:ascii="Times New Roman" w:hAnsi="Times New Roman"/>
        </w:rPr>
        <w:t>, ss 7 and 48 do not envisage the possibility that a restriction order might be made to prevent the commission of a serious offence</w:t>
      </w:r>
      <w:r w:rsidR="00F93696" w:rsidRPr="00C06B3A">
        <w:rPr>
          <w:rFonts w:ascii="Times New Roman" w:hAnsi="Times New Roman"/>
        </w:rPr>
        <w:t>, whether</w:t>
      </w:r>
      <w:r w:rsidRPr="00C06B3A">
        <w:rPr>
          <w:rFonts w:ascii="Times New Roman" w:hAnsi="Times New Roman"/>
        </w:rPr>
        <w:t xml:space="preserve"> of the same kind or of another kind</w:t>
      </w:r>
      <w:r w:rsidR="00F93696" w:rsidRPr="00C06B3A">
        <w:rPr>
          <w:rFonts w:ascii="Times New Roman" w:hAnsi="Times New Roman"/>
        </w:rPr>
        <w:t>,</w:t>
      </w:r>
      <w:r w:rsidRPr="00C06B3A">
        <w:rPr>
          <w:rFonts w:ascii="Times New Roman" w:hAnsi="Times New Roman"/>
        </w:rPr>
        <w:t xml:space="preserve"> unless the risk of further offending </w:t>
      </w:r>
      <w:r w:rsidR="00DA35A9" w:rsidRPr="00C06B3A">
        <w:rPr>
          <w:rFonts w:ascii="Times New Roman" w:hAnsi="Times New Roman"/>
        </w:rPr>
        <w:t xml:space="preserve">involves </w:t>
      </w:r>
      <w:r w:rsidRPr="00C06B3A">
        <w:rPr>
          <w:rFonts w:ascii="Times New Roman" w:hAnsi="Times New Roman"/>
        </w:rPr>
        <w:t>a real threat of harm to the community</w:t>
      </w:r>
      <w:r w:rsidRPr="00C06B3A">
        <w:rPr>
          <w:rStyle w:val="FootnoteReference"/>
          <w:rFonts w:ascii="Times New Roman" w:hAnsi="Times New Roman"/>
          <w:sz w:val="24"/>
        </w:rPr>
        <w:footnoteReference w:id="104"/>
      </w:r>
      <w:r w:rsidRPr="00C06B3A">
        <w:rPr>
          <w:rFonts w:ascii="Times New Roman" w:hAnsi="Times New Roman"/>
        </w:rPr>
        <w:t xml:space="preserve">. </w:t>
      </w:r>
    </w:p>
    <w:p w14:paraId="34C263FF" w14:textId="698F2C28" w:rsidR="00A42219" w:rsidRPr="00C06B3A" w:rsidRDefault="000F4F1D"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r>
      <w:r w:rsidR="00A42219" w:rsidRPr="00C06B3A">
        <w:rPr>
          <w:rFonts w:ascii="Times New Roman" w:hAnsi="Times New Roman"/>
        </w:rPr>
        <w:t>In the case of Mr </w:t>
      </w:r>
      <w:proofErr w:type="spellStart"/>
      <w:r w:rsidR="00A42219" w:rsidRPr="00C06B3A">
        <w:rPr>
          <w:rFonts w:ascii="Times New Roman" w:hAnsi="Times New Roman"/>
        </w:rPr>
        <w:t>Garlett</w:t>
      </w:r>
      <w:proofErr w:type="spellEnd"/>
      <w:r w:rsidR="00A42219" w:rsidRPr="00C06B3A">
        <w:rPr>
          <w:rFonts w:ascii="Times New Roman" w:hAnsi="Times New Roman"/>
        </w:rPr>
        <w:t xml:space="preserve">, that </w:t>
      </w:r>
      <w:r w:rsidR="00D733EA" w:rsidRPr="00C06B3A">
        <w:rPr>
          <w:rFonts w:ascii="Times New Roman" w:hAnsi="Times New Roman"/>
        </w:rPr>
        <w:t xml:space="preserve">practical evaluation </w:t>
      </w:r>
      <w:r w:rsidR="00A42219" w:rsidRPr="00C06B3A">
        <w:rPr>
          <w:rFonts w:ascii="Times New Roman" w:hAnsi="Times New Roman"/>
        </w:rPr>
        <w:t>could be expected to involve consideration</w:t>
      </w:r>
      <w:r w:rsidR="00D733EA" w:rsidRPr="00C06B3A">
        <w:rPr>
          <w:rFonts w:ascii="Times New Roman" w:hAnsi="Times New Roman"/>
        </w:rPr>
        <w:t xml:space="preserve"> of the November</w:t>
      </w:r>
      <w:r w:rsidRPr="00C06B3A">
        <w:rPr>
          <w:rFonts w:ascii="Times New Roman" w:hAnsi="Times New Roman"/>
        </w:rPr>
        <w:t> </w:t>
      </w:r>
      <w:r w:rsidR="00D733EA" w:rsidRPr="00C06B3A">
        <w:rPr>
          <w:rFonts w:ascii="Times New Roman" w:hAnsi="Times New Roman"/>
        </w:rPr>
        <w:t xml:space="preserve">2017 offending, </w:t>
      </w:r>
      <w:r w:rsidR="00B0332B" w:rsidRPr="00C06B3A">
        <w:rPr>
          <w:rFonts w:ascii="Times New Roman" w:hAnsi="Times New Roman"/>
        </w:rPr>
        <w:t>and</w:t>
      </w:r>
      <w:r w:rsidR="00A42219" w:rsidRPr="00C06B3A">
        <w:rPr>
          <w:rFonts w:ascii="Times New Roman" w:hAnsi="Times New Roman"/>
        </w:rPr>
        <w:t xml:space="preserve"> the relationship between his history of offending</w:t>
      </w:r>
      <w:r w:rsidR="00B0332B" w:rsidRPr="00C06B3A">
        <w:rPr>
          <w:rFonts w:ascii="Times New Roman" w:hAnsi="Times New Roman"/>
        </w:rPr>
        <w:t xml:space="preserve"> and</w:t>
      </w:r>
      <w:r w:rsidR="00A42219" w:rsidRPr="00C06B3A">
        <w:rPr>
          <w:rFonts w:ascii="Times New Roman" w:hAnsi="Times New Roman"/>
        </w:rPr>
        <w:t xml:space="preserve"> his</w:t>
      </w:r>
      <w:r w:rsidR="00B0332B" w:rsidRPr="00C06B3A">
        <w:rPr>
          <w:rFonts w:ascii="Times New Roman" w:hAnsi="Times New Roman"/>
        </w:rPr>
        <w:t xml:space="preserve"> long</w:t>
      </w:r>
      <w:r w:rsidR="00B0332B" w:rsidRPr="00C06B3A">
        <w:rPr>
          <w:rFonts w:ascii="Times New Roman" w:hAnsi="Times New Roman"/>
        </w:rPr>
        <w:noBreakHyphen/>
        <w:t>term</w:t>
      </w:r>
      <w:r w:rsidR="00A42219" w:rsidRPr="00C06B3A">
        <w:rPr>
          <w:rFonts w:ascii="Times New Roman" w:hAnsi="Times New Roman"/>
        </w:rPr>
        <w:t xml:space="preserve"> abuse of methylamphetamine</w:t>
      </w:r>
      <w:r w:rsidR="007B0DA4" w:rsidRPr="00C06B3A">
        <w:rPr>
          <w:rFonts w:ascii="Times New Roman" w:hAnsi="Times New Roman"/>
        </w:rPr>
        <w:t xml:space="preserve">. The </w:t>
      </w:r>
      <w:r w:rsidRPr="00C06B3A">
        <w:rPr>
          <w:rFonts w:ascii="Times New Roman" w:hAnsi="Times New Roman"/>
        </w:rPr>
        <w:t>C</w:t>
      </w:r>
      <w:r w:rsidR="007B0DA4" w:rsidRPr="00C06B3A">
        <w:rPr>
          <w:rFonts w:ascii="Times New Roman" w:hAnsi="Times New Roman"/>
        </w:rPr>
        <w:t>ourt would be required to consider</w:t>
      </w:r>
      <w:r w:rsidR="00A42219" w:rsidRPr="00C06B3A">
        <w:rPr>
          <w:rFonts w:ascii="Times New Roman" w:hAnsi="Times New Roman"/>
        </w:rPr>
        <w:t xml:space="preserve"> the implications of these circumstances </w:t>
      </w:r>
      <w:r w:rsidR="00A824C4" w:rsidRPr="00C06B3A">
        <w:rPr>
          <w:rFonts w:ascii="Times New Roman" w:hAnsi="Times New Roman"/>
        </w:rPr>
        <w:t>in relation to the likelihood th</w:t>
      </w:r>
      <w:r w:rsidR="00003FCF" w:rsidRPr="00C06B3A">
        <w:rPr>
          <w:rFonts w:ascii="Times New Roman" w:hAnsi="Times New Roman"/>
        </w:rPr>
        <w:t>a</w:t>
      </w:r>
      <w:r w:rsidR="00A824C4" w:rsidRPr="00C06B3A">
        <w:rPr>
          <w:rFonts w:ascii="Times New Roman" w:hAnsi="Times New Roman"/>
        </w:rPr>
        <w:t>t</w:t>
      </w:r>
      <w:r w:rsidR="00003FCF" w:rsidRPr="00C06B3A">
        <w:rPr>
          <w:rFonts w:ascii="Times New Roman" w:hAnsi="Times New Roman"/>
        </w:rPr>
        <w:t xml:space="preserve"> </w:t>
      </w:r>
      <w:r w:rsidR="00A824C4" w:rsidRPr="00C06B3A">
        <w:rPr>
          <w:rFonts w:ascii="Times New Roman" w:hAnsi="Times New Roman"/>
        </w:rPr>
        <w:t xml:space="preserve">he </w:t>
      </w:r>
      <w:r w:rsidR="00DA35A9" w:rsidRPr="00C06B3A">
        <w:rPr>
          <w:rFonts w:ascii="Times New Roman" w:hAnsi="Times New Roman"/>
        </w:rPr>
        <w:t xml:space="preserve">would </w:t>
      </w:r>
      <w:r w:rsidR="00A824C4" w:rsidRPr="00C06B3A">
        <w:rPr>
          <w:rFonts w:ascii="Times New Roman" w:hAnsi="Times New Roman"/>
        </w:rPr>
        <w:t xml:space="preserve">reoffend, and the nature of that offending, if he </w:t>
      </w:r>
      <w:r w:rsidR="00DA35A9" w:rsidRPr="00C06B3A">
        <w:rPr>
          <w:rFonts w:ascii="Times New Roman" w:hAnsi="Times New Roman"/>
        </w:rPr>
        <w:t xml:space="preserve">were to be </w:t>
      </w:r>
      <w:r w:rsidR="00A824C4" w:rsidRPr="00C06B3A">
        <w:rPr>
          <w:rFonts w:ascii="Times New Roman" w:hAnsi="Times New Roman"/>
        </w:rPr>
        <w:t>released into the community with or without supervision</w:t>
      </w:r>
      <w:r w:rsidR="00A42219" w:rsidRPr="00C06B3A">
        <w:rPr>
          <w:rFonts w:ascii="Times New Roman" w:hAnsi="Times New Roman"/>
        </w:rPr>
        <w:t xml:space="preserve">. A restriction order will only be made consequent upon an assessment of all the circumstances of the </w:t>
      </w:r>
      <w:r w:rsidR="000256EA" w:rsidRPr="00C06B3A">
        <w:rPr>
          <w:rFonts w:ascii="Times New Roman" w:hAnsi="Times New Roman"/>
        </w:rPr>
        <w:t>"</w:t>
      </w:r>
      <w:r w:rsidR="00A42219" w:rsidRPr="00C06B3A">
        <w:rPr>
          <w:rFonts w:ascii="Times New Roman" w:hAnsi="Times New Roman"/>
        </w:rPr>
        <w:t>serious offence</w:t>
      </w:r>
      <w:r w:rsidR="000256EA" w:rsidRPr="00C06B3A">
        <w:rPr>
          <w:rFonts w:ascii="Times New Roman" w:hAnsi="Times New Roman"/>
        </w:rPr>
        <w:t>"</w:t>
      </w:r>
      <w:r w:rsidR="00A42219" w:rsidRPr="00C06B3A">
        <w:rPr>
          <w:rFonts w:ascii="Times New Roman" w:hAnsi="Times New Roman"/>
        </w:rPr>
        <w:t xml:space="preserve"> and the offender. </w:t>
      </w:r>
      <w:r w:rsidR="00621738" w:rsidRPr="00C06B3A">
        <w:rPr>
          <w:rFonts w:ascii="Times New Roman" w:hAnsi="Times New Roman"/>
        </w:rPr>
        <w:t xml:space="preserve">There can be no </w:t>
      </w:r>
      <w:r w:rsidR="00FB237C" w:rsidRPr="00C06B3A">
        <w:rPr>
          <w:rFonts w:ascii="Times New Roman" w:hAnsi="Times New Roman"/>
        </w:rPr>
        <w:t>doubt that a judge tasked with the determination of the State's application for a restriction order against Mr </w:t>
      </w:r>
      <w:proofErr w:type="spellStart"/>
      <w:r w:rsidR="00FB237C" w:rsidRPr="00C06B3A">
        <w:rPr>
          <w:rFonts w:ascii="Times New Roman" w:hAnsi="Times New Roman"/>
        </w:rPr>
        <w:t>Garlett</w:t>
      </w:r>
      <w:proofErr w:type="spellEnd"/>
      <w:r w:rsidR="00FB237C" w:rsidRPr="00C06B3A">
        <w:rPr>
          <w:rFonts w:ascii="Times New Roman" w:hAnsi="Times New Roman"/>
        </w:rPr>
        <w:t xml:space="preserve"> would make a restriction order of either kind </w:t>
      </w:r>
      <w:r w:rsidR="00FB48BD" w:rsidRPr="00C06B3A">
        <w:rPr>
          <w:rFonts w:ascii="Times New Roman" w:hAnsi="Times New Roman"/>
        </w:rPr>
        <w:t>only after anxious consideration of Mr </w:t>
      </w:r>
      <w:proofErr w:type="spellStart"/>
      <w:r w:rsidR="00FB48BD" w:rsidRPr="00C06B3A">
        <w:rPr>
          <w:rFonts w:ascii="Times New Roman" w:hAnsi="Times New Roman"/>
        </w:rPr>
        <w:t>Garlett's</w:t>
      </w:r>
      <w:proofErr w:type="spellEnd"/>
      <w:r w:rsidR="00FB48BD" w:rsidRPr="00C06B3A">
        <w:rPr>
          <w:rFonts w:ascii="Times New Roman" w:hAnsi="Times New Roman"/>
        </w:rPr>
        <w:t xml:space="preserve"> prospects of freeing himself from the grip of methylamphetamine</w:t>
      </w:r>
      <w:r w:rsidR="001755AE" w:rsidRPr="00C06B3A">
        <w:rPr>
          <w:rFonts w:ascii="Times New Roman" w:hAnsi="Times New Roman"/>
        </w:rPr>
        <w:t xml:space="preserve"> and the extent to which those prospects bear upon the likelihood that the community will continue to </w:t>
      </w:r>
      <w:r w:rsidR="006A6F12" w:rsidRPr="00C06B3A">
        <w:rPr>
          <w:rFonts w:ascii="Times New Roman" w:hAnsi="Times New Roman"/>
        </w:rPr>
        <w:t>be exposed to robberies and like crimes involving, for example, the horrors of home invasions</w:t>
      </w:r>
      <w:r w:rsidR="00773B6C" w:rsidRPr="00C06B3A">
        <w:rPr>
          <w:rStyle w:val="FootnoteReference"/>
          <w:rFonts w:ascii="Times New Roman" w:hAnsi="Times New Roman"/>
          <w:sz w:val="24"/>
        </w:rPr>
        <w:footnoteReference w:id="105"/>
      </w:r>
      <w:r w:rsidR="00773B6C" w:rsidRPr="00C06B3A">
        <w:rPr>
          <w:rFonts w:ascii="Times New Roman" w:hAnsi="Times New Roman"/>
        </w:rPr>
        <w:t xml:space="preserve">. </w:t>
      </w:r>
      <w:r w:rsidR="00A42219" w:rsidRPr="00C06B3A">
        <w:rPr>
          <w:rFonts w:ascii="Times New Roman" w:hAnsi="Times New Roman"/>
        </w:rPr>
        <w:t xml:space="preserve">As Derrick J said in </w:t>
      </w:r>
      <w:r w:rsidR="00A42219" w:rsidRPr="00C06B3A">
        <w:rPr>
          <w:rFonts w:ascii="Times New Roman" w:hAnsi="Times New Roman"/>
          <w:i/>
          <w:iCs/>
        </w:rPr>
        <w:t xml:space="preserve">Western Australia v Patrick </w:t>
      </w:r>
      <w:r w:rsidR="000006B7" w:rsidRPr="00C06B3A">
        <w:rPr>
          <w:rFonts w:ascii="Times New Roman" w:hAnsi="Times New Roman"/>
          <w:i/>
          <w:iCs/>
        </w:rPr>
        <w:t>[</w:t>
      </w:r>
      <w:r w:rsidR="00A42219" w:rsidRPr="00C06B3A">
        <w:rPr>
          <w:rFonts w:ascii="Times New Roman" w:hAnsi="Times New Roman"/>
          <w:i/>
          <w:iCs/>
        </w:rPr>
        <w:t>No</w:t>
      </w:r>
      <w:r w:rsidR="000256EA" w:rsidRPr="00C06B3A">
        <w:rPr>
          <w:rFonts w:ascii="Times New Roman" w:hAnsi="Times New Roman"/>
          <w:i/>
          <w:iCs/>
        </w:rPr>
        <w:t> </w:t>
      </w:r>
      <w:r w:rsidR="00A42219" w:rsidRPr="00C06B3A">
        <w:rPr>
          <w:rFonts w:ascii="Times New Roman" w:hAnsi="Times New Roman"/>
          <w:i/>
          <w:iCs/>
        </w:rPr>
        <w:t>5</w:t>
      </w:r>
      <w:r w:rsidR="000006B7" w:rsidRPr="00C06B3A">
        <w:rPr>
          <w:rFonts w:ascii="Times New Roman" w:hAnsi="Times New Roman"/>
          <w:i/>
          <w:iCs/>
        </w:rPr>
        <w:t>]</w:t>
      </w:r>
      <w:r w:rsidR="00A42219" w:rsidRPr="00C06B3A">
        <w:rPr>
          <w:rStyle w:val="FootnoteReference"/>
          <w:rFonts w:ascii="Times New Roman" w:hAnsi="Times New Roman"/>
          <w:iCs/>
          <w:sz w:val="24"/>
        </w:rPr>
        <w:footnoteReference w:id="106"/>
      </w:r>
      <w:r w:rsidR="00A42219" w:rsidRPr="00C06B3A">
        <w:rPr>
          <w:rFonts w:ascii="Times New Roman" w:hAnsi="Times New Roman"/>
        </w:rPr>
        <w:t>:</w:t>
      </w:r>
    </w:p>
    <w:p w14:paraId="29EC0BB8" w14:textId="77777777" w:rsidR="00C06B3A" w:rsidRDefault="00A42219" w:rsidP="00C06B3A">
      <w:pPr>
        <w:pStyle w:val="LRIndentafterHC"/>
        <w:spacing w:before="0" w:after="260" w:line="280" w:lineRule="exact"/>
        <w:ind w:right="0"/>
        <w:jc w:val="both"/>
        <w:rPr>
          <w:rFonts w:ascii="Times New Roman" w:hAnsi="Times New Roman"/>
        </w:rPr>
      </w:pPr>
      <w:r w:rsidRPr="00C06B3A">
        <w:rPr>
          <w:rFonts w:ascii="Times New Roman" w:hAnsi="Times New Roman"/>
        </w:rPr>
        <w:t>"The scheme of the [HRSO] Act requires that the court do no more than is necessary to achieve an adequate degree of protection to the community."</w:t>
      </w:r>
    </w:p>
    <w:p w14:paraId="3E7A5996" w14:textId="039944AB"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A similar point was made in the reasons of the </w:t>
      </w:r>
      <w:r w:rsidR="00563024" w:rsidRPr="00C06B3A">
        <w:rPr>
          <w:rFonts w:ascii="Times New Roman" w:hAnsi="Times New Roman"/>
        </w:rPr>
        <w:t xml:space="preserve">plurality </w:t>
      </w:r>
      <w:r w:rsidRPr="00C06B3A">
        <w:rPr>
          <w:rFonts w:ascii="Times New Roman" w:hAnsi="Times New Roman"/>
        </w:rPr>
        <w:t xml:space="preserve">in </w:t>
      </w:r>
      <w:proofErr w:type="spellStart"/>
      <w:r w:rsidRPr="00C06B3A">
        <w:rPr>
          <w:rFonts w:ascii="Times New Roman" w:hAnsi="Times New Roman"/>
          <w:i/>
          <w:iCs/>
        </w:rPr>
        <w:t>Benbrika</w:t>
      </w:r>
      <w:proofErr w:type="spellEnd"/>
      <w:r w:rsidRPr="00C06B3A">
        <w:rPr>
          <w:rFonts w:ascii="Times New Roman" w:hAnsi="Times New Roman"/>
        </w:rPr>
        <w:t xml:space="preserve"> in relation to the protective regime under consideration in that case</w:t>
      </w:r>
      <w:r w:rsidRPr="00C06B3A">
        <w:rPr>
          <w:rStyle w:val="FootnoteReference"/>
          <w:rFonts w:ascii="Times New Roman" w:hAnsi="Times New Roman"/>
          <w:iCs/>
          <w:sz w:val="24"/>
        </w:rPr>
        <w:footnoteReference w:id="107"/>
      </w:r>
      <w:r w:rsidRPr="00C06B3A">
        <w:rPr>
          <w:rFonts w:ascii="Times New Roman" w:hAnsi="Times New Roman"/>
        </w:rPr>
        <w:t>:</w:t>
      </w:r>
    </w:p>
    <w:p w14:paraId="59FE5EAE" w14:textId="77777777" w:rsidR="00C06B3A" w:rsidRDefault="00A42219" w:rsidP="00C06B3A">
      <w:pPr>
        <w:pStyle w:val="LeftrightafterHC"/>
        <w:spacing w:before="0" w:after="260" w:line="280" w:lineRule="exact"/>
        <w:ind w:right="0"/>
        <w:jc w:val="both"/>
        <w:rPr>
          <w:rFonts w:ascii="Times New Roman" w:hAnsi="Times New Roman"/>
        </w:rPr>
      </w:pPr>
      <w:r w:rsidRPr="00C06B3A">
        <w:rPr>
          <w:rFonts w:ascii="Times New Roman" w:hAnsi="Times New Roman"/>
        </w:rPr>
        <w:t>"It is difficult to envisage any circumstances in which a continuing detention order would be made to prevent the risk of the commission of a serious ... offence where that offence is of a kind that could not be seen to pose a real threat of harm to the community ...</w:t>
      </w:r>
      <w:r w:rsidR="00DA35A9" w:rsidRPr="00C06B3A">
        <w:rPr>
          <w:rFonts w:ascii="Times New Roman" w:hAnsi="Times New Roman"/>
        </w:rPr>
        <w:t>.</w:t>
      </w:r>
      <w:r w:rsidRPr="00C06B3A">
        <w:rPr>
          <w:rFonts w:ascii="Times New Roman" w:hAnsi="Times New Roman"/>
        </w:rPr>
        <w:t xml:space="preserve"> Correctly understood, a continuing detention order could not properly be made by a Court ... in a case where the only risk of offending identified by the authorities did not carry a threat of harm to members of the community that was sufficiently serious in the assessment of the Court as to make the risk of the commission of the offence 'unacceptable' to that Court."</w:t>
      </w:r>
    </w:p>
    <w:p w14:paraId="1EAA7053" w14:textId="1369B982"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This aspect of Mr </w:t>
      </w:r>
      <w:proofErr w:type="spellStart"/>
      <w:r w:rsidRPr="00C06B3A">
        <w:rPr>
          <w:rFonts w:ascii="Times New Roman" w:hAnsi="Times New Roman"/>
        </w:rPr>
        <w:t>Garlett's</w:t>
      </w:r>
      <w:proofErr w:type="spellEnd"/>
      <w:r w:rsidRPr="00C06B3A">
        <w:rPr>
          <w:rFonts w:ascii="Times New Roman" w:hAnsi="Times New Roman"/>
        </w:rPr>
        <w:t xml:space="preserve"> argument culminated in a plea that this Court strike down the HRSO Act lest the legislature be emboldened to designate a failure </w:t>
      </w:r>
      <w:r w:rsidRPr="00C06B3A">
        <w:rPr>
          <w:rFonts w:ascii="Times New Roman" w:hAnsi="Times New Roman"/>
        </w:rPr>
        <w:lastRenderedPageBreak/>
        <w:t xml:space="preserve">to wear a helmet while riding a </w:t>
      </w:r>
      <w:r w:rsidR="00EF6C2E" w:rsidRPr="00C06B3A">
        <w:rPr>
          <w:rFonts w:ascii="Times New Roman" w:hAnsi="Times New Roman"/>
        </w:rPr>
        <w:t>bicycle</w:t>
      </w:r>
      <w:r w:rsidRPr="00C06B3A">
        <w:rPr>
          <w:rFonts w:ascii="Times New Roman" w:hAnsi="Times New Roman"/>
        </w:rPr>
        <w:t xml:space="preserve"> as a "serious offence" for the purposes of the HRSO</w:t>
      </w:r>
      <w:r w:rsidR="00EF6C2E" w:rsidRPr="00C06B3A">
        <w:rPr>
          <w:rFonts w:ascii="Times New Roman" w:hAnsi="Times New Roman"/>
        </w:rPr>
        <w:t> </w:t>
      </w:r>
      <w:r w:rsidRPr="00C06B3A">
        <w:rPr>
          <w:rFonts w:ascii="Times New Roman" w:hAnsi="Times New Roman"/>
        </w:rPr>
        <w:t xml:space="preserve">Act. </w:t>
      </w:r>
    </w:p>
    <w:p w14:paraId="365A54BD" w14:textId="1ACAE74B" w:rsidR="00A42219" w:rsidRPr="00C06B3A" w:rsidRDefault="00A4221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In </w:t>
      </w:r>
      <w:proofErr w:type="spellStart"/>
      <w:r w:rsidRPr="00C06B3A">
        <w:rPr>
          <w:rFonts w:ascii="Times New Roman" w:hAnsi="Times New Roman"/>
          <w:i/>
          <w:iCs/>
        </w:rPr>
        <w:t>Gerner</w:t>
      </w:r>
      <w:proofErr w:type="spellEnd"/>
      <w:r w:rsidRPr="00C06B3A">
        <w:rPr>
          <w:rFonts w:ascii="Times New Roman" w:hAnsi="Times New Roman"/>
          <w:i/>
          <w:iCs/>
        </w:rPr>
        <w:t xml:space="preserve"> v Victoria</w:t>
      </w:r>
      <w:r w:rsidRPr="00C06B3A">
        <w:rPr>
          <w:rStyle w:val="FootnoteReference"/>
          <w:rFonts w:ascii="Times New Roman" w:hAnsi="Times New Roman"/>
          <w:iCs/>
          <w:sz w:val="24"/>
        </w:rPr>
        <w:footnoteReference w:id="108"/>
      </w:r>
      <w:r w:rsidRPr="00C06B3A">
        <w:rPr>
          <w:rFonts w:ascii="Times New Roman" w:hAnsi="Times New Roman"/>
        </w:rPr>
        <w:t xml:space="preserve">, this Court, following </w:t>
      </w:r>
      <w:r w:rsidR="004A79C1" w:rsidRPr="00C06B3A">
        <w:rPr>
          <w:rFonts w:ascii="Times New Roman" w:hAnsi="Times New Roman"/>
          <w:i/>
        </w:rPr>
        <w:t>Amalgamated Society of Engineers v Adelaide Steamship Co Ltd</w:t>
      </w:r>
      <w:r w:rsidR="001A0975" w:rsidRPr="00C06B3A">
        <w:rPr>
          <w:rFonts w:ascii="Times New Roman" w:hAnsi="Times New Roman"/>
        </w:rPr>
        <w:t xml:space="preserve"> ("the </w:t>
      </w:r>
      <w:r w:rsidR="001A0975" w:rsidRPr="00C06B3A">
        <w:rPr>
          <w:rFonts w:ascii="Times New Roman" w:hAnsi="Times New Roman"/>
          <w:i/>
        </w:rPr>
        <w:t>Engineers' Case</w:t>
      </w:r>
      <w:r w:rsidR="001A0975" w:rsidRPr="00C06B3A">
        <w:rPr>
          <w:rFonts w:ascii="Times New Roman" w:hAnsi="Times New Roman"/>
        </w:rPr>
        <w:t>")</w:t>
      </w:r>
      <w:r w:rsidRPr="00C06B3A">
        <w:rPr>
          <w:rStyle w:val="FootnoteReference"/>
          <w:rFonts w:ascii="Times New Roman" w:hAnsi="Times New Roman"/>
          <w:iCs/>
          <w:sz w:val="24"/>
        </w:rPr>
        <w:footnoteReference w:id="109"/>
      </w:r>
      <w:r w:rsidR="007F0C64">
        <w:rPr>
          <w:rFonts w:ascii="Times New Roman" w:hAnsi="Times New Roman"/>
        </w:rPr>
        <w:t>,</w:t>
      </w:r>
      <w:r w:rsidRPr="00C06B3A">
        <w:rPr>
          <w:rFonts w:ascii="Times New Roman" w:hAnsi="Times New Roman"/>
        </w:rPr>
        <w:t xml:space="preserve"> observed that "</w:t>
      </w:r>
      <w:r w:rsidR="00394B50" w:rsidRPr="00C06B3A">
        <w:rPr>
          <w:rFonts w:ascii="Times New Roman" w:hAnsi="Times New Roman"/>
        </w:rPr>
        <w:t>[</w:t>
      </w:r>
      <w:r w:rsidRPr="00C06B3A">
        <w:rPr>
          <w:rFonts w:ascii="Times New Roman" w:hAnsi="Times New Roman"/>
        </w:rPr>
        <w:t>t</w:t>
      </w:r>
      <w:r w:rsidR="00394B50" w:rsidRPr="00C06B3A">
        <w:rPr>
          <w:rFonts w:ascii="Times New Roman" w:hAnsi="Times New Roman"/>
        </w:rPr>
        <w:t>]</w:t>
      </w:r>
      <w:r w:rsidRPr="00C06B3A">
        <w:rPr>
          <w:rFonts w:ascii="Times New Roman" w:hAnsi="Times New Roman"/>
        </w:rPr>
        <w:t>o point to the possibility that legislative power may be misused is distinctly not to demonstrate a sufficient reason to deny its existence"</w:t>
      </w:r>
      <w:r w:rsidR="00DA35A9" w:rsidRPr="00C06B3A">
        <w:rPr>
          <w:rFonts w:ascii="Times New Roman" w:hAnsi="Times New Roman"/>
        </w:rPr>
        <w:t>.</w:t>
      </w:r>
      <w:r w:rsidRPr="00C06B3A">
        <w:rPr>
          <w:rFonts w:ascii="Times New Roman" w:hAnsi="Times New Roman"/>
        </w:rPr>
        <w:t xml:space="preserve"> The rhetorical deployment of extreme and distorting examples of the possibility of the abuse of legislative power </w:t>
      </w:r>
      <w:r w:rsidR="004D31BB" w:rsidRPr="00C06B3A">
        <w:rPr>
          <w:rFonts w:ascii="Times New Roman" w:hAnsi="Times New Roman"/>
        </w:rPr>
        <w:t>is an appeal</w:t>
      </w:r>
      <w:r w:rsidRPr="00C06B3A">
        <w:rPr>
          <w:rFonts w:ascii="Times New Roman" w:hAnsi="Times New Roman"/>
        </w:rPr>
        <w:t xml:space="preserve"> to "a jaundiced view of the integrity or wisdom or practical competence of the representatives chosen by the people"</w:t>
      </w:r>
      <w:r w:rsidR="00312DEE" w:rsidRPr="00C06B3A">
        <w:rPr>
          <w:rStyle w:val="FootnoteReference"/>
          <w:rFonts w:ascii="Times New Roman" w:hAnsi="Times New Roman"/>
          <w:sz w:val="24"/>
        </w:rPr>
        <w:footnoteReference w:id="110"/>
      </w:r>
      <w:r w:rsidRPr="00C06B3A">
        <w:rPr>
          <w:rFonts w:ascii="Times New Roman" w:hAnsi="Times New Roman"/>
        </w:rPr>
        <w:t>.</w:t>
      </w:r>
      <w:r w:rsidR="00E075B2" w:rsidRPr="00C06B3A">
        <w:rPr>
          <w:rFonts w:ascii="Times New Roman" w:hAnsi="Times New Roman"/>
        </w:rPr>
        <w:t xml:space="preserve"> This kind of rhetorical device provides no substantial basis for regarding robbery as something other than a serious offence.</w:t>
      </w:r>
    </w:p>
    <w:p w14:paraId="1010601D" w14:textId="3A5E73F4" w:rsidR="00202F35" w:rsidRPr="00C06B3A" w:rsidRDefault="00202F35" w:rsidP="00C06B3A">
      <w:pPr>
        <w:pStyle w:val="HeadingL1"/>
        <w:spacing w:after="260" w:line="280" w:lineRule="exact"/>
        <w:ind w:right="0"/>
        <w:jc w:val="both"/>
        <w:rPr>
          <w:rFonts w:ascii="Times New Roman" w:hAnsi="Times New Roman"/>
        </w:rPr>
      </w:pPr>
      <w:r w:rsidRPr="00C06B3A">
        <w:rPr>
          <w:rFonts w:ascii="Times New Roman" w:hAnsi="Times New Roman"/>
        </w:rPr>
        <w:t xml:space="preserve">Other </w:t>
      </w:r>
      <w:r w:rsidR="009153FC" w:rsidRPr="00C06B3A">
        <w:rPr>
          <w:rFonts w:ascii="Times New Roman" w:hAnsi="Times New Roman"/>
        </w:rPr>
        <w:t>considerations relating to</w:t>
      </w:r>
      <w:r w:rsidRPr="00C06B3A">
        <w:rPr>
          <w:rFonts w:ascii="Times New Roman" w:hAnsi="Times New Roman"/>
        </w:rPr>
        <w:t xml:space="preserve"> the institutional integrity of the Supreme Court</w:t>
      </w:r>
    </w:p>
    <w:p w14:paraId="6355CB55" w14:textId="2B58255F" w:rsidR="001D1A57" w:rsidRPr="00C06B3A" w:rsidRDefault="001D1A57" w:rsidP="00C06B3A">
      <w:pPr>
        <w:pStyle w:val="HeadingL2"/>
        <w:spacing w:after="260" w:line="280" w:lineRule="exact"/>
        <w:ind w:right="0"/>
        <w:jc w:val="both"/>
        <w:rPr>
          <w:rFonts w:ascii="Times New Roman" w:hAnsi="Times New Roman"/>
        </w:rPr>
      </w:pPr>
      <w:r w:rsidRPr="00C06B3A">
        <w:rPr>
          <w:rFonts w:ascii="Times New Roman" w:hAnsi="Times New Roman"/>
        </w:rPr>
        <w:t>Public confidence</w:t>
      </w:r>
    </w:p>
    <w:p w14:paraId="268E5C84" w14:textId="5478D991" w:rsidR="008A1BF5" w:rsidRPr="00C06B3A" w:rsidRDefault="001D1A5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DA35A9" w:rsidRPr="00C06B3A">
        <w:rPr>
          <w:rFonts w:ascii="Times New Roman" w:hAnsi="Times New Roman"/>
        </w:rPr>
        <w:t xml:space="preserve">It was submitted on behalf of </w:t>
      </w:r>
      <w:r w:rsidR="00431FC1" w:rsidRPr="00C06B3A">
        <w:rPr>
          <w:rFonts w:ascii="Times New Roman" w:hAnsi="Times New Roman"/>
        </w:rPr>
        <w:t>Mr </w:t>
      </w:r>
      <w:proofErr w:type="spellStart"/>
      <w:r w:rsidR="00431FC1" w:rsidRPr="00C06B3A">
        <w:rPr>
          <w:rFonts w:ascii="Times New Roman" w:hAnsi="Times New Roman"/>
        </w:rPr>
        <w:t>Garlett</w:t>
      </w:r>
      <w:proofErr w:type="spellEnd"/>
      <w:r w:rsidR="00431FC1" w:rsidRPr="00C06B3A">
        <w:rPr>
          <w:rFonts w:ascii="Times New Roman" w:hAnsi="Times New Roman"/>
        </w:rPr>
        <w:t xml:space="preserve"> that preventive detention under the HRSO Act required to be enforced by the Court would adversely affect public confidence in the </w:t>
      </w:r>
      <w:r w:rsidR="00DA35A9" w:rsidRPr="00C06B3A">
        <w:rPr>
          <w:rFonts w:ascii="Times New Roman" w:hAnsi="Times New Roman"/>
        </w:rPr>
        <w:t>C</w:t>
      </w:r>
      <w:r w:rsidR="00431FC1" w:rsidRPr="00C06B3A">
        <w:rPr>
          <w:rFonts w:ascii="Times New Roman" w:hAnsi="Times New Roman"/>
        </w:rPr>
        <w:t xml:space="preserve">ourt. </w:t>
      </w:r>
    </w:p>
    <w:p w14:paraId="35916763" w14:textId="2A1D7F50" w:rsidR="00954F9A" w:rsidRPr="00C06B3A" w:rsidRDefault="008A1BF5"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7C5675" w:rsidRPr="00C06B3A">
        <w:rPr>
          <w:rFonts w:ascii="Times New Roman" w:hAnsi="Times New Roman"/>
        </w:rPr>
        <w:t xml:space="preserve">In </w:t>
      </w:r>
      <w:proofErr w:type="spellStart"/>
      <w:r w:rsidR="007C5675" w:rsidRPr="00C06B3A">
        <w:rPr>
          <w:rFonts w:ascii="Times New Roman" w:hAnsi="Times New Roman"/>
          <w:i/>
          <w:iCs/>
        </w:rPr>
        <w:t>Fardon</w:t>
      </w:r>
      <w:proofErr w:type="spellEnd"/>
      <w:r w:rsidR="007C5675" w:rsidRPr="00C06B3A">
        <w:rPr>
          <w:rFonts w:ascii="Times New Roman" w:hAnsi="Times New Roman"/>
        </w:rPr>
        <w:t xml:space="preserve">, </w:t>
      </w:r>
      <w:r w:rsidR="00954F9A" w:rsidRPr="00C06B3A">
        <w:rPr>
          <w:rFonts w:ascii="Times New Roman" w:hAnsi="Times New Roman"/>
        </w:rPr>
        <w:t xml:space="preserve">Gleeson CJ, noting that an aspect of the reasoning in </w:t>
      </w:r>
      <w:r w:rsidR="00954F9A" w:rsidRPr="00C06B3A">
        <w:rPr>
          <w:rFonts w:ascii="Times New Roman" w:hAnsi="Times New Roman"/>
          <w:i/>
        </w:rPr>
        <w:t>Kable</w:t>
      </w:r>
      <w:r w:rsidR="00954F9A" w:rsidRPr="00C06B3A">
        <w:rPr>
          <w:rFonts w:ascii="Times New Roman" w:hAnsi="Times New Roman"/>
        </w:rPr>
        <w:t xml:space="preserve"> was concerned with the maintenance of public confidence in the judicial process, clarified that those observations were made in the context of a statute that involved the </w:t>
      </w:r>
      <w:r w:rsidR="00DA35A9" w:rsidRPr="00C06B3A">
        <w:rPr>
          <w:rFonts w:ascii="Times New Roman" w:hAnsi="Times New Roman"/>
        </w:rPr>
        <w:t>C</w:t>
      </w:r>
      <w:r w:rsidR="00954F9A" w:rsidRPr="00C06B3A">
        <w:rPr>
          <w:rFonts w:ascii="Times New Roman" w:hAnsi="Times New Roman"/>
        </w:rPr>
        <w:t>ourt in an ad hominem</w:t>
      </w:r>
      <w:r w:rsidR="00954F9A" w:rsidRPr="00C06B3A">
        <w:rPr>
          <w:rFonts w:ascii="Times New Roman" w:hAnsi="Times New Roman"/>
          <w:i/>
        </w:rPr>
        <w:t xml:space="preserve"> </w:t>
      </w:r>
      <w:r w:rsidR="00954F9A" w:rsidRPr="00C06B3A">
        <w:rPr>
          <w:rFonts w:ascii="Times New Roman" w:hAnsi="Times New Roman"/>
        </w:rPr>
        <w:t>exercise: "[n]</w:t>
      </w:r>
      <w:proofErr w:type="spellStart"/>
      <w:r w:rsidR="00954F9A" w:rsidRPr="00C06B3A">
        <w:rPr>
          <w:rFonts w:ascii="Times New Roman" w:hAnsi="Times New Roman"/>
        </w:rPr>
        <w:t>othing</w:t>
      </w:r>
      <w:proofErr w:type="spellEnd"/>
      <w:r w:rsidR="00954F9A" w:rsidRPr="00C06B3A">
        <w:rPr>
          <w:rFonts w:ascii="Times New Roman" w:hAnsi="Times New Roman"/>
        </w:rPr>
        <w:t xml:space="preserve"> that was said in </w:t>
      </w:r>
      <w:r w:rsidR="00954F9A" w:rsidRPr="00C06B3A">
        <w:rPr>
          <w:rFonts w:ascii="Times New Roman" w:hAnsi="Times New Roman"/>
          <w:i/>
        </w:rPr>
        <w:t xml:space="preserve">Kable </w:t>
      </w:r>
      <w:r w:rsidR="00954F9A" w:rsidRPr="00C06B3A">
        <w:rPr>
          <w:rFonts w:ascii="Times New Roman" w:hAnsi="Times New Roman"/>
        </w:rPr>
        <w:t>meant that a court's opinion of its own standing is a criterion of validity of law"</w:t>
      </w:r>
      <w:r w:rsidR="00954F9A" w:rsidRPr="00C06B3A">
        <w:rPr>
          <w:rStyle w:val="FootnoteReference"/>
          <w:rFonts w:ascii="Times New Roman" w:hAnsi="Times New Roman"/>
          <w:sz w:val="24"/>
        </w:rPr>
        <w:footnoteReference w:id="111"/>
      </w:r>
      <w:r w:rsidR="00954F9A" w:rsidRPr="00C06B3A">
        <w:rPr>
          <w:rFonts w:ascii="Times New Roman" w:hAnsi="Times New Roman"/>
        </w:rPr>
        <w:t xml:space="preserve">. Gleeson CJ </w:t>
      </w:r>
      <w:r w:rsidR="007C5675" w:rsidRPr="00C06B3A">
        <w:rPr>
          <w:rFonts w:ascii="Times New Roman" w:hAnsi="Times New Roman"/>
        </w:rPr>
        <w:t>said</w:t>
      </w:r>
      <w:r w:rsidR="00954F9A" w:rsidRPr="00C06B3A">
        <w:rPr>
          <w:rFonts w:ascii="Times New Roman" w:hAnsi="Times New Roman"/>
        </w:rPr>
        <w:t xml:space="preserve"> that</w:t>
      </w:r>
      <w:r w:rsidR="006C22C8" w:rsidRPr="00C06B3A">
        <w:rPr>
          <w:rStyle w:val="FootnoteReference"/>
          <w:rFonts w:ascii="Times New Roman" w:hAnsi="Times New Roman"/>
          <w:sz w:val="24"/>
        </w:rPr>
        <w:footnoteReference w:id="112"/>
      </w:r>
      <w:r w:rsidR="00954F9A" w:rsidRPr="00C06B3A">
        <w:rPr>
          <w:rFonts w:ascii="Times New Roman" w:hAnsi="Times New Roman"/>
        </w:rPr>
        <w:t>:</w:t>
      </w:r>
    </w:p>
    <w:p w14:paraId="2CC2BA7A" w14:textId="77777777" w:rsidR="00C06B3A" w:rsidRDefault="00954F9A" w:rsidP="00C06B3A">
      <w:pPr>
        <w:pStyle w:val="LeftrightafterHC"/>
        <w:spacing w:before="0" w:after="260" w:line="280" w:lineRule="exact"/>
        <w:ind w:right="0"/>
        <w:jc w:val="both"/>
        <w:rPr>
          <w:rFonts w:ascii="Times New Roman" w:hAnsi="Times New Roman"/>
        </w:rPr>
      </w:pPr>
      <w:r w:rsidRPr="00C06B3A">
        <w:rPr>
          <w:rFonts w:ascii="Times New Roman" w:hAnsi="Times New Roman"/>
        </w:rPr>
        <w:t>"</w:t>
      </w:r>
      <w:proofErr w:type="gramStart"/>
      <w:r w:rsidRPr="00C06B3A">
        <w:rPr>
          <w:rFonts w:ascii="Times New Roman" w:hAnsi="Times New Roman"/>
        </w:rPr>
        <w:t>nothing</w:t>
      </w:r>
      <w:proofErr w:type="gramEnd"/>
      <w:r w:rsidRPr="00C06B3A">
        <w:rPr>
          <w:rFonts w:ascii="Times New Roman" w:hAnsi="Times New Roman"/>
        </w:rPr>
        <w:t xml:space="preserve"> would be more likely to damage public confidence in the integrity and impartiality of courts than judicial refusal to implement the provisions of a statute upon the ground of an objection to legislative policy"</w:t>
      </w:r>
      <w:r w:rsidR="008B27A4" w:rsidRPr="00C06B3A">
        <w:rPr>
          <w:rFonts w:ascii="Times New Roman" w:hAnsi="Times New Roman"/>
        </w:rPr>
        <w:t>.</w:t>
      </w:r>
    </w:p>
    <w:p w14:paraId="0E6DA54B" w14:textId="04AAEFEB" w:rsidR="00873997" w:rsidRPr="00C06B3A" w:rsidRDefault="00954F9A"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r>
      <w:r w:rsidR="007C5675" w:rsidRPr="00C06B3A">
        <w:rPr>
          <w:rFonts w:ascii="Times New Roman" w:hAnsi="Times New Roman"/>
        </w:rPr>
        <w:t>A</w:t>
      </w:r>
      <w:r w:rsidR="00873997" w:rsidRPr="00C06B3A">
        <w:rPr>
          <w:rFonts w:ascii="Times New Roman" w:hAnsi="Times New Roman"/>
        </w:rPr>
        <w:t xml:space="preserve">s Edelman J </w:t>
      </w:r>
      <w:r w:rsidR="00211986" w:rsidRPr="00C06B3A">
        <w:rPr>
          <w:rFonts w:ascii="Times New Roman" w:hAnsi="Times New Roman"/>
        </w:rPr>
        <w:t xml:space="preserve">said </w:t>
      </w:r>
      <w:r w:rsidR="007C5675" w:rsidRPr="00C06B3A">
        <w:rPr>
          <w:rFonts w:ascii="Times New Roman" w:hAnsi="Times New Roman"/>
        </w:rPr>
        <w:t xml:space="preserve">recently </w:t>
      </w:r>
      <w:r w:rsidR="00873997" w:rsidRPr="00C06B3A">
        <w:rPr>
          <w:rFonts w:ascii="Times New Roman" w:hAnsi="Times New Roman"/>
        </w:rPr>
        <w:t xml:space="preserve">in </w:t>
      </w:r>
      <w:proofErr w:type="spellStart"/>
      <w:r w:rsidR="00873997" w:rsidRPr="00C06B3A">
        <w:rPr>
          <w:rFonts w:ascii="Times New Roman" w:hAnsi="Times New Roman"/>
          <w:i/>
          <w:iCs/>
        </w:rPr>
        <w:t>Benbrika</w:t>
      </w:r>
      <w:proofErr w:type="spellEnd"/>
      <w:r w:rsidR="00873997" w:rsidRPr="00C06B3A">
        <w:rPr>
          <w:rStyle w:val="FootnoteReference"/>
          <w:rFonts w:ascii="Times New Roman" w:hAnsi="Times New Roman"/>
          <w:iCs/>
          <w:sz w:val="24"/>
        </w:rPr>
        <w:footnoteReference w:id="113"/>
      </w:r>
      <w:r w:rsidR="00873997" w:rsidRPr="00C06B3A">
        <w:rPr>
          <w:rFonts w:ascii="Times New Roman" w:hAnsi="Times New Roman"/>
        </w:rPr>
        <w:t>:</w:t>
      </w:r>
    </w:p>
    <w:p w14:paraId="3034DB3B" w14:textId="77777777" w:rsidR="00C06B3A" w:rsidRDefault="00873997" w:rsidP="00C06B3A">
      <w:pPr>
        <w:pStyle w:val="LeftrightafterHC"/>
        <w:spacing w:before="0" w:after="260" w:line="280" w:lineRule="exact"/>
        <w:ind w:right="0"/>
        <w:jc w:val="both"/>
        <w:rPr>
          <w:rFonts w:ascii="Times New Roman" w:hAnsi="Times New Roman"/>
        </w:rPr>
      </w:pPr>
      <w:r w:rsidRPr="00C06B3A">
        <w:rPr>
          <w:rFonts w:ascii="Times New Roman" w:hAnsi="Times New Roman"/>
        </w:rPr>
        <w:t xml:space="preserve">"[T]he very integrity and impartiality of the courts which </w:t>
      </w:r>
      <w:r w:rsidR="00C36DC8" w:rsidRPr="00C06B3A">
        <w:rPr>
          <w:rFonts w:ascii="Times New Roman" w:hAnsi="Times New Roman"/>
        </w:rPr>
        <w:t xml:space="preserve">the </w:t>
      </w:r>
      <w:r w:rsidRPr="00C06B3A">
        <w:rPr>
          <w:rFonts w:ascii="Times New Roman" w:hAnsi="Times New Roman"/>
        </w:rPr>
        <w:t>[</w:t>
      </w:r>
      <w:r w:rsidRPr="00C06B3A">
        <w:rPr>
          <w:rFonts w:ascii="Times New Roman" w:hAnsi="Times New Roman"/>
          <w:i/>
          <w:iCs/>
        </w:rPr>
        <w:t>Kable</w:t>
      </w:r>
      <w:r w:rsidRPr="00C06B3A">
        <w:rPr>
          <w:rFonts w:ascii="Times New Roman" w:hAnsi="Times New Roman"/>
        </w:rPr>
        <w:t>] principle protects would be seriously impaired if the judiciary could generally refuse to implement statutory provisions on the grounds of an objection to legislative policy</w:t>
      </w:r>
      <w:r w:rsidRPr="00C06B3A">
        <w:rPr>
          <w:rStyle w:val="FootnoteReference"/>
          <w:rFonts w:ascii="Times New Roman" w:hAnsi="Times New Roman"/>
          <w:sz w:val="24"/>
        </w:rPr>
        <w:footnoteReference w:id="114"/>
      </w:r>
      <w:r w:rsidRPr="00C06B3A">
        <w:rPr>
          <w:rFonts w:ascii="Times New Roman" w:hAnsi="Times New Roman"/>
        </w:rPr>
        <w:t>.</w:t>
      </w:r>
      <w:r w:rsidR="00C36DC8" w:rsidRPr="00C06B3A">
        <w:rPr>
          <w:rFonts w:ascii="Times New Roman" w:hAnsi="Times New Roman"/>
        </w:rPr>
        <w:t>"</w:t>
      </w:r>
    </w:p>
    <w:p w14:paraId="45A3A310" w14:textId="39955043" w:rsidR="00954F9A" w:rsidRPr="00C06B3A" w:rsidRDefault="00873997"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62B4C" w:rsidRPr="00C06B3A">
        <w:rPr>
          <w:rFonts w:ascii="Times New Roman" w:hAnsi="Times New Roman"/>
        </w:rPr>
        <w:t>It may be noted here that</w:t>
      </w:r>
      <w:r w:rsidR="00530157" w:rsidRPr="00C06B3A">
        <w:rPr>
          <w:rFonts w:ascii="Times New Roman" w:hAnsi="Times New Roman"/>
        </w:rPr>
        <w:t xml:space="preserve"> the </w:t>
      </w:r>
      <w:r w:rsidR="008A1BF5" w:rsidRPr="00C06B3A">
        <w:rPr>
          <w:rFonts w:ascii="Times New Roman" w:hAnsi="Times New Roman"/>
        </w:rPr>
        <w:t>legislative removal</w:t>
      </w:r>
      <w:r w:rsidR="005A7344" w:rsidRPr="00C06B3A">
        <w:rPr>
          <w:rFonts w:ascii="Times New Roman" w:hAnsi="Times New Roman"/>
        </w:rPr>
        <w:t xml:space="preserve"> of</w:t>
      </w:r>
      <w:r w:rsidR="00262B4C" w:rsidRPr="00C06B3A">
        <w:rPr>
          <w:rFonts w:ascii="Times New Roman" w:hAnsi="Times New Roman"/>
        </w:rPr>
        <w:t xml:space="preserve"> p</w:t>
      </w:r>
      <w:r w:rsidR="00954F9A" w:rsidRPr="00C06B3A">
        <w:rPr>
          <w:rFonts w:ascii="Times New Roman" w:hAnsi="Times New Roman"/>
        </w:rPr>
        <w:t>rocedural safeguards</w:t>
      </w:r>
      <w:r w:rsidR="00AA1F3E" w:rsidRPr="00C06B3A">
        <w:rPr>
          <w:rFonts w:ascii="Times New Roman" w:hAnsi="Times New Roman"/>
        </w:rPr>
        <w:t xml:space="preserve"> of fairness,</w:t>
      </w:r>
      <w:r w:rsidR="00954F9A" w:rsidRPr="00C06B3A">
        <w:rPr>
          <w:rFonts w:ascii="Times New Roman" w:hAnsi="Times New Roman"/>
        </w:rPr>
        <w:t xml:space="preserve"> </w:t>
      </w:r>
      <w:r w:rsidR="008A1BF5" w:rsidRPr="00C06B3A">
        <w:rPr>
          <w:rFonts w:ascii="Times New Roman" w:hAnsi="Times New Roman"/>
        </w:rPr>
        <w:t>characteristic of</w:t>
      </w:r>
      <w:r w:rsidR="00954F9A" w:rsidRPr="00C06B3A">
        <w:rPr>
          <w:rFonts w:ascii="Times New Roman" w:hAnsi="Times New Roman"/>
        </w:rPr>
        <w:t xml:space="preserve"> the exercise of judicial </w:t>
      </w:r>
      <w:r w:rsidR="005A7344" w:rsidRPr="00C06B3A">
        <w:rPr>
          <w:rFonts w:ascii="Times New Roman" w:hAnsi="Times New Roman"/>
        </w:rPr>
        <w:t>power</w:t>
      </w:r>
      <w:r w:rsidR="00AA1F3E" w:rsidRPr="00C06B3A">
        <w:rPr>
          <w:rFonts w:ascii="Times New Roman" w:hAnsi="Times New Roman"/>
        </w:rPr>
        <w:t>,</w:t>
      </w:r>
      <w:r w:rsidR="00954F9A" w:rsidRPr="00C06B3A">
        <w:rPr>
          <w:rFonts w:ascii="Times New Roman" w:hAnsi="Times New Roman"/>
        </w:rPr>
        <w:t xml:space="preserve"> </w:t>
      </w:r>
      <w:r w:rsidR="004D43F0" w:rsidRPr="00C06B3A">
        <w:rPr>
          <w:rFonts w:ascii="Times New Roman" w:hAnsi="Times New Roman"/>
        </w:rPr>
        <w:t xml:space="preserve">has </w:t>
      </w:r>
      <w:r w:rsidR="00954F9A" w:rsidRPr="00C06B3A">
        <w:rPr>
          <w:rFonts w:ascii="Times New Roman" w:hAnsi="Times New Roman"/>
        </w:rPr>
        <w:t xml:space="preserve">been significant in subsequent decisions where legislation has been </w:t>
      </w:r>
      <w:r w:rsidR="00E70C37" w:rsidRPr="00C06B3A">
        <w:rPr>
          <w:rFonts w:ascii="Times New Roman" w:hAnsi="Times New Roman"/>
        </w:rPr>
        <w:t xml:space="preserve">successfully </w:t>
      </w:r>
      <w:r w:rsidR="00954F9A" w:rsidRPr="00C06B3A">
        <w:rPr>
          <w:rFonts w:ascii="Times New Roman" w:hAnsi="Times New Roman"/>
        </w:rPr>
        <w:t xml:space="preserve">challenged </w:t>
      </w:r>
      <w:r w:rsidR="00AA1F3E" w:rsidRPr="00C06B3A">
        <w:rPr>
          <w:rFonts w:ascii="Times New Roman" w:hAnsi="Times New Roman"/>
        </w:rPr>
        <w:t>as</w:t>
      </w:r>
      <w:r w:rsidR="00954F9A" w:rsidRPr="00C06B3A">
        <w:rPr>
          <w:rFonts w:ascii="Times New Roman" w:hAnsi="Times New Roman"/>
        </w:rPr>
        <w:t xml:space="preserve"> infringing the </w:t>
      </w:r>
      <w:r w:rsidR="00954F9A" w:rsidRPr="00C06B3A">
        <w:rPr>
          <w:rFonts w:ascii="Times New Roman" w:hAnsi="Times New Roman"/>
          <w:i/>
        </w:rPr>
        <w:t xml:space="preserve">Kable </w:t>
      </w:r>
      <w:r w:rsidR="00954F9A" w:rsidRPr="00C06B3A">
        <w:rPr>
          <w:rFonts w:ascii="Times New Roman" w:hAnsi="Times New Roman"/>
        </w:rPr>
        <w:t>principle.</w:t>
      </w:r>
      <w:r w:rsidR="00262B4C" w:rsidRPr="00C06B3A">
        <w:rPr>
          <w:rFonts w:ascii="Times New Roman" w:hAnsi="Times New Roman"/>
        </w:rPr>
        <w:t xml:space="preserve"> Th</w:t>
      </w:r>
      <w:r w:rsidR="00CB4EC6" w:rsidRPr="00C06B3A">
        <w:rPr>
          <w:rFonts w:ascii="Times New Roman" w:hAnsi="Times New Roman"/>
        </w:rPr>
        <w:t>ese cases</w:t>
      </w:r>
      <w:r w:rsidR="00262B4C" w:rsidRPr="00C06B3A">
        <w:rPr>
          <w:rFonts w:ascii="Times New Roman" w:hAnsi="Times New Roman"/>
        </w:rPr>
        <w:t xml:space="preserve"> may conveniently be discussed by reference to the submissions made by Mr Ryan.</w:t>
      </w:r>
    </w:p>
    <w:p w14:paraId="253E9EED" w14:textId="7965BB6A" w:rsidR="00233ADF" w:rsidRPr="00C06B3A" w:rsidRDefault="00202F35" w:rsidP="00C06B3A">
      <w:pPr>
        <w:pStyle w:val="HeadingL2"/>
        <w:spacing w:after="260" w:line="280" w:lineRule="exact"/>
        <w:ind w:right="0"/>
        <w:jc w:val="both"/>
        <w:rPr>
          <w:rFonts w:ascii="Times New Roman" w:hAnsi="Times New Roman"/>
        </w:rPr>
      </w:pPr>
      <w:r w:rsidRPr="00C06B3A">
        <w:rPr>
          <w:rFonts w:ascii="Times New Roman" w:hAnsi="Times New Roman"/>
        </w:rPr>
        <w:t>Procedural safeguards</w:t>
      </w:r>
    </w:p>
    <w:p w14:paraId="18BFFE09" w14:textId="150DC073" w:rsidR="000D50F1" w:rsidRPr="00C06B3A" w:rsidRDefault="00233ADF" w:rsidP="00C06B3A">
      <w:pPr>
        <w:pStyle w:val="FixListStyle"/>
        <w:spacing w:after="260" w:line="280" w:lineRule="exact"/>
        <w:ind w:right="0"/>
        <w:jc w:val="both"/>
        <w:rPr>
          <w:rFonts w:ascii="Times New Roman" w:hAnsi="Times New Roman"/>
        </w:rPr>
      </w:pPr>
      <w:r w:rsidRPr="00C06B3A">
        <w:rPr>
          <w:rFonts w:ascii="Times New Roman" w:hAnsi="Times New Roman"/>
        </w:rPr>
        <w:tab/>
        <w:t>Mr </w:t>
      </w:r>
      <w:r w:rsidR="00BD6520" w:rsidRPr="00C06B3A">
        <w:rPr>
          <w:rFonts w:ascii="Times New Roman" w:hAnsi="Times New Roman"/>
        </w:rPr>
        <w:t xml:space="preserve">Derek </w:t>
      </w:r>
      <w:r w:rsidRPr="00C06B3A">
        <w:rPr>
          <w:rFonts w:ascii="Times New Roman" w:hAnsi="Times New Roman"/>
        </w:rPr>
        <w:t>Ryan is currently subject to a supervision order under the HRSO Act</w:t>
      </w:r>
      <w:r w:rsidR="00A2015A" w:rsidRPr="00C06B3A">
        <w:rPr>
          <w:rFonts w:ascii="Times New Roman" w:hAnsi="Times New Roman"/>
        </w:rPr>
        <w:t>. L</w:t>
      </w:r>
      <w:r w:rsidRPr="00C06B3A">
        <w:rPr>
          <w:rFonts w:ascii="Times New Roman" w:hAnsi="Times New Roman"/>
        </w:rPr>
        <w:t>ike Mr </w:t>
      </w:r>
      <w:proofErr w:type="spellStart"/>
      <w:r w:rsidRPr="00C06B3A">
        <w:rPr>
          <w:rFonts w:ascii="Times New Roman" w:hAnsi="Times New Roman"/>
        </w:rPr>
        <w:t>Garlett</w:t>
      </w:r>
      <w:proofErr w:type="spellEnd"/>
      <w:r w:rsidR="00EC4848" w:rsidRPr="00C06B3A">
        <w:rPr>
          <w:rFonts w:ascii="Times New Roman" w:hAnsi="Times New Roman"/>
        </w:rPr>
        <w:t xml:space="preserve">, he was convicted of the </w:t>
      </w:r>
      <w:r w:rsidR="00974BD5" w:rsidRPr="00C06B3A">
        <w:rPr>
          <w:rFonts w:ascii="Times New Roman" w:hAnsi="Times New Roman"/>
        </w:rPr>
        <w:t>"</w:t>
      </w:r>
      <w:r w:rsidR="00EC4848" w:rsidRPr="00C06B3A">
        <w:rPr>
          <w:rFonts w:ascii="Times New Roman" w:hAnsi="Times New Roman"/>
        </w:rPr>
        <w:t>serious offence</w:t>
      </w:r>
      <w:r w:rsidR="00974BD5" w:rsidRPr="00C06B3A">
        <w:rPr>
          <w:rFonts w:ascii="Times New Roman" w:hAnsi="Times New Roman"/>
        </w:rPr>
        <w:t>"</w:t>
      </w:r>
      <w:r w:rsidR="00EC4848" w:rsidRPr="00C06B3A">
        <w:rPr>
          <w:rFonts w:ascii="Times New Roman" w:hAnsi="Times New Roman"/>
        </w:rPr>
        <w:t xml:space="preserve"> of robbery</w:t>
      </w:r>
      <w:r w:rsidRPr="00C06B3A">
        <w:rPr>
          <w:rFonts w:ascii="Times New Roman" w:hAnsi="Times New Roman"/>
        </w:rPr>
        <w:t>. Mr Ryan was granted leave to provide written submissions on the basis that he sought to make submissions "which the Court should have to assist it to reach a correct determination"</w:t>
      </w:r>
      <w:r w:rsidR="007040EA" w:rsidRPr="00C06B3A">
        <w:rPr>
          <w:rStyle w:val="FootnoteReference"/>
          <w:rFonts w:ascii="Times New Roman" w:hAnsi="Times New Roman"/>
          <w:sz w:val="24"/>
        </w:rPr>
        <w:footnoteReference w:id="115"/>
      </w:r>
      <w:r w:rsidRPr="00C06B3A">
        <w:rPr>
          <w:rFonts w:ascii="Times New Roman" w:hAnsi="Times New Roman"/>
        </w:rPr>
        <w:t xml:space="preserve">, and which had not then been presented. </w:t>
      </w:r>
    </w:p>
    <w:p w14:paraId="576C3934" w14:textId="42C749F3" w:rsidR="000B15D8" w:rsidRPr="00C06B3A" w:rsidRDefault="00233ADF"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912F99" w:rsidRPr="00C06B3A">
        <w:rPr>
          <w:rFonts w:ascii="Times New Roman" w:hAnsi="Times New Roman"/>
        </w:rPr>
        <w:t>The</w:t>
      </w:r>
      <w:r w:rsidRPr="00C06B3A">
        <w:rPr>
          <w:rFonts w:ascii="Times New Roman" w:hAnsi="Times New Roman"/>
        </w:rPr>
        <w:t xml:space="preserve"> thrust of Mr Ryan's</w:t>
      </w:r>
      <w:r w:rsidR="000D50F1" w:rsidRPr="00C06B3A">
        <w:rPr>
          <w:rFonts w:ascii="Times New Roman" w:hAnsi="Times New Roman"/>
        </w:rPr>
        <w:t xml:space="preserve"> </w:t>
      </w:r>
      <w:r w:rsidR="00912F99" w:rsidRPr="00C06B3A">
        <w:rPr>
          <w:rFonts w:ascii="Times New Roman" w:hAnsi="Times New Roman"/>
        </w:rPr>
        <w:t xml:space="preserve">submissions in this regard </w:t>
      </w:r>
      <w:r w:rsidRPr="00C06B3A">
        <w:rPr>
          <w:rFonts w:ascii="Times New Roman" w:hAnsi="Times New Roman"/>
        </w:rPr>
        <w:t>was that the HRSO</w:t>
      </w:r>
      <w:r w:rsidR="00D06CBB" w:rsidRPr="00C06B3A">
        <w:rPr>
          <w:rFonts w:ascii="Times New Roman" w:hAnsi="Times New Roman"/>
        </w:rPr>
        <w:t> </w:t>
      </w:r>
      <w:r w:rsidRPr="00C06B3A">
        <w:rPr>
          <w:rFonts w:ascii="Times New Roman" w:hAnsi="Times New Roman"/>
        </w:rPr>
        <w:t>Act enlists the Court to give effect to legislative policy</w:t>
      </w:r>
      <w:r w:rsidR="00D06CBB" w:rsidRPr="00C06B3A">
        <w:rPr>
          <w:rStyle w:val="FootnoteReference"/>
          <w:rFonts w:ascii="Times New Roman" w:hAnsi="Times New Roman"/>
          <w:sz w:val="24"/>
        </w:rPr>
        <w:footnoteReference w:id="116"/>
      </w:r>
      <w:r w:rsidRPr="00C06B3A">
        <w:rPr>
          <w:rFonts w:ascii="Times New Roman" w:hAnsi="Times New Roman"/>
        </w:rPr>
        <w:t>.</w:t>
      </w:r>
      <w:r w:rsidR="00E70642" w:rsidRPr="00C06B3A">
        <w:rPr>
          <w:rFonts w:ascii="Times New Roman" w:hAnsi="Times New Roman"/>
        </w:rPr>
        <w:t xml:space="preserve"> </w:t>
      </w:r>
    </w:p>
    <w:p w14:paraId="6217299D" w14:textId="235201C0" w:rsidR="003B5FF4" w:rsidRPr="00C06B3A" w:rsidRDefault="000B15D8"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E70642" w:rsidRPr="00C06B3A">
        <w:rPr>
          <w:rFonts w:ascii="Times New Roman" w:hAnsi="Times New Roman"/>
        </w:rPr>
        <w:t>C</w:t>
      </w:r>
      <w:r w:rsidR="00954F9A" w:rsidRPr="00C06B3A">
        <w:rPr>
          <w:rFonts w:ascii="Times New Roman" w:hAnsi="Times New Roman"/>
        </w:rPr>
        <w:t xml:space="preserve">hallenges to State legislation </w:t>
      </w:r>
      <w:r w:rsidR="000D4482" w:rsidRPr="00C06B3A">
        <w:rPr>
          <w:rFonts w:ascii="Times New Roman" w:hAnsi="Times New Roman"/>
        </w:rPr>
        <w:t xml:space="preserve">have </w:t>
      </w:r>
      <w:r w:rsidR="00954F9A" w:rsidRPr="00C06B3A">
        <w:rPr>
          <w:rFonts w:ascii="Times New Roman" w:hAnsi="Times New Roman"/>
        </w:rPr>
        <w:t>succeeded</w:t>
      </w:r>
      <w:r w:rsidR="000D4482" w:rsidRPr="00C06B3A">
        <w:rPr>
          <w:rFonts w:ascii="Times New Roman" w:hAnsi="Times New Roman"/>
        </w:rPr>
        <w:t xml:space="preserve"> in this Court</w:t>
      </w:r>
      <w:r w:rsidR="00954F9A" w:rsidRPr="00C06B3A">
        <w:rPr>
          <w:rFonts w:ascii="Times New Roman" w:hAnsi="Times New Roman"/>
        </w:rPr>
        <w:t xml:space="preserve"> in </w:t>
      </w:r>
      <w:r w:rsidR="00954F9A" w:rsidRPr="00C06B3A">
        <w:rPr>
          <w:rFonts w:ascii="Times New Roman" w:hAnsi="Times New Roman"/>
          <w:i/>
        </w:rPr>
        <w:t xml:space="preserve">International Finance Trust </w:t>
      </w:r>
      <w:r w:rsidR="00192267" w:rsidRPr="00C06B3A">
        <w:rPr>
          <w:rFonts w:ascii="Times New Roman" w:hAnsi="Times New Roman"/>
          <w:i/>
        </w:rPr>
        <w:t>Co Ltd</w:t>
      </w:r>
      <w:r w:rsidR="00954F9A" w:rsidRPr="00C06B3A">
        <w:rPr>
          <w:rFonts w:ascii="Times New Roman" w:hAnsi="Times New Roman"/>
          <w:i/>
        </w:rPr>
        <w:t xml:space="preserve"> v New South Wales Crime Commission</w:t>
      </w:r>
      <w:r w:rsidR="00954F9A" w:rsidRPr="00C06B3A">
        <w:rPr>
          <w:rStyle w:val="FootnoteReference"/>
          <w:rFonts w:ascii="Times New Roman" w:hAnsi="Times New Roman"/>
          <w:sz w:val="24"/>
        </w:rPr>
        <w:footnoteReference w:id="117"/>
      </w:r>
      <w:r w:rsidR="00954F9A" w:rsidRPr="00C06B3A">
        <w:rPr>
          <w:rFonts w:ascii="Times New Roman" w:hAnsi="Times New Roman"/>
        </w:rPr>
        <w:t xml:space="preserve">, </w:t>
      </w:r>
      <w:r w:rsidR="00954F9A" w:rsidRPr="00C06B3A">
        <w:rPr>
          <w:rFonts w:ascii="Times New Roman" w:hAnsi="Times New Roman"/>
          <w:i/>
        </w:rPr>
        <w:t xml:space="preserve">South Australia v </w:t>
      </w:r>
      <w:proofErr w:type="spellStart"/>
      <w:r w:rsidR="00954F9A" w:rsidRPr="00C06B3A">
        <w:rPr>
          <w:rFonts w:ascii="Times New Roman" w:hAnsi="Times New Roman"/>
          <w:i/>
        </w:rPr>
        <w:t>Totani</w:t>
      </w:r>
      <w:proofErr w:type="spellEnd"/>
      <w:r w:rsidR="00954F9A" w:rsidRPr="00C06B3A">
        <w:rPr>
          <w:rStyle w:val="FootnoteReference"/>
          <w:rFonts w:ascii="Times New Roman" w:hAnsi="Times New Roman"/>
          <w:sz w:val="24"/>
        </w:rPr>
        <w:footnoteReference w:id="118"/>
      </w:r>
      <w:r w:rsidR="00954F9A" w:rsidRPr="00C06B3A">
        <w:rPr>
          <w:rFonts w:ascii="Times New Roman" w:hAnsi="Times New Roman"/>
        </w:rPr>
        <w:t xml:space="preserve"> and </w:t>
      </w:r>
      <w:proofErr w:type="spellStart"/>
      <w:r w:rsidR="00954F9A" w:rsidRPr="00C06B3A">
        <w:rPr>
          <w:rFonts w:ascii="Times New Roman" w:hAnsi="Times New Roman"/>
          <w:i/>
        </w:rPr>
        <w:t>Wainohu</w:t>
      </w:r>
      <w:proofErr w:type="spellEnd"/>
      <w:r w:rsidR="00954F9A" w:rsidRPr="00C06B3A">
        <w:rPr>
          <w:rFonts w:ascii="Times New Roman" w:hAnsi="Times New Roman"/>
          <w:i/>
        </w:rPr>
        <w:t xml:space="preserve"> v New South Wales</w:t>
      </w:r>
      <w:r w:rsidR="00954F9A" w:rsidRPr="00C06B3A">
        <w:rPr>
          <w:rStyle w:val="FootnoteReference"/>
          <w:rFonts w:ascii="Times New Roman" w:hAnsi="Times New Roman"/>
          <w:sz w:val="24"/>
        </w:rPr>
        <w:footnoteReference w:id="119"/>
      </w:r>
      <w:r w:rsidR="00951779" w:rsidRPr="00C06B3A">
        <w:rPr>
          <w:rFonts w:ascii="Times New Roman" w:hAnsi="Times New Roman"/>
        </w:rPr>
        <w:t>.</w:t>
      </w:r>
      <w:r w:rsidR="00954F9A" w:rsidRPr="00C06B3A">
        <w:rPr>
          <w:rFonts w:ascii="Times New Roman" w:hAnsi="Times New Roman"/>
        </w:rPr>
        <w:t xml:space="preserve"> </w:t>
      </w:r>
      <w:r w:rsidR="006A4385" w:rsidRPr="00C06B3A">
        <w:rPr>
          <w:rFonts w:ascii="Times New Roman" w:hAnsi="Times New Roman"/>
        </w:rPr>
        <w:t>None of these cases was</w:t>
      </w:r>
      <w:r w:rsidR="00954F9A" w:rsidRPr="00C06B3A">
        <w:rPr>
          <w:rFonts w:ascii="Times New Roman" w:hAnsi="Times New Roman"/>
        </w:rPr>
        <w:t xml:space="preserve"> concerned with</w:t>
      </w:r>
      <w:r w:rsidR="00790808" w:rsidRPr="00C06B3A">
        <w:rPr>
          <w:rFonts w:ascii="Times New Roman" w:hAnsi="Times New Roman"/>
        </w:rPr>
        <w:t xml:space="preserve"> a</w:t>
      </w:r>
      <w:r w:rsidR="00954F9A" w:rsidRPr="00C06B3A">
        <w:rPr>
          <w:rFonts w:ascii="Times New Roman" w:hAnsi="Times New Roman"/>
        </w:rPr>
        <w:t xml:space="preserve"> preventive detention regime. The legislation challenged in</w:t>
      </w:r>
      <w:r w:rsidR="00790808" w:rsidRPr="00C06B3A">
        <w:rPr>
          <w:rFonts w:ascii="Times New Roman" w:hAnsi="Times New Roman"/>
        </w:rPr>
        <w:t xml:space="preserve"> the first of these </w:t>
      </w:r>
      <w:r w:rsidR="00954F9A" w:rsidRPr="00C06B3A">
        <w:rPr>
          <w:rFonts w:ascii="Times New Roman" w:hAnsi="Times New Roman"/>
        </w:rPr>
        <w:lastRenderedPageBreak/>
        <w:t>cases provided for asset</w:t>
      </w:r>
      <w:r w:rsidR="00954F9A" w:rsidRPr="00C06B3A">
        <w:rPr>
          <w:rFonts w:ascii="Times New Roman" w:hAnsi="Times New Roman"/>
        </w:rPr>
        <w:noBreakHyphen/>
        <w:t>freezing orders</w:t>
      </w:r>
      <w:r w:rsidR="005503F2" w:rsidRPr="00C06B3A">
        <w:rPr>
          <w:rStyle w:val="FootnoteReference"/>
          <w:rFonts w:ascii="Times New Roman" w:hAnsi="Times New Roman"/>
          <w:sz w:val="24"/>
        </w:rPr>
        <w:footnoteReference w:id="120"/>
      </w:r>
      <w:r w:rsidR="001112D0" w:rsidRPr="00C06B3A">
        <w:rPr>
          <w:rFonts w:ascii="Times New Roman" w:hAnsi="Times New Roman"/>
        </w:rPr>
        <w:t xml:space="preserve">. </w:t>
      </w:r>
      <w:proofErr w:type="spellStart"/>
      <w:r w:rsidR="001112D0" w:rsidRPr="00C06B3A">
        <w:rPr>
          <w:rFonts w:ascii="Times New Roman" w:hAnsi="Times New Roman"/>
          <w:i/>
          <w:iCs/>
        </w:rPr>
        <w:t>Totani</w:t>
      </w:r>
      <w:proofErr w:type="spellEnd"/>
      <w:r w:rsidR="001112D0" w:rsidRPr="00C06B3A">
        <w:rPr>
          <w:rFonts w:ascii="Times New Roman" w:hAnsi="Times New Roman"/>
        </w:rPr>
        <w:t xml:space="preserve"> and </w:t>
      </w:r>
      <w:proofErr w:type="spellStart"/>
      <w:r w:rsidR="001112D0" w:rsidRPr="00C06B3A">
        <w:rPr>
          <w:rFonts w:ascii="Times New Roman" w:hAnsi="Times New Roman"/>
          <w:i/>
          <w:iCs/>
        </w:rPr>
        <w:t>Wainohu</w:t>
      </w:r>
      <w:proofErr w:type="spellEnd"/>
      <w:r w:rsidR="001112D0" w:rsidRPr="00C06B3A">
        <w:rPr>
          <w:rFonts w:ascii="Times New Roman" w:hAnsi="Times New Roman"/>
        </w:rPr>
        <w:t xml:space="preserve"> were concerned with control orders</w:t>
      </w:r>
      <w:r w:rsidR="00121934" w:rsidRPr="00C06B3A">
        <w:rPr>
          <w:rStyle w:val="FootnoteReference"/>
          <w:rFonts w:ascii="Times New Roman" w:hAnsi="Times New Roman"/>
          <w:sz w:val="24"/>
        </w:rPr>
        <w:footnoteReference w:id="121"/>
      </w:r>
      <w:r w:rsidR="009F5503" w:rsidRPr="00C06B3A">
        <w:rPr>
          <w:rFonts w:ascii="Times New Roman" w:hAnsi="Times New Roman"/>
        </w:rPr>
        <w:t xml:space="preserve">. In each of these </w:t>
      </w:r>
      <w:r w:rsidR="009B486E" w:rsidRPr="00C06B3A">
        <w:rPr>
          <w:rFonts w:ascii="Times New Roman" w:hAnsi="Times New Roman"/>
        </w:rPr>
        <w:t xml:space="preserve">two </w:t>
      </w:r>
      <w:r w:rsidR="009F5503" w:rsidRPr="00C06B3A">
        <w:rPr>
          <w:rFonts w:ascii="Times New Roman" w:hAnsi="Times New Roman"/>
        </w:rPr>
        <w:t>cases, the flaw</w:t>
      </w:r>
      <w:r w:rsidR="00954F9A" w:rsidRPr="00C06B3A">
        <w:rPr>
          <w:rFonts w:ascii="Times New Roman" w:hAnsi="Times New Roman"/>
        </w:rPr>
        <w:t xml:space="preserve"> </w:t>
      </w:r>
      <w:r w:rsidR="002D0E6E" w:rsidRPr="00C06B3A">
        <w:rPr>
          <w:rFonts w:ascii="Times New Roman" w:hAnsi="Times New Roman"/>
        </w:rPr>
        <w:t xml:space="preserve">in the legislation lay in </w:t>
      </w:r>
      <w:r w:rsidR="00954F9A" w:rsidRPr="00C06B3A">
        <w:rPr>
          <w:rFonts w:ascii="Times New Roman" w:hAnsi="Times New Roman"/>
        </w:rPr>
        <w:t>the co</w:t>
      </w:r>
      <w:r w:rsidR="00954F9A" w:rsidRPr="00C06B3A">
        <w:rPr>
          <w:rFonts w:ascii="Times New Roman" w:hAnsi="Times New Roman"/>
        </w:rPr>
        <w:noBreakHyphen/>
        <w:t>opting of the courts by the executive to implement</w:t>
      </w:r>
      <w:r w:rsidR="00BF37DC" w:rsidRPr="00C06B3A">
        <w:rPr>
          <w:rFonts w:ascii="Times New Roman" w:hAnsi="Times New Roman"/>
        </w:rPr>
        <w:t xml:space="preserve"> </w:t>
      </w:r>
      <w:r w:rsidR="00954F9A" w:rsidRPr="00C06B3A">
        <w:rPr>
          <w:rFonts w:ascii="Times New Roman" w:hAnsi="Times New Roman"/>
        </w:rPr>
        <w:t>decisions</w:t>
      </w:r>
      <w:r w:rsidR="00BF37DC" w:rsidRPr="00C06B3A">
        <w:rPr>
          <w:rFonts w:ascii="Times New Roman" w:hAnsi="Times New Roman"/>
        </w:rPr>
        <w:t xml:space="preserve"> of the executive. </w:t>
      </w:r>
    </w:p>
    <w:p w14:paraId="3621320C" w14:textId="1B6E237E" w:rsidR="00C25D20" w:rsidRPr="00C06B3A" w:rsidRDefault="00C25D2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A19DA" w:rsidRPr="00C06B3A">
        <w:rPr>
          <w:rFonts w:ascii="Times New Roman" w:hAnsi="Times New Roman"/>
        </w:rPr>
        <w:t xml:space="preserve">Mr Ryan relied particularly upon this Court's decision in </w:t>
      </w:r>
      <w:proofErr w:type="spellStart"/>
      <w:r w:rsidR="002A19DA" w:rsidRPr="00C06B3A">
        <w:rPr>
          <w:rFonts w:ascii="Times New Roman" w:hAnsi="Times New Roman"/>
          <w:i/>
          <w:iCs/>
        </w:rPr>
        <w:t>Totani</w:t>
      </w:r>
      <w:proofErr w:type="spellEnd"/>
      <w:r w:rsidR="002A19DA" w:rsidRPr="00C06B3A">
        <w:rPr>
          <w:rFonts w:ascii="Times New Roman" w:hAnsi="Times New Roman"/>
        </w:rPr>
        <w:t>.</w:t>
      </w:r>
      <w:r w:rsidR="009D5B25" w:rsidRPr="00C06B3A">
        <w:rPr>
          <w:rFonts w:ascii="Times New Roman" w:hAnsi="Times New Roman"/>
        </w:rPr>
        <w:t xml:space="preserve"> </w:t>
      </w:r>
      <w:r w:rsidR="002A19DA" w:rsidRPr="00C06B3A">
        <w:rPr>
          <w:rFonts w:ascii="Times New Roman" w:hAnsi="Times New Roman"/>
        </w:rPr>
        <w:t xml:space="preserve">The </w:t>
      </w:r>
      <w:r w:rsidR="006F35B6" w:rsidRPr="00C06B3A">
        <w:rPr>
          <w:rFonts w:ascii="Times New Roman" w:hAnsi="Times New Roman"/>
        </w:rPr>
        <w:t xml:space="preserve">Magistrates </w:t>
      </w:r>
      <w:r w:rsidR="002A19DA" w:rsidRPr="00C06B3A">
        <w:rPr>
          <w:rFonts w:ascii="Times New Roman" w:hAnsi="Times New Roman"/>
        </w:rPr>
        <w:t xml:space="preserve">Court </w:t>
      </w:r>
      <w:r w:rsidR="006F35B6" w:rsidRPr="00C06B3A">
        <w:rPr>
          <w:rFonts w:ascii="Times New Roman" w:hAnsi="Times New Roman"/>
        </w:rPr>
        <w:t xml:space="preserve">of South Australia </w:t>
      </w:r>
      <w:r w:rsidR="002A19DA" w:rsidRPr="00C06B3A">
        <w:rPr>
          <w:rFonts w:ascii="Times New Roman" w:hAnsi="Times New Roman"/>
        </w:rPr>
        <w:t>was required to make a control order on an application by the Commissioner of Polic</w:t>
      </w:r>
      <w:r w:rsidR="00C726DD" w:rsidRPr="00C06B3A">
        <w:rPr>
          <w:rFonts w:ascii="Times New Roman" w:hAnsi="Times New Roman"/>
        </w:rPr>
        <w:t>e</w:t>
      </w:r>
      <w:r w:rsidR="002A19DA" w:rsidRPr="00C06B3A">
        <w:rPr>
          <w:rFonts w:ascii="Times New Roman" w:hAnsi="Times New Roman"/>
        </w:rPr>
        <w:t xml:space="preserve"> against a defendant if the defendant was a </w:t>
      </w:r>
      <w:r w:rsidR="00F2602E" w:rsidRPr="00C06B3A">
        <w:rPr>
          <w:rFonts w:ascii="Times New Roman" w:hAnsi="Times New Roman"/>
        </w:rPr>
        <w:t>m</w:t>
      </w:r>
      <w:r w:rsidR="002A19DA" w:rsidRPr="00C06B3A">
        <w:rPr>
          <w:rFonts w:ascii="Times New Roman" w:hAnsi="Times New Roman"/>
        </w:rPr>
        <w:t>e</w:t>
      </w:r>
      <w:r w:rsidR="00F2602E" w:rsidRPr="00C06B3A">
        <w:rPr>
          <w:rFonts w:ascii="Times New Roman" w:hAnsi="Times New Roman"/>
        </w:rPr>
        <w:t>m</w:t>
      </w:r>
      <w:r w:rsidR="002A19DA" w:rsidRPr="00C06B3A">
        <w:rPr>
          <w:rFonts w:ascii="Times New Roman" w:hAnsi="Times New Roman"/>
        </w:rPr>
        <w:t>ber of a "declared orga</w:t>
      </w:r>
      <w:r w:rsidR="00F2602E" w:rsidRPr="00C06B3A">
        <w:rPr>
          <w:rFonts w:ascii="Times New Roman" w:hAnsi="Times New Roman"/>
        </w:rPr>
        <w:t>n</w:t>
      </w:r>
      <w:r w:rsidR="002A19DA" w:rsidRPr="00C06B3A">
        <w:rPr>
          <w:rFonts w:ascii="Times New Roman" w:hAnsi="Times New Roman"/>
        </w:rPr>
        <w:t>isation" without any need to determine, by ordi</w:t>
      </w:r>
      <w:r w:rsidR="00F2602E" w:rsidRPr="00C06B3A">
        <w:rPr>
          <w:rFonts w:ascii="Times New Roman" w:hAnsi="Times New Roman"/>
        </w:rPr>
        <w:t>n</w:t>
      </w:r>
      <w:r w:rsidR="002A19DA" w:rsidRPr="00C06B3A">
        <w:rPr>
          <w:rFonts w:ascii="Times New Roman" w:hAnsi="Times New Roman"/>
        </w:rPr>
        <w:t xml:space="preserve">ary judicial processes, whether the defendant was </w:t>
      </w:r>
      <w:proofErr w:type="gramStart"/>
      <w:r w:rsidR="002A19DA" w:rsidRPr="00C06B3A">
        <w:rPr>
          <w:rFonts w:ascii="Times New Roman" w:hAnsi="Times New Roman"/>
        </w:rPr>
        <w:t>actually engaged</w:t>
      </w:r>
      <w:proofErr w:type="gramEnd"/>
      <w:r w:rsidR="002A19DA" w:rsidRPr="00C06B3A">
        <w:rPr>
          <w:rFonts w:ascii="Times New Roman" w:hAnsi="Times New Roman"/>
        </w:rPr>
        <w:t xml:space="preserve"> in serious criminal activity, a "declared organisation" being an organisation declared to be such by another</w:t>
      </w:r>
      <w:r w:rsidR="00AC2C9D" w:rsidRPr="00C06B3A">
        <w:rPr>
          <w:rFonts w:ascii="Times New Roman" w:hAnsi="Times New Roman"/>
        </w:rPr>
        <w:t xml:space="preserve"> </w:t>
      </w:r>
      <w:r w:rsidR="002A19DA" w:rsidRPr="00C06B3A">
        <w:rPr>
          <w:rFonts w:ascii="Times New Roman" w:hAnsi="Times New Roman"/>
        </w:rPr>
        <w:t>member of the exec</w:t>
      </w:r>
      <w:r w:rsidR="00AC2C9D" w:rsidRPr="00C06B3A">
        <w:rPr>
          <w:rFonts w:ascii="Times New Roman" w:hAnsi="Times New Roman"/>
        </w:rPr>
        <w:t>u</w:t>
      </w:r>
      <w:r w:rsidR="002A19DA" w:rsidRPr="00C06B3A">
        <w:rPr>
          <w:rFonts w:ascii="Times New Roman" w:hAnsi="Times New Roman"/>
        </w:rPr>
        <w:t>tive government</w:t>
      </w:r>
      <w:r w:rsidR="006F35B6" w:rsidRPr="00C06B3A">
        <w:rPr>
          <w:rStyle w:val="FootnoteReference"/>
          <w:rFonts w:ascii="Times New Roman" w:hAnsi="Times New Roman"/>
          <w:sz w:val="24"/>
        </w:rPr>
        <w:footnoteReference w:id="122"/>
      </w:r>
      <w:r w:rsidR="002A19DA" w:rsidRPr="00C06B3A">
        <w:rPr>
          <w:rFonts w:ascii="Times New Roman" w:hAnsi="Times New Roman"/>
        </w:rPr>
        <w:t>. This was a clear case of enlistment of the Court to give ef</w:t>
      </w:r>
      <w:r w:rsidR="00AC2C9D" w:rsidRPr="00C06B3A">
        <w:rPr>
          <w:rFonts w:ascii="Times New Roman" w:hAnsi="Times New Roman"/>
        </w:rPr>
        <w:t>f</w:t>
      </w:r>
      <w:r w:rsidR="002A19DA" w:rsidRPr="00C06B3A">
        <w:rPr>
          <w:rFonts w:ascii="Times New Roman" w:hAnsi="Times New Roman"/>
        </w:rPr>
        <w:t>ect to</w:t>
      </w:r>
      <w:r w:rsidR="00AC2C9D" w:rsidRPr="00C06B3A">
        <w:rPr>
          <w:rFonts w:ascii="Times New Roman" w:hAnsi="Times New Roman"/>
        </w:rPr>
        <w:t xml:space="preserve"> </w:t>
      </w:r>
      <w:r w:rsidR="002A19DA" w:rsidRPr="00C06B3A">
        <w:rPr>
          <w:rFonts w:ascii="Times New Roman" w:hAnsi="Times New Roman"/>
        </w:rPr>
        <w:t xml:space="preserve">the decision of the </w:t>
      </w:r>
      <w:r w:rsidR="00AC2C9D" w:rsidRPr="00C06B3A">
        <w:rPr>
          <w:rFonts w:ascii="Times New Roman" w:hAnsi="Times New Roman"/>
        </w:rPr>
        <w:t>e</w:t>
      </w:r>
      <w:r w:rsidR="002A19DA" w:rsidRPr="00C06B3A">
        <w:rPr>
          <w:rFonts w:ascii="Times New Roman" w:hAnsi="Times New Roman"/>
        </w:rPr>
        <w:t xml:space="preserve">xecutive government in relation to </w:t>
      </w:r>
      <w:proofErr w:type="gramStart"/>
      <w:r w:rsidR="002A19DA" w:rsidRPr="00C06B3A">
        <w:rPr>
          <w:rFonts w:ascii="Times New Roman" w:hAnsi="Times New Roman"/>
        </w:rPr>
        <w:t>particular individuals</w:t>
      </w:r>
      <w:proofErr w:type="gramEnd"/>
      <w:r w:rsidR="002A19DA" w:rsidRPr="00C06B3A">
        <w:rPr>
          <w:rFonts w:ascii="Times New Roman" w:hAnsi="Times New Roman"/>
        </w:rPr>
        <w:t>.</w:t>
      </w:r>
    </w:p>
    <w:p w14:paraId="54D0EF1A" w14:textId="3C53A8B1" w:rsidR="00F46739" w:rsidRPr="00C06B3A" w:rsidRDefault="003B5FF4"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BF37DC" w:rsidRPr="00C06B3A">
        <w:rPr>
          <w:rFonts w:ascii="Times New Roman" w:hAnsi="Times New Roman"/>
        </w:rPr>
        <w:t>Under the HRSO</w:t>
      </w:r>
      <w:r w:rsidR="00623F0F" w:rsidRPr="00C06B3A">
        <w:rPr>
          <w:rFonts w:ascii="Times New Roman" w:hAnsi="Times New Roman"/>
        </w:rPr>
        <w:t> </w:t>
      </w:r>
      <w:r w:rsidR="00BF37DC" w:rsidRPr="00C06B3A">
        <w:rPr>
          <w:rFonts w:ascii="Times New Roman" w:hAnsi="Times New Roman"/>
        </w:rPr>
        <w:t xml:space="preserve">Act, </w:t>
      </w:r>
      <w:r w:rsidR="009F6B51" w:rsidRPr="00C06B3A">
        <w:rPr>
          <w:rFonts w:ascii="Times New Roman" w:hAnsi="Times New Roman"/>
        </w:rPr>
        <w:t>as with the DPSO</w:t>
      </w:r>
      <w:r w:rsidR="00623F0F" w:rsidRPr="00C06B3A">
        <w:rPr>
          <w:rFonts w:ascii="Times New Roman" w:hAnsi="Times New Roman"/>
        </w:rPr>
        <w:t> </w:t>
      </w:r>
      <w:r w:rsidR="009F6B51" w:rsidRPr="00C06B3A">
        <w:rPr>
          <w:rFonts w:ascii="Times New Roman" w:hAnsi="Times New Roman"/>
        </w:rPr>
        <w:t>Act</w:t>
      </w:r>
      <w:r w:rsidR="009D5B25" w:rsidRPr="00C06B3A">
        <w:rPr>
          <w:rFonts w:ascii="Times New Roman" w:hAnsi="Times New Roman"/>
        </w:rPr>
        <w:t xml:space="preserve">, </w:t>
      </w:r>
      <w:r w:rsidR="00BF37DC" w:rsidRPr="00C06B3A">
        <w:rPr>
          <w:rFonts w:ascii="Times New Roman" w:hAnsi="Times New Roman"/>
        </w:rPr>
        <w:t xml:space="preserve">there is no enlistment of the Court </w:t>
      </w:r>
      <w:r w:rsidR="00AB1BE8" w:rsidRPr="00C06B3A">
        <w:rPr>
          <w:rFonts w:ascii="Times New Roman" w:hAnsi="Times New Roman"/>
        </w:rPr>
        <w:t>to</w:t>
      </w:r>
      <w:r w:rsidR="0000794D" w:rsidRPr="00C06B3A">
        <w:rPr>
          <w:rFonts w:ascii="Times New Roman" w:hAnsi="Times New Roman"/>
        </w:rPr>
        <w:t xml:space="preserve"> implement the decisions of the executive government.</w:t>
      </w:r>
      <w:r w:rsidR="00BF37DC" w:rsidRPr="00C06B3A">
        <w:rPr>
          <w:rFonts w:ascii="Times New Roman" w:hAnsi="Times New Roman"/>
        </w:rPr>
        <w:t xml:space="preserve"> </w:t>
      </w:r>
      <w:r w:rsidR="003A743F" w:rsidRPr="00C06B3A">
        <w:rPr>
          <w:rFonts w:ascii="Times New Roman" w:hAnsi="Times New Roman"/>
        </w:rPr>
        <w:t xml:space="preserve">As </w:t>
      </w:r>
      <w:r w:rsidR="00623F0F" w:rsidRPr="00C06B3A">
        <w:rPr>
          <w:rFonts w:ascii="Times New Roman" w:hAnsi="Times New Roman"/>
        </w:rPr>
        <w:t>has been explained</w:t>
      </w:r>
      <w:r w:rsidR="003A743F" w:rsidRPr="00C06B3A">
        <w:rPr>
          <w:rFonts w:ascii="Times New Roman" w:hAnsi="Times New Roman"/>
        </w:rPr>
        <w:t>, u</w:t>
      </w:r>
      <w:r w:rsidR="00BF37DC" w:rsidRPr="00C06B3A">
        <w:rPr>
          <w:rFonts w:ascii="Times New Roman" w:hAnsi="Times New Roman"/>
        </w:rPr>
        <w:t>nder the HRSO</w:t>
      </w:r>
      <w:r w:rsidR="00623F0F" w:rsidRPr="00C06B3A">
        <w:rPr>
          <w:rFonts w:ascii="Times New Roman" w:hAnsi="Times New Roman"/>
        </w:rPr>
        <w:t> </w:t>
      </w:r>
      <w:r w:rsidR="00BF37DC" w:rsidRPr="00C06B3A">
        <w:rPr>
          <w:rFonts w:ascii="Times New Roman" w:hAnsi="Times New Roman"/>
        </w:rPr>
        <w:t>Act, the Court</w:t>
      </w:r>
      <w:r w:rsidR="008B4221" w:rsidRPr="00C06B3A">
        <w:rPr>
          <w:rFonts w:ascii="Times New Roman" w:hAnsi="Times New Roman"/>
        </w:rPr>
        <w:t>, in</w:t>
      </w:r>
      <w:r w:rsidR="00BF37DC" w:rsidRPr="00C06B3A">
        <w:rPr>
          <w:rFonts w:ascii="Times New Roman" w:hAnsi="Times New Roman"/>
        </w:rPr>
        <w:t xml:space="preserve"> making a restriction order</w:t>
      </w:r>
      <w:r w:rsidR="008B4221" w:rsidRPr="00C06B3A">
        <w:rPr>
          <w:rFonts w:ascii="Times New Roman" w:hAnsi="Times New Roman"/>
        </w:rPr>
        <w:t>,</w:t>
      </w:r>
      <w:r w:rsidR="00BF37DC" w:rsidRPr="00C06B3A">
        <w:rPr>
          <w:rFonts w:ascii="Times New Roman" w:hAnsi="Times New Roman"/>
        </w:rPr>
        <w:t xml:space="preserve"> is required</w:t>
      </w:r>
      <w:r w:rsidR="008B4221" w:rsidRPr="00C06B3A">
        <w:rPr>
          <w:rFonts w:ascii="Times New Roman" w:hAnsi="Times New Roman"/>
        </w:rPr>
        <w:t xml:space="preserve"> to make </w:t>
      </w:r>
      <w:r w:rsidR="003A743F" w:rsidRPr="00C06B3A">
        <w:rPr>
          <w:rFonts w:ascii="Times New Roman" w:hAnsi="Times New Roman"/>
        </w:rPr>
        <w:t xml:space="preserve">a </w:t>
      </w:r>
      <w:r w:rsidR="008B4221" w:rsidRPr="00C06B3A">
        <w:rPr>
          <w:rFonts w:ascii="Times New Roman" w:hAnsi="Times New Roman"/>
        </w:rPr>
        <w:t>substantial evaluative judgment</w:t>
      </w:r>
      <w:r w:rsidR="003A743F" w:rsidRPr="00C06B3A">
        <w:rPr>
          <w:rFonts w:ascii="Times New Roman" w:hAnsi="Times New Roman"/>
        </w:rPr>
        <w:t xml:space="preserve"> </w:t>
      </w:r>
      <w:proofErr w:type="gramStart"/>
      <w:r w:rsidR="003A743F" w:rsidRPr="00C06B3A">
        <w:rPr>
          <w:rFonts w:ascii="Times New Roman" w:hAnsi="Times New Roman"/>
        </w:rPr>
        <w:t>in order to</w:t>
      </w:r>
      <w:proofErr w:type="gramEnd"/>
      <w:r w:rsidR="003A743F" w:rsidRPr="00C06B3A">
        <w:rPr>
          <w:rFonts w:ascii="Times New Roman" w:hAnsi="Times New Roman"/>
        </w:rPr>
        <w:t xml:space="preserve"> make that determination. </w:t>
      </w:r>
      <w:r w:rsidR="00AE3445" w:rsidRPr="00C06B3A">
        <w:rPr>
          <w:rFonts w:ascii="Times New Roman" w:hAnsi="Times New Roman"/>
        </w:rPr>
        <w:t xml:space="preserve">In addition, the Court is obliged to proceed to make that determination by reference to the </w:t>
      </w:r>
      <w:proofErr w:type="gramStart"/>
      <w:r w:rsidR="00AE3445" w:rsidRPr="00C06B3A">
        <w:rPr>
          <w:rFonts w:ascii="Times New Roman" w:hAnsi="Times New Roman"/>
        </w:rPr>
        <w:t>processes</w:t>
      </w:r>
      <w:proofErr w:type="gramEnd"/>
      <w:r w:rsidR="00AE3445" w:rsidRPr="00C06B3A">
        <w:rPr>
          <w:rFonts w:ascii="Times New Roman" w:hAnsi="Times New Roman"/>
        </w:rPr>
        <w:t xml:space="preserve"> characteristic of the exercise of judicial power. And the Supreme Court must support its determination</w:t>
      </w:r>
      <w:r w:rsidR="008B4221" w:rsidRPr="00C06B3A">
        <w:rPr>
          <w:rFonts w:ascii="Times New Roman" w:hAnsi="Times New Roman"/>
        </w:rPr>
        <w:t xml:space="preserve"> by giving</w:t>
      </w:r>
      <w:r w:rsidR="00BF37DC" w:rsidRPr="00C06B3A">
        <w:rPr>
          <w:rFonts w:ascii="Times New Roman" w:hAnsi="Times New Roman"/>
        </w:rPr>
        <w:t xml:space="preserve"> reasons for its decision</w:t>
      </w:r>
      <w:r w:rsidR="00205239" w:rsidRPr="00C06B3A">
        <w:rPr>
          <w:rFonts w:ascii="Times New Roman" w:hAnsi="Times New Roman"/>
        </w:rPr>
        <w:t xml:space="preserve">. </w:t>
      </w:r>
    </w:p>
    <w:p w14:paraId="104D4513" w14:textId="46B3BAF3" w:rsidR="00C26EEF" w:rsidRPr="00C06B3A" w:rsidRDefault="00F46739"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The </w:t>
      </w:r>
      <w:r w:rsidR="00B80703" w:rsidRPr="00C06B3A">
        <w:rPr>
          <w:rFonts w:ascii="Times New Roman" w:hAnsi="Times New Roman"/>
        </w:rPr>
        <w:t>Court</w:t>
      </w:r>
      <w:r w:rsidR="00205239" w:rsidRPr="00C06B3A">
        <w:rPr>
          <w:rFonts w:ascii="Times New Roman" w:hAnsi="Times New Roman"/>
        </w:rPr>
        <w:t xml:space="preserve"> is not</w:t>
      </w:r>
      <w:r w:rsidR="005D1240" w:rsidRPr="00C06B3A">
        <w:rPr>
          <w:rFonts w:ascii="Times New Roman" w:hAnsi="Times New Roman"/>
        </w:rPr>
        <w:t xml:space="preserve"> permitted to</w:t>
      </w:r>
      <w:r w:rsidR="00205239" w:rsidRPr="00C06B3A">
        <w:rPr>
          <w:rFonts w:ascii="Times New Roman" w:hAnsi="Times New Roman"/>
        </w:rPr>
        <w:t xml:space="preserve"> act </w:t>
      </w:r>
      <w:r w:rsidR="005D1240" w:rsidRPr="00C06B3A">
        <w:rPr>
          <w:rFonts w:ascii="Times New Roman" w:hAnsi="Times New Roman"/>
        </w:rPr>
        <w:t>as</w:t>
      </w:r>
      <w:r w:rsidR="00F96AD4" w:rsidRPr="00C06B3A">
        <w:rPr>
          <w:rFonts w:ascii="Times New Roman" w:hAnsi="Times New Roman"/>
        </w:rPr>
        <w:t xml:space="preserve"> the judges acting as "personae </w:t>
      </w:r>
      <w:proofErr w:type="spellStart"/>
      <w:r w:rsidR="00F96AD4" w:rsidRPr="00C06B3A">
        <w:rPr>
          <w:rFonts w:ascii="Times New Roman" w:hAnsi="Times New Roman"/>
        </w:rPr>
        <w:t>designata</w:t>
      </w:r>
      <w:r w:rsidR="000E1B0E" w:rsidRPr="00C06B3A">
        <w:rPr>
          <w:rFonts w:ascii="Times New Roman" w:hAnsi="Times New Roman"/>
        </w:rPr>
        <w:t>e</w:t>
      </w:r>
      <w:proofErr w:type="spellEnd"/>
      <w:r w:rsidR="00F96AD4" w:rsidRPr="00C06B3A">
        <w:rPr>
          <w:rFonts w:ascii="Times New Roman" w:hAnsi="Times New Roman"/>
        </w:rPr>
        <w:t xml:space="preserve">" </w:t>
      </w:r>
      <w:r w:rsidR="00661A73" w:rsidRPr="00C06B3A">
        <w:rPr>
          <w:rFonts w:ascii="Times New Roman" w:hAnsi="Times New Roman"/>
        </w:rPr>
        <w:t xml:space="preserve">under the provisions challenged </w:t>
      </w:r>
      <w:r w:rsidR="00F96AD4" w:rsidRPr="00C06B3A">
        <w:rPr>
          <w:rFonts w:ascii="Times New Roman" w:hAnsi="Times New Roman"/>
        </w:rPr>
        <w:t xml:space="preserve">in </w:t>
      </w:r>
      <w:proofErr w:type="spellStart"/>
      <w:r w:rsidR="00F96AD4" w:rsidRPr="00C06B3A">
        <w:rPr>
          <w:rFonts w:ascii="Times New Roman" w:hAnsi="Times New Roman"/>
          <w:i/>
          <w:iCs/>
        </w:rPr>
        <w:t>Wainohu</w:t>
      </w:r>
      <w:proofErr w:type="spellEnd"/>
      <w:r w:rsidR="005D1240" w:rsidRPr="00C06B3A">
        <w:rPr>
          <w:rFonts w:ascii="Times New Roman" w:hAnsi="Times New Roman"/>
        </w:rPr>
        <w:t xml:space="preserve"> were permitted to act</w:t>
      </w:r>
      <w:r w:rsidR="00811F4B" w:rsidRPr="00C06B3A">
        <w:rPr>
          <w:rFonts w:ascii="Times New Roman" w:hAnsi="Times New Roman"/>
        </w:rPr>
        <w:t>,</w:t>
      </w:r>
      <w:r w:rsidR="005D1240" w:rsidRPr="00C06B3A">
        <w:rPr>
          <w:rFonts w:ascii="Times New Roman" w:hAnsi="Times New Roman"/>
        </w:rPr>
        <w:t xml:space="preserve"> contrary to the characteristic judicial obligatio</w:t>
      </w:r>
      <w:r w:rsidR="00267CB3" w:rsidRPr="00C06B3A">
        <w:rPr>
          <w:rFonts w:ascii="Times New Roman" w:hAnsi="Times New Roman"/>
        </w:rPr>
        <w:t>n</w:t>
      </w:r>
      <w:r w:rsidR="005D1240" w:rsidRPr="00C06B3A">
        <w:rPr>
          <w:rFonts w:ascii="Times New Roman" w:hAnsi="Times New Roman"/>
        </w:rPr>
        <w:t xml:space="preserve"> of givin</w:t>
      </w:r>
      <w:r w:rsidR="00D928AB" w:rsidRPr="00C06B3A">
        <w:rPr>
          <w:rFonts w:ascii="Times New Roman" w:hAnsi="Times New Roman"/>
        </w:rPr>
        <w:t>g</w:t>
      </w:r>
      <w:r w:rsidR="005D1240" w:rsidRPr="00C06B3A">
        <w:rPr>
          <w:rFonts w:ascii="Times New Roman" w:hAnsi="Times New Roman"/>
        </w:rPr>
        <w:t xml:space="preserve"> reasons to justify a judicial decision</w:t>
      </w:r>
      <w:r w:rsidR="00267CB3" w:rsidRPr="00C06B3A">
        <w:rPr>
          <w:rStyle w:val="FootnoteReference"/>
          <w:rFonts w:ascii="Times New Roman" w:hAnsi="Times New Roman"/>
          <w:sz w:val="24"/>
        </w:rPr>
        <w:footnoteReference w:id="123"/>
      </w:r>
      <w:r w:rsidR="00F96AD4" w:rsidRPr="00C06B3A">
        <w:rPr>
          <w:rFonts w:ascii="Times New Roman" w:hAnsi="Times New Roman"/>
          <w:i/>
          <w:iCs/>
        </w:rPr>
        <w:t xml:space="preserve">. </w:t>
      </w:r>
    </w:p>
    <w:p w14:paraId="02A52EED" w14:textId="52CB72B7" w:rsidR="00F4597C" w:rsidRPr="00C06B3A" w:rsidRDefault="00C26EEF" w:rsidP="00C06B3A">
      <w:pPr>
        <w:pStyle w:val="FixListStyle"/>
        <w:spacing w:after="260" w:line="280" w:lineRule="exact"/>
        <w:ind w:right="0"/>
        <w:jc w:val="both"/>
        <w:rPr>
          <w:rFonts w:ascii="Times New Roman" w:hAnsi="Times New Roman"/>
        </w:rPr>
      </w:pPr>
      <w:r w:rsidRPr="00C06B3A">
        <w:rPr>
          <w:rFonts w:ascii="Times New Roman" w:hAnsi="Times New Roman"/>
          <w:i/>
          <w:iCs/>
        </w:rPr>
        <w:tab/>
      </w:r>
      <w:r w:rsidR="00A154F2" w:rsidRPr="00C06B3A">
        <w:rPr>
          <w:rFonts w:ascii="Times New Roman" w:hAnsi="Times New Roman"/>
        </w:rPr>
        <w:t>In addition,</w:t>
      </w:r>
      <w:r w:rsidR="002E5C83" w:rsidRPr="00C06B3A">
        <w:rPr>
          <w:rFonts w:ascii="Times New Roman" w:hAnsi="Times New Roman"/>
        </w:rPr>
        <w:t xml:space="preserve"> the offender is assured a full opportunity to engage in the process to determine </w:t>
      </w:r>
      <w:proofErr w:type="gramStart"/>
      <w:r w:rsidR="002E5C83" w:rsidRPr="00C06B3A">
        <w:rPr>
          <w:rFonts w:ascii="Times New Roman" w:hAnsi="Times New Roman"/>
        </w:rPr>
        <w:t>whether or not</w:t>
      </w:r>
      <w:proofErr w:type="gramEnd"/>
      <w:r w:rsidR="002E5C83" w:rsidRPr="00C06B3A">
        <w:rPr>
          <w:rFonts w:ascii="Times New Roman" w:hAnsi="Times New Roman"/>
        </w:rPr>
        <w:t xml:space="preserve"> a restriction order should be made, in contrast to the legislation considered </w:t>
      </w:r>
      <w:r w:rsidR="000D3A5B" w:rsidRPr="00C06B3A">
        <w:rPr>
          <w:rFonts w:ascii="Times New Roman" w:hAnsi="Times New Roman"/>
        </w:rPr>
        <w:t>i</w:t>
      </w:r>
      <w:r w:rsidR="005F0355" w:rsidRPr="00C06B3A">
        <w:rPr>
          <w:rFonts w:ascii="Times New Roman" w:hAnsi="Times New Roman"/>
        </w:rPr>
        <w:t>n</w:t>
      </w:r>
      <w:r w:rsidR="00F806D3" w:rsidRPr="00C06B3A">
        <w:rPr>
          <w:rFonts w:ascii="Times New Roman" w:hAnsi="Times New Roman"/>
        </w:rPr>
        <w:t xml:space="preserve"> </w:t>
      </w:r>
      <w:r w:rsidR="00F806D3" w:rsidRPr="00C06B3A">
        <w:rPr>
          <w:rFonts w:ascii="Times New Roman" w:hAnsi="Times New Roman"/>
          <w:i/>
          <w:iCs/>
        </w:rPr>
        <w:t>International Finance Trust</w:t>
      </w:r>
      <w:r w:rsidR="00017EFC" w:rsidRPr="00C06B3A">
        <w:rPr>
          <w:rFonts w:ascii="Times New Roman" w:hAnsi="Times New Roman"/>
        </w:rPr>
        <w:t xml:space="preserve"> which obliged the Supreme Court of New South Wales to proceed to make a restraining order without </w:t>
      </w:r>
      <w:r w:rsidR="00017EFC" w:rsidRPr="00C06B3A">
        <w:rPr>
          <w:rFonts w:ascii="Times New Roman" w:hAnsi="Times New Roman"/>
        </w:rPr>
        <w:lastRenderedPageBreak/>
        <w:t>regard for ordinary judicial processes</w:t>
      </w:r>
      <w:r w:rsidR="00AD5F68" w:rsidRPr="00C06B3A">
        <w:rPr>
          <w:rStyle w:val="FootnoteReference"/>
          <w:rFonts w:ascii="Times New Roman" w:hAnsi="Times New Roman"/>
          <w:sz w:val="24"/>
        </w:rPr>
        <w:footnoteReference w:id="124"/>
      </w:r>
      <w:r w:rsidR="00017EFC" w:rsidRPr="00C06B3A">
        <w:rPr>
          <w:rFonts w:ascii="Times New Roman" w:hAnsi="Times New Roman"/>
        </w:rPr>
        <w:t>.</w:t>
      </w:r>
      <w:r w:rsidR="00256C0E" w:rsidRPr="00C06B3A">
        <w:rPr>
          <w:rFonts w:ascii="Times New Roman" w:hAnsi="Times New Roman"/>
        </w:rPr>
        <w:t xml:space="preserve"> The legislation in question purported to direct the Supreme Court as to the manner and outcome of its exercise of jurisdic</w:t>
      </w:r>
      <w:r w:rsidR="00A71BCA" w:rsidRPr="00C06B3A">
        <w:rPr>
          <w:rFonts w:ascii="Times New Roman" w:hAnsi="Times New Roman"/>
        </w:rPr>
        <w:t>tion</w:t>
      </w:r>
      <w:r w:rsidR="00A71BCA" w:rsidRPr="00C06B3A">
        <w:rPr>
          <w:rStyle w:val="FootnoteReference"/>
          <w:rFonts w:ascii="Times New Roman" w:hAnsi="Times New Roman"/>
          <w:sz w:val="24"/>
        </w:rPr>
        <w:footnoteReference w:id="125"/>
      </w:r>
      <w:r w:rsidR="00A71BCA" w:rsidRPr="00C06B3A">
        <w:rPr>
          <w:rFonts w:ascii="Times New Roman" w:hAnsi="Times New Roman"/>
        </w:rPr>
        <w:t>.</w:t>
      </w:r>
    </w:p>
    <w:p w14:paraId="32A901DA" w14:textId="089EA922" w:rsidR="002D5915" w:rsidRPr="00C06B3A" w:rsidRDefault="002D5915" w:rsidP="00C06B3A">
      <w:pPr>
        <w:pStyle w:val="HeadingL2"/>
        <w:spacing w:after="260" w:line="280" w:lineRule="exact"/>
        <w:ind w:right="0"/>
        <w:jc w:val="both"/>
        <w:rPr>
          <w:rFonts w:ascii="Times New Roman" w:hAnsi="Times New Roman"/>
        </w:rPr>
      </w:pPr>
      <w:r w:rsidRPr="00C06B3A">
        <w:rPr>
          <w:rFonts w:ascii="Times New Roman" w:hAnsi="Times New Roman"/>
        </w:rPr>
        <w:t>The community</w:t>
      </w:r>
    </w:p>
    <w:p w14:paraId="6345BE8C" w14:textId="2383EFFF" w:rsidR="004F7896" w:rsidRPr="00C06B3A" w:rsidRDefault="002D5915" w:rsidP="00C06B3A">
      <w:pPr>
        <w:pStyle w:val="FixListStyle"/>
        <w:spacing w:after="260" w:line="280" w:lineRule="exact"/>
        <w:ind w:right="0"/>
        <w:jc w:val="both"/>
        <w:rPr>
          <w:rFonts w:ascii="Times New Roman" w:hAnsi="Times New Roman"/>
        </w:rPr>
      </w:pPr>
      <w:r w:rsidRPr="00C06B3A">
        <w:rPr>
          <w:rFonts w:ascii="Times New Roman" w:hAnsi="Times New Roman"/>
        </w:rPr>
        <w:tab/>
        <w:t xml:space="preserve">On behalf of </w:t>
      </w:r>
      <w:proofErr w:type="gramStart"/>
      <w:r w:rsidRPr="00C06B3A">
        <w:rPr>
          <w:rFonts w:ascii="Times New Roman" w:hAnsi="Times New Roman"/>
        </w:rPr>
        <w:t>Mr </w:t>
      </w:r>
      <w:proofErr w:type="spellStart"/>
      <w:r w:rsidRPr="00C06B3A">
        <w:rPr>
          <w:rFonts w:ascii="Times New Roman" w:hAnsi="Times New Roman"/>
        </w:rPr>
        <w:t>Garlett</w:t>
      </w:r>
      <w:proofErr w:type="spellEnd"/>
      <w:proofErr w:type="gramEnd"/>
      <w:r w:rsidRPr="00C06B3A">
        <w:rPr>
          <w:rFonts w:ascii="Times New Roman" w:hAnsi="Times New Roman"/>
        </w:rPr>
        <w:t xml:space="preserve"> it was said </w:t>
      </w:r>
      <w:r w:rsidR="00E422AA" w:rsidRPr="00C06B3A">
        <w:rPr>
          <w:rFonts w:ascii="Times New Roman" w:hAnsi="Times New Roman"/>
        </w:rPr>
        <w:t xml:space="preserve">that </w:t>
      </w:r>
      <w:r w:rsidR="001426C1" w:rsidRPr="00C06B3A">
        <w:rPr>
          <w:rFonts w:ascii="Times New Roman" w:hAnsi="Times New Roman"/>
        </w:rPr>
        <w:t xml:space="preserve">it </w:t>
      </w:r>
      <w:r w:rsidR="00E422AA" w:rsidRPr="00C06B3A">
        <w:rPr>
          <w:rFonts w:ascii="Times New Roman" w:hAnsi="Times New Roman"/>
        </w:rPr>
        <w:t xml:space="preserve">would </w:t>
      </w:r>
      <w:r w:rsidRPr="00C06B3A">
        <w:rPr>
          <w:rFonts w:ascii="Times New Roman" w:hAnsi="Times New Roman"/>
        </w:rPr>
        <w:t xml:space="preserve">be "incredulous" </w:t>
      </w:r>
      <w:r w:rsidR="001426C1" w:rsidRPr="00C06B3A">
        <w:rPr>
          <w:rFonts w:ascii="Times New Roman" w:hAnsi="Times New Roman"/>
        </w:rPr>
        <w:t>to a fair</w:t>
      </w:r>
      <w:r w:rsidR="001426C1" w:rsidRPr="00C06B3A">
        <w:rPr>
          <w:rFonts w:ascii="Times New Roman" w:hAnsi="Times New Roman"/>
        </w:rPr>
        <w:noBreakHyphen/>
        <w:t xml:space="preserve">minded lay observer </w:t>
      </w:r>
      <w:r w:rsidRPr="00C06B3A">
        <w:rPr>
          <w:rFonts w:ascii="Times New Roman" w:hAnsi="Times New Roman"/>
        </w:rPr>
        <w:t xml:space="preserve">that the HRSO Act requires the Court to assess "adequate protection </w:t>
      </w:r>
      <w:r w:rsidR="00661A73" w:rsidRPr="00C06B3A">
        <w:rPr>
          <w:rFonts w:ascii="Times New Roman" w:hAnsi="Times New Roman"/>
        </w:rPr>
        <w:t xml:space="preserve">of </w:t>
      </w:r>
      <w:r w:rsidRPr="00C06B3A">
        <w:rPr>
          <w:rFonts w:ascii="Times New Roman" w:hAnsi="Times New Roman"/>
        </w:rPr>
        <w:t xml:space="preserve">the community" by reference to the Western Australian community, and the Australian community, </w:t>
      </w:r>
      <w:r w:rsidRPr="00C06B3A">
        <w:rPr>
          <w:rFonts w:ascii="Times New Roman" w:hAnsi="Times New Roman"/>
          <w:i/>
        </w:rPr>
        <w:t xml:space="preserve">and </w:t>
      </w:r>
      <w:r w:rsidRPr="00C06B3A">
        <w:rPr>
          <w:rFonts w:ascii="Times New Roman" w:hAnsi="Times New Roman"/>
        </w:rPr>
        <w:t>"all other communities" </w:t>
      </w:r>
      <w:r w:rsidR="005540BA">
        <w:rPr>
          <w:rFonts w:ascii="Times New Roman" w:hAnsi="Times New Roman"/>
        </w:rPr>
        <w:t>–</w:t>
      </w:r>
      <w:r w:rsidRPr="00C06B3A">
        <w:rPr>
          <w:rFonts w:ascii="Times New Roman" w:hAnsi="Times New Roman"/>
        </w:rPr>
        <w:t xml:space="preserve"> apparently even Tunisia</w:t>
      </w:r>
      <w:r w:rsidRPr="00C06B3A">
        <w:rPr>
          <w:rStyle w:val="FootnoteReference"/>
          <w:rFonts w:ascii="Times New Roman" w:hAnsi="Times New Roman"/>
          <w:sz w:val="24"/>
        </w:rPr>
        <w:footnoteReference w:id="126"/>
      </w:r>
      <w:r w:rsidRPr="00C06B3A">
        <w:rPr>
          <w:rFonts w:ascii="Times New Roman" w:hAnsi="Times New Roman"/>
        </w:rPr>
        <w:t>.</w:t>
      </w:r>
      <w:r w:rsidR="004E0F7E" w:rsidRPr="00C06B3A">
        <w:rPr>
          <w:rFonts w:ascii="Times New Roman" w:hAnsi="Times New Roman"/>
        </w:rPr>
        <w:t xml:space="preserve"> </w:t>
      </w:r>
      <w:r w:rsidRPr="00C06B3A">
        <w:rPr>
          <w:rFonts w:ascii="Times New Roman" w:hAnsi="Times New Roman"/>
        </w:rPr>
        <w:t>Thus, it was sought to emphasise the excessive scope, and hence the illusory character, of the protective purpose of the HRSO</w:t>
      </w:r>
      <w:r w:rsidR="00B30B9B" w:rsidRPr="00C06B3A">
        <w:rPr>
          <w:rFonts w:ascii="Times New Roman" w:hAnsi="Times New Roman"/>
        </w:rPr>
        <w:t> </w:t>
      </w:r>
      <w:r w:rsidRPr="00C06B3A">
        <w:rPr>
          <w:rFonts w:ascii="Times New Roman" w:hAnsi="Times New Roman"/>
        </w:rPr>
        <w:t xml:space="preserve">Act. </w:t>
      </w:r>
    </w:p>
    <w:p w14:paraId="514C4D4E" w14:textId="30713C82" w:rsidR="00C06B3A" w:rsidRDefault="004F7896"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D5915" w:rsidRPr="00C06B3A">
        <w:rPr>
          <w:rFonts w:ascii="Times New Roman" w:hAnsi="Times New Roman"/>
        </w:rPr>
        <w:t>The scope of</w:t>
      </w:r>
      <w:r w:rsidR="00D65858" w:rsidRPr="00C06B3A">
        <w:rPr>
          <w:rFonts w:ascii="Times New Roman" w:hAnsi="Times New Roman"/>
        </w:rPr>
        <w:t xml:space="preserve"> the expression</w:t>
      </w:r>
      <w:r w:rsidR="002D5915" w:rsidRPr="00C06B3A">
        <w:rPr>
          <w:rFonts w:ascii="Times New Roman" w:hAnsi="Times New Roman"/>
        </w:rPr>
        <w:t xml:space="preserve"> "community" is</w:t>
      </w:r>
      <w:r w:rsidR="00D65858" w:rsidRPr="00C06B3A">
        <w:rPr>
          <w:rFonts w:ascii="Times New Roman" w:hAnsi="Times New Roman"/>
        </w:rPr>
        <w:t xml:space="preserve"> indeed</w:t>
      </w:r>
      <w:r w:rsidR="002D5915" w:rsidRPr="00C06B3A">
        <w:rPr>
          <w:rFonts w:ascii="Times New Roman" w:hAnsi="Times New Roman"/>
        </w:rPr>
        <w:t xml:space="preserve"> </w:t>
      </w:r>
      <w:r w:rsidR="00890402" w:rsidRPr="00C06B3A">
        <w:rPr>
          <w:rFonts w:ascii="Times New Roman" w:hAnsi="Times New Roman"/>
        </w:rPr>
        <w:t xml:space="preserve">broad, but </w:t>
      </w:r>
      <w:r w:rsidR="00FA0782" w:rsidRPr="00C06B3A">
        <w:rPr>
          <w:rFonts w:ascii="Times New Roman" w:hAnsi="Times New Roman"/>
        </w:rPr>
        <w:t xml:space="preserve">its use is </w:t>
      </w:r>
      <w:r w:rsidR="002D5915" w:rsidRPr="00C06B3A">
        <w:rPr>
          <w:rFonts w:ascii="Times New Roman" w:hAnsi="Times New Roman"/>
        </w:rPr>
        <w:t>appropriate</w:t>
      </w:r>
      <w:r w:rsidR="00890402" w:rsidRPr="00C06B3A">
        <w:rPr>
          <w:rFonts w:ascii="Times New Roman" w:hAnsi="Times New Roman"/>
        </w:rPr>
        <w:t xml:space="preserve"> to direct</w:t>
      </w:r>
      <w:r w:rsidR="002D5915" w:rsidRPr="00C06B3A">
        <w:rPr>
          <w:rFonts w:ascii="Times New Roman" w:hAnsi="Times New Roman"/>
        </w:rPr>
        <w:t xml:space="preserve"> attention </w:t>
      </w:r>
      <w:r w:rsidR="00591572" w:rsidRPr="00C06B3A">
        <w:rPr>
          <w:rFonts w:ascii="Times New Roman" w:hAnsi="Times New Roman"/>
        </w:rPr>
        <w:t>to</w:t>
      </w:r>
      <w:r w:rsidR="002D5915" w:rsidRPr="00C06B3A">
        <w:rPr>
          <w:rFonts w:ascii="Times New Roman" w:hAnsi="Times New Roman"/>
        </w:rPr>
        <w:t xml:space="preserve"> the risk of harm that the offender pose</w:t>
      </w:r>
      <w:r w:rsidR="00591572" w:rsidRPr="00C06B3A">
        <w:rPr>
          <w:rFonts w:ascii="Times New Roman" w:hAnsi="Times New Roman"/>
        </w:rPr>
        <w:t>s</w:t>
      </w:r>
      <w:r w:rsidR="002D5915" w:rsidRPr="00C06B3A">
        <w:rPr>
          <w:rFonts w:ascii="Times New Roman" w:hAnsi="Times New Roman"/>
        </w:rPr>
        <w:t xml:space="preserve"> to the members of the organised society with whom he or she may happen to live</w:t>
      </w:r>
      <w:r w:rsidR="00230FF8" w:rsidRPr="00C06B3A">
        <w:rPr>
          <w:rFonts w:ascii="Times New Roman" w:hAnsi="Times New Roman"/>
        </w:rPr>
        <w:t xml:space="preserve"> from time to time</w:t>
      </w:r>
      <w:r w:rsidR="00C263EF" w:rsidRPr="00C06B3A">
        <w:rPr>
          <w:rFonts w:ascii="Times New Roman" w:hAnsi="Times New Roman"/>
        </w:rPr>
        <w:t>. I</w:t>
      </w:r>
      <w:r w:rsidR="00591572" w:rsidRPr="00C06B3A">
        <w:rPr>
          <w:rFonts w:ascii="Times New Roman" w:hAnsi="Times New Roman"/>
        </w:rPr>
        <w:t>ndeed</w:t>
      </w:r>
      <w:r w:rsidR="00C263EF" w:rsidRPr="00C06B3A">
        <w:rPr>
          <w:rFonts w:ascii="Times New Roman" w:hAnsi="Times New Roman"/>
        </w:rPr>
        <w:t>,</w:t>
      </w:r>
      <w:r w:rsidR="00591572" w:rsidRPr="00C06B3A">
        <w:rPr>
          <w:rFonts w:ascii="Times New Roman" w:hAnsi="Times New Roman"/>
        </w:rPr>
        <w:t xml:space="preserve"> </w:t>
      </w:r>
      <w:r w:rsidR="00230FF8" w:rsidRPr="00C06B3A">
        <w:rPr>
          <w:rFonts w:ascii="Times New Roman" w:hAnsi="Times New Roman"/>
        </w:rPr>
        <w:t>it is in this sense that the</w:t>
      </w:r>
      <w:r w:rsidR="002D5915" w:rsidRPr="00C06B3A">
        <w:rPr>
          <w:rFonts w:ascii="Times New Roman" w:hAnsi="Times New Roman"/>
        </w:rPr>
        <w:t xml:space="preserve"> expression is </w:t>
      </w:r>
      <w:r w:rsidR="00B82859" w:rsidRPr="00C06B3A">
        <w:rPr>
          <w:rFonts w:ascii="Times New Roman" w:hAnsi="Times New Roman"/>
        </w:rPr>
        <w:t>frequently</w:t>
      </w:r>
      <w:r w:rsidR="00DB2FF6" w:rsidRPr="00C06B3A">
        <w:rPr>
          <w:rFonts w:ascii="Times New Roman" w:hAnsi="Times New Roman"/>
        </w:rPr>
        <w:t xml:space="preserve"> used</w:t>
      </w:r>
      <w:r w:rsidR="00B82859" w:rsidRPr="00C06B3A">
        <w:rPr>
          <w:rFonts w:ascii="Times New Roman" w:hAnsi="Times New Roman"/>
        </w:rPr>
        <w:t xml:space="preserve"> in </w:t>
      </w:r>
      <w:r w:rsidR="00DB2FF6" w:rsidRPr="00C06B3A">
        <w:rPr>
          <w:rFonts w:ascii="Times New Roman" w:hAnsi="Times New Roman"/>
        </w:rPr>
        <w:t xml:space="preserve">legislation and in </w:t>
      </w:r>
      <w:r w:rsidR="002D5915" w:rsidRPr="00C06B3A">
        <w:rPr>
          <w:rFonts w:ascii="Times New Roman" w:hAnsi="Times New Roman"/>
        </w:rPr>
        <w:t xml:space="preserve">the reasons for judgment in </w:t>
      </w:r>
      <w:r w:rsidR="00632CB0" w:rsidRPr="00C06B3A">
        <w:rPr>
          <w:rFonts w:ascii="Times New Roman" w:hAnsi="Times New Roman"/>
        </w:rPr>
        <w:t>the</w:t>
      </w:r>
      <w:r w:rsidR="00454580" w:rsidRPr="00C06B3A">
        <w:rPr>
          <w:rFonts w:ascii="Times New Roman" w:hAnsi="Times New Roman"/>
        </w:rPr>
        <w:t xml:space="preserve"> cases, such as </w:t>
      </w:r>
      <w:proofErr w:type="spellStart"/>
      <w:r w:rsidR="00454580" w:rsidRPr="00C06B3A">
        <w:rPr>
          <w:rFonts w:ascii="Times New Roman" w:hAnsi="Times New Roman"/>
          <w:i/>
        </w:rPr>
        <w:t>Fardon</w:t>
      </w:r>
      <w:proofErr w:type="spellEnd"/>
      <w:r w:rsidR="00C263EF" w:rsidRPr="00C06B3A">
        <w:rPr>
          <w:rStyle w:val="FootnoteReference"/>
          <w:rFonts w:ascii="Times New Roman" w:hAnsi="Times New Roman"/>
          <w:sz w:val="24"/>
        </w:rPr>
        <w:footnoteReference w:id="127"/>
      </w:r>
      <w:r w:rsidRPr="00C06B3A">
        <w:rPr>
          <w:rFonts w:ascii="Times New Roman" w:hAnsi="Times New Roman"/>
        </w:rPr>
        <w:t>: it is the ordinary and natural language of this field of discourse</w:t>
      </w:r>
      <w:r w:rsidR="008C4BFE" w:rsidRPr="00C06B3A">
        <w:rPr>
          <w:rFonts w:ascii="Times New Roman" w:hAnsi="Times New Roman"/>
        </w:rPr>
        <w:t>.</w:t>
      </w:r>
      <w:r w:rsidR="001B36E0" w:rsidRPr="00C06B3A">
        <w:rPr>
          <w:rFonts w:ascii="Times New Roman" w:hAnsi="Times New Roman"/>
        </w:rPr>
        <w:t xml:space="preserve"> </w:t>
      </w:r>
      <w:r w:rsidRPr="00C06B3A">
        <w:rPr>
          <w:rFonts w:ascii="Times New Roman" w:hAnsi="Times New Roman"/>
        </w:rPr>
        <w:t>The reference</w:t>
      </w:r>
      <w:r w:rsidR="0054518A" w:rsidRPr="00C06B3A">
        <w:rPr>
          <w:rFonts w:ascii="Times New Roman" w:hAnsi="Times New Roman"/>
        </w:rPr>
        <w:t>s throughout the HRSO</w:t>
      </w:r>
      <w:r w:rsidR="009A74DB" w:rsidRPr="00C06B3A">
        <w:rPr>
          <w:rFonts w:ascii="Times New Roman" w:hAnsi="Times New Roman"/>
        </w:rPr>
        <w:t> </w:t>
      </w:r>
      <w:r w:rsidR="0054518A" w:rsidRPr="00C06B3A">
        <w:rPr>
          <w:rFonts w:ascii="Times New Roman" w:hAnsi="Times New Roman"/>
        </w:rPr>
        <w:t>Act</w:t>
      </w:r>
      <w:r w:rsidRPr="00C06B3A">
        <w:rPr>
          <w:rFonts w:ascii="Times New Roman" w:hAnsi="Times New Roman"/>
        </w:rPr>
        <w:t xml:space="preserve"> to protection of the "community"</w:t>
      </w:r>
      <w:r w:rsidR="003E40E2" w:rsidRPr="00C06B3A">
        <w:rPr>
          <w:rFonts w:ascii="Times New Roman" w:hAnsi="Times New Roman"/>
        </w:rPr>
        <w:t>,</w:t>
      </w:r>
      <w:r w:rsidRPr="00C06B3A">
        <w:rPr>
          <w:rFonts w:ascii="Times New Roman" w:hAnsi="Times New Roman"/>
        </w:rPr>
        <w:t xml:space="preserve"> in the extended sense</w:t>
      </w:r>
      <w:r w:rsidR="003E40E2" w:rsidRPr="00C06B3A">
        <w:rPr>
          <w:rFonts w:ascii="Times New Roman" w:hAnsi="Times New Roman"/>
        </w:rPr>
        <w:t>,</w:t>
      </w:r>
      <w:r w:rsidRPr="00C06B3A">
        <w:rPr>
          <w:rFonts w:ascii="Times New Roman" w:hAnsi="Times New Roman"/>
        </w:rPr>
        <w:t xml:space="preserve"> also serve the practical purpose of ensuring that the protective purpose of the </w:t>
      </w:r>
      <w:r w:rsidR="003E40E2" w:rsidRPr="00C06B3A">
        <w:rPr>
          <w:rFonts w:ascii="Times New Roman" w:hAnsi="Times New Roman"/>
        </w:rPr>
        <w:t>HRSO </w:t>
      </w:r>
      <w:r w:rsidRPr="00C06B3A">
        <w:rPr>
          <w:rFonts w:ascii="Times New Roman" w:hAnsi="Times New Roman"/>
        </w:rPr>
        <w:t>Act cannot be defeated by the simple expedient of an offender stating an intention to leave Western Australia o</w:t>
      </w:r>
      <w:r w:rsidR="003E40E2" w:rsidRPr="00C06B3A">
        <w:rPr>
          <w:rFonts w:ascii="Times New Roman" w:hAnsi="Times New Roman"/>
        </w:rPr>
        <w:t>r</w:t>
      </w:r>
      <w:r w:rsidRPr="00C06B3A">
        <w:rPr>
          <w:rFonts w:ascii="Times New Roman" w:hAnsi="Times New Roman"/>
        </w:rPr>
        <w:t xml:space="preserve"> the Commonwealth.</w:t>
      </w:r>
    </w:p>
    <w:p w14:paraId="185E7649" w14:textId="59F2C3BF" w:rsidR="0007051B" w:rsidRPr="00C06B3A" w:rsidRDefault="0007051B" w:rsidP="00C06B3A">
      <w:pPr>
        <w:pStyle w:val="HeadingL2"/>
        <w:spacing w:after="260" w:line="280" w:lineRule="exact"/>
        <w:ind w:right="0"/>
        <w:jc w:val="both"/>
        <w:rPr>
          <w:rFonts w:ascii="Times New Roman" w:hAnsi="Times New Roman"/>
        </w:rPr>
      </w:pPr>
      <w:r w:rsidRPr="00C06B3A">
        <w:rPr>
          <w:rFonts w:ascii="Times New Roman" w:hAnsi="Times New Roman"/>
        </w:rPr>
        <w:t>Section</w:t>
      </w:r>
      <w:r w:rsidR="00237495" w:rsidRPr="00C06B3A">
        <w:rPr>
          <w:rFonts w:ascii="Times New Roman" w:hAnsi="Times New Roman"/>
        </w:rPr>
        <w:t>s</w:t>
      </w:r>
      <w:r w:rsidRPr="00C06B3A">
        <w:rPr>
          <w:rFonts w:ascii="Times New Roman" w:hAnsi="Times New Roman"/>
        </w:rPr>
        <w:t> </w:t>
      </w:r>
      <w:r w:rsidR="00237495" w:rsidRPr="00C06B3A">
        <w:rPr>
          <w:rFonts w:ascii="Times New Roman" w:hAnsi="Times New Roman"/>
        </w:rPr>
        <w:t xml:space="preserve">29 and </w:t>
      </w:r>
      <w:r w:rsidRPr="00C06B3A">
        <w:rPr>
          <w:rFonts w:ascii="Times New Roman" w:hAnsi="Times New Roman"/>
        </w:rPr>
        <w:t>30(2)(f)</w:t>
      </w:r>
      <w:r w:rsidR="003E40E2" w:rsidRPr="00C06B3A">
        <w:rPr>
          <w:rFonts w:ascii="Times New Roman" w:hAnsi="Times New Roman"/>
        </w:rPr>
        <w:t xml:space="preserve"> of the HRSO Act</w:t>
      </w:r>
    </w:p>
    <w:p w14:paraId="04F27716" w14:textId="5613BEFE" w:rsidR="00411DB0" w:rsidRPr="00C06B3A" w:rsidRDefault="009A74DB"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07051B" w:rsidRPr="00C06B3A">
        <w:rPr>
          <w:rFonts w:ascii="Times New Roman" w:hAnsi="Times New Roman"/>
        </w:rPr>
        <w:t>It was said on Mr </w:t>
      </w:r>
      <w:proofErr w:type="spellStart"/>
      <w:r w:rsidR="0007051B" w:rsidRPr="00C06B3A">
        <w:rPr>
          <w:rFonts w:ascii="Times New Roman" w:hAnsi="Times New Roman"/>
        </w:rPr>
        <w:t>Garlett's</w:t>
      </w:r>
      <w:proofErr w:type="spellEnd"/>
      <w:r w:rsidR="0007051B" w:rsidRPr="00C06B3A">
        <w:rPr>
          <w:rFonts w:ascii="Times New Roman" w:hAnsi="Times New Roman"/>
        </w:rPr>
        <w:t xml:space="preserve"> behalf</w:t>
      </w:r>
      <w:r w:rsidR="001A7A21" w:rsidRPr="00C06B3A">
        <w:rPr>
          <w:rFonts w:ascii="Times New Roman" w:hAnsi="Times New Roman"/>
        </w:rPr>
        <w:t>,</w:t>
      </w:r>
      <w:r w:rsidR="0007051B" w:rsidRPr="00C06B3A">
        <w:rPr>
          <w:rFonts w:ascii="Times New Roman" w:hAnsi="Times New Roman"/>
        </w:rPr>
        <w:t xml:space="preserve"> </w:t>
      </w:r>
      <w:r w:rsidR="001A7A21" w:rsidRPr="00C06B3A">
        <w:rPr>
          <w:rFonts w:ascii="Times New Roman" w:hAnsi="Times New Roman"/>
        </w:rPr>
        <w:t xml:space="preserve">picking up an argument put on behalf of Mr Ryan, </w:t>
      </w:r>
      <w:r w:rsidR="0007051B" w:rsidRPr="00C06B3A">
        <w:rPr>
          <w:rFonts w:ascii="Times New Roman" w:hAnsi="Times New Roman"/>
        </w:rPr>
        <w:t>that the effect of s 30(2)(f)</w:t>
      </w:r>
      <w:r w:rsidR="0040298F" w:rsidRPr="00C06B3A">
        <w:rPr>
          <w:rFonts w:ascii="Times New Roman" w:hAnsi="Times New Roman"/>
        </w:rPr>
        <w:t xml:space="preserve"> of the HRSO Act</w:t>
      </w:r>
      <w:r w:rsidR="0007051B" w:rsidRPr="00C06B3A">
        <w:rPr>
          <w:rFonts w:ascii="Times New Roman" w:hAnsi="Times New Roman"/>
        </w:rPr>
        <w:t xml:space="preserve"> was that the making of a supervision order was a logical impossibility. This was said to demonstrate a restriction upon </w:t>
      </w:r>
      <w:r w:rsidR="001B36E0" w:rsidRPr="00C06B3A">
        <w:rPr>
          <w:rFonts w:ascii="Times New Roman" w:hAnsi="Times New Roman"/>
        </w:rPr>
        <w:t>the independence of the Court</w:t>
      </w:r>
      <w:r w:rsidR="0007051B" w:rsidRPr="00C06B3A">
        <w:rPr>
          <w:rFonts w:ascii="Times New Roman" w:hAnsi="Times New Roman"/>
        </w:rPr>
        <w:t xml:space="preserve"> inconsistent with the due exercise of judicial power. The problem was said to arise because</w:t>
      </w:r>
      <w:r w:rsidR="00096E0F" w:rsidRPr="00C06B3A">
        <w:rPr>
          <w:rFonts w:ascii="Times New Roman" w:hAnsi="Times New Roman"/>
        </w:rPr>
        <w:t>,</w:t>
      </w:r>
      <w:r w:rsidR="0007051B" w:rsidRPr="00C06B3A">
        <w:rPr>
          <w:rFonts w:ascii="Times New Roman" w:hAnsi="Times New Roman"/>
        </w:rPr>
        <w:t xml:space="preserve"> given that the State must be taken to have discharged the burden upon it under s 29, the offender could not discharge the onus cast upon him or her by s 30(2)(f). </w:t>
      </w:r>
    </w:p>
    <w:p w14:paraId="6120E454" w14:textId="0D26BC04" w:rsidR="0007051B" w:rsidRPr="00C06B3A" w:rsidRDefault="00411DB0"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r>
      <w:r w:rsidR="0007051B" w:rsidRPr="00C06B3A">
        <w:rPr>
          <w:rFonts w:ascii="Times New Roman" w:hAnsi="Times New Roman"/>
        </w:rPr>
        <w:t>Th</w:t>
      </w:r>
      <w:r w:rsidR="002401C0" w:rsidRPr="00C06B3A">
        <w:rPr>
          <w:rFonts w:ascii="Times New Roman" w:hAnsi="Times New Roman"/>
        </w:rPr>
        <w:t>is</w:t>
      </w:r>
      <w:r w:rsidR="0007051B" w:rsidRPr="00C06B3A">
        <w:rPr>
          <w:rFonts w:ascii="Times New Roman" w:hAnsi="Times New Roman"/>
        </w:rPr>
        <w:t xml:space="preserve"> </w:t>
      </w:r>
      <w:r w:rsidR="000A1E44" w:rsidRPr="00C06B3A">
        <w:rPr>
          <w:rFonts w:ascii="Times New Roman" w:hAnsi="Times New Roman"/>
        </w:rPr>
        <w:t>view</w:t>
      </w:r>
      <w:r w:rsidR="0007051B" w:rsidRPr="00C06B3A">
        <w:rPr>
          <w:rFonts w:ascii="Times New Roman" w:hAnsi="Times New Roman"/>
        </w:rPr>
        <w:t xml:space="preserve"> of the </w:t>
      </w:r>
      <w:r w:rsidR="002401C0" w:rsidRPr="00C06B3A">
        <w:rPr>
          <w:rFonts w:ascii="Times New Roman" w:hAnsi="Times New Roman"/>
        </w:rPr>
        <w:t xml:space="preserve">combined </w:t>
      </w:r>
      <w:r w:rsidR="0007051B" w:rsidRPr="00C06B3A">
        <w:rPr>
          <w:rFonts w:ascii="Times New Roman" w:hAnsi="Times New Roman"/>
        </w:rPr>
        <w:t xml:space="preserve">operation of </w:t>
      </w:r>
      <w:r w:rsidR="002401C0" w:rsidRPr="00C06B3A">
        <w:rPr>
          <w:rFonts w:ascii="Times New Roman" w:hAnsi="Times New Roman"/>
        </w:rPr>
        <w:t>s</w:t>
      </w:r>
      <w:r w:rsidR="00E20B35" w:rsidRPr="00C06B3A">
        <w:rPr>
          <w:rFonts w:ascii="Times New Roman" w:hAnsi="Times New Roman"/>
        </w:rPr>
        <w:t>s</w:t>
      </w:r>
      <w:r w:rsidR="002401C0" w:rsidRPr="00C06B3A">
        <w:rPr>
          <w:rFonts w:ascii="Times New Roman" w:hAnsi="Times New Roman"/>
        </w:rPr>
        <w:t xml:space="preserve"> 29 and </w:t>
      </w:r>
      <w:r w:rsidR="0007051B" w:rsidRPr="00C06B3A">
        <w:rPr>
          <w:rFonts w:ascii="Times New Roman" w:hAnsi="Times New Roman"/>
        </w:rPr>
        <w:t xml:space="preserve">30(2)(f) fails to </w:t>
      </w:r>
      <w:r w:rsidR="0044317C" w:rsidRPr="00C06B3A">
        <w:rPr>
          <w:rFonts w:ascii="Times New Roman" w:hAnsi="Times New Roman"/>
        </w:rPr>
        <w:t xml:space="preserve">appreciate </w:t>
      </w:r>
      <w:r w:rsidR="0007051B" w:rsidRPr="00C06B3A">
        <w:rPr>
          <w:rFonts w:ascii="Times New Roman" w:hAnsi="Times New Roman"/>
        </w:rPr>
        <w:t xml:space="preserve">that </w:t>
      </w:r>
      <w:r w:rsidR="005449CD" w:rsidRPr="00C06B3A">
        <w:rPr>
          <w:rFonts w:ascii="Times New Roman" w:hAnsi="Times New Roman"/>
        </w:rPr>
        <w:t>the</w:t>
      </w:r>
      <w:r w:rsidR="0007051B" w:rsidRPr="00C06B3A">
        <w:rPr>
          <w:rFonts w:ascii="Times New Roman" w:hAnsi="Times New Roman"/>
        </w:rPr>
        <w:t xml:space="preserve"> evaluation of whether or not an offender can discharge the onus of showing a likelihood that he or she will not commit any further serious offences while under a supervision order </w:t>
      </w:r>
      <w:r w:rsidR="000D03D1" w:rsidRPr="00C06B3A">
        <w:rPr>
          <w:rFonts w:ascii="Times New Roman" w:hAnsi="Times New Roman"/>
        </w:rPr>
        <w:t xml:space="preserve">must </w:t>
      </w:r>
      <w:r w:rsidR="0044317C" w:rsidRPr="00C06B3A">
        <w:rPr>
          <w:rFonts w:ascii="Times New Roman" w:hAnsi="Times New Roman"/>
        </w:rPr>
        <w:t>inevitably</w:t>
      </w:r>
      <w:r w:rsidR="004807F2" w:rsidRPr="00C06B3A">
        <w:rPr>
          <w:rFonts w:ascii="Times New Roman" w:hAnsi="Times New Roman"/>
        </w:rPr>
        <w:t xml:space="preserve"> be</w:t>
      </w:r>
      <w:r w:rsidR="0044317C" w:rsidRPr="00C06B3A">
        <w:rPr>
          <w:rFonts w:ascii="Times New Roman" w:hAnsi="Times New Roman"/>
        </w:rPr>
        <w:t xml:space="preserve"> </w:t>
      </w:r>
      <w:r w:rsidR="0007051B" w:rsidRPr="00C06B3A">
        <w:rPr>
          <w:rFonts w:ascii="Times New Roman" w:hAnsi="Times New Roman"/>
        </w:rPr>
        <w:t>affected by the restraints upon the offender's conduct</w:t>
      </w:r>
      <w:r w:rsidR="006B69A5" w:rsidRPr="00C06B3A">
        <w:rPr>
          <w:rFonts w:ascii="Times New Roman" w:hAnsi="Times New Roman"/>
        </w:rPr>
        <w:t xml:space="preserve"> imposed </w:t>
      </w:r>
      <w:r w:rsidR="0007051B" w:rsidRPr="00C06B3A">
        <w:rPr>
          <w:rFonts w:ascii="Times New Roman" w:hAnsi="Times New Roman"/>
        </w:rPr>
        <w:t>by the other conditions referred to in s 30(2)</w:t>
      </w:r>
      <w:r w:rsidR="00F25FAA" w:rsidRPr="00C06B3A">
        <w:rPr>
          <w:rFonts w:ascii="Times New Roman" w:hAnsi="Times New Roman"/>
        </w:rPr>
        <w:t>(</w:t>
      </w:r>
      <w:proofErr w:type="gramStart"/>
      <w:r w:rsidR="00F25FAA" w:rsidRPr="00C06B3A">
        <w:rPr>
          <w:rFonts w:ascii="Times New Roman" w:hAnsi="Times New Roman"/>
        </w:rPr>
        <w:t>a)</w:t>
      </w:r>
      <w:r w:rsidR="00F25FAA" w:rsidRPr="00C06B3A">
        <w:rPr>
          <w:rFonts w:ascii="Times New Roman" w:hAnsi="Times New Roman"/>
        </w:rPr>
        <w:noBreakHyphen/>
      </w:r>
      <w:proofErr w:type="gramEnd"/>
      <w:r w:rsidR="00F25FAA" w:rsidRPr="00C06B3A">
        <w:rPr>
          <w:rFonts w:ascii="Times New Roman" w:hAnsi="Times New Roman"/>
        </w:rPr>
        <w:t>(e)</w:t>
      </w:r>
      <w:r w:rsidR="005F786B" w:rsidRPr="00C06B3A">
        <w:rPr>
          <w:rFonts w:ascii="Times New Roman" w:hAnsi="Times New Roman"/>
        </w:rPr>
        <w:t xml:space="preserve"> and</w:t>
      </w:r>
      <w:r w:rsidR="00F25FAA" w:rsidRPr="00C06B3A">
        <w:rPr>
          <w:rFonts w:ascii="Times New Roman" w:hAnsi="Times New Roman"/>
        </w:rPr>
        <w:t xml:space="preserve"> (g)</w:t>
      </w:r>
      <w:r w:rsidR="0007051B" w:rsidRPr="00C06B3A">
        <w:rPr>
          <w:rFonts w:ascii="Times New Roman" w:hAnsi="Times New Roman"/>
        </w:rPr>
        <w:t xml:space="preserve"> of the HRSO</w:t>
      </w:r>
      <w:r w:rsidR="007F718D" w:rsidRPr="00C06B3A">
        <w:rPr>
          <w:rFonts w:ascii="Times New Roman" w:hAnsi="Times New Roman"/>
        </w:rPr>
        <w:t> </w:t>
      </w:r>
      <w:r w:rsidR="0007051B" w:rsidRPr="00C06B3A">
        <w:rPr>
          <w:rFonts w:ascii="Times New Roman" w:hAnsi="Times New Roman"/>
        </w:rPr>
        <w:t xml:space="preserve">Act. In </w:t>
      </w:r>
      <w:r w:rsidR="00592479" w:rsidRPr="00C06B3A">
        <w:rPr>
          <w:rFonts w:ascii="Times New Roman" w:hAnsi="Times New Roman"/>
        </w:rPr>
        <w:t xml:space="preserve">this regard, in </w:t>
      </w:r>
      <w:r w:rsidR="0007051B" w:rsidRPr="00C06B3A">
        <w:rPr>
          <w:rFonts w:ascii="Times New Roman" w:hAnsi="Times New Roman"/>
          <w:i/>
          <w:iCs/>
        </w:rPr>
        <w:t>Western Australia v ACJ</w:t>
      </w:r>
      <w:r w:rsidR="0007051B" w:rsidRPr="00C06B3A">
        <w:rPr>
          <w:rStyle w:val="FootnoteReference"/>
          <w:rFonts w:ascii="Times New Roman" w:hAnsi="Times New Roman"/>
          <w:iCs/>
          <w:sz w:val="24"/>
        </w:rPr>
        <w:footnoteReference w:id="128"/>
      </w:r>
      <w:r w:rsidR="0007051B" w:rsidRPr="00C06B3A">
        <w:rPr>
          <w:rFonts w:ascii="Times New Roman" w:hAnsi="Times New Roman"/>
        </w:rPr>
        <w:t xml:space="preserve">, </w:t>
      </w:r>
      <w:proofErr w:type="spellStart"/>
      <w:r w:rsidR="0007051B" w:rsidRPr="00C06B3A">
        <w:rPr>
          <w:rFonts w:ascii="Times New Roman" w:hAnsi="Times New Roman"/>
        </w:rPr>
        <w:t>Fiannaca</w:t>
      </w:r>
      <w:proofErr w:type="spellEnd"/>
      <w:r w:rsidR="0007051B" w:rsidRPr="00C06B3A">
        <w:rPr>
          <w:rFonts w:ascii="Times New Roman" w:hAnsi="Times New Roman"/>
        </w:rPr>
        <w:t xml:space="preserve"> J </w:t>
      </w:r>
      <w:r w:rsidR="00ED3FF1" w:rsidRPr="00C06B3A">
        <w:rPr>
          <w:rFonts w:ascii="Times New Roman" w:hAnsi="Times New Roman"/>
        </w:rPr>
        <w:t>observed</w:t>
      </w:r>
      <w:r w:rsidR="0007051B" w:rsidRPr="00C06B3A">
        <w:rPr>
          <w:rFonts w:ascii="Times New Roman" w:hAnsi="Times New Roman"/>
        </w:rPr>
        <w:t>:</w:t>
      </w:r>
    </w:p>
    <w:p w14:paraId="4A07584B" w14:textId="77777777" w:rsidR="00C06B3A" w:rsidRDefault="001C44E3" w:rsidP="00C06B3A">
      <w:pPr>
        <w:pStyle w:val="LeftrightafterHC"/>
        <w:spacing w:before="0" w:after="260" w:line="280" w:lineRule="exact"/>
        <w:ind w:right="0"/>
        <w:jc w:val="both"/>
        <w:rPr>
          <w:rFonts w:ascii="Times New Roman" w:hAnsi="Times New Roman"/>
        </w:rPr>
      </w:pPr>
      <w:r w:rsidRPr="00C06B3A">
        <w:rPr>
          <w:rFonts w:ascii="Times New Roman" w:hAnsi="Times New Roman"/>
        </w:rPr>
        <w:tab/>
      </w:r>
      <w:r w:rsidR="0007051B" w:rsidRPr="00C06B3A">
        <w:rPr>
          <w:rFonts w:ascii="Times New Roman" w:hAnsi="Times New Roman"/>
        </w:rPr>
        <w:t>"The question of whether the respondent will substantially comply with the standard conditions of the supervision order requires consideration of all of the circumstances</w:t>
      </w:r>
      <w:r w:rsidR="00661A73" w:rsidRPr="00C06B3A">
        <w:rPr>
          <w:rFonts w:ascii="Times New Roman" w:hAnsi="Times New Roman"/>
        </w:rPr>
        <w:t>,</w:t>
      </w:r>
      <w:r w:rsidR="0007051B" w:rsidRPr="00C06B3A">
        <w:rPr>
          <w:rFonts w:ascii="Times New Roman" w:hAnsi="Times New Roman"/>
        </w:rPr>
        <w:t xml:space="preserve"> both personal to him and external, which will affect him. External circumstances include the conditions of the supervision order, the available means to monitor, supervise and treat him, and any pro</w:t>
      </w:r>
      <w:r w:rsidRPr="00C06B3A">
        <w:rPr>
          <w:rFonts w:ascii="Times New Roman" w:hAnsi="Times New Roman"/>
        </w:rPr>
        <w:noBreakHyphen/>
      </w:r>
      <w:r w:rsidR="0007051B" w:rsidRPr="00C06B3A">
        <w:rPr>
          <w:rFonts w:ascii="Times New Roman" w:hAnsi="Times New Roman"/>
        </w:rPr>
        <w:t>social support available to him."</w:t>
      </w:r>
    </w:p>
    <w:p w14:paraId="1542876D" w14:textId="42517521" w:rsidR="0007051B" w:rsidRPr="00C06B3A" w:rsidRDefault="0007051B"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ED3FF1" w:rsidRPr="00C06B3A">
        <w:rPr>
          <w:rFonts w:ascii="Times New Roman" w:hAnsi="Times New Roman"/>
        </w:rPr>
        <w:t xml:space="preserve">These observations by </w:t>
      </w:r>
      <w:proofErr w:type="spellStart"/>
      <w:r w:rsidR="00ED3FF1" w:rsidRPr="00C06B3A">
        <w:rPr>
          <w:rFonts w:ascii="Times New Roman" w:hAnsi="Times New Roman"/>
        </w:rPr>
        <w:t>Fiannaca</w:t>
      </w:r>
      <w:proofErr w:type="spellEnd"/>
      <w:r w:rsidR="00ED3FF1" w:rsidRPr="00C06B3A">
        <w:rPr>
          <w:rFonts w:ascii="Times New Roman" w:hAnsi="Times New Roman"/>
        </w:rPr>
        <w:t> J</w:t>
      </w:r>
      <w:r w:rsidRPr="00C06B3A">
        <w:rPr>
          <w:rFonts w:ascii="Times New Roman" w:hAnsi="Times New Roman"/>
        </w:rPr>
        <w:t xml:space="preserve"> correctly state the operation of s 30(2)(f). </w:t>
      </w:r>
      <w:r w:rsidR="005449CD" w:rsidRPr="00C06B3A">
        <w:rPr>
          <w:rFonts w:ascii="Times New Roman" w:hAnsi="Times New Roman"/>
        </w:rPr>
        <w:t>T</w:t>
      </w:r>
      <w:r w:rsidRPr="00C06B3A">
        <w:rPr>
          <w:rFonts w:ascii="Times New Roman" w:hAnsi="Times New Roman"/>
        </w:rPr>
        <w:t>his understanding of</w:t>
      </w:r>
      <w:r w:rsidR="00245457" w:rsidRPr="00C06B3A">
        <w:rPr>
          <w:rFonts w:ascii="Times New Roman" w:hAnsi="Times New Roman"/>
        </w:rPr>
        <w:t xml:space="preserve"> the relationship between </w:t>
      </w:r>
      <w:r w:rsidR="001928E1" w:rsidRPr="00C06B3A">
        <w:rPr>
          <w:rFonts w:ascii="Times New Roman" w:hAnsi="Times New Roman"/>
        </w:rPr>
        <w:t>s</w:t>
      </w:r>
      <w:r w:rsidR="00245457" w:rsidRPr="00C06B3A">
        <w:rPr>
          <w:rFonts w:ascii="Times New Roman" w:hAnsi="Times New Roman"/>
        </w:rPr>
        <w:t>s 29 and</w:t>
      </w:r>
      <w:r w:rsidRPr="00C06B3A">
        <w:rPr>
          <w:rFonts w:ascii="Times New Roman" w:hAnsi="Times New Roman"/>
        </w:rPr>
        <w:t xml:space="preserve"> 30(2)(f) underpins the </w:t>
      </w:r>
      <w:r w:rsidR="005449CD" w:rsidRPr="00C06B3A">
        <w:rPr>
          <w:rFonts w:ascii="Times New Roman" w:hAnsi="Times New Roman"/>
        </w:rPr>
        <w:t>making of</w:t>
      </w:r>
      <w:r w:rsidRPr="00C06B3A">
        <w:rPr>
          <w:rFonts w:ascii="Times New Roman" w:hAnsi="Times New Roman"/>
        </w:rPr>
        <w:t xml:space="preserve"> numerous supervision orders by the Court</w:t>
      </w:r>
      <w:r w:rsidR="00791F1C" w:rsidRPr="00C06B3A">
        <w:rPr>
          <w:rStyle w:val="FootnoteReference"/>
          <w:rFonts w:ascii="Times New Roman" w:hAnsi="Times New Roman"/>
          <w:sz w:val="24"/>
        </w:rPr>
        <w:footnoteReference w:id="129"/>
      </w:r>
      <w:r w:rsidR="00791F1C" w:rsidRPr="00C06B3A">
        <w:rPr>
          <w:rFonts w:ascii="Times New Roman" w:hAnsi="Times New Roman"/>
        </w:rPr>
        <w:t>. T</w:t>
      </w:r>
      <w:r w:rsidR="006B69A5" w:rsidRPr="00C06B3A">
        <w:rPr>
          <w:rFonts w:ascii="Times New Roman" w:hAnsi="Times New Roman"/>
        </w:rPr>
        <w:t>he argument for Mr </w:t>
      </w:r>
      <w:proofErr w:type="spellStart"/>
      <w:r w:rsidR="006B69A5" w:rsidRPr="00C06B3A">
        <w:rPr>
          <w:rFonts w:ascii="Times New Roman" w:hAnsi="Times New Roman"/>
        </w:rPr>
        <w:t>Garlett</w:t>
      </w:r>
      <w:proofErr w:type="spellEnd"/>
      <w:r w:rsidR="006B69A5" w:rsidRPr="00C06B3A">
        <w:rPr>
          <w:rFonts w:ascii="Times New Roman" w:hAnsi="Times New Roman"/>
        </w:rPr>
        <w:t xml:space="preserve"> failed to acknowledge</w:t>
      </w:r>
      <w:r w:rsidR="00791F1C" w:rsidRPr="00C06B3A">
        <w:rPr>
          <w:rFonts w:ascii="Times New Roman" w:hAnsi="Times New Roman"/>
        </w:rPr>
        <w:t xml:space="preserve"> these decisions</w:t>
      </w:r>
      <w:r w:rsidR="006B69A5" w:rsidRPr="00C06B3A">
        <w:rPr>
          <w:rFonts w:ascii="Times New Roman" w:hAnsi="Times New Roman"/>
        </w:rPr>
        <w:t>.</w:t>
      </w:r>
    </w:p>
    <w:p w14:paraId="52228E4E" w14:textId="586A3F73" w:rsidR="00AB463E" w:rsidRPr="00C06B3A" w:rsidRDefault="00AB463E"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DF015A" w:rsidRPr="00C06B3A">
        <w:rPr>
          <w:rFonts w:ascii="Times New Roman" w:hAnsi="Times New Roman"/>
        </w:rPr>
        <w:t>I</w:t>
      </w:r>
      <w:r w:rsidR="006A424A" w:rsidRPr="00C06B3A">
        <w:rPr>
          <w:rFonts w:ascii="Times New Roman" w:hAnsi="Times New Roman"/>
        </w:rPr>
        <w:t>n</w:t>
      </w:r>
      <w:r w:rsidRPr="00C06B3A">
        <w:rPr>
          <w:rFonts w:ascii="Times New Roman" w:hAnsi="Times New Roman"/>
        </w:rPr>
        <w:t xml:space="preserve"> </w:t>
      </w:r>
      <w:r w:rsidRPr="00C06B3A">
        <w:rPr>
          <w:rFonts w:ascii="Times New Roman" w:hAnsi="Times New Roman"/>
          <w:i/>
          <w:iCs/>
        </w:rPr>
        <w:t>Attorney</w:t>
      </w:r>
      <w:r w:rsidRPr="00C06B3A">
        <w:rPr>
          <w:rFonts w:ascii="Times New Roman" w:hAnsi="Times New Roman"/>
          <w:i/>
          <w:iCs/>
        </w:rPr>
        <w:noBreakHyphen/>
        <w:t>General v Francis</w:t>
      </w:r>
      <w:r w:rsidRPr="00C06B3A">
        <w:rPr>
          <w:rStyle w:val="FootnoteReference"/>
          <w:rFonts w:ascii="Times New Roman" w:hAnsi="Times New Roman"/>
          <w:iCs/>
          <w:sz w:val="24"/>
        </w:rPr>
        <w:footnoteReference w:id="130"/>
      </w:r>
      <w:r w:rsidR="003B0A60" w:rsidRPr="00C06B3A">
        <w:rPr>
          <w:rFonts w:ascii="Times New Roman" w:hAnsi="Times New Roman"/>
          <w:iCs/>
        </w:rPr>
        <w:t>,</w:t>
      </w:r>
      <w:r w:rsidR="00BD4641" w:rsidRPr="00C06B3A">
        <w:rPr>
          <w:rFonts w:ascii="Times New Roman" w:hAnsi="Times New Roman"/>
        </w:rPr>
        <w:t xml:space="preserve"> the Court of Appeal of the Supreme Court of Queensland sa</w:t>
      </w:r>
      <w:r w:rsidR="007C3203" w:rsidRPr="00C06B3A">
        <w:rPr>
          <w:rFonts w:ascii="Times New Roman" w:hAnsi="Times New Roman"/>
        </w:rPr>
        <w:t>i</w:t>
      </w:r>
      <w:r w:rsidR="00BD4641" w:rsidRPr="00C06B3A">
        <w:rPr>
          <w:rFonts w:ascii="Times New Roman" w:hAnsi="Times New Roman"/>
        </w:rPr>
        <w:t>d</w:t>
      </w:r>
      <w:r w:rsidR="00454AEC" w:rsidRPr="00C06B3A">
        <w:rPr>
          <w:rFonts w:ascii="Times New Roman" w:hAnsi="Times New Roman"/>
        </w:rPr>
        <w:t>,</w:t>
      </w:r>
      <w:r w:rsidR="00BD4641" w:rsidRPr="00C06B3A">
        <w:rPr>
          <w:rFonts w:ascii="Times New Roman" w:hAnsi="Times New Roman"/>
        </w:rPr>
        <w:t xml:space="preserve"> in relation to the choice to be made by the </w:t>
      </w:r>
      <w:r w:rsidR="0003733E" w:rsidRPr="00C06B3A">
        <w:rPr>
          <w:rFonts w:ascii="Times New Roman" w:hAnsi="Times New Roman"/>
        </w:rPr>
        <w:t xml:space="preserve">Supreme </w:t>
      </w:r>
      <w:r w:rsidR="00BD4641" w:rsidRPr="00C06B3A">
        <w:rPr>
          <w:rFonts w:ascii="Times New Roman" w:hAnsi="Times New Roman"/>
        </w:rPr>
        <w:t>Court</w:t>
      </w:r>
      <w:r w:rsidR="0003733E" w:rsidRPr="00C06B3A">
        <w:rPr>
          <w:rFonts w:ascii="Times New Roman" w:hAnsi="Times New Roman"/>
        </w:rPr>
        <w:t xml:space="preserve"> of Queensland</w:t>
      </w:r>
      <w:r w:rsidR="00BD4641" w:rsidRPr="00C06B3A">
        <w:rPr>
          <w:rFonts w:ascii="Times New Roman" w:hAnsi="Times New Roman"/>
        </w:rPr>
        <w:t xml:space="preserve"> between a continuing detention order and a superv</w:t>
      </w:r>
      <w:r w:rsidR="00B27D65" w:rsidRPr="00C06B3A">
        <w:rPr>
          <w:rFonts w:ascii="Times New Roman" w:hAnsi="Times New Roman"/>
        </w:rPr>
        <w:t>i</w:t>
      </w:r>
      <w:r w:rsidR="00BD4641" w:rsidRPr="00C06B3A">
        <w:rPr>
          <w:rFonts w:ascii="Times New Roman" w:hAnsi="Times New Roman"/>
        </w:rPr>
        <w:t xml:space="preserve">sion order by </w:t>
      </w:r>
      <w:r w:rsidR="006A424A" w:rsidRPr="00C06B3A">
        <w:rPr>
          <w:rFonts w:ascii="Times New Roman" w:hAnsi="Times New Roman"/>
        </w:rPr>
        <w:t>the analogous provisions</w:t>
      </w:r>
      <w:r w:rsidR="00BD4641" w:rsidRPr="00C06B3A">
        <w:rPr>
          <w:rFonts w:ascii="Times New Roman" w:hAnsi="Times New Roman"/>
        </w:rPr>
        <w:t xml:space="preserve"> of the DPSO Act:</w:t>
      </w:r>
    </w:p>
    <w:p w14:paraId="3E80A095" w14:textId="77777777" w:rsidR="00C06B3A" w:rsidRDefault="00B27D65" w:rsidP="00C06B3A">
      <w:pPr>
        <w:pStyle w:val="LeftrightafterHC"/>
        <w:spacing w:before="0" w:after="260" w:line="280" w:lineRule="exact"/>
        <w:ind w:right="0"/>
        <w:jc w:val="both"/>
        <w:rPr>
          <w:rFonts w:ascii="Times New Roman" w:hAnsi="Times New Roman"/>
        </w:rPr>
      </w:pPr>
      <w:r w:rsidRPr="00C06B3A">
        <w:rPr>
          <w:rFonts w:ascii="Times New Roman" w:hAnsi="Times New Roman"/>
        </w:rPr>
        <w:t xml:space="preserve">"The question is whether the protection of the community is adequately ensured. If supervision of the prisoner is apt to ensure adequate protection, having regard to the risk to the community posed by the prisoner, then an order for supervised release should, in principle, be preferred to a continuing detention order on the basis that the intrusions of the </w:t>
      </w:r>
      <w:r w:rsidR="0003733E" w:rsidRPr="00C06B3A">
        <w:rPr>
          <w:rFonts w:ascii="Times New Roman" w:hAnsi="Times New Roman"/>
        </w:rPr>
        <w:t>[DPSO] </w:t>
      </w:r>
      <w:r w:rsidRPr="00C06B3A">
        <w:rPr>
          <w:rFonts w:ascii="Times New Roman" w:hAnsi="Times New Roman"/>
        </w:rPr>
        <w:t xml:space="preserve">Act upon the liberty of the subject are exceptional, and the liberty </w:t>
      </w:r>
      <w:r w:rsidRPr="00C06B3A">
        <w:rPr>
          <w:rFonts w:ascii="Times New Roman" w:hAnsi="Times New Roman"/>
        </w:rPr>
        <w:lastRenderedPageBreak/>
        <w:t>of the subject should be constrained to no greater extent than is warranted by the statute which authorised such constraint.</w:t>
      </w:r>
      <w:r w:rsidR="00382827" w:rsidRPr="00C06B3A">
        <w:rPr>
          <w:rFonts w:ascii="Times New Roman" w:hAnsi="Times New Roman"/>
        </w:rPr>
        <w:t>"</w:t>
      </w:r>
    </w:p>
    <w:p w14:paraId="3101318E" w14:textId="13BFC1F5" w:rsidR="00C113CE" w:rsidRPr="00C06B3A" w:rsidRDefault="00CA2630"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280921" w:rsidRPr="00C06B3A">
        <w:rPr>
          <w:rFonts w:ascii="Times New Roman" w:hAnsi="Times New Roman"/>
        </w:rPr>
        <w:t>That s </w:t>
      </w:r>
      <w:r w:rsidRPr="00C06B3A">
        <w:rPr>
          <w:rFonts w:ascii="Times New Roman" w:hAnsi="Times New Roman"/>
        </w:rPr>
        <w:t>29 of the HRSO</w:t>
      </w:r>
      <w:r w:rsidR="00556105" w:rsidRPr="00C06B3A">
        <w:rPr>
          <w:rFonts w:ascii="Times New Roman" w:hAnsi="Times New Roman"/>
        </w:rPr>
        <w:t> </w:t>
      </w:r>
      <w:r w:rsidRPr="00C06B3A">
        <w:rPr>
          <w:rFonts w:ascii="Times New Roman" w:hAnsi="Times New Roman"/>
        </w:rPr>
        <w:t>Act does not require a</w:t>
      </w:r>
      <w:r w:rsidR="007C5D43" w:rsidRPr="00C06B3A">
        <w:rPr>
          <w:rFonts w:ascii="Times New Roman" w:hAnsi="Times New Roman"/>
        </w:rPr>
        <w:t>n</w:t>
      </w:r>
      <w:r w:rsidRPr="00C06B3A">
        <w:rPr>
          <w:rFonts w:ascii="Times New Roman" w:hAnsi="Times New Roman"/>
        </w:rPr>
        <w:t xml:space="preserve"> approach</w:t>
      </w:r>
      <w:r w:rsidR="007C5D43" w:rsidRPr="00C06B3A">
        <w:rPr>
          <w:rFonts w:ascii="Times New Roman" w:hAnsi="Times New Roman"/>
        </w:rPr>
        <w:t xml:space="preserve"> different from that which has been accepted under the DPSO</w:t>
      </w:r>
      <w:r w:rsidR="00556105" w:rsidRPr="00C06B3A">
        <w:rPr>
          <w:rFonts w:ascii="Times New Roman" w:hAnsi="Times New Roman"/>
        </w:rPr>
        <w:t> </w:t>
      </w:r>
      <w:r w:rsidR="007C5D43" w:rsidRPr="00C06B3A">
        <w:rPr>
          <w:rFonts w:ascii="Times New Roman" w:hAnsi="Times New Roman"/>
        </w:rPr>
        <w:t>Act</w:t>
      </w:r>
      <w:r w:rsidRPr="00C06B3A">
        <w:rPr>
          <w:rFonts w:ascii="Times New Roman" w:hAnsi="Times New Roman"/>
        </w:rPr>
        <w:t xml:space="preserve"> has been </w:t>
      </w:r>
      <w:r w:rsidR="00280921" w:rsidRPr="00C06B3A">
        <w:rPr>
          <w:rFonts w:ascii="Times New Roman" w:hAnsi="Times New Roman"/>
        </w:rPr>
        <w:t>rightly</w:t>
      </w:r>
      <w:r w:rsidR="000711C8" w:rsidRPr="00C06B3A">
        <w:rPr>
          <w:rFonts w:ascii="Times New Roman" w:hAnsi="Times New Roman"/>
        </w:rPr>
        <w:t>,</w:t>
      </w:r>
      <w:r w:rsidR="00280921" w:rsidRPr="00C06B3A">
        <w:rPr>
          <w:rFonts w:ascii="Times New Roman" w:hAnsi="Times New Roman"/>
        </w:rPr>
        <w:t xml:space="preserve"> and </w:t>
      </w:r>
      <w:r w:rsidRPr="00C06B3A">
        <w:rPr>
          <w:rFonts w:ascii="Times New Roman" w:hAnsi="Times New Roman"/>
        </w:rPr>
        <w:t>consistently</w:t>
      </w:r>
      <w:r w:rsidR="000711C8" w:rsidRPr="00C06B3A">
        <w:rPr>
          <w:rFonts w:ascii="Times New Roman" w:hAnsi="Times New Roman"/>
        </w:rPr>
        <w:t>,</w:t>
      </w:r>
      <w:r w:rsidRPr="00C06B3A">
        <w:rPr>
          <w:rFonts w:ascii="Times New Roman" w:hAnsi="Times New Roman"/>
        </w:rPr>
        <w:t xml:space="preserve"> recognised</w:t>
      </w:r>
      <w:r w:rsidR="00FE3643" w:rsidRPr="00C06B3A">
        <w:rPr>
          <w:rFonts w:ascii="Times New Roman" w:hAnsi="Times New Roman"/>
        </w:rPr>
        <w:t xml:space="preserve"> by the Supreme Court of Western Australia</w:t>
      </w:r>
      <w:r w:rsidR="00791F1C" w:rsidRPr="00C06B3A">
        <w:rPr>
          <w:rStyle w:val="FootnoteReference"/>
          <w:rFonts w:ascii="Times New Roman" w:hAnsi="Times New Roman"/>
          <w:sz w:val="24"/>
        </w:rPr>
        <w:footnoteReference w:id="131"/>
      </w:r>
      <w:r w:rsidRPr="00C06B3A">
        <w:rPr>
          <w:rFonts w:ascii="Times New Roman" w:hAnsi="Times New Roman"/>
        </w:rPr>
        <w:t>.</w:t>
      </w:r>
      <w:r w:rsidR="0083174E" w:rsidRPr="00C06B3A">
        <w:rPr>
          <w:rFonts w:ascii="Times New Roman" w:hAnsi="Times New Roman"/>
        </w:rPr>
        <w:t xml:space="preserve"> </w:t>
      </w:r>
      <w:r w:rsidR="00C113CE" w:rsidRPr="00C06B3A">
        <w:rPr>
          <w:rFonts w:ascii="Times New Roman" w:hAnsi="Times New Roman"/>
        </w:rPr>
        <w:t xml:space="preserve">So, in </w:t>
      </w:r>
      <w:r w:rsidR="00C113CE" w:rsidRPr="00C06B3A">
        <w:rPr>
          <w:rFonts w:ascii="Times New Roman" w:hAnsi="Times New Roman"/>
          <w:i/>
          <w:iCs/>
        </w:rPr>
        <w:t>ACJ</w:t>
      </w:r>
      <w:r w:rsidR="00C113CE" w:rsidRPr="00C06B3A">
        <w:rPr>
          <w:rFonts w:ascii="Times New Roman" w:hAnsi="Times New Roman"/>
        </w:rPr>
        <w:t xml:space="preserve">, </w:t>
      </w:r>
      <w:proofErr w:type="spellStart"/>
      <w:r w:rsidR="00C113CE" w:rsidRPr="00C06B3A">
        <w:rPr>
          <w:rFonts w:ascii="Times New Roman" w:hAnsi="Times New Roman"/>
        </w:rPr>
        <w:t>Fiannaca</w:t>
      </w:r>
      <w:proofErr w:type="spellEnd"/>
      <w:r w:rsidR="00C113CE" w:rsidRPr="00C06B3A">
        <w:rPr>
          <w:rFonts w:ascii="Times New Roman" w:hAnsi="Times New Roman"/>
        </w:rPr>
        <w:t> J said of the operation of s 48 with s 7 of the HRSO Act</w:t>
      </w:r>
      <w:r w:rsidR="00556105" w:rsidRPr="00C06B3A">
        <w:rPr>
          <w:rStyle w:val="FootnoteReference"/>
          <w:rFonts w:ascii="Times New Roman" w:hAnsi="Times New Roman"/>
          <w:iCs/>
          <w:sz w:val="24"/>
        </w:rPr>
        <w:footnoteReference w:id="132"/>
      </w:r>
      <w:r w:rsidR="00C113CE" w:rsidRPr="00C06B3A">
        <w:rPr>
          <w:rFonts w:ascii="Times New Roman" w:hAnsi="Times New Roman"/>
        </w:rPr>
        <w:t>:</w:t>
      </w:r>
    </w:p>
    <w:p w14:paraId="2B82A701" w14:textId="77777777" w:rsidR="00C06B3A" w:rsidRDefault="00C113CE" w:rsidP="00C06B3A">
      <w:pPr>
        <w:pStyle w:val="LRIndentafterHC"/>
        <w:spacing w:before="0" w:after="260" w:line="280" w:lineRule="exact"/>
        <w:ind w:right="0"/>
        <w:jc w:val="both"/>
        <w:rPr>
          <w:rFonts w:ascii="Times New Roman" w:hAnsi="Times New Roman"/>
        </w:rPr>
      </w:pPr>
      <w:r w:rsidRPr="00C06B3A">
        <w:rPr>
          <w:rFonts w:ascii="Times New Roman" w:hAnsi="Times New Roman"/>
        </w:rPr>
        <w:t xml:space="preserve">"The court should make the order that is least invasive of the respondent's right to liberty, while at the same time ensuring an adequate degree of protection </w:t>
      </w:r>
      <w:r w:rsidR="00661A73" w:rsidRPr="00C06B3A">
        <w:rPr>
          <w:rFonts w:ascii="Times New Roman" w:hAnsi="Times New Roman"/>
        </w:rPr>
        <w:t xml:space="preserve">of </w:t>
      </w:r>
      <w:r w:rsidRPr="00C06B3A">
        <w:rPr>
          <w:rFonts w:ascii="Times New Roman" w:hAnsi="Times New Roman"/>
        </w:rPr>
        <w:t>the community, having regard to the paramount consideration stipulated in s 48(2)</w:t>
      </w:r>
      <w:r w:rsidRPr="00C06B3A">
        <w:rPr>
          <w:rStyle w:val="FootnoteReference"/>
          <w:rFonts w:ascii="Times New Roman" w:hAnsi="Times New Roman"/>
          <w:sz w:val="24"/>
        </w:rPr>
        <w:footnoteReference w:id="133"/>
      </w:r>
      <w:r w:rsidRPr="00C06B3A">
        <w:rPr>
          <w:rFonts w:ascii="Times New Roman" w:hAnsi="Times New Roman"/>
        </w:rPr>
        <w:t>. As was decided in respect of s 17(2) of the DSO</w:t>
      </w:r>
      <w:r w:rsidR="00A913A3" w:rsidRPr="00C06B3A">
        <w:rPr>
          <w:rFonts w:ascii="Times New Roman" w:hAnsi="Times New Roman"/>
        </w:rPr>
        <w:t> </w:t>
      </w:r>
      <w:r w:rsidRPr="00C06B3A">
        <w:rPr>
          <w:rFonts w:ascii="Times New Roman" w:hAnsi="Times New Roman"/>
        </w:rPr>
        <w:t xml:space="preserve">Act, that requirement does not exclude other considerations. Further, the use of the word </w:t>
      </w:r>
      <w:r w:rsidR="00A913A3" w:rsidRPr="00C06B3A">
        <w:rPr>
          <w:rFonts w:ascii="Times New Roman" w:hAnsi="Times New Roman"/>
        </w:rPr>
        <w:t>'</w:t>
      </w:r>
      <w:r w:rsidRPr="00C06B3A">
        <w:rPr>
          <w:rFonts w:ascii="Times New Roman" w:hAnsi="Times New Roman"/>
        </w:rPr>
        <w:t>adequate</w:t>
      </w:r>
      <w:r w:rsidR="00A913A3" w:rsidRPr="00C06B3A">
        <w:rPr>
          <w:rFonts w:ascii="Times New Roman" w:hAnsi="Times New Roman"/>
        </w:rPr>
        <w:t>'</w:t>
      </w:r>
      <w:r w:rsidRPr="00C06B3A">
        <w:rPr>
          <w:rFonts w:ascii="Times New Roman" w:hAnsi="Times New Roman"/>
        </w:rPr>
        <w:t xml:space="preserve"> indicates that a qualitative assessment is required. It cannot simply be assumed that the most assured preventative measure is detention and, therefore, the protection of the community will always favour such an order</w:t>
      </w:r>
      <w:r w:rsidRPr="00C06B3A">
        <w:rPr>
          <w:rStyle w:val="FootnoteReference"/>
          <w:rFonts w:ascii="Times New Roman" w:hAnsi="Times New Roman"/>
          <w:sz w:val="24"/>
        </w:rPr>
        <w:footnoteReference w:id="134"/>
      </w:r>
      <w:r w:rsidRPr="00C06B3A">
        <w:rPr>
          <w:rFonts w:ascii="Times New Roman" w:hAnsi="Times New Roman"/>
        </w:rPr>
        <w:t>.</w:t>
      </w:r>
      <w:r w:rsidR="00A913A3" w:rsidRPr="00C06B3A">
        <w:rPr>
          <w:rFonts w:ascii="Times New Roman" w:hAnsi="Times New Roman"/>
        </w:rPr>
        <w:t>"</w:t>
      </w:r>
    </w:p>
    <w:p w14:paraId="4F8D24CB" w14:textId="2C434389" w:rsidR="00F97EE1" w:rsidRPr="00C06B3A" w:rsidRDefault="00CB243F" w:rsidP="00C06B3A">
      <w:pPr>
        <w:pStyle w:val="HeadingL1"/>
        <w:spacing w:after="260" w:line="280" w:lineRule="exact"/>
        <w:ind w:right="0"/>
        <w:jc w:val="both"/>
        <w:rPr>
          <w:rFonts w:ascii="Times New Roman" w:hAnsi="Times New Roman"/>
        </w:rPr>
      </w:pPr>
      <w:r w:rsidRPr="00C06B3A">
        <w:rPr>
          <w:rFonts w:ascii="Times New Roman" w:hAnsi="Times New Roman"/>
        </w:rPr>
        <w:t>Conclusion</w:t>
      </w:r>
    </w:p>
    <w:p w14:paraId="703AD9FB" w14:textId="34425457" w:rsidR="006D2279" w:rsidRPr="00C06B3A" w:rsidRDefault="00611D58"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6D2279" w:rsidRPr="00C06B3A">
        <w:rPr>
          <w:rFonts w:ascii="Times New Roman" w:hAnsi="Times New Roman"/>
        </w:rPr>
        <w:t>The function of the Supreme Court of Western Australia under the HRSO</w:t>
      </w:r>
      <w:r w:rsidR="00A913A3" w:rsidRPr="00C06B3A">
        <w:rPr>
          <w:rFonts w:ascii="Times New Roman" w:hAnsi="Times New Roman"/>
        </w:rPr>
        <w:t> </w:t>
      </w:r>
      <w:r w:rsidR="006D2279" w:rsidRPr="00C06B3A">
        <w:rPr>
          <w:rFonts w:ascii="Times New Roman" w:hAnsi="Times New Roman"/>
        </w:rPr>
        <w:t>Act is not incompatible with the role of the Court as a repository of the judicial power of the Commonwealth. The HRSO</w:t>
      </w:r>
      <w:r w:rsidR="00A913A3" w:rsidRPr="00C06B3A">
        <w:rPr>
          <w:rFonts w:ascii="Times New Roman" w:hAnsi="Times New Roman"/>
        </w:rPr>
        <w:t> </w:t>
      </w:r>
      <w:r w:rsidR="006D2279" w:rsidRPr="00C06B3A">
        <w:rPr>
          <w:rFonts w:ascii="Times New Roman" w:hAnsi="Times New Roman"/>
        </w:rPr>
        <w:t xml:space="preserve">Act does not require the Court to give effect to any decision of the </w:t>
      </w:r>
      <w:r w:rsidR="00A913A3" w:rsidRPr="00C06B3A">
        <w:rPr>
          <w:rFonts w:ascii="Times New Roman" w:hAnsi="Times New Roman"/>
        </w:rPr>
        <w:t xml:space="preserve">legislature or the </w:t>
      </w:r>
      <w:r w:rsidR="006D2279" w:rsidRPr="00C06B3A">
        <w:rPr>
          <w:rFonts w:ascii="Times New Roman" w:hAnsi="Times New Roman"/>
        </w:rPr>
        <w:t>executive government. Rather</w:t>
      </w:r>
      <w:r w:rsidR="00661A73" w:rsidRPr="00C06B3A">
        <w:rPr>
          <w:rFonts w:ascii="Times New Roman" w:hAnsi="Times New Roman"/>
        </w:rPr>
        <w:t>,</w:t>
      </w:r>
      <w:r w:rsidR="006D2279" w:rsidRPr="00C06B3A">
        <w:rPr>
          <w:rFonts w:ascii="Times New Roman" w:hAnsi="Times New Roman"/>
        </w:rPr>
        <w:t xml:space="preserve"> the Court, in making a restriction order, is required to act upon its own evaluative judgment, by reference to prescribed criteria</w:t>
      </w:r>
      <w:r w:rsidR="000F7B37">
        <w:rPr>
          <w:rFonts w:ascii="Times New Roman" w:hAnsi="Times New Roman"/>
        </w:rPr>
        <w:t>,</w:t>
      </w:r>
      <w:r w:rsidR="006D2279" w:rsidRPr="00C06B3A">
        <w:rPr>
          <w:rFonts w:ascii="Times New Roman" w:hAnsi="Times New Roman"/>
        </w:rPr>
        <w:t xml:space="preserve"> </w:t>
      </w:r>
      <w:proofErr w:type="gramStart"/>
      <w:r w:rsidR="006D2279" w:rsidRPr="00C06B3A">
        <w:rPr>
          <w:rFonts w:ascii="Times New Roman" w:hAnsi="Times New Roman"/>
        </w:rPr>
        <w:t>in order to</w:t>
      </w:r>
      <w:proofErr w:type="gramEnd"/>
      <w:r w:rsidR="006D2279" w:rsidRPr="00C06B3A">
        <w:rPr>
          <w:rFonts w:ascii="Times New Roman" w:hAnsi="Times New Roman"/>
        </w:rPr>
        <w:t xml:space="preserve"> determine whether such an order is necessary for the purpose of protecting the community from harm. The performance by the Court of this function proceeds by processes which are familiar aspects of the exercise of judicial power</w:t>
      </w:r>
      <w:r w:rsidR="006D2279" w:rsidRPr="00C06B3A">
        <w:rPr>
          <w:rStyle w:val="FootnoteReference"/>
          <w:rFonts w:ascii="Times New Roman" w:hAnsi="Times New Roman"/>
          <w:sz w:val="24"/>
        </w:rPr>
        <w:footnoteReference w:id="135"/>
      </w:r>
      <w:r w:rsidR="006D2279" w:rsidRPr="00C06B3A">
        <w:rPr>
          <w:rFonts w:ascii="Times New Roman" w:hAnsi="Times New Roman"/>
        </w:rPr>
        <w:t>.</w:t>
      </w:r>
    </w:p>
    <w:p w14:paraId="6072388C" w14:textId="18E0EDFA" w:rsidR="00EA4E3F" w:rsidRPr="00C06B3A" w:rsidRDefault="009621DD" w:rsidP="00C06B3A">
      <w:pPr>
        <w:pStyle w:val="FixListStyle"/>
        <w:spacing w:after="260" w:line="280" w:lineRule="exact"/>
        <w:ind w:right="0"/>
        <w:jc w:val="both"/>
        <w:rPr>
          <w:rFonts w:ascii="Times New Roman" w:hAnsi="Times New Roman"/>
        </w:rPr>
      </w:pPr>
      <w:r w:rsidRPr="00C06B3A">
        <w:rPr>
          <w:rFonts w:ascii="Times New Roman" w:hAnsi="Times New Roman"/>
        </w:rPr>
        <w:tab/>
      </w:r>
      <w:r w:rsidR="00EA4E3F" w:rsidRPr="00C06B3A">
        <w:rPr>
          <w:rFonts w:ascii="Times New Roman" w:hAnsi="Times New Roman"/>
        </w:rPr>
        <w:t xml:space="preserve">The challenge to the validity of </w:t>
      </w:r>
      <w:r w:rsidRPr="00C06B3A">
        <w:rPr>
          <w:rFonts w:ascii="Times New Roman" w:hAnsi="Times New Roman"/>
        </w:rPr>
        <w:t>i</w:t>
      </w:r>
      <w:r w:rsidR="00EA4E3F" w:rsidRPr="00C06B3A">
        <w:rPr>
          <w:rFonts w:ascii="Times New Roman" w:hAnsi="Times New Roman"/>
        </w:rPr>
        <w:t xml:space="preserve">tem 34 of </w:t>
      </w:r>
      <w:proofErr w:type="spellStart"/>
      <w:r w:rsidR="00CD0C06" w:rsidRPr="00C06B3A">
        <w:rPr>
          <w:rFonts w:ascii="Times New Roman" w:hAnsi="Times New Roman"/>
        </w:rPr>
        <w:t>Subdiv</w:t>
      </w:r>
      <w:proofErr w:type="spellEnd"/>
      <w:r w:rsidR="00CD0C06" w:rsidRPr="00C06B3A">
        <w:rPr>
          <w:rFonts w:ascii="Times New Roman" w:hAnsi="Times New Roman"/>
        </w:rPr>
        <w:t xml:space="preserve"> 3 of </w:t>
      </w:r>
      <w:proofErr w:type="spellStart"/>
      <w:r w:rsidR="00CD0C06" w:rsidRPr="00C06B3A">
        <w:rPr>
          <w:rFonts w:ascii="Times New Roman" w:hAnsi="Times New Roman"/>
        </w:rPr>
        <w:t>Div</w:t>
      </w:r>
      <w:proofErr w:type="spellEnd"/>
      <w:r w:rsidR="00CD0C06" w:rsidRPr="00C06B3A">
        <w:rPr>
          <w:rFonts w:ascii="Times New Roman" w:hAnsi="Times New Roman"/>
        </w:rPr>
        <w:t xml:space="preserve"> 1 of </w:t>
      </w:r>
      <w:r w:rsidR="00EA4E3F" w:rsidRPr="00C06B3A">
        <w:rPr>
          <w:rFonts w:ascii="Times New Roman" w:hAnsi="Times New Roman"/>
        </w:rPr>
        <w:t>Sch 1 to the HRSO</w:t>
      </w:r>
      <w:r w:rsidR="00ED69DD" w:rsidRPr="00C06B3A">
        <w:rPr>
          <w:rFonts w:ascii="Times New Roman" w:hAnsi="Times New Roman"/>
        </w:rPr>
        <w:t> </w:t>
      </w:r>
      <w:r w:rsidR="00EA4E3F" w:rsidRPr="00C06B3A">
        <w:rPr>
          <w:rFonts w:ascii="Times New Roman" w:hAnsi="Times New Roman"/>
        </w:rPr>
        <w:t>Act fails.</w:t>
      </w:r>
    </w:p>
    <w:p w14:paraId="4478A0FB" w14:textId="77777777" w:rsidR="00E3198A" w:rsidRDefault="00EA4E3F" w:rsidP="00C06B3A">
      <w:pPr>
        <w:pStyle w:val="FixListStyle"/>
        <w:spacing w:after="260" w:line="280" w:lineRule="exact"/>
        <w:ind w:right="0"/>
        <w:jc w:val="both"/>
        <w:rPr>
          <w:rFonts w:ascii="Times New Roman" w:hAnsi="Times New Roman"/>
        </w:rPr>
      </w:pPr>
      <w:r w:rsidRPr="00C06B3A">
        <w:rPr>
          <w:rFonts w:ascii="Times New Roman" w:hAnsi="Times New Roman"/>
        </w:rPr>
        <w:lastRenderedPageBreak/>
        <w:tab/>
      </w:r>
      <w:r w:rsidR="00B76353" w:rsidRPr="00C06B3A">
        <w:rPr>
          <w:rFonts w:ascii="Times New Roman" w:hAnsi="Times New Roman"/>
        </w:rPr>
        <w:t>That part of the appeal pending in the Court of Appeal of the Supreme Court of Western Australia which was removed into the High Court of Australia should be dismissed.</w:t>
      </w:r>
    </w:p>
    <w:p w14:paraId="1298750C" w14:textId="77777777" w:rsidR="00E3198A" w:rsidRDefault="00E3198A" w:rsidP="00C06B3A">
      <w:pPr>
        <w:pStyle w:val="FixListStyle"/>
        <w:spacing w:after="260" w:line="280" w:lineRule="exact"/>
        <w:ind w:right="0"/>
        <w:jc w:val="both"/>
        <w:rPr>
          <w:rFonts w:ascii="Times New Roman" w:hAnsi="Times New Roman"/>
        </w:rPr>
        <w:sectPr w:rsidR="00E3198A" w:rsidSect="00F77E33">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526AFE57" w14:textId="77777777" w:rsidR="00E3198A" w:rsidRPr="00E61F4C" w:rsidRDefault="00E3198A" w:rsidP="00E3198A">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E61F4C">
        <w:rPr>
          <w:rFonts w:ascii="Times New Roman" w:hAnsi="Times New Roman"/>
        </w:rPr>
        <w:lastRenderedPageBreak/>
        <w:t>GAGELER J.   This appeal tests the scope and contemporary veracity of the canonical observation in the joint reasons for judgment in </w:t>
      </w:r>
      <w:r w:rsidRPr="00E61F4C">
        <w:rPr>
          <w:rFonts w:ascii="Times New Roman" w:hAnsi="Times New Roman"/>
          <w:i/>
          <w:iCs/>
        </w:rPr>
        <w:t>Chu Kheng Lim v Minister for Immigration, Local Government and Ethnic Affairs</w:t>
      </w:r>
      <w:r w:rsidRPr="00E61F4C">
        <w:rPr>
          <w:rStyle w:val="FootnoteReference"/>
          <w:rFonts w:ascii="Times New Roman" w:hAnsi="Times New Roman"/>
          <w:iCs/>
          <w:sz w:val="24"/>
        </w:rPr>
        <w:footnoteReference w:id="136"/>
      </w:r>
      <w:r w:rsidRPr="00E61F4C">
        <w:rPr>
          <w:rFonts w:ascii="Times New Roman" w:hAnsi="Times New Roman"/>
        </w:rPr>
        <w:t xml:space="preserve"> that, "exceptional cases" aside, "the involuntary detention of a citizen in custody by the [s]</w:t>
      </w:r>
      <w:proofErr w:type="spellStart"/>
      <w:r w:rsidRPr="00E61F4C">
        <w:rPr>
          <w:rFonts w:ascii="Times New Roman" w:hAnsi="Times New Roman"/>
        </w:rPr>
        <w:t>tate</w:t>
      </w:r>
      <w:proofErr w:type="spellEnd"/>
      <w:r w:rsidRPr="00E61F4C">
        <w:rPr>
          <w:rFonts w:ascii="Times New Roman" w:hAnsi="Times New Roman"/>
        </w:rPr>
        <w:t xml:space="preserve"> is penal or punitive in character and, under our system of government, exists only as an incident of the exclusively judicial function of adjudging and punishing criminal guilt".  </w:t>
      </w:r>
    </w:p>
    <w:p w14:paraId="6DAC405F" w14:textId="77777777" w:rsidR="00E3198A" w:rsidRPr="00E61F4C" w:rsidRDefault="00E3198A" w:rsidP="00E61F4C">
      <w:pPr>
        <w:pStyle w:val="HeadingL1"/>
        <w:spacing w:after="260" w:line="280" w:lineRule="exact"/>
        <w:ind w:right="0"/>
        <w:jc w:val="both"/>
        <w:rPr>
          <w:rFonts w:ascii="Times New Roman" w:hAnsi="Times New Roman"/>
        </w:rPr>
      </w:pPr>
      <w:r w:rsidRPr="00E61F4C">
        <w:rPr>
          <w:rFonts w:ascii="Times New Roman" w:hAnsi="Times New Roman"/>
        </w:rPr>
        <w:t xml:space="preserve">Ch III: </w:t>
      </w:r>
      <w:r w:rsidRPr="00E61F4C">
        <w:rPr>
          <w:rFonts w:ascii="Times New Roman" w:hAnsi="Times New Roman"/>
          <w:i/>
        </w:rPr>
        <w:t>Boilermakers</w:t>
      </w:r>
      <w:r w:rsidRPr="00E61F4C">
        <w:rPr>
          <w:rFonts w:ascii="Times New Roman" w:hAnsi="Times New Roman"/>
        </w:rPr>
        <w:t xml:space="preserve"> and </w:t>
      </w:r>
      <w:r w:rsidRPr="00E61F4C">
        <w:rPr>
          <w:rFonts w:ascii="Times New Roman" w:hAnsi="Times New Roman"/>
          <w:i/>
        </w:rPr>
        <w:t>Kable</w:t>
      </w:r>
    </w:p>
    <w:p w14:paraId="042E6484"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w:t>
      </w:r>
      <w:r w:rsidRPr="00E61F4C">
        <w:rPr>
          <w:rFonts w:ascii="Times New Roman" w:hAnsi="Times New Roman"/>
          <w:i/>
        </w:rPr>
        <w:t xml:space="preserve">Lim </w:t>
      </w:r>
      <w:r w:rsidRPr="00E61F4C">
        <w:rPr>
          <w:rFonts w:ascii="Times New Roman" w:hAnsi="Times New Roman"/>
        </w:rPr>
        <w:t xml:space="preserve">observation was framed as an observation about the relationship between the citizen and the state under our system of government. It was made in the context of expounding an implication of the structural separation of the "judicial power of the Commonwealth" effected by Ch III of the </w:t>
      </w:r>
      <w:r w:rsidRPr="00E61F4C">
        <w:rPr>
          <w:rFonts w:ascii="Times New Roman" w:hAnsi="Times New Roman"/>
          <w:i/>
        </w:rPr>
        <w:t>Constitution</w:t>
      </w:r>
      <w:r w:rsidRPr="00E61F4C">
        <w:rPr>
          <w:rFonts w:ascii="Times New Roman" w:hAnsi="Times New Roman"/>
        </w:rPr>
        <w:t xml:space="preserve">. That structural separation constitutes "the </w:t>
      </w:r>
      <w:r w:rsidRPr="00E61F4C">
        <w:rPr>
          <w:rFonts w:ascii="Times New Roman" w:hAnsi="Times New Roman"/>
          <w:i/>
        </w:rPr>
        <w:t>Constitution</w:t>
      </w:r>
      <w:r w:rsidRPr="00E61F4C">
        <w:rPr>
          <w:rFonts w:ascii="Times New Roman" w:hAnsi="Times New Roman"/>
        </w:rPr>
        <w:t>'s only general guarantee of due process"; yet its implications are "far</w:t>
      </w:r>
      <w:r w:rsidRPr="00E61F4C">
        <w:rPr>
          <w:rFonts w:ascii="Times New Roman" w:hAnsi="Times New Roman"/>
        </w:rPr>
        <w:noBreakHyphen/>
        <w:t>reaching"</w:t>
      </w:r>
      <w:r w:rsidRPr="00E61F4C">
        <w:rPr>
          <w:rStyle w:val="FootnoteReference"/>
          <w:rFonts w:ascii="Times New Roman" w:hAnsi="Times New Roman"/>
          <w:sz w:val="24"/>
        </w:rPr>
        <w:footnoteReference w:id="137"/>
      </w:r>
      <w:r w:rsidRPr="00E61F4C">
        <w:rPr>
          <w:rFonts w:ascii="Times New Roman" w:hAnsi="Times New Roman"/>
        </w:rPr>
        <w:t xml:space="preserve">. </w:t>
      </w:r>
    </w:p>
    <w:p w14:paraId="02D2D3EE"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structural separation of the judicial power of the Commonwealth effected by Ch III of the </w:t>
      </w:r>
      <w:r w:rsidRPr="00E61F4C">
        <w:rPr>
          <w:rFonts w:ascii="Times New Roman" w:hAnsi="Times New Roman"/>
          <w:i/>
        </w:rPr>
        <w:t>Constitution</w:t>
      </w:r>
      <w:r w:rsidRPr="00E61F4C">
        <w:rPr>
          <w:rFonts w:ascii="Times New Roman" w:hAnsi="Times New Roman"/>
        </w:rPr>
        <w:t xml:space="preserve"> had been recognised before </w:t>
      </w:r>
      <w:r w:rsidRPr="00E61F4C">
        <w:rPr>
          <w:rFonts w:ascii="Times New Roman" w:hAnsi="Times New Roman"/>
          <w:i/>
        </w:rPr>
        <w:t>Lim</w:t>
      </w:r>
      <w:r w:rsidRPr="00E61F4C">
        <w:rPr>
          <w:rFonts w:ascii="Times New Roman" w:hAnsi="Times New Roman"/>
          <w:iCs/>
        </w:rPr>
        <w:t>.</w:t>
      </w:r>
      <w:r w:rsidRPr="00E61F4C">
        <w:rPr>
          <w:rFonts w:ascii="Times New Roman" w:hAnsi="Times New Roman"/>
        </w:rPr>
        <w:t xml:space="preserve"> </w:t>
      </w:r>
      <w:r w:rsidRPr="00E61F4C">
        <w:rPr>
          <w:rFonts w:ascii="Times New Roman" w:hAnsi="Times New Roman"/>
          <w:iCs/>
        </w:rPr>
        <w:t xml:space="preserve">It </w:t>
      </w:r>
      <w:r w:rsidRPr="00E61F4C">
        <w:rPr>
          <w:rFonts w:ascii="Times New Roman" w:hAnsi="Times New Roman"/>
        </w:rPr>
        <w:t xml:space="preserve">had come to be associated with </w:t>
      </w:r>
      <w:r w:rsidRPr="00E61F4C">
        <w:rPr>
          <w:rFonts w:ascii="Times New Roman" w:hAnsi="Times New Roman"/>
          <w:i/>
        </w:rPr>
        <w:t xml:space="preserve">R v Kirby; Ex </w:t>
      </w:r>
      <w:proofErr w:type="spellStart"/>
      <w:r w:rsidRPr="00E61F4C">
        <w:rPr>
          <w:rFonts w:ascii="Times New Roman" w:hAnsi="Times New Roman"/>
          <w:i/>
        </w:rPr>
        <w:t>parte</w:t>
      </w:r>
      <w:proofErr w:type="spellEnd"/>
      <w:r w:rsidRPr="00E61F4C">
        <w:rPr>
          <w:rFonts w:ascii="Times New Roman" w:hAnsi="Times New Roman"/>
          <w:i/>
        </w:rPr>
        <w:t xml:space="preserve"> Boilermakers' Society of Australia</w:t>
      </w:r>
      <w:r w:rsidRPr="00E61F4C">
        <w:rPr>
          <w:rStyle w:val="FootnoteReference"/>
          <w:rFonts w:ascii="Times New Roman" w:hAnsi="Times New Roman"/>
          <w:sz w:val="24"/>
        </w:rPr>
        <w:footnoteReference w:id="138"/>
      </w:r>
      <w:r w:rsidRPr="00E61F4C">
        <w:rPr>
          <w:rFonts w:ascii="Times New Roman" w:hAnsi="Times New Roman"/>
        </w:rPr>
        <w:t xml:space="preserve">. The structural separation operates first and foremost to restrict the legislative capacity of the Commonwealth Parliament. It implies that the Commonwealth Parliament: cannot itself exercise any part of the judicial power of the Commonwealth; cannot confer authority to exercise any part of the judicial power of the Commonwealth other than on a court; and cannot confer on a court any authority which is not part of, or incidental to, the judicial power of the Commonwealth. </w:t>
      </w:r>
    </w:p>
    <w:p w14:paraId="6D18F8DF"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w:t>
      </w:r>
      <w:r w:rsidRPr="00E61F4C">
        <w:rPr>
          <w:rFonts w:ascii="Times New Roman" w:hAnsi="Times New Roman"/>
          <w:i/>
        </w:rPr>
        <w:t xml:space="preserve">Lim </w:t>
      </w:r>
      <w:r w:rsidRPr="00E61F4C">
        <w:rPr>
          <w:rFonts w:ascii="Times New Roman" w:hAnsi="Times New Roman"/>
        </w:rPr>
        <w:t>observation was made in the context of examining the second of those implied restrictions on Commonwealth legislative power. The observation led in that context to the specific conclusion that, with limited exceptions, "the citizens of this country enjoy ... constitutional immunity from being imprisoned by Commonwealth authority except pursuant to an order by a court in the exercise of the judicial power of the Commonwealth"</w:t>
      </w:r>
      <w:r w:rsidRPr="00E61F4C">
        <w:rPr>
          <w:rStyle w:val="FootnoteReference"/>
          <w:rFonts w:ascii="Times New Roman" w:hAnsi="Times New Roman"/>
          <w:sz w:val="24"/>
        </w:rPr>
        <w:footnoteReference w:id="139"/>
      </w:r>
      <w:r w:rsidRPr="00E61F4C">
        <w:rPr>
          <w:rFonts w:ascii="Times New Roman" w:hAnsi="Times New Roman"/>
        </w:rPr>
        <w:t>. However, the import of the observation is much broader than that.</w:t>
      </w:r>
    </w:p>
    <w:p w14:paraId="721071AE"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lastRenderedPageBreak/>
        <w:tab/>
        <w:t xml:space="preserve">To appreciate the import of the </w:t>
      </w:r>
      <w:r w:rsidRPr="00E61F4C">
        <w:rPr>
          <w:rFonts w:ascii="Times New Roman" w:hAnsi="Times New Roman"/>
          <w:i/>
        </w:rPr>
        <w:t xml:space="preserve">Lim </w:t>
      </w:r>
      <w:r w:rsidRPr="00E61F4C">
        <w:rPr>
          <w:rFonts w:ascii="Times New Roman" w:hAnsi="Times New Roman"/>
        </w:rPr>
        <w:t xml:space="preserve">observation, and </w:t>
      </w:r>
      <w:proofErr w:type="gramStart"/>
      <w:r w:rsidRPr="00E61F4C">
        <w:rPr>
          <w:rFonts w:ascii="Times New Roman" w:hAnsi="Times New Roman"/>
        </w:rPr>
        <w:t>in particular to</w:t>
      </w:r>
      <w:proofErr w:type="gramEnd"/>
      <w:r w:rsidRPr="00E61F4C">
        <w:rPr>
          <w:rFonts w:ascii="Times New Roman" w:hAnsi="Times New Roman"/>
        </w:rPr>
        <w:t xml:space="preserve"> appreciate the generality of its reference to our system of government, it is necessary to begin by noting the range of courts on which the Commonwealth Parliament is permitted to confer the judicial power of the Commonwealth and in respect of which the Commonwealth Parliament is correspondingly restricted from conferring non-judicial power. Those courts are not confined to the High Court</w:t>
      </w:r>
      <w:r w:rsidRPr="00E61F4C">
        <w:rPr>
          <w:rStyle w:val="FootnoteReference"/>
          <w:rFonts w:ascii="Times New Roman" w:hAnsi="Times New Roman"/>
          <w:sz w:val="24"/>
        </w:rPr>
        <w:footnoteReference w:id="140"/>
      </w:r>
      <w:r w:rsidRPr="00E61F4C">
        <w:rPr>
          <w:rFonts w:ascii="Times New Roman" w:hAnsi="Times New Roman"/>
        </w:rPr>
        <w:t xml:space="preserve"> and other federal courts created by the Commonwealth Parliament</w:t>
      </w:r>
      <w:r w:rsidRPr="00E61F4C">
        <w:rPr>
          <w:rStyle w:val="FootnoteReference"/>
          <w:rFonts w:ascii="Times New Roman" w:hAnsi="Times New Roman"/>
          <w:sz w:val="24"/>
        </w:rPr>
        <w:footnoteReference w:id="141"/>
      </w:r>
      <w:r w:rsidRPr="00E61F4C">
        <w:rPr>
          <w:rFonts w:ascii="Times New Roman" w:hAnsi="Times New Roman"/>
        </w:rPr>
        <w:t>. They encompass all State courts</w:t>
      </w:r>
      <w:r w:rsidRPr="00E61F4C">
        <w:rPr>
          <w:rStyle w:val="FootnoteReference"/>
          <w:rFonts w:ascii="Times New Roman" w:hAnsi="Times New Roman"/>
          <w:sz w:val="24"/>
        </w:rPr>
        <w:footnoteReference w:id="142"/>
      </w:r>
      <w:r w:rsidRPr="00E61F4C">
        <w:rPr>
          <w:rFonts w:ascii="Times New Roman" w:hAnsi="Times New Roman"/>
        </w:rPr>
        <w:t>, together with all Territory courts</w:t>
      </w:r>
      <w:r w:rsidRPr="00E61F4C">
        <w:rPr>
          <w:rStyle w:val="FootnoteReference"/>
          <w:rFonts w:ascii="Times New Roman" w:hAnsi="Times New Roman"/>
          <w:sz w:val="24"/>
        </w:rPr>
        <w:footnoteReference w:id="143"/>
      </w:r>
      <w:r w:rsidRPr="00E61F4C">
        <w:rPr>
          <w:rFonts w:ascii="Times New Roman" w:hAnsi="Times New Roman"/>
        </w:rPr>
        <w:t>. In short, they encompass all courts in Australia.</w:t>
      </w:r>
    </w:p>
    <w:p w14:paraId="7BE61BEA"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A "court" within the meaning of Ch III is an institution for the administration of justice</w:t>
      </w:r>
      <w:r w:rsidRPr="00E61F4C">
        <w:rPr>
          <w:rStyle w:val="FootnoteReference"/>
          <w:rFonts w:ascii="Times New Roman" w:hAnsi="Times New Roman"/>
          <w:sz w:val="24"/>
        </w:rPr>
        <w:footnoteReference w:id="144"/>
      </w:r>
      <w:r w:rsidRPr="00E61F4C">
        <w:rPr>
          <w:rFonts w:ascii="Times New Roman" w:hAnsi="Times New Roman"/>
        </w:rPr>
        <w:t>: "an independent and impartial tribunal"</w:t>
      </w:r>
      <w:r w:rsidRPr="00E61F4C">
        <w:rPr>
          <w:rStyle w:val="FootnoteReference"/>
          <w:rFonts w:ascii="Times New Roman" w:hAnsi="Times New Roman"/>
          <w:sz w:val="24"/>
        </w:rPr>
        <w:footnoteReference w:id="145"/>
      </w:r>
      <w:r w:rsidRPr="00E61F4C">
        <w:rPr>
          <w:rFonts w:ascii="Times New Roman" w:hAnsi="Times New Roman"/>
        </w:rPr>
        <w:t xml:space="preserve"> having the institutional capacity to exercise "the power which every sovereign authority must of necessity have to decide controversies between its subjects, or between itself and its subjects, whether the rights relate to life, liberty or property"</w:t>
      </w:r>
      <w:r w:rsidRPr="00E61F4C">
        <w:rPr>
          <w:rStyle w:val="FootnoteReference"/>
          <w:rFonts w:ascii="Times New Roman" w:hAnsi="Times New Roman"/>
          <w:sz w:val="24"/>
        </w:rPr>
        <w:footnoteReference w:id="146"/>
      </w:r>
      <w:r w:rsidRPr="00E61F4C">
        <w:rPr>
          <w:rFonts w:ascii="Times New Roman" w:hAnsi="Times New Roman"/>
        </w:rPr>
        <w:t xml:space="preserve"> through a fair and transparent judicial process the outcome of which is determined by the application of law as ascertained to facts as found</w:t>
      </w:r>
      <w:r w:rsidRPr="00E61F4C">
        <w:rPr>
          <w:rStyle w:val="FootnoteReference"/>
          <w:rFonts w:ascii="Times New Roman" w:hAnsi="Times New Roman"/>
          <w:sz w:val="24"/>
        </w:rPr>
        <w:footnoteReference w:id="147"/>
      </w:r>
      <w:r w:rsidRPr="00E61F4C">
        <w:rPr>
          <w:rFonts w:ascii="Times New Roman" w:hAnsi="Times New Roman"/>
        </w:rPr>
        <w:t>. Because the separated judicial power of the Commonwealth cannot admit of "different grades or qualities of justice"</w:t>
      </w:r>
      <w:r w:rsidRPr="00E61F4C">
        <w:rPr>
          <w:rStyle w:val="FootnoteReference"/>
          <w:rFonts w:ascii="Times New Roman" w:hAnsi="Times New Roman"/>
          <w:sz w:val="24"/>
        </w:rPr>
        <w:footnoteReference w:id="148"/>
      </w:r>
      <w:r w:rsidRPr="00E61F4C">
        <w:rPr>
          <w:rFonts w:ascii="Times New Roman" w:hAnsi="Times New Roman"/>
        </w:rPr>
        <w:t xml:space="preserve"> depending on which court in Australia is administering it, the legislative capacity of the Commonwealth Parliament to confer the judicial power of the Commonwealth on all courts in Australia implies that every court in Australia must </w:t>
      </w:r>
      <w:r w:rsidRPr="00E61F4C">
        <w:rPr>
          <w:rFonts w:ascii="Times New Roman" w:hAnsi="Times New Roman"/>
        </w:rPr>
        <w:lastRenderedPageBreak/>
        <w:t>meet and maintain the standard of institutional integrity requisite of any court having the capacity to exercise it.</w:t>
      </w:r>
    </w:p>
    <w:p w14:paraId="45C9DC04"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Hence, a secondary operation of Ch III, which came to be recognised after </w:t>
      </w:r>
      <w:r w:rsidRPr="00E61F4C">
        <w:rPr>
          <w:rFonts w:ascii="Times New Roman" w:hAnsi="Times New Roman"/>
          <w:i/>
        </w:rPr>
        <w:t>Lim</w:t>
      </w:r>
      <w:r w:rsidRPr="00E61F4C">
        <w:rPr>
          <w:rFonts w:ascii="Times New Roman" w:hAnsi="Times New Roman"/>
        </w:rPr>
        <w:t xml:space="preserve"> and to be associated with </w:t>
      </w:r>
      <w:r w:rsidRPr="00E61F4C">
        <w:rPr>
          <w:rFonts w:ascii="Times New Roman" w:hAnsi="Times New Roman"/>
          <w:i/>
        </w:rPr>
        <w:t>Kable v Director of Public Prosecutions (NSW)</w:t>
      </w:r>
      <w:r w:rsidRPr="00E61F4C">
        <w:rPr>
          <w:rStyle w:val="FootnoteReference"/>
          <w:rFonts w:ascii="Times New Roman" w:hAnsi="Times New Roman"/>
          <w:sz w:val="24"/>
        </w:rPr>
        <w:footnoteReference w:id="149"/>
      </w:r>
      <w:r w:rsidRPr="00E61F4C">
        <w:rPr>
          <w:rFonts w:ascii="Times New Roman" w:hAnsi="Times New Roman"/>
        </w:rPr>
        <w:t>, is as an implied restriction on the legislative capacities of State Parliaments and Territory legislatures. The restriction has application in relation to the permissible structure of State and Territory courts</w:t>
      </w:r>
      <w:r w:rsidRPr="00E61F4C">
        <w:rPr>
          <w:rStyle w:val="FootnoteReference"/>
          <w:rFonts w:ascii="Times New Roman" w:hAnsi="Times New Roman"/>
          <w:sz w:val="24"/>
        </w:rPr>
        <w:footnoteReference w:id="150"/>
      </w:r>
      <w:r w:rsidRPr="00E61F4C">
        <w:rPr>
          <w:rFonts w:ascii="Times New Roman" w:hAnsi="Times New Roman"/>
        </w:rPr>
        <w:t>. The restriction likewise has application in relation to the content</w:t>
      </w:r>
      <w:r w:rsidRPr="00E61F4C">
        <w:rPr>
          <w:rStyle w:val="FootnoteReference"/>
          <w:rFonts w:ascii="Times New Roman" w:hAnsi="Times New Roman"/>
          <w:sz w:val="24"/>
        </w:rPr>
        <w:footnoteReference w:id="151"/>
      </w:r>
      <w:r w:rsidRPr="00E61F4C">
        <w:rPr>
          <w:rFonts w:ascii="Times New Roman" w:hAnsi="Times New Roman"/>
        </w:rPr>
        <w:t xml:space="preserve"> and manner of exercise</w:t>
      </w:r>
      <w:r w:rsidRPr="00E61F4C">
        <w:rPr>
          <w:rStyle w:val="FootnoteReference"/>
          <w:rFonts w:ascii="Times New Roman" w:hAnsi="Times New Roman"/>
          <w:sz w:val="24"/>
        </w:rPr>
        <w:footnoteReference w:id="152"/>
      </w:r>
      <w:r w:rsidRPr="00E61F4C">
        <w:rPr>
          <w:rFonts w:ascii="Times New Roman" w:hAnsi="Times New Roman"/>
        </w:rPr>
        <w:t xml:space="preserve"> of the State and Territory jurisdiction that can be conferred on State and Territory courts. </w:t>
      </w:r>
    </w:p>
    <w:p w14:paraId="6C0A509B"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As </w:t>
      </w:r>
      <w:r w:rsidRPr="00E61F4C">
        <w:rPr>
          <w:rFonts w:ascii="Times New Roman" w:hAnsi="Times New Roman"/>
          <w:i/>
        </w:rPr>
        <w:t xml:space="preserve">Kable </w:t>
      </w:r>
      <w:r w:rsidRPr="00E61F4C">
        <w:rPr>
          <w:rFonts w:ascii="Times New Roman" w:hAnsi="Times New Roman"/>
        </w:rPr>
        <w:t xml:space="preserve">was explained in </w:t>
      </w:r>
      <w:r w:rsidRPr="00E61F4C">
        <w:rPr>
          <w:rFonts w:ascii="Times New Roman" w:hAnsi="Times New Roman"/>
          <w:i/>
        </w:rPr>
        <w:t>Forge v Australian Securities and Investments Commission</w:t>
      </w:r>
      <w:r w:rsidRPr="00E61F4C">
        <w:rPr>
          <w:rStyle w:val="FootnoteReference"/>
          <w:rFonts w:ascii="Times New Roman" w:hAnsi="Times New Roman"/>
          <w:sz w:val="24"/>
        </w:rPr>
        <w:footnoteReference w:id="153"/>
      </w:r>
      <w:r w:rsidRPr="00E61F4C">
        <w:rPr>
          <w:rFonts w:ascii="Times New Roman" w:hAnsi="Times New Roman"/>
        </w:rPr>
        <w:t>:</w:t>
      </w:r>
    </w:p>
    <w:p w14:paraId="62C32B44" w14:textId="77777777" w:rsidR="00E3198A" w:rsidRDefault="00E3198A" w:rsidP="00E61F4C">
      <w:pPr>
        <w:pStyle w:val="leftright"/>
        <w:spacing w:before="0" w:after="260" w:line="280" w:lineRule="exact"/>
        <w:ind w:right="0"/>
        <w:jc w:val="both"/>
        <w:rPr>
          <w:rFonts w:ascii="Times New Roman" w:hAnsi="Times New Roman"/>
        </w:rPr>
      </w:pPr>
      <w:r w:rsidRPr="00E61F4C">
        <w:rPr>
          <w:rFonts w:ascii="Times New Roman" w:hAnsi="Times New Roman"/>
        </w:rPr>
        <w:t>"[T]he relevant principle is one which hinges upon maintenance of the defining characteristics of a 'court' … It is to those characteristics that the reference to 'institutional integrity' alludes. That is, if the institutional integrity of a court is distorted, it is because the body no longer exhibits in some relevant respect those defining characteristics which mark a court apart from other decision</w:t>
      </w:r>
      <w:r w:rsidRPr="00E61F4C">
        <w:rPr>
          <w:rFonts w:ascii="Times New Roman" w:hAnsi="Times New Roman"/>
        </w:rPr>
        <w:noBreakHyphen/>
        <w:t>making bodies."</w:t>
      </w:r>
    </w:p>
    <w:p w14:paraId="745FAB56" w14:textId="77777777" w:rsidR="00E3198A" w:rsidRPr="00E61F4C" w:rsidRDefault="00E3198A" w:rsidP="00E61F4C">
      <w:pPr>
        <w:pStyle w:val="NormalBody"/>
        <w:spacing w:after="260" w:line="280" w:lineRule="exact"/>
        <w:ind w:right="0"/>
        <w:jc w:val="both"/>
        <w:rPr>
          <w:rFonts w:ascii="Times New Roman" w:hAnsi="Times New Roman"/>
        </w:rPr>
      </w:pPr>
      <w:r w:rsidRPr="00E61F4C">
        <w:rPr>
          <w:rFonts w:ascii="Times New Roman" w:hAnsi="Times New Roman"/>
        </w:rPr>
        <w:t>The explanation continued</w:t>
      </w:r>
      <w:r w:rsidRPr="00E61F4C">
        <w:rPr>
          <w:rStyle w:val="FootnoteReference"/>
          <w:rFonts w:ascii="Times New Roman" w:hAnsi="Times New Roman"/>
          <w:sz w:val="24"/>
        </w:rPr>
        <w:footnoteReference w:id="154"/>
      </w:r>
      <w:r w:rsidRPr="00E61F4C">
        <w:rPr>
          <w:rFonts w:ascii="Times New Roman" w:hAnsi="Times New Roman"/>
        </w:rPr>
        <w:t>:</w:t>
      </w:r>
    </w:p>
    <w:p w14:paraId="153D0811" w14:textId="77777777" w:rsidR="00E3198A" w:rsidRDefault="00E3198A" w:rsidP="00E61F4C">
      <w:pPr>
        <w:pStyle w:val="leftright"/>
        <w:spacing w:before="0" w:after="260" w:line="280" w:lineRule="exact"/>
        <w:ind w:right="0"/>
        <w:jc w:val="both"/>
        <w:rPr>
          <w:rFonts w:ascii="Times New Roman" w:hAnsi="Times New Roman"/>
        </w:rPr>
      </w:pPr>
      <w:r w:rsidRPr="00E61F4C">
        <w:rPr>
          <w:rFonts w:ascii="Times New Roman" w:hAnsi="Times New Roman"/>
        </w:rPr>
        <w:tab/>
        <w:t>"It is neither possible nor profitable to attempt to make some single all</w:t>
      </w:r>
      <w:r w:rsidRPr="00E61F4C">
        <w:rPr>
          <w:rFonts w:ascii="Times New Roman" w:hAnsi="Times New Roman"/>
        </w:rPr>
        <w:noBreakHyphen/>
        <w:t xml:space="preserve">embracing statement of the defining characteristics of a court. The cases concerning identification of judicial power reveal </w:t>
      </w:r>
      <w:proofErr w:type="gramStart"/>
      <w:r w:rsidRPr="00E61F4C">
        <w:rPr>
          <w:rFonts w:ascii="Times New Roman" w:hAnsi="Times New Roman"/>
        </w:rPr>
        <w:t>why</w:t>
      </w:r>
      <w:proofErr w:type="gramEnd"/>
      <w:r w:rsidRPr="00E61F4C">
        <w:rPr>
          <w:rFonts w:ascii="Times New Roman" w:hAnsi="Times New Roman"/>
        </w:rPr>
        <w:t xml:space="preserve"> that is so. An important element, however, in the institutional characteristics of courts in Australia is their capacity to administer the common law system of </w:t>
      </w:r>
      <w:r w:rsidRPr="00E61F4C">
        <w:rPr>
          <w:rFonts w:ascii="Times New Roman" w:hAnsi="Times New Roman"/>
        </w:rPr>
        <w:lastRenderedPageBreak/>
        <w:t>adversarial trial. Essential to that system is the conduct of trial by an independent and impartial tribunal."</w:t>
      </w:r>
    </w:p>
    <w:p w14:paraId="616B3789"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The secondary operation of Ch III can therefore be expressed, sufficiently for present purposes, as being to invalidate a State or Territory law which purports to confer upon a State or Territory court a function that "substantially impairs its institutional integrity" considered in terms of its capacity to be (and be seen to be) an institution for the administration of justice according to the common law system of adjudication</w:t>
      </w:r>
      <w:r w:rsidRPr="00E61F4C">
        <w:rPr>
          <w:rStyle w:val="FootnoteReference"/>
          <w:rFonts w:ascii="Times New Roman" w:hAnsi="Times New Roman"/>
          <w:sz w:val="24"/>
        </w:rPr>
        <w:footnoteReference w:id="155"/>
      </w:r>
      <w:r w:rsidRPr="00E61F4C">
        <w:rPr>
          <w:rFonts w:ascii="Times New Roman" w:hAnsi="Times New Roman"/>
        </w:rPr>
        <w:t xml:space="preserve">. </w:t>
      </w:r>
    </w:p>
    <w:p w14:paraId="693E67EC"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restriction on Commonwealth legislative power associated with </w:t>
      </w:r>
      <w:r w:rsidRPr="00E61F4C">
        <w:rPr>
          <w:rFonts w:ascii="Times New Roman" w:hAnsi="Times New Roman"/>
          <w:i/>
        </w:rPr>
        <w:t>Boilermakers</w:t>
      </w:r>
      <w:r w:rsidRPr="00E61F4C">
        <w:rPr>
          <w:rFonts w:ascii="Times New Roman" w:hAnsi="Times New Roman"/>
        </w:rPr>
        <w:t xml:space="preserve"> and the restriction on State and Territory legislative powers associated with </w:t>
      </w:r>
      <w:r w:rsidRPr="00E61F4C">
        <w:rPr>
          <w:rFonts w:ascii="Times New Roman" w:hAnsi="Times New Roman"/>
          <w:i/>
        </w:rPr>
        <w:t>Kable</w:t>
      </w:r>
      <w:r w:rsidRPr="00E61F4C">
        <w:rPr>
          <w:rFonts w:ascii="Times New Roman" w:hAnsi="Times New Roman"/>
        </w:rPr>
        <w:t xml:space="preserve"> are accordingly complementary implications from Ch III's separation of the judicial power of the Commonwealth. Each is a structural implication implicit in, and directed to the preservation of, the distinctive nature of the separated judicial power of the Commonwealth. Each serves ultimately to maintain the integrity of the exercise of that judicial power. </w:t>
      </w:r>
    </w:p>
    <w:p w14:paraId="1A25AAD1"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relationship of one to the other is derivative in the sense that the </w:t>
      </w:r>
      <w:r w:rsidRPr="00E61F4C">
        <w:rPr>
          <w:rFonts w:ascii="Times New Roman" w:hAnsi="Times New Roman"/>
          <w:i/>
        </w:rPr>
        <w:t>Kable</w:t>
      </w:r>
      <w:r w:rsidRPr="00E61F4C">
        <w:rPr>
          <w:rFonts w:ascii="Times New Roman" w:hAnsi="Times New Roman"/>
        </w:rPr>
        <w:t xml:space="preserve"> restriction follows as a matter of "practical, if not logical necessity" from the </w:t>
      </w:r>
      <w:r w:rsidRPr="00E61F4C">
        <w:rPr>
          <w:rFonts w:ascii="Times New Roman" w:hAnsi="Times New Roman"/>
          <w:i/>
        </w:rPr>
        <w:t>Boilermakers</w:t>
      </w:r>
      <w:r w:rsidRPr="00E61F4C">
        <w:rPr>
          <w:rFonts w:ascii="Times New Roman" w:hAnsi="Times New Roman"/>
        </w:rPr>
        <w:t xml:space="preserve"> restriction</w:t>
      </w:r>
      <w:r w:rsidRPr="00E61F4C">
        <w:rPr>
          <w:rStyle w:val="FootnoteReference"/>
          <w:rFonts w:ascii="Times New Roman" w:hAnsi="Times New Roman"/>
          <w:sz w:val="24"/>
        </w:rPr>
        <w:footnoteReference w:id="156"/>
      </w:r>
      <w:r w:rsidRPr="00E61F4C">
        <w:rPr>
          <w:rFonts w:ascii="Times New Roman" w:hAnsi="Times New Roman"/>
        </w:rPr>
        <w:t xml:space="preserve">: </w:t>
      </w:r>
    </w:p>
    <w:p w14:paraId="3216E4D9" w14:textId="77777777" w:rsidR="00E3198A" w:rsidRDefault="00E3198A" w:rsidP="00E61F4C">
      <w:pPr>
        <w:pStyle w:val="leftright"/>
        <w:spacing w:before="0" w:after="260" w:line="280" w:lineRule="exact"/>
        <w:ind w:right="0"/>
        <w:jc w:val="both"/>
        <w:rPr>
          <w:rFonts w:ascii="Times New Roman" w:hAnsi="Times New Roman"/>
        </w:rPr>
      </w:pPr>
      <w:r w:rsidRPr="00E61F4C">
        <w:rPr>
          <w:rFonts w:ascii="Times New Roman" w:hAnsi="Times New Roman"/>
        </w:rPr>
        <w:t xml:space="preserve">"To render State and Territory courts able to be vested with the separated judicial power of the Commonwealth, Ch III of the </w:t>
      </w:r>
      <w:r w:rsidRPr="00E61F4C">
        <w:rPr>
          <w:rFonts w:ascii="Times New Roman" w:hAnsi="Times New Roman"/>
          <w:i/>
        </w:rPr>
        <w:t>Constitution</w:t>
      </w:r>
      <w:r w:rsidRPr="00E61F4C">
        <w:rPr>
          <w:rFonts w:ascii="Times New Roman" w:hAnsi="Times New Roman"/>
        </w:rPr>
        <w:t xml:space="preserve"> preserves the institutional integrity of State and Territory courts. A State or Territory law that undermines the actuality or appearance of a State or Territory court as an independent and impartial tribunal is incompatible with Ch III because it undermines the constitutionally permissible investiture in that court of the separated judicial power of the Commonwealth."</w:t>
      </w:r>
    </w:p>
    <w:p w14:paraId="33563944"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derivative nature of the relationship between the </w:t>
      </w:r>
      <w:r w:rsidRPr="00E61F4C">
        <w:rPr>
          <w:rFonts w:ascii="Times New Roman" w:hAnsi="Times New Roman"/>
          <w:i/>
        </w:rPr>
        <w:t>Kable</w:t>
      </w:r>
      <w:r w:rsidRPr="00E61F4C">
        <w:rPr>
          <w:rFonts w:ascii="Times New Roman" w:hAnsi="Times New Roman"/>
        </w:rPr>
        <w:t xml:space="preserve"> restriction and the </w:t>
      </w:r>
      <w:r w:rsidRPr="00E61F4C">
        <w:rPr>
          <w:rFonts w:ascii="Times New Roman" w:hAnsi="Times New Roman"/>
          <w:i/>
        </w:rPr>
        <w:t>Boilermakers</w:t>
      </w:r>
      <w:r w:rsidRPr="00E61F4C">
        <w:rPr>
          <w:rFonts w:ascii="Times New Roman" w:hAnsi="Times New Roman"/>
        </w:rPr>
        <w:t xml:space="preserve"> restriction logically entails that a State or Territory law will not transgress the </w:t>
      </w:r>
      <w:r w:rsidRPr="00E61F4C">
        <w:rPr>
          <w:rFonts w:ascii="Times New Roman" w:hAnsi="Times New Roman"/>
          <w:i/>
        </w:rPr>
        <w:t>Kable</w:t>
      </w:r>
      <w:r w:rsidRPr="00E61F4C">
        <w:rPr>
          <w:rFonts w:ascii="Times New Roman" w:hAnsi="Times New Roman"/>
        </w:rPr>
        <w:t xml:space="preserve"> restriction if a Commonwealth law in the same terms would not transgress the </w:t>
      </w:r>
      <w:r w:rsidRPr="00E61F4C">
        <w:rPr>
          <w:rFonts w:ascii="Times New Roman" w:hAnsi="Times New Roman"/>
          <w:i/>
        </w:rPr>
        <w:t>Boilermakers</w:t>
      </w:r>
      <w:r w:rsidRPr="00E61F4C">
        <w:rPr>
          <w:rFonts w:ascii="Times New Roman" w:hAnsi="Times New Roman"/>
        </w:rPr>
        <w:t xml:space="preserve"> restriction</w:t>
      </w:r>
      <w:r w:rsidRPr="00E61F4C">
        <w:rPr>
          <w:rStyle w:val="FootnoteReference"/>
          <w:rFonts w:ascii="Times New Roman" w:hAnsi="Times New Roman"/>
          <w:sz w:val="24"/>
        </w:rPr>
        <w:footnoteReference w:id="157"/>
      </w:r>
      <w:r w:rsidRPr="00E61F4C">
        <w:rPr>
          <w:rFonts w:ascii="Times New Roman" w:hAnsi="Times New Roman"/>
        </w:rPr>
        <w:t xml:space="preserve">. The derivative nature of the relationship correspondingly entails that the converse does not hold: to conclude </w:t>
      </w:r>
      <w:r w:rsidRPr="00E61F4C">
        <w:rPr>
          <w:rFonts w:ascii="Times New Roman" w:hAnsi="Times New Roman"/>
        </w:rPr>
        <w:lastRenderedPageBreak/>
        <w:t xml:space="preserve">"that a State [or Territory] law does not infringe the principles associated with </w:t>
      </w:r>
      <w:r w:rsidRPr="00E61F4C">
        <w:rPr>
          <w:rFonts w:ascii="Times New Roman" w:hAnsi="Times New Roman"/>
          <w:i/>
          <w:iCs/>
        </w:rPr>
        <w:t>Kable</w:t>
      </w:r>
      <w:r w:rsidRPr="00E61F4C">
        <w:rPr>
          <w:rFonts w:ascii="Times New Roman" w:hAnsi="Times New Roman"/>
        </w:rPr>
        <w:t xml:space="preserve"> does not conclude the question whether a like Commonwealth law for a Ch III court would be valid"</w:t>
      </w:r>
      <w:r w:rsidRPr="00E61F4C">
        <w:rPr>
          <w:rStyle w:val="FootnoteReference"/>
          <w:rFonts w:ascii="Times New Roman" w:hAnsi="Times New Roman"/>
          <w:sz w:val="24"/>
        </w:rPr>
        <w:footnoteReference w:id="158"/>
      </w:r>
      <w:r w:rsidRPr="00E61F4C">
        <w:rPr>
          <w:rFonts w:ascii="Times New Roman" w:hAnsi="Times New Roman"/>
        </w:rPr>
        <w:t>. That is because a State or Territory law can confer on a State or Territory court a non-judicial power, provided always that the non-judicial power is compatible with the institutional integrity of that court as a repository of federal jurisdiction; whereas a Commonwealth law cannot confer a non-judicial power on any Australian court, even if that non-judicial power is compatible with the institutional integrity of that court as a repository of federal jurisdiction</w:t>
      </w:r>
      <w:r w:rsidRPr="00E61F4C">
        <w:rPr>
          <w:rStyle w:val="FootnoteReference"/>
          <w:rFonts w:ascii="Times New Roman" w:hAnsi="Times New Roman"/>
          <w:sz w:val="24"/>
        </w:rPr>
        <w:footnoteReference w:id="159"/>
      </w:r>
      <w:r w:rsidRPr="00E61F4C">
        <w:rPr>
          <w:rFonts w:ascii="Times New Roman" w:hAnsi="Times New Roman"/>
        </w:rPr>
        <w:t>.</w:t>
      </w:r>
    </w:p>
    <w:p w14:paraId="0DDFB6C7"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w:t>
      </w:r>
      <w:r w:rsidRPr="00E61F4C">
        <w:rPr>
          <w:rFonts w:ascii="Times New Roman" w:hAnsi="Times New Roman"/>
          <w:i/>
        </w:rPr>
        <w:t>Kable</w:t>
      </w:r>
      <w:r w:rsidRPr="00E61F4C">
        <w:rPr>
          <w:rFonts w:ascii="Times New Roman" w:hAnsi="Times New Roman"/>
        </w:rPr>
        <w:t xml:space="preserve"> restriction on State and Territory legislative power and the </w:t>
      </w:r>
      <w:r w:rsidRPr="00E61F4C">
        <w:rPr>
          <w:rFonts w:ascii="Times New Roman" w:hAnsi="Times New Roman"/>
          <w:i/>
        </w:rPr>
        <w:t>Boilermakers</w:t>
      </w:r>
      <w:r w:rsidRPr="00E61F4C">
        <w:rPr>
          <w:rFonts w:ascii="Times New Roman" w:hAnsi="Times New Roman"/>
        </w:rPr>
        <w:t xml:space="preserve"> restriction on Commonwealth legislative power have a common purpose and complementary operation. If the Commonwealth Parliament could not itself confer a function on a court as an incident of the judicial power of the Commonwealth, the reason why the function lies beyond the power of the Commonwealth Parliament to confer on that court can inform determination of whether the function is properly characterised as incompatible with the institutional integrity of a court so as to be also beyond the power of a State Parliament or Territory legislature to confer on a State or Territory court</w:t>
      </w:r>
      <w:r w:rsidRPr="00E61F4C">
        <w:rPr>
          <w:rStyle w:val="FootnoteReference"/>
          <w:rFonts w:ascii="Times New Roman" w:hAnsi="Times New Roman"/>
          <w:sz w:val="24"/>
        </w:rPr>
        <w:footnoteReference w:id="160"/>
      </w:r>
      <w:r w:rsidRPr="00E61F4C">
        <w:rPr>
          <w:rFonts w:ascii="Times New Roman" w:hAnsi="Times New Roman"/>
        </w:rPr>
        <w:t xml:space="preserve">. In particular, if a function is not judicial for the reason that its conferral on a court would impair the integrity of that court as an institution for the administration of justice, not only must that function for that reason lie beyond the power of the Commonwealth Parliament to confer on any Australian court, but the same function for the same reason must lie beyond the power of a State Parliament or Territory legislature to confer on any State or Territory court. </w:t>
      </w:r>
    </w:p>
    <w:p w14:paraId="5A73B84C"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That leads to the proposition that if a function is non-judicial </w:t>
      </w:r>
      <w:proofErr w:type="gramStart"/>
      <w:r w:rsidRPr="00E61F4C">
        <w:rPr>
          <w:rFonts w:ascii="Times New Roman" w:hAnsi="Times New Roman"/>
        </w:rPr>
        <w:t>for the reason that</w:t>
      </w:r>
      <w:proofErr w:type="gramEnd"/>
      <w:r w:rsidRPr="00E61F4C">
        <w:rPr>
          <w:rFonts w:ascii="Times New Roman" w:hAnsi="Times New Roman"/>
        </w:rPr>
        <w:t xml:space="preserve"> having that function would impair the institutional integrity of a court, legislative conferral of that function must be offensive to the </w:t>
      </w:r>
      <w:r w:rsidRPr="00E61F4C">
        <w:rPr>
          <w:rFonts w:ascii="Times New Roman" w:hAnsi="Times New Roman"/>
          <w:i/>
        </w:rPr>
        <w:t xml:space="preserve">Kable </w:t>
      </w:r>
      <w:r w:rsidRPr="00E61F4C">
        <w:rPr>
          <w:rFonts w:ascii="Times New Roman" w:hAnsi="Times New Roman"/>
        </w:rPr>
        <w:t xml:space="preserve">restriction on State and Territory legislative power in the same way as it is offensive to the </w:t>
      </w:r>
      <w:r w:rsidRPr="00E61F4C">
        <w:rPr>
          <w:rFonts w:ascii="Times New Roman" w:hAnsi="Times New Roman"/>
          <w:i/>
        </w:rPr>
        <w:t>Boilermakers</w:t>
      </w:r>
      <w:r w:rsidRPr="00E61F4C">
        <w:rPr>
          <w:rFonts w:ascii="Times New Roman" w:hAnsi="Times New Roman"/>
        </w:rPr>
        <w:t xml:space="preserve"> restriction on Commonwealth legislative power. In respect of a non-judicial function of that nature, the </w:t>
      </w:r>
      <w:r w:rsidRPr="00E61F4C">
        <w:rPr>
          <w:rFonts w:ascii="Times New Roman" w:hAnsi="Times New Roman"/>
          <w:i/>
        </w:rPr>
        <w:t>Boilermakers</w:t>
      </w:r>
      <w:r w:rsidRPr="00E61F4C">
        <w:rPr>
          <w:rFonts w:ascii="Times New Roman" w:hAnsi="Times New Roman"/>
        </w:rPr>
        <w:t xml:space="preserve"> restriction and the </w:t>
      </w:r>
      <w:r w:rsidRPr="00E61F4C">
        <w:rPr>
          <w:rFonts w:ascii="Times New Roman" w:hAnsi="Times New Roman"/>
          <w:i/>
        </w:rPr>
        <w:t xml:space="preserve">Kable </w:t>
      </w:r>
      <w:r w:rsidRPr="00E61F4C">
        <w:rPr>
          <w:rFonts w:ascii="Times New Roman" w:hAnsi="Times New Roman"/>
        </w:rPr>
        <w:t>restriction are indistinguishable.</w:t>
      </w:r>
    </w:p>
    <w:p w14:paraId="24722ACE" w14:textId="77777777" w:rsidR="00E3198A" w:rsidRPr="00E61F4C" w:rsidRDefault="00E3198A" w:rsidP="00E61F4C">
      <w:pPr>
        <w:pStyle w:val="HeadingL1"/>
        <w:spacing w:after="260" w:line="280" w:lineRule="exact"/>
        <w:ind w:right="0"/>
        <w:jc w:val="both"/>
        <w:rPr>
          <w:rFonts w:ascii="Times New Roman" w:hAnsi="Times New Roman"/>
        </w:rPr>
      </w:pPr>
      <w:r w:rsidRPr="00E61F4C">
        <w:rPr>
          <w:rFonts w:ascii="Times New Roman" w:hAnsi="Times New Roman"/>
        </w:rPr>
        <w:t xml:space="preserve">Ch III: </w:t>
      </w:r>
      <w:r w:rsidRPr="00E61F4C">
        <w:rPr>
          <w:rFonts w:ascii="Times New Roman" w:hAnsi="Times New Roman"/>
          <w:i/>
        </w:rPr>
        <w:t>Lim</w:t>
      </w:r>
      <w:r w:rsidRPr="00E61F4C">
        <w:rPr>
          <w:rFonts w:ascii="Times New Roman" w:hAnsi="Times New Roman"/>
        </w:rPr>
        <w:t>, "institutional integrity" and "the rule of law"</w:t>
      </w:r>
    </w:p>
    <w:p w14:paraId="4AE0E997"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That brings me to the content of the </w:t>
      </w:r>
      <w:r w:rsidRPr="00E61F4C">
        <w:rPr>
          <w:rFonts w:ascii="Times New Roman" w:hAnsi="Times New Roman"/>
          <w:i/>
        </w:rPr>
        <w:t>Lim</w:t>
      </w:r>
      <w:r w:rsidRPr="00E61F4C">
        <w:rPr>
          <w:rFonts w:ascii="Times New Roman" w:hAnsi="Times New Roman"/>
        </w:rPr>
        <w:t xml:space="preserve"> observation and to the significance of that observation to what was described in </w:t>
      </w:r>
      <w:r w:rsidRPr="00E61F4C">
        <w:rPr>
          <w:rFonts w:ascii="Times New Roman" w:hAnsi="Times New Roman"/>
          <w:i/>
        </w:rPr>
        <w:t xml:space="preserve">Forge </w:t>
      </w:r>
      <w:r w:rsidRPr="00E61F4C">
        <w:rPr>
          <w:rFonts w:ascii="Times New Roman" w:hAnsi="Times New Roman"/>
        </w:rPr>
        <w:t xml:space="preserve">as an "important element ... in </w:t>
      </w:r>
      <w:r w:rsidRPr="00E61F4C">
        <w:rPr>
          <w:rFonts w:ascii="Times New Roman" w:hAnsi="Times New Roman"/>
        </w:rPr>
        <w:lastRenderedPageBreak/>
        <w:t>the institutional characteristics of courts in Australia"</w:t>
      </w:r>
      <w:r>
        <w:rPr>
          <w:rFonts w:ascii="Times New Roman" w:hAnsi="Times New Roman"/>
        </w:rPr>
        <w:t>,</w:t>
      </w:r>
      <w:r w:rsidRPr="00E61F4C">
        <w:rPr>
          <w:rFonts w:ascii="Times New Roman" w:hAnsi="Times New Roman"/>
        </w:rPr>
        <w:t xml:space="preserve"> being "their capacity to administer the common law system of adversarial trial"</w:t>
      </w:r>
      <w:r w:rsidRPr="00E61F4C">
        <w:rPr>
          <w:rStyle w:val="FootnoteReference"/>
          <w:rFonts w:ascii="Times New Roman" w:hAnsi="Times New Roman"/>
          <w:sz w:val="24"/>
        </w:rPr>
        <w:footnoteReference w:id="161"/>
      </w:r>
      <w:r w:rsidRPr="00E61F4C">
        <w:rPr>
          <w:rFonts w:ascii="Times New Roman" w:hAnsi="Times New Roman"/>
        </w:rPr>
        <w:t>.</w:t>
      </w:r>
    </w:p>
    <w:p w14:paraId="316E2E0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w:t>
      </w:r>
      <w:r w:rsidRPr="00E61F4C">
        <w:rPr>
          <w:rFonts w:ascii="Times New Roman" w:hAnsi="Times New Roman"/>
          <w:i/>
        </w:rPr>
        <w:t>Lim</w:t>
      </w:r>
      <w:r w:rsidRPr="00E61F4C">
        <w:rPr>
          <w:rFonts w:ascii="Times New Roman" w:hAnsi="Times New Roman"/>
        </w:rPr>
        <w:t xml:space="preserve"> observation "has its foundation in the concern for the protection of personal liberty lying at the core of our inherited constitutional tradition</w:t>
      </w:r>
      <w:proofErr w:type="gramStart"/>
      <w:r w:rsidRPr="00E61F4C">
        <w:rPr>
          <w:rFonts w:ascii="Times New Roman" w:hAnsi="Times New Roman"/>
        </w:rPr>
        <w:t>", and</w:t>
      </w:r>
      <w:proofErr w:type="gramEnd"/>
      <w:r w:rsidRPr="00E61F4C">
        <w:rPr>
          <w:rFonts w:ascii="Times New Roman" w:hAnsi="Times New Roman"/>
        </w:rPr>
        <w:t xml:space="preserve"> needs to be understood in the context of liberty having been recognised as "the most elementary and important of those basic common law rights, which traditionally, and therefore historically, are judged by that independent judiciary which is the bulwark of freedom"</w:t>
      </w:r>
      <w:r w:rsidRPr="00E61F4C">
        <w:rPr>
          <w:rStyle w:val="FootnoteReference"/>
          <w:rFonts w:ascii="Times New Roman" w:hAnsi="Times New Roman"/>
          <w:sz w:val="24"/>
        </w:rPr>
        <w:footnoteReference w:id="162"/>
      </w:r>
      <w:r w:rsidRPr="00E61F4C">
        <w:rPr>
          <w:rFonts w:ascii="Times New Roman" w:hAnsi="Times New Roman"/>
        </w:rPr>
        <w:t>.</w:t>
      </w:r>
    </w:p>
    <w:p w14:paraId="6AE7C8A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observation was introduced within the structure of the joint reasons in </w:t>
      </w:r>
      <w:r w:rsidRPr="00E61F4C">
        <w:rPr>
          <w:rFonts w:ascii="Times New Roman" w:hAnsi="Times New Roman"/>
          <w:i/>
        </w:rPr>
        <w:t>Lim</w:t>
      </w:r>
      <w:r w:rsidRPr="00E61F4C">
        <w:rPr>
          <w:rFonts w:ascii="Times New Roman" w:hAnsi="Times New Roman"/>
        </w:rPr>
        <w:t xml:space="preserve"> by the notation that the adjudgment and punishment of criminal guilt is the "most important" of the functions "which, by reason of their nature or because of historical considerations, have become established as essentially and exclusively judicial in character". From that characterisation of the function as exclusively judicial, it was noticed to follow that, consistently with the </w:t>
      </w:r>
      <w:r w:rsidRPr="00E61F4C">
        <w:rPr>
          <w:rFonts w:ascii="Times New Roman" w:hAnsi="Times New Roman"/>
          <w:i/>
        </w:rPr>
        <w:t>Boilermakers</w:t>
      </w:r>
      <w:r w:rsidRPr="00E61F4C">
        <w:rPr>
          <w:rFonts w:ascii="Times New Roman" w:hAnsi="Times New Roman"/>
        </w:rPr>
        <w:t xml:space="preserve"> restriction on Commonwealth legislative power, the Commonwealth Parliament could not confer the function other than as part of the judicial power of the Commonwealth on a court</w:t>
      </w:r>
      <w:r w:rsidRPr="00E61F4C">
        <w:rPr>
          <w:rStyle w:val="FootnoteReference"/>
          <w:rFonts w:ascii="Times New Roman" w:hAnsi="Times New Roman"/>
          <w:sz w:val="24"/>
        </w:rPr>
        <w:footnoteReference w:id="163"/>
      </w:r>
      <w:r w:rsidRPr="00E61F4C">
        <w:rPr>
          <w:rFonts w:ascii="Times New Roman" w:hAnsi="Times New Roman"/>
        </w:rPr>
        <w:t>.</w:t>
      </w:r>
    </w:p>
    <w:p w14:paraId="5908DABF"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Why the adjudgment and punishment of criminal guilt has always been characterised as an exclusively judicial function, as I have said in the past, "is founded on deeply rooted notions of the relationship of the individual to the state going to the character of the national polity created and sustained by the </w:t>
      </w:r>
      <w:r w:rsidRPr="00E61F4C">
        <w:rPr>
          <w:rFonts w:ascii="Times New Roman" w:hAnsi="Times New Roman"/>
          <w:i/>
        </w:rPr>
        <w:t>Constitution</w:t>
      </w:r>
      <w:r w:rsidRPr="00E61F4C">
        <w:rPr>
          <w:rFonts w:ascii="Times New Roman" w:hAnsi="Times New Roman"/>
        </w:rPr>
        <w:t>"</w:t>
      </w:r>
      <w:r w:rsidRPr="00E61F4C">
        <w:rPr>
          <w:rStyle w:val="FootnoteReference"/>
          <w:rFonts w:ascii="Times New Roman" w:hAnsi="Times New Roman"/>
          <w:sz w:val="24"/>
        </w:rPr>
        <w:footnoteReference w:id="164"/>
      </w:r>
      <w:r w:rsidRPr="00E61F4C">
        <w:rPr>
          <w:rFonts w:ascii="Times New Roman" w:hAnsi="Times New Roman"/>
        </w:rPr>
        <w:t xml:space="preserve">. Bearing in mind that "[m]any of our fundamental freedoms are guaranteed by ancient principles ... which are so much part of the accepted constitutional framework that their terms, if not their very existence, may be overlooked until a case arises which evokes their contemporary and undiminished </w:t>
      </w:r>
      <w:r w:rsidRPr="00E61F4C">
        <w:rPr>
          <w:rFonts w:ascii="Times New Roman" w:hAnsi="Times New Roman"/>
        </w:rPr>
        <w:lastRenderedPageBreak/>
        <w:t>force"</w:t>
      </w:r>
      <w:r w:rsidRPr="00E61F4C">
        <w:rPr>
          <w:rStyle w:val="FootnoteReference"/>
          <w:rFonts w:ascii="Times New Roman" w:hAnsi="Times New Roman"/>
          <w:sz w:val="24"/>
        </w:rPr>
        <w:footnoteReference w:id="165"/>
      </w:r>
      <w:r w:rsidRPr="00E61F4C">
        <w:rPr>
          <w:rFonts w:ascii="Times New Roman" w:hAnsi="Times New Roman"/>
        </w:rPr>
        <w:t>, I recognise that the nature of the relationship to which I referred cannot be taken for granted and calls for further elaboration</w:t>
      </w:r>
      <w:r w:rsidRPr="00E61F4C">
        <w:rPr>
          <w:rStyle w:val="FootnoteReference"/>
          <w:rFonts w:ascii="Times New Roman" w:hAnsi="Times New Roman"/>
          <w:sz w:val="24"/>
        </w:rPr>
        <w:footnoteReference w:id="166"/>
      </w:r>
      <w:r w:rsidRPr="00E61F4C">
        <w:rPr>
          <w:rFonts w:ascii="Times New Roman" w:hAnsi="Times New Roman"/>
        </w:rPr>
        <w:t>.</w:t>
      </w:r>
    </w:p>
    <w:p w14:paraId="43BCC0CE"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Now attempting to provide that further elaboration, I hesitate to use the language of "the rule of law". The language can become </w:t>
      </w:r>
      <w:proofErr w:type="gramStart"/>
      <w:r w:rsidRPr="00E61F4C">
        <w:rPr>
          <w:rFonts w:ascii="Times New Roman" w:hAnsi="Times New Roman"/>
        </w:rPr>
        <w:t>hackneyed</w:t>
      </w:r>
      <w:proofErr w:type="gramEnd"/>
      <w:r w:rsidRPr="00E61F4C">
        <w:rPr>
          <w:rFonts w:ascii="Times New Roman" w:hAnsi="Times New Roman"/>
        </w:rPr>
        <w:t xml:space="preserve"> and the profoundness of the constitutional values encapsulated within it can be diminished by over-theorisation. Still, the essence of the relationship between the individual and the state underpinned by the commitment of the function of adjudging and punishing of criminal guilt exclusively to courts </w:t>
      </w:r>
      <w:proofErr w:type="gramStart"/>
      <w:r w:rsidRPr="00E61F4C">
        <w:rPr>
          <w:rFonts w:ascii="Times New Roman" w:hAnsi="Times New Roman"/>
        </w:rPr>
        <w:t>has to</w:t>
      </w:r>
      <w:proofErr w:type="gramEnd"/>
      <w:r w:rsidRPr="00E61F4C">
        <w:rPr>
          <w:rFonts w:ascii="Times New Roman" w:hAnsi="Times New Roman"/>
        </w:rPr>
        <w:t xml:space="preserve"> be acknowledged to have been a core component of Albert Venn </w:t>
      </w:r>
      <w:proofErr w:type="spellStart"/>
      <w:r w:rsidRPr="00E61F4C">
        <w:rPr>
          <w:rFonts w:ascii="Times New Roman" w:hAnsi="Times New Roman"/>
        </w:rPr>
        <w:t>Dicey's</w:t>
      </w:r>
      <w:proofErr w:type="spellEnd"/>
      <w:r w:rsidRPr="00E61F4C">
        <w:rPr>
          <w:rFonts w:ascii="Times New Roman" w:hAnsi="Times New Roman"/>
        </w:rPr>
        <w:t xml:space="preserve"> prototypical exposition of the "rule of law"</w:t>
      </w:r>
      <w:r w:rsidRPr="00E61F4C">
        <w:rPr>
          <w:rStyle w:val="FootnoteReference"/>
          <w:rFonts w:ascii="Times New Roman" w:hAnsi="Times New Roman"/>
          <w:sz w:val="24"/>
        </w:rPr>
        <w:footnoteReference w:id="167"/>
      </w:r>
      <w:r w:rsidRPr="00E61F4C">
        <w:rPr>
          <w:rFonts w:ascii="Times New Roman" w:hAnsi="Times New Roman"/>
        </w:rPr>
        <w:t xml:space="preserve"> which came to prominence in the final decade of the nineteenth century when the </w:t>
      </w:r>
      <w:r w:rsidRPr="00E61F4C">
        <w:rPr>
          <w:rFonts w:ascii="Times New Roman" w:hAnsi="Times New Roman"/>
          <w:i/>
          <w:iCs/>
        </w:rPr>
        <w:t xml:space="preserve">Constitution </w:t>
      </w:r>
      <w:r w:rsidRPr="00E61F4C">
        <w:rPr>
          <w:rFonts w:ascii="Times New Roman" w:hAnsi="Times New Roman"/>
        </w:rPr>
        <w:t>was in the process of formation.</w:t>
      </w:r>
    </w:p>
    <w:p w14:paraId="3B3D7C7F"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Expressed in </w:t>
      </w:r>
      <w:proofErr w:type="spellStart"/>
      <w:r w:rsidRPr="00E61F4C">
        <w:rPr>
          <w:rFonts w:ascii="Times New Roman" w:hAnsi="Times New Roman"/>
        </w:rPr>
        <w:t>Dicey's</w:t>
      </w:r>
      <w:proofErr w:type="spellEnd"/>
      <w:r w:rsidRPr="00E61F4C">
        <w:rPr>
          <w:rFonts w:ascii="Times New Roman" w:hAnsi="Times New Roman"/>
        </w:rPr>
        <w:t xml:space="preserve"> words, the essence of the relationship between the individual and the state under our system of government is that the individual is "ruled by the law, and by the law alone" such that the individual "may with us be punished for a breach of law, but ... for nothing else"</w:t>
      </w:r>
      <w:r w:rsidRPr="00E61F4C">
        <w:rPr>
          <w:rStyle w:val="FootnoteReference"/>
          <w:rFonts w:ascii="Times New Roman" w:hAnsi="Times New Roman"/>
          <w:sz w:val="24"/>
        </w:rPr>
        <w:footnoteReference w:id="168"/>
      </w:r>
      <w:r w:rsidRPr="00E61F4C">
        <w:rPr>
          <w:rFonts w:ascii="Times New Roman" w:hAnsi="Times New Roman"/>
        </w:rPr>
        <w:t xml:space="preserve">. Notably, those exact words were quoted in the joint reasons for judgment in </w:t>
      </w:r>
      <w:r w:rsidRPr="00E61F4C">
        <w:rPr>
          <w:rFonts w:ascii="Times New Roman" w:hAnsi="Times New Roman"/>
          <w:i/>
        </w:rPr>
        <w:t>Lim</w:t>
      </w:r>
      <w:r w:rsidRPr="00E61F4C">
        <w:rPr>
          <w:rStyle w:val="FootnoteReference"/>
          <w:rFonts w:ascii="Times New Roman" w:hAnsi="Times New Roman"/>
          <w:sz w:val="24"/>
        </w:rPr>
        <w:footnoteReference w:id="169"/>
      </w:r>
      <w:r w:rsidRPr="00E61F4C">
        <w:rPr>
          <w:rFonts w:ascii="Times New Roman" w:hAnsi="Times New Roman"/>
        </w:rPr>
        <w:t xml:space="preserve"> in support of the canonical observation.</w:t>
      </w:r>
    </w:p>
    <w:p w14:paraId="40DDEFED"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import of the </w:t>
      </w:r>
      <w:r w:rsidRPr="00E61F4C">
        <w:rPr>
          <w:rFonts w:ascii="Times New Roman" w:hAnsi="Times New Roman"/>
          <w:i/>
        </w:rPr>
        <w:t>Lim</w:t>
      </w:r>
      <w:r w:rsidRPr="00E61F4C">
        <w:rPr>
          <w:rFonts w:ascii="Times New Roman" w:hAnsi="Times New Roman"/>
        </w:rPr>
        <w:t xml:space="preserve"> observation can only be fully appreciated having regard to the standard incidents of the common law system within which that exclusive judicial function of adjudging and punishing criminal guilt has historically been performed</w:t>
      </w:r>
      <w:r w:rsidRPr="00E61F4C">
        <w:rPr>
          <w:rStyle w:val="FootnoteReference"/>
          <w:rFonts w:ascii="Times New Roman" w:hAnsi="Times New Roman"/>
          <w:sz w:val="24"/>
        </w:rPr>
        <w:footnoteReference w:id="170"/>
      </w:r>
      <w:r w:rsidRPr="00E61F4C">
        <w:rPr>
          <w:rFonts w:ascii="Times New Roman" w:hAnsi="Times New Roman"/>
        </w:rPr>
        <w:t>. Those standard incidents have long been that "[t]he judiciary is called on ... to hear and authoritatively determine a controversy about an existing liability of the individual which is claimed by the executive [as the representative of the state] to arise solely from the operation of some positive law on some past event or conduct" as a result of which "[d]</w:t>
      </w:r>
      <w:proofErr w:type="spellStart"/>
      <w:r w:rsidRPr="00E61F4C">
        <w:rPr>
          <w:rFonts w:ascii="Times New Roman" w:hAnsi="Times New Roman"/>
        </w:rPr>
        <w:t>eprivation</w:t>
      </w:r>
      <w:proofErr w:type="spellEnd"/>
      <w:r w:rsidRPr="00E61F4C">
        <w:rPr>
          <w:rFonts w:ascii="Times New Roman" w:hAnsi="Times New Roman"/>
        </w:rPr>
        <w:t xml:space="preserve"> of the liberty of the individual occurs only if the determination of the controversy is by conviction" </w:t>
      </w:r>
      <w:r w:rsidRPr="00E61F4C">
        <w:rPr>
          <w:rFonts w:ascii="Times New Roman" w:hAnsi="Times New Roman"/>
        </w:rPr>
        <w:lastRenderedPageBreak/>
        <w:t>and then "only through the judicial pronouncement of a sentence which reflects the penal consequence prescribed by law for the liability determined by the conviction to have arisen from the operation of the positive law on the past event or conduct"</w:t>
      </w:r>
      <w:r w:rsidRPr="00E61F4C">
        <w:rPr>
          <w:rStyle w:val="FootnoteReference"/>
          <w:rFonts w:ascii="Times New Roman" w:hAnsi="Times New Roman"/>
          <w:sz w:val="24"/>
        </w:rPr>
        <w:footnoteReference w:id="171"/>
      </w:r>
      <w:r w:rsidRPr="00E61F4C">
        <w:rPr>
          <w:rFonts w:ascii="Times New Roman" w:hAnsi="Times New Roman"/>
        </w:rPr>
        <w:t>.</w:t>
      </w:r>
    </w:p>
    <w:p w14:paraId="1D4A1E2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Those standard incidents reflect what Dixon and Evatt JJ described in </w:t>
      </w:r>
      <w:r w:rsidRPr="00E61F4C">
        <w:rPr>
          <w:rFonts w:ascii="Times New Roman" w:hAnsi="Times New Roman"/>
          <w:i/>
        </w:rPr>
        <w:t xml:space="preserve">R v Federal Court of Bankruptcy; Ex </w:t>
      </w:r>
      <w:proofErr w:type="spellStart"/>
      <w:r w:rsidRPr="00E61F4C">
        <w:rPr>
          <w:rFonts w:ascii="Times New Roman" w:hAnsi="Times New Roman"/>
          <w:i/>
        </w:rPr>
        <w:t>parte</w:t>
      </w:r>
      <w:proofErr w:type="spellEnd"/>
      <w:r w:rsidRPr="00E61F4C">
        <w:rPr>
          <w:rFonts w:ascii="Times New Roman" w:hAnsi="Times New Roman"/>
          <w:i/>
        </w:rPr>
        <w:t xml:space="preserve"> Lowenstein</w:t>
      </w:r>
      <w:r w:rsidRPr="00E61F4C">
        <w:rPr>
          <w:rStyle w:val="FootnoteReference"/>
          <w:rFonts w:ascii="Times New Roman" w:hAnsi="Times New Roman"/>
          <w:sz w:val="24"/>
        </w:rPr>
        <w:footnoteReference w:id="172"/>
      </w:r>
      <w:r w:rsidRPr="00E61F4C">
        <w:rPr>
          <w:rFonts w:ascii="Times New Roman" w:hAnsi="Times New Roman"/>
        </w:rPr>
        <w:t xml:space="preserve"> as a "long course of development" that "produced a conception of the judicial process which placed the court in the position of a detached tribunal entertaining and determining civil and criminal pleas brought before it". "It is true that in relation to contempt of court the courts of justice are armed with powers of summary punishment, at all events for </w:t>
      </w:r>
      <w:proofErr w:type="spellStart"/>
      <w:r w:rsidRPr="00E61F4C">
        <w:rPr>
          <w:rFonts w:ascii="Times New Roman" w:hAnsi="Times New Roman"/>
        </w:rPr>
        <w:t>contempts</w:t>
      </w:r>
      <w:proofErr w:type="spellEnd"/>
      <w:r w:rsidRPr="00E61F4C">
        <w:rPr>
          <w:rFonts w:ascii="Times New Roman" w:hAnsi="Times New Roman"/>
        </w:rPr>
        <w:t> </w:t>
      </w:r>
      <w:r w:rsidRPr="00E61F4C">
        <w:rPr>
          <w:rFonts w:ascii="Times New Roman" w:hAnsi="Times New Roman"/>
          <w:i/>
          <w:iCs/>
        </w:rPr>
        <w:t>in facie curiae</w:t>
      </w:r>
      <w:r w:rsidRPr="00E61F4C">
        <w:rPr>
          <w:rFonts w:ascii="Times New Roman" w:hAnsi="Times New Roman"/>
        </w:rPr>
        <w:t> exercisable </w:t>
      </w:r>
      <w:r w:rsidRPr="00E61F4C">
        <w:rPr>
          <w:rFonts w:ascii="Times New Roman" w:hAnsi="Times New Roman"/>
          <w:i/>
          <w:iCs/>
        </w:rPr>
        <w:t xml:space="preserve">ex </w:t>
      </w:r>
      <w:proofErr w:type="spellStart"/>
      <w:r w:rsidRPr="00E61F4C">
        <w:rPr>
          <w:rFonts w:ascii="Times New Roman" w:hAnsi="Times New Roman"/>
          <w:i/>
          <w:iCs/>
        </w:rPr>
        <w:t>mero</w:t>
      </w:r>
      <w:proofErr w:type="spellEnd"/>
      <w:r w:rsidRPr="00E61F4C">
        <w:rPr>
          <w:rFonts w:ascii="Times New Roman" w:hAnsi="Times New Roman"/>
          <w:i/>
          <w:iCs/>
        </w:rPr>
        <w:t xml:space="preserve"> motu</w:t>
      </w:r>
      <w:r w:rsidRPr="00E61F4C">
        <w:rPr>
          <w:rFonts w:ascii="Times New Roman" w:hAnsi="Times New Roman"/>
        </w:rPr>
        <w:t>", their Honours added, "[b]</w:t>
      </w:r>
      <w:proofErr w:type="spellStart"/>
      <w:r w:rsidRPr="00E61F4C">
        <w:rPr>
          <w:rFonts w:ascii="Times New Roman" w:hAnsi="Times New Roman"/>
        </w:rPr>
        <w:t>ut</w:t>
      </w:r>
      <w:proofErr w:type="spellEnd"/>
      <w:r w:rsidRPr="00E61F4C">
        <w:rPr>
          <w:rFonts w:ascii="Times New Roman" w:hAnsi="Times New Roman"/>
        </w:rPr>
        <w:t xml:space="preserve"> this has always been regarded as an exceptional power based on the necessity of keeping order and of preserving the court from actual interference in the discharge of its duties".</w:t>
      </w:r>
    </w:p>
    <w:p w14:paraId="3F72B95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constitutional characterisation of the function of adjudging and punishing criminal guilt as exclusively judicial, and therefore as able to be performed only by a court other than in an exceptional case, is obviously protective of individual liberty in the procedural sense of preventing detention in custody at the initiative of the state other than through the agency of an independent and impartial tribunal according to a fair and transparent process. But the deeper and broader import of the </w:t>
      </w:r>
      <w:r w:rsidRPr="00E61F4C">
        <w:rPr>
          <w:rFonts w:ascii="Times New Roman" w:hAnsi="Times New Roman"/>
          <w:i/>
        </w:rPr>
        <w:t xml:space="preserve">Lim </w:t>
      </w:r>
      <w:r w:rsidRPr="00E61F4C">
        <w:rPr>
          <w:rFonts w:ascii="Times New Roman" w:hAnsi="Times New Roman"/>
        </w:rPr>
        <w:t>observation is to be found in the standard incidents of the common law system of adversarial trial protecting individual liberty in the substantive sense of allowing for detention in custody at the initiative of the state only where detention in custody is the penal consequence prescribed by law for an existing criminal liability determined to have arisen from the operation of positive law on past events or conduct</w:t>
      </w:r>
      <w:r w:rsidRPr="00E61F4C">
        <w:rPr>
          <w:rStyle w:val="FootnoteReference"/>
          <w:rFonts w:ascii="Times New Roman" w:hAnsi="Times New Roman"/>
          <w:sz w:val="24"/>
        </w:rPr>
        <w:footnoteReference w:id="173"/>
      </w:r>
      <w:r w:rsidRPr="00E61F4C">
        <w:rPr>
          <w:rFonts w:ascii="Times New Roman" w:hAnsi="Times New Roman"/>
        </w:rPr>
        <w:t xml:space="preserve">. </w:t>
      </w:r>
    </w:p>
    <w:p w14:paraId="2F3C56C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That substantive constitutional significance of consigning the function of adjudging and punishing criminal guilt exclusively to the judicial branch of government is the central contribution that our common law system of adversarial trial has made to establishing and maintaining the relationship between the individual and the state within our inherited conception of the rule of law. Although rarely articulated, and all too readily overlooked, it lies at the heart of our system of government.</w:t>
      </w:r>
    </w:p>
    <w:p w14:paraId="38D90D65"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lastRenderedPageBreak/>
        <w:tab/>
        <w:t xml:space="preserve">The </w:t>
      </w:r>
      <w:r w:rsidRPr="00E61F4C">
        <w:rPr>
          <w:rFonts w:ascii="Times New Roman" w:hAnsi="Times New Roman"/>
          <w:i/>
        </w:rPr>
        <w:t xml:space="preserve">Lim </w:t>
      </w:r>
      <w:r w:rsidRPr="00E61F4C">
        <w:rPr>
          <w:rFonts w:ascii="Times New Roman" w:hAnsi="Times New Roman"/>
        </w:rPr>
        <w:t xml:space="preserve">observation spelt out that the relationship between the individual and the state protected by Ch III is a relationship within which freedom of the individual from involuntary detention by the state, other than as a penal consequence prescribed by law for an existing criminal liability determined to have arisen from the operation of positive law on past events or conduct, is the norm. Exceptional cases have always existed and can be expected always to exist. The plurality in </w:t>
      </w:r>
      <w:r w:rsidRPr="00E61F4C">
        <w:rPr>
          <w:rFonts w:ascii="Times New Roman" w:hAnsi="Times New Roman"/>
          <w:i/>
        </w:rPr>
        <w:t xml:space="preserve">Lim </w:t>
      </w:r>
      <w:r w:rsidRPr="00E61F4C">
        <w:rPr>
          <w:rFonts w:ascii="Times New Roman" w:hAnsi="Times New Roman"/>
        </w:rPr>
        <w:t xml:space="preserve">was careful both to acknowledge the inevitability of exceptional cases and to avoid seeking to bring them within a closed category. Much more, however, was the plurality in </w:t>
      </w:r>
      <w:r w:rsidRPr="00E61F4C">
        <w:rPr>
          <w:rFonts w:ascii="Times New Roman" w:hAnsi="Times New Roman"/>
          <w:i/>
        </w:rPr>
        <w:t xml:space="preserve">Lim </w:t>
      </w:r>
      <w:r w:rsidRPr="00E61F4C">
        <w:rPr>
          <w:rFonts w:ascii="Times New Roman" w:hAnsi="Times New Roman"/>
        </w:rPr>
        <w:t xml:space="preserve">at pains to emphasise their exceptionality. </w:t>
      </w:r>
    </w:p>
    <w:p w14:paraId="79E3A904"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Other than in what is truly an exceptional case, and other than as an incident of the adjudgment and punishment of criminal guilt, conferral on a court of a function that involves the creation of a liability to detention in custody through an act of adjudication is not simply antithetical to the character of that court as an institution for the administration of justice. Conferral of such a function is antithetical to the very conception of justice which it is the responsibility of courts to administer.</w:t>
      </w:r>
    </w:p>
    <w:p w14:paraId="2DD7E9AD"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significance of the </w:t>
      </w:r>
      <w:r w:rsidRPr="00E61F4C">
        <w:rPr>
          <w:rFonts w:ascii="Times New Roman" w:hAnsi="Times New Roman"/>
          <w:i/>
        </w:rPr>
        <w:t xml:space="preserve">Lim </w:t>
      </w:r>
      <w:r w:rsidRPr="00E61F4C">
        <w:rPr>
          <w:rFonts w:ascii="Times New Roman" w:hAnsi="Times New Roman"/>
        </w:rPr>
        <w:t xml:space="preserve">observation for present purposes is therefore that legislative conferral on a court of a function that involves the creation of a liability to detention in custody through an act of adjudication other than as an incident of the adjudgment and punishment of criminal guilt must infringe both the </w:t>
      </w:r>
      <w:r w:rsidRPr="00E61F4C">
        <w:rPr>
          <w:rFonts w:ascii="Times New Roman" w:hAnsi="Times New Roman"/>
          <w:i/>
        </w:rPr>
        <w:t>Boilermakers</w:t>
      </w:r>
      <w:r w:rsidRPr="00E61F4C">
        <w:rPr>
          <w:rFonts w:ascii="Times New Roman" w:hAnsi="Times New Roman"/>
        </w:rPr>
        <w:t xml:space="preserve"> restriction on Commonwealth legislative power and the </w:t>
      </w:r>
      <w:r w:rsidRPr="00E61F4C">
        <w:rPr>
          <w:rFonts w:ascii="Times New Roman" w:hAnsi="Times New Roman"/>
          <w:i/>
        </w:rPr>
        <w:t>Kable</w:t>
      </w:r>
      <w:r w:rsidRPr="00E61F4C">
        <w:rPr>
          <w:rFonts w:ascii="Times New Roman" w:hAnsi="Times New Roman"/>
        </w:rPr>
        <w:t xml:space="preserve"> restriction on State and Territory legislative power, unless conferral of that function can be justified as within a category of exceptional case. That is so irrespective of whether the function can be performed in accordance with a judicial process. </w:t>
      </w:r>
    </w:p>
    <w:p w14:paraId="4F2C68FD"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That understanding of the significance of the </w:t>
      </w:r>
      <w:r w:rsidRPr="00E61F4C">
        <w:rPr>
          <w:rFonts w:ascii="Times New Roman" w:hAnsi="Times New Roman"/>
          <w:i/>
        </w:rPr>
        <w:t xml:space="preserve">Lim </w:t>
      </w:r>
      <w:r w:rsidRPr="00E61F4C">
        <w:rPr>
          <w:rFonts w:ascii="Times New Roman" w:hAnsi="Times New Roman"/>
        </w:rPr>
        <w:t xml:space="preserve">observation to the </w:t>
      </w:r>
      <w:r w:rsidRPr="00E61F4C">
        <w:rPr>
          <w:rFonts w:ascii="Times New Roman" w:hAnsi="Times New Roman"/>
          <w:i/>
        </w:rPr>
        <w:t>Kable</w:t>
      </w:r>
      <w:r w:rsidRPr="00E61F4C">
        <w:rPr>
          <w:rFonts w:ascii="Times New Roman" w:hAnsi="Times New Roman"/>
        </w:rPr>
        <w:t xml:space="preserve"> restriction on State and Territory legislative power is underscored by the significance attributed to the observation</w:t>
      </w:r>
      <w:r w:rsidRPr="00E61F4C">
        <w:rPr>
          <w:rFonts w:ascii="Times New Roman" w:hAnsi="Times New Roman"/>
          <w:i/>
        </w:rPr>
        <w:t xml:space="preserve"> </w:t>
      </w:r>
      <w:r w:rsidRPr="00E61F4C">
        <w:rPr>
          <w:rFonts w:ascii="Times New Roman" w:hAnsi="Times New Roman"/>
        </w:rPr>
        <w:t xml:space="preserve">by each member of the majority in </w:t>
      </w:r>
      <w:r w:rsidRPr="00E61F4C">
        <w:rPr>
          <w:rFonts w:ascii="Times New Roman" w:hAnsi="Times New Roman"/>
          <w:i/>
        </w:rPr>
        <w:t>Kable</w:t>
      </w:r>
      <w:r w:rsidRPr="00E61F4C">
        <w:rPr>
          <w:rFonts w:ascii="Times New Roman" w:hAnsi="Times New Roman"/>
        </w:rPr>
        <w:t xml:space="preserve"> in holding invalid a </w:t>
      </w:r>
      <w:proofErr w:type="gramStart"/>
      <w:r w:rsidRPr="00E61F4C">
        <w:rPr>
          <w:rFonts w:ascii="Times New Roman" w:hAnsi="Times New Roman"/>
        </w:rPr>
        <w:t>State</w:t>
      </w:r>
      <w:proofErr w:type="gramEnd"/>
      <w:r w:rsidRPr="00E61F4C">
        <w:rPr>
          <w:rFonts w:ascii="Times New Roman" w:hAnsi="Times New Roman"/>
        </w:rPr>
        <w:t xml:space="preserve"> law purporting to confer jurisdiction on a State court to order the continuing detention of a named individual. The observation</w:t>
      </w:r>
      <w:r w:rsidRPr="00E61F4C">
        <w:rPr>
          <w:rFonts w:ascii="Times New Roman" w:hAnsi="Times New Roman"/>
          <w:i/>
        </w:rPr>
        <w:t xml:space="preserve"> </w:t>
      </w:r>
      <w:r w:rsidRPr="00E61F4C">
        <w:rPr>
          <w:rFonts w:ascii="Times New Roman" w:hAnsi="Times New Roman"/>
        </w:rPr>
        <w:t>was "applied as a step in the reasoning" of two members of the majority</w:t>
      </w:r>
      <w:r w:rsidRPr="00E61F4C">
        <w:rPr>
          <w:rStyle w:val="FootnoteReference"/>
          <w:rFonts w:ascii="Times New Roman" w:hAnsi="Times New Roman"/>
          <w:sz w:val="24"/>
        </w:rPr>
        <w:footnoteReference w:id="174"/>
      </w:r>
      <w:r w:rsidRPr="00E61F4C">
        <w:rPr>
          <w:rFonts w:ascii="Times New Roman" w:hAnsi="Times New Roman"/>
        </w:rPr>
        <w:t xml:space="preserve"> and was "reflected" in the reasoning of two other members of the majority</w:t>
      </w:r>
      <w:r w:rsidRPr="00E61F4C">
        <w:rPr>
          <w:rStyle w:val="FootnoteReference"/>
          <w:rFonts w:ascii="Times New Roman" w:hAnsi="Times New Roman"/>
          <w:sz w:val="24"/>
        </w:rPr>
        <w:footnoteReference w:id="175"/>
      </w:r>
      <w:r w:rsidRPr="00E61F4C">
        <w:rPr>
          <w:rFonts w:ascii="Times New Roman" w:hAnsi="Times New Roman"/>
        </w:rPr>
        <w:t>.</w:t>
      </w:r>
    </w:p>
    <w:p w14:paraId="75C49543"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upholding by the majority in </w:t>
      </w:r>
      <w:proofErr w:type="spellStart"/>
      <w:r w:rsidRPr="00E61F4C">
        <w:rPr>
          <w:rFonts w:ascii="Times New Roman" w:hAnsi="Times New Roman"/>
          <w:i/>
        </w:rPr>
        <w:t>Fardon</w:t>
      </w:r>
      <w:proofErr w:type="spellEnd"/>
      <w:r w:rsidRPr="00E61F4C">
        <w:rPr>
          <w:rFonts w:ascii="Times New Roman" w:hAnsi="Times New Roman"/>
          <w:i/>
        </w:rPr>
        <w:t xml:space="preserve"> v Attorney-General (Qld)</w:t>
      </w:r>
      <w:r w:rsidRPr="00E61F4C">
        <w:rPr>
          <w:rStyle w:val="FootnoteReference"/>
          <w:rFonts w:ascii="Times New Roman" w:hAnsi="Times New Roman"/>
          <w:sz w:val="24"/>
        </w:rPr>
        <w:footnoteReference w:id="176"/>
      </w:r>
      <w:r w:rsidRPr="00E61F4C">
        <w:rPr>
          <w:rFonts w:ascii="Times New Roman" w:hAnsi="Times New Roman"/>
        </w:rPr>
        <w:t xml:space="preserve"> of the conferral on a State court by a State Parliament of a function of creating a liability </w:t>
      </w:r>
      <w:r w:rsidRPr="00E61F4C">
        <w:rPr>
          <w:rFonts w:ascii="Times New Roman" w:hAnsi="Times New Roman"/>
        </w:rPr>
        <w:lastRenderedPageBreak/>
        <w:t xml:space="preserve">to be detained in custody in order to safeguard against a "serious danger to the community" arising by reason of "an unacceptable risk" that the individual would commit "an offence of a sexual nature ... involving violence [or] against children" is explicable on the basis of the conferral of that function having been within a category of exceptional case so as not to have infringed the </w:t>
      </w:r>
      <w:r w:rsidRPr="00E61F4C">
        <w:rPr>
          <w:rFonts w:ascii="Times New Roman" w:hAnsi="Times New Roman"/>
          <w:i/>
        </w:rPr>
        <w:t>Kable</w:t>
      </w:r>
      <w:r w:rsidRPr="00E61F4C">
        <w:rPr>
          <w:rFonts w:ascii="Times New Roman" w:hAnsi="Times New Roman"/>
        </w:rPr>
        <w:t xml:space="preserve"> restriction. The conferral was characterised by Gleeson CJ in the language of Deane J in </w:t>
      </w:r>
      <w:r w:rsidRPr="00E61F4C">
        <w:rPr>
          <w:rFonts w:ascii="Times New Roman" w:hAnsi="Times New Roman"/>
          <w:i/>
        </w:rPr>
        <w:t>Veen v The Queen [No 2]</w:t>
      </w:r>
      <w:r w:rsidRPr="00E61F4C">
        <w:rPr>
          <w:rStyle w:val="FootnoteReference"/>
          <w:rFonts w:ascii="Times New Roman" w:hAnsi="Times New Roman"/>
          <w:sz w:val="24"/>
        </w:rPr>
        <w:footnoteReference w:id="177"/>
      </w:r>
      <w:r w:rsidRPr="00E61F4C">
        <w:rPr>
          <w:rFonts w:ascii="Times New Roman" w:hAnsi="Times New Roman"/>
        </w:rPr>
        <w:t xml:space="preserve"> as an incident of an "acceptable statutory system of preventive restraint to deal with the case of a person who has been convicted of violent crime and who, while not legally insane, might represent a grave threat to the safety of other people by reason of mental abnormality if he were to be released as a matter of course at the end of what represents a proper punitive sentence"</w:t>
      </w:r>
      <w:r w:rsidRPr="00E61F4C">
        <w:rPr>
          <w:rStyle w:val="FootnoteReference"/>
          <w:rFonts w:ascii="Times New Roman" w:hAnsi="Times New Roman"/>
          <w:sz w:val="24"/>
        </w:rPr>
        <w:footnoteReference w:id="178"/>
      </w:r>
      <w:r w:rsidRPr="00E61F4C">
        <w:rPr>
          <w:rFonts w:ascii="Times New Roman" w:hAnsi="Times New Roman"/>
        </w:rPr>
        <w:t>.</w:t>
      </w:r>
    </w:p>
    <w:p w14:paraId="119F2600"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upholding by the majority in </w:t>
      </w:r>
      <w:r w:rsidRPr="00E61F4C">
        <w:rPr>
          <w:rFonts w:ascii="Times New Roman" w:hAnsi="Times New Roman"/>
          <w:i/>
        </w:rPr>
        <w:t xml:space="preserve">Minister for Home Affairs v </w:t>
      </w:r>
      <w:proofErr w:type="spellStart"/>
      <w:r w:rsidRPr="00E61F4C">
        <w:rPr>
          <w:rFonts w:ascii="Times New Roman" w:hAnsi="Times New Roman"/>
          <w:i/>
        </w:rPr>
        <w:t>Benbrika</w:t>
      </w:r>
      <w:proofErr w:type="spellEnd"/>
      <w:r w:rsidRPr="00E61F4C">
        <w:rPr>
          <w:rStyle w:val="FootnoteReference"/>
          <w:rFonts w:ascii="Times New Roman" w:hAnsi="Times New Roman"/>
          <w:sz w:val="24"/>
        </w:rPr>
        <w:footnoteReference w:id="179"/>
      </w:r>
      <w:r w:rsidRPr="00E61F4C">
        <w:rPr>
          <w:rFonts w:ascii="Times New Roman" w:hAnsi="Times New Roman"/>
        </w:rPr>
        <w:t xml:space="preserve"> of the conferral on a court by the Commonwealth Parliament of a function of creating a liability to be detained in custody </w:t>
      </w:r>
      <w:proofErr w:type="gramStart"/>
      <w:r w:rsidRPr="00E61F4C">
        <w:rPr>
          <w:rFonts w:ascii="Times New Roman" w:hAnsi="Times New Roman"/>
        </w:rPr>
        <w:t>in order to</w:t>
      </w:r>
      <w:proofErr w:type="gramEnd"/>
      <w:r w:rsidRPr="00E61F4C">
        <w:rPr>
          <w:rFonts w:ascii="Times New Roman" w:hAnsi="Times New Roman"/>
        </w:rPr>
        <w:t xml:space="preserve"> protect the community from "an unacceptable risk" of a "serious" offence relating to terrorism is similarly explicable on the basis of the conferral of that function having been within a category of exceptional case so as not to have infringed the </w:t>
      </w:r>
      <w:r w:rsidRPr="00E61F4C">
        <w:rPr>
          <w:rFonts w:ascii="Times New Roman" w:hAnsi="Times New Roman"/>
          <w:i/>
        </w:rPr>
        <w:t>Boilermakers</w:t>
      </w:r>
      <w:r w:rsidRPr="00E61F4C">
        <w:rPr>
          <w:rFonts w:ascii="Times New Roman" w:hAnsi="Times New Roman"/>
        </w:rPr>
        <w:t xml:space="preserve"> restriction. I will say something more about </w:t>
      </w:r>
      <w:proofErr w:type="spellStart"/>
      <w:r w:rsidRPr="00E61F4C">
        <w:rPr>
          <w:rFonts w:ascii="Times New Roman" w:hAnsi="Times New Roman"/>
          <w:i/>
        </w:rPr>
        <w:t>Benbrika</w:t>
      </w:r>
      <w:proofErr w:type="spellEnd"/>
      <w:r w:rsidRPr="00E61F4C">
        <w:rPr>
          <w:rFonts w:ascii="Times New Roman" w:hAnsi="Times New Roman"/>
          <w:i/>
        </w:rPr>
        <w:t xml:space="preserve"> </w:t>
      </w:r>
      <w:r w:rsidRPr="00E61F4C">
        <w:rPr>
          <w:rFonts w:ascii="Times New Roman" w:hAnsi="Times New Roman"/>
        </w:rPr>
        <w:t>in the context of addressing the identification of an exceptional case.</w:t>
      </w:r>
    </w:p>
    <w:p w14:paraId="21818ED1" w14:textId="77777777" w:rsidR="00E3198A" w:rsidRPr="00E61F4C" w:rsidRDefault="00E3198A" w:rsidP="00E61F4C">
      <w:pPr>
        <w:pStyle w:val="HeadingL1"/>
        <w:spacing w:after="260" w:line="280" w:lineRule="exact"/>
        <w:ind w:right="0"/>
        <w:jc w:val="both"/>
        <w:rPr>
          <w:rFonts w:ascii="Times New Roman" w:hAnsi="Times New Roman"/>
        </w:rPr>
      </w:pPr>
      <w:r w:rsidRPr="00E61F4C">
        <w:rPr>
          <w:rFonts w:ascii="Times New Roman" w:hAnsi="Times New Roman"/>
        </w:rPr>
        <w:t>Identifying an exceptional case</w:t>
      </w:r>
    </w:p>
    <w:p w14:paraId="02509FFA"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Dissenting in </w:t>
      </w:r>
      <w:proofErr w:type="spellStart"/>
      <w:r w:rsidRPr="00E61F4C">
        <w:rPr>
          <w:rFonts w:ascii="Times New Roman" w:hAnsi="Times New Roman"/>
          <w:i/>
        </w:rPr>
        <w:t>Fardon</w:t>
      </w:r>
      <w:proofErr w:type="spellEnd"/>
      <w:r w:rsidRPr="00E61F4C">
        <w:rPr>
          <w:rStyle w:val="FootnoteReference"/>
          <w:rFonts w:ascii="Times New Roman" w:hAnsi="Times New Roman"/>
          <w:sz w:val="24"/>
        </w:rPr>
        <w:footnoteReference w:id="180"/>
      </w:r>
      <w:r w:rsidRPr="00E61F4C">
        <w:rPr>
          <w:rFonts w:ascii="Times New Roman" w:hAnsi="Times New Roman"/>
        </w:rPr>
        <w:t>, Kirby J remarked that "[t]he categories of exception to deprivations of liberty treated as non-punitive may not be closed; but they remain exceptions". His Honour added that "[t]</w:t>
      </w:r>
      <w:proofErr w:type="spellStart"/>
      <w:r w:rsidRPr="00E61F4C">
        <w:rPr>
          <w:rFonts w:ascii="Times New Roman" w:hAnsi="Times New Roman"/>
        </w:rPr>
        <w:t>hey</w:t>
      </w:r>
      <w:proofErr w:type="spellEnd"/>
      <w:r w:rsidRPr="00E61F4C">
        <w:rPr>
          <w:rFonts w:ascii="Times New Roman" w:hAnsi="Times New Roman"/>
        </w:rPr>
        <w:t xml:space="preserve"> are, and should continue to be, few, fully justifiable for reasons of history or reasons of principle developed by analogy with the historical derogations from the norm". I agree with that approach. I do not think that its adoption is countermanded by the decision of the majority in that case or in any subsequent case.</w:t>
      </w:r>
    </w:p>
    <w:p w14:paraId="6A15E833"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r>
      <w:r w:rsidRPr="00E61F4C">
        <w:rPr>
          <w:rFonts w:ascii="Times New Roman" w:hAnsi="Times New Roman"/>
          <w:i/>
        </w:rPr>
        <w:t>Vella v Commissioner of Police (NSW)</w:t>
      </w:r>
      <w:r w:rsidRPr="00E61F4C">
        <w:rPr>
          <w:rStyle w:val="FootnoteReference"/>
          <w:rFonts w:ascii="Times New Roman" w:hAnsi="Times New Roman"/>
          <w:sz w:val="24"/>
        </w:rPr>
        <w:footnoteReference w:id="181"/>
      </w:r>
      <w:r w:rsidRPr="00E61F4C">
        <w:rPr>
          <w:rFonts w:ascii="Times New Roman" w:hAnsi="Times New Roman"/>
        </w:rPr>
        <w:t xml:space="preserve">, like </w:t>
      </w:r>
      <w:r w:rsidRPr="00E61F4C">
        <w:rPr>
          <w:rFonts w:ascii="Times New Roman" w:hAnsi="Times New Roman"/>
          <w:i/>
        </w:rPr>
        <w:t>Thomas v Mowbray</w:t>
      </w:r>
      <w:r w:rsidRPr="00E61F4C">
        <w:rPr>
          <w:rStyle w:val="FootnoteReference"/>
          <w:rFonts w:ascii="Times New Roman" w:hAnsi="Times New Roman"/>
          <w:sz w:val="24"/>
        </w:rPr>
        <w:footnoteReference w:id="182"/>
      </w:r>
      <w:r w:rsidRPr="00E61F4C">
        <w:rPr>
          <w:rFonts w:ascii="Times New Roman" w:hAnsi="Times New Roman"/>
        </w:rPr>
        <w:t xml:space="preserve">, concerned a legislative conferral on a court of a function which involved the court in the imposition of a restriction of liberty falling short of detention in custody. </w:t>
      </w:r>
      <w:r w:rsidRPr="00E61F4C">
        <w:rPr>
          <w:rFonts w:ascii="Times New Roman" w:hAnsi="Times New Roman"/>
        </w:rPr>
        <w:lastRenderedPageBreak/>
        <w:t xml:space="preserve">The issue in </w:t>
      </w:r>
      <w:r w:rsidRPr="00E61F4C">
        <w:rPr>
          <w:rFonts w:ascii="Times New Roman" w:hAnsi="Times New Roman"/>
          <w:i/>
          <w:iCs/>
        </w:rPr>
        <w:t xml:space="preserve">Vella </w:t>
      </w:r>
      <w:r w:rsidRPr="00E61F4C">
        <w:rPr>
          <w:rFonts w:ascii="Times New Roman" w:hAnsi="Times New Roman"/>
        </w:rPr>
        <w:t xml:space="preserve">was as to the compatibility of State legislation with the </w:t>
      </w:r>
      <w:r w:rsidRPr="00E61F4C">
        <w:rPr>
          <w:rFonts w:ascii="Times New Roman" w:hAnsi="Times New Roman"/>
          <w:i/>
        </w:rPr>
        <w:t>Kable</w:t>
      </w:r>
      <w:r w:rsidRPr="00E61F4C">
        <w:rPr>
          <w:rFonts w:ascii="Times New Roman" w:hAnsi="Times New Roman"/>
        </w:rPr>
        <w:t xml:space="preserve"> restriction on State legislative power. The issue in </w:t>
      </w:r>
      <w:r w:rsidRPr="00E61F4C">
        <w:rPr>
          <w:rFonts w:ascii="Times New Roman" w:hAnsi="Times New Roman"/>
          <w:i/>
          <w:iCs/>
        </w:rPr>
        <w:t xml:space="preserve">Thomas </w:t>
      </w:r>
      <w:r w:rsidRPr="00E61F4C">
        <w:rPr>
          <w:rFonts w:ascii="Times New Roman" w:hAnsi="Times New Roman"/>
        </w:rPr>
        <w:t xml:space="preserve">was as to the compatibility of Commonwealth legislation with the </w:t>
      </w:r>
      <w:r w:rsidRPr="00E61F4C">
        <w:rPr>
          <w:rFonts w:ascii="Times New Roman" w:hAnsi="Times New Roman"/>
          <w:i/>
        </w:rPr>
        <w:t>Boilermakers</w:t>
      </w:r>
      <w:r w:rsidRPr="00E61F4C">
        <w:rPr>
          <w:rFonts w:ascii="Times New Roman" w:hAnsi="Times New Roman"/>
        </w:rPr>
        <w:t xml:space="preserve"> restriction on Commonwealth legislative power.</w:t>
      </w:r>
    </w:p>
    <w:p w14:paraId="6579D713"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In </w:t>
      </w:r>
      <w:r w:rsidRPr="00E61F4C">
        <w:rPr>
          <w:rFonts w:ascii="Times New Roman" w:hAnsi="Times New Roman"/>
          <w:i/>
        </w:rPr>
        <w:t>Vella</w:t>
      </w:r>
      <w:r w:rsidRPr="00E61F4C">
        <w:rPr>
          <w:rFonts w:ascii="Times New Roman" w:hAnsi="Times New Roman"/>
        </w:rPr>
        <w:t>, albeit in dissent, I advanced the following general proposition</w:t>
      </w:r>
      <w:r w:rsidRPr="00E61F4C">
        <w:rPr>
          <w:rStyle w:val="FootnoteReference"/>
          <w:rFonts w:ascii="Times New Roman" w:hAnsi="Times New Roman"/>
          <w:sz w:val="24"/>
        </w:rPr>
        <w:footnoteReference w:id="183"/>
      </w:r>
      <w:r w:rsidRPr="00E61F4C">
        <w:rPr>
          <w:rFonts w:ascii="Times New Roman" w:hAnsi="Times New Roman"/>
        </w:rPr>
        <w:t>:</w:t>
      </w:r>
    </w:p>
    <w:p w14:paraId="0E3CEFFD" w14:textId="77777777" w:rsidR="00E3198A" w:rsidRDefault="00E3198A" w:rsidP="00E61F4C">
      <w:pPr>
        <w:pStyle w:val="leftright"/>
        <w:spacing w:before="0" w:after="260" w:line="280" w:lineRule="exact"/>
        <w:ind w:right="0"/>
        <w:jc w:val="both"/>
        <w:rPr>
          <w:rFonts w:ascii="Times New Roman" w:hAnsi="Times New Roman"/>
        </w:rPr>
      </w:pPr>
      <w:r w:rsidRPr="00E61F4C">
        <w:rPr>
          <w:rFonts w:ascii="Times New Roman" w:hAnsi="Times New Roman"/>
        </w:rPr>
        <w:tab/>
        <w:t>"Where an exercise of a power conferred on a court settles no question as to the existence of any antecedent right or obligation yet results in an order imposing a new and enduring restriction on liberty, some special and compelling feature ought to be found to exist for its inclusion in the category of judicial power to be justified. Characterisation of the power as judicial ought to require at least that the criteria to be applied by the court in making the order are legislatively tailored to the achievement of a legislatively specified protective outcome."</w:t>
      </w:r>
    </w:p>
    <w:p w14:paraId="52CF6898"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Consistently with that proposition, and albeit again in dissent, I drew attention in </w:t>
      </w:r>
      <w:proofErr w:type="spellStart"/>
      <w:r w:rsidRPr="00E61F4C">
        <w:rPr>
          <w:rFonts w:ascii="Times New Roman" w:hAnsi="Times New Roman"/>
          <w:i/>
        </w:rPr>
        <w:t>Benbrika</w:t>
      </w:r>
      <w:proofErr w:type="spellEnd"/>
      <w:r w:rsidRPr="00E61F4C">
        <w:rPr>
          <w:rStyle w:val="FootnoteReference"/>
          <w:rFonts w:ascii="Times New Roman" w:hAnsi="Times New Roman"/>
          <w:sz w:val="24"/>
        </w:rPr>
        <w:footnoteReference w:id="184"/>
      </w:r>
      <w:r w:rsidRPr="00E61F4C">
        <w:rPr>
          <w:rFonts w:ascii="Times New Roman" w:hAnsi="Times New Roman"/>
        </w:rPr>
        <w:t xml:space="preserve"> to the prior formulation of a more specific principle for determining when conferral on a court of a function of creating a liability to be detained in custody through an act of adjudication in a novel category of case can be taken to fall within </w:t>
      </w:r>
      <w:r w:rsidRPr="00E61F4C">
        <w:rPr>
          <w:rFonts w:ascii="Times New Roman" w:hAnsi="Times New Roman"/>
          <w:i/>
          <w:iCs/>
        </w:rPr>
        <w:t>Lim</w:t>
      </w:r>
      <w:r w:rsidRPr="00E61F4C">
        <w:rPr>
          <w:rFonts w:ascii="Times New Roman" w:hAnsi="Times New Roman"/>
        </w:rPr>
        <w:t xml:space="preserve">'s reference to exceptional cases. The principle was formulated by </w:t>
      </w:r>
      <w:proofErr w:type="spellStart"/>
      <w:r w:rsidRPr="00E61F4C">
        <w:rPr>
          <w:rFonts w:ascii="Times New Roman" w:hAnsi="Times New Roman"/>
        </w:rPr>
        <w:t>Gummow</w:t>
      </w:r>
      <w:proofErr w:type="spellEnd"/>
      <w:r w:rsidRPr="00E61F4C">
        <w:rPr>
          <w:rFonts w:ascii="Times New Roman" w:hAnsi="Times New Roman"/>
        </w:rPr>
        <w:t xml:space="preserve"> J in </w:t>
      </w:r>
      <w:r w:rsidRPr="00E61F4C">
        <w:rPr>
          <w:rFonts w:ascii="Times New Roman" w:hAnsi="Times New Roman"/>
          <w:i/>
          <w:iCs/>
        </w:rPr>
        <w:t>Kruger v The Commonwealth</w:t>
      </w:r>
      <w:r w:rsidRPr="00E61F4C">
        <w:rPr>
          <w:rStyle w:val="FootnoteReference"/>
          <w:rFonts w:ascii="Times New Roman" w:hAnsi="Times New Roman"/>
          <w:iCs/>
          <w:sz w:val="24"/>
        </w:rPr>
        <w:footnoteReference w:id="185"/>
      </w:r>
      <w:r w:rsidRPr="00E61F4C">
        <w:rPr>
          <w:rFonts w:ascii="Times New Roman" w:hAnsi="Times New Roman"/>
        </w:rPr>
        <w:t xml:space="preserve"> and adopted by </w:t>
      </w:r>
      <w:proofErr w:type="spellStart"/>
      <w:r w:rsidRPr="00E61F4C">
        <w:rPr>
          <w:rFonts w:ascii="Times New Roman" w:hAnsi="Times New Roman"/>
        </w:rPr>
        <w:t>Callinan</w:t>
      </w:r>
      <w:proofErr w:type="spellEnd"/>
      <w:r w:rsidRPr="00E61F4C">
        <w:rPr>
          <w:rFonts w:ascii="Times New Roman" w:hAnsi="Times New Roman"/>
        </w:rPr>
        <w:t xml:space="preserve"> and </w:t>
      </w:r>
      <w:proofErr w:type="spellStart"/>
      <w:r w:rsidRPr="00E61F4C">
        <w:rPr>
          <w:rFonts w:ascii="Times New Roman" w:hAnsi="Times New Roman"/>
        </w:rPr>
        <w:t>Heydon</w:t>
      </w:r>
      <w:proofErr w:type="spellEnd"/>
      <w:r w:rsidRPr="00E61F4C">
        <w:rPr>
          <w:rFonts w:ascii="Times New Roman" w:hAnsi="Times New Roman"/>
        </w:rPr>
        <w:t xml:space="preserve"> JJ in </w:t>
      </w:r>
      <w:proofErr w:type="spellStart"/>
      <w:r w:rsidRPr="00E61F4C">
        <w:rPr>
          <w:rFonts w:ascii="Times New Roman" w:hAnsi="Times New Roman"/>
          <w:i/>
        </w:rPr>
        <w:t>Fardon</w:t>
      </w:r>
      <w:proofErr w:type="spellEnd"/>
      <w:r w:rsidRPr="00E61F4C">
        <w:rPr>
          <w:rStyle w:val="FootnoteReference"/>
          <w:rFonts w:ascii="Times New Roman" w:hAnsi="Times New Roman"/>
          <w:sz w:val="24"/>
        </w:rPr>
        <w:footnoteReference w:id="186"/>
      </w:r>
      <w:r w:rsidRPr="00E61F4C">
        <w:rPr>
          <w:rFonts w:ascii="Times New Roman" w:hAnsi="Times New Roman"/>
        </w:rPr>
        <w:t>:</w:t>
      </w:r>
    </w:p>
    <w:p w14:paraId="79EC6515" w14:textId="77777777" w:rsidR="00E3198A" w:rsidRDefault="00E3198A" w:rsidP="00E61F4C">
      <w:pPr>
        <w:pStyle w:val="leftright"/>
        <w:spacing w:before="0" w:after="260" w:line="280" w:lineRule="exact"/>
        <w:ind w:right="0"/>
        <w:jc w:val="both"/>
        <w:rPr>
          <w:rFonts w:ascii="Times New Roman" w:hAnsi="Times New Roman"/>
        </w:rPr>
      </w:pPr>
      <w:r w:rsidRPr="00E61F4C">
        <w:rPr>
          <w:rFonts w:ascii="Times New Roman" w:hAnsi="Times New Roman"/>
        </w:rPr>
        <w:tab/>
        <w:t xml:space="preserve">"The question whether a power to detain persons or to take them into custody is to be characterised as punitive in nature, </w:t>
      </w:r>
      <w:proofErr w:type="gramStart"/>
      <w:r w:rsidRPr="00E61F4C">
        <w:rPr>
          <w:rFonts w:ascii="Times New Roman" w:hAnsi="Times New Roman"/>
        </w:rPr>
        <w:t>so as to</w:t>
      </w:r>
      <w:proofErr w:type="gramEnd"/>
      <w:r w:rsidRPr="00E61F4C">
        <w:rPr>
          <w:rFonts w:ascii="Times New Roman" w:hAnsi="Times New Roman"/>
        </w:rPr>
        <w:t xml:space="preserve"> attract the operation of Ch III, depends upon whether those activities are reasonably capable of being seen as necessary for a legitimate non-punitive objective. The categories of non-punitive, involuntary detention are not closed."</w:t>
      </w:r>
    </w:p>
    <w:p w14:paraId="7CEEDCF9"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Within the principle so formulated, the term "legitimate" is an important qualifier. As elsewhere in constitutional analysis</w:t>
      </w:r>
      <w:r w:rsidRPr="00E61F4C">
        <w:rPr>
          <w:rStyle w:val="FootnoteReference"/>
          <w:rFonts w:ascii="Times New Roman" w:hAnsi="Times New Roman"/>
          <w:sz w:val="24"/>
        </w:rPr>
        <w:footnoteReference w:id="187"/>
      </w:r>
      <w:r w:rsidRPr="00E61F4C">
        <w:rPr>
          <w:rFonts w:ascii="Times New Roman" w:hAnsi="Times New Roman"/>
        </w:rPr>
        <w:t xml:space="preserve">, the term signifies a need for compatibility with the constitutionally prescribed system of government. Used to qualify "non-punitive", the term serves to emphasise that a legislative objective </w:t>
      </w:r>
      <w:r w:rsidRPr="00E61F4C">
        <w:rPr>
          <w:rFonts w:ascii="Times New Roman" w:hAnsi="Times New Roman"/>
        </w:rPr>
        <w:lastRenderedPageBreak/>
        <w:t xml:space="preserve">sought to be pursued by means of involuntary detention is not automatically to be accepted as compatible with the constitutionally prescribed system of government merely because that objective can be characterised as non-punitive. </w:t>
      </w:r>
    </w:p>
    <w:p w14:paraId="72A03085"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Elaborating on the principle formulated by </w:t>
      </w:r>
      <w:proofErr w:type="spellStart"/>
      <w:r w:rsidRPr="00E61F4C">
        <w:rPr>
          <w:rFonts w:ascii="Times New Roman" w:hAnsi="Times New Roman"/>
        </w:rPr>
        <w:t>Gummow</w:t>
      </w:r>
      <w:proofErr w:type="spellEnd"/>
      <w:r w:rsidRPr="00E61F4C">
        <w:rPr>
          <w:rFonts w:ascii="Times New Roman" w:hAnsi="Times New Roman"/>
        </w:rPr>
        <w:t xml:space="preserve"> J in </w:t>
      </w:r>
      <w:r w:rsidRPr="00E61F4C">
        <w:rPr>
          <w:rFonts w:ascii="Times New Roman" w:hAnsi="Times New Roman"/>
          <w:i/>
          <w:iCs/>
        </w:rPr>
        <w:t>Kruger</w:t>
      </w:r>
      <w:r w:rsidRPr="00E61F4C">
        <w:rPr>
          <w:rFonts w:ascii="Times New Roman" w:hAnsi="Times New Roman"/>
        </w:rPr>
        <w:t xml:space="preserve">, with particular reference to the subsequent analysis of </w:t>
      </w:r>
      <w:proofErr w:type="spellStart"/>
      <w:r w:rsidRPr="00E61F4C">
        <w:rPr>
          <w:rFonts w:ascii="Times New Roman" w:hAnsi="Times New Roman"/>
        </w:rPr>
        <w:t>Gummow</w:t>
      </w:r>
      <w:proofErr w:type="spellEnd"/>
      <w:r w:rsidRPr="00E61F4C">
        <w:rPr>
          <w:rFonts w:ascii="Times New Roman" w:hAnsi="Times New Roman"/>
        </w:rPr>
        <w:t xml:space="preserve"> J in </w:t>
      </w:r>
      <w:proofErr w:type="spellStart"/>
      <w:r w:rsidRPr="00E61F4C">
        <w:rPr>
          <w:rFonts w:ascii="Times New Roman" w:hAnsi="Times New Roman"/>
          <w:i/>
        </w:rPr>
        <w:t>Fardon</w:t>
      </w:r>
      <w:proofErr w:type="spellEnd"/>
      <w:r w:rsidRPr="00E61F4C">
        <w:rPr>
          <w:rStyle w:val="FootnoteReference"/>
          <w:rFonts w:ascii="Times New Roman" w:hAnsi="Times New Roman"/>
          <w:sz w:val="24"/>
        </w:rPr>
        <w:footnoteReference w:id="188"/>
      </w:r>
      <w:r w:rsidRPr="00E61F4C">
        <w:rPr>
          <w:rFonts w:ascii="Times New Roman" w:hAnsi="Times New Roman"/>
        </w:rPr>
        <w:t xml:space="preserve">, I sought to explain in </w:t>
      </w:r>
      <w:proofErr w:type="spellStart"/>
      <w:r w:rsidRPr="00E61F4C">
        <w:rPr>
          <w:rFonts w:ascii="Times New Roman" w:hAnsi="Times New Roman"/>
          <w:i/>
        </w:rPr>
        <w:t>Benbrika</w:t>
      </w:r>
      <w:proofErr w:type="spellEnd"/>
      <w:r w:rsidRPr="00E61F4C">
        <w:rPr>
          <w:rFonts w:ascii="Times New Roman" w:hAnsi="Times New Roman"/>
        </w:rPr>
        <w:t xml:space="preserve"> why mere prevention of the commission of a criminal offence cannot be a legitimate non-punitive objective whilst acknowledging that protection from harm can be a legitimate non-punitive objective if the harm sought to be protected from by preventing the commission of the offence can be characterised as grave and specific</w:t>
      </w:r>
      <w:r w:rsidRPr="00E61F4C">
        <w:rPr>
          <w:rStyle w:val="FootnoteReference"/>
          <w:rFonts w:ascii="Times New Roman" w:hAnsi="Times New Roman"/>
          <w:sz w:val="24"/>
        </w:rPr>
        <w:footnoteReference w:id="189"/>
      </w:r>
      <w:r w:rsidRPr="00E61F4C">
        <w:rPr>
          <w:rFonts w:ascii="Times New Roman" w:hAnsi="Times New Roman"/>
        </w:rPr>
        <w:t xml:space="preserve">. </w:t>
      </w:r>
    </w:p>
    <w:p w14:paraId="06724619"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My reasoning in </w:t>
      </w:r>
      <w:proofErr w:type="spellStart"/>
      <w:r w:rsidRPr="00E61F4C">
        <w:rPr>
          <w:rFonts w:ascii="Times New Roman" w:hAnsi="Times New Roman"/>
          <w:i/>
        </w:rPr>
        <w:t>Benbrika</w:t>
      </w:r>
      <w:proofErr w:type="spellEnd"/>
      <w:r w:rsidRPr="00E61F4C">
        <w:rPr>
          <w:rFonts w:ascii="Times New Roman" w:hAnsi="Times New Roman"/>
        </w:rPr>
        <w:t xml:space="preserve"> did not deny that, under our system of government, it is for the legislative branch of government to prescribe the severity of the punishment that can be imposed by a court where an existing criminal liability is determined by a court to have arisen from the operation of positive law on past events or conduct. My reasoning cast no doubt on the proposition that "[</w:t>
      </w:r>
      <w:proofErr w:type="spellStart"/>
      <w:r w:rsidRPr="00E61F4C">
        <w:rPr>
          <w:rFonts w:ascii="Times New Roman" w:hAnsi="Times New Roman"/>
        </w:rPr>
        <w:t>i</w:t>
      </w:r>
      <w:proofErr w:type="spellEnd"/>
      <w:r w:rsidRPr="00E61F4C">
        <w:rPr>
          <w:rFonts w:ascii="Times New Roman" w:hAnsi="Times New Roman"/>
        </w:rPr>
        <w:t>]t is distinctly the province of the legislature to gauge the seriousness of what is seen as an undesirable activity affecting the peace, order and good government of the [polity] and the soundness of a view that condign punishment is called for to suppress that activity"</w:t>
      </w:r>
      <w:r w:rsidRPr="00E61F4C">
        <w:rPr>
          <w:rStyle w:val="FootnoteReference"/>
          <w:rFonts w:ascii="Times New Roman" w:hAnsi="Times New Roman"/>
          <w:sz w:val="24"/>
        </w:rPr>
        <w:footnoteReference w:id="190"/>
      </w:r>
      <w:r w:rsidRPr="00E61F4C">
        <w:rPr>
          <w:rFonts w:ascii="Times New Roman" w:hAnsi="Times New Roman"/>
        </w:rPr>
        <w:t xml:space="preserve">. </w:t>
      </w:r>
    </w:p>
    <w:p w14:paraId="68F7D039"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burden of my analysis in </w:t>
      </w:r>
      <w:proofErr w:type="spellStart"/>
      <w:r w:rsidRPr="00E61F4C">
        <w:rPr>
          <w:rFonts w:ascii="Times New Roman" w:hAnsi="Times New Roman"/>
          <w:i/>
        </w:rPr>
        <w:t>Benbrika</w:t>
      </w:r>
      <w:proofErr w:type="spellEnd"/>
      <w:r w:rsidRPr="00E61F4C">
        <w:rPr>
          <w:rFonts w:ascii="Times New Roman" w:hAnsi="Times New Roman"/>
        </w:rPr>
        <w:t xml:space="preserve"> was rather to discern and put into words a principled basis for the identification of a legitimate non-punitive legislative objective such as might be capable of justifying the conferral on a court of the extraordinary function of creating a liability to detention in custody </w:t>
      </w:r>
      <w:proofErr w:type="gramStart"/>
      <w:r w:rsidRPr="00E61F4C">
        <w:rPr>
          <w:rFonts w:ascii="Times New Roman" w:hAnsi="Times New Roman"/>
        </w:rPr>
        <w:t>in order to</w:t>
      </w:r>
      <w:proofErr w:type="gramEnd"/>
      <w:r w:rsidRPr="00E61F4C">
        <w:rPr>
          <w:rFonts w:ascii="Times New Roman" w:hAnsi="Times New Roman"/>
        </w:rPr>
        <w:t xml:space="preserve"> prevent a criminal offence from being committed in the future.</w:t>
      </w:r>
    </w:p>
    <w:p w14:paraId="05FBFBD1"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To accept prevention of the commission of a criminal offence in the future to be capable of justifying conferral on a court of the function of creating a liability to detention, without a requirement for the criminal offence to be capable of giving rise to grave and specific harm if committed, it seemed to me, would be to admit of the extraordinary becoming the ordinary </w:t>
      </w:r>
      <w:r w:rsidRPr="001A6DAE">
        <w:rPr>
          <w:rFonts w:ascii="Times New Roman" w:hAnsi="Times New Roman"/>
        </w:rPr>
        <w:t>–</w:t>
      </w:r>
      <w:r w:rsidRPr="00E61F4C">
        <w:rPr>
          <w:rFonts w:ascii="Times New Roman" w:hAnsi="Times New Roman"/>
        </w:rPr>
        <w:t xml:space="preserve"> the exception becoming the rule. To concede to a legislature an unconstrained choice as to which criminal offences are to be treated as capable of giving rise to harm of sufficient magnitude or "seriousness" to justify conferral of such a function on a court, it seemed to me also, would be to admit of the same result. </w:t>
      </w:r>
    </w:p>
    <w:p w14:paraId="2EF843FD"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lastRenderedPageBreak/>
        <w:tab/>
        <w:t>To any suggestion that such a result ought to be excluded from constitutional analysis as a "distorting possibility"</w:t>
      </w:r>
      <w:r w:rsidRPr="00E61F4C">
        <w:rPr>
          <w:rStyle w:val="FootnoteReference"/>
          <w:rFonts w:ascii="Times New Roman" w:hAnsi="Times New Roman"/>
          <w:sz w:val="24"/>
        </w:rPr>
        <w:footnoteReference w:id="191"/>
      </w:r>
      <w:r w:rsidRPr="00E61F4C">
        <w:rPr>
          <w:rFonts w:ascii="Times New Roman" w:hAnsi="Times New Roman"/>
        </w:rPr>
        <w:t>, two responses are appropriate. One is to recall the lesson of history that "[t]he preventive function of government ... is far more liable to be abused, to the prejudice of liberty, than the punitory function" given that "there is hardly any part of the legitimate freedom of action of a human being which would not admit of being represented, and fairly too, as increasing the facilities for some form or other of delinquency"</w:t>
      </w:r>
      <w:r w:rsidRPr="00E61F4C">
        <w:rPr>
          <w:rStyle w:val="FootnoteReference"/>
          <w:rFonts w:ascii="Times New Roman" w:hAnsi="Times New Roman"/>
          <w:sz w:val="24"/>
        </w:rPr>
        <w:footnoteReference w:id="192"/>
      </w:r>
      <w:r w:rsidRPr="00E61F4C">
        <w:rPr>
          <w:rFonts w:ascii="Times New Roman" w:hAnsi="Times New Roman"/>
        </w:rPr>
        <w:t xml:space="preserve">. The other is to observe the contemporary trend towards expansion in the range of offences legislatively designated to be sufficiently "serious" to justify preventive detention that can be seen in the sequence of cases beginning with </w:t>
      </w:r>
      <w:r w:rsidRPr="00E61F4C">
        <w:rPr>
          <w:rFonts w:ascii="Times New Roman" w:hAnsi="Times New Roman"/>
          <w:i/>
        </w:rPr>
        <w:t xml:space="preserve">Kable </w:t>
      </w:r>
      <w:r w:rsidRPr="00E61F4C">
        <w:rPr>
          <w:rFonts w:ascii="Times New Roman" w:hAnsi="Times New Roman"/>
        </w:rPr>
        <w:t>and moving on</w:t>
      </w:r>
      <w:r w:rsidRPr="00E61F4C">
        <w:rPr>
          <w:rFonts w:ascii="Times New Roman" w:hAnsi="Times New Roman"/>
          <w:i/>
        </w:rPr>
        <w:t xml:space="preserve"> </w:t>
      </w:r>
      <w:r w:rsidRPr="00E61F4C">
        <w:rPr>
          <w:rFonts w:ascii="Times New Roman" w:hAnsi="Times New Roman"/>
        </w:rPr>
        <w:t xml:space="preserve">to </w:t>
      </w:r>
      <w:proofErr w:type="spellStart"/>
      <w:r w:rsidRPr="00E61F4C">
        <w:rPr>
          <w:rFonts w:ascii="Times New Roman" w:hAnsi="Times New Roman"/>
          <w:i/>
        </w:rPr>
        <w:t>Fardon</w:t>
      </w:r>
      <w:proofErr w:type="spellEnd"/>
      <w:r w:rsidRPr="00E61F4C">
        <w:rPr>
          <w:rStyle w:val="CommentReference"/>
          <w:rFonts w:ascii="Times New Roman" w:hAnsi="Times New Roman"/>
        </w:rPr>
        <w:t>,</w:t>
      </w:r>
      <w:r w:rsidRPr="00E61F4C">
        <w:rPr>
          <w:rFonts w:ascii="Times New Roman" w:hAnsi="Times New Roman"/>
          <w:i/>
        </w:rPr>
        <w:t xml:space="preserve"> </w:t>
      </w:r>
      <w:r w:rsidRPr="00E61F4C">
        <w:rPr>
          <w:rFonts w:ascii="Times New Roman" w:hAnsi="Times New Roman"/>
        </w:rPr>
        <w:t xml:space="preserve">to </w:t>
      </w:r>
      <w:proofErr w:type="spellStart"/>
      <w:r w:rsidRPr="00E61F4C">
        <w:rPr>
          <w:rFonts w:ascii="Times New Roman" w:hAnsi="Times New Roman"/>
          <w:i/>
        </w:rPr>
        <w:t>Benbrika</w:t>
      </w:r>
      <w:proofErr w:type="spellEnd"/>
      <w:r w:rsidRPr="00E61F4C">
        <w:rPr>
          <w:rFonts w:ascii="Times New Roman" w:hAnsi="Times New Roman"/>
          <w:iCs/>
        </w:rPr>
        <w:t>,</w:t>
      </w:r>
      <w:r w:rsidRPr="00E61F4C">
        <w:rPr>
          <w:rFonts w:ascii="Times New Roman" w:hAnsi="Times New Roman"/>
          <w:i/>
        </w:rPr>
        <w:t xml:space="preserve"> </w:t>
      </w:r>
      <w:r w:rsidRPr="00E61F4C">
        <w:rPr>
          <w:rFonts w:ascii="Times New Roman" w:hAnsi="Times New Roman"/>
        </w:rPr>
        <w:t>and now to the present case.</w:t>
      </w:r>
    </w:p>
    <w:p w14:paraId="05550A32"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r>
      <w:proofErr w:type="gramStart"/>
      <w:r w:rsidRPr="00E61F4C">
        <w:rPr>
          <w:rFonts w:ascii="Times New Roman" w:hAnsi="Times New Roman"/>
        </w:rPr>
        <w:t>So</w:t>
      </w:r>
      <w:proofErr w:type="gramEnd"/>
      <w:r w:rsidRPr="00E61F4C">
        <w:rPr>
          <w:rFonts w:ascii="Times New Roman" w:hAnsi="Times New Roman"/>
        </w:rPr>
        <w:t xml:space="preserve"> it seemed to me at the time of the decision in </w:t>
      </w:r>
      <w:proofErr w:type="spellStart"/>
      <w:r w:rsidRPr="00E61F4C">
        <w:rPr>
          <w:rFonts w:ascii="Times New Roman" w:hAnsi="Times New Roman"/>
          <w:i/>
        </w:rPr>
        <w:t>Benbrika</w:t>
      </w:r>
      <w:proofErr w:type="spellEnd"/>
      <w:r w:rsidRPr="00E61F4C">
        <w:rPr>
          <w:rFonts w:ascii="Times New Roman" w:hAnsi="Times New Roman"/>
        </w:rPr>
        <w:t xml:space="preserve">; so it seems to me now. To accept without qualification that prevention of the commission of a criminal offence in the future is an objective capable of justifying the conferral on a court of the function of creating a liability to detention in custody would be to permit the </w:t>
      </w:r>
      <w:r w:rsidRPr="00E61F4C">
        <w:rPr>
          <w:rFonts w:ascii="Times New Roman" w:hAnsi="Times New Roman"/>
          <w:i/>
        </w:rPr>
        <w:t xml:space="preserve">Lim </w:t>
      </w:r>
      <w:r w:rsidRPr="00E61F4C">
        <w:rPr>
          <w:rFonts w:ascii="Times New Roman" w:hAnsi="Times New Roman"/>
        </w:rPr>
        <w:t xml:space="preserve">exception to hollow out the </w:t>
      </w:r>
      <w:r w:rsidRPr="00E61F4C">
        <w:rPr>
          <w:rFonts w:ascii="Times New Roman" w:hAnsi="Times New Roman"/>
          <w:i/>
        </w:rPr>
        <w:t xml:space="preserve">Lim </w:t>
      </w:r>
      <w:r w:rsidRPr="00E61F4C">
        <w:rPr>
          <w:rFonts w:ascii="Times New Roman" w:hAnsi="Times New Roman"/>
        </w:rPr>
        <w:t>norm. That outcome would alter in a fundamental respect the nature of the relationship conventionally understood to exist between the individual and the state under our inherited conception of the rule of law. I cannot regard that outcome as permissible within our constitutional structure.</w:t>
      </w:r>
    </w:p>
    <w:p w14:paraId="2A74C601"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Revisiting </w:t>
      </w:r>
      <w:proofErr w:type="spellStart"/>
      <w:r w:rsidRPr="00E61F4C">
        <w:rPr>
          <w:rFonts w:ascii="Times New Roman" w:hAnsi="Times New Roman"/>
          <w:i/>
        </w:rPr>
        <w:t>Benbrika</w:t>
      </w:r>
      <w:proofErr w:type="spellEnd"/>
      <w:r w:rsidRPr="00E61F4C">
        <w:rPr>
          <w:rFonts w:ascii="Times New Roman" w:hAnsi="Times New Roman"/>
        </w:rPr>
        <w:t xml:space="preserve"> with the benefit of argument in this appeal, I adhere to the principle formulated by </w:t>
      </w:r>
      <w:proofErr w:type="spellStart"/>
      <w:r w:rsidRPr="00E61F4C">
        <w:rPr>
          <w:rFonts w:ascii="Times New Roman" w:hAnsi="Times New Roman"/>
        </w:rPr>
        <w:t>Gummow</w:t>
      </w:r>
      <w:proofErr w:type="spellEnd"/>
      <w:r w:rsidRPr="00E61F4C">
        <w:rPr>
          <w:rFonts w:ascii="Times New Roman" w:hAnsi="Times New Roman"/>
        </w:rPr>
        <w:t xml:space="preserve"> J in </w:t>
      </w:r>
      <w:r w:rsidRPr="00E61F4C">
        <w:rPr>
          <w:rFonts w:ascii="Times New Roman" w:hAnsi="Times New Roman"/>
          <w:i/>
          <w:iCs/>
        </w:rPr>
        <w:t>Kruger</w:t>
      </w:r>
      <w:r w:rsidRPr="00E61F4C">
        <w:rPr>
          <w:rFonts w:ascii="Times New Roman" w:hAnsi="Times New Roman"/>
        </w:rPr>
        <w:t xml:space="preserve"> as I there elaborated it. I am persuaded by the argument of the appellant that its acceptance is not precluded by the holding in </w:t>
      </w:r>
      <w:proofErr w:type="spellStart"/>
      <w:r w:rsidRPr="00E61F4C">
        <w:rPr>
          <w:rFonts w:ascii="Times New Roman" w:hAnsi="Times New Roman"/>
          <w:i/>
          <w:iCs/>
        </w:rPr>
        <w:t>Benbrika</w:t>
      </w:r>
      <w:proofErr w:type="spellEnd"/>
      <w:r w:rsidRPr="00E61F4C">
        <w:rPr>
          <w:rFonts w:ascii="Times New Roman" w:hAnsi="Times New Roman"/>
        </w:rPr>
        <w:t xml:space="preserve"> that the legislation there in issue did not infringe the </w:t>
      </w:r>
      <w:r w:rsidRPr="00E61F4C">
        <w:rPr>
          <w:rFonts w:ascii="Times New Roman" w:hAnsi="Times New Roman"/>
          <w:i/>
        </w:rPr>
        <w:t>Lim</w:t>
      </w:r>
      <w:r w:rsidRPr="00E61F4C">
        <w:rPr>
          <w:rFonts w:ascii="Times New Roman" w:hAnsi="Times New Roman"/>
        </w:rPr>
        <w:t xml:space="preserve"> restriction on legislative power and that the difference between the majority and the minority can be seen to have turned on a difference in preparedness to accept the gravity of the harm sought to be protected against across the range of terrorism offences legislatively designated as "serious". </w:t>
      </w:r>
    </w:p>
    <w:p w14:paraId="5CDCE3C9"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Explaining the </w:t>
      </w:r>
      <w:r w:rsidRPr="00E61F4C">
        <w:rPr>
          <w:rFonts w:ascii="Times New Roman" w:hAnsi="Times New Roman"/>
          <w:i/>
        </w:rPr>
        <w:t xml:space="preserve">Lim </w:t>
      </w:r>
      <w:r w:rsidRPr="00E61F4C">
        <w:rPr>
          <w:rFonts w:ascii="Times New Roman" w:hAnsi="Times New Roman"/>
        </w:rPr>
        <w:t xml:space="preserve">exception, the plurality in </w:t>
      </w:r>
      <w:proofErr w:type="spellStart"/>
      <w:r w:rsidRPr="00E61F4C">
        <w:rPr>
          <w:rFonts w:ascii="Times New Roman" w:hAnsi="Times New Roman"/>
          <w:i/>
        </w:rPr>
        <w:t>Benbrika</w:t>
      </w:r>
      <w:proofErr w:type="spellEnd"/>
      <w:r w:rsidRPr="00E61F4C">
        <w:rPr>
          <w:rFonts w:ascii="Times New Roman" w:hAnsi="Times New Roman"/>
        </w:rPr>
        <w:t xml:space="preserve"> said that it is "the protective purpose that qualifies a power as an exception to a principle that is recognised under our system of government as a safeguard on liberty". The plurality emphasised that a non-punitive purpose is "essential" but would not "suffice" to engage the </w:t>
      </w:r>
      <w:r w:rsidRPr="00E61F4C">
        <w:rPr>
          <w:rFonts w:ascii="Times New Roman" w:hAnsi="Times New Roman"/>
          <w:i/>
        </w:rPr>
        <w:t xml:space="preserve">Lim </w:t>
      </w:r>
      <w:r w:rsidRPr="00E61F4C">
        <w:rPr>
          <w:rFonts w:ascii="Times New Roman" w:hAnsi="Times New Roman"/>
        </w:rPr>
        <w:t>exception and further emphasised that as a "matter of substance, the power must have as its object the protection of the community from harm"</w:t>
      </w:r>
      <w:r w:rsidRPr="00E61F4C">
        <w:rPr>
          <w:rStyle w:val="FootnoteReference"/>
          <w:rFonts w:ascii="Times New Roman" w:hAnsi="Times New Roman"/>
          <w:sz w:val="24"/>
        </w:rPr>
        <w:footnoteReference w:id="193"/>
      </w:r>
      <w:r w:rsidRPr="00E61F4C">
        <w:rPr>
          <w:rFonts w:ascii="Times New Roman" w:hAnsi="Times New Roman"/>
        </w:rPr>
        <w:t xml:space="preserve">. As to the gravity of the requisite harm, the conclusion of the plurality </w:t>
      </w:r>
      <w:r w:rsidRPr="00E61F4C">
        <w:rPr>
          <w:rFonts w:ascii="Times New Roman" w:hAnsi="Times New Roman"/>
        </w:rPr>
        <w:lastRenderedPageBreak/>
        <w:t>that there was "no principled reason for distinguishing the power of a Ch III court to order that a mentally ill person be detained in custody for the protection of the community from harm and the power to order that a terrorist offender be detained in custody for the same purpose" was expressly premised on the assessment that "[t]</w:t>
      </w:r>
      <w:proofErr w:type="spellStart"/>
      <w:r w:rsidRPr="00E61F4C">
        <w:rPr>
          <w:rFonts w:ascii="Times New Roman" w:hAnsi="Times New Roman"/>
        </w:rPr>
        <w:t>errorism</w:t>
      </w:r>
      <w:proofErr w:type="spellEnd"/>
      <w:r w:rsidRPr="00E61F4C">
        <w:rPr>
          <w:rFonts w:ascii="Times New Roman" w:hAnsi="Times New Roman"/>
        </w:rPr>
        <w:t xml:space="preserve"> poses a singular threat to civil society"</w:t>
      </w:r>
      <w:r w:rsidRPr="00E61F4C">
        <w:rPr>
          <w:rStyle w:val="FootnoteReference"/>
          <w:rFonts w:ascii="Times New Roman" w:hAnsi="Times New Roman"/>
          <w:sz w:val="24"/>
        </w:rPr>
        <w:footnoteReference w:id="194"/>
      </w:r>
      <w:r w:rsidRPr="00E61F4C">
        <w:rPr>
          <w:rFonts w:ascii="Times New Roman" w:hAnsi="Times New Roman"/>
        </w:rPr>
        <w:t xml:space="preserve"> and was the result of the reasoned satisfaction of the plurality that the legislation in issue was "rightly characterised as directed to ensuring the safety and protection of the community from the risk of harm posed by the threat of terrorism"</w:t>
      </w:r>
      <w:r w:rsidRPr="00E61F4C">
        <w:rPr>
          <w:rStyle w:val="FootnoteReference"/>
          <w:rFonts w:ascii="Times New Roman" w:hAnsi="Times New Roman"/>
          <w:sz w:val="24"/>
        </w:rPr>
        <w:footnoteReference w:id="195"/>
      </w:r>
      <w:r w:rsidRPr="00E61F4C">
        <w:rPr>
          <w:rFonts w:ascii="Times New Roman" w:hAnsi="Times New Roman"/>
        </w:rPr>
        <w:t xml:space="preserve">. </w:t>
      </w:r>
    </w:p>
    <w:p w14:paraId="211B848A" w14:textId="77777777" w:rsidR="00E3198A" w:rsidRPr="00E61F4C" w:rsidRDefault="00E3198A" w:rsidP="00E61F4C">
      <w:pPr>
        <w:pStyle w:val="HeadingL1"/>
        <w:spacing w:after="260" w:line="280" w:lineRule="exact"/>
        <w:ind w:right="0"/>
        <w:jc w:val="both"/>
        <w:rPr>
          <w:rFonts w:ascii="Times New Roman" w:hAnsi="Times New Roman"/>
        </w:rPr>
      </w:pPr>
      <w:r w:rsidRPr="00E61F4C">
        <w:rPr>
          <w:rFonts w:ascii="Times New Roman" w:hAnsi="Times New Roman"/>
        </w:rPr>
        <w:t>Robbery is not exceptional</w:t>
      </w:r>
    </w:p>
    <w:p w14:paraId="37B878E7"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"The </w:t>
      </w:r>
      <w:r w:rsidRPr="00E61F4C">
        <w:rPr>
          <w:rFonts w:ascii="Times New Roman" w:hAnsi="Times New Roman"/>
          <w:i/>
          <w:iCs/>
        </w:rPr>
        <w:t xml:space="preserve">Constitution </w:t>
      </w:r>
      <w:r w:rsidRPr="00E61F4C">
        <w:rPr>
          <w:rFonts w:ascii="Times New Roman" w:hAnsi="Times New Roman"/>
        </w:rPr>
        <w:t>is a political instrument. It deals with government and governmental powers"</w:t>
      </w:r>
      <w:r w:rsidRPr="00E61F4C">
        <w:rPr>
          <w:rStyle w:val="FootnoteReference"/>
          <w:rFonts w:ascii="Times New Roman" w:hAnsi="Times New Roman"/>
          <w:sz w:val="24"/>
        </w:rPr>
        <w:footnoteReference w:id="196"/>
      </w:r>
      <w:r w:rsidRPr="00E61F4C">
        <w:rPr>
          <w:rFonts w:ascii="Times New Roman" w:hAnsi="Times New Roman"/>
        </w:rPr>
        <w:t xml:space="preserve">. But the </w:t>
      </w:r>
      <w:r w:rsidRPr="00E61F4C">
        <w:rPr>
          <w:rFonts w:ascii="Times New Roman" w:hAnsi="Times New Roman"/>
          <w:i/>
          <w:iCs/>
        </w:rPr>
        <w:t xml:space="preserve">Constitution </w:t>
      </w:r>
      <w:r w:rsidRPr="00E61F4C">
        <w:rPr>
          <w:rFonts w:ascii="Times New Roman" w:hAnsi="Times New Roman"/>
        </w:rPr>
        <w:t>is also supreme law and, axiomatically</w:t>
      </w:r>
      <w:r w:rsidRPr="00E61F4C">
        <w:rPr>
          <w:rStyle w:val="FootnoteReference"/>
          <w:rFonts w:ascii="Times New Roman" w:hAnsi="Times New Roman"/>
          <w:sz w:val="24"/>
        </w:rPr>
        <w:footnoteReference w:id="197"/>
      </w:r>
      <w:r w:rsidRPr="00E61F4C">
        <w:rPr>
          <w:rFonts w:ascii="Times New Roman" w:hAnsi="Times New Roman"/>
        </w:rPr>
        <w:t>, "[</w:t>
      </w:r>
      <w:proofErr w:type="spellStart"/>
      <w:r w:rsidRPr="00E61F4C">
        <w:rPr>
          <w:rFonts w:ascii="Times New Roman" w:hAnsi="Times New Roman"/>
        </w:rPr>
        <w:t>i</w:t>
      </w:r>
      <w:proofErr w:type="spellEnd"/>
      <w:r w:rsidRPr="00E61F4C">
        <w:rPr>
          <w:rFonts w:ascii="Times New Roman" w:hAnsi="Times New Roman"/>
        </w:rPr>
        <w:t>]t is, emphatically, the province and duty of the judicial department to say what the law is"</w:t>
      </w:r>
      <w:r w:rsidRPr="00E61F4C">
        <w:rPr>
          <w:rStyle w:val="FootnoteReference"/>
          <w:rFonts w:ascii="Times New Roman" w:hAnsi="Times New Roman"/>
          <w:sz w:val="24"/>
        </w:rPr>
        <w:footnoteReference w:id="198"/>
      </w:r>
      <w:r w:rsidRPr="00E61F4C">
        <w:rPr>
          <w:rFonts w:ascii="Times New Roman" w:hAnsi="Times New Roman"/>
        </w:rPr>
        <w:t>. Making contestable judgments of degree is inescapable in constitutional adjudication</w:t>
      </w:r>
      <w:r w:rsidRPr="00E61F4C">
        <w:rPr>
          <w:rStyle w:val="FootnoteReference"/>
          <w:rFonts w:ascii="Times New Roman" w:hAnsi="Times New Roman"/>
          <w:sz w:val="24"/>
        </w:rPr>
        <w:footnoteReference w:id="199"/>
      </w:r>
      <w:r w:rsidRPr="00E61F4C">
        <w:rPr>
          <w:rFonts w:ascii="Times New Roman" w:hAnsi="Times New Roman"/>
        </w:rPr>
        <w:t xml:space="preserve">; it is a judicial responsibility. </w:t>
      </w:r>
    </w:p>
    <w:p w14:paraId="3B02F66F"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If the foregoing analysis is correct, then it must be accepted that assessment of the gravity of harm sufficient for protection from the harm to be characterised as a legitimate non-punitive objective, capable of justifying legislative conferral of a power of involuntary detention outside the </w:t>
      </w:r>
      <w:r w:rsidRPr="00E61F4C">
        <w:rPr>
          <w:rFonts w:ascii="Times New Roman" w:hAnsi="Times New Roman"/>
          <w:i/>
        </w:rPr>
        <w:t xml:space="preserve">Lim </w:t>
      </w:r>
      <w:r w:rsidRPr="00E61F4C">
        <w:rPr>
          <w:rFonts w:ascii="Times New Roman" w:hAnsi="Times New Roman"/>
        </w:rPr>
        <w:t>norm, is a judgment of that nature. The judgment falls to be made with an eye on history, including recent history</w:t>
      </w:r>
      <w:r w:rsidRPr="00E61F4C">
        <w:rPr>
          <w:rStyle w:val="FootnoteReference"/>
          <w:rFonts w:ascii="Times New Roman" w:hAnsi="Times New Roman"/>
          <w:sz w:val="24"/>
        </w:rPr>
        <w:footnoteReference w:id="200"/>
      </w:r>
      <w:r w:rsidRPr="00E61F4C">
        <w:rPr>
          <w:rFonts w:ascii="Times New Roman" w:hAnsi="Times New Roman"/>
        </w:rPr>
        <w:t xml:space="preserve">, cognisant of the consequences of departing from the </w:t>
      </w:r>
      <w:r w:rsidRPr="00E61F4C">
        <w:rPr>
          <w:rFonts w:ascii="Times New Roman" w:hAnsi="Times New Roman"/>
          <w:i/>
        </w:rPr>
        <w:t xml:space="preserve">Lim </w:t>
      </w:r>
      <w:r w:rsidRPr="00E61F4C">
        <w:rPr>
          <w:rFonts w:ascii="Times New Roman" w:hAnsi="Times New Roman"/>
        </w:rPr>
        <w:t xml:space="preserve">norm other than in truly exceptional cases, and mindful of the need in recognising exceptional cases to avoid what has been called "the domino method of constitutional </w:t>
      </w:r>
      <w:r w:rsidRPr="00E61F4C">
        <w:rPr>
          <w:rFonts w:ascii="Times New Roman" w:hAnsi="Times New Roman"/>
        </w:rPr>
        <w:lastRenderedPageBreak/>
        <w:t>adjudication ... wherein every explanatory statement in a previous opinion is made the basis for extension to a wholly different situation"</w:t>
      </w:r>
      <w:r w:rsidRPr="00E61F4C">
        <w:rPr>
          <w:rStyle w:val="FootnoteReference"/>
          <w:rFonts w:ascii="Times New Roman" w:hAnsi="Times New Roman"/>
          <w:sz w:val="24"/>
        </w:rPr>
        <w:footnoteReference w:id="201"/>
      </w:r>
      <w:r w:rsidRPr="00E61F4C">
        <w:rPr>
          <w:rFonts w:ascii="Times New Roman" w:hAnsi="Times New Roman"/>
        </w:rPr>
        <w:t>.</w:t>
      </w:r>
    </w:p>
    <w:p w14:paraId="7BB4C2DB"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Embracing that responsibility in the present case, I cannot accept that the offences of robbery and assault with intent to rob</w:t>
      </w:r>
      <w:r w:rsidRPr="00E61F4C">
        <w:rPr>
          <w:rStyle w:val="FootnoteReference"/>
          <w:rFonts w:ascii="Times New Roman" w:hAnsi="Times New Roman"/>
          <w:sz w:val="24"/>
        </w:rPr>
        <w:footnoteReference w:id="202"/>
      </w:r>
      <w:r w:rsidRPr="00E61F4C">
        <w:rPr>
          <w:rFonts w:ascii="Times New Roman" w:hAnsi="Times New Roman"/>
        </w:rPr>
        <w:t xml:space="preserve"> </w:t>
      </w:r>
      <w:proofErr w:type="gramStart"/>
      <w:r w:rsidRPr="00E61F4C">
        <w:rPr>
          <w:rFonts w:ascii="Times New Roman" w:hAnsi="Times New Roman"/>
        </w:rPr>
        <w:t>are capable of giving</w:t>
      </w:r>
      <w:proofErr w:type="gramEnd"/>
      <w:r w:rsidRPr="00E61F4C">
        <w:rPr>
          <w:rFonts w:ascii="Times New Roman" w:hAnsi="Times New Roman"/>
        </w:rPr>
        <w:t xml:space="preserve"> rise to harm of sufficient gravity to justify conferral on a court of a function of creating a liability to detention in custody in order to "ensure adequate protection of the community against an unacceptable risk"</w:t>
      </w:r>
      <w:r w:rsidRPr="00E61F4C">
        <w:rPr>
          <w:rStyle w:val="FootnoteReference"/>
          <w:rFonts w:ascii="Times New Roman" w:hAnsi="Times New Roman"/>
          <w:sz w:val="24"/>
        </w:rPr>
        <w:footnoteReference w:id="203"/>
      </w:r>
      <w:r w:rsidRPr="00E61F4C">
        <w:rPr>
          <w:rFonts w:ascii="Times New Roman" w:hAnsi="Times New Roman"/>
        </w:rPr>
        <w:t xml:space="preserve"> of their commission. </w:t>
      </w:r>
    </w:p>
    <w:p w14:paraId="60A45726"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Never have robbery and assault not been offences known to the law. Never has loss of either life or liberty not been a penal consequence prescribed by law for their commission.</w:t>
      </w:r>
    </w:p>
    <w:p w14:paraId="1BB035EE"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Neither offence, of course, is victimless: each involves the use or threat of violence to a person or to property. Yet in the gravity of the </w:t>
      </w:r>
      <w:proofErr w:type="gramStart"/>
      <w:r w:rsidRPr="00E61F4C">
        <w:rPr>
          <w:rFonts w:ascii="Times New Roman" w:hAnsi="Times New Roman"/>
        </w:rPr>
        <w:t>harm</w:t>
      </w:r>
      <w:proofErr w:type="gramEnd"/>
      <w:r w:rsidRPr="00E61F4C">
        <w:rPr>
          <w:rFonts w:ascii="Times New Roman" w:hAnsi="Times New Roman"/>
        </w:rPr>
        <w:t xml:space="preserve"> it has potential to cause, neither offence is analogous to an offence of a sexual nature involving violence or against a child as in </w:t>
      </w:r>
      <w:proofErr w:type="spellStart"/>
      <w:r w:rsidRPr="00E61F4C">
        <w:rPr>
          <w:rFonts w:ascii="Times New Roman" w:hAnsi="Times New Roman"/>
          <w:i/>
        </w:rPr>
        <w:t>Fardon</w:t>
      </w:r>
      <w:proofErr w:type="spellEnd"/>
      <w:r w:rsidRPr="00E61F4C">
        <w:rPr>
          <w:rFonts w:ascii="Times New Roman" w:hAnsi="Times New Roman"/>
          <w:i/>
        </w:rPr>
        <w:t xml:space="preserve">, </w:t>
      </w:r>
      <w:r w:rsidRPr="00E61F4C">
        <w:rPr>
          <w:rFonts w:ascii="Times New Roman" w:hAnsi="Times New Roman"/>
        </w:rPr>
        <w:t xml:space="preserve">or to an offence relating to terrorism as in </w:t>
      </w:r>
      <w:proofErr w:type="spellStart"/>
      <w:r w:rsidRPr="00E61F4C">
        <w:rPr>
          <w:rFonts w:ascii="Times New Roman" w:hAnsi="Times New Roman"/>
          <w:i/>
        </w:rPr>
        <w:t>Benbrika</w:t>
      </w:r>
      <w:proofErr w:type="spellEnd"/>
      <w:r w:rsidRPr="00E61F4C">
        <w:rPr>
          <w:rFonts w:ascii="Times New Roman" w:hAnsi="Times New Roman"/>
        </w:rPr>
        <w:t xml:space="preserve">. </w:t>
      </w:r>
    </w:p>
    <w:p w14:paraId="5211BF3B"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If robbery is an offence protection from harm from which is sufficient to justify empowering a court to order pre-emptive detention in custody, it needs to be asked: what offence is not?</w:t>
      </w:r>
    </w:p>
    <w:p w14:paraId="0DE21720" w14:textId="77777777" w:rsidR="00E3198A" w:rsidRPr="00E61F4C"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 xml:space="preserve">Unless the observation in </w:t>
      </w:r>
      <w:r w:rsidRPr="00E61F4C">
        <w:rPr>
          <w:rFonts w:ascii="Times New Roman" w:hAnsi="Times New Roman"/>
          <w:i/>
        </w:rPr>
        <w:t xml:space="preserve">Lim </w:t>
      </w:r>
      <w:r w:rsidRPr="00E61F4C">
        <w:rPr>
          <w:rFonts w:ascii="Times New Roman" w:hAnsi="Times New Roman"/>
        </w:rPr>
        <w:t xml:space="preserve">is to be treated as no longer descriptive of our system of government, a State or Territory law purporting to empower a State or Territory court to order detention in custody merely to ensure adequate protection of the community against an unacceptable risk of harm from robbery must contravene the restriction on State and Territory legislative power recognised in </w:t>
      </w:r>
      <w:r w:rsidRPr="00E61F4C">
        <w:rPr>
          <w:rFonts w:ascii="Times New Roman" w:hAnsi="Times New Roman"/>
          <w:i/>
        </w:rPr>
        <w:t>Kable</w:t>
      </w:r>
      <w:r w:rsidRPr="00E61F4C">
        <w:rPr>
          <w:rFonts w:ascii="Times New Roman" w:hAnsi="Times New Roman"/>
        </w:rPr>
        <w:t xml:space="preserve"> just as a Commonwealth law in the same terms must contravene the restriction on Commonwealth legislative power recognised in </w:t>
      </w:r>
      <w:r w:rsidRPr="00E61F4C">
        <w:rPr>
          <w:rFonts w:ascii="Times New Roman" w:hAnsi="Times New Roman"/>
          <w:i/>
        </w:rPr>
        <w:t>Boilermakers</w:t>
      </w:r>
      <w:r w:rsidRPr="00E61F4C">
        <w:rPr>
          <w:rFonts w:ascii="Times New Roman" w:hAnsi="Times New Roman"/>
        </w:rPr>
        <w:t>.</w:t>
      </w:r>
    </w:p>
    <w:p w14:paraId="48286EEF" w14:textId="29CFF4B3" w:rsidR="00E3198A" w:rsidRPr="00E3198A" w:rsidRDefault="00E3198A" w:rsidP="00E3198A">
      <w:pPr>
        <w:pStyle w:val="FixListStyle"/>
        <w:numPr>
          <w:ilvl w:val="0"/>
          <w:numId w:val="18"/>
        </w:numPr>
        <w:spacing w:after="260" w:line="280" w:lineRule="exact"/>
        <w:ind w:left="0" w:right="0" w:hanging="720"/>
        <w:jc w:val="both"/>
        <w:rPr>
          <w:rFonts w:ascii="Times New Roman" w:hAnsi="Times New Roman"/>
        </w:rPr>
      </w:pPr>
      <w:r w:rsidRPr="00E61F4C">
        <w:rPr>
          <w:rFonts w:ascii="Times New Roman" w:hAnsi="Times New Roman"/>
        </w:rPr>
        <w:tab/>
        <w:t>In the result, I would allow the appeal and make the consequential orders proposed by Gordon J.</w:t>
      </w:r>
    </w:p>
    <w:p w14:paraId="4815AAA7" w14:textId="77777777" w:rsidR="00E3198A" w:rsidRDefault="00E3198A" w:rsidP="00C06B3A">
      <w:pPr>
        <w:pStyle w:val="FixListStyle"/>
        <w:spacing w:after="260" w:line="280" w:lineRule="exact"/>
        <w:ind w:right="0"/>
        <w:jc w:val="both"/>
        <w:rPr>
          <w:rFonts w:ascii="Times New Roman" w:hAnsi="Times New Roman"/>
        </w:rPr>
        <w:sectPr w:rsidR="00E3198A" w:rsidSect="00E3198A">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057D81D" w14:textId="77777777" w:rsidR="00E3198A" w:rsidRPr="004C6E3E" w:rsidRDefault="00E3198A" w:rsidP="00E3198A">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C6E3E">
        <w:rPr>
          <w:rFonts w:ascii="Times New Roman" w:hAnsi="Times New Roman"/>
        </w:rPr>
        <w:lastRenderedPageBreak/>
        <w:t xml:space="preserve">GORDON J.   This case concerns a preventive detention regime – the </w:t>
      </w:r>
      <w:proofErr w:type="gramStart"/>
      <w:r w:rsidRPr="004C6E3E">
        <w:rPr>
          <w:rFonts w:ascii="Times New Roman" w:hAnsi="Times New Roman"/>
          <w:i/>
        </w:rPr>
        <w:t>High Risk</w:t>
      </w:r>
      <w:proofErr w:type="gramEnd"/>
      <w:r w:rsidRPr="004C6E3E">
        <w:rPr>
          <w:rFonts w:ascii="Times New Roman" w:hAnsi="Times New Roman"/>
          <w:i/>
        </w:rPr>
        <w:t xml:space="preserve"> Serious Offenders Act 2020 </w:t>
      </w:r>
      <w:r w:rsidRPr="004C6E3E">
        <w:rPr>
          <w:rFonts w:ascii="Times New Roman" w:hAnsi="Times New Roman"/>
        </w:rPr>
        <w:t>(WA) ("the HRSO Act") – in relation to the offence of "robbery"</w:t>
      </w:r>
      <w:r w:rsidRPr="004C6E3E">
        <w:rPr>
          <w:rStyle w:val="FootnoteReference"/>
          <w:rFonts w:ascii="Times New Roman" w:hAnsi="Times New Roman"/>
          <w:sz w:val="24"/>
        </w:rPr>
        <w:footnoteReference w:id="204"/>
      </w:r>
      <w:r w:rsidRPr="004C6E3E">
        <w:rPr>
          <w:rFonts w:ascii="Times New Roman" w:hAnsi="Times New Roman"/>
        </w:rPr>
        <w:t>. It raises a question, fundamental to the rule of law in a democratic society, about</w:t>
      </w:r>
      <w:r w:rsidRPr="004C6E3E" w:rsidDel="005F7F19">
        <w:rPr>
          <w:rFonts w:ascii="Times New Roman" w:hAnsi="Times New Roman"/>
        </w:rPr>
        <w:t xml:space="preserve"> </w:t>
      </w:r>
      <w:r w:rsidRPr="004C6E3E">
        <w:rPr>
          <w:rFonts w:ascii="Times New Roman" w:hAnsi="Times New Roman"/>
        </w:rPr>
        <w:t xml:space="preserve">whether, consistently with Ch III of the </w:t>
      </w:r>
      <w:r w:rsidRPr="004C6E3E">
        <w:rPr>
          <w:rFonts w:ascii="Times New Roman" w:hAnsi="Times New Roman"/>
          <w:i/>
        </w:rPr>
        <w:t>Constitution</w:t>
      </w:r>
      <w:r w:rsidRPr="004C6E3E">
        <w:rPr>
          <w:rFonts w:ascii="Times New Roman" w:hAnsi="Times New Roman"/>
        </w:rPr>
        <w:t>, the judiciary, as the protector of the liberty</w:t>
      </w:r>
      <w:r w:rsidRPr="004C6E3E" w:rsidDel="00094853">
        <w:rPr>
          <w:rFonts w:ascii="Times New Roman" w:hAnsi="Times New Roman"/>
        </w:rPr>
        <w:t xml:space="preserve"> of the individual</w:t>
      </w:r>
      <w:r w:rsidRPr="004C6E3E">
        <w:rPr>
          <w:rFonts w:ascii="Times New Roman" w:hAnsi="Times New Roman"/>
        </w:rPr>
        <w:t xml:space="preserve">, may deprive an individual of their liberty, not to punish them for a </w:t>
      </w:r>
      <w:r w:rsidRPr="004C6E3E" w:rsidDel="001639F4">
        <w:rPr>
          <w:rFonts w:ascii="Times New Roman" w:hAnsi="Times New Roman"/>
        </w:rPr>
        <w:t xml:space="preserve">crime </w:t>
      </w:r>
      <w:r w:rsidRPr="004C6E3E">
        <w:rPr>
          <w:rFonts w:ascii="Times New Roman" w:hAnsi="Times New Roman"/>
        </w:rPr>
        <w:t xml:space="preserve">committed but to prevent the prospect of a further offence based on </w:t>
      </w:r>
      <w:r w:rsidRPr="004C6E3E" w:rsidDel="004267ED">
        <w:rPr>
          <w:rFonts w:ascii="Times New Roman" w:hAnsi="Times New Roman"/>
        </w:rPr>
        <w:t>an individual's</w:t>
      </w:r>
      <w:r w:rsidRPr="004C6E3E">
        <w:rPr>
          <w:rFonts w:ascii="Times New Roman" w:hAnsi="Times New Roman"/>
        </w:rPr>
        <w:t xml:space="preserve"> propensity to commit </w:t>
      </w:r>
      <w:r w:rsidRPr="004C6E3E" w:rsidDel="00894761">
        <w:rPr>
          <w:rFonts w:ascii="Times New Roman" w:hAnsi="Times New Roman"/>
        </w:rPr>
        <w:t>robbery</w:t>
      </w:r>
      <w:r w:rsidRPr="004C6E3E">
        <w:rPr>
          <w:rFonts w:ascii="Times New Roman" w:hAnsi="Times New Roman"/>
        </w:rPr>
        <w:t>.</w:t>
      </w:r>
    </w:p>
    <w:p w14:paraId="050AA4E9"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Under</w:t>
      </w:r>
      <w:r w:rsidRPr="004C6E3E" w:rsidDel="00F14F5C">
        <w:rPr>
          <w:rFonts w:ascii="Times New Roman" w:hAnsi="Times New Roman"/>
        </w:rPr>
        <w:t xml:space="preserve"> the </w:t>
      </w:r>
      <w:r w:rsidRPr="004C6E3E">
        <w:rPr>
          <w:rFonts w:ascii="Times New Roman" w:hAnsi="Times New Roman"/>
        </w:rPr>
        <w:t xml:space="preserve">HRSO Act, which authorises the coercive and preventive detention of individuals, the Supreme Court of Western Australia is the key player. Insofar as that regime concerns the offence of robbery, the role of the Supreme Court is contrary to Ch III of the </w:t>
      </w:r>
      <w:r w:rsidRPr="004C6E3E">
        <w:rPr>
          <w:rFonts w:ascii="Times New Roman" w:hAnsi="Times New Roman"/>
          <w:i/>
          <w:iCs/>
        </w:rPr>
        <w:t>Constitution</w:t>
      </w:r>
      <w:r w:rsidRPr="004C6E3E">
        <w:rPr>
          <w:rFonts w:ascii="Times New Roman" w:hAnsi="Times New Roman"/>
        </w:rPr>
        <w:t xml:space="preserve"> – its role is antithetical to its status as an institution "established for the administration of justice"</w:t>
      </w:r>
      <w:r w:rsidRPr="004C6E3E">
        <w:rPr>
          <w:rStyle w:val="FootnoteReference"/>
          <w:rFonts w:ascii="Times New Roman" w:hAnsi="Times New Roman"/>
          <w:sz w:val="24"/>
        </w:rPr>
        <w:footnoteReference w:id="205"/>
      </w:r>
      <w:r w:rsidRPr="004C6E3E">
        <w:rPr>
          <w:rFonts w:ascii="Times New Roman" w:hAnsi="Times New Roman"/>
        </w:rPr>
        <w:t>.</w:t>
      </w:r>
    </w:p>
    <w:p w14:paraId="04651FFE"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premise of the HRSO Act is that those who have offended may offend again. Detention – imprisonment </w:t>
      </w:r>
      <w:bookmarkStart w:id="2" w:name="_Hlk98761070"/>
      <w:r w:rsidRPr="004C6E3E">
        <w:rPr>
          <w:rFonts w:ascii="Times New Roman" w:hAnsi="Times New Roman"/>
        </w:rPr>
        <w:t>–</w:t>
      </w:r>
      <w:bookmarkEnd w:id="2"/>
      <w:r w:rsidRPr="004C6E3E">
        <w:rPr>
          <w:rFonts w:ascii="Times New Roman" w:hAnsi="Times New Roman"/>
        </w:rPr>
        <w:t xml:space="preserve"> of any individual protects society from anything and everything that that</w:t>
      </w:r>
      <w:r w:rsidRPr="004C6E3E" w:rsidDel="00BC497E">
        <w:rPr>
          <w:rFonts w:ascii="Times New Roman" w:hAnsi="Times New Roman"/>
        </w:rPr>
        <w:t xml:space="preserve"> </w:t>
      </w:r>
      <w:r w:rsidRPr="004C6E3E">
        <w:rPr>
          <w:rFonts w:ascii="Times New Roman" w:hAnsi="Times New Roman"/>
        </w:rPr>
        <w:t xml:space="preserve">individual </w:t>
      </w:r>
      <w:bookmarkStart w:id="3" w:name="_Hlk98918761"/>
      <w:r w:rsidRPr="004C6E3E">
        <w:rPr>
          <w:rFonts w:ascii="Times New Roman" w:hAnsi="Times New Roman"/>
        </w:rPr>
        <w:t>might do if at large in society</w:t>
      </w:r>
      <w:bookmarkEnd w:id="3"/>
      <w:r w:rsidRPr="004C6E3E">
        <w:rPr>
          <w:rStyle w:val="FootnoteReference"/>
          <w:rFonts w:ascii="Times New Roman" w:hAnsi="Times New Roman"/>
          <w:sz w:val="24"/>
        </w:rPr>
        <w:footnoteReference w:id="206"/>
      </w:r>
      <w:r w:rsidRPr="004C6E3E">
        <w:rPr>
          <w:rFonts w:ascii="Times New Roman" w:hAnsi="Times New Roman"/>
        </w:rPr>
        <w:t>. Labelling the HRSO Act scheme, and the role of the Supreme Court, as</w:t>
      </w:r>
      <w:r>
        <w:rPr>
          <w:rFonts w:ascii="Times New Roman" w:hAnsi="Times New Roman"/>
        </w:rPr>
        <w:t> </w:t>
      </w:r>
      <w:r w:rsidRPr="004C6E3E">
        <w:rPr>
          <w:rFonts w:ascii="Times New Roman" w:hAnsi="Times New Roman"/>
        </w:rPr>
        <w:t>"preventive</w:t>
      </w:r>
      <w:r>
        <w:rPr>
          <w:rFonts w:ascii="Times New Roman" w:hAnsi="Times New Roman"/>
        </w:rPr>
        <w:t> </w:t>
      </w:r>
      <w:r w:rsidRPr="004C6E3E">
        <w:rPr>
          <w:rFonts w:ascii="Times New Roman" w:hAnsi="Times New Roman"/>
        </w:rPr>
        <w:t>justice" is a misnomer. It is not justice. The HRSO Act scheme, at</w:t>
      </w:r>
      <w:r>
        <w:rPr>
          <w:rFonts w:ascii="Times New Roman" w:hAnsi="Times New Roman"/>
        </w:rPr>
        <w:t> </w:t>
      </w:r>
      <w:r w:rsidRPr="004C6E3E">
        <w:rPr>
          <w:rFonts w:ascii="Times New Roman" w:hAnsi="Times New Roman"/>
        </w:rPr>
        <w:t>least in its operation with respect to robbery, is contrary to Ch III and undermines the two key rationales – or constitutional values – underpinning</w:t>
      </w:r>
      <w:r>
        <w:rPr>
          <w:rFonts w:ascii="Times New Roman" w:hAnsi="Times New Roman"/>
        </w:rPr>
        <w:t> </w:t>
      </w:r>
      <w:r w:rsidRPr="004C6E3E">
        <w:rPr>
          <w:rFonts w:ascii="Times New Roman" w:hAnsi="Times New Roman"/>
        </w:rPr>
        <w:t>Ch III's strict separation of Commonwealth judicial power from executive and legislative power: first, the historical judicial protection of liberty against incursions by the legislature or the Executive; and second, the protection of the independence and impartiality of the judiciary so as to ensure that the judiciary can operate effectively as a check on legislative and executive power</w:t>
      </w:r>
      <w:r w:rsidRPr="004C6E3E">
        <w:rPr>
          <w:rStyle w:val="FootnoteReference"/>
          <w:rFonts w:ascii="Times New Roman" w:hAnsi="Times New Roman"/>
          <w:sz w:val="24"/>
        </w:rPr>
        <w:footnoteReference w:id="207"/>
      </w:r>
      <w:r w:rsidRPr="004C6E3E">
        <w:rPr>
          <w:rFonts w:ascii="Times New Roman" w:hAnsi="Times New Roman"/>
        </w:rPr>
        <w:t>.</w:t>
      </w:r>
    </w:p>
    <w:p w14:paraId="3689003B"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Before addressing Ch III of the </w:t>
      </w:r>
      <w:r w:rsidRPr="004C6E3E">
        <w:rPr>
          <w:rFonts w:ascii="Times New Roman" w:hAnsi="Times New Roman"/>
          <w:i/>
        </w:rPr>
        <w:t>Constitution</w:t>
      </w:r>
      <w:r w:rsidRPr="004C6E3E">
        <w:rPr>
          <w:rFonts w:ascii="Times New Roman" w:hAnsi="Times New Roman"/>
        </w:rPr>
        <w:t xml:space="preserve">, </w:t>
      </w:r>
      <w:proofErr w:type="gramStart"/>
      <w:r w:rsidRPr="004C6E3E">
        <w:rPr>
          <w:rFonts w:ascii="Times New Roman" w:hAnsi="Times New Roman"/>
        </w:rPr>
        <w:t>liberty</w:t>
      </w:r>
      <w:proofErr w:type="gramEnd"/>
      <w:r w:rsidRPr="004C6E3E">
        <w:rPr>
          <w:rFonts w:ascii="Times New Roman" w:hAnsi="Times New Roman"/>
        </w:rPr>
        <w:t xml:space="preserve"> and punishment, four</w:t>
      </w:r>
      <w:r>
        <w:rPr>
          <w:rFonts w:ascii="Times New Roman" w:hAnsi="Times New Roman"/>
        </w:rPr>
        <w:t> </w:t>
      </w:r>
      <w:r w:rsidRPr="004C6E3E">
        <w:rPr>
          <w:rFonts w:ascii="Times New Roman" w:hAnsi="Times New Roman"/>
        </w:rPr>
        <w:t>matters should be addressed at the outset.</w:t>
      </w:r>
    </w:p>
    <w:p w14:paraId="40DAB0AC" w14:textId="77777777" w:rsidR="00E3198A" w:rsidRPr="004C6E3E" w:rsidRDefault="00E3198A" w:rsidP="004C6E3E">
      <w:pPr>
        <w:pStyle w:val="HeadingL1"/>
        <w:spacing w:after="260" w:line="280" w:lineRule="exact"/>
        <w:ind w:right="0"/>
        <w:jc w:val="both"/>
        <w:rPr>
          <w:rFonts w:ascii="Times New Roman" w:hAnsi="Times New Roman"/>
        </w:rPr>
      </w:pPr>
      <w:r w:rsidRPr="004C6E3E">
        <w:rPr>
          <w:rFonts w:ascii="Times New Roman" w:hAnsi="Times New Roman"/>
        </w:rPr>
        <w:lastRenderedPageBreak/>
        <w:t>Preventive detention regimes and "preventive justice"</w:t>
      </w:r>
    </w:p>
    <w:p w14:paraId="20B89D23" w14:textId="48F78AB9"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First, "preventive justice"</w:t>
      </w:r>
      <w:r w:rsidRPr="004C6E3E">
        <w:rPr>
          <w:rStyle w:val="FootnoteReference"/>
          <w:rFonts w:ascii="Times New Roman" w:hAnsi="Times New Roman"/>
          <w:sz w:val="24"/>
        </w:rPr>
        <w:footnoteReference w:id="208"/>
      </w:r>
      <w:r w:rsidRPr="004C6E3E">
        <w:rPr>
          <w:rFonts w:ascii="Times New Roman" w:hAnsi="Times New Roman"/>
        </w:rPr>
        <w:t xml:space="preserve"> (use of "coercive preventive measures"</w:t>
      </w:r>
      <w:r w:rsidRPr="004C6E3E">
        <w:rPr>
          <w:rStyle w:val="FootnoteReference"/>
          <w:rFonts w:ascii="Times New Roman" w:hAnsi="Times New Roman"/>
          <w:sz w:val="24"/>
        </w:rPr>
        <w:footnoteReference w:id="209"/>
      </w:r>
      <w:r w:rsidRPr="004C6E3E">
        <w:rPr>
          <w:rFonts w:ascii="Times New Roman" w:hAnsi="Times New Roman"/>
        </w:rPr>
        <w:t>) is not a new concept; it is a concept with "over two hundred years of history"</w:t>
      </w:r>
      <w:r w:rsidRPr="004C6E3E">
        <w:rPr>
          <w:rStyle w:val="FootnoteReference"/>
          <w:rFonts w:ascii="Times New Roman" w:hAnsi="Times New Roman"/>
          <w:sz w:val="24"/>
        </w:rPr>
        <w:footnoteReference w:id="210"/>
      </w:r>
      <w:r w:rsidRPr="004C6E3E">
        <w:rPr>
          <w:rFonts w:ascii="Times New Roman" w:hAnsi="Times New Roman"/>
        </w:rPr>
        <w:t xml:space="preserve">. But it is important to understand what "coercive preventive measures" seek to achieve and how. They have two aspects: they are not only preventive, </w:t>
      </w:r>
      <w:proofErr w:type="gramStart"/>
      <w:r w:rsidRPr="004C6E3E">
        <w:rPr>
          <w:rFonts w:ascii="Times New Roman" w:hAnsi="Times New Roman"/>
        </w:rPr>
        <w:t>they are</w:t>
      </w:r>
      <w:proofErr w:type="gramEnd"/>
      <w:r w:rsidRPr="004C6E3E">
        <w:rPr>
          <w:rFonts w:ascii="Times New Roman" w:hAnsi="Times New Roman"/>
        </w:rPr>
        <w:t> coercive. "[A]</w:t>
      </w:r>
      <w:r>
        <w:rPr>
          <w:rFonts w:ascii="Times New Roman" w:hAnsi="Times New Roman"/>
        </w:rPr>
        <w:t> </w:t>
      </w:r>
      <w:r w:rsidRPr="004C6E3E">
        <w:rPr>
          <w:rFonts w:ascii="Times New Roman" w:hAnsi="Times New Roman"/>
        </w:rPr>
        <w:t>measure is </w:t>
      </w:r>
      <w:r w:rsidRPr="004C6E3E">
        <w:rPr>
          <w:rFonts w:ascii="Times New Roman" w:hAnsi="Times New Roman"/>
          <w:i/>
        </w:rPr>
        <w:t>preventive</w:t>
      </w:r>
      <w:r w:rsidRPr="004C6E3E">
        <w:rPr>
          <w:rFonts w:ascii="Times New Roman" w:hAnsi="Times New Roman"/>
        </w:rPr>
        <w:t xml:space="preserve"> if it is created in order to avert, or reduce the frequency or impact of, behaviour that is believed to present an unacceptable risk of harm"; and "[</w:t>
      </w:r>
      <w:proofErr w:type="spellStart"/>
      <w:r w:rsidRPr="004C6E3E">
        <w:rPr>
          <w:rFonts w:ascii="Times New Roman" w:hAnsi="Times New Roman"/>
        </w:rPr>
        <w:t>i</w:t>
      </w:r>
      <w:proofErr w:type="spellEnd"/>
      <w:r w:rsidRPr="004C6E3E">
        <w:rPr>
          <w:rFonts w:ascii="Times New Roman" w:hAnsi="Times New Roman"/>
        </w:rPr>
        <w:t xml:space="preserve">]t is </w:t>
      </w:r>
      <w:r w:rsidRPr="004C6E3E">
        <w:rPr>
          <w:rFonts w:ascii="Times New Roman" w:hAnsi="Times New Roman"/>
          <w:i/>
        </w:rPr>
        <w:t>coercive</w:t>
      </w:r>
      <w:r w:rsidRPr="004C6E3E">
        <w:rPr>
          <w:rFonts w:ascii="Times New Roman" w:hAnsi="Times New Roman"/>
        </w:rPr>
        <w:t xml:space="preserve"> if it involves state</w:t>
      </w:r>
      <w:r w:rsidRPr="004C6E3E">
        <w:rPr>
          <w:rFonts w:ascii="Times New Roman" w:hAnsi="Times New Roman"/>
        </w:rPr>
        <w:noBreakHyphen/>
        <w:t>imposed restrictions on liberty of action, backed by a coercive response, or the threat of a coercive response, to the restricted individual"</w:t>
      </w:r>
      <w:r w:rsidRPr="004C6E3E">
        <w:rPr>
          <w:rStyle w:val="FootnoteReference"/>
          <w:rFonts w:ascii="Times New Roman" w:hAnsi="Times New Roman"/>
          <w:sz w:val="24"/>
        </w:rPr>
        <w:footnoteReference w:id="211"/>
      </w:r>
      <w:r w:rsidRPr="004C6E3E">
        <w:rPr>
          <w:rFonts w:ascii="Times New Roman" w:hAnsi="Times New Roman"/>
        </w:rPr>
        <w:t xml:space="preserve"> (emphasis added). The HRSO</w:t>
      </w:r>
      <w:r w:rsidR="00FA37D9">
        <w:rPr>
          <w:rFonts w:ascii="Times New Roman" w:hAnsi="Times New Roman"/>
        </w:rPr>
        <w:t> </w:t>
      </w:r>
      <w:r w:rsidRPr="004C6E3E">
        <w:rPr>
          <w:rFonts w:ascii="Times New Roman" w:hAnsi="Times New Roman"/>
        </w:rPr>
        <w:t>Act scheme contains both aspects. Although the HRSO Act authorises the making of two different types of coercive preventive measures, both referred to as "restriction order[s]"</w:t>
      </w:r>
      <w:r w:rsidRPr="004C6E3E">
        <w:rPr>
          <w:rStyle w:val="FootnoteReference"/>
          <w:rFonts w:ascii="Times New Roman" w:hAnsi="Times New Roman"/>
          <w:sz w:val="24"/>
        </w:rPr>
        <w:footnoteReference w:id="212"/>
      </w:r>
      <w:r w:rsidRPr="004C6E3E">
        <w:rPr>
          <w:rFonts w:ascii="Times New Roman" w:hAnsi="Times New Roman"/>
        </w:rPr>
        <w:t xml:space="preserve"> – which is defined to mean a "continuing detention order"</w:t>
      </w:r>
      <w:r w:rsidRPr="004C6E3E">
        <w:rPr>
          <w:rStyle w:val="FootnoteReference"/>
          <w:rFonts w:ascii="Times New Roman" w:hAnsi="Times New Roman"/>
          <w:sz w:val="24"/>
        </w:rPr>
        <w:footnoteReference w:id="213"/>
      </w:r>
      <w:r w:rsidRPr="004C6E3E">
        <w:rPr>
          <w:rFonts w:ascii="Times New Roman" w:hAnsi="Times New Roman"/>
        </w:rPr>
        <w:t xml:space="preserve"> or a "supervision order"</w:t>
      </w:r>
      <w:r w:rsidRPr="004C6E3E">
        <w:rPr>
          <w:rStyle w:val="FootnoteReference"/>
          <w:rFonts w:ascii="Times New Roman" w:hAnsi="Times New Roman"/>
          <w:sz w:val="24"/>
        </w:rPr>
        <w:footnoteReference w:id="214"/>
      </w:r>
      <w:r w:rsidRPr="004C6E3E">
        <w:rPr>
          <w:rFonts w:ascii="Times New Roman" w:hAnsi="Times New Roman"/>
        </w:rPr>
        <w:t xml:space="preserve"> – it is sufficient for present purposes to focus on the validity of the HRSO Act insofar as it authorises the making of a continuing detention order. There was no dispute that the supervision order regime cannot be severed from the continuing detention order regime – they are inextricably intertwined and cannot be disentangled by severance</w:t>
      </w:r>
      <w:r w:rsidRPr="004C6E3E">
        <w:rPr>
          <w:rStyle w:val="FootnoteReference"/>
          <w:rFonts w:ascii="Times New Roman" w:hAnsi="Times New Roman"/>
          <w:sz w:val="24"/>
        </w:rPr>
        <w:footnoteReference w:id="215"/>
      </w:r>
      <w:r w:rsidRPr="004C6E3E">
        <w:rPr>
          <w:rFonts w:ascii="Times New Roman" w:hAnsi="Times New Roman"/>
        </w:rPr>
        <w:t>.</w:t>
      </w:r>
    </w:p>
    <w:p w14:paraId="65711BB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Second, this proceeding is the latest in a series of cases</w:t>
      </w:r>
      <w:r w:rsidRPr="004C6E3E">
        <w:rPr>
          <w:rStyle w:val="FootnoteReference"/>
          <w:rFonts w:ascii="Times New Roman" w:hAnsi="Times New Roman"/>
          <w:sz w:val="24"/>
        </w:rPr>
        <w:footnoteReference w:id="216"/>
      </w:r>
      <w:r w:rsidRPr="004C6E3E">
        <w:rPr>
          <w:rFonts w:ascii="Times New Roman" w:hAnsi="Times New Roman"/>
        </w:rPr>
        <w:t xml:space="preserve"> involving challenges to the validity of coercive preventive justice regimes on the basis that </w:t>
      </w:r>
      <w:r w:rsidRPr="004C6E3E">
        <w:rPr>
          <w:rFonts w:ascii="Times New Roman" w:hAnsi="Times New Roman"/>
        </w:rPr>
        <w:lastRenderedPageBreak/>
        <w:t xml:space="preserve">the regimes infringed Ch III of the </w:t>
      </w:r>
      <w:r w:rsidRPr="004C6E3E">
        <w:rPr>
          <w:rFonts w:ascii="Times New Roman" w:hAnsi="Times New Roman"/>
          <w:i/>
        </w:rPr>
        <w:t>Constitution</w:t>
      </w:r>
      <w:r w:rsidRPr="004C6E3E">
        <w:rPr>
          <w:rFonts w:ascii="Times New Roman" w:hAnsi="Times New Roman"/>
        </w:rPr>
        <w:t xml:space="preserve">. Other than in </w:t>
      </w:r>
      <w:r w:rsidRPr="004C6E3E">
        <w:rPr>
          <w:rFonts w:ascii="Times New Roman" w:hAnsi="Times New Roman"/>
          <w:i/>
        </w:rPr>
        <w:t>Kable</w:t>
      </w:r>
      <w:r w:rsidRPr="004C6E3E">
        <w:rPr>
          <w:rFonts w:ascii="Times New Roman" w:hAnsi="Times New Roman"/>
        </w:rPr>
        <w:t xml:space="preserve"> </w:t>
      </w:r>
      <w:r w:rsidRPr="004C6E3E">
        <w:rPr>
          <w:rFonts w:ascii="Times New Roman" w:hAnsi="Times New Roman"/>
          <w:i/>
        </w:rPr>
        <w:t>v Director of Public Prosecutions (NSW)</w:t>
      </w:r>
      <w:r w:rsidRPr="004C6E3E">
        <w:rPr>
          <w:rStyle w:val="FootnoteReference"/>
          <w:rFonts w:ascii="Times New Roman" w:hAnsi="Times New Roman"/>
          <w:sz w:val="24"/>
        </w:rPr>
        <w:footnoteReference w:id="217"/>
      </w:r>
      <w:r w:rsidRPr="004C6E3E">
        <w:rPr>
          <w:rFonts w:ascii="Times New Roman" w:hAnsi="Times New Roman"/>
          <w:i/>
        </w:rPr>
        <w:t xml:space="preserve"> </w:t>
      </w:r>
      <w:r w:rsidRPr="004C6E3E">
        <w:rPr>
          <w:rFonts w:ascii="Times New Roman" w:hAnsi="Times New Roman"/>
        </w:rPr>
        <w:t xml:space="preserve">and </w:t>
      </w:r>
      <w:r w:rsidRPr="004C6E3E">
        <w:rPr>
          <w:rFonts w:ascii="Times New Roman" w:hAnsi="Times New Roman"/>
          <w:i/>
        </w:rPr>
        <w:t xml:space="preserve">South Australia v </w:t>
      </w:r>
      <w:proofErr w:type="spellStart"/>
      <w:r w:rsidRPr="004C6E3E">
        <w:rPr>
          <w:rFonts w:ascii="Times New Roman" w:hAnsi="Times New Roman"/>
          <w:i/>
        </w:rPr>
        <w:t>Totani</w:t>
      </w:r>
      <w:proofErr w:type="spellEnd"/>
      <w:r w:rsidRPr="004C6E3E">
        <w:rPr>
          <w:rStyle w:val="FootnoteReference"/>
          <w:rFonts w:ascii="Times New Roman" w:hAnsi="Times New Roman"/>
          <w:sz w:val="24"/>
        </w:rPr>
        <w:footnoteReference w:id="218"/>
      </w:r>
      <w:r w:rsidRPr="004C6E3E" w:rsidDel="00986B2C">
        <w:rPr>
          <w:rFonts w:ascii="Times New Roman" w:hAnsi="Times New Roman"/>
        </w:rPr>
        <w:t>,</w:t>
      </w:r>
      <w:r w:rsidRPr="004C6E3E">
        <w:rPr>
          <w:rFonts w:ascii="Times New Roman" w:hAnsi="Times New Roman"/>
        </w:rPr>
        <w:t xml:space="preserve"> in each of those cases the Court upheld the validity of the impugned regimes</w:t>
      </w:r>
      <w:r w:rsidRPr="004C6E3E">
        <w:rPr>
          <w:rStyle w:val="FootnoteReference"/>
          <w:rFonts w:ascii="Times New Roman" w:hAnsi="Times New Roman"/>
          <w:sz w:val="24"/>
        </w:rPr>
        <w:footnoteReference w:id="219"/>
      </w:r>
      <w:r w:rsidRPr="004C6E3E">
        <w:rPr>
          <w:rFonts w:ascii="Times New Roman" w:hAnsi="Times New Roman"/>
        </w:rPr>
        <w:t>. Some of the regimes considered by the Court involved post</w:t>
      </w:r>
      <w:r w:rsidRPr="004C6E3E">
        <w:rPr>
          <w:rFonts w:ascii="Times New Roman" w:hAnsi="Times New Roman"/>
        </w:rPr>
        <w:noBreakHyphen/>
        <w:t>sentence continuing detention</w:t>
      </w:r>
      <w:r w:rsidRPr="004C6E3E">
        <w:rPr>
          <w:rStyle w:val="FootnoteReference"/>
          <w:rFonts w:ascii="Times New Roman" w:hAnsi="Times New Roman"/>
          <w:sz w:val="24"/>
        </w:rPr>
        <w:footnoteReference w:id="220"/>
      </w:r>
      <w:r w:rsidRPr="004C6E3E">
        <w:rPr>
          <w:rFonts w:ascii="Times New Roman" w:hAnsi="Times New Roman"/>
        </w:rPr>
        <w:t>; others</w:t>
      </w:r>
      <w:r>
        <w:rPr>
          <w:rFonts w:ascii="Times New Roman" w:hAnsi="Times New Roman"/>
        </w:rPr>
        <w:t> </w:t>
      </w:r>
      <w:r w:rsidRPr="004C6E3E">
        <w:rPr>
          <w:rFonts w:ascii="Times New Roman" w:hAnsi="Times New Roman"/>
        </w:rPr>
        <w:t>involved restrictions on liberty falling short of detention in custody</w:t>
      </w:r>
      <w:r w:rsidRPr="004C6E3E">
        <w:rPr>
          <w:rStyle w:val="FootnoteReference"/>
          <w:rFonts w:ascii="Times New Roman" w:hAnsi="Times New Roman"/>
          <w:sz w:val="24"/>
        </w:rPr>
        <w:footnoteReference w:id="221"/>
      </w:r>
      <w:r w:rsidRPr="004C6E3E">
        <w:rPr>
          <w:rFonts w:ascii="Times New Roman" w:hAnsi="Times New Roman"/>
        </w:rPr>
        <w:t xml:space="preserve">. They are not </w:t>
      </w:r>
      <w:proofErr w:type="gramStart"/>
      <w:r w:rsidRPr="004C6E3E">
        <w:rPr>
          <w:rFonts w:ascii="Times New Roman" w:hAnsi="Times New Roman"/>
        </w:rPr>
        <w:t>all alike</w:t>
      </w:r>
      <w:proofErr w:type="gramEnd"/>
      <w:r w:rsidRPr="004C6E3E">
        <w:rPr>
          <w:rStyle w:val="FootnoteReference"/>
          <w:rFonts w:ascii="Times New Roman" w:hAnsi="Times New Roman"/>
          <w:sz w:val="24"/>
        </w:rPr>
        <w:footnoteReference w:id="222"/>
      </w:r>
      <w:r w:rsidRPr="004C6E3E">
        <w:rPr>
          <w:rFonts w:ascii="Times New Roman" w:hAnsi="Times New Roman"/>
        </w:rPr>
        <w:t>.</w:t>
      </w:r>
    </w:p>
    <w:p w14:paraId="3F40E058"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Third, propositions embraced incrementally by this Court in those decisions (since </w:t>
      </w:r>
      <w:r w:rsidRPr="004C6E3E">
        <w:rPr>
          <w:rFonts w:ascii="Times New Roman" w:hAnsi="Times New Roman"/>
          <w:i/>
        </w:rPr>
        <w:t>Kable</w:t>
      </w:r>
      <w:r w:rsidRPr="004C6E3E">
        <w:rPr>
          <w:rStyle w:val="FootnoteReference"/>
          <w:rFonts w:ascii="Times New Roman" w:hAnsi="Times New Roman"/>
          <w:iCs/>
          <w:sz w:val="24"/>
        </w:rPr>
        <w:footnoteReference w:id="223"/>
      </w:r>
      <w:r w:rsidRPr="004C6E3E">
        <w:rPr>
          <w:rFonts w:ascii="Times New Roman" w:hAnsi="Times New Roman"/>
          <w:iCs/>
        </w:rPr>
        <w:t>)</w:t>
      </w:r>
      <w:r w:rsidRPr="004C6E3E">
        <w:rPr>
          <w:rFonts w:ascii="Times New Roman" w:hAnsi="Times New Roman"/>
        </w:rPr>
        <w:t xml:space="preserve"> have led to coercive preventive justice regimes becoming "an</w:t>
      </w:r>
      <w:r>
        <w:rPr>
          <w:rFonts w:ascii="Times New Roman" w:hAnsi="Times New Roman"/>
        </w:rPr>
        <w:t> </w:t>
      </w:r>
      <w:r w:rsidRPr="004C6E3E">
        <w:rPr>
          <w:rFonts w:ascii="Times New Roman" w:hAnsi="Times New Roman"/>
        </w:rPr>
        <w:t>increasingly prominent feature of lawmaking in Australia"</w:t>
      </w:r>
      <w:r w:rsidRPr="004C6E3E">
        <w:rPr>
          <w:rStyle w:val="FootnoteReference"/>
          <w:rFonts w:ascii="Times New Roman" w:hAnsi="Times New Roman"/>
          <w:sz w:val="24"/>
        </w:rPr>
        <w:footnoteReference w:id="224"/>
      </w:r>
      <w:r w:rsidRPr="004C6E3E">
        <w:rPr>
          <w:rFonts w:ascii="Times New Roman" w:hAnsi="Times New Roman"/>
        </w:rPr>
        <w:t xml:space="preserve"> and to Parliaments adjusting the design of such regimes to be more far-reaching and </w:t>
      </w:r>
      <w:r w:rsidRPr="004C6E3E">
        <w:rPr>
          <w:rFonts w:ascii="Times New Roman" w:hAnsi="Times New Roman"/>
        </w:rPr>
        <w:lastRenderedPageBreak/>
        <w:t>intrusive</w:t>
      </w:r>
      <w:r w:rsidRPr="004C6E3E">
        <w:rPr>
          <w:rStyle w:val="FootnoteReference"/>
          <w:rFonts w:ascii="Times New Roman" w:hAnsi="Times New Roman"/>
          <w:sz w:val="24"/>
        </w:rPr>
        <w:footnoteReference w:id="225"/>
      </w:r>
      <w:r w:rsidRPr="004C6E3E">
        <w:rPr>
          <w:rFonts w:ascii="Times New Roman" w:hAnsi="Times New Roman"/>
        </w:rPr>
        <w:t xml:space="preserve">. Regimes which once were seen as exceptional measures to address specific community fears about </w:t>
      </w:r>
      <w:proofErr w:type="gramStart"/>
      <w:r w:rsidRPr="004C6E3E">
        <w:rPr>
          <w:rFonts w:ascii="Times New Roman" w:hAnsi="Times New Roman"/>
        </w:rPr>
        <w:t>particular kinds</w:t>
      </w:r>
      <w:proofErr w:type="gramEnd"/>
      <w:r w:rsidRPr="004C6E3E">
        <w:rPr>
          <w:rFonts w:ascii="Times New Roman" w:hAnsi="Times New Roman"/>
        </w:rPr>
        <w:t xml:space="preserve"> of crime – terrorism or serious sexual offences – now risk becoming the norm</w:t>
      </w:r>
      <w:r w:rsidRPr="004C6E3E">
        <w:rPr>
          <w:rStyle w:val="FootnoteReference"/>
          <w:rFonts w:ascii="Times New Roman" w:hAnsi="Times New Roman"/>
          <w:sz w:val="24"/>
        </w:rPr>
        <w:footnoteReference w:id="226"/>
      </w:r>
      <w:r w:rsidRPr="004C6E3E">
        <w:rPr>
          <w:rFonts w:ascii="Times New Roman" w:hAnsi="Times New Roman"/>
        </w:rPr>
        <w:t>, and extending to protect the community against the commission of a broad category of offences and conduct where the nature and extent of the harm that may be caused to persons or property by the prospective commission of an offence varies widely</w:t>
      </w:r>
      <w:r w:rsidRPr="004C6E3E">
        <w:rPr>
          <w:rStyle w:val="FootnoteReference"/>
          <w:rFonts w:ascii="Times New Roman" w:hAnsi="Times New Roman"/>
          <w:sz w:val="24"/>
        </w:rPr>
        <w:footnoteReference w:id="227"/>
      </w:r>
      <w:r w:rsidRPr="004C6E3E">
        <w:rPr>
          <w:rFonts w:ascii="Times New Roman" w:hAnsi="Times New Roman"/>
        </w:rPr>
        <w:t xml:space="preserve">. And that is not without danger. Where </w:t>
      </w:r>
      <w:r w:rsidRPr="004C6E3E">
        <w:rPr>
          <w:rFonts w:ascii="Times New Roman" w:hAnsi="Times New Roman"/>
          <w:i/>
        </w:rPr>
        <w:t>risk</w:t>
      </w:r>
      <w:r w:rsidRPr="004C6E3E">
        <w:rPr>
          <w:rFonts w:ascii="Times New Roman" w:hAnsi="Times New Roman"/>
        </w:rPr>
        <w:t xml:space="preserve"> comes to prevail as the main driver of policy, there is a danger of "the logic of risk reduction ... permit[ting] ever more intrusive and liberty</w:t>
      </w:r>
      <w:r>
        <w:rPr>
          <w:rFonts w:ascii="Times New Roman" w:hAnsi="Times New Roman"/>
        </w:rPr>
        <w:noBreakHyphen/>
      </w:r>
      <w:r w:rsidRPr="004C6E3E">
        <w:rPr>
          <w:rFonts w:ascii="Times New Roman" w:hAnsi="Times New Roman"/>
        </w:rPr>
        <w:t>eroding incursions"</w:t>
      </w:r>
      <w:r w:rsidRPr="004C6E3E">
        <w:rPr>
          <w:rStyle w:val="FootnoteReference"/>
          <w:rFonts w:ascii="Times New Roman" w:hAnsi="Times New Roman"/>
          <w:sz w:val="24"/>
        </w:rPr>
        <w:footnoteReference w:id="228"/>
      </w:r>
      <w:r w:rsidRPr="004C6E3E">
        <w:rPr>
          <w:rFonts w:ascii="Times New Roman" w:hAnsi="Times New Roman"/>
        </w:rPr>
        <w:t>. As John Stuart</w:t>
      </w:r>
      <w:r w:rsidRPr="004C6E3E" w:rsidDel="00245186">
        <w:rPr>
          <w:rFonts w:ascii="Times New Roman" w:hAnsi="Times New Roman"/>
        </w:rPr>
        <w:t xml:space="preserve"> </w:t>
      </w:r>
      <w:r w:rsidRPr="004C6E3E">
        <w:rPr>
          <w:rFonts w:ascii="Times New Roman" w:hAnsi="Times New Roman"/>
        </w:rPr>
        <w:t>Mill warned in 1859, "[t]he</w:t>
      </w:r>
      <w:r>
        <w:rPr>
          <w:rFonts w:ascii="Times New Roman" w:hAnsi="Times New Roman"/>
        </w:rPr>
        <w:t> </w:t>
      </w:r>
      <w:r w:rsidRPr="004C6E3E">
        <w:rPr>
          <w:rFonts w:ascii="Times New Roman" w:hAnsi="Times New Roman"/>
        </w:rPr>
        <w:t>preventive function of government ... is far more liable to be abused, to the prejudice of liberty, than the punitory function"</w:t>
      </w:r>
      <w:r w:rsidRPr="004C6E3E">
        <w:rPr>
          <w:rStyle w:val="FootnoteReference"/>
          <w:rFonts w:ascii="Times New Roman" w:hAnsi="Times New Roman"/>
          <w:sz w:val="24"/>
        </w:rPr>
        <w:footnoteReference w:id="229"/>
      </w:r>
      <w:r w:rsidRPr="004C6E3E">
        <w:rPr>
          <w:rFonts w:ascii="Times New Roman" w:hAnsi="Times New Roman"/>
        </w:rPr>
        <w:t>.</w:t>
      </w:r>
    </w:p>
    <w:p w14:paraId="36EB77E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That leads to the fourth observation: the potential normalisation of regimes that override individuals' liberty on the grounds of legislatively asserted "preventive" or "protective" imperatives, unrelated to the adjudgment and punishment of criminal guilt, inevitably presents risks to the institutional integrity of courts – institutions established for the administration of justice</w:t>
      </w:r>
      <w:r w:rsidRPr="004C6E3E">
        <w:rPr>
          <w:rStyle w:val="FootnoteReference"/>
          <w:rFonts w:ascii="Times New Roman" w:hAnsi="Times New Roman"/>
          <w:sz w:val="24"/>
        </w:rPr>
        <w:footnoteReference w:id="230"/>
      </w:r>
      <w:r w:rsidRPr="004C6E3E">
        <w:rPr>
          <w:rFonts w:ascii="Times New Roman" w:hAnsi="Times New Roman"/>
        </w:rPr>
        <w:t xml:space="preserve"> – and the separation of powers. The coercive preventive justice regimes that are enacted must reflect and respect the two key rationales – or constitutional values – that</w:t>
      </w:r>
      <w:r>
        <w:rPr>
          <w:rFonts w:ascii="Times New Roman" w:hAnsi="Times New Roman"/>
        </w:rPr>
        <w:t> </w:t>
      </w:r>
      <w:r w:rsidRPr="004C6E3E">
        <w:rPr>
          <w:rFonts w:ascii="Times New Roman" w:hAnsi="Times New Roman"/>
        </w:rPr>
        <w:t>underpin, and are protected by, Ch III's strict separation of federal judicial power</w:t>
      </w:r>
      <w:r w:rsidRPr="004C6E3E">
        <w:rPr>
          <w:rStyle w:val="FootnoteReference"/>
          <w:rFonts w:ascii="Times New Roman" w:hAnsi="Times New Roman"/>
          <w:sz w:val="24"/>
        </w:rPr>
        <w:footnoteReference w:id="231"/>
      </w:r>
      <w:r w:rsidRPr="004C6E3E">
        <w:rPr>
          <w:rFonts w:ascii="Times New Roman" w:hAnsi="Times New Roman"/>
        </w:rPr>
        <w:t xml:space="preserve">. Those core constitutional values – "conventions of [the] 'rule of law'" – cannot be waived or set aside for the protection of the community against what is </w:t>
      </w:r>
      <w:r w:rsidRPr="004C6E3E">
        <w:rPr>
          <w:rFonts w:ascii="Times New Roman" w:hAnsi="Times New Roman"/>
        </w:rPr>
        <w:lastRenderedPageBreak/>
        <w:t>asserted to be a "growing number of 'predators'"</w:t>
      </w:r>
      <w:r w:rsidRPr="004C6E3E">
        <w:rPr>
          <w:rStyle w:val="FootnoteReference"/>
          <w:rFonts w:ascii="Times New Roman" w:hAnsi="Times New Roman"/>
          <w:sz w:val="24"/>
        </w:rPr>
        <w:footnoteReference w:id="232"/>
      </w:r>
      <w:r w:rsidRPr="004C6E3E">
        <w:rPr>
          <w:rFonts w:ascii="Times New Roman" w:hAnsi="Times New Roman"/>
        </w:rPr>
        <w:t>, relevantly in this case: (a)</w:t>
      </w:r>
      <w:r>
        <w:rPr>
          <w:rFonts w:ascii="Times New Roman" w:hAnsi="Times New Roman"/>
        </w:rPr>
        <w:t> </w:t>
      </w:r>
      <w:r w:rsidRPr="004C6E3E">
        <w:rPr>
          <w:rFonts w:ascii="Times New Roman" w:hAnsi="Times New Roman"/>
        </w:rPr>
        <w:t>persons</w:t>
      </w:r>
      <w:r>
        <w:rPr>
          <w:rFonts w:ascii="Times New Roman" w:hAnsi="Times New Roman"/>
        </w:rPr>
        <w:t> </w:t>
      </w:r>
      <w:r w:rsidRPr="004C6E3E">
        <w:rPr>
          <w:rFonts w:ascii="Times New Roman" w:hAnsi="Times New Roman"/>
        </w:rPr>
        <w:t>convicted of a "serious offence"</w:t>
      </w:r>
      <w:r w:rsidRPr="004C6E3E">
        <w:rPr>
          <w:rStyle w:val="FootnoteReference"/>
          <w:rFonts w:ascii="Times New Roman" w:hAnsi="Times New Roman"/>
          <w:sz w:val="24"/>
        </w:rPr>
        <w:footnoteReference w:id="233"/>
      </w:r>
      <w:r w:rsidRPr="004C6E3E">
        <w:rPr>
          <w:rFonts w:ascii="Times New Roman" w:hAnsi="Times New Roman"/>
        </w:rPr>
        <w:t xml:space="preserve"> (whether robbery</w:t>
      </w:r>
      <w:r w:rsidRPr="004C6E3E">
        <w:rPr>
          <w:rStyle w:val="FootnoteReference"/>
          <w:rFonts w:ascii="Times New Roman" w:hAnsi="Times New Roman"/>
          <w:sz w:val="24"/>
        </w:rPr>
        <w:footnoteReference w:id="234"/>
      </w:r>
      <w:r w:rsidRPr="004C6E3E">
        <w:rPr>
          <w:rFonts w:ascii="Times New Roman" w:hAnsi="Times New Roman"/>
        </w:rPr>
        <w:t xml:space="preserve"> or another "serious offence") who pose an unacceptable risk of committing a robbery in the future</w:t>
      </w:r>
      <w:r w:rsidRPr="004C6E3E">
        <w:rPr>
          <w:rStyle w:val="FootnoteReference"/>
          <w:rFonts w:ascii="Times New Roman" w:hAnsi="Times New Roman"/>
          <w:sz w:val="24"/>
        </w:rPr>
        <w:footnoteReference w:id="235"/>
      </w:r>
      <w:r w:rsidRPr="004C6E3E">
        <w:rPr>
          <w:rFonts w:ascii="Times New Roman" w:hAnsi="Times New Roman"/>
        </w:rPr>
        <w:t>; and (b) persons convicted of robbery who pose an unacceptable risk of committing a "serious offence" in the future (whether robbery or another "serious</w:t>
      </w:r>
      <w:r>
        <w:rPr>
          <w:rFonts w:ascii="Times New Roman" w:hAnsi="Times New Roman"/>
        </w:rPr>
        <w:t> </w:t>
      </w:r>
      <w:r w:rsidRPr="004C6E3E">
        <w:rPr>
          <w:rFonts w:ascii="Times New Roman" w:hAnsi="Times New Roman"/>
        </w:rPr>
        <w:t>offence").</w:t>
      </w:r>
    </w:p>
    <w:p w14:paraId="02636390" w14:textId="77777777" w:rsidR="00E3198A" w:rsidRPr="004C6E3E" w:rsidRDefault="00E3198A" w:rsidP="004C6E3E">
      <w:pPr>
        <w:pStyle w:val="HeadingL1"/>
        <w:spacing w:after="260" w:line="280" w:lineRule="exact"/>
        <w:ind w:right="0"/>
        <w:jc w:val="both"/>
        <w:rPr>
          <w:rFonts w:ascii="Times New Roman" w:hAnsi="Times New Roman"/>
        </w:rPr>
      </w:pPr>
      <w:r w:rsidRPr="004C6E3E">
        <w:rPr>
          <w:rFonts w:ascii="Times New Roman" w:hAnsi="Times New Roman"/>
        </w:rPr>
        <w:t xml:space="preserve">Ch III of the </w:t>
      </w:r>
      <w:r w:rsidRPr="004C6E3E">
        <w:rPr>
          <w:rFonts w:ascii="Times New Roman" w:hAnsi="Times New Roman"/>
          <w:i/>
        </w:rPr>
        <w:t>Constitution</w:t>
      </w:r>
      <w:r w:rsidRPr="004C6E3E">
        <w:rPr>
          <w:rFonts w:ascii="Times New Roman" w:hAnsi="Times New Roman"/>
        </w:rPr>
        <w:t xml:space="preserve">, </w:t>
      </w:r>
      <w:proofErr w:type="gramStart"/>
      <w:r w:rsidRPr="004C6E3E">
        <w:rPr>
          <w:rFonts w:ascii="Times New Roman" w:hAnsi="Times New Roman"/>
        </w:rPr>
        <w:t>liberty</w:t>
      </w:r>
      <w:proofErr w:type="gramEnd"/>
      <w:r w:rsidRPr="004C6E3E">
        <w:rPr>
          <w:rFonts w:ascii="Times New Roman" w:hAnsi="Times New Roman"/>
        </w:rPr>
        <w:t xml:space="preserve"> and punishment </w:t>
      </w:r>
    </w:p>
    <w:p w14:paraId="39EF36D9"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doctrine of separation of powers enshrined in Ch III of the </w:t>
      </w:r>
      <w:r w:rsidRPr="004C6E3E">
        <w:rPr>
          <w:rFonts w:ascii="Times New Roman" w:hAnsi="Times New Roman"/>
          <w:i/>
        </w:rPr>
        <w:t>Constitution</w:t>
      </w:r>
      <w:r>
        <w:rPr>
          <w:rFonts w:ascii="Times New Roman" w:hAnsi="Times New Roman"/>
        </w:rPr>
        <w:t> </w:t>
      </w:r>
      <w:r w:rsidRPr="004C6E3E">
        <w:rPr>
          <w:rFonts w:ascii="Times New Roman" w:hAnsi="Times New Roman"/>
        </w:rPr>
        <w:t>–</w:t>
      </w:r>
      <w:r w:rsidRPr="004C6E3E" w:rsidDel="00507E7B">
        <w:rPr>
          <w:rFonts w:ascii="Times New Roman" w:hAnsi="Times New Roman"/>
        </w:rPr>
        <w:t xml:space="preserve"> </w:t>
      </w:r>
      <w:r w:rsidRPr="004C6E3E">
        <w:rPr>
          <w:rFonts w:ascii="Times New Roman" w:hAnsi="Times New Roman"/>
        </w:rPr>
        <w:t>underpinned by and protecting the two core constitutional values discussed above – mandates "an allocation of the judicial power of the Commonwealth which is both exclusive and exhaustive"</w:t>
      </w:r>
      <w:r w:rsidRPr="004C6E3E">
        <w:rPr>
          <w:rStyle w:val="FootnoteReference"/>
          <w:rFonts w:ascii="Times New Roman" w:hAnsi="Times New Roman"/>
          <w:sz w:val="24"/>
        </w:rPr>
        <w:footnoteReference w:id="236"/>
      </w:r>
      <w:r w:rsidRPr="004C6E3E">
        <w:rPr>
          <w:rFonts w:ascii="Times New Roman" w:hAnsi="Times New Roman"/>
        </w:rPr>
        <w:t>.</w:t>
      </w:r>
    </w:p>
    <w:p w14:paraId="2917EAC4"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"Chapter III's separation of the judicial power of the Commonwealth to be exercisable only by courts 'was not a product of abstract reasoning </w:t>
      </w:r>
      <w:proofErr w:type="gramStart"/>
      <w:r w:rsidRPr="004C6E3E">
        <w:rPr>
          <w:rFonts w:ascii="Times New Roman" w:hAnsi="Times New Roman"/>
        </w:rPr>
        <w:t>alone, and</w:t>
      </w:r>
      <w:proofErr w:type="gramEnd"/>
      <w:r w:rsidRPr="004C6E3E">
        <w:rPr>
          <w:rFonts w:ascii="Times New Roman" w:hAnsi="Times New Roman"/>
        </w:rPr>
        <w:t xml:space="preserve"> was not based upon precise definitions of the terms employed'. Rather, it was 'based</w:t>
      </w:r>
      <w:r>
        <w:rPr>
          <w:rFonts w:ascii="Times New Roman" w:hAnsi="Times New Roman"/>
        </w:rPr>
        <w:t> </w:t>
      </w:r>
      <w:r w:rsidRPr="004C6E3E">
        <w:rPr>
          <w:rFonts w:ascii="Times New Roman" w:hAnsi="Times New Roman"/>
        </w:rPr>
        <w:t>upon observation of the experience of democratic states'"</w:t>
      </w:r>
      <w:r w:rsidRPr="004C6E3E">
        <w:rPr>
          <w:rStyle w:val="FootnoteReference"/>
          <w:rFonts w:ascii="Times New Roman" w:hAnsi="Times New Roman"/>
          <w:sz w:val="24"/>
        </w:rPr>
        <w:footnoteReference w:id="237"/>
      </w:r>
      <w:r w:rsidRPr="004C6E3E">
        <w:rPr>
          <w:rFonts w:ascii="Times New Roman" w:hAnsi="Times New Roman"/>
        </w:rPr>
        <w:t>. The separation of the different branches of government – itself a "safeguard of individual liberty"</w:t>
      </w:r>
      <w:r w:rsidRPr="004C6E3E">
        <w:rPr>
          <w:rStyle w:val="FootnoteReference"/>
          <w:rFonts w:ascii="Times New Roman" w:hAnsi="Times New Roman"/>
          <w:sz w:val="24"/>
        </w:rPr>
        <w:footnoteReference w:id="238"/>
      </w:r>
      <w:r w:rsidRPr="004C6E3E">
        <w:rPr>
          <w:rFonts w:ascii="Times New Roman" w:hAnsi="Times New Roman"/>
        </w:rPr>
        <w:t xml:space="preserve"> – was and remains achieved "by requiring a distinction to be maintained between powers described as legislative, executive and judicial", by reference "not</w:t>
      </w:r>
      <w:r>
        <w:rPr>
          <w:rFonts w:ascii="Times New Roman" w:hAnsi="Times New Roman"/>
        </w:rPr>
        <w:t> </w:t>
      </w:r>
      <w:r w:rsidRPr="004C6E3E">
        <w:rPr>
          <w:rFonts w:ascii="Times New Roman" w:hAnsi="Times New Roman"/>
        </w:rPr>
        <w:t>to fundamental functional differences between powers, but to distinctions … between classes of powers requiring different 'skills and professional habits' in the authorities entrusted with their exercise"</w:t>
      </w:r>
      <w:r w:rsidRPr="004C6E3E">
        <w:rPr>
          <w:rStyle w:val="FootnoteReference"/>
          <w:rFonts w:ascii="Times New Roman" w:hAnsi="Times New Roman"/>
          <w:sz w:val="24"/>
        </w:rPr>
        <w:footnoteReference w:id="239"/>
      </w:r>
      <w:r w:rsidRPr="004C6E3E">
        <w:rPr>
          <w:rFonts w:ascii="Times New Roman" w:hAnsi="Times New Roman"/>
        </w:rPr>
        <w:t>.</w:t>
      </w:r>
    </w:p>
    <w:p w14:paraId="15963A12"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lastRenderedPageBreak/>
        <w:tab/>
        <w:t xml:space="preserve">In the criminal law context, the different </w:t>
      </w:r>
      <w:proofErr w:type="gramStart"/>
      <w:r w:rsidRPr="004C6E3E">
        <w:rPr>
          <w:rFonts w:ascii="Times New Roman" w:hAnsi="Times New Roman"/>
        </w:rPr>
        <w:t>skills</w:t>
      </w:r>
      <w:proofErr w:type="gramEnd"/>
      <w:r w:rsidRPr="004C6E3E">
        <w:rPr>
          <w:rFonts w:ascii="Times New Roman" w:hAnsi="Times New Roman"/>
        </w:rPr>
        <w:t xml:space="preserve"> and professional habits of the legislature, Executive and judiciary are of fundamental importance. As</w:t>
      </w:r>
      <w:r>
        <w:rPr>
          <w:rFonts w:ascii="Times New Roman" w:hAnsi="Times New Roman"/>
        </w:rPr>
        <w:t> </w:t>
      </w:r>
      <w:r w:rsidRPr="004C6E3E">
        <w:rPr>
          <w:rFonts w:ascii="Times New Roman" w:hAnsi="Times New Roman"/>
        </w:rPr>
        <w:t xml:space="preserve">explained in </w:t>
      </w:r>
      <w:r w:rsidRPr="004C6E3E">
        <w:rPr>
          <w:rFonts w:ascii="Times New Roman" w:hAnsi="Times New Roman"/>
          <w:i/>
          <w:iCs/>
        </w:rPr>
        <w:t>Vella</w:t>
      </w:r>
      <w:r w:rsidRPr="004C6E3E">
        <w:rPr>
          <w:rStyle w:val="FootnoteReference"/>
          <w:rFonts w:ascii="Times New Roman" w:hAnsi="Times New Roman"/>
          <w:sz w:val="24"/>
        </w:rPr>
        <w:footnoteReference w:id="240"/>
      </w:r>
      <w:r w:rsidRPr="004C6E3E">
        <w:rPr>
          <w:rFonts w:ascii="Times New Roman" w:hAnsi="Times New Roman"/>
        </w:rPr>
        <w:t>:</w:t>
      </w:r>
    </w:p>
    <w:p w14:paraId="3F3E8859" w14:textId="77777777" w:rsidR="00E3198A" w:rsidRDefault="00E3198A" w:rsidP="004C6E3E">
      <w:pPr>
        <w:pStyle w:val="leftright"/>
        <w:spacing w:before="0" w:after="260" w:line="280" w:lineRule="exact"/>
        <w:ind w:right="0"/>
        <w:jc w:val="both"/>
        <w:rPr>
          <w:rFonts w:ascii="Times New Roman" w:hAnsi="Times New Roman"/>
        </w:rPr>
      </w:pPr>
      <w:r w:rsidRPr="004C6E3E">
        <w:rPr>
          <w:rFonts w:ascii="Times New Roman" w:hAnsi="Times New Roman"/>
        </w:rPr>
        <w:tab/>
        <w:t xml:space="preserve">"It is the </w:t>
      </w:r>
      <w:r w:rsidRPr="004C6E3E">
        <w:rPr>
          <w:rFonts w:ascii="Times New Roman" w:hAnsi="Times New Roman"/>
          <w:i/>
        </w:rPr>
        <w:t>legislature</w:t>
      </w:r>
      <w:r w:rsidRPr="004C6E3E">
        <w:rPr>
          <w:rFonts w:ascii="Times New Roman" w:hAnsi="Times New Roman"/>
        </w:rPr>
        <w:t xml:space="preserve"> that has the power, skills and resources to identify what conduct should be unlawful, to legislate to make that conduct unlawful and then to take any other steps the legislature considers necessary to reinforce the fact that, and to explain why, that conduct is now unlawful. It is the legislature that prescribes norms of conduct which govern the </w:t>
      </w:r>
      <w:proofErr w:type="gramStart"/>
      <w:r w:rsidRPr="004C6E3E">
        <w:rPr>
          <w:rFonts w:ascii="Times New Roman" w:hAnsi="Times New Roman"/>
        </w:rPr>
        <w:t>manner in which</w:t>
      </w:r>
      <w:proofErr w:type="gramEnd"/>
      <w:r w:rsidRPr="004C6E3E">
        <w:rPr>
          <w:rFonts w:ascii="Times New Roman" w:hAnsi="Times New Roman"/>
        </w:rPr>
        <w:t xml:space="preserve"> individuals are required to behave. It is the legislature that determines how best to protect the public against criminal behaviour by determining what conduct should be prohibited, how it should be punished, and what powers and resources the police force should have to detect and prevent crime." (</w:t>
      </w:r>
      <w:proofErr w:type="gramStart"/>
      <w:r w:rsidRPr="004C6E3E">
        <w:rPr>
          <w:rFonts w:ascii="Times New Roman" w:hAnsi="Times New Roman"/>
        </w:rPr>
        <w:t>emphasis</w:t>
      </w:r>
      <w:proofErr w:type="gramEnd"/>
      <w:r w:rsidRPr="004C6E3E">
        <w:rPr>
          <w:rFonts w:ascii="Times New Roman" w:hAnsi="Times New Roman"/>
        </w:rPr>
        <w:t xml:space="preserve"> added)</w:t>
      </w:r>
    </w:p>
    <w:p w14:paraId="5D01A6EE"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It is the </w:t>
      </w:r>
      <w:r w:rsidRPr="004C6E3E">
        <w:rPr>
          <w:rFonts w:ascii="Times New Roman" w:hAnsi="Times New Roman"/>
          <w:i/>
        </w:rPr>
        <w:t>Executive</w:t>
      </w:r>
      <w:r w:rsidRPr="004C6E3E">
        <w:rPr>
          <w:rFonts w:ascii="Times New Roman" w:hAnsi="Times New Roman"/>
        </w:rPr>
        <w:t xml:space="preserve"> that executes the laws made by the Parliament</w:t>
      </w:r>
      <w:r w:rsidRPr="004C6E3E">
        <w:rPr>
          <w:rStyle w:val="FootnoteReference"/>
          <w:rFonts w:ascii="Times New Roman" w:hAnsi="Times New Roman"/>
          <w:sz w:val="24"/>
        </w:rPr>
        <w:footnoteReference w:id="241"/>
      </w:r>
      <w:r w:rsidRPr="004C6E3E">
        <w:rPr>
          <w:rFonts w:ascii="Times New Roman" w:hAnsi="Times New Roman"/>
        </w:rPr>
        <w:t>. In the criminal law context, the Executive is responsible for law enforcement</w:t>
      </w:r>
      <w:r w:rsidRPr="004C6E3E">
        <w:rPr>
          <w:rStyle w:val="FootnoteReference"/>
          <w:rFonts w:ascii="Times New Roman" w:hAnsi="Times New Roman"/>
          <w:sz w:val="24"/>
        </w:rPr>
        <w:footnoteReference w:id="242"/>
      </w:r>
      <w:r w:rsidRPr="004C6E3E">
        <w:rPr>
          <w:rFonts w:ascii="Times New Roman" w:hAnsi="Times New Roman"/>
        </w:rPr>
        <w:t>, policing</w:t>
      </w:r>
      <w:r>
        <w:rPr>
          <w:rFonts w:ascii="Times New Roman" w:hAnsi="Times New Roman"/>
        </w:rPr>
        <w:t> </w:t>
      </w:r>
      <w:r w:rsidRPr="004C6E3E">
        <w:rPr>
          <w:rFonts w:ascii="Times New Roman" w:hAnsi="Times New Roman"/>
        </w:rPr>
        <w:t>and detecting crime</w:t>
      </w:r>
      <w:r w:rsidRPr="004C6E3E">
        <w:rPr>
          <w:rStyle w:val="FootnoteReference"/>
          <w:rFonts w:ascii="Times New Roman" w:hAnsi="Times New Roman"/>
          <w:sz w:val="24"/>
        </w:rPr>
        <w:footnoteReference w:id="243"/>
      </w:r>
      <w:r w:rsidRPr="004C6E3E">
        <w:rPr>
          <w:rFonts w:ascii="Times New Roman" w:hAnsi="Times New Roman"/>
        </w:rPr>
        <w:t>, preventing the commission of crime to the extent possible</w:t>
      </w:r>
      <w:r w:rsidRPr="004C6E3E">
        <w:rPr>
          <w:rStyle w:val="FootnoteReference"/>
          <w:rFonts w:ascii="Times New Roman" w:hAnsi="Times New Roman"/>
          <w:sz w:val="24"/>
        </w:rPr>
        <w:footnoteReference w:id="244"/>
      </w:r>
      <w:r w:rsidRPr="004C6E3E">
        <w:rPr>
          <w:rFonts w:ascii="Times New Roman" w:hAnsi="Times New Roman"/>
        </w:rPr>
        <w:t xml:space="preserve"> and executing sentences imposed by courts as punishment for criminal offences</w:t>
      </w:r>
      <w:r w:rsidRPr="004C6E3E">
        <w:rPr>
          <w:rStyle w:val="FootnoteReference"/>
          <w:rFonts w:ascii="Times New Roman" w:hAnsi="Times New Roman"/>
          <w:sz w:val="24"/>
        </w:rPr>
        <w:footnoteReference w:id="245"/>
      </w:r>
      <w:r w:rsidRPr="004C6E3E">
        <w:rPr>
          <w:rFonts w:ascii="Times New Roman" w:hAnsi="Times New Roman"/>
        </w:rPr>
        <w:t>. It is the Executive that has the skills and professional habits to undertake those functions.</w:t>
      </w:r>
    </w:p>
    <w:p w14:paraId="236DE82E"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lastRenderedPageBreak/>
        <w:tab/>
        <w:t>Adjudgment and punishment of criminal guilt, on the other hand, is an exclusively judicial function</w:t>
      </w:r>
      <w:r w:rsidRPr="004C6E3E">
        <w:rPr>
          <w:rStyle w:val="FootnoteReference"/>
          <w:rFonts w:ascii="Times New Roman" w:hAnsi="Times New Roman"/>
          <w:sz w:val="24"/>
        </w:rPr>
        <w:footnoteReference w:id="246"/>
      </w:r>
      <w:r w:rsidRPr="004C6E3E">
        <w:rPr>
          <w:rFonts w:ascii="Times New Roman" w:hAnsi="Times New Roman"/>
        </w:rPr>
        <w:t>. Although judicial power is not susceptible to an exhaustive or exclusive definition</w:t>
      </w:r>
      <w:r w:rsidRPr="004C6E3E">
        <w:rPr>
          <w:rStyle w:val="FootnoteReference"/>
          <w:rFonts w:ascii="Times New Roman" w:hAnsi="Times New Roman"/>
          <w:sz w:val="24"/>
        </w:rPr>
        <w:footnoteReference w:id="247"/>
      </w:r>
      <w:r w:rsidRPr="004C6E3E">
        <w:rPr>
          <w:rFonts w:ascii="Times New Roman" w:hAnsi="Times New Roman"/>
        </w:rPr>
        <w:t>, it is at its core "the power which every sovereign authority must of necessity have to decide controversies between its subjects, or between itself and its subjects, whether the rights relate to life, liberty</w:t>
      </w:r>
      <w:r>
        <w:rPr>
          <w:rFonts w:ascii="Times New Roman" w:hAnsi="Times New Roman"/>
        </w:rPr>
        <w:t> </w:t>
      </w:r>
      <w:r w:rsidRPr="004C6E3E">
        <w:rPr>
          <w:rFonts w:ascii="Times New Roman" w:hAnsi="Times New Roman"/>
        </w:rPr>
        <w:t>or property"</w:t>
      </w:r>
      <w:r w:rsidRPr="004C6E3E">
        <w:rPr>
          <w:rStyle w:val="FootnoteReference"/>
          <w:rFonts w:ascii="Times New Roman" w:hAnsi="Times New Roman"/>
          <w:sz w:val="24"/>
        </w:rPr>
        <w:footnoteReference w:id="248"/>
      </w:r>
      <w:r w:rsidRPr="004C6E3E">
        <w:rPr>
          <w:rFonts w:ascii="Times New Roman" w:hAnsi="Times New Roman"/>
        </w:rPr>
        <w:t xml:space="preserve">. The standard incidents of the exercise of judicial power in the adjudgment and punishment of criminal guilt for an offence are "founded on deeply rooted notions of the relationship of the individual to the state going to the character of the national polity created and sustained by the </w:t>
      </w:r>
      <w:r w:rsidRPr="004C6E3E">
        <w:rPr>
          <w:rFonts w:ascii="Times New Roman" w:hAnsi="Times New Roman"/>
          <w:i/>
        </w:rPr>
        <w:t>Constitution</w:t>
      </w:r>
      <w:r w:rsidRPr="004C6E3E">
        <w:rPr>
          <w:rFonts w:ascii="Times New Roman" w:hAnsi="Times New Roman"/>
        </w:rPr>
        <w:t>"</w:t>
      </w:r>
      <w:r w:rsidRPr="004C6E3E">
        <w:rPr>
          <w:rStyle w:val="FootnoteReference"/>
          <w:rFonts w:ascii="Times New Roman" w:hAnsi="Times New Roman"/>
          <w:sz w:val="24"/>
        </w:rPr>
        <w:footnoteReference w:id="249"/>
      </w:r>
      <w:r w:rsidRPr="004C6E3E">
        <w:rPr>
          <w:rFonts w:ascii="Times New Roman" w:hAnsi="Times New Roman"/>
        </w:rPr>
        <w:t>. As</w:t>
      </w:r>
      <w:r>
        <w:rPr>
          <w:rFonts w:ascii="Times New Roman" w:hAnsi="Times New Roman"/>
        </w:rPr>
        <w:t> </w:t>
      </w:r>
      <w:r w:rsidRPr="004C6E3E">
        <w:rPr>
          <w:rFonts w:ascii="Times New Roman" w:hAnsi="Times New Roman"/>
        </w:rPr>
        <w:t xml:space="preserve">Gageler J explained in </w:t>
      </w:r>
      <w:r w:rsidRPr="004C6E3E">
        <w:rPr>
          <w:rFonts w:ascii="Times New Roman" w:hAnsi="Times New Roman"/>
          <w:i/>
        </w:rPr>
        <w:t xml:space="preserve">Minister for Home Affairs v </w:t>
      </w:r>
      <w:proofErr w:type="spellStart"/>
      <w:r w:rsidRPr="004C6E3E">
        <w:rPr>
          <w:rFonts w:ascii="Times New Roman" w:hAnsi="Times New Roman"/>
          <w:i/>
        </w:rPr>
        <w:t>Benbrika</w:t>
      </w:r>
      <w:proofErr w:type="spellEnd"/>
      <w:r w:rsidRPr="004C6E3E">
        <w:rPr>
          <w:rStyle w:val="FootnoteReference"/>
          <w:rFonts w:ascii="Times New Roman" w:hAnsi="Times New Roman"/>
          <w:sz w:val="24"/>
        </w:rPr>
        <w:footnoteReference w:id="250"/>
      </w:r>
      <w:r w:rsidRPr="004C6E3E">
        <w:rPr>
          <w:rFonts w:ascii="Times New Roman" w:hAnsi="Times New Roman"/>
        </w:rPr>
        <w:t xml:space="preserve">, in the "[t]rial </w:t>
      </w:r>
      <w:r w:rsidRPr="004C6E3E">
        <w:rPr>
          <w:rFonts w:ascii="Times New Roman" w:hAnsi="Times New Roman"/>
        </w:rPr>
        <w:lastRenderedPageBreak/>
        <w:t>of an individual for an offence at the instigation of the executive, whether by jury or by judge alone, ... [t]he judiciary is called on ... to hear and authoritatively determine a controversy about an existing liability of the individual which is claimed by the executive to arise solely from the operation of some positive law on some past event or conduct". It is only if the determination of the controversy is by conviction that the individual may be deprived of their liberty pursuant to judicial pronouncement of a sentence</w:t>
      </w:r>
      <w:r w:rsidRPr="004C6E3E">
        <w:rPr>
          <w:rStyle w:val="FootnoteReference"/>
          <w:rFonts w:ascii="Times New Roman" w:hAnsi="Times New Roman"/>
          <w:sz w:val="24"/>
        </w:rPr>
        <w:footnoteReference w:id="251"/>
      </w:r>
      <w:r w:rsidRPr="004C6E3E">
        <w:rPr>
          <w:rFonts w:ascii="Times New Roman" w:hAnsi="Times New Roman"/>
        </w:rPr>
        <w:t>.</w:t>
      </w:r>
    </w:p>
    <w:p w14:paraId="4A70FFE2"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Those characteristics of "judicial power" and of the judiciary (the institution qualified to exercise it) "are deeply rooted in a tradition within which judicial protection of individual liberty against legislative or executive incursion has been a core value"</w:t>
      </w:r>
      <w:r w:rsidRPr="004C6E3E">
        <w:rPr>
          <w:rStyle w:val="FootnoteReference"/>
          <w:rFonts w:ascii="Times New Roman" w:hAnsi="Times New Roman"/>
          <w:sz w:val="24"/>
        </w:rPr>
        <w:footnoteReference w:id="252"/>
      </w:r>
      <w:r w:rsidRPr="004C6E3E">
        <w:rPr>
          <w:rFonts w:ascii="Times New Roman" w:hAnsi="Times New Roman"/>
        </w:rPr>
        <w:t>. The Court, therefore, must be cognisant of, and vigilant to protect against, laws that are corrosive to or erode those key rationales – or constitutional values – underpinning the separation of judicial power. That cognisance and vigilance is not limited to laws that involve some overt or "outright conscription"</w:t>
      </w:r>
      <w:r w:rsidRPr="004C6E3E">
        <w:rPr>
          <w:rStyle w:val="FootnoteReference"/>
          <w:rFonts w:ascii="Times New Roman" w:hAnsi="Times New Roman"/>
          <w:sz w:val="24"/>
        </w:rPr>
        <w:footnoteReference w:id="253"/>
      </w:r>
      <w:r w:rsidRPr="004C6E3E">
        <w:rPr>
          <w:rFonts w:ascii="Times New Roman" w:hAnsi="Times New Roman"/>
        </w:rPr>
        <w:t xml:space="preserve"> of the judiciary to do the work of the legislative or executive branches of government. The Court must be cognisant of, and vigilant to protect against, "the creeping normalisation of piecemeal borrowing of judicial services to do the work of the legislature or the executive" that gradually erodes judicial independence</w:t>
      </w:r>
      <w:r w:rsidRPr="004C6E3E">
        <w:rPr>
          <w:rStyle w:val="FootnoteReference"/>
          <w:rFonts w:ascii="Times New Roman" w:hAnsi="Times New Roman"/>
          <w:sz w:val="24"/>
        </w:rPr>
        <w:footnoteReference w:id="254"/>
      </w:r>
      <w:r w:rsidRPr="004C6E3E">
        <w:rPr>
          <w:rFonts w:ascii="Times New Roman" w:hAnsi="Times New Roman"/>
        </w:rPr>
        <w:t>.</w:t>
      </w:r>
    </w:p>
    <w:p w14:paraId="6C154C67" w14:textId="77777777" w:rsidR="00E3198A" w:rsidRPr="004C6E3E" w:rsidRDefault="00E3198A" w:rsidP="004C6E3E">
      <w:pPr>
        <w:pStyle w:val="HeadingL2"/>
        <w:spacing w:after="260" w:line="280" w:lineRule="exact"/>
        <w:ind w:right="0"/>
        <w:jc w:val="both"/>
        <w:rPr>
          <w:rFonts w:ascii="Times New Roman" w:hAnsi="Times New Roman"/>
        </w:rPr>
      </w:pPr>
      <w:r w:rsidRPr="004C6E3E">
        <w:rPr>
          <w:rFonts w:ascii="Times New Roman" w:hAnsi="Times New Roman"/>
        </w:rPr>
        <w:t>Lim</w:t>
      </w:r>
    </w:p>
    <w:p w14:paraId="0820FA51"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It is the two key rationales – or constitutional values – that underpin and are protected by Ch III's strict separation of federal judicial power that are reflected in the principle articulated in </w:t>
      </w:r>
      <w:r w:rsidRPr="004C6E3E">
        <w:rPr>
          <w:rFonts w:ascii="Times New Roman" w:hAnsi="Times New Roman"/>
          <w:i/>
          <w:iCs/>
        </w:rPr>
        <w:t xml:space="preserve">Chu Kheng </w:t>
      </w:r>
      <w:r w:rsidRPr="004C6E3E">
        <w:rPr>
          <w:rFonts w:ascii="Times New Roman" w:hAnsi="Times New Roman"/>
          <w:i/>
        </w:rPr>
        <w:t>Lim</w:t>
      </w:r>
      <w:r w:rsidRPr="004C6E3E">
        <w:rPr>
          <w:rFonts w:ascii="Times New Roman" w:hAnsi="Times New Roman"/>
        </w:rPr>
        <w:t xml:space="preserve"> </w:t>
      </w:r>
      <w:r w:rsidRPr="004C6E3E">
        <w:rPr>
          <w:rFonts w:ascii="Times New Roman" w:hAnsi="Times New Roman"/>
          <w:i/>
          <w:iCs/>
        </w:rPr>
        <w:t xml:space="preserve">v Minister for Immigration, </w:t>
      </w:r>
      <w:r w:rsidRPr="004C6E3E">
        <w:rPr>
          <w:rFonts w:ascii="Times New Roman" w:hAnsi="Times New Roman"/>
          <w:i/>
          <w:iCs/>
        </w:rPr>
        <w:lastRenderedPageBreak/>
        <w:t>Local</w:t>
      </w:r>
      <w:r>
        <w:rPr>
          <w:rFonts w:ascii="Times New Roman" w:hAnsi="Times New Roman"/>
          <w:i/>
          <w:iCs/>
        </w:rPr>
        <w:t> </w:t>
      </w:r>
      <w:r w:rsidRPr="004C6E3E">
        <w:rPr>
          <w:rFonts w:ascii="Times New Roman" w:hAnsi="Times New Roman"/>
          <w:i/>
          <w:iCs/>
        </w:rPr>
        <w:t>Government and Ethnic Affairs</w:t>
      </w:r>
      <w:r w:rsidRPr="004C6E3E">
        <w:rPr>
          <w:rStyle w:val="FootnoteReference"/>
          <w:rFonts w:ascii="Times New Roman" w:hAnsi="Times New Roman"/>
          <w:sz w:val="24"/>
        </w:rPr>
        <w:footnoteReference w:id="255"/>
      </w:r>
      <w:r w:rsidRPr="004C6E3E">
        <w:rPr>
          <w:rFonts w:ascii="Times New Roman" w:hAnsi="Times New Roman"/>
        </w:rPr>
        <w:t xml:space="preserve">. For present purposes, the central principle derived from </w:t>
      </w:r>
      <w:r w:rsidRPr="004C6E3E">
        <w:rPr>
          <w:rFonts w:ascii="Times New Roman" w:hAnsi="Times New Roman"/>
          <w:i/>
        </w:rPr>
        <w:t>Lim</w:t>
      </w:r>
      <w:r w:rsidRPr="004C6E3E">
        <w:rPr>
          <w:rFonts w:ascii="Times New Roman" w:hAnsi="Times New Roman"/>
        </w:rPr>
        <w:t xml:space="preserve"> "is that involuntary detention in custody by the State is inherently penal or punitive in character, and thus cannot be imposed other than as an incident of adjudging and punishing criminal guilt unless one of the recognised exceptions applies; '[it] exists only as an incident of the exclusively judicial function of adjudging and punishing criminal guilt'"</w:t>
      </w:r>
      <w:r w:rsidRPr="004C6E3E">
        <w:rPr>
          <w:rStyle w:val="FootnoteReference"/>
          <w:rFonts w:ascii="Times New Roman" w:hAnsi="Times New Roman"/>
          <w:sz w:val="24"/>
        </w:rPr>
        <w:footnoteReference w:id="256"/>
      </w:r>
      <w:r w:rsidRPr="004C6E3E">
        <w:rPr>
          <w:rFonts w:ascii="Times New Roman" w:hAnsi="Times New Roman"/>
        </w:rPr>
        <w:t>.</w:t>
      </w:r>
    </w:p>
    <w:p w14:paraId="742FA24E"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Where a law authorises detention in custody, the "default characterisation" is that the detention is penal or punitive</w:t>
      </w:r>
      <w:r w:rsidRPr="004C6E3E">
        <w:rPr>
          <w:rStyle w:val="FootnoteReference"/>
          <w:rFonts w:ascii="Times New Roman" w:hAnsi="Times New Roman"/>
          <w:sz w:val="24"/>
        </w:rPr>
        <w:footnoteReference w:id="257"/>
      </w:r>
      <w:r w:rsidRPr="004C6E3E">
        <w:rPr>
          <w:rFonts w:ascii="Times New Roman" w:hAnsi="Times New Roman"/>
        </w:rPr>
        <w:t>. What is punitive in nature about involuntary detention is the deprivation of liberty</w:t>
      </w:r>
      <w:r w:rsidRPr="004C6E3E">
        <w:rPr>
          <w:rStyle w:val="FootnoteReference"/>
          <w:rFonts w:ascii="Times New Roman" w:hAnsi="Times New Roman"/>
          <w:sz w:val="24"/>
        </w:rPr>
        <w:footnoteReference w:id="258"/>
      </w:r>
      <w:r w:rsidRPr="004C6E3E">
        <w:rPr>
          <w:rFonts w:ascii="Times New Roman" w:hAnsi="Times New Roman"/>
        </w:rPr>
        <w:t>. And it is the involuntary deprivation of liberty by itself that ordinarily constitutes punishment</w:t>
      </w:r>
      <w:r w:rsidRPr="004C6E3E">
        <w:rPr>
          <w:rStyle w:val="FootnoteReference"/>
          <w:rFonts w:ascii="Times New Roman" w:hAnsi="Times New Roman"/>
          <w:sz w:val="24"/>
        </w:rPr>
        <w:footnoteReference w:id="259"/>
      </w:r>
      <w:r w:rsidRPr="004C6E3E">
        <w:rPr>
          <w:rFonts w:ascii="Times New Roman" w:hAnsi="Times New Roman"/>
        </w:rPr>
        <w:t>. "Punishment is punishment, whether it is imposed in vindication or for remedial or coercive purposes. And there can be no doubt that imprisonment ... constitute[s]</w:t>
      </w:r>
      <w:r>
        <w:rPr>
          <w:rFonts w:ascii="Times New Roman" w:hAnsi="Times New Roman"/>
        </w:rPr>
        <w:t> </w:t>
      </w:r>
      <w:r w:rsidRPr="004C6E3E">
        <w:rPr>
          <w:rFonts w:ascii="Times New Roman" w:hAnsi="Times New Roman"/>
        </w:rPr>
        <w:t>punishment"</w:t>
      </w:r>
      <w:r w:rsidRPr="004C6E3E">
        <w:rPr>
          <w:rStyle w:val="FootnoteReference"/>
          <w:rFonts w:ascii="Times New Roman" w:hAnsi="Times New Roman"/>
          <w:sz w:val="24"/>
        </w:rPr>
        <w:footnoteReference w:id="260"/>
      </w:r>
      <w:r w:rsidRPr="004C6E3E">
        <w:rPr>
          <w:rFonts w:ascii="Times New Roman" w:hAnsi="Times New Roman"/>
        </w:rPr>
        <w:t>.</w:t>
      </w:r>
    </w:p>
    <w:p w14:paraId="627282F8"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There are some exceptional cases where detention other than as punishment for breach of a law may be authorised, such as in the context of mental illness or infectious disease, or to secure attendance at trial for an offence</w:t>
      </w:r>
      <w:r w:rsidRPr="004C6E3E">
        <w:rPr>
          <w:rStyle w:val="FootnoteReference"/>
          <w:rFonts w:ascii="Times New Roman" w:hAnsi="Times New Roman"/>
          <w:sz w:val="24"/>
        </w:rPr>
        <w:footnoteReference w:id="261"/>
      </w:r>
      <w:r w:rsidRPr="004C6E3E">
        <w:rPr>
          <w:rFonts w:ascii="Times New Roman" w:hAnsi="Times New Roman"/>
        </w:rPr>
        <w:t xml:space="preserve">. </w:t>
      </w:r>
      <w:r w:rsidRPr="004C6E3E">
        <w:rPr>
          <w:rFonts w:ascii="Times New Roman" w:hAnsi="Times New Roman"/>
        </w:rPr>
        <w:lastRenderedPageBreak/>
        <w:t>Another</w:t>
      </w:r>
      <w:r>
        <w:rPr>
          <w:rFonts w:ascii="Times New Roman" w:hAnsi="Times New Roman"/>
        </w:rPr>
        <w:t> </w:t>
      </w:r>
      <w:r w:rsidRPr="004C6E3E">
        <w:rPr>
          <w:rFonts w:ascii="Times New Roman" w:hAnsi="Times New Roman"/>
        </w:rPr>
        <w:t xml:space="preserve">exceptional category, reflected in the outcome in </w:t>
      </w:r>
      <w:r w:rsidRPr="004C6E3E">
        <w:rPr>
          <w:rFonts w:ascii="Times New Roman" w:hAnsi="Times New Roman"/>
          <w:i/>
          <w:iCs/>
        </w:rPr>
        <w:t>Lim</w:t>
      </w:r>
      <w:r w:rsidRPr="004C6E3E">
        <w:rPr>
          <w:rStyle w:val="FootnoteReference"/>
          <w:rFonts w:ascii="Times New Roman" w:hAnsi="Times New Roman"/>
          <w:sz w:val="24"/>
        </w:rPr>
        <w:footnoteReference w:id="262"/>
      </w:r>
      <w:r w:rsidRPr="004C6E3E">
        <w:rPr>
          <w:rFonts w:ascii="Times New Roman" w:hAnsi="Times New Roman"/>
        </w:rPr>
        <w:t>, is executive detention, pursuant to statutory power, of a person unlawfully in Australia, pending</w:t>
      </w:r>
      <w:r>
        <w:rPr>
          <w:rFonts w:ascii="Times New Roman" w:hAnsi="Times New Roman"/>
        </w:rPr>
        <w:t> </w:t>
      </w:r>
      <w:r w:rsidRPr="004C6E3E">
        <w:rPr>
          <w:rFonts w:ascii="Times New Roman" w:hAnsi="Times New Roman"/>
        </w:rPr>
        <w:t>either expulsion from Australia or grant of permission to remain in Australia.</w:t>
      </w:r>
      <w:r>
        <w:rPr>
          <w:rFonts w:ascii="Times New Roman" w:hAnsi="Times New Roman"/>
        </w:rPr>
        <w:t> </w:t>
      </w:r>
      <w:r w:rsidRPr="004C6E3E">
        <w:rPr>
          <w:rFonts w:ascii="Times New Roman" w:hAnsi="Times New Roman"/>
        </w:rPr>
        <w:t>It</w:t>
      </w:r>
      <w:r>
        <w:rPr>
          <w:rFonts w:ascii="Times New Roman" w:hAnsi="Times New Roman"/>
        </w:rPr>
        <w:t> </w:t>
      </w:r>
      <w:r w:rsidRPr="004C6E3E">
        <w:rPr>
          <w:rFonts w:ascii="Times New Roman" w:hAnsi="Times New Roman"/>
        </w:rPr>
        <w:t>may be accepted that the exceptions do not fall within "precise and confined categories"</w:t>
      </w:r>
      <w:r w:rsidRPr="004C6E3E">
        <w:rPr>
          <w:rStyle w:val="FootnoteReference"/>
          <w:rFonts w:ascii="Times New Roman" w:hAnsi="Times New Roman"/>
          <w:sz w:val="24"/>
        </w:rPr>
        <w:footnoteReference w:id="263"/>
      </w:r>
      <w:r w:rsidRPr="004C6E3E">
        <w:rPr>
          <w:rFonts w:ascii="Times New Roman" w:hAnsi="Times New Roman"/>
        </w:rPr>
        <w:t xml:space="preserve"> and that the categories of exceptional cases are not closed</w:t>
      </w:r>
      <w:r w:rsidRPr="004C6E3E">
        <w:rPr>
          <w:rStyle w:val="FootnoteReference"/>
          <w:rFonts w:ascii="Times New Roman" w:hAnsi="Times New Roman"/>
          <w:sz w:val="24"/>
        </w:rPr>
        <w:footnoteReference w:id="264"/>
      </w:r>
      <w:r w:rsidRPr="004C6E3E">
        <w:rPr>
          <w:rFonts w:ascii="Times New Roman" w:hAnsi="Times New Roman"/>
        </w:rPr>
        <w:t>.</w:t>
      </w:r>
    </w:p>
    <w:p w14:paraId="5E174F04"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Reflecting "both the strict separation of Commonwealth judicial power from executive and legislative power inherent in the text and structure of the </w:t>
      </w:r>
      <w:r w:rsidRPr="004C6E3E">
        <w:rPr>
          <w:rFonts w:ascii="Times New Roman" w:hAnsi="Times New Roman"/>
          <w:i/>
        </w:rPr>
        <w:t>Constitution</w:t>
      </w:r>
      <w:r w:rsidRPr="004C6E3E">
        <w:rPr>
          <w:rFonts w:ascii="Times New Roman" w:hAnsi="Times New Roman"/>
        </w:rPr>
        <w:t xml:space="preserve"> and the values protected by that separation"</w:t>
      </w:r>
      <w:r w:rsidRPr="004C6E3E">
        <w:rPr>
          <w:rStyle w:val="FootnoteReference"/>
          <w:rFonts w:ascii="Times New Roman" w:hAnsi="Times New Roman"/>
          <w:sz w:val="24"/>
        </w:rPr>
        <w:footnoteReference w:id="265"/>
      </w:r>
      <w:r w:rsidRPr="004C6E3E">
        <w:rPr>
          <w:rFonts w:ascii="Times New Roman" w:hAnsi="Times New Roman"/>
        </w:rPr>
        <w:t>, exceptional cases aside, "the involuntary detention of a citizen in custody by the State is permissible only as a consequential step in the adjudication of criminal guilt of that citizen for past acts"</w:t>
      </w:r>
      <w:r w:rsidRPr="004C6E3E">
        <w:rPr>
          <w:rStyle w:val="FootnoteReference"/>
          <w:rFonts w:ascii="Times New Roman" w:hAnsi="Times New Roman"/>
          <w:sz w:val="24"/>
        </w:rPr>
        <w:footnoteReference w:id="266"/>
      </w:r>
      <w:r w:rsidRPr="004C6E3E">
        <w:rPr>
          <w:rFonts w:ascii="Times New Roman" w:hAnsi="Times New Roman"/>
        </w:rPr>
        <w:t>. That is a limitation on power inherent in the division of powers</w:t>
      </w:r>
      <w:r w:rsidRPr="004C6E3E">
        <w:rPr>
          <w:rStyle w:val="FootnoteReference"/>
          <w:rFonts w:ascii="Times New Roman" w:hAnsi="Times New Roman"/>
          <w:sz w:val="24"/>
        </w:rPr>
        <w:footnoteReference w:id="267"/>
      </w:r>
      <w:r w:rsidRPr="004C6E3E">
        <w:rPr>
          <w:rFonts w:ascii="Times New Roman" w:hAnsi="Times New Roman"/>
        </w:rPr>
        <w:t>.</w:t>
      </w:r>
    </w:p>
    <w:p w14:paraId="3F3F2E03"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In </w:t>
      </w:r>
      <w:proofErr w:type="spellStart"/>
      <w:r w:rsidRPr="004C6E3E">
        <w:rPr>
          <w:rFonts w:ascii="Times New Roman" w:hAnsi="Times New Roman"/>
          <w:i/>
        </w:rPr>
        <w:t>Benbrika</w:t>
      </w:r>
      <w:proofErr w:type="spellEnd"/>
      <w:r w:rsidRPr="004C6E3E">
        <w:rPr>
          <w:rStyle w:val="FootnoteReference"/>
          <w:rFonts w:ascii="Times New Roman" w:hAnsi="Times New Roman"/>
          <w:sz w:val="24"/>
        </w:rPr>
        <w:footnoteReference w:id="268"/>
      </w:r>
      <w:r w:rsidRPr="004C6E3E">
        <w:rPr>
          <w:rFonts w:ascii="Times New Roman" w:hAnsi="Times New Roman"/>
        </w:rPr>
        <w:t>, the plurality stated that "[</w:t>
      </w:r>
      <w:proofErr w:type="spellStart"/>
      <w:r w:rsidRPr="004C6E3E">
        <w:rPr>
          <w:rFonts w:ascii="Times New Roman" w:hAnsi="Times New Roman"/>
        </w:rPr>
        <w:t>i</w:t>
      </w:r>
      <w:proofErr w:type="spellEnd"/>
      <w:r w:rsidRPr="004C6E3E">
        <w:rPr>
          <w:rFonts w:ascii="Times New Roman" w:hAnsi="Times New Roman"/>
        </w:rPr>
        <w:t xml:space="preserve">]t is the protective purpose that qualifies a power as an exception to a principle that is recognised under our system of government as a safeguard on liberty". But, consistently with Ch III of the </w:t>
      </w:r>
      <w:r w:rsidRPr="004C6E3E">
        <w:rPr>
          <w:rFonts w:ascii="Times New Roman" w:hAnsi="Times New Roman"/>
          <w:i/>
        </w:rPr>
        <w:t>Constitution</w:t>
      </w:r>
      <w:r w:rsidRPr="004C6E3E">
        <w:rPr>
          <w:rFonts w:ascii="Times New Roman" w:hAnsi="Times New Roman"/>
        </w:rPr>
        <w:t>, that cannot mean that any protective purpose, even when accompanied by a form of judicial process</w:t>
      </w:r>
      <w:r w:rsidRPr="004C6E3E">
        <w:rPr>
          <w:rStyle w:val="FootnoteReference"/>
          <w:rFonts w:ascii="Times New Roman" w:hAnsi="Times New Roman"/>
          <w:sz w:val="24"/>
        </w:rPr>
        <w:footnoteReference w:id="269"/>
      </w:r>
      <w:r w:rsidRPr="004C6E3E">
        <w:rPr>
          <w:rFonts w:ascii="Times New Roman" w:hAnsi="Times New Roman"/>
        </w:rPr>
        <w:t xml:space="preserve">, justifies the imposition of preventive detention as "exceptional". Nowhere in </w:t>
      </w:r>
      <w:r w:rsidRPr="004C6E3E">
        <w:rPr>
          <w:rFonts w:ascii="Times New Roman" w:hAnsi="Times New Roman"/>
          <w:i/>
          <w:iCs/>
        </w:rPr>
        <w:t>Lim</w:t>
      </w:r>
      <w:r w:rsidRPr="004C6E3E">
        <w:rPr>
          <w:rFonts w:ascii="Times New Roman" w:hAnsi="Times New Roman"/>
        </w:rPr>
        <w:t xml:space="preserve"> was it suggested, expressly or </w:t>
      </w:r>
      <w:r w:rsidRPr="004C6E3E">
        <w:rPr>
          <w:rFonts w:ascii="Times New Roman" w:hAnsi="Times New Roman"/>
        </w:rPr>
        <w:lastRenderedPageBreak/>
        <w:t>impliedly, that the exceptional category of cases where detention other than as punishment for breach of a law may be authorised extended generally to laws with a purpose of protecting the community from harm</w:t>
      </w:r>
      <w:r w:rsidRPr="004C6E3E">
        <w:rPr>
          <w:rStyle w:val="FootnoteReference"/>
          <w:rFonts w:ascii="Times New Roman" w:hAnsi="Times New Roman"/>
          <w:sz w:val="24"/>
        </w:rPr>
        <w:footnoteReference w:id="270"/>
      </w:r>
      <w:r w:rsidRPr="004C6E3E">
        <w:rPr>
          <w:rFonts w:ascii="Times New Roman" w:hAnsi="Times New Roman"/>
        </w:rPr>
        <w:t>. The imposition of punishment for criminal wrongdoing is and must be subject to clear limits that protect the liberty of the individual from the exercise of one of the most extreme forms of public power. Preventive detention has the same punitive consequences and effects on the liberty of the individual as detention in custody as punishment for criminal offending and yet it is too often sought to be justified "by no more than passing reference to a poorly articulated claim that the general public has a right to protection"</w:t>
      </w:r>
      <w:r w:rsidRPr="004C6E3E">
        <w:rPr>
          <w:rStyle w:val="FootnoteReference"/>
          <w:rFonts w:ascii="Times New Roman" w:hAnsi="Times New Roman"/>
          <w:sz w:val="24"/>
        </w:rPr>
        <w:footnoteReference w:id="271"/>
      </w:r>
      <w:r w:rsidRPr="004C6E3E">
        <w:rPr>
          <w:rFonts w:ascii="Times New Roman" w:hAnsi="Times New Roman"/>
        </w:rPr>
        <w:t xml:space="preserve">. Neither a legislative assertion of a preventive purpose, nor the fact that it may be possible to characterise a power as having a purpose of protecting the public, can alone be determinative of compatibility with Ch III of the </w:t>
      </w:r>
      <w:r w:rsidRPr="004C6E3E">
        <w:rPr>
          <w:rFonts w:ascii="Times New Roman" w:hAnsi="Times New Roman"/>
          <w:i/>
          <w:iCs/>
        </w:rPr>
        <w:t>Constitution</w:t>
      </w:r>
      <w:r w:rsidRPr="004C6E3E">
        <w:rPr>
          <w:rStyle w:val="FootnoteReference"/>
          <w:rFonts w:ascii="Times New Roman" w:hAnsi="Times New Roman"/>
          <w:sz w:val="24"/>
        </w:rPr>
        <w:footnoteReference w:id="272"/>
      </w:r>
      <w:r w:rsidRPr="004C6E3E">
        <w:rPr>
          <w:rFonts w:ascii="Times New Roman" w:hAnsi="Times New Roman"/>
        </w:rPr>
        <w:t xml:space="preserve">. The plurality in </w:t>
      </w:r>
      <w:proofErr w:type="spellStart"/>
      <w:r w:rsidRPr="004C6E3E">
        <w:rPr>
          <w:rFonts w:ascii="Times New Roman" w:hAnsi="Times New Roman"/>
          <w:i/>
          <w:iCs/>
        </w:rPr>
        <w:t>Benbrika</w:t>
      </w:r>
      <w:proofErr w:type="spellEnd"/>
      <w:r w:rsidRPr="004C6E3E">
        <w:rPr>
          <w:rFonts w:ascii="Times New Roman" w:hAnsi="Times New Roman"/>
        </w:rPr>
        <w:t xml:space="preserve"> should not be understood as denying the possibility that a law with a protective purpose may "pursue that purpose in a manner incompatible with the doctrine [of separation of judicial power]"</w:t>
      </w:r>
      <w:r w:rsidRPr="004C6E3E">
        <w:rPr>
          <w:rStyle w:val="FootnoteReference"/>
          <w:rFonts w:ascii="Times New Roman" w:hAnsi="Times New Roman"/>
          <w:sz w:val="24"/>
        </w:rPr>
        <w:footnoteReference w:id="273"/>
      </w:r>
      <w:r w:rsidRPr="004C6E3E">
        <w:rPr>
          <w:rFonts w:ascii="Times New Roman" w:hAnsi="Times New Roman"/>
        </w:rPr>
        <w:t xml:space="preserve">. If the position </w:t>
      </w:r>
      <w:proofErr w:type="gramStart"/>
      <w:r w:rsidRPr="004C6E3E">
        <w:rPr>
          <w:rFonts w:ascii="Times New Roman" w:hAnsi="Times New Roman"/>
        </w:rPr>
        <w:t>were</w:t>
      </w:r>
      <w:proofErr w:type="gramEnd"/>
      <w:r w:rsidRPr="004C6E3E">
        <w:rPr>
          <w:rFonts w:ascii="Times New Roman" w:hAnsi="Times New Roman"/>
        </w:rPr>
        <w:t xml:space="preserve"> otherwise, there would be no meaningful limit on the exercise of coercive powers by the State to restrict individual liberty in the name of protection; overreach would be inevitable. The "exception" would deprive Ch III, and the separation of powers, of content</w:t>
      </w:r>
      <w:r w:rsidRPr="004C6E3E">
        <w:rPr>
          <w:rStyle w:val="FootnoteReference"/>
          <w:rFonts w:ascii="Times New Roman" w:hAnsi="Times New Roman"/>
          <w:sz w:val="24"/>
        </w:rPr>
        <w:footnoteReference w:id="274"/>
      </w:r>
      <w:r w:rsidRPr="004C6E3E">
        <w:rPr>
          <w:rFonts w:ascii="Times New Roman" w:hAnsi="Times New Roman"/>
        </w:rPr>
        <w:t>.</w:t>
      </w:r>
    </w:p>
    <w:p w14:paraId="75D4EF98"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There must, therefore, be a </w:t>
      </w:r>
      <w:r w:rsidRPr="004C6E3E">
        <w:rPr>
          <w:rFonts w:ascii="Times New Roman" w:hAnsi="Times New Roman"/>
          <w:i/>
        </w:rPr>
        <w:t>principled</w:t>
      </w:r>
      <w:r w:rsidRPr="004C6E3E">
        <w:rPr>
          <w:rFonts w:ascii="Times New Roman" w:hAnsi="Times New Roman"/>
        </w:rPr>
        <w:t xml:space="preserve"> limit on the extent to which a "protective" purpose can qualify a power to order detention in custody as an exception to the </w:t>
      </w:r>
      <w:r w:rsidRPr="004C6E3E">
        <w:rPr>
          <w:rFonts w:ascii="Times New Roman" w:hAnsi="Times New Roman"/>
          <w:i/>
        </w:rPr>
        <w:t xml:space="preserve">Lim </w:t>
      </w:r>
      <w:r w:rsidRPr="004C6E3E">
        <w:rPr>
          <w:rFonts w:ascii="Times New Roman" w:hAnsi="Times New Roman"/>
        </w:rPr>
        <w:t>principle</w:t>
      </w:r>
      <w:r w:rsidRPr="004C6E3E">
        <w:rPr>
          <w:rStyle w:val="FootnoteReference"/>
          <w:rFonts w:ascii="Times New Roman" w:hAnsi="Times New Roman"/>
          <w:sz w:val="24"/>
        </w:rPr>
        <w:footnoteReference w:id="275"/>
      </w:r>
      <w:r w:rsidRPr="004C6E3E">
        <w:rPr>
          <w:rFonts w:ascii="Times New Roman" w:hAnsi="Times New Roman"/>
        </w:rPr>
        <w:t>. Legislation that</w:t>
      </w:r>
      <w:r w:rsidRPr="004C6E3E" w:rsidDel="006B4D32">
        <w:rPr>
          <w:rFonts w:ascii="Times New Roman" w:hAnsi="Times New Roman"/>
        </w:rPr>
        <w:t xml:space="preserve"> </w:t>
      </w:r>
      <w:r w:rsidRPr="004C6E3E">
        <w:rPr>
          <w:rFonts w:ascii="Times New Roman" w:hAnsi="Times New Roman"/>
        </w:rPr>
        <w:t>confers power to constrain liberty according to what someone might do in the future lies outside the "general rule" that the exercise of judicial power settles for the future "a question as to the existence of a right or obligation, so that an exercise of the power creates a new charter by reference to which that question is in future to be decided"</w:t>
      </w:r>
      <w:r w:rsidRPr="004C6E3E">
        <w:rPr>
          <w:rStyle w:val="FootnoteReference"/>
          <w:rFonts w:ascii="Times New Roman" w:hAnsi="Times New Roman"/>
          <w:sz w:val="24"/>
        </w:rPr>
        <w:footnoteReference w:id="276"/>
      </w:r>
      <w:r w:rsidRPr="004C6E3E">
        <w:rPr>
          <w:rFonts w:ascii="Times New Roman" w:hAnsi="Times New Roman"/>
        </w:rPr>
        <w:t xml:space="preserve">. And while </w:t>
      </w:r>
      <w:r w:rsidRPr="004C6E3E">
        <w:rPr>
          <w:rFonts w:ascii="Times New Roman" w:hAnsi="Times New Roman"/>
        </w:rPr>
        <w:lastRenderedPageBreak/>
        <w:t>there might be strong policy reasons for courts to exercise such power</w:t>
      </w:r>
      <w:r w:rsidRPr="004C6E3E">
        <w:rPr>
          <w:rStyle w:val="FootnoteReference"/>
          <w:rFonts w:ascii="Times New Roman" w:hAnsi="Times New Roman"/>
          <w:sz w:val="24"/>
        </w:rPr>
        <w:footnoteReference w:id="277"/>
      </w:r>
      <w:r w:rsidRPr="004C6E3E">
        <w:rPr>
          <w:rFonts w:ascii="Times New Roman" w:hAnsi="Times New Roman"/>
        </w:rPr>
        <w:t>, "[w]here an exercise of a power conferred on a court settles no question as to the existence of any antecedent right or obligation yet results in an order imposing a new and enduring restriction on liberty, some special and compelling feature ought to be found to exist for its inclusion in the category of judicial power to be justified"</w:t>
      </w:r>
      <w:r w:rsidRPr="004C6E3E">
        <w:rPr>
          <w:rStyle w:val="FootnoteReference"/>
          <w:rFonts w:ascii="Times New Roman" w:hAnsi="Times New Roman"/>
          <w:sz w:val="24"/>
        </w:rPr>
        <w:footnoteReference w:id="278"/>
      </w:r>
      <w:r w:rsidRPr="004C6E3E">
        <w:rPr>
          <w:rFonts w:ascii="Times New Roman" w:hAnsi="Times New Roman"/>
        </w:rPr>
        <w:t>.</w:t>
      </w:r>
    </w:p>
    <w:p w14:paraId="04F89781" w14:textId="77777777" w:rsidR="00E3198A" w:rsidRPr="004C6E3E" w:rsidRDefault="00E3198A" w:rsidP="004C6E3E">
      <w:pPr>
        <w:pStyle w:val="HeadingL2"/>
        <w:spacing w:after="260" w:line="280" w:lineRule="exact"/>
        <w:ind w:right="0"/>
        <w:jc w:val="both"/>
        <w:rPr>
          <w:rFonts w:ascii="Times New Roman" w:hAnsi="Times New Roman"/>
        </w:rPr>
      </w:pPr>
      <w:r w:rsidRPr="004C6E3E">
        <w:rPr>
          <w:rFonts w:ascii="Times New Roman" w:hAnsi="Times New Roman"/>
        </w:rPr>
        <w:t>Kable and the relevance of Ch III and the Lim principle</w:t>
      </w:r>
    </w:p>
    <w:p w14:paraId="4FD8D7F3"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HRSO Act is State legislation. Its validity depends on limits on </w:t>
      </w:r>
      <w:r w:rsidRPr="004C6E3E">
        <w:rPr>
          <w:rFonts w:ascii="Times New Roman" w:hAnsi="Times New Roman"/>
          <w:iCs/>
        </w:rPr>
        <w:t>State legislative power</w:t>
      </w:r>
      <w:r w:rsidRPr="004C6E3E">
        <w:rPr>
          <w:rFonts w:ascii="Times New Roman" w:hAnsi="Times New Roman"/>
        </w:rPr>
        <w:t xml:space="preserve"> and</w:t>
      </w:r>
      <w:proofErr w:type="gramStart"/>
      <w:r w:rsidRPr="004C6E3E">
        <w:rPr>
          <w:rFonts w:ascii="Times New Roman" w:hAnsi="Times New Roman"/>
        </w:rPr>
        <w:t>, in particular, the</w:t>
      </w:r>
      <w:proofErr w:type="gramEnd"/>
      <w:r w:rsidRPr="004C6E3E">
        <w:rPr>
          <w:rFonts w:ascii="Times New Roman" w:hAnsi="Times New Roman"/>
        </w:rPr>
        <w:t xml:space="preserve"> reach of the </w:t>
      </w:r>
      <w:r w:rsidRPr="004C6E3E">
        <w:rPr>
          <w:rFonts w:ascii="Times New Roman" w:hAnsi="Times New Roman"/>
          <w:i/>
          <w:iCs/>
        </w:rPr>
        <w:t xml:space="preserve">Kable </w:t>
      </w:r>
      <w:r w:rsidRPr="004C6E3E">
        <w:rPr>
          <w:rFonts w:ascii="Times New Roman" w:hAnsi="Times New Roman"/>
        </w:rPr>
        <w:t>principle</w:t>
      </w:r>
      <w:r w:rsidRPr="004C6E3E">
        <w:rPr>
          <w:rStyle w:val="FootnoteReference"/>
          <w:rFonts w:ascii="Times New Roman" w:hAnsi="Times New Roman"/>
          <w:sz w:val="24"/>
        </w:rPr>
        <w:footnoteReference w:id="279"/>
      </w:r>
      <w:r w:rsidRPr="004C6E3E">
        <w:rPr>
          <w:rFonts w:ascii="Times New Roman" w:hAnsi="Times New Roman"/>
        </w:rPr>
        <w:t>. Chapter III does not permit of "different grades or qualities of justice" as between Commonwealth and State courts</w:t>
      </w:r>
      <w:r w:rsidRPr="004C6E3E">
        <w:rPr>
          <w:rStyle w:val="FootnoteReference"/>
          <w:rFonts w:ascii="Times New Roman" w:hAnsi="Times New Roman"/>
          <w:sz w:val="24"/>
        </w:rPr>
        <w:footnoteReference w:id="280"/>
      </w:r>
      <w:r w:rsidRPr="004C6E3E">
        <w:rPr>
          <w:rFonts w:ascii="Times New Roman" w:hAnsi="Times New Roman"/>
        </w:rPr>
        <w:t>. State legislation which purports to confer upon a State court "a function which substantially impairs its institutional integrity, and which is therefore incompatible with its role as a repository of federal jurisdiction, is invalid"</w:t>
      </w:r>
      <w:r w:rsidRPr="004C6E3E">
        <w:rPr>
          <w:rStyle w:val="FootnoteReference"/>
          <w:rFonts w:ascii="Times New Roman" w:hAnsi="Times New Roman"/>
          <w:sz w:val="24"/>
        </w:rPr>
        <w:footnoteReference w:id="281"/>
      </w:r>
      <w:r w:rsidRPr="004C6E3E">
        <w:rPr>
          <w:rFonts w:ascii="Times New Roman" w:hAnsi="Times New Roman"/>
        </w:rPr>
        <w:t>.</w:t>
      </w:r>
    </w:p>
    <w:p w14:paraId="4CE165EF"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In assessing whether legislation substantially impairs the institutional integrity of a </w:t>
      </w:r>
      <w:proofErr w:type="gramStart"/>
      <w:r w:rsidRPr="004C6E3E">
        <w:rPr>
          <w:rFonts w:ascii="Times New Roman" w:hAnsi="Times New Roman"/>
        </w:rPr>
        <w:t>State</w:t>
      </w:r>
      <w:proofErr w:type="gramEnd"/>
      <w:r w:rsidRPr="004C6E3E">
        <w:rPr>
          <w:rFonts w:ascii="Times New Roman" w:hAnsi="Times New Roman"/>
        </w:rPr>
        <w:t xml:space="preserve"> court or courts, regard may be had to the effect of the legislation </w:t>
      </w:r>
      <w:r w:rsidRPr="004C6E3E">
        <w:rPr>
          <w:rFonts w:ascii="Times New Roman" w:hAnsi="Times New Roman"/>
        </w:rPr>
        <w:lastRenderedPageBreak/>
        <w:t>on public confidence in the courts</w:t>
      </w:r>
      <w:r w:rsidRPr="004C6E3E">
        <w:rPr>
          <w:rStyle w:val="FootnoteReference"/>
          <w:rFonts w:ascii="Times New Roman" w:hAnsi="Times New Roman"/>
          <w:sz w:val="24"/>
        </w:rPr>
        <w:footnoteReference w:id="282"/>
      </w:r>
      <w:r w:rsidRPr="004C6E3E">
        <w:rPr>
          <w:rFonts w:ascii="Times New Roman" w:hAnsi="Times New Roman"/>
        </w:rPr>
        <w:t xml:space="preserve"> – institutions established for the administration of justice</w:t>
      </w:r>
      <w:r w:rsidRPr="004C6E3E">
        <w:rPr>
          <w:rStyle w:val="FootnoteReference"/>
          <w:rFonts w:ascii="Times New Roman" w:hAnsi="Times New Roman"/>
          <w:sz w:val="24"/>
        </w:rPr>
        <w:footnoteReference w:id="283"/>
      </w:r>
      <w:r w:rsidRPr="004C6E3E">
        <w:rPr>
          <w:rFonts w:ascii="Times New Roman" w:hAnsi="Times New Roman"/>
        </w:rPr>
        <w:t>, including criminal justice – and the defining characteristics of courts, including the reality and appearance of independence and impartiality</w:t>
      </w:r>
      <w:r w:rsidRPr="004C6E3E">
        <w:rPr>
          <w:rStyle w:val="FootnoteReference"/>
          <w:rFonts w:ascii="Times New Roman" w:hAnsi="Times New Roman"/>
          <w:sz w:val="24"/>
        </w:rPr>
        <w:footnoteReference w:id="284"/>
      </w:r>
      <w:r w:rsidRPr="004C6E3E">
        <w:rPr>
          <w:rFonts w:ascii="Times New Roman" w:hAnsi="Times New Roman"/>
        </w:rPr>
        <w:t>. There is no single comprehensive statement of the content to be given to the essential notion of repugnancy to, or incompatibility with, the institutional integrity of State courts</w:t>
      </w:r>
      <w:r w:rsidRPr="004C6E3E">
        <w:rPr>
          <w:rStyle w:val="FootnoteReference"/>
          <w:rFonts w:ascii="Times New Roman" w:hAnsi="Times New Roman"/>
          <w:sz w:val="24"/>
        </w:rPr>
        <w:footnoteReference w:id="285"/>
      </w:r>
      <w:r w:rsidRPr="004C6E3E">
        <w:rPr>
          <w:rFonts w:ascii="Times New Roman" w:hAnsi="Times New Roman"/>
        </w:rPr>
        <w:t xml:space="preserve">. It therefore would be futile to attempt to provide some all-embracing characterisation or taxonomy of the circumstances in which "a </w:t>
      </w:r>
      <w:proofErr w:type="gramStart"/>
      <w:r w:rsidRPr="004C6E3E">
        <w:rPr>
          <w:rFonts w:ascii="Times New Roman" w:hAnsi="Times New Roman"/>
        </w:rPr>
        <w:t>State</w:t>
      </w:r>
      <w:proofErr w:type="gramEnd"/>
      <w:r w:rsidRPr="004C6E3E">
        <w:rPr>
          <w:rFonts w:ascii="Times New Roman" w:hAnsi="Times New Roman"/>
        </w:rPr>
        <w:t xml:space="preserve"> law might be repugnant [to] or incompatible with the exercise of Commonwealth judicial power or the essential attributes of a State court, or what might undermine a court's institutional integrity"</w:t>
      </w:r>
      <w:r w:rsidRPr="004C6E3E">
        <w:rPr>
          <w:rStyle w:val="FootnoteReference"/>
          <w:rFonts w:ascii="Times New Roman" w:hAnsi="Times New Roman"/>
          <w:sz w:val="24"/>
        </w:rPr>
        <w:footnoteReference w:id="286"/>
      </w:r>
      <w:r w:rsidRPr="004C6E3E">
        <w:rPr>
          <w:rFonts w:ascii="Times New Roman" w:hAnsi="Times New Roman"/>
        </w:rPr>
        <w:t>.</w:t>
      </w:r>
    </w:p>
    <w:p w14:paraId="7E1067CC"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 Court, however, must be "attentive to creative [and incremental] ways</w:t>
      </w:r>
      <w:r>
        <w:rPr>
          <w:rFonts w:ascii="Times New Roman" w:hAnsi="Times New Roman"/>
        </w:rPr>
        <w:t> </w:t>
      </w:r>
      <w:r w:rsidRPr="004C6E3E">
        <w:rPr>
          <w:rFonts w:ascii="Times New Roman" w:hAnsi="Times New Roman"/>
        </w:rPr>
        <w:t>in which State Parliaments might establish impermissible relationships between courts and the political arms of government"</w:t>
      </w:r>
      <w:r w:rsidRPr="004C6E3E">
        <w:rPr>
          <w:rStyle w:val="FootnoteReference"/>
          <w:rFonts w:ascii="Times New Roman" w:hAnsi="Times New Roman"/>
          <w:sz w:val="24"/>
        </w:rPr>
        <w:footnoteReference w:id="287"/>
      </w:r>
      <w:r w:rsidRPr="004C6E3E">
        <w:rPr>
          <w:rFonts w:ascii="Times New Roman" w:hAnsi="Times New Roman"/>
        </w:rPr>
        <w:t xml:space="preserve">. Otherwise, the </w:t>
      </w:r>
      <w:r w:rsidRPr="004C6E3E">
        <w:rPr>
          <w:rFonts w:ascii="Times New Roman" w:hAnsi="Times New Roman"/>
          <w:i/>
        </w:rPr>
        <w:t xml:space="preserve">Kable </w:t>
      </w:r>
      <w:r w:rsidRPr="004C6E3E">
        <w:rPr>
          <w:rFonts w:ascii="Times New Roman" w:hAnsi="Times New Roman"/>
        </w:rPr>
        <w:t xml:space="preserve">principle will be stripped of its content and impermissibly constrained in its application. The application of the </w:t>
      </w:r>
      <w:r w:rsidRPr="004C6E3E">
        <w:rPr>
          <w:rFonts w:ascii="Times New Roman" w:hAnsi="Times New Roman"/>
          <w:i/>
        </w:rPr>
        <w:t>Kable</w:t>
      </w:r>
      <w:r w:rsidRPr="004C6E3E">
        <w:rPr>
          <w:rFonts w:ascii="Times New Roman" w:hAnsi="Times New Roman"/>
        </w:rPr>
        <w:t xml:space="preserve"> principle depends on underlying </w:t>
      </w:r>
      <w:r w:rsidRPr="004C6E3E">
        <w:rPr>
          <w:rFonts w:ascii="Times New Roman" w:hAnsi="Times New Roman"/>
        </w:rPr>
        <w:lastRenderedPageBreak/>
        <w:t>principle, not just on what form the laws in issue in previous cases took or what was said in those cases in the context of different legislative regimes</w:t>
      </w:r>
      <w:r w:rsidRPr="004C6E3E">
        <w:rPr>
          <w:rStyle w:val="FootnoteReference"/>
          <w:rFonts w:ascii="Times New Roman" w:hAnsi="Times New Roman"/>
          <w:sz w:val="24"/>
        </w:rPr>
        <w:footnoteReference w:id="288"/>
      </w:r>
      <w:r w:rsidRPr="004C6E3E">
        <w:rPr>
          <w:rFonts w:ascii="Times New Roman" w:hAnsi="Times New Roman"/>
        </w:rPr>
        <w:t>.</w:t>
      </w:r>
    </w:p>
    <w:p w14:paraId="566B057A"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w:t>
      </w:r>
      <w:r w:rsidRPr="004C6E3E">
        <w:rPr>
          <w:rFonts w:ascii="Times New Roman" w:hAnsi="Times New Roman"/>
          <w:i/>
        </w:rPr>
        <w:t>Lim</w:t>
      </w:r>
      <w:r w:rsidRPr="004C6E3E">
        <w:rPr>
          <w:rFonts w:ascii="Times New Roman" w:hAnsi="Times New Roman"/>
        </w:rPr>
        <w:t xml:space="preserve"> principle (a principle developed in the context of the strict separation of Commonwealth judicial power from executive and legislative power) is not irrelevant to the assessment of whether </w:t>
      </w:r>
      <w:r w:rsidRPr="004C6E3E">
        <w:rPr>
          <w:rFonts w:ascii="Times New Roman" w:hAnsi="Times New Roman"/>
          <w:i/>
        </w:rPr>
        <w:t xml:space="preserve">State </w:t>
      </w:r>
      <w:r w:rsidRPr="004C6E3E">
        <w:rPr>
          <w:rFonts w:ascii="Times New Roman" w:hAnsi="Times New Roman"/>
        </w:rPr>
        <w:t xml:space="preserve">legislation is compatible with Ch III of the </w:t>
      </w:r>
      <w:r w:rsidRPr="004C6E3E">
        <w:rPr>
          <w:rFonts w:ascii="Times New Roman" w:hAnsi="Times New Roman"/>
          <w:i/>
          <w:iCs/>
        </w:rPr>
        <w:t>Constitution</w:t>
      </w:r>
      <w:r w:rsidRPr="004C6E3E">
        <w:rPr>
          <w:rFonts w:ascii="Times New Roman" w:hAnsi="Times New Roman"/>
        </w:rPr>
        <w:t>. There is no separation of powers at the State level</w:t>
      </w:r>
      <w:r w:rsidRPr="004C6E3E">
        <w:rPr>
          <w:rStyle w:val="FootnoteReference"/>
          <w:rFonts w:ascii="Times New Roman" w:hAnsi="Times New Roman"/>
          <w:sz w:val="24"/>
        </w:rPr>
        <w:footnoteReference w:id="289"/>
      </w:r>
      <w:r w:rsidRPr="004C6E3E">
        <w:rPr>
          <w:rFonts w:ascii="Times New Roman" w:hAnsi="Times New Roman"/>
        </w:rPr>
        <w:t xml:space="preserve">. The </w:t>
      </w:r>
      <w:r w:rsidRPr="004C6E3E">
        <w:rPr>
          <w:rFonts w:ascii="Times New Roman" w:hAnsi="Times New Roman"/>
          <w:i/>
        </w:rPr>
        <w:t>Kable</w:t>
      </w:r>
      <w:r w:rsidRPr="004C6E3E">
        <w:rPr>
          <w:rFonts w:ascii="Times New Roman" w:hAnsi="Times New Roman"/>
        </w:rPr>
        <w:t xml:space="preserve"> principle is less strict than the limitations on </w:t>
      </w:r>
      <w:r w:rsidRPr="004C6E3E">
        <w:rPr>
          <w:rFonts w:ascii="Times New Roman" w:hAnsi="Times New Roman"/>
          <w:i/>
        </w:rPr>
        <w:t>Commonwealth</w:t>
      </w:r>
      <w:r w:rsidRPr="004C6E3E">
        <w:rPr>
          <w:rFonts w:ascii="Times New Roman" w:hAnsi="Times New Roman"/>
        </w:rPr>
        <w:t xml:space="preserve"> legislative power derived from Ch III, in the sense that it protects the independence and institutional integrity of State courts, and that "the notions of repugnancy to and incompatibility with the continued institutional integrity of the State courts are not to be treated as if they simply reflect what Ch III requires in relation to the exercise of the judicial power of the Commonwealth"</w:t>
      </w:r>
      <w:r w:rsidRPr="004C6E3E">
        <w:rPr>
          <w:rStyle w:val="FootnoteReference"/>
          <w:rFonts w:ascii="Times New Roman" w:hAnsi="Times New Roman"/>
          <w:sz w:val="24"/>
        </w:rPr>
        <w:footnoteReference w:id="290"/>
      </w:r>
      <w:r w:rsidRPr="004C6E3E">
        <w:rPr>
          <w:rFonts w:ascii="Times New Roman" w:hAnsi="Times New Roman"/>
        </w:rPr>
        <w:t xml:space="preserve">. But the fact that the </w:t>
      </w:r>
      <w:r w:rsidRPr="004C6E3E">
        <w:rPr>
          <w:rFonts w:ascii="Times New Roman" w:hAnsi="Times New Roman"/>
          <w:i/>
        </w:rPr>
        <w:t>Kable</w:t>
      </w:r>
      <w:r w:rsidRPr="004C6E3E">
        <w:rPr>
          <w:rFonts w:ascii="Times New Roman" w:hAnsi="Times New Roman"/>
        </w:rPr>
        <w:t xml:space="preserve"> principle has its roots in Ch III of the </w:t>
      </w:r>
      <w:r w:rsidRPr="004C6E3E">
        <w:rPr>
          <w:rFonts w:ascii="Times New Roman" w:hAnsi="Times New Roman"/>
          <w:i/>
        </w:rPr>
        <w:t>Constitution</w:t>
      </w:r>
      <w:r w:rsidRPr="004C6E3E">
        <w:rPr>
          <w:rFonts w:ascii="Times New Roman" w:hAnsi="Times New Roman"/>
        </w:rPr>
        <w:t xml:space="preserve"> remains of fundamental importance</w:t>
      </w:r>
      <w:r w:rsidRPr="004C6E3E">
        <w:rPr>
          <w:rStyle w:val="FootnoteReference"/>
          <w:rFonts w:ascii="Times New Roman" w:hAnsi="Times New Roman"/>
          <w:sz w:val="24"/>
        </w:rPr>
        <w:footnoteReference w:id="291"/>
      </w:r>
      <w:r w:rsidRPr="004C6E3E">
        <w:rPr>
          <w:rFonts w:ascii="Times New Roman" w:hAnsi="Times New Roman"/>
        </w:rPr>
        <w:t>. Chapter III requires that the judicial power of the Commonwealth be invested only in institutions sufficiently distinct from other arms of government to answer the description of "courts"</w:t>
      </w:r>
      <w:r w:rsidRPr="004C6E3E">
        <w:rPr>
          <w:rStyle w:val="FootnoteReference"/>
          <w:rFonts w:ascii="Times New Roman" w:hAnsi="Times New Roman"/>
          <w:sz w:val="24"/>
        </w:rPr>
        <w:footnoteReference w:id="292"/>
      </w:r>
      <w:r w:rsidRPr="004C6E3E">
        <w:rPr>
          <w:rFonts w:ascii="Times New Roman" w:hAnsi="Times New Roman"/>
        </w:rPr>
        <w:t>.</w:t>
      </w:r>
    </w:p>
    <w:p w14:paraId="62BE09A3" w14:textId="77777777" w:rsidR="00E3198A" w:rsidRPr="004C6E3E" w:rsidRDefault="00E3198A" w:rsidP="004C6E3E">
      <w:pPr>
        <w:pStyle w:val="HeadingL2"/>
        <w:spacing w:after="260" w:line="280" w:lineRule="exact"/>
        <w:ind w:right="0"/>
        <w:jc w:val="both"/>
        <w:rPr>
          <w:rFonts w:ascii="Times New Roman" w:hAnsi="Times New Roman"/>
        </w:rPr>
      </w:pPr>
      <w:proofErr w:type="spellStart"/>
      <w:r w:rsidRPr="004C6E3E">
        <w:rPr>
          <w:rFonts w:ascii="Times New Roman" w:hAnsi="Times New Roman"/>
        </w:rPr>
        <w:t>Fardon</w:t>
      </w:r>
      <w:proofErr w:type="spellEnd"/>
      <w:r w:rsidRPr="004C6E3E">
        <w:rPr>
          <w:rFonts w:ascii="Times New Roman" w:hAnsi="Times New Roman"/>
        </w:rPr>
        <w:t xml:space="preserve"> and </w:t>
      </w:r>
      <w:proofErr w:type="spellStart"/>
      <w:r w:rsidRPr="004C6E3E">
        <w:rPr>
          <w:rFonts w:ascii="Times New Roman" w:hAnsi="Times New Roman"/>
        </w:rPr>
        <w:t>Benbrika</w:t>
      </w:r>
      <w:proofErr w:type="spellEnd"/>
    </w:p>
    <w:p w14:paraId="2F8496C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It is now established that assessments and predictions of risk to the community are not matters that are incapable of judicial evaluation</w:t>
      </w:r>
      <w:r w:rsidRPr="004C6E3E">
        <w:rPr>
          <w:rStyle w:val="FootnoteReference"/>
          <w:rFonts w:ascii="Times New Roman" w:hAnsi="Times New Roman"/>
          <w:sz w:val="24"/>
        </w:rPr>
        <w:footnoteReference w:id="293"/>
      </w:r>
      <w:r w:rsidRPr="004C6E3E">
        <w:rPr>
          <w:rFonts w:ascii="Times New Roman" w:hAnsi="Times New Roman"/>
          <w:b/>
          <w:bCs/>
        </w:rPr>
        <w:t xml:space="preserve"> </w:t>
      </w:r>
      <w:r w:rsidRPr="004C6E3E">
        <w:rPr>
          <w:rFonts w:ascii="Times New Roman" w:hAnsi="Times New Roman"/>
        </w:rPr>
        <w:t xml:space="preserve">and that </w:t>
      </w:r>
      <w:r w:rsidRPr="004C6E3E">
        <w:rPr>
          <w:rFonts w:ascii="Times New Roman" w:hAnsi="Times New Roman"/>
        </w:rPr>
        <w:lastRenderedPageBreak/>
        <w:t>"[d]</w:t>
      </w:r>
      <w:proofErr w:type="spellStart"/>
      <w:r w:rsidRPr="004C6E3E">
        <w:rPr>
          <w:rFonts w:ascii="Times New Roman" w:hAnsi="Times New Roman"/>
        </w:rPr>
        <w:t>ispensation</w:t>
      </w:r>
      <w:proofErr w:type="spellEnd"/>
      <w:r w:rsidRPr="004C6E3E">
        <w:rPr>
          <w:rFonts w:ascii="Times New Roman" w:hAnsi="Times New Roman"/>
        </w:rPr>
        <w:t xml:space="preserve"> of 'preventive justice' ... is not inherently incompatible with judicial power"</w:t>
      </w:r>
      <w:r w:rsidRPr="004C6E3E">
        <w:rPr>
          <w:rStyle w:val="FootnoteReference"/>
          <w:rFonts w:ascii="Times New Roman" w:hAnsi="Times New Roman"/>
          <w:sz w:val="24"/>
        </w:rPr>
        <w:footnoteReference w:id="294"/>
      </w:r>
      <w:r w:rsidRPr="004C6E3E">
        <w:rPr>
          <w:rFonts w:ascii="Times New Roman" w:hAnsi="Times New Roman"/>
        </w:rPr>
        <w:t xml:space="preserve">. And, most relevantly for present purposes, as </w:t>
      </w:r>
      <w:proofErr w:type="spellStart"/>
      <w:r w:rsidRPr="004C6E3E">
        <w:rPr>
          <w:rFonts w:ascii="Times New Roman" w:hAnsi="Times New Roman"/>
          <w:i/>
        </w:rPr>
        <w:t>Fardon</w:t>
      </w:r>
      <w:proofErr w:type="spellEnd"/>
      <w:r w:rsidRPr="004C6E3E">
        <w:rPr>
          <w:rFonts w:ascii="Times New Roman" w:hAnsi="Times New Roman"/>
        </w:rPr>
        <w:t xml:space="preserve"> </w:t>
      </w:r>
      <w:r w:rsidRPr="004C6E3E">
        <w:rPr>
          <w:rFonts w:ascii="Times New Roman" w:hAnsi="Times New Roman"/>
          <w:i/>
        </w:rPr>
        <w:t>v Attorney</w:t>
      </w:r>
      <w:r w:rsidRPr="004C6E3E">
        <w:rPr>
          <w:rFonts w:ascii="Times New Roman" w:hAnsi="Times New Roman"/>
          <w:i/>
        </w:rPr>
        <w:noBreakHyphen/>
        <w:t>General (Qld)</w:t>
      </w:r>
      <w:r w:rsidRPr="004C6E3E">
        <w:rPr>
          <w:rStyle w:val="FootnoteReference"/>
          <w:rFonts w:ascii="Times New Roman" w:hAnsi="Times New Roman"/>
          <w:iCs/>
          <w:sz w:val="24"/>
        </w:rPr>
        <w:footnoteReference w:id="295"/>
      </w:r>
      <w:r w:rsidRPr="004C6E3E">
        <w:rPr>
          <w:rFonts w:ascii="Times New Roman" w:hAnsi="Times New Roman"/>
          <w:iCs/>
        </w:rPr>
        <w:t xml:space="preserve"> </w:t>
      </w:r>
      <w:r w:rsidRPr="004C6E3E">
        <w:rPr>
          <w:rFonts w:ascii="Times New Roman" w:hAnsi="Times New Roman"/>
        </w:rPr>
        <w:t xml:space="preserve">and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296"/>
      </w:r>
      <w:r w:rsidRPr="004C6E3E">
        <w:rPr>
          <w:rFonts w:ascii="Times New Roman" w:hAnsi="Times New Roman"/>
        </w:rPr>
        <w:t xml:space="preserve"> demonstrate, post</w:t>
      </w:r>
      <w:r w:rsidRPr="004C6E3E">
        <w:rPr>
          <w:rFonts w:ascii="Times New Roman" w:hAnsi="Times New Roman"/>
        </w:rPr>
        <w:noBreakHyphen/>
        <w:t xml:space="preserve">sentence preventive detention regimes are not, in all circumstances, contrary to Ch III of the </w:t>
      </w:r>
      <w:r w:rsidRPr="004C6E3E">
        <w:rPr>
          <w:rFonts w:ascii="Times New Roman" w:hAnsi="Times New Roman"/>
          <w:i/>
        </w:rPr>
        <w:t>Constitution</w:t>
      </w:r>
      <w:r w:rsidRPr="004C6E3E">
        <w:rPr>
          <w:rFonts w:ascii="Times New Roman" w:hAnsi="Times New Roman"/>
        </w:rPr>
        <w:t>. Neither case was challenged by the appellant, Mr Garlett.</w:t>
      </w:r>
    </w:p>
    <w:p w14:paraId="0C98D44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But neither </w:t>
      </w:r>
      <w:proofErr w:type="spellStart"/>
      <w:r w:rsidRPr="004C6E3E">
        <w:rPr>
          <w:rFonts w:ascii="Times New Roman" w:hAnsi="Times New Roman"/>
          <w:i/>
        </w:rPr>
        <w:t>Fardon</w:t>
      </w:r>
      <w:proofErr w:type="spellEnd"/>
      <w:r w:rsidRPr="004C6E3E">
        <w:rPr>
          <w:rStyle w:val="FootnoteReference"/>
          <w:rFonts w:ascii="Times New Roman" w:hAnsi="Times New Roman"/>
          <w:iCs/>
          <w:sz w:val="24"/>
        </w:rPr>
        <w:footnoteReference w:id="297"/>
      </w:r>
      <w:r w:rsidRPr="004C6E3E">
        <w:rPr>
          <w:rFonts w:ascii="Times New Roman" w:hAnsi="Times New Roman"/>
          <w:iCs/>
        </w:rPr>
        <w:t xml:space="preserve"> </w:t>
      </w:r>
      <w:r w:rsidRPr="004C6E3E">
        <w:rPr>
          <w:rFonts w:ascii="Times New Roman" w:hAnsi="Times New Roman"/>
        </w:rPr>
        <w:t xml:space="preserve">nor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298"/>
      </w:r>
      <w:r w:rsidRPr="004C6E3E">
        <w:rPr>
          <w:rFonts w:ascii="Times New Roman" w:hAnsi="Times New Roman"/>
        </w:rPr>
        <w:t xml:space="preserve"> is</w:t>
      </w:r>
      <w:r w:rsidRPr="004C6E3E" w:rsidDel="00DE5C63">
        <w:rPr>
          <w:rFonts w:ascii="Times New Roman" w:hAnsi="Times New Roman"/>
        </w:rPr>
        <w:t xml:space="preserve"> </w:t>
      </w:r>
      <w:r w:rsidRPr="004C6E3E">
        <w:rPr>
          <w:rFonts w:ascii="Times New Roman" w:hAnsi="Times New Roman"/>
        </w:rPr>
        <w:t>determinative of the validity of the HRSO Act. "[T]he constitutional validity of one law cannot be decided simply by taking what has been said in earlier decisions of the Court about the validity of other laws and assuming, without examination, that what is said in the earlier decisions can be applied to the legislation now under consideration"</w:t>
      </w:r>
      <w:r w:rsidRPr="004C6E3E">
        <w:rPr>
          <w:rStyle w:val="FootnoteReference"/>
          <w:rFonts w:ascii="Times New Roman" w:hAnsi="Times New Roman"/>
          <w:sz w:val="24"/>
        </w:rPr>
        <w:footnoteReference w:id="299"/>
      </w:r>
      <w:r w:rsidRPr="004C6E3E">
        <w:rPr>
          <w:rFonts w:ascii="Times New Roman" w:hAnsi="Times New Roman"/>
        </w:rPr>
        <w:t>. The Court must be wary of "domino" reasoning; "[</w:t>
      </w:r>
      <w:proofErr w:type="spellStart"/>
      <w:r w:rsidRPr="004C6E3E">
        <w:rPr>
          <w:rFonts w:ascii="Times New Roman" w:hAnsi="Times New Roman"/>
        </w:rPr>
        <w:t>i</w:t>
      </w:r>
      <w:proofErr w:type="spellEnd"/>
      <w:r w:rsidRPr="004C6E3E">
        <w:rPr>
          <w:rFonts w:ascii="Times New Roman" w:hAnsi="Times New Roman"/>
        </w:rPr>
        <w:t>]t is a mistake to take what was said in other cases about other legislation and apply those statements without close attention to the principle at stake"</w:t>
      </w:r>
      <w:r w:rsidRPr="004C6E3E">
        <w:rPr>
          <w:rStyle w:val="FootnoteReference"/>
          <w:rFonts w:ascii="Times New Roman" w:hAnsi="Times New Roman"/>
          <w:sz w:val="24"/>
        </w:rPr>
        <w:footnoteReference w:id="300"/>
      </w:r>
      <w:r w:rsidRPr="004C6E3E">
        <w:rPr>
          <w:rFonts w:ascii="Times New Roman" w:hAnsi="Times New Roman"/>
        </w:rPr>
        <w:t>.</w:t>
      </w:r>
    </w:p>
    <w:p w14:paraId="5E14003B"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majority in </w:t>
      </w:r>
      <w:proofErr w:type="spellStart"/>
      <w:r w:rsidRPr="004C6E3E">
        <w:rPr>
          <w:rFonts w:ascii="Times New Roman" w:hAnsi="Times New Roman"/>
          <w:i/>
        </w:rPr>
        <w:t>Fardon</w:t>
      </w:r>
      <w:proofErr w:type="spellEnd"/>
      <w:r w:rsidRPr="004C6E3E">
        <w:rPr>
          <w:rStyle w:val="FootnoteReference"/>
          <w:rFonts w:ascii="Times New Roman" w:hAnsi="Times New Roman"/>
          <w:iCs/>
          <w:sz w:val="24"/>
        </w:rPr>
        <w:footnoteReference w:id="301"/>
      </w:r>
      <w:r w:rsidRPr="004C6E3E">
        <w:rPr>
          <w:rFonts w:ascii="Times New Roman" w:hAnsi="Times New Roman"/>
        </w:rPr>
        <w:t xml:space="preserve"> decided that a State law could validly authorise post</w:t>
      </w:r>
      <w:r w:rsidRPr="004C6E3E">
        <w:rPr>
          <w:rFonts w:ascii="Times New Roman" w:hAnsi="Times New Roman"/>
        </w:rPr>
        <w:noBreakHyphen/>
        <w:t>sentence detention of a person serving a period of imprisonment for a "serious</w:t>
      </w:r>
      <w:r>
        <w:rPr>
          <w:rFonts w:ascii="Times New Roman" w:hAnsi="Times New Roman"/>
        </w:rPr>
        <w:t> </w:t>
      </w:r>
      <w:r w:rsidRPr="004C6E3E">
        <w:rPr>
          <w:rFonts w:ascii="Times New Roman" w:hAnsi="Times New Roman"/>
        </w:rPr>
        <w:t>sexual offence"</w:t>
      </w:r>
      <w:r w:rsidRPr="004C6E3E">
        <w:rPr>
          <w:rStyle w:val="FootnoteReference"/>
          <w:rFonts w:ascii="Times New Roman" w:hAnsi="Times New Roman"/>
          <w:sz w:val="24"/>
        </w:rPr>
        <w:footnoteReference w:id="302"/>
      </w:r>
      <w:r w:rsidRPr="004C6E3E">
        <w:rPr>
          <w:rFonts w:ascii="Times New Roman" w:hAnsi="Times New Roman"/>
        </w:rPr>
        <w:t xml:space="preserve"> who posed a serious danger to the community because there was an unacceptable risk that the person would commit a further "serious</w:t>
      </w:r>
      <w:r>
        <w:rPr>
          <w:rFonts w:ascii="Times New Roman" w:hAnsi="Times New Roman"/>
        </w:rPr>
        <w:t> </w:t>
      </w:r>
      <w:r w:rsidRPr="004C6E3E">
        <w:rPr>
          <w:rFonts w:ascii="Times New Roman" w:hAnsi="Times New Roman"/>
        </w:rPr>
        <w:t xml:space="preserve">sexual offence" if released from custody, and that the judiciary could determine, pursuant to a judicial process, whether an offender was to be subject to </w:t>
      </w:r>
      <w:r w:rsidRPr="004C6E3E">
        <w:rPr>
          <w:rFonts w:ascii="Times New Roman" w:hAnsi="Times New Roman"/>
        </w:rPr>
        <w:lastRenderedPageBreak/>
        <w:t xml:space="preserve">that regime. The majority in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303"/>
      </w:r>
      <w:r w:rsidRPr="004C6E3E">
        <w:rPr>
          <w:rFonts w:ascii="Times New Roman" w:hAnsi="Times New Roman"/>
        </w:rPr>
        <w:t xml:space="preserve"> decided that a Commonwealth law could validly authorise post</w:t>
      </w:r>
      <w:r w:rsidRPr="004C6E3E">
        <w:rPr>
          <w:rFonts w:ascii="Times New Roman" w:hAnsi="Times New Roman"/>
        </w:rPr>
        <w:noBreakHyphen/>
        <w:t>sentence detention of a person who was serving a sentence of imprisonment for certain terrorism</w:t>
      </w:r>
      <w:r w:rsidRPr="004C6E3E" w:rsidDel="008A7FDE">
        <w:rPr>
          <w:rFonts w:ascii="Times New Roman" w:hAnsi="Times New Roman"/>
        </w:rPr>
        <w:t xml:space="preserve"> </w:t>
      </w:r>
      <w:r w:rsidRPr="004C6E3E">
        <w:rPr>
          <w:rFonts w:ascii="Times New Roman" w:hAnsi="Times New Roman"/>
        </w:rPr>
        <w:t>offences</w:t>
      </w:r>
      <w:r w:rsidRPr="004C6E3E">
        <w:rPr>
          <w:rStyle w:val="FootnoteReference"/>
          <w:rFonts w:ascii="Times New Roman" w:hAnsi="Times New Roman"/>
          <w:sz w:val="24"/>
        </w:rPr>
        <w:footnoteReference w:id="304"/>
      </w:r>
      <w:r w:rsidRPr="004C6E3E">
        <w:rPr>
          <w:rFonts w:ascii="Times New Roman" w:hAnsi="Times New Roman"/>
        </w:rPr>
        <w:t xml:space="preserve"> who posed an unacceptable risk of committing a terrorist offence if released from custody, and that the judiciary could determine, by orthodox judicial process, whether an offender was to be subject to that regime. Both </w:t>
      </w:r>
      <w:proofErr w:type="spellStart"/>
      <w:r w:rsidRPr="004C6E3E">
        <w:rPr>
          <w:rFonts w:ascii="Times New Roman" w:hAnsi="Times New Roman"/>
          <w:i/>
        </w:rPr>
        <w:t>Fardon</w:t>
      </w:r>
      <w:proofErr w:type="spellEnd"/>
      <w:r w:rsidRPr="004C6E3E">
        <w:rPr>
          <w:rStyle w:val="FootnoteReference"/>
          <w:rFonts w:ascii="Times New Roman" w:hAnsi="Times New Roman"/>
          <w:iCs/>
          <w:sz w:val="24"/>
        </w:rPr>
        <w:footnoteReference w:id="305"/>
      </w:r>
      <w:r w:rsidRPr="004C6E3E">
        <w:rPr>
          <w:rFonts w:ascii="Times New Roman" w:hAnsi="Times New Roman"/>
        </w:rPr>
        <w:t xml:space="preserve"> and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306"/>
      </w:r>
      <w:r w:rsidRPr="004C6E3E">
        <w:rPr>
          <w:rFonts w:ascii="Times New Roman" w:hAnsi="Times New Roman"/>
        </w:rPr>
        <w:t xml:space="preserve"> concerned legislative regimes which depended on close identification between past offending (serious</w:t>
      </w:r>
      <w:r>
        <w:rPr>
          <w:rFonts w:ascii="Times New Roman" w:hAnsi="Times New Roman"/>
        </w:rPr>
        <w:t> </w:t>
      </w:r>
      <w:r w:rsidRPr="004C6E3E">
        <w:rPr>
          <w:rFonts w:ascii="Times New Roman" w:hAnsi="Times New Roman"/>
        </w:rPr>
        <w:t>sexual offences or terrorism offences) and possible future offending (serious sexual offences or terrorism offences). Each applied only to a narrow class of offenders. In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307"/>
      </w:r>
      <w:r w:rsidRPr="004C6E3E">
        <w:rPr>
          <w:rFonts w:ascii="Times New Roman" w:hAnsi="Times New Roman"/>
        </w:rPr>
        <w:t xml:space="preserve"> the Court divided over how close the nexus between the past and possible future offending must be. The minority view was that only some future terrorism offences could justify a post-sentence preventive detention order</w:t>
      </w:r>
      <w:r w:rsidRPr="004C6E3E">
        <w:rPr>
          <w:rStyle w:val="FootnoteReference"/>
          <w:rFonts w:ascii="Times New Roman" w:hAnsi="Times New Roman"/>
          <w:sz w:val="24"/>
        </w:rPr>
        <w:footnoteReference w:id="308"/>
      </w:r>
      <w:r w:rsidRPr="004C6E3E">
        <w:rPr>
          <w:rFonts w:ascii="Times New Roman" w:hAnsi="Times New Roman"/>
        </w:rPr>
        <w:t>.</w:t>
      </w:r>
    </w:p>
    <w:p w14:paraId="4059B4DF"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post-sentence preventive detention regimes upheld in </w:t>
      </w:r>
      <w:proofErr w:type="spellStart"/>
      <w:r w:rsidRPr="004C6E3E">
        <w:rPr>
          <w:rFonts w:ascii="Times New Roman" w:hAnsi="Times New Roman"/>
          <w:i/>
        </w:rPr>
        <w:t>Fardon</w:t>
      </w:r>
      <w:proofErr w:type="spellEnd"/>
      <w:r w:rsidRPr="004C6E3E">
        <w:rPr>
          <w:rStyle w:val="FootnoteReference"/>
          <w:rFonts w:ascii="Times New Roman" w:hAnsi="Times New Roman"/>
          <w:iCs/>
          <w:sz w:val="24"/>
        </w:rPr>
        <w:footnoteReference w:id="309"/>
      </w:r>
      <w:r w:rsidRPr="004C6E3E">
        <w:rPr>
          <w:rFonts w:ascii="Times New Roman" w:hAnsi="Times New Roman"/>
        </w:rPr>
        <w:t xml:space="preserve"> and </w:t>
      </w:r>
      <w:proofErr w:type="spellStart"/>
      <w:r w:rsidRPr="004C6E3E">
        <w:rPr>
          <w:rFonts w:ascii="Times New Roman" w:hAnsi="Times New Roman"/>
          <w:i/>
        </w:rPr>
        <w:t>Benbrika</w:t>
      </w:r>
      <w:proofErr w:type="spellEnd"/>
      <w:r w:rsidRPr="004C6E3E">
        <w:rPr>
          <w:rStyle w:val="FootnoteReference"/>
          <w:rFonts w:ascii="Times New Roman" w:hAnsi="Times New Roman"/>
          <w:iCs/>
          <w:sz w:val="24"/>
        </w:rPr>
        <w:footnoteReference w:id="310"/>
      </w:r>
      <w:r w:rsidRPr="004C6E3E">
        <w:rPr>
          <w:rFonts w:ascii="Times New Roman" w:hAnsi="Times New Roman"/>
        </w:rPr>
        <w:t xml:space="preserve"> should be seen as exceptional and as depending on the nature and character of the past offending for which the persons subject to preventive detention were detained in custody and on the nature and character of the possible future offending sought to be prevented by subjecting those persons to continuing detention. "Sexual offences are almost universally given special significance" in</w:t>
      </w:r>
      <w:r>
        <w:rPr>
          <w:rFonts w:ascii="Times New Roman" w:hAnsi="Times New Roman"/>
        </w:rPr>
        <w:t> </w:t>
      </w:r>
      <w:r w:rsidRPr="004C6E3E">
        <w:rPr>
          <w:rFonts w:ascii="Times New Roman" w:hAnsi="Times New Roman"/>
        </w:rPr>
        <w:t>criminal justice systems</w:t>
      </w:r>
      <w:r w:rsidRPr="004C6E3E">
        <w:rPr>
          <w:rStyle w:val="FootnoteReference"/>
          <w:rFonts w:ascii="Times New Roman" w:hAnsi="Times New Roman"/>
          <w:sz w:val="24"/>
        </w:rPr>
        <w:footnoteReference w:id="311"/>
      </w:r>
      <w:r w:rsidRPr="004C6E3E">
        <w:rPr>
          <w:rFonts w:ascii="Times New Roman" w:hAnsi="Times New Roman"/>
        </w:rPr>
        <w:t xml:space="preserve">. Repeated serious sexual offending is often driven by </w:t>
      </w:r>
      <w:r w:rsidRPr="004C6E3E">
        <w:rPr>
          <w:rFonts w:ascii="Times New Roman" w:hAnsi="Times New Roman"/>
        </w:rPr>
        <w:lastRenderedPageBreak/>
        <w:t>psychological factors and disordered sexual attitudes</w:t>
      </w:r>
      <w:r w:rsidRPr="004C6E3E">
        <w:rPr>
          <w:rStyle w:val="FootnoteReference"/>
          <w:rFonts w:ascii="Times New Roman" w:hAnsi="Times New Roman"/>
          <w:sz w:val="24"/>
        </w:rPr>
        <w:footnoteReference w:id="312"/>
      </w:r>
      <w:r w:rsidRPr="004C6E3E">
        <w:rPr>
          <w:rFonts w:ascii="Times New Roman" w:hAnsi="Times New Roman"/>
        </w:rPr>
        <w:t xml:space="preserve"> – some, perhaps many, paedophiles will never change</w:t>
      </w:r>
      <w:r w:rsidRPr="004C6E3E">
        <w:rPr>
          <w:rStyle w:val="FootnoteReference"/>
          <w:rFonts w:ascii="Times New Roman" w:hAnsi="Times New Roman"/>
          <w:sz w:val="24"/>
        </w:rPr>
        <w:footnoteReference w:id="313"/>
      </w:r>
      <w:r w:rsidRPr="004C6E3E">
        <w:rPr>
          <w:rFonts w:ascii="Times New Roman" w:hAnsi="Times New Roman"/>
        </w:rPr>
        <w:t>.</w:t>
      </w:r>
    </w:p>
    <w:p w14:paraId="4C7C95E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Terrorism offences are defined by reference to motive – religious,</w:t>
      </w:r>
      <w:r>
        <w:rPr>
          <w:rFonts w:ascii="Times New Roman" w:hAnsi="Times New Roman"/>
        </w:rPr>
        <w:t> </w:t>
      </w:r>
      <w:proofErr w:type="gramStart"/>
      <w:r w:rsidRPr="004C6E3E">
        <w:rPr>
          <w:rFonts w:ascii="Times New Roman" w:hAnsi="Times New Roman"/>
        </w:rPr>
        <w:t>political</w:t>
      </w:r>
      <w:proofErr w:type="gramEnd"/>
      <w:r>
        <w:rPr>
          <w:rFonts w:ascii="Times New Roman" w:hAnsi="Times New Roman"/>
        </w:rPr>
        <w:t> </w:t>
      </w:r>
      <w:r w:rsidRPr="004C6E3E">
        <w:rPr>
          <w:rFonts w:ascii="Times New Roman" w:hAnsi="Times New Roman"/>
        </w:rPr>
        <w:t>or ideological – and those motives may never change. "[A] special sort of moral outrage should be reserved for terrorist crimes, as</w:t>
      </w:r>
      <w:r>
        <w:rPr>
          <w:rFonts w:ascii="Times New Roman" w:hAnsi="Times New Roman"/>
        </w:rPr>
        <w:t> </w:t>
      </w:r>
      <w:r w:rsidRPr="004C6E3E">
        <w:rPr>
          <w:rFonts w:ascii="Times New Roman" w:hAnsi="Times New Roman"/>
        </w:rPr>
        <w:t>distinguished from other homicides or acts of destruction ... [W]e put definitional pressure on our ability to articulate this sense that special outrage is appropriate for these offences"</w:t>
      </w:r>
      <w:r w:rsidRPr="004C6E3E">
        <w:rPr>
          <w:rStyle w:val="FootnoteReference"/>
          <w:rFonts w:ascii="Times New Roman" w:hAnsi="Times New Roman"/>
          <w:sz w:val="24"/>
        </w:rPr>
        <w:footnoteReference w:id="314"/>
      </w:r>
      <w:r w:rsidRPr="004C6E3E">
        <w:rPr>
          <w:rFonts w:ascii="Times New Roman" w:hAnsi="Times New Roman"/>
        </w:rPr>
        <w:t xml:space="preserve">. Terrorism offences "address the combination of violent destruction and political or ideological motivation which is unique to </w:t>
      </w:r>
      <w:proofErr w:type="gramStart"/>
      <w:r w:rsidRPr="004C6E3E">
        <w:rPr>
          <w:rFonts w:ascii="Times New Roman" w:hAnsi="Times New Roman"/>
        </w:rPr>
        <w:t>terrorism</w:t>
      </w:r>
      <w:proofErr w:type="gramEnd"/>
      <w:r w:rsidRPr="004C6E3E">
        <w:rPr>
          <w:rFonts w:ascii="Times New Roman" w:hAnsi="Times New Roman"/>
        </w:rPr>
        <w:t xml:space="preserve"> but which is largely absent from other crimes. The underlying motivation of terrorism provides a compelling, nihilistic drive to terrorists that often trumps their value of the perpetrators' own lives. It would be short-sighted to divorce these motivational contexts from the crimes themselves when they directly inform the </w:t>
      </w:r>
      <w:r w:rsidRPr="004C6E3E">
        <w:rPr>
          <w:rFonts w:ascii="Times New Roman" w:hAnsi="Times New Roman"/>
        </w:rPr>
        <w:lastRenderedPageBreak/>
        <w:t>gravity of the conduct"</w:t>
      </w:r>
      <w:r w:rsidRPr="004C6E3E">
        <w:rPr>
          <w:rStyle w:val="FootnoteReference"/>
          <w:rFonts w:ascii="Times New Roman" w:hAnsi="Times New Roman"/>
          <w:sz w:val="24"/>
        </w:rPr>
        <w:footnoteReference w:id="315"/>
      </w:r>
      <w:r w:rsidRPr="004C6E3E">
        <w:rPr>
          <w:rFonts w:ascii="Times New Roman" w:hAnsi="Times New Roman"/>
        </w:rPr>
        <w:t xml:space="preserve">. As the plurality in </w:t>
      </w:r>
      <w:proofErr w:type="spellStart"/>
      <w:r w:rsidRPr="004C6E3E">
        <w:rPr>
          <w:rFonts w:ascii="Times New Roman" w:hAnsi="Times New Roman"/>
          <w:i/>
          <w:iCs/>
        </w:rPr>
        <w:t>Benbrika</w:t>
      </w:r>
      <w:proofErr w:type="spellEnd"/>
      <w:r w:rsidRPr="004C6E3E">
        <w:rPr>
          <w:rStyle w:val="FootnoteReference"/>
          <w:rFonts w:ascii="Times New Roman" w:hAnsi="Times New Roman"/>
          <w:sz w:val="24"/>
        </w:rPr>
        <w:footnoteReference w:id="316"/>
      </w:r>
      <w:r w:rsidRPr="004C6E3E">
        <w:rPr>
          <w:rFonts w:ascii="Times New Roman" w:hAnsi="Times New Roman"/>
          <w:i/>
          <w:iCs/>
        </w:rPr>
        <w:t xml:space="preserve"> </w:t>
      </w:r>
      <w:r w:rsidRPr="004C6E3E">
        <w:rPr>
          <w:rFonts w:ascii="Times New Roman" w:hAnsi="Times New Roman"/>
        </w:rPr>
        <w:t>put it, "[t]</w:t>
      </w:r>
      <w:proofErr w:type="spellStart"/>
      <w:r w:rsidRPr="004C6E3E">
        <w:rPr>
          <w:rFonts w:ascii="Times New Roman" w:hAnsi="Times New Roman"/>
        </w:rPr>
        <w:t>errorism</w:t>
      </w:r>
      <w:proofErr w:type="spellEnd"/>
      <w:r w:rsidRPr="004C6E3E">
        <w:rPr>
          <w:rFonts w:ascii="Times New Roman" w:hAnsi="Times New Roman"/>
        </w:rPr>
        <w:t xml:space="preserve"> poses a </w:t>
      </w:r>
      <w:r w:rsidRPr="004C6E3E">
        <w:rPr>
          <w:rFonts w:ascii="Times New Roman" w:hAnsi="Times New Roman"/>
          <w:i/>
          <w:iCs/>
        </w:rPr>
        <w:t>singular threat</w:t>
      </w:r>
      <w:r w:rsidRPr="004C6E3E">
        <w:rPr>
          <w:rFonts w:ascii="Times New Roman" w:hAnsi="Times New Roman"/>
        </w:rPr>
        <w:t xml:space="preserve"> to civil society" (emphasis added).</w:t>
      </w:r>
    </w:p>
    <w:p w14:paraId="628F4596" w14:textId="77777777" w:rsidR="00E3198A" w:rsidRPr="004C6E3E" w:rsidRDefault="00E3198A" w:rsidP="004C6E3E">
      <w:pPr>
        <w:pStyle w:val="HeadingL1"/>
        <w:spacing w:after="260" w:line="280" w:lineRule="exact"/>
        <w:ind w:right="0"/>
        <w:jc w:val="both"/>
        <w:rPr>
          <w:rFonts w:ascii="Times New Roman" w:hAnsi="Times New Roman"/>
        </w:rPr>
      </w:pPr>
      <w:r w:rsidRPr="004C6E3E">
        <w:rPr>
          <w:rFonts w:ascii="Times New Roman" w:hAnsi="Times New Roman"/>
        </w:rPr>
        <w:t>HRSO Act, in its operation to robbery, is contrary to Ch III</w:t>
      </w:r>
    </w:p>
    <w:p w14:paraId="2D6D6BB4"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 HRSO Act is different. Four features of the HRSO Act are significant. First, there is a broad category of offences and conduct that may engage the coercive preventive justice regime under the HRSO Act. What constitutes a "serious offence"</w:t>
      </w:r>
      <w:r w:rsidRPr="004C6E3E">
        <w:rPr>
          <w:rStyle w:val="FootnoteReference"/>
          <w:rFonts w:ascii="Times New Roman" w:hAnsi="Times New Roman"/>
          <w:sz w:val="24"/>
        </w:rPr>
        <w:footnoteReference w:id="317"/>
      </w:r>
      <w:r w:rsidRPr="004C6E3E">
        <w:rPr>
          <w:rFonts w:ascii="Times New Roman" w:hAnsi="Times New Roman"/>
        </w:rPr>
        <w:t xml:space="preserve"> and, correspondingly, the conduct captured by the definition of "serious offence" is very broad</w:t>
      </w:r>
      <w:r w:rsidRPr="004C6E3E">
        <w:rPr>
          <w:rStyle w:val="FootnoteReference"/>
          <w:rFonts w:ascii="Times New Roman" w:hAnsi="Times New Roman"/>
          <w:sz w:val="24"/>
        </w:rPr>
        <w:footnoteReference w:id="318"/>
      </w:r>
      <w:r w:rsidRPr="004C6E3E">
        <w:rPr>
          <w:rFonts w:ascii="Times New Roman" w:hAnsi="Times New Roman"/>
        </w:rPr>
        <w:t>. Second, "[t]he nature and extent of the harm that may be caused to persons or property by commission of a ['serious offence'] will vary widely"</w:t>
      </w:r>
      <w:r w:rsidRPr="004C6E3E">
        <w:rPr>
          <w:rStyle w:val="FootnoteReference"/>
          <w:rFonts w:ascii="Times New Roman" w:hAnsi="Times New Roman"/>
          <w:sz w:val="24"/>
        </w:rPr>
        <w:footnoteReference w:id="319"/>
      </w:r>
      <w:r w:rsidRPr="004C6E3E">
        <w:rPr>
          <w:rFonts w:ascii="Times New Roman" w:hAnsi="Times New Roman"/>
        </w:rPr>
        <w:t>. The harm sought to be protected against is not "grave and specific"</w:t>
      </w:r>
      <w:r w:rsidRPr="004C6E3E">
        <w:rPr>
          <w:rStyle w:val="FootnoteReference"/>
          <w:rFonts w:ascii="Times New Roman" w:hAnsi="Times New Roman"/>
          <w:sz w:val="24"/>
        </w:rPr>
        <w:footnoteReference w:id="320"/>
      </w:r>
      <w:r w:rsidRPr="004C6E3E">
        <w:rPr>
          <w:rFonts w:ascii="Times New Roman" w:hAnsi="Times New Roman"/>
        </w:rPr>
        <w:t>. Third, there is no correlation required by the HRSO Act between the nature or character of the prior offending that a person is serving a sentence of imprisonment for and the nature or character of the offence that a person is found to be at risk of committing and that a restriction order is designed to protect against, save that the offending conduct must have been identified by the Parliament of Western Australia as falling within the definition of "serious offence"</w:t>
      </w:r>
      <w:r w:rsidRPr="004C6E3E">
        <w:rPr>
          <w:rStyle w:val="FootnoteReference"/>
          <w:rFonts w:ascii="Times New Roman" w:hAnsi="Times New Roman"/>
          <w:sz w:val="24"/>
        </w:rPr>
        <w:footnoteReference w:id="321"/>
      </w:r>
      <w:r w:rsidRPr="004C6E3E">
        <w:rPr>
          <w:rFonts w:ascii="Times New Roman" w:hAnsi="Times New Roman"/>
        </w:rPr>
        <w:t>. Fourth, the requirements to obtain and consider reports prepared by a psychiatrist and a psychologist apply in all circumstances</w:t>
      </w:r>
      <w:r w:rsidRPr="004C6E3E">
        <w:rPr>
          <w:rStyle w:val="FootnoteReference"/>
          <w:rFonts w:ascii="Times New Roman" w:hAnsi="Times New Roman"/>
          <w:sz w:val="24"/>
        </w:rPr>
        <w:footnoteReference w:id="322"/>
      </w:r>
      <w:r w:rsidRPr="004C6E3E">
        <w:rPr>
          <w:rFonts w:ascii="Times New Roman" w:hAnsi="Times New Roman"/>
        </w:rPr>
        <w:t xml:space="preserve">, even if there is no reason to think </w:t>
      </w:r>
      <w:r w:rsidRPr="004C6E3E">
        <w:rPr>
          <w:rFonts w:ascii="Times New Roman" w:hAnsi="Times New Roman"/>
        </w:rPr>
        <w:lastRenderedPageBreak/>
        <w:t>that psychiatric or psychological factors played any part in the offender's prior offending.</w:t>
      </w:r>
    </w:p>
    <w:p w14:paraId="59C9948F"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 HRSO Act goes beyond the exceptional. It can be engaged in respect of any of numerous so-called "serious offences". Not only that, but the future conduct to be considered is equally broad and, in the case of robbery, is not so exceptional as to warrant such a scheme. The judiciary is left to perform the executive function of preventing a wide range of crimes one offender at a time. And it is required to do that without identifying any underlying justification of the kind that might be identified with respect to sexual offending or terrorism – factors</w:t>
      </w:r>
      <w:r>
        <w:rPr>
          <w:rFonts w:ascii="Times New Roman" w:hAnsi="Times New Roman"/>
        </w:rPr>
        <w:t> </w:t>
      </w:r>
      <w:r w:rsidRPr="004C6E3E">
        <w:rPr>
          <w:rFonts w:ascii="Times New Roman" w:hAnsi="Times New Roman"/>
        </w:rPr>
        <w:t>peculiar to the psychology of sexual offenders or the motives of terrorism offenders are wholly absent.</w:t>
      </w:r>
    </w:p>
    <w:p w14:paraId="25550652"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 potential expansion of preventive detention to address all manner and kinds of criminal offending is by no means far-fetched – it is not an extreme or distorting possibility</w:t>
      </w:r>
      <w:r w:rsidRPr="004C6E3E">
        <w:rPr>
          <w:rStyle w:val="FootnoteReference"/>
          <w:rFonts w:ascii="Times New Roman" w:hAnsi="Times New Roman"/>
          <w:sz w:val="24"/>
        </w:rPr>
        <w:footnoteReference w:id="323"/>
      </w:r>
      <w:r w:rsidRPr="004C6E3E">
        <w:rPr>
          <w:rFonts w:ascii="Times New Roman" w:hAnsi="Times New Roman"/>
        </w:rPr>
        <w:t>. Nor is the problem new. An example from the United Kingdom (albeit in the context of sentencing offenders, rather than post</w:t>
      </w:r>
      <w:r w:rsidRPr="004C6E3E">
        <w:rPr>
          <w:rFonts w:ascii="Times New Roman" w:hAnsi="Times New Roman"/>
        </w:rPr>
        <w:noBreakHyphen/>
        <w:t>sentence preventive detention</w:t>
      </w:r>
      <w:r w:rsidRPr="004C6E3E">
        <w:rPr>
          <w:rStyle w:val="FootnoteReference"/>
          <w:rFonts w:ascii="Times New Roman" w:hAnsi="Times New Roman"/>
          <w:sz w:val="24"/>
        </w:rPr>
        <w:footnoteReference w:id="324"/>
      </w:r>
      <w:r w:rsidRPr="004C6E3E">
        <w:rPr>
          <w:rFonts w:ascii="Times New Roman" w:hAnsi="Times New Roman"/>
        </w:rPr>
        <w:t xml:space="preserve">) well illustrates the point. Section 10 of the </w:t>
      </w:r>
      <w:r w:rsidRPr="004C6E3E">
        <w:rPr>
          <w:rFonts w:ascii="Times New Roman" w:hAnsi="Times New Roman"/>
          <w:i/>
        </w:rPr>
        <w:t>Prevention of Crime Act 1908</w:t>
      </w:r>
      <w:r w:rsidRPr="004C6E3E">
        <w:rPr>
          <w:rFonts w:ascii="Times New Roman" w:hAnsi="Times New Roman"/>
        </w:rPr>
        <w:t xml:space="preserve"> (UK) provided for a court to order preventive detention of "habitual criminal[s]". Where the court passed a sentence of penal servitude and </w:t>
      </w:r>
      <w:proofErr w:type="gramStart"/>
      <w:r w:rsidRPr="004C6E3E">
        <w:rPr>
          <w:rFonts w:ascii="Times New Roman" w:hAnsi="Times New Roman"/>
        </w:rPr>
        <w:t>was of the opinion that</w:t>
      </w:r>
      <w:proofErr w:type="gramEnd"/>
      <w:r w:rsidRPr="004C6E3E">
        <w:rPr>
          <w:rFonts w:ascii="Times New Roman" w:hAnsi="Times New Roman"/>
        </w:rPr>
        <w:t xml:space="preserve"> by reason of the offender's "criminal habits and mode of life" it was "expedient for the protection of the public that the offender should be kept in detention for a lengthened period of years", the court could pass a further sentence of preventive detention.</w:t>
      </w:r>
    </w:p>
    <w:p w14:paraId="49E03F7F"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A report of an Advisory Council on the Treatment of Offenders in the United Kingdom stated that "[b]</w:t>
      </w:r>
      <w:proofErr w:type="spellStart"/>
      <w:r w:rsidRPr="004C6E3E">
        <w:rPr>
          <w:rFonts w:ascii="Times New Roman" w:hAnsi="Times New Roman"/>
        </w:rPr>
        <w:t>etween</w:t>
      </w:r>
      <w:proofErr w:type="spellEnd"/>
      <w:r w:rsidRPr="004C6E3E">
        <w:rPr>
          <w:rFonts w:ascii="Times New Roman" w:hAnsi="Times New Roman"/>
        </w:rPr>
        <w:t xml:space="preserve"> 1908 and 1911 it had become apparent that the police, in presenting cases to the Director of Public Prosecutions for indictment as habitual criminals, were applying widely varying standards and were presenting offenders for whom preventive detention had not been intended"</w:t>
      </w:r>
      <w:r w:rsidRPr="004C6E3E">
        <w:rPr>
          <w:rStyle w:val="FootnoteReference"/>
          <w:rFonts w:ascii="Times New Roman" w:hAnsi="Times New Roman"/>
          <w:sz w:val="24"/>
        </w:rPr>
        <w:footnoteReference w:id="325"/>
      </w:r>
      <w:r w:rsidRPr="004C6E3E">
        <w:rPr>
          <w:rFonts w:ascii="Times New Roman" w:hAnsi="Times New Roman"/>
        </w:rPr>
        <w:t xml:space="preserve">. A 1911 memorandum by the Home Secretary recorded that the </w:t>
      </w:r>
      <w:r w:rsidRPr="004C6E3E">
        <w:rPr>
          <w:rFonts w:ascii="Times New Roman" w:hAnsi="Times New Roman"/>
          <w:i/>
        </w:rPr>
        <w:t>Prevention of Crime Act</w:t>
      </w:r>
      <w:r w:rsidRPr="004C6E3E">
        <w:rPr>
          <w:rFonts w:ascii="Times New Roman" w:hAnsi="Times New Roman"/>
        </w:rPr>
        <w:t xml:space="preserve"> </w:t>
      </w:r>
      <w:r w:rsidRPr="004C6E3E">
        <w:rPr>
          <w:rFonts w:ascii="Times New Roman" w:hAnsi="Times New Roman"/>
        </w:rPr>
        <w:lastRenderedPageBreak/>
        <w:t>was intended to deal with "the persistent dangerous criminal" and not with persons who were "a nuisance rather than a danger to society"</w:t>
      </w:r>
      <w:r w:rsidRPr="004C6E3E">
        <w:rPr>
          <w:rStyle w:val="FootnoteReference"/>
          <w:rFonts w:ascii="Times New Roman" w:hAnsi="Times New Roman"/>
          <w:sz w:val="24"/>
        </w:rPr>
        <w:footnoteReference w:id="326"/>
      </w:r>
      <w:r w:rsidRPr="004C6E3E">
        <w:rPr>
          <w:rFonts w:ascii="Times New Roman" w:hAnsi="Times New Roman"/>
        </w:rPr>
        <w:t>.</w:t>
      </w:r>
    </w:p>
    <w:p w14:paraId="3AF0BE75"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The Advisory Council relevantly observed that, after a new provision dealing with preventive detention was enacted in the </w:t>
      </w:r>
      <w:r w:rsidRPr="004C6E3E">
        <w:rPr>
          <w:rFonts w:ascii="Times New Roman" w:hAnsi="Times New Roman"/>
          <w:i/>
          <w:iCs/>
        </w:rPr>
        <w:t>Criminal Justice Act 1948</w:t>
      </w:r>
      <w:r w:rsidRPr="004C6E3E">
        <w:rPr>
          <w:rFonts w:ascii="Times New Roman" w:hAnsi="Times New Roman"/>
        </w:rPr>
        <w:t xml:space="preserve"> (UK)</w:t>
      </w:r>
      <w:r w:rsidRPr="004C6E3E">
        <w:rPr>
          <w:rStyle w:val="FootnoteReference"/>
          <w:rFonts w:ascii="Times New Roman" w:hAnsi="Times New Roman"/>
          <w:sz w:val="24"/>
        </w:rPr>
        <w:footnoteReference w:id="327"/>
      </w:r>
      <w:r w:rsidRPr="004C6E3E">
        <w:rPr>
          <w:rFonts w:ascii="Times New Roman" w:hAnsi="Times New Roman"/>
        </w:rPr>
        <w:t xml:space="preserve"> several decades later, "[</w:t>
      </w:r>
      <w:proofErr w:type="spellStart"/>
      <w:r w:rsidRPr="004C6E3E">
        <w:rPr>
          <w:rFonts w:ascii="Times New Roman" w:hAnsi="Times New Roman"/>
        </w:rPr>
        <w:t>i</w:t>
      </w:r>
      <w:proofErr w:type="spellEnd"/>
      <w:r w:rsidRPr="004C6E3E">
        <w:rPr>
          <w:rFonts w:ascii="Times New Roman" w:hAnsi="Times New Roman"/>
        </w:rPr>
        <w:t>]t [was] clear ... that preventive detention [had] not infrequently been imposed for relatively minor offences", including where the value of the property concerned was £10 or less</w:t>
      </w:r>
      <w:r w:rsidRPr="004C6E3E">
        <w:rPr>
          <w:rStyle w:val="FootnoteReference"/>
          <w:rFonts w:ascii="Times New Roman" w:hAnsi="Times New Roman"/>
          <w:sz w:val="24"/>
        </w:rPr>
        <w:footnoteReference w:id="328"/>
      </w:r>
      <w:r w:rsidRPr="004C6E3E">
        <w:rPr>
          <w:rFonts w:ascii="Times New Roman" w:hAnsi="Times New Roman"/>
        </w:rPr>
        <w:t xml:space="preserve">. The Advisory Council acknowledged that it was, to some extent, borne out that under the </w:t>
      </w:r>
      <w:r w:rsidRPr="004C6E3E">
        <w:rPr>
          <w:rFonts w:ascii="Times New Roman" w:hAnsi="Times New Roman"/>
          <w:i/>
          <w:iCs/>
        </w:rPr>
        <w:t>Criminal Justice Act</w:t>
      </w:r>
      <w:r w:rsidRPr="004C6E3E">
        <w:rPr>
          <w:rFonts w:ascii="Times New Roman" w:hAnsi="Times New Roman"/>
        </w:rPr>
        <w:t xml:space="preserve"> it remained the "nuisances" rather than the dangerous criminals who had been the recipients of preventive detention</w:t>
      </w:r>
      <w:r w:rsidRPr="004C6E3E">
        <w:rPr>
          <w:rStyle w:val="FootnoteReference"/>
          <w:rFonts w:ascii="Times New Roman" w:hAnsi="Times New Roman"/>
          <w:sz w:val="24"/>
        </w:rPr>
        <w:footnoteReference w:id="329"/>
      </w:r>
      <w:r w:rsidRPr="004C6E3E">
        <w:rPr>
          <w:rFonts w:ascii="Times New Roman" w:hAnsi="Times New Roman"/>
        </w:rPr>
        <w:t xml:space="preserve">. The Advisory Council also referred to research that had "shown conclusively that </w:t>
      </w:r>
      <w:proofErr w:type="gramStart"/>
      <w:r w:rsidRPr="004C6E3E">
        <w:rPr>
          <w:rFonts w:ascii="Times New Roman" w:hAnsi="Times New Roman"/>
        </w:rPr>
        <w:t>the majority of</w:t>
      </w:r>
      <w:proofErr w:type="gramEnd"/>
      <w:r w:rsidRPr="004C6E3E">
        <w:rPr>
          <w:rFonts w:ascii="Times New Roman" w:hAnsi="Times New Roman"/>
        </w:rPr>
        <w:t xml:space="preserve"> preventive detainees [were] of the passive-inadequate type, feckless and ineffective in every sphere, who regard the commission of crime as a means of escaping immediate difficulties rather than a part of a deliberately anti-social way of life. Very few of them [were] of the seriously violent or aggressive type of personality"</w:t>
      </w:r>
      <w:r w:rsidRPr="004C6E3E">
        <w:rPr>
          <w:rStyle w:val="FootnoteReference"/>
          <w:rFonts w:ascii="Times New Roman" w:hAnsi="Times New Roman"/>
          <w:sz w:val="24"/>
        </w:rPr>
        <w:footnoteReference w:id="330"/>
      </w:r>
      <w:r w:rsidRPr="004C6E3E">
        <w:rPr>
          <w:rFonts w:ascii="Times New Roman" w:hAnsi="Times New Roman"/>
        </w:rPr>
        <w:t>. They added that it must, however, be recognised that "the community ought to be protected ... both</w:t>
      </w:r>
      <w:r>
        <w:rPr>
          <w:rFonts w:ascii="Times New Roman" w:hAnsi="Times New Roman"/>
        </w:rPr>
        <w:t> </w:t>
      </w:r>
      <w:r w:rsidRPr="004C6E3E">
        <w:rPr>
          <w:rFonts w:ascii="Times New Roman" w:hAnsi="Times New Roman"/>
        </w:rPr>
        <w:t xml:space="preserve">from the dangerous criminals ... and </w:t>
      </w:r>
      <w:r w:rsidRPr="004C6E3E">
        <w:rPr>
          <w:rFonts w:ascii="Times New Roman" w:hAnsi="Times New Roman"/>
          <w:i/>
        </w:rPr>
        <w:t>from the more numerous offenders</w:t>
      </w:r>
      <w:r w:rsidRPr="004C6E3E">
        <w:rPr>
          <w:rFonts w:ascii="Times New Roman" w:hAnsi="Times New Roman"/>
        </w:rPr>
        <w:t xml:space="preserve"> who practise thefts or frauds on victims who may be severely afflicted by the loss of a small sum or seriously distressed by what may rank as very minor housebreakings"</w:t>
      </w:r>
      <w:r w:rsidRPr="004C6E3E">
        <w:rPr>
          <w:rStyle w:val="FootnoteReference"/>
          <w:rFonts w:ascii="Times New Roman" w:hAnsi="Times New Roman"/>
          <w:sz w:val="24"/>
        </w:rPr>
        <w:footnoteReference w:id="331"/>
      </w:r>
      <w:r w:rsidRPr="004C6E3E">
        <w:rPr>
          <w:rFonts w:ascii="Times New Roman" w:hAnsi="Times New Roman"/>
        </w:rPr>
        <w:t xml:space="preserve"> (emphasis added). Put simply, as that historical experience suggests, "[</w:t>
      </w:r>
      <w:proofErr w:type="spellStart"/>
      <w:r w:rsidRPr="004C6E3E">
        <w:rPr>
          <w:rFonts w:ascii="Times New Roman" w:hAnsi="Times New Roman"/>
        </w:rPr>
        <w:t>i</w:t>
      </w:r>
      <w:proofErr w:type="spellEnd"/>
      <w:r w:rsidRPr="004C6E3E">
        <w:rPr>
          <w:rFonts w:ascii="Times New Roman" w:hAnsi="Times New Roman"/>
        </w:rPr>
        <w:t>]</w:t>
      </w:r>
      <w:proofErr w:type="spellStart"/>
      <w:r w:rsidRPr="004C6E3E">
        <w:rPr>
          <w:rFonts w:ascii="Times New Roman" w:hAnsi="Times New Roman"/>
        </w:rPr>
        <w:t>mprisonment</w:t>
      </w:r>
      <w:proofErr w:type="spellEnd"/>
      <w:r w:rsidRPr="004C6E3E">
        <w:rPr>
          <w:rFonts w:ascii="Times New Roman" w:hAnsi="Times New Roman"/>
        </w:rPr>
        <w:t xml:space="preserve"> to protect society from predicted but unconsummated offences is ... fraught with danger of excesses and injustice"</w:t>
      </w:r>
      <w:r w:rsidRPr="004C6E3E">
        <w:rPr>
          <w:rStyle w:val="FootnoteReference"/>
          <w:rFonts w:ascii="Times New Roman" w:hAnsi="Times New Roman"/>
          <w:sz w:val="24"/>
        </w:rPr>
        <w:footnoteReference w:id="332"/>
      </w:r>
      <w:r w:rsidRPr="004C6E3E">
        <w:rPr>
          <w:rFonts w:ascii="Times New Roman" w:hAnsi="Times New Roman"/>
        </w:rPr>
        <w:t>.</w:t>
      </w:r>
    </w:p>
    <w:p w14:paraId="40C767BE"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lastRenderedPageBreak/>
        <w:tab/>
        <w:t>"The premise which underpins making any conduct a crime is that its commission works some harm to society"</w:t>
      </w:r>
      <w:r w:rsidRPr="004C6E3E">
        <w:rPr>
          <w:rStyle w:val="FootnoteReference"/>
          <w:rFonts w:ascii="Times New Roman" w:hAnsi="Times New Roman"/>
          <w:sz w:val="24"/>
        </w:rPr>
        <w:footnoteReference w:id="333"/>
      </w:r>
      <w:r w:rsidRPr="004C6E3E">
        <w:rPr>
          <w:rFonts w:ascii="Times New Roman" w:hAnsi="Times New Roman"/>
        </w:rPr>
        <w:t xml:space="preserve"> and, as explained, detaining a person in custody will always prevent that person from committing a crime that they would commit if released from custody. If it is permissible, consistently with Ch III, for preventive detention to be ordered to protect against an unacceptable risk that a person convicted of a "serious offence" (whether robbery or another "serious offence") in the past will commit a robbery in the future or that a person convicted of robbery in the past will commit a "serious offence" in the future (whether robbery or another "serious offence"), then what is the basis for a limitation on State legislatures extending preventive detention to any offence that involves harm or a threat of harm to a person? And where does it stop? What is the outer limit? It is difficult to see why preventive detention could not be ordered in respect of a range of property offences – for example, "theft" not in the presence of any victim and unaccompanied by any threat or act of violence or fraud. Indeed,</w:t>
      </w:r>
      <w:r>
        <w:rPr>
          <w:rFonts w:ascii="Times New Roman" w:hAnsi="Times New Roman"/>
        </w:rPr>
        <w:t> </w:t>
      </w:r>
      <w:r w:rsidRPr="004C6E3E">
        <w:rPr>
          <w:rFonts w:ascii="Times New Roman" w:hAnsi="Times New Roman"/>
        </w:rPr>
        <w:t>the Solicitor</w:t>
      </w:r>
      <w:r w:rsidRPr="004C6E3E">
        <w:rPr>
          <w:rFonts w:ascii="Times New Roman" w:hAnsi="Times New Roman"/>
        </w:rPr>
        <w:noBreakHyphen/>
        <w:t xml:space="preserve">General for Western Australia frankly acknowledged during oral argument that, on the submissions of the Attorney-General for Western Australia, "as a matter of principle", there was "probably not" any offence in the </w:t>
      </w:r>
      <w:r w:rsidRPr="004C6E3E">
        <w:rPr>
          <w:rFonts w:ascii="Times New Roman" w:hAnsi="Times New Roman"/>
          <w:i/>
        </w:rPr>
        <w:t>Criminal Code</w:t>
      </w:r>
      <w:r w:rsidRPr="004C6E3E">
        <w:rPr>
          <w:rFonts w:ascii="Times New Roman" w:hAnsi="Times New Roman"/>
        </w:rPr>
        <w:t xml:space="preserve"> (WA) that could not be the subject of the preventive detention regime under the HRSO Act. That cannot be accepted.</w:t>
      </w:r>
    </w:p>
    <w:p w14:paraId="3CE3CAAD"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Speaking of the HRSO Act as "protective" presents a question, not the answer. How is it protective? Is it protective in a way in which the judicial branch should and can be involved? The answer is "no". It is "no" because the HRSO Act seeks to protect against recidivism in relation to a broad range of offences.</w:t>
      </w:r>
    </w:p>
    <w:p w14:paraId="09E322D9"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Under the HRSO Act, "preventive justice" is punishment </w:t>
      </w:r>
      <w:proofErr w:type="gramStart"/>
      <w:r w:rsidRPr="004C6E3E">
        <w:rPr>
          <w:rFonts w:ascii="Times New Roman" w:hAnsi="Times New Roman"/>
        </w:rPr>
        <w:t>on the basis of</w:t>
      </w:r>
      <w:proofErr w:type="gramEnd"/>
      <w:r w:rsidRPr="004C6E3E">
        <w:rPr>
          <w:rFonts w:ascii="Times New Roman" w:hAnsi="Times New Roman"/>
        </w:rPr>
        <w:t xml:space="preserve"> a risk of recidivism or tendency to commit crime; preventive detention is being used "to deal with the problem of the persistent offender"</w:t>
      </w:r>
      <w:r w:rsidRPr="004C6E3E">
        <w:rPr>
          <w:rStyle w:val="FootnoteReference"/>
          <w:rFonts w:ascii="Times New Roman" w:hAnsi="Times New Roman"/>
          <w:sz w:val="24"/>
        </w:rPr>
        <w:footnoteReference w:id="334"/>
      </w:r>
      <w:r w:rsidRPr="004C6E3E">
        <w:rPr>
          <w:rFonts w:ascii="Times New Roman" w:hAnsi="Times New Roman"/>
        </w:rPr>
        <w:t>. It may be that factors such as drug and alcohol abuse commonly contribute to certain types of repeat offending behaviour which the HRSO Act regime seeks to protect the community from; but</w:t>
      </w:r>
      <w:r>
        <w:rPr>
          <w:rFonts w:ascii="Times New Roman" w:hAnsi="Times New Roman"/>
        </w:rPr>
        <w:t> </w:t>
      </w:r>
      <w:r w:rsidRPr="004C6E3E">
        <w:rPr>
          <w:rFonts w:ascii="Times New Roman" w:hAnsi="Times New Roman"/>
        </w:rPr>
        <w:t xml:space="preserve">that is hardly exceptional. </w:t>
      </w:r>
      <w:r w:rsidRPr="004C6E3E">
        <w:rPr>
          <w:rFonts w:ascii="Times New Roman" w:hAnsi="Times New Roman"/>
          <w:iCs/>
        </w:rPr>
        <w:t>The preventive detention regime under the HRSO</w:t>
      </w:r>
      <w:r>
        <w:rPr>
          <w:rFonts w:ascii="Times New Roman" w:hAnsi="Times New Roman"/>
          <w:iCs/>
        </w:rPr>
        <w:t> </w:t>
      </w:r>
      <w:r w:rsidRPr="004C6E3E">
        <w:rPr>
          <w:rFonts w:ascii="Times New Roman" w:hAnsi="Times New Roman"/>
          <w:iCs/>
        </w:rPr>
        <w:t>Act applies to an extraordinarily large class of potential offenders; not to "a</w:t>
      </w:r>
      <w:r>
        <w:rPr>
          <w:rFonts w:ascii="Times New Roman" w:hAnsi="Times New Roman"/>
          <w:iCs/>
        </w:rPr>
        <w:t> </w:t>
      </w:r>
      <w:r w:rsidRPr="004C6E3E">
        <w:rPr>
          <w:rFonts w:ascii="Times New Roman" w:hAnsi="Times New Roman"/>
          <w:iCs/>
        </w:rPr>
        <w:t>small number of unfortunate individuals who suffer disorders which make them dangerous to others"</w:t>
      </w:r>
      <w:r w:rsidRPr="004C6E3E">
        <w:rPr>
          <w:rStyle w:val="FootnoteReference"/>
          <w:rFonts w:ascii="Times New Roman" w:hAnsi="Times New Roman"/>
          <w:iCs/>
          <w:sz w:val="24"/>
        </w:rPr>
        <w:footnoteReference w:id="335"/>
      </w:r>
      <w:r w:rsidRPr="004C6E3E">
        <w:rPr>
          <w:rFonts w:ascii="Times New Roman" w:hAnsi="Times New Roman"/>
          <w:iCs/>
        </w:rPr>
        <w:t>. Not all recidivist offenders are "disorder[ed]" individuals</w:t>
      </w:r>
      <w:r>
        <w:rPr>
          <w:rFonts w:ascii="Times New Roman" w:hAnsi="Times New Roman"/>
          <w:iCs/>
        </w:rPr>
        <w:t> </w:t>
      </w:r>
      <w:r w:rsidRPr="004C6E3E">
        <w:rPr>
          <w:rFonts w:ascii="Times New Roman" w:hAnsi="Times New Roman"/>
          <w:iCs/>
        </w:rPr>
        <w:t xml:space="preserve">of the kind described by Gleeson CJ in </w:t>
      </w:r>
      <w:proofErr w:type="spellStart"/>
      <w:r w:rsidRPr="004C6E3E">
        <w:rPr>
          <w:rFonts w:ascii="Times New Roman" w:hAnsi="Times New Roman"/>
          <w:i/>
        </w:rPr>
        <w:t>Fardon</w:t>
      </w:r>
      <w:proofErr w:type="spellEnd"/>
      <w:r w:rsidRPr="004C6E3E">
        <w:rPr>
          <w:rStyle w:val="FootnoteReference"/>
          <w:rFonts w:ascii="Times New Roman" w:hAnsi="Times New Roman"/>
          <w:iCs/>
          <w:sz w:val="24"/>
        </w:rPr>
        <w:footnoteReference w:id="336"/>
      </w:r>
      <w:r w:rsidRPr="004C6E3E">
        <w:rPr>
          <w:rFonts w:ascii="Times New Roman" w:hAnsi="Times New Roman"/>
          <w:iCs/>
        </w:rPr>
        <w:t>.</w:t>
      </w:r>
    </w:p>
    <w:p w14:paraId="69BC83B2"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lastRenderedPageBreak/>
        <w:tab/>
        <w:t>Loss of liberty as a punishment is ordinarily one of the hallmarks reserved to criminal proceedings conducted in courts, with the protections and assurances that criminal proceedings provide</w:t>
      </w:r>
      <w:r w:rsidRPr="004C6E3E">
        <w:rPr>
          <w:rStyle w:val="FootnoteReference"/>
          <w:rFonts w:ascii="Times New Roman" w:hAnsi="Times New Roman"/>
          <w:sz w:val="24"/>
        </w:rPr>
        <w:footnoteReference w:id="337"/>
      </w:r>
      <w:r w:rsidRPr="004C6E3E">
        <w:rPr>
          <w:rFonts w:ascii="Times New Roman" w:hAnsi="Times New Roman"/>
        </w:rPr>
        <w:t>. Those assurances include that in the trial of an individual for an offence at the instigation of the Executive, "[t]</w:t>
      </w:r>
      <w:proofErr w:type="gramStart"/>
      <w:r w:rsidRPr="004C6E3E">
        <w:rPr>
          <w:rFonts w:ascii="Times New Roman" w:hAnsi="Times New Roman"/>
        </w:rPr>
        <w:t>he</w:t>
      </w:r>
      <w:proofErr w:type="gramEnd"/>
      <w:r w:rsidRPr="004C6E3E">
        <w:rPr>
          <w:rFonts w:ascii="Times New Roman" w:hAnsi="Times New Roman"/>
        </w:rPr>
        <w:t xml:space="preserve"> judiciary is called on ... to hear and authoritatively determine a controversy about </w:t>
      </w:r>
      <w:r w:rsidRPr="004C6E3E">
        <w:rPr>
          <w:rFonts w:ascii="Times New Roman" w:hAnsi="Times New Roman"/>
          <w:i/>
          <w:iCs/>
        </w:rPr>
        <w:t xml:space="preserve">an existing liability of the individual </w:t>
      </w:r>
      <w:r w:rsidRPr="004C6E3E">
        <w:rPr>
          <w:rFonts w:ascii="Times New Roman" w:hAnsi="Times New Roman"/>
        </w:rPr>
        <w:t>which is claimed by the executive to arise solely from the operation of some positive law on some past event or conduct"</w:t>
      </w:r>
      <w:r w:rsidRPr="004C6E3E">
        <w:rPr>
          <w:rStyle w:val="FootnoteReference"/>
          <w:rFonts w:ascii="Times New Roman" w:hAnsi="Times New Roman"/>
          <w:sz w:val="24"/>
        </w:rPr>
        <w:footnoteReference w:id="338"/>
      </w:r>
      <w:r w:rsidRPr="004C6E3E">
        <w:rPr>
          <w:rFonts w:ascii="Times New Roman" w:hAnsi="Times New Roman"/>
        </w:rPr>
        <w:t xml:space="preserve"> (emphasis</w:t>
      </w:r>
      <w:r>
        <w:rPr>
          <w:rFonts w:ascii="Times New Roman" w:hAnsi="Times New Roman"/>
        </w:rPr>
        <w:t> </w:t>
      </w:r>
      <w:r w:rsidRPr="004C6E3E">
        <w:rPr>
          <w:rFonts w:ascii="Times New Roman" w:hAnsi="Times New Roman"/>
        </w:rPr>
        <w:t>added). The normalisation of judicial preventive detention orders means that "the distinctive character of the judiciary as the constitutional arbiter of disputes about rights between the citizen and the State will become increasingly less distinct. Incrementally but inexorably the judiciary will be drawn ever more deeply into a process in which institutional boundaries are blurred and by which its institutional independence is diminished"</w:t>
      </w:r>
      <w:r w:rsidRPr="004C6E3E">
        <w:rPr>
          <w:rStyle w:val="FootnoteReference"/>
          <w:rFonts w:ascii="Times New Roman" w:hAnsi="Times New Roman"/>
          <w:sz w:val="24"/>
        </w:rPr>
        <w:footnoteReference w:id="339"/>
      </w:r>
      <w:r w:rsidRPr="004C6E3E">
        <w:rPr>
          <w:rFonts w:ascii="Times New Roman" w:hAnsi="Times New Roman"/>
        </w:rPr>
        <w:t>.</w:t>
      </w:r>
    </w:p>
    <w:p w14:paraId="00152B98"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That cannot be permitted because it is corrosive to – it erodes – the core constitutional values underpinning and protected by Ch III of the </w:t>
      </w:r>
      <w:r w:rsidRPr="004C6E3E">
        <w:rPr>
          <w:rFonts w:ascii="Times New Roman" w:hAnsi="Times New Roman"/>
          <w:i/>
          <w:iCs/>
        </w:rPr>
        <w:t>Constitution</w:t>
      </w:r>
      <w:r w:rsidRPr="004C6E3E">
        <w:rPr>
          <w:rFonts w:ascii="Times New Roman" w:hAnsi="Times New Roman"/>
        </w:rPr>
        <w:t>: the judicial protection of liberty and the protection of the independence and impartiality of the judiciary. That is not a concern limited to the exercise of Commonwealth judicial power; those values must be protected to ensure that State courts are suitable repositories of federal jurisdiction. Chapter III does not permit of different grades or qualities of justice</w:t>
      </w:r>
      <w:r w:rsidRPr="004C6E3E">
        <w:rPr>
          <w:rStyle w:val="FootnoteReference"/>
          <w:rFonts w:ascii="Times New Roman" w:hAnsi="Times New Roman"/>
          <w:sz w:val="24"/>
        </w:rPr>
        <w:footnoteReference w:id="340"/>
      </w:r>
      <w:r w:rsidRPr="004C6E3E">
        <w:rPr>
          <w:rFonts w:ascii="Times New Roman" w:hAnsi="Times New Roman"/>
        </w:rPr>
        <w:t xml:space="preserve">, and that is especially so where the justice fundamentally affects the liberty of the individual. Indeed, it would be remiss not to acknowledge that the Justices in the majority in </w:t>
      </w:r>
      <w:r w:rsidRPr="004C6E3E">
        <w:rPr>
          <w:rFonts w:ascii="Times New Roman" w:hAnsi="Times New Roman"/>
          <w:i/>
          <w:iCs/>
        </w:rPr>
        <w:t>Kable</w:t>
      </w:r>
      <w:r w:rsidRPr="004C6E3E">
        <w:rPr>
          <w:rFonts w:ascii="Times New Roman" w:hAnsi="Times New Roman"/>
        </w:rPr>
        <w:t xml:space="preserve"> were themselves plainly cognisant of the risks posed by State courts imposing post</w:t>
      </w:r>
      <w:r>
        <w:rPr>
          <w:rFonts w:ascii="Times New Roman" w:hAnsi="Times New Roman"/>
        </w:rPr>
        <w:noBreakHyphen/>
      </w:r>
      <w:r w:rsidRPr="004C6E3E">
        <w:rPr>
          <w:rFonts w:ascii="Times New Roman" w:hAnsi="Times New Roman"/>
        </w:rPr>
        <w:t>sentence preventive detention divorced from the function of adjudging and punishing criminal guilt</w:t>
      </w:r>
      <w:r w:rsidRPr="004C6E3E">
        <w:rPr>
          <w:rStyle w:val="FootnoteReference"/>
          <w:rFonts w:ascii="Times New Roman" w:hAnsi="Times New Roman"/>
          <w:sz w:val="24"/>
        </w:rPr>
        <w:footnoteReference w:id="341"/>
      </w:r>
      <w:r w:rsidRPr="004C6E3E">
        <w:rPr>
          <w:rFonts w:ascii="Times New Roman" w:hAnsi="Times New Roman"/>
        </w:rPr>
        <w:t xml:space="preserve">. The Court must remain vigilant to prevent those risks </w:t>
      </w:r>
      <w:r w:rsidRPr="004C6E3E">
        <w:rPr>
          <w:rFonts w:ascii="Times New Roman" w:hAnsi="Times New Roman"/>
        </w:rPr>
        <w:lastRenderedPageBreak/>
        <w:t>from materialising, whether they are "dramatic and obvious" or "small and incremental"</w:t>
      </w:r>
      <w:r w:rsidRPr="004C6E3E">
        <w:rPr>
          <w:rStyle w:val="FootnoteReference"/>
          <w:rFonts w:ascii="Times New Roman" w:hAnsi="Times New Roman"/>
          <w:sz w:val="24"/>
        </w:rPr>
        <w:footnoteReference w:id="342"/>
      </w:r>
      <w:r w:rsidRPr="004C6E3E">
        <w:rPr>
          <w:rFonts w:ascii="Times New Roman" w:hAnsi="Times New Roman"/>
        </w:rPr>
        <w:t>.</w:t>
      </w:r>
    </w:p>
    <w:p w14:paraId="47361739"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In its operation with respect to robbery, the HRSO Act undermines the two key rationales – or constitutional values – that underpin Ch III's strict separation of federal judicial power. The HRSO Act seeks to normalise preventive detention in the custody of the State, something that must, under our constitutional system, be "exceptional". It opens the door to a general practice of preventive detention – a parallel system of "preventive justice", administered by courts that are repositories of federal jurisdiction – divorced from the administration of the criminal law, where the judiciary is the key player authorising the detention of individuals in custody by the Executive because they are "criminal types". Here, the "criminal type" was a man – Mr Garlett – who, prior to being incarcerated in November 2017, was convicted of his first offences as an adult (then aged 23) for committing burglary and robbery when he entered a home without the occupants' consent and stole, with threats of violence, $20 and a pendant necklace whilst in the presence of others, including his sister, and pretending to be armed with a handgun</w:t>
      </w:r>
      <w:r w:rsidRPr="004C6E3E">
        <w:rPr>
          <w:rStyle w:val="FootnoteReference"/>
          <w:rFonts w:ascii="Times New Roman" w:hAnsi="Times New Roman"/>
          <w:sz w:val="24"/>
        </w:rPr>
        <w:footnoteReference w:id="343"/>
      </w:r>
      <w:r w:rsidRPr="004C6E3E">
        <w:rPr>
          <w:rFonts w:ascii="Times New Roman" w:hAnsi="Times New Roman"/>
        </w:rPr>
        <w:t>. That is not exceptional. In its operation with respect to robbery, the preventive detention regime authorised by the HRSO Act simply comes at too great a cost to the constitutional framework required by the separation of powers and the core values protected by that framework.</w:t>
      </w:r>
    </w:p>
    <w:p w14:paraId="0125B79C" w14:textId="77777777" w:rsidR="00E3198A" w:rsidRPr="004C6E3E"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The fact that, in a particular case, the Supreme Court might decide that a particular offender does not present an "unacceptable" risk of committing a serious offence or that it is not "necessary", in a particular case, to make a restriction order to adequately protect the community from an unacceptable risk, does not address or overcome the issues of principle identified above. And the conclusion that the HRSO Act in its operation with respect to robbery is invalid can, and should, be</w:t>
      </w:r>
      <w:r>
        <w:rPr>
          <w:rFonts w:ascii="Times New Roman" w:hAnsi="Times New Roman"/>
        </w:rPr>
        <w:t> </w:t>
      </w:r>
      <w:r w:rsidRPr="004C6E3E">
        <w:rPr>
          <w:rFonts w:ascii="Times New Roman" w:hAnsi="Times New Roman"/>
        </w:rPr>
        <w:t xml:space="preserve">made now; it does not depend on the objective seriousness of the robbery offences in relation to which continuing detention orders are, in fact, made in future under the HRSO Act. </w:t>
      </w:r>
    </w:p>
    <w:p w14:paraId="1F018AE1" w14:textId="77777777" w:rsidR="00E3198A" w:rsidRPr="004C6E3E" w:rsidRDefault="00E3198A" w:rsidP="004C6E3E">
      <w:pPr>
        <w:pStyle w:val="HeadingL1"/>
        <w:spacing w:after="260" w:line="280" w:lineRule="exact"/>
        <w:ind w:right="0"/>
        <w:jc w:val="both"/>
        <w:rPr>
          <w:rFonts w:ascii="Times New Roman" w:hAnsi="Times New Roman"/>
        </w:rPr>
      </w:pPr>
      <w:r w:rsidRPr="004C6E3E">
        <w:rPr>
          <w:rFonts w:ascii="Times New Roman" w:hAnsi="Times New Roman"/>
        </w:rPr>
        <w:t>Conclusions and orders</w:t>
      </w:r>
    </w:p>
    <w:p w14:paraId="6B711693" w14:textId="525677D7" w:rsidR="00E3198A" w:rsidRPr="00E3198A" w:rsidRDefault="00E3198A" w:rsidP="00E3198A">
      <w:pPr>
        <w:pStyle w:val="FixListStyle"/>
        <w:numPr>
          <w:ilvl w:val="0"/>
          <w:numId w:val="18"/>
        </w:numPr>
        <w:spacing w:after="260" w:line="280" w:lineRule="exact"/>
        <w:ind w:left="0" w:right="0" w:hanging="720"/>
        <w:jc w:val="both"/>
        <w:rPr>
          <w:rFonts w:ascii="Times New Roman" w:hAnsi="Times New Roman"/>
        </w:rPr>
      </w:pPr>
      <w:r w:rsidRPr="004C6E3E">
        <w:rPr>
          <w:rFonts w:ascii="Times New Roman" w:hAnsi="Times New Roman"/>
        </w:rPr>
        <w:tab/>
        <w:t xml:space="preserve">For those reasons, the appeal should be allowed with costs. Paragraph (a) of the declaration made by the Supreme Court of Western Australia on 12 November 2021 should be set aside and, in its place, it should be declared that </w:t>
      </w:r>
      <w:r w:rsidRPr="004C6E3E">
        <w:rPr>
          <w:rFonts w:ascii="Times New Roman" w:hAnsi="Times New Roman"/>
        </w:rPr>
        <w:lastRenderedPageBreak/>
        <w:t xml:space="preserve">the </w:t>
      </w:r>
      <w:r w:rsidRPr="004C6E3E">
        <w:rPr>
          <w:rFonts w:ascii="Times New Roman" w:hAnsi="Times New Roman"/>
          <w:iCs/>
        </w:rPr>
        <w:t xml:space="preserve">HRSO Act </w:t>
      </w:r>
      <w:r w:rsidRPr="004C6E3E">
        <w:rPr>
          <w:rFonts w:ascii="Times New Roman" w:hAnsi="Times New Roman"/>
        </w:rPr>
        <w:t xml:space="preserve">is invalid insofar as it operates in respect of </w:t>
      </w:r>
      <w:r>
        <w:rPr>
          <w:rFonts w:ascii="Times New Roman" w:hAnsi="Times New Roman"/>
        </w:rPr>
        <w:t>i</w:t>
      </w:r>
      <w:r w:rsidRPr="004C6E3E">
        <w:rPr>
          <w:rFonts w:ascii="Times New Roman" w:hAnsi="Times New Roman"/>
        </w:rPr>
        <w:t xml:space="preserve">tem 34 of </w:t>
      </w:r>
      <w:proofErr w:type="spellStart"/>
      <w:r w:rsidRPr="004C6E3E">
        <w:rPr>
          <w:rFonts w:ascii="Times New Roman" w:hAnsi="Times New Roman"/>
        </w:rPr>
        <w:t>Subdiv</w:t>
      </w:r>
      <w:proofErr w:type="spellEnd"/>
      <w:r w:rsidRPr="004C6E3E">
        <w:rPr>
          <w:rFonts w:ascii="Times New Roman" w:hAnsi="Times New Roman"/>
        </w:rPr>
        <w:t xml:space="preserve"> 3 in </w:t>
      </w:r>
      <w:proofErr w:type="spellStart"/>
      <w:r w:rsidRPr="004C6E3E">
        <w:rPr>
          <w:rFonts w:ascii="Times New Roman" w:hAnsi="Times New Roman"/>
        </w:rPr>
        <w:t>Div</w:t>
      </w:r>
      <w:proofErr w:type="spellEnd"/>
      <w:r w:rsidRPr="004C6E3E">
        <w:rPr>
          <w:rFonts w:ascii="Times New Roman" w:hAnsi="Times New Roman"/>
        </w:rPr>
        <w:t xml:space="preserve"> 1 in Sch 1 to the </w:t>
      </w:r>
      <w:r w:rsidRPr="004C6E3E">
        <w:rPr>
          <w:rFonts w:ascii="Times New Roman" w:hAnsi="Times New Roman"/>
          <w:iCs/>
        </w:rPr>
        <w:t>HRSO Act</w:t>
      </w:r>
      <w:r w:rsidRPr="004C6E3E">
        <w:rPr>
          <w:rFonts w:ascii="Times New Roman" w:hAnsi="Times New Roman"/>
        </w:rPr>
        <w:t>.</w:t>
      </w:r>
    </w:p>
    <w:p w14:paraId="6A57DADA" w14:textId="77777777" w:rsidR="00E3198A" w:rsidRDefault="00E3198A" w:rsidP="00C06B3A">
      <w:pPr>
        <w:pStyle w:val="FixListStyle"/>
        <w:spacing w:after="260" w:line="280" w:lineRule="exact"/>
        <w:ind w:right="0"/>
        <w:jc w:val="both"/>
        <w:rPr>
          <w:rFonts w:ascii="Times New Roman" w:hAnsi="Times New Roman"/>
        </w:rPr>
        <w:sectPr w:rsidR="00E3198A" w:rsidSect="00E3198A">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608802CB" w14:textId="77777777" w:rsidR="00E3198A" w:rsidRPr="000309F2" w:rsidRDefault="00E3198A" w:rsidP="000309F2">
      <w:pPr>
        <w:pStyle w:val="NormalBody"/>
        <w:tabs>
          <w:tab w:val="clear" w:pos="720"/>
          <w:tab w:val="left" w:pos="0"/>
        </w:tabs>
        <w:spacing w:after="260" w:line="280" w:lineRule="exact"/>
        <w:ind w:right="0"/>
        <w:jc w:val="both"/>
        <w:rPr>
          <w:rFonts w:ascii="Times New Roman" w:hAnsi="Times New Roman"/>
        </w:rPr>
      </w:pPr>
      <w:r w:rsidRPr="000309F2">
        <w:rPr>
          <w:rFonts w:ascii="Times New Roman" w:hAnsi="Times New Roman"/>
        </w:rPr>
        <w:lastRenderedPageBreak/>
        <w:t xml:space="preserve">EDELMAN J.   </w:t>
      </w:r>
    </w:p>
    <w:p w14:paraId="5CE01829"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Introduction</w:t>
      </w:r>
    </w:p>
    <w:p w14:paraId="1C0BC4B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Notwithstanding the views of many philosophers about free will, a fundamental premise of the criminal law is that individuals have free will. An offence is generally the result of a chosen act. One of the most serious responses of the criminal law is to punish that act, and the individual choice, with imprisonment. But for many years parliaments have also permitted people to be imprisoned, by "continuing detention orders", for choices that they have not yet made, and offences that they have not yet committed. The logic of such "punitive</w:t>
      </w:r>
      <w:r w:rsidRPr="000309F2">
        <w:rPr>
          <w:rFonts w:ascii="Times New Roman" w:hAnsi="Times New Roman"/>
        </w:rPr>
        <w:noBreakHyphen/>
        <w:t>preventive"</w:t>
      </w:r>
      <w:r w:rsidRPr="000309F2">
        <w:rPr>
          <w:rStyle w:val="FootnoteReference"/>
          <w:rFonts w:ascii="Times New Roman" w:hAnsi="Times New Roman"/>
          <w:sz w:val="24"/>
        </w:rPr>
        <w:footnoteReference w:id="344"/>
      </w:r>
      <w:r w:rsidRPr="000309F2">
        <w:rPr>
          <w:rFonts w:ascii="Times New Roman" w:hAnsi="Times New Roman"/>
        </w:rPr>
        <w:t xml:space="preserve"> orders – protective punishment</w:t>
      </w:r>
      <w:r w:rsidRPr="000309F2" w:rsidDel="00B50A8B">
        <w:rPr>
          <w:rFonts w:ascii="Times New Roman" w:hAnsi="Times New Roman"/>
        </w:rPr>
        <w:t xml:space="preserve"> </w:t>
      </w:r>
      <w:r w:rsidRPr="000309F2">
        <w:rPr>
          <w:rFonts w:ascii="Times New Roman" w:hAnsi="Times New Roman"/>
        </w:rPr>
        <w:t>– "applies without respect for whether the subject is a responsible agent or not"</w:t>
      </w:r>
      <w:r w:rsidRPr="000309F2">
        <w:rPr>
          <w:rStyle w:val="FootnoteReference"/>
          <w:rFonts w:ascii="Times New Roman" w:hAnsi="Times New Roman"/>
          <w:sz w:val="24"/>
        </w:rPr>
        <w:footnoteReference w:id="345"/>
      </w:r>
      <w:r w:rsidRPr="000309F2">
        <w:rPr>
          <w:rFonts w:ascii="Times New Roman" w:hAnsi="Times New Roman"/>
        </w:rPr>
        <w:t>.</w:t>
      </w:r>
    </w:p>
    <w:p w14:paraId="0A87A3C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Despite the individual injustice of such imprisonment, this Court has upheld the constitutional validity of regimes of continuing detention orders for anticipated serious sexual offences</w:t>
      </w:r>
      <w:r w:rsidRPr="000309F2">
        <w:rPr>
          <w:rStyle w:val="FootnoteReference"/>
          <w:rFonts w:ascii="Times New Roman" w:hAnsi="Times New Roman"/>
          <w:sz w:val="24"/>
        </w:rPr>
        <w:footnoteReference w:id="346"/>
      </w:r>
      <w:r w:rsidRPr="000309F2">
        <w:rPr>
          <w:rFonts w:ascii="Times New Roman" w:hAnsi="Times New Roman"/>
        </w:rPr>
        <w:t xml:space="preserve"> and for anticipated terrorism</w:t>
      </w:r>
      <w:r w:rsidRPr="000309F2">
        <w:rPr>
          <w:rFonts w:ascii="Times New Roman" w:hAnsi="Times New Roman"/>
        </w:rPr>
        <w:noBreakHyphen/>
        <w:t>related offences</w:t>
      </w:r>
      <w:r w:rsidRPr="000309F2">
        <w:rPr>
          <w:rStyle w:val="FootnoteReference"/>
          <w:rFonts w:ascii="Times New Roman" w:hAnsi="Times New Roman"/>
          <w:sz w:val="24"/>
        </w:rPr>
        <w:footnoteReference w:id="347"/>
      </w:r>
      <w:r w:rsidRPr="000309F2">
        <w:rPr>
          <w:rFonts w:ascii="Times New Roman" w:hAnsi="Times New Roman"/>
        </w:rPr>
        <w:t xml:space="preserve">. This appeal presents the same issue in relation to continuing detention orders made by the Supreme Court of Western Australia under the </w:t>
      </w:r>
      <w:proofErr w:type="gramStart"/>
      <w:r w:rsidRPr="000309F2">
        <w:rPr>
          <w:rFonts w:ascii="Times New Roman" w:hAnsi="Times New Roman"/>
          <w:i/>
        </w:rPr>
        <w:t>High Risk</w:t>
      </w:r>
      <w:proofErr w:type="gramEnd"/>
      <w:r w:rsidRPr="000309F2">
        <w:rPr>
          <w:rFonts w:ascii="Times New Roman" w:hAnsi="Times New Roman"/>
          <w:i/>
        </w:rPr>
        <w:t xml:space="preserve"> Serious Offenders Act 2020 </w:t>
      </w:r>
      <w:r w:rsidRPr="000309F2">
        <w:rPr>
          <w:rFonts w:ascii="Times New Roman" w:hAnsi="Times New Roman"/>
        </w:rPr>
        <w:t>(WA) ("HRSO Act") for anticipated robberies.</w:t>
      </w:r>
    </w:p>
    <w:p w14:paraId="10A32C0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HRSO Act authorises the indefinite imprisonment of an offender after completion of their sentence based upon an apprehension that they might commit any of a wide range of offences in the future, with maximum penalties ranging from as low as 12 months' imprisonment when tried summarily</w:t>
      </w:r>
      <w:r w:rsidRPr="000309F2">
        <w:rPr>
          <w:rStyle w:val="FootnoteReference"/>
          <w:rFonts w:ascii="Times New Roman" w:hAnsi="Times New Roman"/>
          <w:sz w:val="24"/>
        </w:rPr>
        <w:footnoteReference w:id="348"/>
      </w:r>
      <w:r w:rsidRPr="000309F2">
        <w:rPr>
          <w:rFonts w:ascii="Times New Roman" w:hAnsi="Times New Roman"/>
        </w:rPr>
        <w:t>. The HRSO Act could potentially lead to the imprisonment of one seventh of the entire prison population of Western Australia for offences that they have not committed</w:t>
      </w:r>
      <w:r w:rsidRPr="000309F2">
        <w:rPr>
          <w:rStyle w:val="FootnoteReference"/>
          <w:rFonts w:ascii="Times New Roman" w:hAnsi="Times New Roman"/>
          <w:sz w:val="24"/>
        </w:rPr>
        <w:footnoteReference w:id="349"/>
      </w:r>
      <w:r w:rsidRPr="000309F2">
        <w:rPr>
          <w:rFonts w:ascii="Times New Roman" w:hAnsi="Times New Roman"/>
        </w:rPr>
        <w:t xml:space="preserve">. But this appeal is concerned only with the validity of such continuing detention orders in their application to the offence of robbery. It is common ground that the HRSO Act will be entirely invalid in its application to robbery if the legislative provisions </w:t>
      </w:r>
      <w:r w:rsidRPr="000309F2">
        <w:rPr>
          <w:rFonts w:ascii="Times New Roman" w:hAnsi="Times New Roman"/>
        </w:rPr>
        <w:lastRenderedPageBreak/>
        <w:t>concerning continuing detention orders in respect of robbery are beyond the power of the Parliament of Western Australia.</w:t>
      </w:r>
    </w:p>
    <w:p w14:paraId="5EDD433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It would be a basic error for this Court to conclude that there could never be any circumstances of robbery which are equivalent to the offences in the regimes that have been upheld, especially since the violence element of a serious robbery offence could itself be conduct that amounts to a serious sexual offence. Principle and respect for precedent require that the HRSO Act be recognised as consistent with the </w:t>
      </w:r>
      <w:r w:rsidRPr="000309F2">
        <w:rPr>
          <w:rFonts w:ascii="Times New Roman" w:hAnsi="Times New Roman"/>
          <w:i/>
          <w:iCs/>
        </w:rPr>
        <w:t>Constitution</w:t>
      </w:r>
      <w:r w:rsidRPr="000309F2">
        <w:rPr>
          <w:rFonts w:ascii="Times New Roman" w:hAnsi="Times New Roman"/>
        </w:rPr>
        <w:t xml:space="preserve"> unless there are specific features of the Act in its legal or practical operation, including in relation to robberies that are objectively less serious than offences in regimes that have been upheld, that create such individual injustice as to unjustifiably compromise the institutional integrity of a court.</w:t>
      </w:r>
    </w:p>
    <w:p w14:paraId="6967742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On the material before this Court and the proper, albeit narrow, interpretation of the HRSO Act, the limit of injustice has not been reached in the application of the HRSO Act to robbery, although it is perilously close. If I had not been satisfied that the HRSO Act, in its legal operation and (so far as can be considered on the material in this case) its practical operation, makes continuing detention orders for robbery an order of last resort in cases of the most serious robberies, then I would have concluded that the HRSO Act was invalid in its application to robbery. But on the proper interpretation of the HRSO Act and on the material before this Court, the circumstances in which the legal and practical operation of the HRSO Act permit a continuing detention order for robbery are justified and cannot be meaningfully distinguished from those circumstances related to the many serious sexual offences and terrorism</w:t>
      </w:r>
      <w:r w:rsidRPr="000309F2">
        <w:rPr>
          <w:rFonts w:ascii="Times New Roman" w:hAnsi="Times New Roman"/>
        </w:rPr>
        <w:noBreakHyphen/>
        <w:t>related offences for which this Court has upheld continuing detention orders.</w:t>
      </w:r>
    </w:p>
    <w:p w14:paraId="40E1108E"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Mr </w:t>
      </w:r>
      <w:proofErr w:type="spellStart"/>
      <w:r w:rsidRPr="000309F2">
        <w:rPr>
          <w:rFonts w:ascii="Times New Roman" w:hAnsi="Times New Roman"/>
        </w:rPr>
        <w:t>Garlett</w:t>
      </w:r>
      <w:proofErr w:type="spellEnd"/>
    </w:p>
    <w:p w14:paraId="1544FD7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In October 2021, Mr </w:t>
      </w:r>
      <w:proofErr w:type="spellStart"/>
      <w:r w:rsidRPr="000309F2">
        <w:rPr>
          <w:rFonts w:ascii="Times New Roman" w:hAnsi="Times New Roman"/>
        </w:rPr>
        <w:t>Garlett</w:t>
      </w:r>
      <w:proofErr w:type="spellEnd"/>
      <w:r w:rsidRPr="000309F2">
        <w:rPr>
          <w:rFonts w:ascii="Times New Roman" w:hAnsi="Times New Roman"/>
        </w:rPr>
        <w:t xml:space="preserve"> was due to be released from prison. He had been imprisoned for his first adult offences, involving robbery of a pendant necklace and $20 cash whilst pretending to be armed and in the company of his sister and others</w:t>
      </w:r>
      <w:r w:rsidRPr="000309F2">
        <w:rPr>
          <w:rStyle w:val="FootnoteReference"/>
          <w:rFonts w:ascii="Times New Roman" w:hAnsi="Times New Roman"/>
          <w:sz w:val="24"/>
        </w:rPr>
        <w:footnoteReference w:id="350"/>
      </w:r>
      <w:r w:rsidRPr="000309F2">
        <w:rPr>
          <w:rFonts w:ascii="Times New Roman" w:hAnsi="Times New Roman"/>
        </w:rPr>
        <w:t xml:space="preserve">. But he was not released. Instead, he was detained in prison following the preliminary hearing of an application under the </w:t>
      </w:r>
      <w:r w:rsidRPr="000309F2">
        <w:rPr>
          <w:rFonts w:ascii="Times New Roman" w:hAnsi="Times New Roman"/>
          <w:iCs/>
        </w:rPr>
        <w:t xml:space="preserve">HRSO Act </w:t>
      </w:r>
      <w:r w:rsidRPr="000309F2">
        <w:rPr>
          <w:rFonts w:ascii="Times New Roman" w:hAnsi="Times New Roman"/>
        </w:rPr>
        <w:t xml:space="preserve">because, </w:t>
      </w:r>
      <w:proofErr w:type="gramStart"/>
      <w:r w:rsidRPr="000309F2">
        <w:rPr>
          <w:rFonts w:ascii="Times New Roman" w:hAnsi="Times New Roman"/>
        </w:rPr>
        <w:t>in light of</w:t>
      </w:r>
      <w:proofErr w:type="gramEnd"/>
      <w:r w:rsidRPr="000309F2">
        <w:rPr>
          <w:rFonts w:ascii="Times New Roman" w:hAnsi="Times New Roman"/>
        </w:rPr>
        <w:t xml:space="preserve"> a childhood history of burglaries and robberies, it was thought that there were "reasonable grounds for believing" that he might commit another robbery in the future</w:t>
      </w:r>
      <w:r w:rsidRPr="000309F2">
        <w:rPr>
          <w:rStyle w:val="FootnoteReference"/>
          <w:rFonts w:ascii="Times New Roman" w:hAnsi="Times New Roman"/>
          <w:sz w:val="24"/>
        </w:rPr>
        <w:footnoteReference w:id="351"/>
      </w:r>
      <w:r w:rsidRPr="000309F2">
        <w:rPr>
          <w:rFonts w:ascii="Times New Roman" w:hAnsi="Times New Roman"/>
        </w:rPr>
        <w:t>. Ultimately, however, Mr </w:t>
      </w:r>
      <w:proofErr w:type="spellStart"/>
      <w:r w:rsidRPr="000309F2">
        <w:rPr>
          <w:rFonts w:ascii="Times New Roman" w:hAnsi="Times New Roman"/>
        </w:rPr>
        <w:t>Garlett</w:t>
      </w:r>
      <w:proofErr w:type="spellEnd"/>
      <w:r w:rsidRPr="000309F2">
        <w:rPr>
          <w:rFonts w:ascii="Times New Roman" w:hAnsi="Times New Roman"/>
        </w:rPr>
        <w:t xml:space="preserve"> was not made the subject of any</w:t>
      </w:r>
      <w:r w:rsidRPr="000309F2" w:rsidDel="00587BCF">
        <w:rPr>
          <w:rFonts w:ascii="Times New Roman" w:hAnsi="Times New Roman"/>
        </w:rPr>
        <w:t xml:space="preserve"> </w:t>
      </w:r>
      <w:r w:rsidRPr="000309F2" w:rsidDel="00587BCF">
        <w:rPr>
          <w:rFonts w:ascii="Times New Roman" w:hAnsi="Times New Roman"/>
        </w:rPr>
        <w:lastRenderedPageBreak/>
        <w:t>restriction order</w:t>
      </w:r>
      <w:r w:rsidRPr="000309F2">
        <w:rPr>
          <w:rFonts w:ascii="Times New Roman" w:hAnsi="Times New Roman"/>
        </w:rPr>
        <w:t>. But how did such a possibility arise, and is the HRSO Act invalid on its proper interpretation in its application to robbery?</w:t>
      </w:r>
    </w:p>
    <w:p w14:paraId="12BD7F73"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Repeated experiments with models of unjust punishment</w:t>
      </w:r>
    </w:p>
    <w:p w14:paraId="0ACF2CD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In its generalised application to a wide range of offences, Western Australia's approach is recent but not novel. As explained in </w:t>
      </w:r>
      <w:r w:rsidRPr="000309F2">
        <w:rPr>
          <w:rFonts w:ascii="Times New Roman" w:hAnsi="Times New Roman"/>
          <w:i/>
          <w:iCs/>
        </w:rPr>
        <w:t>Vella v Commissioner of Police (NSW)</w:t>
      </w:r>
      <w:r w:rsidRPr="000309F2">
        <w:rPr>
          <w:rStyle w:val="FootnoteReference"/>
          <w:rFonts w:ascii="Times New Roman" w:hAnsi="Times New Roman"/>
          <w:sz w:val="24"/>
        </w:rPr>
        <w:footnoteReference w:id="352"/>
      </w:r>
      <w:r w:rsidRPr="000309F2">
        <w:rPr>
          <w:rFonts w:ascii="Times New Roman" w:hAnsi="Times New Roman"/>
        </w:rPr>
        <w:t>, historically English courts recognised a general power of preventive detention by orders binding over a person, subject to a pledge of money, if there was sufficient apprehension that the person's activities could breach the peace.</w:t>
      </w:r>
      <w:r w:rsidRPr="000309F2" w:rsidDel="0021299B">
        <w:rPr>
          <w:rFonts w:ascii="Times New Roman" w:hAnsi="Times New Roman"/>
        </w:rPr>
        <w:t xml:space="preserve"> </w:t>
      </w:r>
      <w:r w:rsidRPr="000309F2">
        <w:rPr>
          <w:rFonts w:ascii="Times New Roman" w:hAnsi="Times New Roman"/>
        </w:rPr>
        <w:t xml:space="preserve">And the Court of Chancery granted writs of </w:t>
      </w:r>
      <w:proofErr w:type="spellStart"/>
      <w:r w:rsidRPr="000309F2">
        <w:rPr>
          <w:rFonts w:ascii="Times New Roman" w:hAnsi="Times New Roman"/>
        </w:rPr>
        <w:t>supplicavit</w:t>
      </w:r>
      <w:proofErr w:type="spellEnd"/>
      <w:r w:rsidRPr="000309F2">
        <w:rPr>
          <w:rFonts w:ascii="Times New Roman" w:hAnsi="Times New Roman"/>
        </w:rPr>
        <w:t xml:space="preserve"> to take a person into custody to restrain anticipated breaches of the peace but "the severity of the apprehended harm that might attract Chancery's intervention increased over time"</w:t>
      </w:r>
      <w:r w:rsidRPr="000309F2">
        <w:rPr>
          <w:rStyle w:val="FootnoteReference"/>
          <w:rFonts w:ascii="Times New Roman" w:hAnsi="Times New Roman"/>
          <w:sz w:val="24"/>
        </w:rPr>
        <w:footnoteReference w:id="353"/>
      </w:r>
      <w:r w:rsidRPr="000309F2">
        <w:rPr>
          <w:rFonts w:ascii="Times New Roman" w:hAnsi="Times New Roman"/>
        </w:rPr>
        <w:t>.</w:t>
      </w:r>
    </w:p>
    <w:p w14:paraId="48F88B6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foundational legislative innovation came in the </w:t>
      </w:r>
      <w:r w:rsidRPr="000309F2">
        <w:rPr>
          <w:rFonts w:ascii="Times New Roman" w:hAnsi="Times New Roman"/>
          <w:i/>
        </w:rPr>
        <w:t>Habitual Criminals Act 1869</w:t>
      </w:r>
      <w:r w:rsidRPr="000309F2">
        <w:rPr>
          <w:rStyle w:val="FootnoteReference"/>
          <w:rFonts w:ascii="Times New Roman" w:hAnsi="Times New Roman"/>
          <w:sz w:val="24"/>
        </w:rPr>
        <w:footnoteReference w:id="354"/>
      </w:r>
      <w:r w:rsidRPr="000309F2">
        <w:rPr>
          <w:rFonts w:ascii="Times New Roman" w:hAnsi="Times New Roman"/>
        </w:rPr>
        <w:t>. That legislation imposed sweeping changes to respond to the problem of recidivist criminals, including introducing post</w:t>
      </w:r>
      <w:r w:rsidRPr="000309F2">
        <w:rPr>
          <w:rFonts w:ascii="Times New Roman" w:hAnsi="Times New Roman"/>
        </w:rPr>
        <w:noBreakHyphen/>
        <w:t>sentence police supervision and imprisonment of those offenders who, after release on licence, were reasonably believed by a magistrate to be "getting a livelihood by dishonest means"</w:t>
      </w:r>
      <w:r w:rsidRPr="000309F2">
        <w:rPr>
          <w:rStyle w:val="FootnoteReference"/>
          <w:rFonts w:ascii="Times New Roman" w:hAnsi="Times New Roman"/>
          <w:sz w:val="24"/>
        </w:rPr>
        <w:footnoteReference w:id="355"/>
      </w:r>
      <w:r w:rsidRPr="000309F2">
        <w:rPr>
          <w:rFonts w:ascii="Times New Roman" w:hAnsi="Times New Roman"/>
        </w:rPr>
        <w:t>. "Serious deficiencies in the legislation soon appeared"</w:t>
      </w:r>
      <w:r w:rsidRPr="000309F2">
        <w:rPr>
          <w:rStyle w:val="FootnoteReference"/>
          <w:rFonts w:ascii="Times New Roman" w:hAnsi="Times New Roman"/>
          <w:sz w:val="24"/>
        </w:rPr>
        <w:footnoteReference w:id="356"/>
      </w:r>
      <w:r w:rsidRPr="000309F2">
        <w:rPr>
          <w:rFonts w:ascii="Times New Roman" w:hAnsi="Times New Roman"/>
        </w:rPr>
        <w:t>. Following various attempts</w:t>
      </w:r>
      <w:r w:rsidRPr="000309F2">
        <w:rPr>
          <w:rStyle w:val="FootnoteReference"/>
          <w:rFonts w:ascii="Times New Roman" w:hAnsi="Times New Roman"/>
          <w:sz w:val="24"/>
        </w:rPr>
        <w:footnoteReference w:id="357"/>
      </w:r>
      <w:r w:rsidRPr="000309F2">
        <w:rPr>
          <w:rFonts w:ascii="Times New Roman" w:hAnsi="Times New Roman"/>
        </w:rPr>
        <w:t xml:space="preserve">, the United Kingdom Parliament settled upon the model in the </w:t>
      </w:r>
      <w:r w:rsidRPr="000309F2">
        <w:rPr>
          <w:rFonts w:ascii="Times New Roman" w:hAnsi="Times New Roman"/>
          <w:i/>
        </w:rPr>
        <w:t>Prevention of Crime Act 1908</w:t>
      </w:r>
      <w:r w:rsidRPr="000309F2">
        <w:rPr>
          <w:rFonts w:ascii="Times New Roman" w:hAnsi="Times New Roman"/>
          <w:iCs/>
        </w:rPr>
        <w:t> (UK)</w:t>
      </w:r>
      <w:r w:rsidRPr="000309F2">
        <w:rPr>
          <w:rStyle w:val="FootnoteReference"/>
          <w:rFonts w:ascii="Times New Roman" w:hAnsi="Times New Roman"/>
          <w:sz w:val="24"/>
        </w:rPr>
        <w:footnoteReference w:id="358"/>
      </w:r>
      <w:r w:rsidRPr="000309F2">
        <w:rPr>
          <w:rFonts w:ascii="Times New Roman" w:hAnsi="Times New Roman"/>
        </w:rPr>
        <w:t>, which empowered courts to impose a sentence of preventive detention in addition to a sentence of imprisonment for an offender found to be a "habitual criminal".</w:t>
      </w:r>
    </w:p>
    <w:p w14:paraId="0207B61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w:t>
      </w:r>
      <w:r w:rsidRPr="000309F2">
        <w:rPr>
          <w:rFonts w:ascii="Times New Roman" w:hAnsi="Times New Roman"/>
          <w:i/>
        </w:rPr>
        <w:t xml:space="preserve">Prevention of Crime Act </w:t>
      </w:r>
      <w:r w:rsidRPr="000309F2">
        <w:rPr>
          <w:rFonts w:ascii="Times New Roman" w:hAnsi="Times New Roman"/>
        </w:rPr>
        <w:t>was repealed in 1948</w:t>
      </w:r>
      <w:r w:rsidRPr="000309F2">
        <w:rPr>
          <w:rStyle w:val="FootnoteReference"/>
          <w:rFonts w:ascii="Times New Roman" w:hAnsi="Times New Roman"/>
          <w:sz w:val="24"/>
        </w:rPr>
        <w:footnoteReference w:id="359"/>
      </w:r>
      <w:r w:rsidRPr="000309F2">
        <w:rPr>
          <w:rFonts w:ascii="Times New Roman" w:hAnsi="Times New Roman"/>
        </w:rPr>
        <w:t xml:space="preserve">. In the second reading speech of the repealing Bill, the Secretary of State for the Home Department said </w:t>
      </w:r>
      <w:r w:rsidRPr="000309F2">
        <w:rPr>
          <w:rFonts w:ascii="Times New Roman" w:hAnsi="Times New Roman"/>
        </w:rPr>
        <w:lastRenderedPageBreak/>
        <w:t>that preventive detention had "failed to achieve any substantial results" and that "[j]</w:t>
      </w:r>
      <w:proofErr w:type="spellStart"/>
      <w:r w:rsidRPr="000309F2">
        <w:rPr>
          <w:rFonts w:ascii="Times New Roman" w:hAnsi="Times New Roman"/>
        </w:rPr>
        <w:t>udges</w:t>
      </w:r>
      <w:proofErr w:type="spellEnd"/>
      <w:r w:rsidRPr="000309F2">
        <w:rPr>
          <w:rFonts w:ascii="Times New Roman" w:hAnsi="Times New Roman"/>
        </w:rPr>
        <w:t xml:space="preserve"> and juries have hesitated to make use of a procedure that </w:t>
      </w:r>
      <w:proofErr w:type="gramStart"/>
      <w:r w:rsidRPr="000309F2">
        <w:rPr>
          <w:rFonts w:ascii="Times New Roman" w:hAnsi="Times New Roman"/>
        </w:rPr>
        <w:t>looked,</w:t>
      </w:r>
      <w:proofErr w:type="gramEnd"/>
      <w:r w:rsidRPr="000309F2">
        <w:rPr>
          <w:rFonts w:ascii="Times New Roman" w:hAnsi="Times New Roman"/>
        </w:rPr>
        <w:t xml:space="preserve"> at any rate, as if it involved a double sentence"</w:t>
      </w:r>
      <w:r w:rsidRPr="000309F2">
        <w:rPr>
          <w:rStyle w:val="FootnoteReference"/>
          <w:rFonts w:ascii="Times New Roman" w:hAnsi="Times New Roman"/>
          <w:sz w:val="24"/>
        </w:rPr>
        <w:footnoteReference w:id="360"/>
      </w:r>
      <w:r w:rsidRPr="000309F2">
        <w:rPr>
          <w:rFonts w:ascii="Times New Roman" w:hAnsi="Times New Roman"/>
        </w:rPr>
        <w:t xml:space="preserve">. Nevertheless, the </w:t>
      </w:r>
      <w:r w:rsidRPr="000309F2">
        <w:rPr>
          <w:rFonts w:ascii="Times New Roman" w:hAnsi="Times New Roman"/>
          <w:i/>
        </w:rPr>
        <w:t>Criminal Justice Act 1948 </w:t>
      </w:r>
      <w:r w:rsidRPr="000309F2">
        <w:rPr>
          <w:rFonts w:ascii="Times New Roman" w:hAnsi="Times New Roman"/>
        </w:rPr>
        <w:t>(UK) implemented another version of preventive detention which included, in part, "training of a corrective character" during the detention</w:t>
      </w:r>
      <w:r w:rsidRPr="000309F2">
        <w:rPr>
          <w:rStyle w:val="FootnoteReference"/>
          <w:rFonts w:ascii="Times New Roman" w:hAnsi="Times New Roman"/>
          <w:sz w:val="24"/>
        </w:rPr>
        <w:footnoteReference w:id="361"/>
      </w:r>
      <w:r w:rsidRPr="000309F2">
        <w:rPr>
          <w:rFonts w:ascii="Times New Roman" w:hAnsi="Times New Roman"/>
        </w:rPr>
        <w:t>.</w:t>
      </w:r>
    </w:p>
    <w:p w14:paraId="7CE196D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1948 regime remained the subject of criticism. The 1963 Report of the Advisory Council on the Treatment of Offenders concluded that "if preventive detention were abolished and nothing were put in its place the general deterrent effect of the penal system would not be weakened to any significant extent" and, in view of "all the disadvantages of the preventive detention system", proposed that the regime be abolished in its entirety</w:t>
      </w:r>
      <w:r w:rsidRPr="000309F2">
        <w:rPr>
          <w:rStyle w:val="FootnoteReference"/>
          <w:rFonts w:ascii="Times New Roman" w:hAnsi="Times New Roman"/>
          <w:sz w:val="24"/>
        </w:rPr>
        <w:footnoteReference w:id="362"/>
      </w:r>
      <w:r w:rsidRPr="000309F2">
        <w:rPr>
          <w:rFonts w:ascii="Times New Roman" w:hAnsi="Times New Roman"/>
        </w:rPr>
        <w:t>. The regime was abolished in 1967 and replaced with a new scheme that included extended sentences for offences</w:t>
      </w:r>
      <w:r w:rsidRPr="000309F2">
        <w:rPr>
          <w:rStyle w:val="FootnoteReference"/>
          <w:rFonts w:ascii="Times New Roman" w:hAnsi="Times New Roman"/>
          <w:sz w:val="24"/>
        </w:rPr>
        <w:footnoteReference w:id="363"/>
      </w:r>
      <w:r w:rsidRPr="000309F2">
        <w:rPr>
          <w:rFonts w:ascii="Times New Roman" w:hAnsi="Times New Roman"/>
        </w:rPr>
        <w:t xml:space="preserve">. </w:t>
      </w:r>
      <w:proofErr w:type="gramStart"/>
      <w:r w:rsidRPr="000309F2">
        <w:rPr>
          <w:rFonts w:ascii="Times New Roman" w:hAnsi="Times New Roman"/>
        </w:rPr>
        <w:t>In the course of</w:t>
      </w:r>
      <w:proofErr w:type="gramEnd"/>
      <w:r w:rsidRPr="000309F2">
        <w:rPr>
          <w:rFonts w:ascii="Times New Roman" w:hAnsi="Times New Roman"/>
        </w:rPr>
        <w:t xml:space="preserve"> the debate and second reading speeches in the House of Commons and House of Lords, the </w:t>
      </w:r>
      <w:r w:rsidRPr="000309F2" w:rsidDel="00B96158">
        <w:rPr>
          <w:rFonts w:ascii="Times New Roman" w:hAnsi="Times New Roman"/>
        </w:rPr>
        <w:t xml:space="preserve">abolished </w:t>
      </w:r>
      <w:r w:rsidRPr="000309F2">
        <w:rPr>
          <w:rFonts w:ascii="Times New Roman" w:hAnsi="Times New Roman"/>
        </w:rPr>
        <w:t>1948 regime was described as involving "not very useful rigidity of categorisation in our prison system"</w:t>
      </w:r>
      <w:r w:rsidRPr="000309F2">
        <w:rPr>
          <w:rStyle w:val="FootnoteReference"/>
          <w:rFonts w:ascii="Times New Roman" w:hAnsi="Times New Roman"/>
          <w:sz w:val="24"/>
        </w:rPr>
        <w:footnoteReference w:id="364"/>
      </w:r>
      <w:r w:rsidRPr="000309F2">
        <w:rPr>
          <w:rFonts w:ascii="Times New Roman" w:hAnsi="Times New Roman"/>
        </w:rPr>
        <w:t xml:space="preserve"> and as "harsh, unjust, oppressive and totally ineffective"</w:t>
      </w:r>
      <w:r w:rsidRPr="000309F2">
        <w:rPr>
          <w:rStyle w:val="FootnoteReference"/>
          <w:rFonts w:ascii="Times New Roman" w:hAnsi="Times New Roman"/>
          <w:sz w:val="24"/>
        </w:rPr>
        <w:footnoteReference w:id="365"/>
      </w:r>
      <w:r w:rsidRPr="000309F2">
        <w:rPr>
          <w:rFonts w:ascii="Times New Roman" w:hAnsi="Times New Roman"/>
        </w:rPr>
        <w:t>. Its abolition was said to be "long overdue"</w:t>
      </w:r>
      <w:r w:rsidRPr="000309F2">
        <w:rPr>
          <w:rStyle w:val="FootnoteReference"/>
          <w:rFonts w:ascii="Times New Roman" w:hAnsi="Times New Roman"/>
          <w:sz w:val="24"/>
        </w:rPr>
        <w:footnoteReference w:id="366"/>
      </w:r>
      <w:r w:rsidRPr="000309F2">
        <w:rPr>
          <w:rFonts w:ascii="Times New Roman" w:hAnsi="Times New Roman"/>
        </w:rPr>
        <w:t xml:space="preserve"> and made "at long last"</w:t>
      </w:r>
      <w:r w:rsidRPr="000309F2">
        <w:rPr>
          <w:rStyle w:val="FootnoteReference"/>
          <w:rFonts w:ascii="Times New Roman" w:hAnsi="Times New Roman"/>
          <w:sz w:val="24"/>
        </w:rPr>
        <w:footnoteReference w:id="367"/>
      </w:r>
      <w:r w:rsidRPr="000309F2">
        <w:rPr>
          <w:rFonts w:ascii="Times New Roman" w:hAnsi="Times New Roman"/>
        </w:rPr>
        <w:t>. In 1991</w:t>
      </w:r>
      <w:r w:rsidRPr="000309F2">
        <w:rPr>
          <w:rStyle w:val="FootnoteReference"/>
          <w:rFonts w:ascii="Times New Roman" w:hAnsi="Times New Roman"/>
          <w:sz w:val="24"/>
        </w:rPr>
        <w:footnoteReference w:id="368"/>
      </w:r>
      <w:r w:rsidRPr="000309F2">
        <w:rPr>
          <w:rFonts w:ascii="Times New Roman" w:hAnsi="Times New Roman"/>
        </w:rPr>
        <w:t xml:space="preserve">, the "unpopular friend" of the extended </w:t>
      </w:r>
      <w:r w:rsidRPr="000309F2">
        <w:rPr>
          <w:rFonts w:ascii="Times New Roman" w:hAnsi="Times New Roman"/>
        </w:rPr>
        <w:lastRenderedPageBreak/>
        <w:t>sentence was (temporarily</w:t>
      </w:r>
      <w:r w:rsidRPr="000309F2">
        <w:rPr>
          <w:rStyle w:val="FootnoteReference"/>
          <w:rFonts w:ascii="Times New Roman" w:hAnsi="Times New Roman"/>
          <w:sz w:val="24"/>
        </w:rPr>
        <w:footnoteReference w:id="369"/>
      </w:r>
      <w:r w:rsidRPr="000309F2">
        <w:rPr>
          <w:rFonts w:ascii="Times New Roman" w:hAnsi="Times New Roman"/>
        </w:rPr>
        <w:t>) "laid to rest" by provisions requiring people "to be sentenced for what they have done, not for what it is feared that they may do"</w:t>
      </w:r>
      <w:r w:rsidRPr="000309F2">
        <w:rPr>
          <w:rStyle w:val="FootnoteReference"/>
          <w:rFonts w:ascii="Times New Roman" w:hAnsi="Times New Roman"/>
          <w:sz w:val="24"/>
        </w:rPr>
        <w:footnoteReference w:id="370"/>
      </w:r>
      <w:r w:rsidRPr="000309F2">
        <w:rPr>
          <w:rFonts w:ascii="Times New Roman" w:hAnsi="Times New Roman"/>
        </w:rPr>
        <w:t>.</w:t>
      </w:r>
    </w:p>
    <w:p w14:paraId="756504C2"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Nevertheless, and yet again, preventive detention was reintroduced by the </w:t>
      </w:r>
      <w:r w:rsidRPr="000309F2">
        <w:rPr>
          <w:rFonts w:ascii="Times New Roman" w:hAnsi="Times New Roman"/>
          <w:i/>
        </w:rPr>
        <w:t>Criminal Justice Act 2003</w:t>
      </w:r>
      <w:r w:rsidRPr="000309F2">
        <w:rPr>
          <w:rFonts w:ascii="Times New Roman" w:hAnsi="Times New Roman"/>
        </w:rPr>
        <w:t> (UK). Section 225 required the court to impose a sentence of imprisonment for public protection on a person convicted of a "serious offence" and not sentenced to life imprisonment, where it was "of the opinion that there is a significant risk to members of the public of serious harm occasioned by the commission by him of further specified offences". A serious offence was one of 65 specified violent offences and 88 specified sexual offences</w:t>
      </w:r>
      <w:r w:rsidRPr="000309F2">
        <w:rPr>
          <w:rStyle w:val="FootnoteReference"/>
          <w:rFonts w:ascii="Times New Roman" w:hAnsi="Times New Roman"/>
          <w:sz w:val="24"/>
        </w:rPr>
        <w:footnoteReference w:id="371"/>
      </w:r>
      <w:r w:rsidRPr="000309F2">
        <w:rPr>
          <w:rFonts w:ascii="Times New Roman" w:hAnsi="Times New Roman"/>
        </w:rPr>
        <w:t>.</w:t>
      </w:r>
    </w:p>
    <w:p w14:paraId="3F74760C"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
        </w:rPr>
        <w:tab/>
      </w:r>
      <w:r w:rsidRPr="000309F2">
        <w:rPr>
          <w:rFonts w:ascii="Times New Roman" w:hAnsi="Times New Roman"/>
        </w:rPr>
        <w:t>The sentence of imprisonment for public protection was, again, one of the most widely criticised of all categories of sentence in the United Kingdom</w:t>
      </w:r>
      <w:r w:rsidRPr="000309F2">
        <w:rPr>
          <w:rStyle w:val="FootnoteReference"/>
          <w:rFonts w:ascii="Times New Roman" w:hAnsi="Times New Roman"/>
          <w:sz w:val="24"/>
        </w:rPr>
        <w:footnoteReference w:id="372"/>
      </w:r>
      <w:r w:rsidRPr="000309F2">
        <w:rPr>
          <w:rFonts w:ascii="Times New Roman" w:hAnsi="Times New Roman"/>
        </w:rPr>
        <w:t>. At the time that the sentence was introduced, it was estimated that there would be around 900 prisoners serving sentences of imprisonment for public protection</w:t>
      </w:r>
      <w:r w:rsidRPr="000309F2">
        <w:rPr>
          <w:rStyle w:val="FootnoteReference"/>
          <w:rFonts w:ascii="Times New Roman" w:hAnsi="Times New Roman"/>
          <w:sz w:val="24"/>
        </w:rPr>
        <w:footnoteReference w:id="373"/>
      </w:r>
      <w:r w:rsidRPr="000309F2">
        <w:rPr>
          <w:rFonts w:ascii="Times New Roman" w:hAnsi="Times New Roman"/>
        </w:rPr>
        <w:t>. By November 2011, there were 6,500 such prisoners</w:t>
      </w:r>
      <w:r w:rsidRPr="000309F2">
        <w:rPr>
          <w:rStyle w:val="FootnoteReference"/>
          <w:rFonts w:ascii="Times New Roman" w:hAnsi="Times New Roman"/>
          <w:sz w:val="24"/>
        </w:rPr>
        <w:footnoteReference w:id="374"/>
      </w:r>
      <w:r w:rsidRPr="000309F2">
        <w:rPr>
          <w:rFonts w:ascii="Times New Roman" w:hAnsi="Times New Roman"/>
        </w:rPr>
        <w:t>. The rigidity of the regime was diluted in 2008, including with the introduction of judicial discretion</w:t>
      </w:r>
      <w:r w:rsidRPr="000309F2">
        <w:rPr>
          <w:rStyle w:val="FootnoteReference"/>
          <w:rFonts w:ascii="Times New Roman" w:hAnsi="Times New Roman"/>
          <w:sz w:val="24"/>
        </w:rPr>
        <w:footnoteReference w:id="375"/>
      </w:r>
      <w:r w:rsidRPr="000309F2">
        <w:rPr>
          <w:rFonts w:ascii="Times New Roman" w:hAnsi="Times New Roman"/>
        </w:rPr>
        <w:t xml:space="preserve">. It was </w:t>
      </w:r>
      <w:r w:rsidRPr="000309F2">
        <w:rPr>
          <w:rFonts w:ascii="Times New Roman" w:hAnsi="Times New Roman"/>
        </w:rPr>
        <w:lastRenderedPageBreak/>
        <w:t>abolished altogether in 2012</w:t>
      </w:r>
      <w:r w:rsidRPr="000309F2">
        <w:rPr>
          <w:rStyle w:val="FootnoteReference"/>
          <w:rFonts w:ascii="Times New Roman" w:hAnsi="Times New Roman"/>
          <w:sz w:val="24"/>
        </w:rPr>
        <w:footnoteReference w:id="376"/>
      </w:r>
      <w:r w:rsidRPr="000309F2">
        <w:rPr>
          <w:rFonts w:ascii="Times New Roman" w:hAnsi="Times New Roman"/>
        </w:rPr>
        <w:t xml:space="preserve"> after being described in Parliament as "discredited"</w:t>
      </w:r>
      <w:r w:rsidRPr="000309F2">
        <w:rPr>
          <w:rStyle w:val="FootnoteReference"/>
          <w:rFonts w:ascii="Times New Roman" w:hAnsi="Times New Roman"/>
          <w:sz w:val="24"/>
        </w:rPr>
        <w:footnoteReference w:id="377"/>
      </w:r>
      <w:r w:rsidRPr="000309F2">
        <w:rPr>
          <w:rFonts w:ascii="Times New Roman" w:hAnsi="Times New Roman"/>
        </w:rPr>
        <w:t>, "poorly understood"</w:t>
      </w:r>
      <w:r w:rsidRPr="000309F2">
        <w:rPr>
          <w:rStyle w:val="FootnoteReference"/>
          <w:rFonts w:ascii="Times New Roman" w:hAnsi="Times New Roman"/>
          <w:sz w:val="24"/>
        </w:rPr>
        <w:footnoteReference w:id="378"/>
      </w:r>
      <w:r w:rsidRPr="000309F2">
        <w:rPr>
          <w:rFonts w:ascii="Times New Roman" w:hAnsi="Times New Roman"/>
        </w:rPr>
        <w:t>, and "something of a lottery"</w:t>
      </w:r>
      <w:r w:rsidRPr="000309F2">
        <w:rPr>
          <w:rStyle w:val="FootnoteReference"/>
          <w:rFonts w:ascii="Times New Roman" w:hAnsi="Times New Roman"/>
          <w:sz w:val="24"/>
        </w:rPr>
        <w:footnoteReference w:id="379"/>
      </w:r>
      <w:r w:rsidRPr="000309F2">
        <w:rPr>
          <w:rFonts w:ascii="Times New Roman" w:hAnsi="Times New Roman"/>
        </w:rPr>
        <w:t>.</w:t>
      </w:r>
    </w:p>
    <w:p w14:paraId="71E16FA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Concurrently with these failed experiments in preventive detention in the United Kingdom, Australian parliaments introduced preventive regimes involving detention or other restrictions on liberty. As was recognised in </w:t>
      </w:r>
      <w:r w:rsidRPr="000309F2">
        <w:rPr>
          <w:rFonts w:ascii="Times New Roman" w:hAnsi="Times New Roman"/>
          <w:i/>
          <w:iCs/>
        </w:rPr>
        <w:t>Vella</w:t>
      </w:r>
      <w:r w:rsidRPr="000309F2">
        <w:rPr>
          <w:rStyle w:val="FootnoteReference"/>
          <w:rFonts w:ascii="Times New Roman" w:hAnsi="Times New Roman"/>
          <w:iCs/>
          <w:sz w:val="24"/>
        </w:rPr>
        <w:footnoteReference w:id="380"/>
      </w:r>
      <w:r w:rsidRPr="000309F2">
        <w:rPr>
          <w:rFonts w:ascii="Times New Roman" w:hAnsi="Times New Roman"/>
        </w:rPr>
        <w:t xml:space="preserve">, the Australian regimes were in areas concerning domestic and personal violence, problem gambling that was ancillary to domestic violence, public safety and breaches of the peace, sexual and other dangerous offenders, groups associated with criminal activity, and terrorism. One early regime was the </w:t>
      </w:r>
      <w:r w:rsidRPr="000309F2">
        <w:rPr>
          <w:rFonts w:ascii="Times New Roman" w:hAnsi="Times New Roman"/>
          <w:i/>
        </w:rPr>
        <w:t>Habitual Criminals Act 1905 </w:t>
      </w:r>
      <w:r w:rsidRPr="000309F2">
        <w:rPr>
          <w:rFonts w:ascii="Times New Roman" w:hAnsi="Times New Roman"/>
        </w:rPr>
        <w:t>(NSW)</w:t>
      </w:r>
      <w:r w:rsidRPr="000309F2">
        <w:rPr>
          <w:rStyle w:val="FootnoteReference"/>
          <w:rFonts w:ascii="Times New Roman" w:hAnsi="Times New Roman"/>
          <w:sz w:val="24"/>
        </w:rPr>
        <w:footnoteReference w:id="381"/>
      </w:r>
      <w:r w:rsidRPr="000309F2">
        <w:rPr>
          <w:rFonts w:ascii="Times New Roman" w:hAnsi="Times New Roman"/>
        </w:rPr>
        <w:t xml:space="preserve">, which had itself been considered a "useful precedent" for the </w:t>
      </w:r>
      <w:r w:rsidRPr="000309F2">
        <w:rPr>
          <w:rFonts w:ascii="Times New Roman" w:hAnsi="Times New Roman"/>
          <w:i/>
        </w:rPr>
        <w:t>Prevention of Crime Act 1908 </w:t>
      </w:r>
      <w:r w:rsidRPr="000309F2">
        <w:rPr>
          <w:rFonts w:ascii="Times New Roman" w:hAnsi="Times New Roman"/>
        </w:rPr>
        <w:t>(UK)</w:t>
      </w:r>
      <w:r w:rsidRPr="000309F2">
        <w:rPr>
          <w:rStyle w:val="FootnoteReference"/>
          <w:rFonts w:ascii="Times New Roman" w:hAnsi="Times New Roman"/>
          <w:sz w:val="24"/>
        </w:rPr>
        <w:footnoteReference w:id="382"/>
      </w:r>
      <w:r w:rsidRPr="000309F2">
        <w:rPr>
          <w:rFonts w:ascii="Times New Roman" w:hAnsi="Times New Roman"/>
        </w:rPr>
        <w:t>.</w:t>
      </w:r>
    </w:p>
    <w:p w14:paraId="7085CDA2"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Two relevant features of the </w:t>
      </w:r>
      <w:r w:rsidRPr="000309F2">
        <w:rPr>
          <w:rFonts w:ascii="Times New Roman" w:hAnsi="Times New Roman"/>
          <w:i/>
        </w:rPr>
        <w:t xml:space="preserve">Habitual Criminals Act </w:t>
      </w:r>
      <w:r w:rsidRPr="000309F2">
        <w:rPr>
          <w:rFonts w:ascii="Times New Roman" w:hAnsi="Times New Roman"/>
        </w:rPr>
        <w:t>for the offence of robbery were that an order for preventive imprisonment could only be made if (</w:t>
      </w:r>
      <w:proofErr w:type="spellStart"/>
      <w:r w:rsidRPr="000309F2">
        <w:rPr>
          <w:rFonts w:ascii="Times New Roman" w:hAnsi="Times New Roman"/>
        </w:rPr>
        <w:t>i</w:t>
      </w:r>
      <w:proofErr w:type="spellEnd"/>
      <w:r w:rsidRPr="000309F2">
        <w:rPr>
          <w:rFonts w:ascii="Times New Roman" w:hAnsi="Times New Roman"/>
        </w:rPr>
        <w:t>) the offender had previously been convicted of robbery on three occasions and (ii) a judge exercised their discretion to declare that the offender was a habitual criminal</w:t>
      </w:r>
      <w:r w:rsidRPr="000309F2">
        <w:rPr>
          <w:rStyle w:val="FootnoteReference"/>
          <w:rFonts w:ascii="Times New Roman" w:hAnsi="Times New Roman"/>
          <w:sz w:val="24"/>
        </w:rPr>
        <w:footnoteReference w:id="383"/>
      </w:r>
      <w:r w:rsidRPr="000309F2">
        <w:rPr>
          <w:rFonts w:ascii="Times New Roman" w:hAnsi="Times New Roman"/>
        </w:rPr>
        <w:t>. There was a further discretion for the Governor to direct the release of an offender who was "sufficiently reformed, or for other good cause"</w:t>
      </w:r>
      <w:r w:rsidRPr="000309F2">
        <w:rPr>
          <w:rStyle w:val="FootnoteReference"/>
          <w:rFonts w:ascii="Times New Roman" w:hAnsi="Times New Roman"/>
          <w:sz w:val="24"/>
        </w:rPr>
        <w:footnoteReference w:id="384"/>
      </w:r>
      <w:r w:rsidRPr="000309F2">
        <w:rPr>
          <w:rFonts w:ascii="Times New Roman" w:hAnsi="Times New Roman"/>
        </w:rPr>
        <w:t>.</w:t>
      </w:r>
    </w:p>
    <w:p w14:paraId="582EA9E0" w14:textId="77777777" w:rsidR="00E3198A" w:rsidRPr="000309F2" w:rsidRDefault="00E3198A" w:rsidP="000309F2">
      <w:pPr>
        <w:pStyle w:val="HeadingL1"/>
        <w:spacing w:after="260" w:line="280" w:lineRule="exact"/>
        <w:ind w:right="0"/>
        <w:jc w:val="both"/>
        <w:rPr>
          <w:rFonts w:ascii="Times New Roman" w:hAnsi="Times New Roman"/>
          <w:i/>
        </w:rPr>
      </w:pPr>
      <w:r w:rsidRPr="000309F2">
        <w:rPr>
          <w:rFonts w:ascii="Times New Roman" w:hAnsi="Times New Roman"/>
        </w:rPr>
        <w:t>The interpretation and operation of the HRSO Act</w:t>
      </w:r>
    </w:p>
    <w:p w14:paraId="1137D11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An essential preliminary to any assessment of the constitutional validity of the HRSO Act is the interpretation of the Act. That interpretation can be set out in </w:t>
      </w:r>
      <w:r w:rsidRPr="000309F2">
        <w:rPr>
          <w:rFonts w:ascii="Times New Roman" w:hAnsi="Times New Roman"/>
        </w:rPr>
        <w:lastRenderedPageBreak/>
        <w:t xml:space="preserve">a staged approach in the same manner as </w:t>
      </w:r>
      <w:r w:rsidRPr="000309F2">
        <w:rPr>
          <w:rFonts w:ascii="Times New Roman" w:hAnsi="Times New Roman"/>
          <w:i/>
          <w:iCs/>
        </w:rPr>
        <w:t>Vella</w:t>
      </w:r>
      <w:r w:rsidRPr="000309F2">
        <w:rPr>
          <w:rStyle w:val="FootnoteReference"/>
          <w:rFonts w:ascii="Times New Roman" w:hAnsi="Times New Roman"/>
          <w:iCs/>
          <w:sz w:val="24"/>
        </w:rPr>
        <w:footnoteReference w:id="385"/>
      </w:r>
      <w:r w:rsidRPr="000309F2">
        <w:rPr>
          <w:rFonts w:ascii="Times New Roman" w:hAnsi="Times New Roman"/>
        </w:rPr>
        <w:t>. The interpretation which follows involves a strict and narrow interpretation of the HRSO Act. It focuses upon the provisions central to the subject of the challenge on this appeal – continuing detention orders – although it is necessary to emphasise that the discretion to make an interim detention order under s 46(2)(c) should only ever be exercised when there are reasonable prospects of a continuing detention order being made and, even then, only as a matter of last resort.</w:t>
      </w:r>
    </w:p>
    <w:p w14:paraId="255E1E1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Although I consider the narrow interpretation below to be the proper interpretation of the HRSO Act, if there were any doubt about any significant aspect of this interpretation then s 7 of the </w:t>
      </w:r>
      <w:r w:rsidRPr="000309F2">
        <w:rPr>
          <w:rFonts w:ascii="Times New Roman" w:hAnsi="Times New Roman"/>
          <w:i/>
        </w:rPr>
        <w:t>Interpretation Act 1984 </w:t>
      </w:r>
      <w:r w:rsidRPr="000309F2">
        <w:rPr>
          <w:rFonts w:ascii="Times New Roman" w:hAnsi="Times New Roman"/>
        </w:rPr>
        <w:t>(WA) would require that narrow interpretation to ensure that its application to robbery did not exceed legislative power.</w:t>
      </w:r>
    </w:p>
    <w:p w14:paraId="26B599B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r>
      <w:r w:rsidRPr="000309F2">
        <w:rPr>
          <w:rFonts w:ascii="Times New Roman" w:hAnsi="Times New Roman"/>
          <w:b/>
        </w:rPr>
        <w:t>First</w:t>
      </w:r>
      <w:r w:rsidRPr="000309F2">
        <w:rPr>
          <w:rFonts w:ascii="Times New Roman" w:hAnsi="Times New Roman"/>
        </w:rPr>
        <w:t>, ss 34 and 35 allow the State of Western Australia to apply for a "restriction order" in relation to an offender, requiring the Court to make a finding as to whether the offender is a "high risk serious offender". Since the Court must assess the risk that the offender will commit "a serious offence", the application must specify the serious offence within Sch 1 to the HRSO Act which the State alleges there is an unacceptable risk that the offender will commit</w:t>
      </w:r>
      <w:r w:rsidRPr="000309F2">
        <w:rPr>
          <w:rStyle w:val="FootnoteReference"/>
          <w:rFonts w:ascii="Times New Roman" w:hAnsi="Times New Roman"/>
          <w:sz w:val="24"/>
        </w:rPr>
        <w:footnoteReference w:id="386"/>
      </w:r>
      <w:r w:rsidRPr="000309F2">
        <w:rPr>
          <w:rFonts w:ascii="Times New Roman" w:hAnsi="Times New Roman"/>
        </w:rPr>
        <w:t>.</w:t>
      </w:r>
    </w:p>
    <w:p w14:paraId="1FD8071C"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r>
      <w:r w:rsidRPr="000309F2">
        <w:rPr>
          <w:rFonts w:ascii="Times New Roman" w:hAnsi="Times New Roman"/>
          <w:b/>
        </w:rPr>
        <w:t>Secondly</w:t>
      </w:r>
      <w:r w:rsidRPr="000309F2">
        <w:rPr>
          <w:rFonts w:ascii="Times New Roman" w:hAnsi="Times New Roman"/>
          <w:bCs/>
        </w:rPr>
        <w:t>,</w:t>
      </w:r>
      <w:r w:rsidRPr="000309F2">
        <w:rPr>
          <w:rFonts w:ascii="Times New Roman" w:hAnsi="Times New Roman"/>
          <w:b/>
        </w:rPr>
        <w:t xml:space="preserve"> </w:t>
      </w:r>
      <w:r w:rsidRPr="000309F2">
        <w:rPr>
          <w:rFonts w:ascii="Times New Roman" w:hAnsi="Times New Roman"/>
          <w:bCs/>
        </w:rPr>
        <w:t xml:space="preserve">by ss 7(1) and 7(2), the </w:t>
      </w:r>
      <w:r w:rsidRPr="000309F2">
        <w:rPr>
          <w:rFonts w:ascii="Times New Roman" w:hAnsi="Times New Roman"/>
        </w:rPr>
        <w:t>Court</w:t>
      </w:r>
      <w:r w:rsidRPr="000309F2">
        <w:rPr>
          <w:rFonts w:ascii="Times New Roman" w:hAnsi="Times New Roman"/>
          <w:bCs/>
        </w:rPr>
        <w:t xml:space="preserve"> is required to assess the level of risk that the offender will commit the </w:t>
      </w:r>
      <w:r w:rsidRPr="000309F2">
        <w:rPr>
          <w:rFonts w:ascii="Times New Roman" w:hAnsi="Times New Roman"/>
        </w:rPr>
        <w:t>specified</w:t>
      </w:r>
      <w:r w:rsidRPr="000309F2">
        <w:rPr>
          <w:rFonts w:ascii="Times New Roman" w:hAnsi="Times New Roman"/>
          <w:bCs/>
        </w:rPr>
        <w:t xml:space="preserve"> serious offence.</w:t>
      </w:r>
      <w:r w:rsidRPr="000309F2">
        <w:rPr>
          <w:rFonts w:ascii="Times New Roman" w:hAnsi="Times New Roman"/>
        </w:rPr>
        <w:t xml:space="preserve"> </w:t>
      </w:r>
      <w:r w:rsidRPr="000309F2">
        <w:rPr>
          <w:rFonts w:ascii="Times New Roman" w:hAnsi="Times New Roman"/>
          <w:bCs/>
        </w:rPr>
        <w:t>Before a restriction order must be made, ss</w:t>
      </w:r>
      <w:r w:rsidRPr="000309F2">
        <w:rPr>
          <w:rFonts w:ascii="Times New Roman" w:hAnsi="Times New Roman"/>
        </w:rPr>
        <w:t xml:space="preserve"> 7(1) and 7(2) require t</w:t>
      </w:r>
      <w:r w:rsidRPr="000309F2">
        <w:rPr>
          <w:rFonts w:ascii="Times New Roman" w:hAnsi="Times New Roman"/>
          <w:bCs/>
        </w:rPr>
        <w:t>he State to prove that there is "an unacceptable risk that the offender will commit a serious offence".</w:t>
      </w:r>
      <w:r w:rsidRPr="000309F2">
        <w:rPr>
          <w:rFonts w:ascii="Times New Roman" w:hAnsi="Times New Roman"/>
        </w:rPr>
        <w:t xml:space="preserve"> The </w:t>
      </w:r>
      <w:r w:rsidRPr="000309F2">
        <w:rPr>
          <w:rFonts w:ascii="Times New Roman" w:hAnsi="Times New Roman"/>
          <w:bCs/>
        </w:rPr>
        <w:t>open</w:t>
      </w:r>
      <w:r w:rsidRPr="000309F2">
        <w:rPr>
          <w:rFonts w:ascii="Times New Roman" w:hAnsi="Times New Roman"/>
          <w:bCs/>
        </w:rPr>
        <w:noBreakHyphen/>
        <w:t xml:space="preserve">textured criterion of "unacceptable", </w:t>
      </w:r>
      <w:proofErr w:type="gramStart"/>
      <w:r w:rsidRPr="000309F2">
        <w:rPr>
          <w:rFonts w:ascii="Times New Roman" w:hAnsi="Times New Roman"/>
          <w:bCs/>
        </w:rPr>
        <w:t>similar to</w:t>
      </w:r>
      <w:proofErr w:type="gramEnd"/>
      <w:r w:rsidRPr="000309F2">
        <w:rPr>
          <w:rFonts w:ascii="Times New Roman" w:hAnsi="Times New Roman"/>
          <w:bCs/>
        </w:rPr>
        <w:t xml:space="preserve"> criteria such as "oppressive", "unreasonable", or "unjust"</w:t>
      </w:r>
      <w:r w:rsidRPr="000309F2">
        <w:rPr>
          <w:rStyle w:val="FootnoteReference"/>
          <w:rFonts w:ascii="Times New Roman" w:hAnsi="Times New Roman"/>
          <w:bCs/>
          <w:sz w:val="24"/>
        </w:rPr>
        <w:footnoteReference w:id="387"/>
      </w:r>
      <w:r w:rsidRPr="000309F2">
        <w:rPr>
          <w:rFonts w:ascii="Times New Roman" w:hAnsi="Times New Roman"/>
          <w:bCs/>
        </w:rPr>
        <w:t xml:space="preserve">, is so closely associated with notions of the "adequate" protection of the community and the "necessity" of the restriction order that it is best addressed at the third stage. The second stage can therefore be limited to an assessment of the level of risk that the offender will commit the </w:t>
      </w:r>
      <w:r w:rsidRPr="000309F2">
        <w:rPr>
          <w:rFonts w:ascii="Times New Roman" w:hAnsi="Times New Roman"/>
        </w:rPr>
        <w:t>specified</w:t>
      </w:r>
      <w:r w:rsidRPr="000309F2">
        <w:rPr>
          <w:rFonts w:ascii="Times New Roman" w:hAnsi="Times New Roman"/>
          <w:bCs/>
        </w:rPr>
        <w:t xml:space="preserve"> serious offence.</w:t>
      </w:r>
    </w:p>
    <w:p w14:paraId="3D95850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In assessing the level of risk that the offender will commit the specified serious offence, the Court may receive, </w:t>
      </w:r>
      <w:r w:rsidRPr="000309F2">
        <w:rPr>
          <w:rFonts w:ascii="Times New Roman" w:hAnsi="Times New Roman"/>
        </w:rPr>
        <w:t xml:space="preserve">under s 84(5), an offender's antecedents or criminal record, and anything relevant in the official transcript of a proceeding against the offender. The context of s 84(5), including the requirement in s 7(3)(g) </w:t>
      </w:r>
      <w:r w:rsidRPr="000309F2">
        <w:rPr>
          <w:rFonts w:ascii="Times New Roman" w:hAnsi="Times New Roman"/>
        </w:rPr>
        <w:lastRenderedPageBreak/>
        <w:t>to consider an offender's antecedents and criminal record, demonstrates an intention that such tender will rarely be refused by the Court</w:t>
      </w:r>
      <w:r w:rsidRPr="000309F2">
        <w:rPr>
          <w:rStyle w:val="FootnoteReference"/>
          <w:rFonts w:ascii="Times New Roman" w:hAnsi="Times New Roman"/>
          <w:sz w:val="24"/>
        </w:rPr>
        <w:footnoteReference w:id="388"/>
      </w:r>
      <w:r w:rsidRPr="000309F2">
        <w:rPr>
          <w:rFonts w:ascii="Times New Roman" w:hAnsi="Times New Roman"/>
        </w:rPr>
        <w:t>.</w:t>
      </w:r>
    </w:p>
    <w:p w14:paraId="2C1D3ECD"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Section 84(5) is not, however, a free licence for the Court to draw conclusions about the risk of the specified serious offence from unrelated offending. The offending upon which the Court can place any weight must be relevant to establishing a pattern of behaviour, or a propensity, sufficiently proximate in time, showing a likelihood that the offender will commit the specified serious offence</w:t>
      </w:r>
      <w:r w:rsidRPr="000309F2">
        <w:rPr>
          <w:rStyle w:val="FootnoteReference"/>
          <w:rFonts w:ascii="Times New Roman" w:hAnsi="Times New Roman"/>
          <w:sz w:val="24"/>
        </w:rPr>
        <w:footnoteReference w:id="389"/>
      </w:r>
      <w:r w:rsidRPr="000309F2">
        <w:rPr>
          <w:rFonts w:ascii="Times New Roman" w:hAnsi="Times New Roman"/>
        </w:rPr>
        <w:t xml:space="preserve">. </w:t>
      </w:r>
      <w:r w:rsidRPr="000309F2">
        <w:rPr>
          <w:rFonts w:ascii="Times New Roman" w:hAnsi="Times New Roman"/>
          <w:bCs/>
        </w:rPr>
        <w:t xml:space="preserve">Before concluding that there is </w:t>
      </w:r>
      <w:r w:rsidRPr="000309F2" w:rsidDel="0002790E">
        <w:rPr>
          <w:rFonts w:ascii="Times New Roman" w:hAnsi="Times New Roman"/>
        </w:rPr>
        <w:t>any real</w:t>
      </w:r>
      <w:r w:rsidRPr="000309F2">
        <w:rPr>
          <w:rFonts w:ascii="Times New Roman" w:hAnsi="Times New Roman"/>
          <w:bCs/>
        </w:rPr>
        <w:t xml:space="preserve"> risk that the offender will commit the specified serious offence, the State will almost always need to prove that the offender has committed prior offences </w:t>
      </w:r>
      <w:r w:rsidRPr="000309F2" w:rsidDel="00003DD2">
        <w:rPr>
          <w:rFonts w:ascii="Times New Roman" w:hAnsi="Times New Roman"/>
        </w:rPr>
        <w:t xml:space="preserve">of </w:t>
      </w:r>
      <w:r w:rsidRPr="000309F2">
        <w:rPr>
          <w:rFonts w:ascii="Times New Roman" w:hAnsi="Times New Roman"/>
          <w:bCs/>
        </w:rPr>
        <w:t xml:space="preserve">the same or similar nature. </w:t>
      </w:r>
      <w:r w:rsidRPr="000309F2">
        <w:rPr>
          <w:rFonts w:ascii="Times New Roman" w:hAnsi="Times New Roman"/>
        </w:rPr>
        <w:t>Even a criminal record of numerous other serious offences might say very little or nothing about a different specified serious offence. For instance, the past commission of an offence of robbery, no matter how serious, is unlikely to reveal anything about the risk of commission of an offence of criminal damage by fire, and vice versa.</w:t>
      </w:r>
    </w:p>
    <w:p w14:paraId="78FF0F78"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assessment of the risk of commission of the specified serious offence is not an exercise of mathematical precision. By ss 7(3)(a) and 7(3)(b)</w:t>
      </w:r>
      <w:r w:rsidRPr="000309F2">
        <w:rPr>
          <w:rStyle w:val="FootnoteReference"/>
          <w:rFonts w:ascii="Times New Roman" w:hAnsi="Times New Roman"/>
          <w:sz w:val="24"/>
        </w:rPr>
        <w:footnoteReference w:id="390"/>
      </w:r>
      <w:r w:rsidRPr="000309F2">
        <w:rPr>
          <w:rFonts w:ascii="Times New Roman" w:hAnsi="Times New Roman"/>
        </w:rPr>
        <w:t>, the Court must have regard to expert evidence concerning the offender including psychological and psychiatric evidence. Great caution is required in the treatment of this evidence because risk prediction for serious violence, including sexual violence, has been said to be "plagued by high false</w:t>
      </w:r>
      <w:r w:rsidRPr="000309F2">
        <w:rPr>
          <w:rFonts w:ascii="Times New Roman" w:hAnsi="Times New Roman"/>
        </w:rPr>
        <w:noBreakHyphen/>
        <w:t>positive rates"</w:t>
      </w:r>
      <w:r w:rsidRPr="000309F2">
        <w:rPr>
          <w:rStyle w:val="FootnoteReference"/>
          <w:rFonts w:ascii="Times New Roman" w:hAnsi="Times New Roman"/>
          <w:sz w:val="24"/>
        </w:rPr>
        <w:footnoteReference w:id="391"/>
      </w:r>
      <w:r w:rsidRPr="000309F2">
        <w:rPr>
          <w:rFonts w:ascii="Times New Roman" w:hAnsi="Times New Roman"/>
        </w:rPr>
        <w:t>. Members of this Court have repeatedly emphasised the notorious difficulties in expert evidence in this area</w:t>
      </w:r>
      <w:r w:rsidRPr="000309F2">
        <w:rPr>
          <w:rStyle w:val="FootnoteReference"/>
          <w:rFonts w:ascii="Times New Roman" w:hAnsi="Times New Roman"/>
          <w:sz w:val="24"/>
        </w:rPr>
        <w:footnoteReference w:id="392"/>
      </w:r>
      <w:r w:rsidRPr="000309F2">
        <w:rPr>
          <w:rFonts w:ascii="Times New Roman" w:hAnsi="Times New Roman"/>
        </w:rPr>
        <w:t>, including by reference to comments in literature that "[p]</w:t>
      </w:r>
      <w:proofErr w:type="spellStart"/>
      <w:r w:rsidRPr="000309F2">
        <w:rPr>
          <w:rFonts w:ascii="Times New Roman" w:hAnsi="Times New Roman"/>
        </w:rPr>
        <w:t>redictions</w:t>
      </w:r>
      <w:proofErr w:type="spellEnd"/>
      <w:r w:rsidRPr="000309F2">
        <w:rPr>
          <w:rFonts w:ascii="Times New Roman" w:hAnsi="Times New Roman"/>
        </w:rPr>
        <w:t xml:space="preserve"> of dangerousness have been shown to have only a one</w:t>
      </w:r>
      <w:r w:rsidRPr="000309F2">
        <w:rPr>
          <w:rFonts w:ascii="Times New Roman" w:hAnsi="Times New Roman"/>
        </w:rPr>
        <w:noBreakHyphen/>
        <w:t>third to 50% success rate"</w:t>
      </w:r>
      <w:r w:rsidRPr="000309F2">
        <w:rPr>
          <w:rStyle w:val="FootnoteReference"/>
          <w:rFonts w:ascii="Times New Roman" w:hAnsi="Times New Roman"/>
          <w:sz w:val="24"/>
        </w:rPr>
        <w:footnoteReference w:id="393"/>
      </w:r>
      <w:r w:rsidRPr="000309F2">
        <w:rPr>
          <w:rFonts w:ascii="Times New Roman" w:hAnsi="Times New Roman"/>
        </w:rPr>
        <w:t xml:space="preserve">. Caution should be exercised in evaluating any expert evidence based on generalised psychological tools for assessment of recidivism. A fundamental premise of our criminal law is that individuals, with their vast variety of </w:t>
      </w:r>
      <w:r w:rsidRPr="000309F2">
        <w:rPr>
          <w:rFonts w:ascii="Times New Roman" w:hAnsi="Times New Roman"/>
        </w:rPr>
        <w:lastRenderedPageBreak/>
        <w:t>backgrounds and circumstances, should be treated based upon their own circumstances.</w:t>
      </w:r>
    </w:p>
    <w:p w14:paraId="6C0155F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expert evidence can be </w:t>
      </w:r>
      <w:proofErr w:type="gramStart"/>
      <w:r w:rsidRPr="000309F2">
        <w:rPr>
          <w:rFonts w:ascii="Times New Roman" w:hAnsi="Times New Roman"/>
        </w:rPr>
        <w:t>taken into account</w:t>
      </w:r>
      <w:proofErr w:type="gramEnd"/>
      <w:r w:rsidRPr="000309F2">
        <w:rPr>
          <w:rFonts w:ascii="Times New Roman" w:hAnsi="Times New Roman"/>
        </w:rPr>
        <w:t xml:space="preserve"> cautiously, but the level of the risk is ultimately a question for the judge, based upon all the evidence and all the factors in s 7(3). This includes "any other relevant matter" in s 7(3)(j), particularly any evidence given by the offender</w:t>
      </w:r>
      <w:r w:rsidRPr="000309F2">
        <w:rPr>
          <w:rStyle w:val="FootnoteReference"/>
          <w:rFonts w:ascii="Times New Roman" w:hAnsi="Times New Roman"/>
          <w:sz w:val="24"/>
        </w:rPr>
        <w:footnoteReference w:id="394"/>
      </w:r>
      <w:r w:rsidRPr="000309F2">
        <w:rPr>
          <w:rFonts w:ascii="Times New Roman" w:hAnsi="Times New Roman"/>
        </w:rPr>
        <w:t>, as well as other restrictions imposed upon the offender (apart from imprisonment, remand in custody, or bail conditions)</w:t>
      </w:r>
      <w:r w:rsidRPr="000309F2">
        <w:rPr>
          <w:rStyle w:val="FootnoteReference"/>
          <w:rFonts w:ascii="Times New Roman" w:hAnsi="Times New Roman"/>
          <w:sz w:val="24"/>
        </w:rPr>
        <w:footnoteReference w:id="395"/>
      </w:r>
      <w:r w:rsidRPr="000309F2">
        <w:rPr>
          <w:rFonts w:ascii="Times New Roman" w:hAnsi="Times New Roman"/>
        </w:rPr>
        <w:t>. For instance, an otherwise substantial risk could become negligible if an offender were already subject to a post</w:t>
      </w:r>
      <w:r w:rsidRPr="000309F2">
        <w:rPr>
          <w:rFonts w:ascii="Times New Roman" w:hAnsi="Times New Roman"/>
        </w:rPr>
        <w:noBreakHyphen/>
        <w:t xml:space="preserve">sentence supervision order under ss 74D and 74G of the </w:t>
      </w:r>
      <w:r w:rsidRPr="000309F2">
        <w:rPr>
          <w:rFonts w:ascii="Times New Roman" w:hAnsi="Times New Roman"/>
          <w:i/>
        </w:rPr>
        <w:t>Sentence Administration Act 2003 </w:t>
      </w:r>
      <w:r w:rsidRPr="000309F2">
        <w:rPr>
          <w:rFonts w:ascii="Times New Roman" w:hAnsi="Times New Roman"/>
        </w:rPr>
        <w:t>(WA), such as wearing an electronic monitoring device.</w:t>
      </w:r>
    </w:p>
    <w:p w14:paraId="0A4CE49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
        </w:rPr>
        <w:tab/>
        <w:t>Thirdly</w:t>
      </w:r>
      <w:r w:rsidRPr="000309F2">
        <w:rPr>
          <w:rFonts w:ascii="Times New Roman" w:hAnsi="Times New Roman"/>
          <w:bCs/>
        </w:rPr>
        <w:t xml:space="preserve">, by ss 7(1) and 7(2), before a restriction order must be made the State has the onus of proving that it is "necessary to make a restriction order in relation to the offender to ensure adequate protection of the community" against </w:t>
      </w:r>
      <w:r w:rsidRPr="000309F2">
        <w:rPr>
          <w:rFonts w:ascii="Times New Roman" w:hAnsi="Times New Roman"/>
        </w:rPr>
        <w:t>an "unacceptable"</w:t>
      </w:r>
      <w:r w:rsidRPr="000309F2">
        <w:rPr>
          <w:rFonts w:ascii="Times New Roman" w:hAnsi="Times New Roman"/>
          <w:bCs/>
        </w:rPr>
        <w:t xml:space="preserve"> risk. "Community" is defined in terms that include "any community" and is not limited to the community of Western Australia or Australia</w:t>
      </w:r>
      <w:r w:rsidRPr="000309F2">
        <w:rPr>
          <w:rStyle w:val="FootnoteReference"/>
          <w:rFonts w:ascii="Times New Roman" w:hAnsi="Times New Roman"/>
          <w:bCs/>
          <w:sz w:val="24"/>
        </w:rPr>
        <w:footnoteReference w:id="396"/>
      </w:r>
      <w:r w:rsidRPr="000309F2">
        <w:rPr>
          <w:rFonts w:ascii="Times New Roman" w:hAnsi="Times New Roman"/>
          <w:bCs/>
        </w:rPr>
        <w:t>. It would therefore extend to risks to regional communities within Western Australia or communities outside Western Australia, and arguably even overseas.</w:t>
      </w:r>
    </w:p>
    <w:p w14:paraId="42EA3D5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The requirements that the risk be "unacceptable" and that the restriction order be "necessary" to ensure "adequate" protection of the community direct attention to whether the identified risk to the community can be tolerated. </w:t>
      </w:r>
      <w:r w:rsidRPr="000309F2">
        <w:rPr>
          <w:rFonts w:ascii="Times New Roman" w:hAnsi="Times New Roman"/>
        </w:rPr>
        <w:t>That assessment must be made</w:t>
      </w:r>
      <w:r w:rsidRPr="000309F2">
        <w:rPr>
          <w:rFonts w:ascii="Times New Roman" w:hAnsi="Times New Roman"/>
          <w:bCs/>
        </w:rPr>
        <w:t xml:space="preserve"> </w:t>
      </w:r>
      <w:proofErr w:type="gramStart"/>
      <w:r w:rsidRPr="000309F2">
        <w:rPr>
          <w:rFonts w:ascii="Times New Roman" w:hAnsi="Times New Roman"/>
          <w:bCs/>
        </w:rPr>
        <w:t>in light of</w:t>
      </w:r>
      <w:proofErr w:type="gramEnd"/>
      <w:r w:rsidRPr="000309F2">
        <w:rPr>
          <w:rFonts w:ascii="Times New Roman" w:hAnsi="Times New Roman"/>
          <w:bCs/>
        </w:rPr>
        <w:t xml:space="preserve"> the whole of the burden which would be placed upon the liberty of the offender by the making of a restriction order, including any standard supervision order conditions</w:t>
      </w:r>
      <w:r w:rsidRPr="000309F2">
        <w:rPr>
          <w:rStyle w:val="FootnoteReference"/>
          <w:rFonts w:ascii="Times New Roman" w:hAnsi="Times New Roman"/>
          <w:bCs/>
          <w:sz w:val="24"/>
        </w:rPr>
        <w:footnoteReference w:id="397"/>
      </w:r>
      <w:r w:rsidRPr="000309F2">
        <w:rPr>
          <w:rFonts w:ascii="Times New Roman" w:hAnsi="Times New Roman"/>
          <w:bCs/>
        </w:rPr>
        <w:t>.</w:t>
      </w:r>
    </w:p>
    <w:p w14:paraId="2F3EF25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Section 7 thus requires balancing, on the one hand, the level of the risk </w:t>
      </w:r>
      <w:r w:rsidRPr="000309F2">
        <w:rPr>
          <w:rFonts w:ascii="Times New Roman" w:hAnsi="Times New Roman"/>
        </w:rPr>
        <w:t xml:space="preserve">identified </w:t>
      </w:r>
      <w:r w:rsidRPr="000309F2">
        <w:rPr>
          <w:rFonts w:ascii="Times New Roman" w:hAnsi="Times New Roman"/>
          <w:bCs/>
        </w:rPr>
        <w:t>at the second stage (that is, the probability of the commission of the</w:t>
      </w:r>
      <w:r w:rsidRPr="000309F2">
        <w:rPr>
          <w:rFonts w:ascii="Times New Roman" w:hAnsi="Times New Roman"/>
        </w:rPr>
        <w:t xml:space="preserve"> specified</w:t>
      </w:r>
      <w:r w:rsidRPr="000309F2">
        <w:rPr>
          <w:rFonts w:ascii="Times New Roman" w:hAnsi="Times New Roman"/>
          <w:bCs/>
        </w:rPr>
        <w:t xml:space="preserve"> serious offence) together with the magnitude of the harm associated with </w:t>
      </w:r>
      <w:r w:rsidRPr="000309F2">
        <w:rPr>
          <w:rFonts w:ascii="Times New Roman" w:hAnsi="Times New Roman"/>
        </w:rPr>
        <w:t>t</w:t>
      </w:r>
      <w:r w:rsidRPr="000309F2">
        <w:rPr>
          <w:rFonts w:ascii="Times New Roman" w:hAnsi="Times New Roman"/>
          <w:bCs/>
        </w:rPr>
        <w:t>hat risk with, on the other hand, the burden that would be placed upon the liberty of the offender by a restriction order for an offence that they have not committed</w:t>
      </w:r>
      <w:r w:rsidRPr="000309F2">
        <w:rPr>
          <w:rStyle w:val="FootnoteReference"/>
          <w:rFonts w:ascii="Times New Roman" w:hAnsi="Times New Roman"/>
          <w:bCs/>
          <w:sz w:val="24"/>
        </w:rPr>
        <w:footnoteReference w:id="398"/>
      </w:r>
      <w:r w:rsidRPr="000309F2">
        <w:rPr>
          <w:rFonts w:ascii="Times New Roman" w:hAnsi="Times New Roman"/>
          <w:bCs/>
        </w:rPr>
        <w:t xml:space="preserve">. </w:t>
      </w:r>
      <w:r w:rsidRPr="000309F2">
        <w:rPr>
          <w:rFonts w:ascii="Times New Roman" w:hAnsi="Times New Roman"/>
          <w:bCs/>
        </w:rPr>
        <w:lastRenderedPageBreak/>
        <w:t>Consider, for example, circumstances adapted from those of Mr </w:t>
      </w:r>
      <w:proofErr w:type="spellStart"/>
      <w:r w:rsidRPr="000309F2">
        <w:rPr>
          <w:rFonts w:ascii="Times New Roman" w:hAnsi="Times New Roman"/>
          <w:bCs/>
        </w:rPr>
        <w:t>Garlett</w:t>
      </w:r>
      <w:proofErr w:type="spellEnd"/>
      <w:r w:rsidRPr="000309F2">
        <w:rPr>
          <w:rFonts w:ascii="Times New Roman" w:hAnsi="Times New Roman"/>
          <w:bCs/>
        </w:rPr>
        <w:t>, involving an offender who had a pattern of unplanned and reasonably spontaneous burglaries and robberies as a minor</w:t>
      </w:r>
      <w:r w:rsidRPr="000309F2">
        <w:rPr>
          <w:rStyle w:val="FootnoteReference"/>
          <w:rFonts w:ascii="Times New Roman" w:hAnsi="Times New Roman"/>
          <w:bCs/>
          <w:sz w:val="24"/>
        </w:rPr>
        <w:footnoteReference w:id="399"/>
      </w:r>
      <w:r w:rsidRPr="000309F2">
        <w:rPr>
          <w:rFonts w:ascii="Times New Roman" w:hAnsi="Times New Roman"/>
          <w:bCs/>
        </w:rPr>
        <w:t xml:space="preserve">. It would not be necessary to make a restriction order to ensure adequate protection of the community from a small to moderate risk </w:t>
      </w:r>
      <w:r w:rsidRPr="000309F2">
        <w:rPr>
          <w:rFonts w:ascii="Times New Roman" w:hAnsi="Times New Roman"/>
        </w:rPr>
        <w:t>that they might</w:t>
      </w:r>
      <w:r w:rsidRPr="000309F2">
        <w:rPr>
          <w:rFonts w:ascii="Times New Roman" w:hAnsi="Times New Roman"/>
          <w:bCs/>
        </w:rPr>
        <w:t xml:space="preserve"> commit a robbery that is not at the higher end of seriousness, especially if that </w:t>
      </w:r>
      <w:r w:rsidRPr="000309F2">
        <w:rPr>
          <w:rFonts w:ascii="Times New Roman" w:hAnsi="Times New Roman"/>
        </w:rPr>
        <w:t>offence</w:t>
      </w:r>
      <w:r w:rsidRPr="000309F2">
        <w:rPr>
          <w:rFonts w:ascii="Times New Roman" w:hAnsi="Times New Roman"/>
          <w:bCs/>
        </w:rPr>
        <w:t xml:space="preserve"> were unlikely to </w:t>
      </w:r>
      <w:r w:rsidRPr="000309F2">
        <w:rPr>
          <w:rFonts w:ascii="Times New Roman" w:hAnsi="Times New Roman"/>
        </w:rPr>
        <w:t>involve</w:t>
      </w:r>
      <w:r w:rsidRPr="000309F2">
        <w:rPr>
          <w:rFonts w:ascii="Times New Roman" w:hAnsi="Times New Roman"/>
          <w:bCs/>
        </w:rPr>
        <w:t xml:space="preserve"> any actual violence</w:t>
      </w:r>
      <w:r w:rsidRPr="000309F2">
        <w:rPr>
          <w:rStyle w:val="FootnoteReference"/>
          <w:rFonts w:ascii="Times New Roman" w:hAnsi="Times New Roman"/>
          <w:bCs/>
          <w:sz w:val="24"/>
        </w:rPr>
        <w:footnoteReference w:id="400"/>
      </w:r>
      <w:r w:rsidRPr="000309F2">
        <w:rPr>
          <w:rFonts w:ascii="Times New Roman" w:hAnsi="Times New Roman"/>
          <w:bCs/>
        </w:rPr>
        <w:t>.</w:t>
      </w:r>
    </w:p>
    <w:p w14:paraId="1CE3CA0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Even if the balancing process favoured </w:t>
      </w:r>
      <w:r w:rsidRPr="000309F2">
        <w:rPr>
          <w:rFonts w:ascii="Times New Roman" w:hAnsi="Times New Roman"/>
        </w:rPr>
        <w:t>the making of</w:t>
      </w:r>
      <w:r w:rsidRPr="000309F2">
        <w:rPr>
          <w:rFonts w:ascii="Times New Roman" w:hAnsi="Times New Roman"/>
          <w:bCs/>
        </w:rPr>
        <w:t xml:space="preserve"> </w:t>
      </w:r>
      <w:r w:rsidRPr="000309F2">
        <w:rPr>
          <w:rFonts w:ascii="Times New Roman" w:hAnsi="Times New Roman"/>
        </w:rPr>
        <w:t>a restriction order, it</w:t>
      </w:r>
      <w:r w:rsidRPr="000309F2">
        <w:rPr>
          <w:rFonts w:ascii="Times New Roman" w:hAnsi="Times New Roman"/>
          <w:bCs/>
        </w:rPr>
        <w:t xml:space="preserve"> might still be unnecessary to make such an order if, for example, the Court were able to make orders under other legislation, such as post</w:t>
      </w:r>
      <w:r w:rsidRPr="000309F2">
        <w:rPr>
          <w:rFonts w:ascii="Times New Roman" w:hAnsi="Times New Roman"/>
          <w:bCs/>
        </w:rPr>
        <w:noBreakHyphen/>
        <w:t xml:space="preserve">sentence supervision orders under the </w:t>
      </w:r>
      <w:r w:rsidRPr="000309F2">
        <w:rPr>
          <w:rFonts w:ascii="Times New Roman" w:hAnsi="Times New Roman"/>
          <w:i/>
        </w:rPr>
        <w:t>Sentence Administration Act</w:t>
      </w:r>
      <w:r w:rsidRPr="000309F2">
        <w:rPr>
          <w:rStyle w:val="FootnoteReference"/>
          <w:rFonts w:ascii="Times New Roman" w:hAnsi="Times New Roman"/>
          <w:sz w:val="24"/>
        </w:rPr>
        <w:footnoteReference w:id="401"/>
      </w:r>
      <w:r w:rsidRPr="000309F2">
        <w:rPr>
          <w:rFonts w:ascii="Times New Roman" w:hAnsi="Times New Roman"/>
        </w:rPr>
        <w:t>. Such orders might reduce an unacceptable risk to an acceptable one.</w:t>
      </w:r>
    </w:p>
    <w:p w14:paraId="69C92608"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r>
      <w:r w:rsidRPr="000309F2">
        <w:rPr>
          <w:rFonts w:ascii="Times New Roman" w:hAnsi="Times New Roman"/>
          <w:b/>
          <w:bCs/>
        </w:rPr>
        <w:t>Fourthly</w:t>
      </w:r>
      <w:r w:rsidRPr="000309F2">
        <w:rPr>
          <w:rFonts w:ascii="Times New Roman" w:hAnsi="Times New Roman"/>
        </w:rPr>
        <w:t>,</w:t>
      </w:r>
      <w:r w:rsidRPr="000309F2">
        <w:rPr>
          <w:rFonts w:ascii="Times New Roman" w:hAnsi="Times New Roman"/>
          <w:b/>
          <w:bCs/>
        </w:rPr>
        <w:t xml:space="preserve"> </w:t>
      </w:r>
      <w:r w:rsidRPr="000309F2">
        <w:rPr>
          <w:rFonts w:ascii="Times New Roman" w:hAnsi="Times New Roman"/>
          <w:bCs/>
        </w:rPr>
        <w:t xml:space="preserve">if the Court concludes that the offender is a </w:t>
      </w:r>
      <w:proofErr w:type="gramStart"/>
      <w:r w:rsidRPr="000309F2">
        <w:rPr>
          <w:rFonts w:ascii="Times New Roman" w:hAnsi="Times New Roman"/>
          <w:bCs/>
        </w:rPr>
        <w:t>high risk</w:t>
      </w:r>
      <w:proofErr w:type="gramEnd"/>
      <w:r w:rsidRPr="000309F2">
        <w:rPr>
          <w:rFonts w:ascii="Times New Roman" w:hAnsi="Times New Roman"/>
          <w:bCs/>
        </w:rPr>
        <w:t xml:space="preserve"> serious offender then, by s 48, the Court must make a restriction order. There are two types of restriction orders: continuing detention orders, which impose the most extreme constraint upon liberty</w:t>
      </w:r>
      <w:r w:rsidRPr="000309F2">
        <w:rPr>
          <w:rFonts w:ascii="Times New Roman" w:hAnsi="Times New Roman"/>
        </w:rPr>
        <w:t>,</w:t>
      </w:r>
      <w:r w:rsidRPr="000309F2">
        <w:rPr>
          <w:rFonts w:ascii="Times New Roman" w:hAnsi="Times New Roman"/>
          <w:bCs/>
        </w:rPr>
        <w:t xml:space="preserve"> and supervision orders. </w:t>
      </w:r>
      <w:r w:rsidRPr="000309F2">
        <w:rPr>
          <w:rFonts w:ascii="Times New Roman" w:hAnsi="Times New Roman"/>
        </w:rPr>
        <w:t>The discretion in s 48 to choose between a continuing detention order and a supervision order preserves the basic principle of justice that detention in the custody of the State should only be ordered as a matter of last resort</w:t>
      </w:r>
      <w:r w:rsidRPr="000309F2">
        <w:rPr>
          <w:rStyle w:val="FootnoteReference"/>
          <w:rFonts w:ascii="Times New Roman" w:hAnsi="Times New Roman"/>
          <w:sz w:val="24"/>
        </w:rPr>
        <w:footnoteReference w:id="402"/>
      </w:r>
      <w:r w:rsidRPr="000309F2">
        <w:rPr>
          <w:rFonts w:ascii="Times New Roman" w:hAnsi="Times New Roman"/>
        </w:rPr>
        <w:t>.</w:t>
      </w:r>
    </w:p>
    <w:p w14:paraId="64C4FE6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As to supervision orders, there is a huge range of possible conditions that deprive an offender of their liberty without custodial detention. The Court should consider the conditions that are "appropriate"</w:t>
      </w:r>
      <w:r w:rsidRPr="000309F2">
        <w:rPr>
          <w:rStyle w:val="FootnoteReference"/>
          <w:rFonts w:ascii="Times New Roman" w:hAnsi="Times New Roman"/>
          <w:sz w:val="24"/>
        </w:rPr>
        <w:footnoteReference w:id="403"/>
      </w:r>
      <w:r w:rsidRPr="000309F2">
        <w:rPr>
          <w:rFonts w:ascii="Times New Roman" w:hAnsi="Times New Roman"/>
        </w:rPr>
        <w:t xml:space="preserve">, in addition to the standard conditions in s 30(2). The requirement of appropriateness imposes a duty on the Court </w:t>
      </w:r>
      <w:r w:rsidRPr="000309F2" w:rsidDel="003861F3">
        <w:rPr>
          <w:rFonts w:ascii="Times New Roman" w:hAnsi="Times New Roman"/>
        </w:rPr>
        <w:t xml:space="preserve">to </w:t>
      </w:r>
      <w:r w:rsidRPr="000309F2">
        <w:rPr>
          <w:rFonts w:ascii="Times New Roman" w:hAnsi="Times New Roman"/>
        </w:rPr>
        <w:t>make only the additional supervision conditions required to ensure "adequate" protection of the community</w:t>
      </w:r>
      <w:r w:rsidRPr="000309F2">
        <w:rPr>
          <w:rStyle w:val="FootnoteReference"/>
          <w:rFonts w:ascii="Times New Roman" w:hAnsi="Times New Roman"/>
          <w:sz w:val="24"/>
        </w:rPr>
        <w:footnoteReference w:id="404"/>
      </w:r>
      <w:r w:rsidRPr="000309F2">
        <w:rPr>
          <w:rFonts w:ascii="Times New Roman" w:hAnsi="Times New Roman"/>
        </w:rPr>
        <w:t>, while imposing the minimum intrusion on an offender's liberty</w:t>
      </w:r>
      <w:r w:rsidRPr="000309F2">
        <w:rPr>
          <w:rStyle w:val="FootnoteReference"/>
          <w:rFonts w:ascii="Times New Roman" w:hAnsi="Times New Roman"/>
          <w:sz w:val="24"/>
        </w:rPr>
        <w:footnoteReference w:id="405"/>
      </w:r>
      <w:r w:rsidRPr="000309F2">
        <w:rPr>
          <w:rFonts w:ascii="Times New Roman" w:hAnsi="Times New Roman"/>
        </w:rPr>
        <w:t>.</w:t>
      </w:r>
    </w:p>
    <w:p w14:paraId="7460E57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lastRenderedPageBreak/>
        <w:tab/>
        <w:t>There is, however, one substantial constraint upon the exercise of the discretion by the Court to impose a supervision order rather than a continuing detention order. By s 29, the Court cannot make a supervision order in relation to an offender unless it is satisfied, on the balance of probabilities, that the offender will substantially comply with the standard conditions of the order, including not committing another serious offence. The offender bears the onus of proof under s 29.</w:t>
      </w:r>
    </w:p>
    <w:p w14:paraId="445133C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onus on the offender in s 29(1) is not an impossible onus which requires negating the possibility of commission of every variant of the many listed serious offences. In an adversarial system of law, s 29(1) should be interpreted to require only that the offender establish that, with a supervision order imposed, the offender will not, on the balance of probabilities, commit the serious offence, or offences, specified in the State's application</w:t>
      </w:r>
      <w:r w:rsidRPr="000309F2">
        <w:rPr>
          <w:rStyle w:val="FootnoteReference"/>
          <w:rFonts w:ascii="Times New Roman" w:hAnsi="Times New Roman"/>
          <w:sz w:val="24"/>
        </w:rPr>
        <w:footnoteReference w:id="406"/>
      </w:r>
      <w:r w:rsidRPr="000309F2">
        <w:rPr>
          <w:rFonts w:ascii="Times New Roman" w:hAnsi="Times New Roman"/>
        </w:rPr>
        <w:t>. For instance, an offender who is alleged in the State's application to pose an unacceptable risk of committing dangerous driving causing grievous bodily harm need not establish that they do not pose a risk of committing a robbery.</w:t>
      </w:r>
    </w:p>
    <w:p w14:paraId="7A3CD9E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Although it is invidious to speak of probabilities in the context of predicting human behaviour, the effect of s 29(1) is that a supervision order cannot be made, and a continuing detention order must be </w:t>
      </w:r>
      <w:proofErr w:type="gramStart"/>
      <w:r w:rsidRPr="000309F2">
        <w:rPr>
          <w:rFonts w:ascii="Times New Roman" w:hAnsi="Times New Roman"/>
        </w:rPr>
        <w:t>made, if</w:t>
      </w:r>
      <w:proofErr w:type="gramEnd"/>
      <w:r w:rsidRPr="000309F2">
        <w:rPr>
          <w:rFonts w:ascii="Times New Roman" w:hAnsi="Times New Roman"/>
        </w:rPr>
        <w:t xml:space="preserve"> the risk of the commission of the specified serious offence remains more likely than not after taking into account the conditions of the supervision order. Nevertheless, subject to the issues related to legislative facts discussed below, which issues were not before this Court on the appeal, a continuing detention order should be a rare order because s 30(5) permits an almost unlimited range of possible conditions beyond the standard supervision order conditions. In most circumstances, a supervision order should be able to satisfy the Court that the specified serious offence will not be committed on the balance of probabilities</w:t>
      </w:r>
      <w:r w:rsidRPr="000309F2">
        <w:rPr>
          <w:rStyle w:val="FootnoteReference"/>
          <w:rFonts w:ascii="Times New Roman" w:hAnsi="Times New Roman"/>
          <w:sz w:val="24"/>
        </w:rPr>
        <w:footnoteReference w:id="407"/>
      </w:r>
      <w:r w:rsidRPr="000309F2">
        <w:rPr>
          <w:rFonts w:ascii="Times New Roman" w:hAnsi="Times New Roman"/>
        </w:rPr>
        <w:t xml:space="preserve">. In addition to reporting and electronic monitoring, the long list of possible supervision order conditions includes conditions like those before the Court in </w:t>
      </w:r>
      <w:r w:rsidRPr="000309F2">
        <w:rPr>
          <w:rFonts w:ascii="Times New Roman" w:hAnsi="Times New Roman"/>
          <w:i/>
        </w:rPr>
        <w:t xml:space="preserve">Minister for Home Affairs v </w:t>
      </w:r>
      <w:proofErr w:type="spellStart"/>
      <w:r w:rsidRPr="000309F2">
        <w:rPr>
          <w:rFonts w:ascii="Times New Roman" w:hAnsi="Times New Roman"/>
          <w:i/>
        </w:rPr>
        <w:t>Benbrika</w:t>
      </w:r>
      <w:proofErr w:type="spellEnd"/>
      <w:r w:rsidRPr="000309F2">
        <w:rPr>
          <w:rStyle w:val="FootnoteReference"/>
          <w:rFonts w:ascii="Times New Roman" w:hAnsi="Times New Roman"/>
          <w:sz w:val="24"/>
        </w:rPr>
        <w:footnoteReference w:id="408"/>
      </w:r>
      <w:r w:rsidRPr="000309F2">
        <w:rPr>
          <w:rFonts w:ascii="Times New Roman" w:hAnsi="Times New Roman"/>
        </w:rPr>
        <w:t xml:space="preserve"> such as prohibitions on various associations or attending various locations, home curfew, and even, in extreme cases, home detention requirements.</w:t>
      </w:r>
    </w:p>
    <w:p w14:paraId="0B811126"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For instance, in the case of an offender such as Mr </w:t>
      </w:r>
      <w:proofErr w:type="spellStart"/>
      <w:r w:rsidRPr="000309F2">
        <w:rPr>
          <w:rFonts w:ascii="Times New Roman" w:hAnsi="Times New Roman"/>
        </w:rPr>
        <w:t>Garlett</w:t>
      </w:r>
      <w:proofErr w:type="spellEnd"/>
      <w:r w:rsidRPr="000309F2">
        <w:rPr>
          <w:rFonts w:ascii="Times New Roman" w:hAnsi="Times New Roman"/>
        </w:rPr>
        <w:t xml:space="preserve">, if a restriction order had been considered necessary and if the Court were not otherwise satisfied under s 29(1) that the offender would not commit the serious offence of robbery, </w:t>
      </w:r>
      <w:r w:rsidRPr="000309F2">
        <w:rPr>
          <w:rFonts w:ascii="Times New Roman" w:hAnsi="Times New Roman"/>
        </w:rPr>
        <w:lastRenderedPageBreak/>
        <w:t xml:space="preserve">it should only require a modicum of legal competence to identify additional supervision order conditions which would satisfy the Court on the balance of probabilities that a robbery would not be committed. Even in more extreme cases where common supervision </w:t>
      </w:r>
      <w:r w:rsidRPr="000309F2" w:rsidDel="005E05D7">
        <w:rPr>
          <w:rFonts w:ascii="Times New Roman" w:hAnsi="Times New Roman"/>
        </w:rPr>
        <w:t xml:space="preserve">order </w:t>
      </w:r>
      <w:r w:rsidRPr="000309F2">
        <w:rPr>
          <w:rFonts w:ascii="Times New Roman" w:hAnsi="Times New Roman"/>
        </w:rPr>
        <w:t>conditions would not be sufficient for such satisfaction, it is hard to see how, as a measure of nearly last resort, a condition of home detention could not suffice rather than custodial detention. It is noteworthy that senior counsel for Mr </w:t>
      </w:r>
      <w:proofErr w:type="spellStart"/>
      <w:r w:rsidRPr="000309F2">
        <w:rPr>
          <w:rFonts w:ascii="Times New Roman" w:hAnsi="Times New Roman"/>
        </w:rPr>
        <w:t>Garlett</w:t>
      </w:r>
      <w:proofErr w:type="spellEnd"/>
      <w:r w:rsidRPr="000309F2">
        <w:rPr>
          <w:rFonts w:ascii="Times New Roman" w:hAnsi="Times New Roman"/>
        </w:rPr>
        <w:t xml:space="preserve"> properly conceded that there was a "clear line" between detention in custody, under a continuing detention order, and home detention, under a supervision order. That correct concession further increases the exceptional nature of a continuing detention order.</w:t>
      </w:r>
    </w:p>
    <w:p w14:paraId="717B8D2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r>
      <w:r w:rsidRPr="000309F2">
        <w:rPr>
          <w:rFonts w:ascii="Times New Roman" w:hAnsi="Times New Roman"/>
          <w:b/>
        </w:rPr>
        <w:t>Fifthly</w:t>
      </w:r>
      <w:r w:rsidRPr="000309F2">
        <w:rPr>
          <w:rFonts w:ascii="Times New Roman" w:hAnsi="Times New Roman"/>
        </w:rPr>
        <w:t>, although a continuing detention order is indefinite, the HRSO Act requires periodic reviews. The State is usually required to apply for a review as soon as practicable after the offender has been detained for a year, and every two years thereafter</w:t>
      </w:r>
      <w:r w:rsidRPr="000309F2">
        <w:rPr>
          <w:rStyle w:val="FootnoteReference"/>
          <w:rFonts w:ascii="Times New Roman" w:hAnsi="Times New Roman"/>
          <w:sz w:val="24"/>
        </w:rPr>
        <w:footnoteReference w:id="409"/>
      </w:r>
      <w:r w:rsidRPr="000309F2">
        <w:rPr>
          <w:rFonts w:ascii="Times New Roman" w:hAnsi="Times New Roman"/>
        </w:rPr>
        <w:t>. In exceptional circumstances, the offender can apply for a review of their continuing detention order</w:t>
      </w:r>
      <w:r w:rsidRPr="000309F2">
        <w:rPr>
          <w:rStyle w:val="FootnoteReference"/>
          <w:rFonts w:ascii="Times New Roman" w:hAnsi="Times New Roman"/>
          <w:sz w:val="24"/>
        </w:rPr>
        <w:footnoteReference w:id="410"/>
      </w:r>
      <w:r w:rsidRPr="000309F2">
        <w:rPr>
          <w:rFonts w:ascii="Times New Roman" w:hAnsi="Times New Roman"/>
        </w:rPr>
        <w:t>.</w:t>
      </w:r>
    </w:p>
    <w:p w14:paraId="2BE42EA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State is, in effect, required to provide ongoing justification for a continuing detention order at each review. This is because, by s 68(1)(a), the Court must rescind a continuing detention order unless it makes a finding at the review that the offender remains a </w:t>
      </w:r>
      <w:proofErr w:type="gramStart"/>
      <w:r w:rsidRPr="000309F2">
        <w:rPr>
          <w:rFonts w:ascii="Times New Roman" w:hAnsi="Times New Roman"/>
        </w:rPr>
        <w:t>high risk</w:t>
      </w:r>
      <w:proofErr w:type="gramEnd"/>
      <w:r w:rsidRPr="000309F2">
        <w:rPr>
          <w:rFonts w:ascii="Times New Roman" w:hAnsi="Times New Roman"/>
        </w:rPr>
        <w:t xml:space="preserve"> serious offender, a matter upon which the State bears the onus of proof</w:t>
      </w:r>
      <w:r w:rsidRPr="000309F2">
        <w:rPr>
          <w:rStyle w:val="FootnoteReference"/>
          <w:rFonts w:ascii="Times New Roman" w:hAnsi="Times New Roman"/>
          <w:sz w:val="24"/>
        </w:rPr>
        <w:footnoteReference w:id="411"/>
      </w:r>
      <w:r w:rsidRPr="000309F2">
        <w:rPr>
          <w:rFonts w:ascii="Times New Roman" w:hAnsi="Times New Roman"/>
        </w:rPr>
        <w:t>.</w:t>
      </w:r>
    </w:p>
    <w:p w14:paraId="6BDD6EFD"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On review, if the offender remains a </w:t>
      </w:r>
      <w:proofErr w:type="gramStart"/>
      <w:r w:rsidRPr="000309F2">
        <w:rPr>
          <w:rFonts w:ascii="Times New Roman" w:hAnsi="Times New Roman"/>
        </w:rPr>
        <w:t>high risk</w:t>
      </w:r>
      <w:proofErr w:type="gramEnd"/>
      <w:r w:rsidRPr="000309F2">
        <w:rPr>
          <w:rFonts w:ascii="Times New Roman" w:hAnsi="Times New Roman"/>
        </w:rPr>
        <w:t xml:space="preserve"> serious offender, s 68(1)(b) ensures that a continuing detention order remains an order of last resort. The discretion to make a supervision order ensures that such an order should be made, in the exercise of discretion, if it could reduce the risk that the offender will commit the specified serious offence to an acceptable level.</w:t>
      </w:r>
    </w:p>
    <w:p w14:paraId="28F7C8F6"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 xml:space="preserve">The </w:t>
      </w:r>
      <w:r w:rsidRPr="000309F2">
        <w:rPr>
          <w:rFonts w:ascii="Times New Roman" w:hAnsi="Times New Roman"/>
          <w:i/>
        </w:rPr>
        <w:t xml:space="preserve">Kable </w:t>
      </w:r>
      <w:r w:rsidRPr="000309F2">
        <w:rPr>
          <w:rFonts w:ascii="Times New Roman" w:hAnsi="Times New Roman"/>
        </w:rPr>
        <w:t>principle and its application</w:t>
      </w:r>
    </w:p>
    <w:p w14:paraId="44E55252"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w:t>
      </w:r>
      <w:r w:rsidRPr="000309F2">
        <w:rPr>
          <w:rFonts w:ascii="Times New Roman" w:hAnsi="Times New Roman"/>
          <w:i/>
          <w:iCs/>
        </w:rPr>
        <w:t xml:space="preserve">Constitution </w:t>
      </w:r>
      <w:r w:rsidRPr="000309F2">
        <w:rPr>
          <w:rFonts w:ascii="Times New Roman" w:hAnsi="Times New Roman"/>
        </w:rPr>
        <w:t xml:space="preserve">preserves the existence of State courts and permits them to be vested with federal judicial power. It tolerates the courts being used as instruments of individual injustice in the pursuit of broader social purposes such as the prevention of future crime. But in a line of cases this Court has held that there is a limit to the extent to which courts can be used as instruments of injustice. </w:t>
      </w:r>
      <w:r w:rsidRPr="000309F2">
        <w:rPr>
          <w:rFonts w:ascii="Times New Roman" w:hAnsi="Times New Roman"/>
        </w:rPr>
        <w:lastRenderedPageBreak/>
        <w:t xml:space="preserve">The progenitor of those cases was </w:t>
      </w:r>
      <w:r w:rsidRPr="000309F2">
        <w:rPr>
          <w:rFonts w:ascii="Times New Roman" w:hAnsi="Times New Roman"/>
          <w:i/>
          <w:iCs/>
        </w:rPr>
        <w:t>Kable v Director of Public Prosecutions (NSW)</w:t>
      </w:r>
      <w:r w:rsidRPr="000309F2">
        <w:rPr>
          <w:rStyle w:val="FootnoteReference"/>
          <w:rFonts w:ascii="Times New Roman" w:hAnsi="Times New Roman"/>
          <w:sz w:val="24"/>
        </w:rPr>
        <w:footnoteReference w:id="412"/>
      </w:r>
      <w:r w:rsidRPr="000309F2">
        <w:rPr>
          <w:rFonts w:ascii="Times New Roman" w:hAnsi="Times New Roman"/>
          <w:i/>
          <w:iCs/>
        </w:rPr>
        <w:t>.</w:t>
      </w:r>
    </w:p>
    <w:p w14:paraId="2C93DC2C"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In </w:t>
      </w:r>
      <w:r w:rsidRPr="000309F2">
        <w:rPr>
          <w:rFonts w:ascii="Times New Roman" w:hAnsi="Times New Roman"/>
          <w:bCs/>
          <w:i/>
        </w:rPr>
        <w:t>Kable</w:t>
      </w:r>
      <w:r w:rsidRPr="000309F2">
        <w:rPr>
          <w:rFonts w:ascii="Times New Roman" w:hAnsi="Times New Roman"/>
          <w:bCs/>
        </w:rPr>
        <w:t xml:space="preserve">, </w:t>
      </w:r>
      <w:proofErr w:type="gramStart"/>
      <w:r w:rsidRPr="000309F2">
        <w:rPr>
          <w:rFonts w:ascii="Times New Roman" w:hAnsi="Times New Roman"/>
          <w:bCs/>
        </w:rPr>
        <w:t>a majority of</w:t>
      </w:r>
      <w:proofErr w:type="gramEnd"/>
      <w:r w:rsidRPr="000309F2">
        <w:rPr>
          <w:rFonts w:ascii="Times New Roman" w:hAnsi="Times New Roman"/>
          <w:bCs/>
        </w:rPr>
        <w:t xml:space="preserve"> this Court held invalid a New South Wales law that authorised the further detention in custody of Mr Kable after his sentence of imprisonment had expired. Different reasons were given by the four members of the majority. One member of the majority, Toohey J, took a distinctly different approach from the others. His Honour's conclusion of invalidity was dependent upon his reasoning that the matter was within federal jurisdiction</w:t>
      </w:r>
      <w:r w:rsidRPr="000309F2">
        <w:rPr>
          <w:rStyle w:val="FootnoteReference"/>
          <w:rFonts w:ascii="Times New Roman" w:hAnsi="Times New Roman"/>
          <w:bCs/>
          <w:sz w:val="24"/>
        </w:rPr>
        <w:footnoteReference w:id="413"/>
      </w:r>
      <w:r w:rsidRPr="000309F2">
        <w:rPr>
          <w:rFonts w:ascii="Times New Roman" w:hAnsi="Times New Roman"/>
          <w:bCs/>
        </w:rPr>
        <w:t xml:space="preserve">. The first question that then arises is to identify the ratio decidendi of </w:t>
      </w:r>
      <w:r w:rsidRPr="000309F2">
        <w:rPr>
          <w:rFonts w:ascii="Times New Roman" w:hAnsi="Times New Roman"/>
          <w:bCs/>
          <w:i/>
          <w:iCs/>
        </w:rPr>
        <w:t>Kable</w:t>
      </w:r>
      <w:r w:rsidRPr="000309F2">
        <w:rPr>
          <w:rFonts w:ascii="Times New Roman" w:hAnsi="Times New Roman"/>
          <w:bCs/>
        </w:rPr>
        <w:t xml:space="preserve"> – that is, the binding </w:t>
      </w:r>
      <w:r w:rsidRPr="000309F2">
        <w:rPr>
          <w:rFonts w:ascii="Times New Roman" w:hAnsi="Times New Roman"/>
        </w:rPr>
        <w:t xml:space="preserve">principle of law </w:t>
      </w:r>
      <w:r w:rsidRPr="000309F2">
        <w:rPr>
          <w:rFonts w:ascii="Times New Roman" w:hAnsi="Times New Roman"/>
          <w:bCs/>
        </w:rPr>
        <w:t>at an appropriate level of generality</w:t>
      </w:r>
      <w:r w:rsidRPr="000309F2">
        <w:rPr>
          <w:rFonts w:ascii="Times New Roman" w:hAnsi="Times New Roman"/>
        </w:rPr>
        <w:t xml:space="preserve"> that can be identified from </w:t>
      </w:r>
      <w:r w:rsidRPr="000309F2">
        <w:rPr>
          <w:rFonts w:ascii="Times New Roman" w:hAnsi="Times New Roman"/>
          <w:bCs/>
        </w:rPr>
        <w:t>the reasons of a majority that is sufficient for the decision</w:t>
      </w:r>
      <w:r w:rsidRPr="000309F2">
        <w:rPr>
          <w:rStyle w:val="FootnoteReference"/>
          <w:rFonts w:ascii="Times New Roman" w:hAnsi="Times New Roman"/>
          <w:bCs/>
          <w:sz w:val="24"/>
        </w:rPr>
        <w:footnoteReference w:id="414"/>
      </w:r>
      <w:r w:rsidRPr="000309F2">
        <w:rPr>
          <w:rFonts w:ascii="Times New Roman" w:hAnsi="Times New Roman"/>
          <w:bCs/>
        </w:rPr>
        <w:t>.</w:t>
      </w:r>
    </w:p>
    <w:p w14:paraId="3F72494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 xml:space="preserve">No sensible judge or academic author has ever supported </w:t>
      </w:r>
      <w:r w:rsidRPr="000309F2">
        <w:rPr>
          <w:rFonts w:ascii="Times New Roman" w:hAnsi="Times New Roman"/>
        </w:rPr>
        <w:t xml:space="preserve">an approach to ratio decidendi in appellate courts which requires focus upon a majority </w:t>
      </w:r>
      <w:r w:rsidRPr="000309F2">
        <w:rPr>
          <w:rFonts w:ascii="Times New Roman" w:hAnsi="Times New Roman"/>
          <w:bCs/>
        </w:rPr>
        <w:t>agree</w:t>
      </w:r>
      <w:r w:rsidRPr="000309F2">
        <w:rPr>
          <w:rFonts w:ascii="Times New Roman" w:hAnsi="Times New Roman"/>
        </w:rPr>
        <w:t>ing</w:t>
      </w:r>
      <w:r w:rsidRPr="000309F2">
        <w:rPr>
          <w:rFonts w:ascii="Times New Roman" w:hAnsi="Times New Roman"/>
          <w:bCs/>
        </w:rPr>
        <w:t xml:space="preserve"> </w:t>
      </w:r>
      <w:r w:rsidRPr="000309F2">
        <w:rPr>
          <w:rFonts w:ascii="Times New Roman" w:hAnsi="Times New Roman"/>
        </w:rPr>
        <w:t>on the</w:t>
      </w:r>
      <w:r w:rsidRPr="000309F2">
        <w:rPr>
          <w:rFonts w:ascii="Times New Roman" w:hAnsi="Times New Roman"/>
          <w:bCs/>
        </w:rPr>
        <w:t xml:space="preserve"> </w:t>
      </w:r>
      <w:r w:rsidRPr="000309F2">
        <w:rPr>
          <w:rFonts w:ascii="Times New Roman" w:hAnsi="Times New Roman"/>
        </w:rPr>
        <w:t>resolution of</w:t>
      </w:r>
      <w:r w:rsidRPr="000309F2">
        <w:rPr>
          <w:rFonts w:ascii="Times New Roman" w:hAnsi="Times New Roman"/>
          <w:bCs/>
        </w:rPr>
        <w:t xml:space="preserve"> the case </w:t>
      </w:r>
      <w:r w:rsidRPr="000309F2">
        <w:rPr>
          <w:rFonts w:ascii="Times New Roman" w:hAnsi="Times New Roman"/>
        </w:rPr>
        <w:t>by reference to</w:t>
      </w:r>
      <w:r w:rsidRPr="000309F2">
        <w:rPr>
          <w:rFonts w:ascii="Times New Roman" w:hAnsi="Times New Roman"/>
          <w:bCs/>
        </w:rPr>
        <w:t xml:space="preserve"> reasoning at every level of particularity. On that bizarre approach, </w:t>
      </w:r>
      <w:r w:rsidRPr="000309F2">
        <w:rPr>
          <w:rFonts w:ascii="Times New Roman" w:hAnsi="Times New Roman"/>
          <w:bCs/>
          <w:i/>
        </w:rPr>
        <w:t>Donoghue v Stevenson</w:t>
      </w:r>
      <w:r w:rsidRPr="000309F2">
        <w:rPr>
          <w:rStyle w:val="FootnoteReference"/>
          <w:rFonts w:ascii="Times New Roman" w:hAnsi="Times New Roman"/>
          <w:bCs/>
          <w:sz w:val="24"/>
        </w:rPr>
        <w:footnoteReference w:id="415"/>
      </w:r>
      <w:r w:rsidRPr="000309F2">
        <w:rPr>
          <w:rFonts w:ascii="Times New Roman" w:hAnsi="Times New Roman"/>
          <w:bCs/>
          <w:i/>
        </w:rPr>
        <w:t xml:space="preserve"> </w:t>
      </w:r>
      <w:r w:rsidRPr="000309F2">
        <w:rPr>
          <w:rFonts w:ascii="Times New Roman" w:hAnsi="Times New Roman"/>
          <w:bCs/>
        </w:rPr>
        <w:t>would have been a dull case with a ratio decidendi concerned with dead snails in ginger-beer bottles</w:t>
      </w:r>
      <w:r w:rsidRPr="000309F2">
        <w:rPr>
          <w:rStyle w:val="FootnoteReference"/>
          <w:rFonts w:ascii="Times New Roman" w:hAnsi="Times New Roman"/>
          <w:iCs/>
          <w:sz w:val="24"/>
        </w:rPr>
        <w:footnoteReference w:id="416"/>
      </w:r>
      <w:r w:rsidRPr="000309F2">
        <w:rPr>
          <w:rFonts w:ascii="Times New Roman" w:hAnsi="Times New Roman"/>
          <w:bCs/>
        </w:rPr>
        <w:t xml:space="preserve">. And </w:t>
      </w:r>
      <w:r w:rsidRPr="000309F2">
        <w:rPr>
          <w:rFonts w:ascii="Times New Roman" w:hAnsi="Times New Roman"/>
          <w:bCs/>
          <w:i/>
        </w:rPr>
        <w:t xml:space="preserve">Kable </w:t>
      </w:r>
      <w:r w:rsidRPr="000309F2">
        <w:rPr>
          <w:rFonts w:ascii="Times New Roman" w:hAnsi="Times New Roman"/>
          <w:bCs/>
        </w:rPr>
        <w:t>would have no ratio decidendi. Indeed, if ratio decidendi were (erroneously</w:t>
      </w:r>
      <w:r w:rsidRPr="000309F2">
        <w:rPr>
          <w:rStyle w:val="FootnoteReference"/>
          <w:rFonts w:ascii="Times New Roman" w:hAnsi="Times New Roman"/>
          <w:bCs/>
          <w:sz w:val="24"/>
        </w:rPr>
        <w:footnoteReference w:id="417"/>
      </w:r>
      <w:r w:rsidRPr="000309F2">
        <w:rPr>
          <w:rFonts w:ascii="Times New Roman" w:hAnsi="Times New Roman"/>
          <w:bCs/>
        </w:rPr>
        <w:t xml:space="preserve">) thought to be the only </w:t>
      </w:r>
      <w:proofErr w:type="gramStart"/>
      <w:r w:rsidRPr="000309F2">
        <w:rPr>
          <w:rFonts w:ascii="Times New Roman" w:hAnsi="Times New Roman"/>
          <w:bCs/>
        </w:rPr>
        <w:t>manner in which</w:t>
      </w:r>
      <w:proofErr w:type="gramEnd"/>
      <w:r w:rsidRPr="000309F2">
        <w:rPr>
          <w:rFonts w:ascii="Times New Roman" w:hAnsi="Times New Roman"/>
          <w:bCs/>
        </w:rPr>
        <w:t xml:space="preserve"> a decision could be binding authority then</w:t>
      </w:r>
      <w:r w:rsidRPr="000309F2">
        <w:rPr>
          <w:rFonts w:ascii="Times New Roman" w:hAnsi="Times New Roman"/>
          <w:i/>
        </w:rPr>
        <w:t xml:space="preserve"> Kable</w:t>
      </w:r>
      <w:r w:rsidRPr="000309F2">
        <w:rPr>
          <w:rFonts w:ascii="Times New Roman" w:hAnsi="Times New Roman"/>
        </w:rPr>
        <w:t xml:space="preserve"> </w:t>
      </w:r>
      <w:r w:rsidRPr="000309F2">
        <w:rPr>
          <w:rFonts w:ascii="Times New Roman" w:hAnsi="Times New Roman"/>
          <w:bCs/>
        </w:rPr>
        <w:t xml:space="preserve">would not even be a binding authority. It would, on that view, be open to any counsel to seek to have this Court ignore </w:t>
      </w:r>
      <w:r w:rsidRPr="000309F2">
        <w:rPr>
          <w:rFonts w:ascii="Times New Roman" w:hAnsi="Times New Roman"/>
          <w:i/>
        </w:rPr>
        <w:t>Kable</w:t>
      </w:r>
      <w:r w:rsidRPr="000309F2">
        <w:rPr>
          <w:rFonts w:ascii="Times New Roman" w:hAnsi="Times New Roman"/>
          <w:bCs/>
          <w:i/>
          <w:iCs/>
        </w:rPr>
        <w:t xml:space="preserve"> </w:t>
      </w:r>
      <w:r w:rsidRPr="000309F2">
        <w:rPr>
          <w:rFonts w:ascii="Times New Roman" w:hAnsi="Times New Roman"/>
          <w:bCs/>
        </w:rPr>
        <w:t xml:space="preserve">without requiring it to be overturned, and to overturn other decisions that had assumed, </w:t>
      </w:r>
      <w:r w:rsidRPr="000309F2">
        <w:rPr>
          <w:rFonts w:ascii="Times New Roman" w:hAnsi="Times New Roman"/>
          <w:bCs/>
        </w:rPr>
        <w:lastRenderedPageBreak/>
        <w:t xml:space="preserve">without argument, that </w:t>
      </w:r>
      <w:r w:rsidRPr="000309F2">
        <w:rPr>
          <w:rFonts w:ascii="Times New Roman" w:hAnsi="Times New Roman"/>
        </w:rPr>
        <w:t>the decision</w:t>
      </w:r>
      <w:r w:rsidRPr="000309F2">
        <w:rPr>
          <w:rFonts w:ascii="Times New Roman" w:hAnsi="Times New Roman"/>
          <w:bCs/>
          <w:iCs/>
        </w:rPr>
        <w:t xml:space="preserve"> </w:t>
      </w:r>
      <w:r w:rsidRPr="000309F2">
        <w:rPr>
          <w:rFonts w:ascii="Times New Roman" w:hAnsi="Times New Roman"/>
          <w:bCs/>
        </w:rPr>
        <w:t>had a ratio decidendi. Such an approach to precedent has no merit whatsoever</w:t>
      </w:r>
      <w:r w:rsidRPr="000309F2">
        <w:rPr>
          <w:rStyle w:val="FootnoteReference"/>
          <w:rFonts w:ascii="Times New Roman" w:hAnsi="Times New Roman"/>
          <w:bCs/>
          <w:sz w:val="24"/>
        </w:rPr>
        <w:footnoteReference w:id="418"/>
      </w:r>
      <w:r w:rsidRPr="000309F2">
        <w:rPr>
          <w:rFonts w:ascii="Times New Roman" w:hAnsi="Times New Roman"/>
          <w:bCs/>
        </w:rPr>
        <w:t>.</w:t>
      </w:r>
    </w:p>
    <w:p w14:paraId="1E729CC3"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bCs/>
        </w:rPr>
        <w:tab/>
        <w:t>At the appropriate level of generality</w:t>
      </w:r>
      <w:r w:rsidRPr="000309F2">
        <w:rPr>
          <w:rFonts w:ascii="Times New Roman" w:hAnsi="Times New Roman"/>
        </w:rPr>
        <w:t>,</w:t>
      </w:r>
      <w:r w:rsidRPr="000309F2">
        <w:rPr>
          <w:rFonts w:ascii="Times New Roman" w:hAnsi="Times New Roman"/>
          <w:bCs/>
        </w:rPr>
        <w:t xml:space="preserve"> </w:t>
      </w:r>
      <w:r w:rsidRPr="000309F2">
        <w:rPr>
          <w:rFonts w:ascii="Times New Roman" w:hAnsi="Times New Roman"/>
        </w:rPr>
        <w:t>the</w:t>
      </w:r>
      <w:r w:rsidRPr="000309F2">
        <w:rPr>
          <w:rFonts w:ascii="Times New Roman" w:hAnsi="Times New Roman"/>
          <w:bCs/>
        </w:rPr>
        <w:t xml:space="preserve"> ratio decidendi of </w:t>
      </w:r>
      <w:r w:rsidRPr="000309F2">
        <w:rPr>
          <w:rFonts w:ascii="Times New Roman" w:hAnsi="Times New Roman"/>
          <w:bCs/>
          <w:i/>
        </w:rPr>
        <w:t>Kable</w:t>
      </w:r>
      <w:r w:rsidRPr="000309F2">
        <w:rPr>
          <w:rFonts w:ascii="Times New Roman" w:hAnsi="Times New Roman"/>
          <w:bCs/>
        </w:rPr>
        <w:t xml:space="preserve"> lies in </w:t>
      </w:r>
      <w:r w:rsidRPr="000309F2">
        <w:rPr>
          <w:rFonts w:ascii="Times New Roman" w:hAnsi="Times New Roman"/>
        </w:rPr>
        <w:t xml:space="preserve">the common reasoning of all members of the majority that legislation will be invalid to the extent that it confers functions upon a court resulting in what </w:t>
      </w:r>
      <w:proofErr w:type="spellStart"/>
      <w:r w:rsidRPr="000309F2">
        <w:rPr>
          <w:rFonts w:ascii="Times New Roman" w:hAnsi="Times New Roman"/>
        </w:rPr>
        <w:t>Gummow</w:t>
      </w:r>
      <w:proofErr w:type="spellEnd"/>
      <w:r w:rsidRPr="000309F2">
        <w:rPr>
          <w:rFonts w:ascii="Times New Roman" w:hAnsi="Times New Roman"/>
        </w:rPr>
        <w:t> J described as the "incongruity between the discharge of those functions and the exercise of the federal judicial power"</w:t>
      </w:r>
      <w:r w:rsidRPr="000309F2">
        <w:rPr>
          <w:rStyle w:val="FootnoteReference"/>
          <w:rFonts w:ascii="Times New Roman" w:hAnsi="Times New Roman"/>
          <w:iCs/>
          <w:sz w:val="24"/>
        </w:rPr>
        <w:footnoteReference w:id="419"/>
      </w:r>
      <w:r w:rsidRPr="000309F2">
        <w:rPr>
          <w:rFonts w:ascii="Times New Roman" w:hAnsi="Times New Roman"/>
        </w:rPr>
        <w:t xml:space="preserve">. In an integrated Australian court </w:t>
      </w:r>
      <w:proofErr w:type="gramStart"/>
      <w:r w:rsidRPr="000309F2">
        <w:rPr>
          <w:rFonts w:ascii="Times New Roman" w:hAnsi="Times New Roman"/>
        </w:rPr>
        <w:t>system</w:t>
      </w:r>
      <w:proofErr w:type="gramEnd"/>
      <w:r w:rsidRPr="000309F2">
        <w:rPr>
          <w:rFonts w:ascii="Times New Roman" w:hAnsi="Times New Roman"/>
        </w:rPr>
        <w:t xml:space="preserve"> which includes State courts as repositories of federal jurisdiction, this doctrine has been applied with respect to the impairment of the institutional integrity of a State court by laws that required the court to act in a manner that is incompatible with, or repugnant to, its institutional integrity</w:t>
      </w:r>
      <w:r w:rsidRPr="000309F2">
        <w:rPr>
          <w:rStyle w:val="FootnoteReference"/>
          <w:rFonts w:ascii="Times New Roman" w:hAnsi="Times New Roman"/>
          <w:sz w:val="24"/>
        </w:rPr>
        <w:footnoteReference w:id="420"/>
      </w:r>
      <w:r w:rsidRPr="000309F2">
        <w:rPr>
          <w:rFonts w:ascii="Times New Roman" w:hAnsi="Times New Roman"/>
        </w:rPr>
        <w:t>.</w:t>
      </w:r>
    </w:p>
    <w:p w14:paraId="2DF4A88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w:t>
      </w:r>
      <w:r w:rsidRPr="000309F2">
        <w:rPr>
          <w:rFonts w:ascii="Times New Roman" w:hAnsi="Times New Roman"/>
          <w:i/>
        </w:rPr>
        <w:t xml:space="preserve">Kable </w:t>
      </w:r>
      <w:r w:rsidRPr="000309F2">
        <w:rPr>
          <w:rFonts w:ascii="Times New Roman" w:hAnsi="Times New Roman"/>
        </w:rPr>
        <w:t xml:space="preserve">doctrine is based upon a presupposition in Ch III of the </w:t>
      </w:r>
      <w:r w:rsidRPr="000309F2">
        <w:rPr>
          <w:rFonts w:ascii="Times New Roman" w:hAnsi="Times New Roman"/>
          <w:i/>
          <w:iCs/>
        </w:rPr>
        <w:t>Constitution</w:t>
      </w:r>
      <w:r w:rsidRPr="000309F2">
        <w:rPr>
          <w:rFonts w:ascii="Times New Roman" w:hAnsi="Times New Roman"/>
        </w:rPr>
        <w:t xml:space="preserve"> that Australian courts, including federal and State courts recognised in Ch III of the </w:t>
      </w:r>
      <w:r w:rsidRPr="000309F2">
        <w:rPr>
          <w:rFonts w:ascii="Times New Roman" w:hAnsi="Times New Roman"/>
          <w:i/>
        </w:rPr>
        <w:t>Constitution</w:t>
      </w:r>
      <w:r w:rsidRPr="000309F2">
        <w:rPr>
          <w:rFonts w:ascii="Times New Roman" w:hAnsi="Times New Roman"/>
        </w:rPr>
        <w:t xml:space="preserve"> and possessing, or capable of possessing, federal jurisdiction, remain institutions of justice. Australian parliaments cannot impair the institutional integrity of courts by requiring them to act in a manner that is repugnant to their institutional integrity. The notions of impairment of institutional integrity and repugnancy or incompatibility with that institutional integrity are "not readily susceptible of definition in terms which will dictate future outcomes"</w:t>
      </w:r>
      <w:r w:rsidRPr="000309F2">
        <w:rPr>
          <w:rStyle w:val="FootnoteReference"/>
          <w:rFonts w:ascii="Times New Roman" w:hAnsi="Times New Roman"/>
          <w:sz w:val="24"/>
        </w:rPr>
        <w:footnoteReference w:id="421"/>
      </w:r>
      <w:r w:rsidRPr="000309F2">
        <w:rPr>
          <w:rFonts w:ascii="Times New Roman" w:hAnsi="Times New Roman"/>
        </w:rPr>
        <w:t>. Nevertheless, the repugnancy must usually be in a "fundamental degree"</w:t>
      </w:r>
      <w:r w:rsidRPr="000309F2">
        <w:rPr>
          <w:rStyle w:val="FootnoteReference"/>
          <w:rFonts w:ascii="Times New Roman" w:hAnsi="Times New Roman"/>
          <w:sz w:val="24"/>
        </w:rPr>
        <w:footnoteReference w:id="422"/>
      </w:r>
      <w:r w:rsidRPr="000309F2">
        <w:rPr>
          <w:rFonts w:ascii="Times New Roman" w:hAnsi="Times New Roman"/>
        </w:rPr>
        <w:t>. The threshold for the impairment of such a vaguely stated constitutional presupposition must be very high.</w:t>
      </w:r>
    </w:p>
    <w:p w14:paraId="1DF1112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"defining characteristics"</w:t>
      </w:r>
      <w:r w:rsidRPr="000309F2">
        <w:rPr>
          <w:rStyle w:val="FootnoteReference"/>
          <w:rFonts w:ascii="Times New Roman" w:hAnsi="Times New Roman"/>
          <w:sz w:val="24"/>
        </w:rPr>
        <w:footnoteReference w:id="423"/>
      </w:r>
      <w:r w:rsidRPr="000309F2">
        <w:rPr>
          <w:rFonts w:ascii="Times New Roman" w:hAnsi="Times New Roman"/>
        </w:rPr>
        <w:t xml:space="preserve"> of courts that are necessary to preserve substantially their institutional integrity exist in two dimensions. One dimension is formal. It concerns the form in which the power is generally exercised: fair rules of evidence and procedure; independence and impartiality of decision</w:t>
      </w:r>
      <w:r w:rsidRPr="000309F2">
        <w:rPr>
          <w:rFonts w:ascii="Times New Roman" w:hAnsi="Times New Roman"/>
        </w:rPr>
        <w:noBreakHyphen/>
        <w:t>making; open justice and public decision</w:t>
      </w:r>
      <w:r w:rsidRPr="000309F2">
        <w:rPr>
          <w:rFonts w:ascii="Times New Roman" w:hAnsi="Times New Roman"/>
        </w:rPr>
        <w:noBreakHyphen/>
        <w:t xml:space="preserve">making; and the provision of reasons for decision. </w:t>
      </w:r>
      <w:r w:rsidRPr="000309F2">
        <w:rPr>
          <w:rFonts w:ascii="Times New Roman" w:hAnsi="Times New Roman"/>
        </w:rPr>
        <w:lastRenderedPageBreak/>
        <w:t xml:space="preserve">These characteristics cannot always be treated as absolute requirements. For instance, without losing their character as courts: courts are sometimes closed; reasons are not given in every matter, however trivial; and procedures might in exceptional cases be unfair to one party. But the substantial impairment of a defining feature of a court can </w:t>
      </w:r>
      <w:proofErr w:type="gramStart"/>
      <w:r w:rsidRPr="000309F2">
        <w:rPr>
          <w:rFonts w:ascii="Times New Roman" w:hAnsi="Times New Roman"/>
        </w:rPr>
        <w:t>lead</w:t>
      </w:r>
      <w:proofErr w:type="gramEnd"/>
      <w:r w:rsidRPr="000309F2">
        <w:rPr>
          <w:rFonts w:ascii="Times New Roman" w:hAnsi="Times New Roman"/>
        </w:rPr>
        <w:t xml:space="preserve"> to it losing its character as judicial.</w:t>
      </w:r>
    </w:p>
    <w:p w14:paraId="442C49D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Under the </w:t>
      </w:r>
      <w:r w:rsidRPr="000309F2">
        <w:rPr>
          <w:rFonts w:ascii="Times New Roman" w:hAnsi="Times New Roman"/>
          <w:i/>
          <w:iCs/>
        </w:rPr>
        <w:t xml:space="preserve">Kable </w:t>
      </w:r>
      <w:r w:rsidRPr="000309F2">
        <w:rPr>
          <w:rFonts w:ascii="Times New Roman" w:hAnsi="Times New Roman"/>
        </w:rPr>
        <w:t>doctrine, it has been held that one defining formal characteristic of courts that cannot be substantially impaired is a court's independence or impartiality, or the appearance of such</w:t>
      </w:r>
      <w:r w:rsidRPr="000309F2">
        <w:rPr>
          <w:rStyle w:val="FootnoteReference"/>
          <w:rFonts w:ascii="Times New Roman" w:hAnsi="Times New Roman"/>
          <w:sz w:val="24"/>
        </w:rPr>
        <w:footnoteReference w:id="424"/>
      </w:r>
      <w:r w:rsidRPr="000309F2">
        <w:rPr>
          <w:rFonts w:ascii="Times New Roman" w:hAnsi="Times New Roman"/>
        </w:rPr>
        <w:t>. The court's institutional integrity might be substantially impaired by a requirement to exercise judicial power without important aspects of procedural fairness</w:t>
      </w:r>
      <w:r w:rsidRPr="000309F2">
        <w:rPr>
          <w:rStyle w:val="FootnoteReference"/>
          <w:rFonts w:ascii="Times New Roman" w:hAnsi="Times New Roman"/>
          <w:sz w:val="24"/>
        </w:rPr>
        <w:footnoteReference w:id="425"/>
      </w:r>
      <w:r w:rsidRPr="000309F2">
        <w:rPr>
          <w:rFonts w:ascii="Times New Roman" w:hAnsi="Times New Roman"/>
        </w:rPr>
        <w:t>, without a duty to give reasons on important issues</w:t>
      </w:r>
      <w:r w:rsidRPr="000309F2">
        <w:rPr>
          <w:rStyle w:val="FootnoteReference"/>
          <w:rFonts w:ascii="Times New Roman" w:hAnsi="Times New Roman"/>
          <w:sz w:val="24"/>
        </w:rPr>
        <w:footnoteReference w:id="426"/>
      </w:r>
      <w:r w:rsidRPr="000309F2">
        <w:rPr>
          <w:rFonts w:ascii="Times New Roman" w:hAnsi="Times New Roman"/>
        </w:rPr>
        <w:t>, or without an independent curial determination because the court is enlisted to give effect to executive or legislative policy</w:t>
      </w:r>
      <w:r w:rsidRPr="000309F2">
        <w:rPr>
          <w:rStyle w:val="FootnoteReference"/>
          <w:rFonts w:ascii="Times New Roman" w:hAnsi="Times New Roman"/>
          <w:sz w:val="24"/>
        </w:rPr>
        <w:footnoteReference w:id="427"/>
      </w:r>
      <w:r w:rsidRPr="000309F2">
        <w:rPr>
          <w:rFonts w:ascii="Times New Roman" w:hAnsi="Times New Roman"/>
        </w:rPr>
        <w:t>.</w:t>
      </w:r>
    </w:p>
    <w:p w14:paraId="721A28F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other dimension of judicial power concerns the substantive effect of the exercise of the power. This encompasses the persons over whom the power is exercised, the orders that can be made in the exercise of the power, and the conditions under which those orders can be made. Under the </w:t>
      </w:r>
      <w:r w:rsidRPr="000309F2">
        <w:rPr>
          <w:rFonts w:ascii="Times New Roman" w:hAnsi="Times New Roman"/>
          <w:i/>
          <w:iCs/>
        </w:rPr>
        <w:t xml:space="preserve">Kable </w:t>
      </w:r>
      <w:r w:rsidRPr="000309F2">
        <w:rPr>
          <w:rFonts w:ascii="Times New Roman" w:hAnsi="Times New Roman"/>
        </w:rPr>
        <w:t xml:space="preserve">doctrine, the institutional integrity of a court can be unjustifiably compromised where the substantive effect of the exercise of judicial power is such that power, which is judicial in its formal dimension, is exercised </w:t>
      </w:r>
      <w:proofErr w:type="spellStart"/>
      <w:r w:rsidRPr="000309F2">
        <w:rPr>
          <w:rFonts w:ascii="Times New Roman" w:hAnsi="Times New Roman"/>
        </w:rPr>
        <w:t>unjudicially</w:t>
      </w:r>
      <w:proofErr w:type="spellEnd"/>
      <w:r w:rsidRPr="000309F2">
        <w:rPr>
          <w:rFonts w:ascii="Times New Roman" w:hAnsi="Times New Roman"/>
        </w:rPr>
        <w:t xml:space="preserve">. That was an essential basis for the conclusion of invalidity in </w:t>
      </w:r>
      <w:r w:rsidRPr="000309F2">
        <w:rPr>
          <w:rFonts w:ascii="Times New Roman" w:hAnsi="Times New Roman"/>
          <w:i/>
          <w:iCs/>
        </w:rPr>
        <w:t xml:space="preserve">Kable </w:t>
      </w:r>
      <w:r w:rsidRPr="000309F2">
        <w:rPr>
          <w:rFonts w:ascii="Times New Roman" w:hAnsi="Times New Roman"/>
        </w:rPr>
        <w:t>itself</w:t>
      </w:r>
      <w:r w:rsidRPr="000309F2">
        <w:rPr>
          <w:rFonts w:ascii="Times New Roman" w:hAnsi="Times New Roman"/>
          <w:i/>
          <w:iCs/>
        </w:rPr>
        <w:t>.</w:t>
      </w:r>
    </w:p>
    <w:p w14:paraId="70A2F78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i/>
          <w:iCs/>
        </w:rPr>
        <w:lastRenderedPageBreak/>
        <w:tab/>
      </w:r>
      <w:r w:rsidRPr="000309F2">
        <w:rPr>
          <w:rFonts w:ascii="Times New Roman" w:hAnsi="Times New Roman"/>
        </w:rPr>
        <w:t>O</w:t>
      </w:r>
      <w:r w:rsidRPr="000309F2">
        <w:rPr>
          <w:rFonts w:ascii="Times New Roman" w:hAnsi="Times New Roman"/>
          <w:bCs/>
        </w:rPr>
        <w:t xml:space="preserve">ne strand of the reasoning of McHugh and </w:t>
      </w:r>
      <w:proofErr w:type="spellStart"/>
      <w:r w:rsidRPr="000309F2">
        <w:rPr>
          <w:rFonts w:ascii="Times New Roman" w:hAnsi="Times New Roman"/>
          <w:bCs/>
        </w:rPr>
        <w:t>Gummow</w:t>
      </w:r>
      <w:proofErr w:type="spellEnd"/>
      <w:r w:rsidRPr="000309F2">
        <w:rPr>
          <w:rFonts w:ascii="Times New Roman" w:hAnsi="Times New Roman"/>
          <w:bCs/>
        </w:rPr>
        <w:t xml:space="preserve"> JJ in </w:t>
      </w:r>
      <w:r w:rsidRPr="000309F2">
        <w:rPr>
          <w:rFonts w:ascii="Times New Roman" w:hAnsi="Times New Roman"/>
          <w:bCs/>
          <w:i/>
        </w:rPr>
        <w:t xml:space="preserve">Kable </w:t>
      </w:r>
      <w:r w:rsidRPr="000309F2">
        <w:rPr>
          <w:rFonts w:ascii="Times New Roman" w:hAnsi="Times New Roman"/>
          <w:bCs/>
        </w:rPr>
        <w:t>concerned deficiencies in the formal dimension of judicial power. The legislation was ad hominem, directed only to Mr Kable</w:t>
      </w:r>
      <w:r w:rsidRPr="000309F2">
        <w:rPr>
          <w:rStyle w:val="FootnoteReference"/>
          <w:rFonts w:ascii="Times New Roman" w:hAnsi="Times New Roman"/>
          <w:bCs/>
          <w:sz w:val="24"/>
        </w:rPr>
        <w:footnoteReference w:id="428"/>
      </w:r>
      <w:r w:rsidRPr="000309F2">
        <w:rPr>
          <w:rFonts w:ascii="Times New Roman" w:hAnsi="Times New Roman"/>
          <w:bCs/>
        </w:rPr>
        <w:t>. This gave the impression that the Court would apply rules as though it were an instrument of government policy</w:t>
      </w:r>
      <w:r w:rsidRPr="000309F2">
        <w:rPr>
          <w:rStyle w:val="FootnoteReference"/>
          <w:rFonts w:ascii="Times New Roman" w:hAnsi="Times New Roman"/>
          <w:bCs/>
          <w:sz w:val="24"/>
        </w:rPr>
        <w:footnoteReference w:id="429"/>
      </w:r>
      <w:r w:rsidRPr="000309F2">
        <w:rPr>
          <w:rFonts w:ascii="Times New Roman" w:hAnsi="Times New Roman"/>
          <w:bCs/>
        </w:rPr>
        <w:t xml:space="preserve">. </w:t>
      </w:r>
      <w:r w:rsidRPr="000309F2">
        <w:rPr>
          <w:rFonts w:ascii="Times New Roman" w:hAnsi="Times New Roman"/>
        </w:rPr>
        <w:t>But the formal dimension was not the central focus of the majority. A</w:t>
      </w:r>
      <w:r w:rsidRPr="000309F2">
        <w:rPr>
          <w:rFonts w:ascii="Times New Roman" w:hAnsi="Times New Roman"/>
          <w:bCs/>
        </w:rPr>
        <w:t xml:space="preserve"> significant strand of the reasoning of every member of the majority concerned the substantive exercise of the power. The majority all held that the substantive exercise of the power was repugnant to the institutional integrity of </w:t>
      </w:r>
      <w:r w:rsidRPr="000309F2">
        <w:rPr>
          <w:rFonts w:ascii="Times New Roman" w:hAnsi="Times New Roman"/>
        </w:rPr>
        <w:t>the Supreme Court of New South Wales because the Court was required to consider depriving a person of his liberty "in a process designed to bring about the detention of a person by reason of the Court's assessment of what that person might do, not what the person has done"</w:t>
      </w:r>
      <w:r w:rsidRPr="000309F2">
        <w:rPr>
          <w:rStyle w:val="FootnoteReference"/>
          <w:rFonts w:ascii="Times New Roman" w:hAnsi="Times New Roman"/>
          <w:sz w:val="24"/>
        </w:rPr>
        <w:footnoteReference w:id="430"/>
      </w:r>
      <w:r w:rsidRPr="000309F2">
        <w:rPr>
          <w:rFonts w:ascii="Times New Roman" w:hAnsi="Times New Roman"/>
        </w:rPr>
        <w:t>. This was described as imprisonment "not on the basis that they have breached any law, but on the basis that ... they may do so"</w:t>
      </w:r>
      <w:r w:rsidRPr="000309F2">
        <w:rPr>
          <w:rStyle w:val="FootnoteReference"/>
          <w:rFonts w:ascii="Times New Roman" w:hAnsi="Times New Roman"/>
          <w:sz w:val="24"/>
        </w:rPr>
        <w:footnoteReference w:id="431"/>
      </w:r>
      <w:r w:rsidRPr="000309F2">
        <w:rPr>
          <w:rFonts w:ascii="Times New Roman" w:hAnsi="Times New Roman"/>
        </w:rPr>
        <w:t>, "not for what he has done but for what the executive government of the State and its Parliament fear that he might do"</w:t>
      </w:r>
      <w:r w:rsidRPr="000309F2">
        <w:rPr>
          <w:rStyle w:val="FootnoteReference"/>
          <w:rFonts w:ascii="Times New Roman" w:hAnsi="Times New Roman"/>
          <w:sz w:val="24"/>
        </w:rPr>
        <w:footnoteReference w:id="432"/>
      </w:r>
      <w:r w:rsidRPr="000309F2">
        <w:rPr>
          <w:rFonts w:ascii="Times New Roman" w:hAnsi="Times New Roman"/>
        </w:rPr>
        <w:t>, and "punitive in nature ... not consequent upon any adjudgment by the Court of criminal guilt"</w:t>
      </w:r>
      <w:r w:rsidRPr="000309F2">
        <w:rPr>
          <w:rStyle w:val="FootnoteReference"/>
          <w:rFonts w:ascii="Times New Roman" w:hAnsi="Times New Roman"/>
          <w:sz w:val="24"/>
        </w:rPr>
        <w:footnoteReference w:id="433"/>
      </w:r>
      <w:r w:rsidRPr="000309F2">
        <w:rPr>
          <w:rFonts w:ascii="Times New Roman" w:hAnsi="Times New Roman"/>
        </w:rPr>
        <w:t>.</w:t>
      </w:r>
    </w:p>
    <w:p w14:paraId="36FEE7DC"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The continuing detention powers in the HRSO Act are punitive</w:t>
      </w:r>
    </w:p>
    <w:p w14:paraId="6C11B976"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It is "fundamental for an understanding of </w:t>
      </w:r>
      <w:r w:rsidRPr="000309F2">
        <w:rPr>
          <w:rFonts w:ascii="Times New Roman" w:hAnsi="Times New Roman"/>
          <w:i/>
        </w:rPr>
        <w:t>Kable</w:t>
      </w:r>
      <w:r w:rsidRPr="000309F2">
        <w:rPr>
          <w:rFonts w:ascii="Times New Roman" w:hAnsi="Times New Roman"/>
        </w:rPr>
        <w:t>"</w:t>
      </w:r>
      <w:r w:rsidRPr="000309F2">
        <w:rPr>
          <w:rStyle w:val="FootnoteReference"/>
          <w:rFonts w:ascii="Times New Roman" w:hAnsi="Times New Roman"/>
          <w:sz w:val="24"/>
        </w:rPr>
        <w:footnoteReference w:id="434"/>
      </w:r>
      <w:r w:rsidRPr="000309F2">
        <w:rPr>
          <w:rFonts w:ascii="Times New Roman" w:hAnsi="Times New Roman"/>
        </w:rPr>
        <w:t xml:space="preserve"> to appreciate that the </w:t>
      </w:r>
      <w:r w:rsidRPr="000309F2">
        <w:rPr>
          <w:rFonts w:ascii="Times New Roman" w:hAnsi="Times New Roman"/>
          <w:i/>
        </w:rPr>
        <w:t xml:space="preserve">Kable </w:t>
      </w:r>
      <w:r w:rsidRPr="000309F2">
        <w:rPr>
          <w:rFonts w:ascii="Times New Roman" w:hAnsi="Times New Roman"/>
        </w:rPr>
        <w:t>doctrine</w:t>
      </w:r>
      <w:r w:rsidRPr="000309F2">
        <w:rPr>
          <w:rFonts w:ascii="Times New Roman" w:hAnsi="Times New Roman"/>
          <w:i/>
        </w:rPr>
        <w:t xml:space="preserve"> </w:t>
      </w:r>
      <w:r w:rsidRPr="000309F2">
        <w:rPr>
          <w:rFonts w:ascii="Times New Roman" w:hAnsi="Times New Roman"/>
        </w:rPr>
        <w:t xml:space="preserve">is distinct from the principles considered in </w:t>
      </w:r>
      <w:r w:rsidRPr="000309F2">
        <w:rPr>
          <w:rFonts w:ascii="Times New Roman" w:hAnsi="Times New Roman"/>
          <w:i/>
        </w:rPr>
        <w:t>Chu Kheng Lim v Minister for Immigration, Local Government and Ethnic Affairs</w:t>
      </w:r>
      <w:r w:rsidRPr="000309F2">
        <w:rPr>
          <w:rStyle w:val="FootnoteReference"/>
          <w:rFonts w:ascii="Times New Roman" w:hAnsi="Times New Roman"/>
          <w:sz w:val="24"/>
        </w:rPr>
        <w:footnoteReference w:id="435"/>
      </w:r>
      <w:r w:rsidRPr="000309F2">
        <w:rPr>
          <w:rFonts w:ascii="Times New Roman" w:hAnsi="Times New Roman"/>
          <w:i/>
        </w:rPr>
        <w:t xml:space="preserve"> </w:t>
      </w:r>
      <w:r w:rsidRPr="000309F2">
        <w:rPr>
          <w:rFonts w:ascii="Times New Roman" w:hAnsi="Times New Roman"/>
        </w:rPr>
        <w:t xml:space="preserve">which are based upon the separation of powers at the Commonwealth level. At the Commonwealth level, the principle of separation of powers divides the powers that can be exercised by the Commonwealth judiciary from those that can be exercised by the Commonwealth Parliament or the Commonwealth Executive. The relevant principle in </w:t>
      </w:r>
      <w:r w:rsidRPr="000309F2">
        <w:rPr>
          <w:rFonts w:ascii="Times New Roman" w:hAnsi="Times New Roman"/>
          <w:i/>
        </w:rPr>
        <w:t>Lim</w:t>
      </w:r>
      <w:r w:rsidRPr="000309F2">
        <w:rPr>
          <w:rFonts w:ascii="Times New Roman" w:hAnsi="Times New Roman"/>
        </w:rPr>
        <w:t>, relied upon by Mr </w:t>
      </w:r>
      <w:proofErr w:type="spellStart"/>
      <w:r w:rsidRPr="000309F2">
        <w:rPr>
          <w:rFonts w:ascii="Times New Roman" w:hAnsi="Times New Roman"/>
        </w:rPr>
        <w:t>Garlett</w:t>
      </w:r>
      <w:proofErr w:type="spellEnd"/>
      <w:r w:rsidRPr="000309F2">
        <w:rPr>
          <w:rFonts w:ascii="Times New Roman" w:hAnsi="Times New Roman"/>
        </w:rPr>
        <w:t>, was that punishment is generally</w:t>
      </w:r>
      <w:r w:rsidRPr="000309F2">
        <w:rPr>
          <w:rStyle w:val="FootnoteReference"/>
          <w:rFonts w:ascii="Times New Roman" w:hAnsi="Times New Roman"/>
          <w:sz w:val="24"/>
        </w:rPr>
        <w:footnoteReference w:id="436"/>
      </w:r>
      <w:r w:rsidRPr="000309F2">
        <w:rPr>
          <w:rFonts w:ascii="Times New Roman" w:hAnsi="Times New Roman"/>
        </w:rPr>
        <w:t xml:space="preserve"> the </w:t>
      </w:r>
      <w:r w:rsidRPr="000309F2">
        <w:rPr>
          <w:rFonts w:ascii="Times New Roman" w:hAnsi="Times New Roman"/>
        </w:rPr>
        <w:lastRenderedPageBreak/>
        <w:t>exclusive province of the judiciary and that involuntary detention of a citizen in custody will often be punitive</w:t>
      </w:r>
      <w:r w:rsidRPr="000309F2">
        <w:rPr>
          <w:rStyle w:val="FootnoteReference"/>
          <w:rFonts w:ascii="Times New Roman" w:hAnsi="Times New Roman"/>
          <w:bCs/>
          <w:sz w:val="24"/>
        </w:rPr>
        <w:footnoteReference w:id="437"/>
      </w:r>
      <w:r w:rsidRPr="000309F2">
        <w:rPr>
          <w:rFonts w:ascii="Times New Roman" w:hAnsi="Times New Roman"/>
        </w:rPr>
        <w:t>. But that is a principle concerned with the separation of powers. It says nothing about when punishment will be so unjust that a power to impose it cannot even be exercised by the judiciary.</w:t>
      </w:r>
    </w:p>
    <w:p w14:paraId="7F04DC33"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Mr </w:t>
      </w:r>
      <w:proofErr w:type="spellStart"/>
      <w:r w:rsidRPr="000309F2">
        <w:rPr>
          <w:rFonts w:ascii="Times New Roman" w:hAnsi="Times New Roman"/>
        </w:rPr>
        <w:t>Garlett</w:t>
      </w:r>
      <w:proofErr w:type="spellEnd"/>
      <w:r w:rsidRPr="000309F2">
        <w:rPr>
          <w:rFonts w:ascii="Times New Roman" w:hAnsi="Times New Roman"/>
        </w:rPr>
        <w:t xml:space="preserve"> did not dispute that the constitutional separation of powers considerations that arise at the Commonwealth level do not apply equally at the State level, so the </w:t>
      </w:r>
      <w:r w:rsidRPr="000309F2">
        <w:rPr>
          <w:rFonts w:ascii="Times New Roman" w:hAnsi="Times New Roman"/>
          <w:i/>
          <w:iCs/>
        </w:rPr>
        <w:t xml:space="preserve">Lim </w:t>
      </w:r>
      <w:r w:rsidRPr="000309F2">
        <w:rPr>
          <w:rFonts w:ascii="Times New Roman" w:hAnsi="Times New Roman"/>
        </w:rPr>
        <w:t>principle concerning the separation of powers does not arise in this case. Nevertheless, the character of continuing detention orders as undeserved punishment is relevant to a consideration of whether the HRSO Act in its application to robbery</w:t>
      </w:r>
      <w:r w:rsidRPr="000309F2" w:rsidDel="00C42696">
        <w:rPr>
          <w:rFonts w:ascii="Times New Roman" w:hAnsi="Times New Roman"/>
        </w:rPr>
        <w:t xml:space="preserve"> </w:t>
      </w:r>
      <w:r w:rsidRPr="000309F2">
        <w:rPr>
          <w:rFonts w:ascii="Times New Roman" w:hAnsi="Times New Roman"/>
        </w:rPr>
        <w:t xml:space="preserve">unjustifiably compromises the institutional integrity of the Supreme Court of Western Australia. The reasoning in </w:t>
      </w:r>
      <w:r w:rsidRPr="000309F2">
        <w:rPr>
          <w:rFonts w:ascii="Times New Roman" w:hAnsi="Times New Roman"/>
          <w:i/>
        </w:rPr>
        <w:t xml:space="preserve">Lim </w:t>
      </w:r>
      <w:r w:rsidRPr="000309F2">
        <w:rPr>
          <w:rFonts w:ascii="Times New Roman" w:hAnsi="Times New Roman"/>
        </w:rPr>
        <w:t>about the nature and character of punishment, expressed in relation to the separation of powers, can inform the answer to this different question, namely: when is power that is of a nature that is generally exclusively judicial so unjust in its operation that it cannot even be exercised by the judiciary?</w:t>
      </w:r>
    </w:p>
    <w:p w14:paraId="788085F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There are passages in the joint judgment in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 xml:space="preserve">that appear to </w:t>
      </w:r>
      <w:r w:rsidRPr="000309F2" w:rsidDel="003C0332">
        <w:rPr>
          <w:rFonts w:ascii="Times New Roman" w:hAnsi="Times New Roman"/>
        </w:rPr>
        <w:t xml:space="preserve">contain </w:t>
      </w:r>
      <w:r w:rsidRPr="000309F2">
        <w:rPr>
          <w:rFonts w:ascii="Times New Roman" w:hAnsi="Times New Roman"/>
        </w:rPr>
        <w:t>a premise that an order that is protective cannot also be punitive</w:t>
      </w:r>
      <w:r w:rsidRPr="000309F2">
        <w:rPr>
          <w:rStyle w:val="FootnoteReference"/>
          <w:rFonts w:ascii="Times New Roman" w:hAnsi="Times New Roman"/>
          <w:sz w:val="24"/>
        </w:rPr>
        <w:footnoteReference w:id="438"/>
      </w:r>
      <w:r w:rsidRPr="000309F2">
        <w:rPr>
          <w:rFonts w:ascii="Times New Roman" w:hAnsi="Times New Roman"/>
        </w:rPr>
        <w:t>. For instance, the joint judgment described the object of a continuing detention order as "community protection and not punishment" and as "protective and not punitive"</w:t>
      </w:r>
      <w:r w:rsidRPr="000309F2">
        <w:rPr>
          <w:rStyle w:val="FootnoteReference"/>
          <w:rFonts w:ascii="Times New Roman" w:hAnsi="Times New Roman"/>
          <w:sz w:val="24"/>
        </w:rPr>
        <w:footnoteReference w:id="439"/>
      </w:r>
      <w:r w:rsidRPr="000309F2">
        <w:rPr>
          <w:rFonts w:ascii="Times New Roman" w:hAnsi="Times New Roman"/>
        </w:rPr>
        <w:t>. If this is taken to mean that an order that is protective cannot be punitive then it is plainly wrong. It is a simple logical fallacy to reason that: (</w:t>
      </w:r>
      <w:proofErr w:type="spellStart"/>
      <w:r w:rsidRPr="000309F2">
        <w:rPr>
          <w:rFonts w:ascii="Times New Roman" w:hAnsi="Times New Roman"/>
        </w:rPr>
        <w:t>i</w:t>
      </w:r>
      <w:proofErr w:type="spellEnd"/>
      <w:r w:rsidRPr="000309F2">
        <w:rPr>
          <w:rFonts w:ascii="Times New Roman" w:hAnsi="Times New Roman"/>
        </w:rPr>
        <w:t>) in some non</w:t>
      </w:r>
      <w:r w:rsidRPr="000309F2">
        <w:rPr>
          <w:rFonts w:ascii="Times New Roman" w:hAnsi="Times New Roman"/>
        </w:rPr>
        <w:noBreakHyphen/>
        <w:t xml:space="preserve">punitive instances, detention is imposed for public protection, such as for psychological illness, chemical, </w:t>
      </w:r>
      <w:proofErr w:type="gramStart"/>
      <w:r w:rsidRPr="000309F2">
        <w:rPr>
          <w:rFonts w:ascii="Times New Roman" w:hAnsi="Times New Roman"/>
        </w:rPr>
        <w:t>biological</w:t>
      </w:r>
      <w:proofErr w:type="gramEnd"/>
      <w:r w:rsidRPr="000309F2">
        <w:rPr>
          <w:rFonts w:ascii="Times New Roman" w:hAnsi="Times New Roman"/>
        </w:rPr>
        <w:t xml:space="preserve"> and radiological emergencies, contagious diseases, and drug treatment</w:t>
      </w:r>
      <w:r w:rsidRPr="000309F2">
        <w:rPr>
          <w:rStyle w:val="FootnoteReference"/>
          <w:rFonts w:ascii="Times New Roman" w:hAnsi="Times New Roman"/>
          <w:sz w:val="24"/>
        </w:rPr>
        <w:footnoteReference w:id="440"/>
      </w:r>
      <w:r w:rsidRPr="000309F2">
        <w:rPr>
          <w:rFonts w:ascii="Times New Roman" w:hAnsi="Times New Roman"/>
        </w:rPr>
        <w:t>; (ii) continuing detention orders are imposed for reasons including public protection; and therefore (iii) continuing detention orders are not punitive. The same logical fallacy would suggest that</w:t>
      </w:r>
      <w:r w:rsidRPr="000309F2" w:rsidDel="004C7ACF">
        <w:rPr>
          <w:rFonts w:ascii="Times New Roman" w:hAnsi="Times New Roman"/>
        </w:rPr>
        <w:t xml:space="preserve"> </w:t>
      </w:r>
      <w:r w:rsidRPr="000309F2">
        <w:rPr>
          <w:rFonts w:ascii="Times New Roman" w:hAnsi="Times New Roman"/>
        </w:rPr>
        <w:t>sentences of imprisonment for most criminal offences are not punitive because they involve community protection considerations of specific and general deterrence.</w:t>
      </w:r>
    </w:p>
    <w:p w14:paraId="759F3A4D"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There are also passages in the joint judgment in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 xml:space="preserve">that appear to draw analogies between, on the one hand, continuing detention of persons who, based upon their past conduct and the commission of past offences, it is anticipated might commit an offence and, on the other hand, detention of persons due to </w:t>
      </w:r>
      <w:r w:rsidRPr="000309F2">
        <w:rPr>
          <w:rFonts w:ascii="Times New Roman" w:hAnsi="Times New Roman"/>
        </w:rPr>
        <w:lastRenderedPageBreak/>
        <w:t>psychological illness or infectious disease</w:t>
      </w:r>
      <w:r w:rsidRPr="000309F2">
        <w:rPr>
          <w:rStyle w:val="FootnoteReference"/>
          <w:rFonts w:ascii="Times New Roman" w:hAnsi="Times New Roman"/>
          <w:sz w:val="24"/>
        </w:rPr>
        <w:footnoteReference w:id="441"/>
      </w:r>
      <w:r w:rsidRPr="000309F2">
        <w:rPr>
          <w:rFonts w:ascii="Times New Roman" w:hAnsi="Times New Roman"/>
        </w:rPr>
        <w:t>. Such analogies are, at best, strained. The detention of a person for reasons of psychological illness or infectious disease is not a sanction for behaviour, actual or anticipated. It is not a response to any choices made by the person detained. A person chooses to commit an offence. A person does not choose to suffer from psychological illness or infectious disease.</w:t>
      </w:r>
    </w:p>
    <w:p w14:paraId="788C8E63"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Elsewhere, however, the joint judgment in </w:t>
      </w:r>
      <w:proofErr w:type="spellStart"/>
      <w:r w:rsidRPr="000309F2">
        <w:rPr>
          <w:rFonts w:ascii="Times New Roman" w:hAnsi="Times New Roman"/>
          <w:i/>
          <w:iCs/>
        </w:rPr>
        <w:t>Benbrika</w:t>
      </w:r>
      <w:proofErr w:type="spellEnd"/>
      <w:r w:rsidRPr="000309F2">
        <w:rPr>
          <w:rFonts w:ascii="Times New Roman" w:hAnsi="Times New Roman"/>
          <w:i/>
          <w:iCs/>
        </w:rPr>
        <w:t xml:space="preserve"> </w:t>
      </w:r>
      <w:r w:rsidRPr="000309F2">
        <w:rPr>
          <w:rFonts w:ascii="Times New Roman" w:hAnsi="Times New Roman"/>
        </w:rPr>
        <w:t>suggested that the term "punishment" was only being used in the narrow sense of sanctioning an offender "for the offence for which [they were] sentenced" or "for the offences of which [they] had been convicted"</w:t>
      </w:r>
      <w:r w:rsidRPr="000309F2">
        <w:rPr>
          <w:rStyle w:val="FootnoteReference"/>
          <w:rFonts w:ascii="Times New Roman" w:hAnsi="Times New Roman"/>
          <w:sz w:val="24"/>
        </w:rPr>
        <w:footnoteReference w:id="442"/>
      </w:r>
      <w:r w:rsidRPr="000309F2">
        <w:rPr>
          <w:rFonts w:ascii="Times New Roman" w:hAnsi="Times New Roman"/>
        </w:rPr>
        <w:t xml:space="preserve">. Only in this narrow, contrived sense of punishment could the legislation considered in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be said not to be punitive. The law should, however, avoid mealy</w:t>
      </w:r>
      <w:r w:rsidRPr="000309F2">
        <w:rPr>
          <w:rFonts w:ascii="Times New Roman" w:hAnsi="Times New Roman"/>
        </w:rPr>
        <w:noBreakHyphen/>
        <w:t>mouthed euphemisms. The relevant legal and constitutional sense of punishment does not require "extraordinarily narrow and formalistic reasoning"</w:t>
      </w:r>
      <w:r w:rsidRPr="000309F2">
        <w:rPr>
          <w:rStyle w:val="FootnoteReference"/>
          <w:rFonts w:ascii="Times New Roman" w:hAnsi="Times New Roman"/>
          <w:sz w:val="24"/>
        </w:rPr>
        <w:footnoteReference w:id="443"/>
      </w:r>
      <w:r w:rsidRPr="000309F2">
        <w:rPr>
          <w:rFonts w:ascii="Times New Roman" w:hAnsi="Times New Roman"/>
        </w:rPr>
        <w:t>. And, as explained above, preventive detention has historically been recognised for what it is. It is a form of punitive order</w:t>
      </w:r>
      <w:r w:rsidRPr="000309F2">
        <w:rPr>
          <w:rStyle w:val="FootnoteReference"/>
          <w:rFonts w:ascii="Times New Roman" w:hAnsi="Times New Roman"/>
          <w:sz w:val="24"/>
        </w:rPr>
        <w:footnoteReference w:id="444"/>
      </w:r>
      <w:r w:rsidRPr="000309F2">
        <w:rPr>
          <w:rFonts w:ascii="Times New Roman" w:hAnsi="Times New Roman"/>
        </w:rPr>
        <w:t xml:space="preserve">. As a matter of substance, and </w:t>
      </w:r>
      <w:proofErr w:type="gramStart"/>
      <w:r w:rsidRPr="000309F2">
        <w:rPr>
          <w:rFonts w:ascii="Times New Roman" w:hAnsi="Times New Roman"/>
        </w:rPr>
        <w:t>whether or not</w:t>
      </w:r>
      <w:proofErr w:type="gramEnd"/>
      <w:r w:rsidRPr="000309F2">
        <w:rPr>
          <w:rFonts w:ascii="Times New Roman" w:hAnsi="Times New Roman"/>
        </w:rPr>
        <w:t xml:space="preserve"> it is described as "coercive"</w:t>
      </w:r>
      <w:r w:rsidRPr="000309F2">
        <w:rPr>
          <w:rStyle w:val="FootnoteReference"/>
          <w:rFonts w:ascii="Times New Roman" w:hAnsi="Times New Roman"/>
          <w:sz w:val="24"/>
        </w:rPr>
        <w:footnoteReference w:id="445"/>
      </w:r>
      <w:r w:rsidRPr="000309F2">
        <w:rPr>
          <w:rFonts w:ascii="Times New Roman" w:hAnsi="Times New Roman"/>
        </w:rPr>
        <w:t>, the continuing detention of an offender under a regime such as the HRSO Act applies a sanction to enforce a norm of behaviour</w:t>
      </w:r>
      <w:r w:rsidRPr="000309F2">
        <w:rPr>
          <w:rStyle w:val="FootnoteReference"/>
          <w:rFonts w:ascii="Times New Roman" w:hAnsi="Times New Roman"/>
          <w:sz w:val="24"/>
        </w:rPr>
        <w:footnoteReference w:id="446"/>
      </w:r>
      <w:r w:rsidRPr="000309F2">
        <w:rPr>
          <w:rFonts w:ascii="Times New Roman" w:hAnsi="Times New Roman"/>
        </w:rPr>
        <w:t>. It differs from traditional criminal punishment in that the sanction looks forward to future behaviour rather than backwards to past behaviour</w:t>
      </w:r>
      <w:r w:rsidRPr="000309F2">
        <w:rPr>
          <w:rStyle w:val="FootnoteReference"/>
          <w:rFonts w:ascii="Times New Roman" w:hAnsi="Times New Roman"/>
          <w:sz w:val="24"/>
        </w:rPr>
        <w:footnoteReference w:id="447"/>
      </w:r>
      <w:r w:rsidRPr="000309F2">
        <w:rPr>
          <w:rFonts w:ascii="Times New Roman" w:hAnsi="Times New Roman"/>
        </w:rPr>
        <w:t>. But the order is punitive.</w:t>
      </w:r>
    </w:p>
    <w:p w14:paraId="433F53E4"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lastRenderedPageBreak/>
        <w:tab/>
        <w:t xml:space="preserve">In </w:t>
      </w:r>
      <w:r w:rsidRPr="000309F2">
        <w:rPr>
          <w:rFonts w:ascii="Times New Roman" w:hAnsi="Times New Roman"/>
          <w:i/>
        </w:rPr>
        <w:t>Lim</w:t>
      </w:r>
      <w:r w:rsidRPr="000309F2">
        <w:rPr>
          <w:rStyle w:val="FootnoteReference"/>
          <w:rFonts w:ascii="Times New Roman" w:hAnsi="Times New Roman"/>
          <w:sz w:val="24"/>
        </w:rPr>
        <w:footnoteReference w:id="448"/>
      </w:r>
      <w:r w:rsidRPr="000309F2">
        <w:rPr>
          <w:rFonts w:ascii="Times New Roman" w:hAnsi="Times New Roman"/>
        </w:rPr>
        <w:t xml:space="preserve">, Brennan, </w:t>
      </w:r>
      <w:proofErr w:type="gramStart"/>
      <w:r w:rsidRPr="000309F2">
        <w:rPr>
          <w:rFonts w:ascii="Times New Roman" w:hAnsi="Times New Roman"/>
        </w:rPr>
        <w:t>Deane</w:t>
      </w:r>
      <w:proofErr w:type="gramEnd"/>
      <w:r w:rsidRPr="000309F2">
        <w:rPr>
          <w:rFonts w:ascii="Times New Roman" w:hAnsi="Times New Roman"/>
        </w:rPr>
        <w:t xml:space="preserve"> and Dawson JJ (with </w:t>
      </w:r>
      <w:proofErr w:type="spellStart"/>
      <w:r w:rsidRPr="000309F2">
        <w:rPr>
          <w:rFonts w:ascii="Times New Roman" w:hAnsi="Times New Roman"/>
        </w:rPr>
        <w:t>Gaudron</w:t>
      </w:r>
      <w:proofErr w:type="spellEnd"/>
      <w:r w:rsidRPr="000309F2">
        <w:rPr>
          <w:rFonts w:ascii="Times New Roman" w:hAnsi="Times New Roman"/>
        </w:rPr>
        <w:t> J relevantly agreeing on this point) treated punishment as a matter of substance rather than form when they explained that the adjudication and punishment of criminal guilt has "become established as essentially and exclusively judicial in character". Their Honours went on to describe the concern as being "with substance and not mere form"; it was not open to the Parliament to "invest the Executive with an arbitrary power to detain citizens in custody notwithstanding that the power was conferred in terms which sought to divorce such detention in custody from both punishment and criminal guilt".</w:t>
      </w:r>
    </w:p>
    <w:p w14:paraId="6F822944"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This reasoning applies, a fortiori, to detention which continues the imprisonment of an offender after a sentence has been served. Thus, in </w:t>
      </w:r>
      <w:r w:rsidRPr="000309F2">
        <w:rPr>
          <w:rFonts w:ascii="Times New Roman" w:hAnsi="Times New Roman"/>
          <w:i/>
        </w:rPr>
        <w:t>Chester v The Queen</w:t>
      </w:r>
      <w:r w:rsidRPr="000309F2">
        <w:rPr>
          <w:rStyle w:val="FootnoteReference"/>
          <w:rFonts w:ascii="Times New Roman" w:hAnsi="Times New Roman"/>
          <w:iCs/>
          <w:sz w:val="24"/>
        </w:rPr>
        <w:footnoteReference w:id="449"/>
      </w:r>
      <w:r w:rsidRPr="000309F2">
        <w:rPr>
          <w:rFonts w:ascii="Times New Roman" w:hAnsi="Times New Roman"/>
        </w:rPr>
        <w:t xml:space="preserve"> this Court spoke of the "stark and extraordinary nature of punishment by way of indeterminate detention" which "permit[s] the increase of a sentence of imprisonment beyond what is proportional to the crime merely for the purpose of extending the protection of society from the recidivism of the offender". As five members of this Court recognised when considering the Queensland preventive detention legislation in </w:t>
      </w:r>
      <w:proofErr w:type="spellStart"/>
      <w:r w:rsidRPr="000309F2">
        <w:rPr>
          <w:rFonts w:ascii="Times New Roman" w:hAnsi="Times New Roman"/>
          <w:i/>
        </w:rPr>
        <w:t>Fardon</w:t>
      </w:r>
      <w:proofErr w:type="spellEnd"/>
      <w:r w:rsidRPr="000309F2">
        <w:rPr>
          <w:rFonts w:ascii="Times New Roman" w:hAnsi="Times New Roman"/>
          <w:i/>
          <w:iCs/>
        </w:rPr>
        <w:t xml:space="preserve"> v Attorney</w:t>
      </w:r>
      <w:r w:rsidRPr="000309F2">
        <w:rPr>
          <w:rFonts w:ascii="Times New Roman" w:hAnsi="Times New Roman"/>
          <w:i/>
          <w:iCs/>
        </w:rPr>
        <w:noBreakHyphen/>
        <w:t>General (Qld)</w:t>
      </w:r>
      <w:r w:rsidRPr="000309F2">
        <w:rPr>
          <w:rStyle w:val="FootnoteReference"/>
          <w:rFonts w:ascii="Times New Roman" w:hAnsi="Times New Roman"/>
          <w:sz w:val="24"/>
        </w:rPr>
        <w:footnoteReference w:id="450"/>
      </w:r>
      <w:r w:rsidRPr="000309F2">
        <w:rPr>
          <w:rFonts w:ascii="Times New Roman" w:hAnsi="Times New Roman"/>
        </w:rPr>
        <w:t>,</w:t>
      </w:r>
      <w:r w:rsidRPr="000309F2">
        <w:rPr>
          <w:rFonts w:ascii="Times New Roman" w:hAnsi="Times New Roman"/>
          <w:i/>
        </w:rPr>
        <w:t xml:space="preserve"> </w:t>
      </w:r>
      <w:r w:rsidRPr="000309F2">
        <w:rPr>
          <w:rFonts w:ascii="Times New Roman" w:hAnsi="Times New Roman"/>
        </w:rPr>
        <w:t xml:space="preserve">the punitive character of the indefinite detention does not change according to whether it is imposed at the time of sentencing or later. That legislation was also rightly recognised as penal by both the majority and the minority of the United Nations Human Rights Committee in </w:t>
      </w:r>
      <w:proofErr w:type="spellStart"/>
      <w:r w:rsidRPr="000309F2">
        <w:rPr>
          <w:rFonts w:ascii="Times New Roman" w:hAnsi="Times New Roman"/>
          <w:i/>
        </w:rPr>
        <w:t>Fardon</w:t>
      </w:r>
      <w:proofErr w:type="spellEnd"/>
      <w:r w:rsidRPr="000309F2">
        <w:rPr>
          <w:rFonts w:ascii="Times New Roman" w:hAnsi="Times New Roman"/>
          <w:i/>
        </w:rPr>
        <w:t xml:space="preserve"> v Australia</w:t>
      </w:r>
      <w:r w:rsidRPr="000309F2">
        <w:rPr>
          <w:rStyle w:val="FootnoteReference"/>
          <w:rFonts w:ascii="Times New Roman" w:hAnsi="Times New Roman"/>
          <w:sz w:val="24"/>
        </w:rPr>
        <w:footnoteReference w:id="451"/>
      </w:r>
      <w:r w:rsidRPr="000309F2">
        <w:rPr>
          <w:rFonts w:ascii="Times New Roman" w:hAnsi="Times New Roman"/>
          <w:i/>
        </w:rPr>
        <w:t>.</w:t>
      </w:r>
    </w:p>
    <w:p w14:paraId="6F7614E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i/>
        </w:rPr>
        <w:tab/>
      </w:r>
      <w:r w:rsidRPr="000309F2">
        <w:rPr>
          <w:rFonts w:ascii="Times New Roman" w:hAnsi="Times New Roman"/>
        </w:rPr>
        <w:t>The fiction that continuing detention orders are not punitive is further evident in the requirement that the offender remain in a prison during the term of continuing detention. As Professor </w:t>
      </w:r>
      <w:proofErr w:type="spellStart"/>
      <w:r w:rsidRPr="000309F2">
        <w:rPr>
          <w:rFonts w:ascii="Times New Roman" w:hAnsi="Times New Roman"/>
        </w:rPr>
        <w:t>Radzinowicz</w:t>
      </w:r>
      <w:proofErr w:type="spellEnd"/>
      <w:r w:rsidRPr="000309F2">
        <w:rPr>
          <w:rFonts w:ascii="Times New Roman" w:hAnsi="Times New Roman"/>
        </w:rPr>
        <w:t xml:space="preserve"> observed, if preventive detention really were not </w:t>
      </w:r>
      <w:proofErr w:type="gramStart"/>
      <w:r w:rsidRPr="000309F2">
        <w:rPr>
          <w:rFonts w:ascii="Times New Roman" w:hAnsi="Times New Roman"/>
        </w:rPr>
        <w:t>punishment</w:t>
      </w:r>
      <w:proofErr w:type="gramEnd"/>
      <w:r w:rsidRPr="000309F2">
        <w:rPr>
          <w:rFonts w:ascii="Times New Roman" w:hAnsi="Times New Roman"/>
        </w:rPr>
        <w:t xml:space="preserve"> then "an institution for preventive detention ought to be so organized that it actually differs from [a] prison"</w:t>
      </w:r>
      <w:r w:rsidRPr="000309F2">
        <w:rPr>
          <w:rStyle w:val="FootnoteReference"/>
          <w:rFonts w:ascii="Times New Roman" w:hAnsi="Times New Roman"/>
          <w:sz w:val="24"/>
        </w:rPr>
        <w:footnoteReference w:id="452"/>
      </w:r>
      <w:r w:rsidRPr="000309F2">
        <w:rPr>
          <w:rFonts w:ascii="Times New Roman" w:hAnsi="Times New Roman"/>
        </w:rPr>
        <w:t xml:space="preserve">. Continuing detention orders are "enhanced repression, that is ... a punishment more severe than that envisaged by the code for the offence under trial just because of the previous, </w:t>
      </w:r>
      <w:r w:rsidRPr="000309F2">
        <w:rPr>
          <w:rFonts w:ascii="Times New Roman" w:hAnsi="Times New Roman"/>
        </w:rPr>
        <w:lastRenderedPageBreak/>
        <w:t>heavily marked criminal record of this category of offenders"</w:t>
      </w:r>
      <w:r w:rsidRPr="000309F2">
        <w:rPr>
          <w:rStyle w:val="FootnoteReference"/>
          <w:rFonts w:ascii="Times New Roman" w:hAnsi="Times New Roman"/>
          <w:sz w:val="24"/>
        </w:rPr>
        <w:footnoteReference w:id="453"/>
      </w:r>
      <w:r w:rsidRPr="000309F2">
        <w:rPr>
          <w:rFonts w:ascii="Times New Roman" w:hAnsi="Times New Roman"/>
        </w:rPr>
        <w:t>. As Winston Churchill observed, "it ought not to be imagined by the courts or by the public, that a period of prolonged confinement ... within the walls of a prison ... is not, whatever name it may be called by, a most serious addition to any other punishment"</w:t>
      </w:r>
      <w:r w:rsidRPr="000309F2">
        <w:rPr>
          <w:rStyle w:val="FootnoteReference"/>
          <w:rFonts w:ascii="Times New Roman" w:hAnsi="Times New Roman"/>
          <w:sz w:val="24"/>
        </w:rPr>
        <w:footnoteReference w:id="454"/>
      </w:r>
      <w:r w:rsidRPr="000309F2">
        <w:rPr>
          <w:rFonts w:ascii="Times New Roman" w:hAnsi="Times New Roman"/>
        </w:rPr>
        <w:t>.</w:t>
      </w:r>
    </w:p>
    <w:p w14:paraId="200DD8C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Continuing detention orders under the HRSO Act are appropriately described as "protective punishment"</w:t>
      </w:r>
      <w:r w:rsidRPr="000309F2">
        <w:rPr>
          <w:rStyle w:val="FootnoteReference"/>
          <w:rFonts w:ascii="Times New Roman" w:hAnsi="Times New Roman"/>
          <w:sz w:val="24"/>
        </w:rPr>
        <w:footnoteReference w:id="455"/>
      </w:r>
      <w:r w:rsidRPr="000309F2">
        <w:rPr>
          <w:rFonts w:ascii="Times New Roman" w:hAnsi="Times New Roman"/>
        </w:rPr>
        <w:t>.</w:t>
      </w:r>
    </w:p>
    <w:p w14:paraId="4E426744"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Unjust punishment, by itself, is insufficient to invalidate a law</w:t>
      </w:r>
    </w:p>
    <w:p w14:paraId="64808A25"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Legislation can require, and historically has required, courts to act for what is perceived to be the public good despite injustice to </w:t>
      </w:r>
      <w:r w:rsidRPr="000309F2" w:rsidDel="004770DC">
        <w:rPr>
          <w:rFonts w:ascii="Times New Roman" w:hAnsi="Times New Roman"/>
        </w:rPr>
        <w:t xml:space="preserve">the </w:t>
      </w:r>
      <w:r w:rsidRPr="000309F2">
        <w:rPr>
          <w:rFonts w:ascii="Times New Roman" w:hAnsi="Times New Roman"/>
        </w:rPr>
        <w:t xml:space="preserve">individual before the court. As explained above, there is a long history of courts participating in, and perpetuating, the injustice of punishment by a continuing detention order to protect the public from an objectively serious offence that has not been committed and might never be committed. In </w:t>
      </w:r>
      <w:r w:rsidRPr="000309F2">
        <w:rPr>
          <w:rFonts w:ascii="Times New Roman" w:hAnsi="Times New Roman"/>
          <w:i/>
        </w:rPr>
        <w:t>Kable</w:t>
      </w:r>
      <w:r w:rsidRPr="000309F2">
        <w:rPr>
          <w:rFonts w:ascii="Times New Roman" w:hAnsi="Times New Roman"/>
          <w:iCs/>
        </w:rPr>
        <w:t>,</w:t>
      </w:r>
      <w:r w:rsidRPr="000309F2">
        <w:rPr>
          <w:rFonts w:ascii="Times New Roman" w:hAnsi="Times New Roman"/>
          <w:i/>
        </w:rPr>
        <w:t xml:space="preserve"> </w:t>
      </w:r>
      <w:r w:rsidRPr="000309F2">
        <w:rPr>
          <w:rFonts w:ascii="Times New Roman" w:hAnsi="Times New Roman"/>
        </w:rPr>
        <w:t xml:space="preserve">the existence of this injustice was not by itself a sufficient impairment of the institutional integrity of the Court. Nor was it sufficient in </w:t>
      </w:r>
      <w:proofErr w:type="spellStart"/>
      <w:r w:rsidRPr="000309F2">
        <w:rPr>
          <w:rFonts w:ascii="Times New Roman" w:hAnsi="Times New Roman"/>
          <w:i/>
          <w:iCs/>
        </w:rPr>
        <w:t>Fardon</w:t>
      </w:r>
      <w:proofErr w:type="spellEnd"/>
      <w:r w:rsidRPr="000309F2">
        <w:rPr>
          <w:rFonts w:ascii="Times New Roman" w:hAnsi="Times New Roman"/>
          <w:i/>
          <w:iCs/>
        </w:rPr>
        <w:t xml:space="preserve"> </w:t>
      </w:r>
      <w:r w:rsidRPr="000309F2">
        <w:rPr>
          <w:rFonts w:ascii="Times New Roman" w:hAnsi="Times New Roman"/>
        </w:rPr>
        <w:t xml:space="preserve">or in </w:t>
      </w:r>
      <w:proofErr w:type="spellStart"/>
      <w:r w:rsidRPr="000309F2">
        <w:rPr>
          <w:rFonts w:ascii="Times New Roman" w:hAnsi="Times New Roman"/>
          <w:i/>
          <w:iCs/>
        </w:rPr>
        <w:t>Benbrika</w:t>
      </w:r>
      <w:proofErr w:type="spellEnd"/>
      <w:r w:rsidRPr="000309F2">
        <w:rPr>
          <w:rFonts w:ascii="Times New Roman" w:hAnsi="Times New Roman"/>
        </w:rPr>
        <w:t xml:space="preserve">. In </w:t>
      </w:r>
      <w:proofErr w:type="spellStart"/>
      <w:r w:rsidRPr="000309F2">
        <w:rPr>
          <w:rFonts w:ascii="Times New Roman" w:hAnsi="Times New Roman"/>
          <w:i/>
          <w:iCs/>
        </w:rPr>
        <w:t>Fardon</w:t>
      </w:r>
      <w:proofErr w:type="spellEnd"/>
      <w:r w:rsidRPr="000309F2">
        <w:rPr>
          <w:rStyle w:val="FootnoteReference"/>
          <w:rFonts w:ascii="Times New Roman" w:hAnsi="Times New Roman"/>
          <w:sz w:val="24"/>
        </w:rPr>
        <w:footnoteReference w:id="456"/>
      </w:r>
      <w:r w:rsidRPr="000309F2">
        <w:rPr>
          <w:rFonts w:ascii="Times New Roman" w:hAnsi="Times New Roman"/>
        </w:rPr>
        <w:t xml:space="preserve">, six members of this Court upheld the validity of continuing detention orders for serious sexual offenders under the </w:t>
      </w:r>
      <w:r w:rsidRPr="000309F2">
        <w:rPr>
          <w:rFonts w:ascii="Times New Roman" w:hAnsi="Times New Roman"/>
          <w:i/>
          <w:iCs/>
        </w:rPr>
        <w:t>Dangerous Prisoners (Sexual Offenders) Act 2003 </w:t>
      </w:r>
      <w:r w:rsidRPr="000309F2">
        <w:rPr>
          <w:rFonts w:ascii="Times New Roman" w:hAnsi="Times New Roman"/>
        </w:rPr>
        <w:t xml:space="preserve">(Qld). And in </w:t>
      </w:r>
      <w:proofErr w:type="spellStart"/>
      <w:r w:rsidRPr="000309F2">
        <w:rPr>
          <w:rFonts w:ascii="Times New Roman" w:hAnsi="Times New Roman"/>
          <w:i/>
        </w:rPr>
        <w:t>Benbrika</w:t>
      </w:r>
      <w:proofErr w:type="spellEnd"/>
      <w:r w:rsidRPr="000309F2">
        <w:rPr>
          <w:rStyle w:val="FootnoteReference"/>
          <w:rFonts w:ascii="Times New Roman" w:hAnsi="Times New Roman"/>
          <w:sz w:val="24"/>
        </w:rPr>
        <w:footnoteReference w:id="457"/>
      </w:r>
      <w:r w:rsidRPr="000309F2">
        <w:rPr>
          <w:rFonts w:ascii="Times New Roman" w:hAnsi="Times New Roman"/>
        </w:rPr>
        <w:t>, five members of this Court upheld the validity of continuing detention orders for terrorism</w:t>
      </w:r>
      <w:r w:rsidRPr="000309F2">
        <w:rPr>
          <w:rFonts w:ascii="Times New Roman" w:hAnsi="Times New Roman"/>
        </w:rPr>
        <w:noBreakHyphen/>
        <w:t xml:space="preserve">related offenders under s 105A.7 of the </w:t>
      </w:r>
      <w:r w:rsidRPr="000309F2">
        <w:rPr>
          <w:rFonts w:ascii="Times New Roman" w:hAnsi="Times New Roman"/>
          <w:i/>
        </w:rPr>
        <w:t>Criminal Code </w:t>
      </w:r>
      <w:r w:rsidRPr="000309F2">
        <w:rPr>
          <w:rFonts w:ascii="Times New Roman" w:hAnsi="Times New Roman"/>
        </w:rPr>
        <w:t>(</w:t>
      </w:r>
      <w:proofErr w:type="spellStart"/>
      <w:r w:rsidRPr="000309F2">
        <w:rPr>
          <w:rFonts w:ascii="Times New Roman" w:hAnsi="Times New Roman"/>
        </w:rPr>
        <w:t>Cth</w:t>
      </w:r>
      <w:proofErr w:type="spellEnd"/>
      <w:r w:rsidRPr="000309F2">
        <w:rPr>
          <w:rFonts w:ascii="Times New Roman" w:hAnsi="Times New Roman"/>
        </w:rPr>
        <w:t>).</w:t>
      </w:r>
    </w:p>
    <w:p w14:paraId="3240A39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Nevertheless, as </w:t>
      </w:r>
      <w:r w:rsidRPr="000309F2">
        <w:rPr>
          <w:rFonts w:ascii="Times New Roman" w:hAnsi="Times New Roman"/>
          <w:i/>
          <w:iCs/>
        </w:rPr>
        <w:t xml:space="preserve">Kable </w:t>
      </w:r>
      <w:r w:rsidRPr="000309F2">
        <w:rPr>
          <w:rFonts w:ascii="Times New Roman" w:hAnsi="Times New Roman"/>
        </w:rPr>
        <w:t xml:space="preserve">demonstrates, although legislation that imposes unjust punishment for an objectively serious offence will not be invalid for that reason alone, there will come a point at which the goal of public protection cannot justify the extent of injustice and the consequent sacrifice of the court's institutional integrity. The issue, to adopt the words of the joint judgment in </w:t>
      </w:r>
      <w:proofErr w:type="spellStart"/>
      <w:r w:rsidRPr="000309F2">
        <w:rPr>
          <w:rFonts w:ascii="Times New Roman" w:hAnsi="Times New Roman"/>
          <w:i/>
        </w:rPr>
        <w:t>Benbrika</w:t>
      </w:r>
      <w:proofErr w:type="spellEnd"/>
      <w:r w:rsidRPr="000309F2">
        <w:rPr>
          <w:rStyle w:val="FootnoteReference"/>
          <w:rFonts w:ascii="Times New Roman" w:hAnsi="Times New Roman"/>
          <w:sz w:val="24"/>
        </w:rPr>
        <w:footnoteReference w:id="458"/>
      </w:r>
      <w:r w:rsidRPr="000309F2">
        <w:rPr>
          <w:rFonts w:ascii="Times New Roman" w:hAnsi="Times New Roman"/>
        </w:rPr>
        <w:t xml:space="preserve">, is whether the legislation is an "appropriately tailored scheme for the protection of the community from the harm that particular forms of criminal activity may pose". Although courts can be used as instruments of unjust punishment </w:t>
      </w:r>
      <w:proofErr w:type="gramStart"/>
      <w:r w:rsidRPr="000309F2">
        <w:rPr>
          <w:rFonts w:ascii="Times New Roman" w:hAnsi="Times New Roman"/>
        </w:rPr>
        <w:t>in order to</w:t>
      </w:r>
      <w:proofErr w:type="gramEnd"/>
      <w:r w:rsidRPr="000309F2">
        <w:rPr>
          <w:rFonts w:ascii="Times New Roman" w:hAnsi="Times New Roman"/>
        </w:rPr>
        <w:t xml:space="preserve"> protect </w:t>
      </w:r>
      <w:r w:rsidRPr="000309F2">
        <w:rPr>
          <w:rFonts w:ascii="Times New Roman" w:hAnsi="Times New Roman"/>
        </w:rPr>
        <w:lastRenderedPageBreak/>
        <w:t>the community from apprehended harm, a scheme that is not appropriately tailored will unjustifiably compromise the institutional integrity of a federal, State or Territory court by requiring the court to perpetuate individual injustice of a magnitude, and in a manner, that cannot be justified by the incremental social benefit of the law.</w:t>
      </w:r>
    </w:p>
    <w:p w14:paraId="74D135F1"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In my reasons in </w:t>
      </w:r>
      <w:proofErr w:type="spellStart"/>
      <w:r w:rsidRPr="000309F2">
        <w:rPr>
          <w:rFonts w:ascii="Times New Roman" w:hAnsi="Times New Roman"/>
          <w:i/>
        </w:rPr>
        <w:t>Benbrika</w:t>
      </w:r>
      <w:proofErr w:type="spellEnd"/>
      <w:r w:rsidRPr="000309F2">
        <w:rPr>
          <w:rFonts w:ascii="Times New Roman" w:hAnsi="Times New Roman"/>
        </w:rPr>
        <w:t>,</w:t>
      </w:r>
      <w:r w:rsidRPr="000309F2">
        <w:rPr>
          <w:rFonts w:ascii="Times New Roman" w:hAnsi="Times New Roman"/>
          <w:i/>
        </w:rPr>
        <w:t xml:space="preserve"> </w:t>
      </w:r>
      <w:r w:rsidRPr="000309F2">
        <w:rPr>
          <w:rFonts w:ascii="Times New Roman" w:hAnsi="Times New Roman"/>
        </w:rPr>
        <w:t xml:space="preserve">I considered </w:t>
      </w:r>
      <w:r w:rsidRPr="000309F2" w:rsidDel="00FD124D">
        <w:rPr>
          <w:rFonts w:ascii="Times New Roman" w:hAnsi="Times New Roman"/>
        </w:rPr>
        <w:t xml:space="preserve">how the point might be identified </w:t>
      </w:r>
      <w:r w:rsidRPr="000309F2">
        <w:rPr>
          <w:rFonts w:ascii="Times New Roman" w:hAnsi="Times New Roman"/>
        </w:rPr>
        <w:t>at which legislation is no longer appropriately tailored because the social purposes, such as adequate protection of the community and treatment of offenders, no longer justify the individual injustice of continuing detention</w:t>
      </w:r>
      <w:r w:rsidRPr="000309F2">
        <w:rPr>
          <w:rStyle w:val="FootnoteReference"/>
          <w:rFonts w:ascii="Times New Roman" w:hAnsi="Times New Roman"/>
          <w:sz w:val="24"/>
        </w:rPr>
        <w:footnoteReference w:id="459"/>
      </w:r>
      <w:r w:rsidRPr="000309F2">
        <w:rPr>
          <w:rFonts w:ascii="Times New Roman" w:hAnsi="Times New Roman"/>
        </w:rPr>
        <w:t>. One circumstance is where, based on the legal operation or practical effect of the legislation, the purposes of the protective punishment could easily be met to the same extent by reasonable alternatives which are less invasive upon liberty. Another is where the purposes of the protective punishment, assessed primarily by reference to the importance placed upon those purposes by Parliament,</w:t>
      </w:r>
      <w:r w:rsidRPr="000309F2">
        <w:rPr>
          <w:rFonts w:ascii="Times New Roman" w:hAnsi="Times New Roman"/>
          <w:sz w:val="13"/>
          <w:szCs w:val="13"/>
        </w:rPr>
        <w:t xml:space="preserve"> </w:t>
      </w:r>
      <w:r w:rsidRPr="000309F2">
        <w:rPr>
          <w:rFonts w:ascii="Times New Roman" w:hAnsi="Times New Roman"/>
        </w:rPr>
        <w:t>are slight or trivial compared with the extent of the constraint upon liberty.</w:t>
      </w:r>
    </w:p>
    <w:p w14:paraId="190F4714"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Like the legislation considered in </w:t>
      </w:r>
      <w:r w:rsidRPr="000309F2">
        <w:rPr>
          <w:rFonts w:ascii="Times New Roman" w:hAnsi="Times New Roman"/>
          <w:i/>
        </w:rPr>
        <w:t>Kable</w:t>
      </w:r>
      <w:r w:rsidRPr="000309F2">
        <w:rPr>
          <w:rFonts w:ascii="Times New Roman" w:hAnsi="Times New Roman"/>
        </w:rPr>
        <w:t xml:space="preserve">, the legislation considered in </w:t>
      </w:r>
      <w:proofErr w:type="spellStart"/>
      <w:r w:rsidRPr="000309F2">
        <w:rPr>
          <w:rFonts w:ascii="Times New Roman" w:hAnsi="Times New Roman"/>
          <w:i/>
        </w:rPr>
        <w:t>Fardon</w:t>
      </w:r>
      <w:proofErr w:type="spellEnd"/>
      <w:r w:rsidRPr="000309F2">
        <w:rPr>
          <w:rFonts w:ascii="Times New Roman" w:hAnsi="Times New Roman"/>
          <w:i/>
        </w:rPr>
        <w:t xml:space="preserve"> </w:t>
      </w:r>
      <w:r w:rsidRPr="000309F2">
        <w:rPr>
          <w:rFonts w:ascii="Times New Roman" w:hAnsi="Times New Roman"/>
        </w:rPr>
        <w:t xml:space="preserve">and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 xml:space="preserve">involved the individual injustice of preventive detention for very serious offences. But unlike the legislation considered in </w:t>
      </w:r>
      <w:r w:rsidRPr="000309F2">
        <w:rPr>
          <w:rFonts w:ascii="Times New Roman" w:hAnsi="Times New Roman"/>
          <w:i/>
        </w:rPr>
        <w:t>Kable</w:t>
      </w:r>
      <w:r w:rsidRPr="000309F2">
        <w:rPr>
          <w:rFonts w:ascii="Times New Roman" w:hAnsi="Times New Roman"/>
          <w:iCs/>
        </w:rPr>
        <w:t>,</w:t>
      </w:r>
      <w:r w:rsidRPr="000309F2">
        <w:rPr>
          <w:rFonts w:ascii="Times New Roman" w:hAnsi="Times New Roman"/>
          <w:i/>
        </w:rPr>
        <w:t xml:space="preserve"> </w:t>
      </w:r>
      <w:r w:rsidRPr="000309F2">
        <w:rPr>
          <w:rFonts w:ascii="Times New Roman" w:hAnsi="Times New Roman"/>
        </w:rPr>
        <w:t xml:space="preserve">there were few obstacles to justifying the legislation considered in </w:t>
      </w:r>
      <w:proofErr w:type="spellStart"/>
      <w:r w:rsidRPr="000309F2">
        <w:rPr>
          <w:rFonts w:ascii="Times New Roman" w:hAnsi="Times New Roman"/>
          <w:i/>
        </w:rPr>
        <w:t>Fardon</w:t>
      </w:r>
      <w:proofErr w:type="spellEnd"/>
      <w:r w:rsidRPr="000309F2">
        <w:rPr>
          <w:rFonts w:ascii="Times New Roman" w:hAnsi="Times New Roman"/>
          <w:i/>
        </w:rPr>
        <w:t xml:space="preserve"> </w:t>
      </w:r>
      <w:r w:rsidRPr="000309F2">
        <w:rPr>
          <w:rFonts w:ascii="Times New Roman" w:hAnsi="Times New Roman"/>
        </w:rPr>
        <w:t xml:space="preserve">and </w:t>
      </w:r>
      <w:proofErr w:type="spellStart"/>
      <w:r w:rsidRPr="000309F2">
        <w:rPr>
          <w:rFonts w:ascii="Times New Roman" w:hAnsi="Times New Roman"/>
          <w:i/>
        </w:rPr>
        <w:t>Benbrika</w:t>
      </w:r>
      <w:proofErr w:type="spellEnd"/>
      <w:r w:rsidRPr="000309F2">
        <w:rPr>
          <w:rFonts w:ascii="Times New Roman" w:hAnsi="Times New Roman"/>
        </w:rPr>
        <w:t xml:space="preserve"> based on the formal dimension of judicial power. As Gleeson CJ said in </w:t>
      </w:r>
      <w:proofErr w:type="spellStart"/>
      <w:r w:rsidRPr="000309F2">
        <w:rPr>
          <w:rFonts w:ascii="Times New Roman" w:hAnsi="Times New Roman"/>
          <w:i/>
        </w:rPr>
        <w:t>Fardon</w:t>
      </w:r>
      <w:proofErr w:type="spellEnd"/>
      <w:r w:rsidRPr="000309F2">
        <w:rPr>
          <w:rStyle w:val="FootnoteReference"/>
          <w:rFonts w:ascii="Times New Roman" w:hAnsi="Times New Roman"/>
          <w:sz w:val="24"/>
        </w:rPr>
        <w:footnoteReference w:id="460"/>
      </w:r>
      <w:r w:rsidRPr="000309F2">
        <w:rPr>
          <w:rFonts w:ascii="Times New Roman" w:hAnsi="Times New Roman"/>
        </w:rPr>
        <w:t xml:space="preserve">, the legislation considered in that case "authorise[d] and empower[ed] the Supreme Court to act in a manner which is consistent with its judicial character". And as I said in </w:t>
      </w:r>
      <w:proofErr w:type="spellStart"/>
      <w:r w:rsidRPr="000309F2">
        <w:rPr>
          <w:rFonts w:ascii="Times New Roman" w:hAnsi="Times New Roman"/>
          <w:i/>
        </w:rPr>
        <w:t>Benbrika</w:t>
      </w:r>
      <w:proofErr w:type="spellEnd"/>
      <w:r w:rsidRPr="000309F2">
        <w:rPr>
          <w:rStyle w:val="FootnoteReference"/>
          <w:rFonts w:ascii="Times New Roman" w:hAnsi="Times New Roman"/>
          <w:sz w:val="24"/>
        </w:rPr>
        <w:footnoteReference w:id="461"/>
      </w:r>
      <w:r w:rsidRPr="000309F2">
        <w:rPr>
          <w:rFonts w:ascii="Times New Roman" w:hAnsi="Times New Roman"/>
        </w:rPr>
        <w:t>, there were many aspects of the legislation considered in that case that required that the power "be exercised in a judicial manner".</w:t>
      </w:r>
    </w:p>
    <w:p w14:paraId="7A268CB9"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Can the individual injustice of the HRSO Act be justified?</w:t>
      </w:r>
    </w:p>
    <w:p w14:paraId="33F199D5" w14:textId="77777777" w:rsidR="00E3198A" w:rsidRPr="000309F2" w:rsidRDefault="00E3198A" w:rsidP="000309F2">
      <w:pPr>
        <w:pStyle w:val="HeadingL2"/>
        <w:spacing w:after="260" w:line="280" w:lineRule="exact"/>
        <w:ind w:right="0"/>
        <w:jc w:val="both"/>
        <w:rPr>
          <w:rFonts w:ascii="Times New Roman" w:hAnsi="Times New Roman"/>
        </w:rPr>
      </w:pPr>
      <w:r w:rsidRPr="000309F2">
        <w:rPr>
          <w:rFonts w:ascii="Times New Roman" w:hAnsi="Times New Roman"/>
        </w:rPr>
        <w:t>The legal operation of the HRSO Act</w:t>
      </w:r>
    </w:p>
    <w:p w14:paraId="56A74756"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objects of the HRSO Act are to "ensure adequate protection of the community and of victims of serious offences" and also to "provide for the continuing control, care or treatment of </w:t>
      </w:r>
      <w:proofErr w:type="gramStart"/>
      <w:r w:rsidRPr="000309F2">
        <w:rPr>
          <w:rFonts w:ascii="Times New Roman" w:hAnsi="Times New Roman"/>
        </w:rPr>
        <w:t>high risk</w:t>
      </w:r>
      <w:proofErr w:type="gramEnd"/>
      <w:r w:rsidRPr="000309F2">
        <w:rPr>
          <w:rFonts w:ascii="Times New Roman" w:hAnsi="Times New Roman"/>
        </w:rPr>
        <w:t xml:space="preserve"> serious offenders"</w:t>
      </w:r>
      <w:r w:rsidRPr="000309F2">
        <w:rPr>
          <w:rStyle w:val="FootnoteReference"/>
          <w:rFonts w:ascii="Times New Roman" w:hAnsi="Times New Roman"/>
          <w:sz w:val="24"/>
        </w:rPr>
        <w:footnoteReference w:id="462"/>
      </w:r>
      <w:r w:rsidRPr="000309F2">
        <w:rPr>
          <w:rFonts w:ascii="Times New Roman" w:hAnsi="Times New Roman"/>
        </w:rPr>
        <w:t xml:space="preserve">. The legal operation of the HRSO Act is the starting point for assessing "reasonable necessity", namely the availability of any reasonable, less restrictive alternatives </w:t>
      </w:r>
      <w:r w:rsidRPr="000309F2">
        <w:rPr>
          <w:rFonts w:ascii="Times New Roman" w:hAnsi="Times New Roman"/>
        </w:rPr>
        <w:lastRenderedPageBreak/>
        <w:t>that could achieve these purposes as effectively. It is also the starting point for assessing the adequacy of that legislation in the balance.</w:t>
      </w:r>
    </w:p>
    <w:p w14:paraId="6A68889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There are two aspects of the HRSO Act in its application to robbery that present significant issues for reasonable necessity and adequacy in the balance. Both aspects concern the substantive operation of the HRSO Act. </w:t>
      </w:r>
      <w:r w:rsidRPr="000309F2" w:rsidDel="00CC5B72">
        <w:rPr>
          <w:rFonts w:ascii="Times New Roman" w:hAnsi="Times New Roman"/>
        </w:rPr>
        <w:t xml:space="preserve">In its formal dimension, </w:t>
      </w:r>
      <w:r w:rsidRPr="000309F2">
        <w:rPr>
          <w:rFonts w:ascii="Times New Roman" w:hAnsi="Times New Roman"/>
        </w:rPr>
        <w:t xml:space="preserve">the HRSO Act satisfies the key requirements for the </w:t>
      </w:r>
      <w:r w:rsidRPr="000309F2" w:rsidDel="002825DE">
        <w:rPr>
          <w:rFonts w:ascii="Times New Roman" w:hAnsi="Times New Roman"/>
        </w:rPr>
        <w:t xml:space="preserve">exercise </w:t>
      </w:r>
      <w:r w:rsidRPr="000309F2">
        <w:rPr>
          <w:rFonts w:ascii="Times New Roman" w:hAnsi="Times New Roman"/>
        </w:rPr>
        <w:t>of judicial power. The HRSO Act requires the Court to hear admissible evidence given by or on behalf of the offender</w:t>
      </w:r>
      <w:r w:rsidRPr="000309F2">
        <w:rPr>
          <w:rStyle w:val="FootnoteReference"/>
          <w:rFonts w:ascii="Times New Roman" w:hAnsi="Times New Roman"/>
          <w:sz w:val="24"/>
        </w:rPr>
        <w:footnoteReference w:id="463"/>
      </w:r>
      <w:r w:rsidRPr="000309F2">
        <w:rPr>
          <w:rFonts w:ascii="Times New Roman" w:hAnsi="Times New Roman"/>
        </w:rPr>
        <w:t>. It provides that proceedings under the Act "are to be taken to be criminal proceedings for all purposes"</w:t>
      </w:r>
      <w:r w:rsidRPr="000309F2">
        <w:rPr>
          <w:rStyle w:val="FootnoteReference"/>
          <w:rFonts w:ascii="Times New Roman" w:hAnsi="Times New Roman"/>
          <w:sz w:val="24"/>
        </w:rPr>
        <w:footnoteReference w:id="464"/>
      </w:r>
      <w:r w:rsidRPr="000309F2">
        <w:rPr>
          <w:rFonts w:ascii="Times New Roman" w:hAnsi="Times New Roman"/>
        </w:rPr>
        <w:t xml:space="preserve">, which incorporates protections under the </w:t>
      </w:r>
      <w:r w:rsidRPr="000309F2">
        <w:rPr>
          <w:rFonts w:ascii="Times New Roman" w:hAnsi="Times New Roman"/>
          <w:i/>
          <w:iCs/>
        </w:rPr>
        <w:t>Criminal Procedure Act 2004 </w:t>
      </w:r>
      <w:r w:rsidRPr="000309F2">
        <w:rPr>
          <w:rFonts w:ascii="Times New Roman" w:hAnsi="Times New Roman"/>
        </w:rPr>
        <w:t xml:space="preserve">(WA) and the </w:t>
      </w:r>
      <w:r w:rsidRPr="000309F2">
        <w:rPr>
          <w:rFonts w:ascii="Times New Roman" w:hAnsi="Times New Roman"/>
          <w:i/>
          <w:iCs/>
        </w:rPr>
        <w:t>Evidence Act 1906 </w:t>
      </w:r>
      <w:r w:rsidRPr="000309F2">
        <w:rPr>
          <w:rFonts w:ascii="Times New Roman" w:hAnsi="Times New Roman"/>
        </w:rPr>
        <w:t>(WA). The rules of evidence generally apply</w:t>
      </w:r>
      <w:r w:rsidRPr="000309F2">
        <w:rPr>
          <w:rStyle w:val="FootnoteReference"/>
          <w:rFonts w:ascii="Times New Roman" w:hAnsi="Times New Roman"/>
          <w:sz w:val="24"/>
        </w:rPr>
        <w:footnoteReference w:id="465"/>
      </w:r>
      <w:r w:rsidRPr="000309F2">
        <w:rPr>
          <w:rFonts w:ascii="Times New Roman" w:hAnsi="Times New Roman"/>
        </w:rPr>
        <w:t>. The HRSO Act also requires the Court making a restriction order to "give detailed reasons for the order"</w:t>
      </w:r>
      <w:r w:rsidRPr="000309F2">
        <w:rPr>
          <w:rStyle w:val="FootnoteReference"/>
          <w:rFonts w:ascii="Times New Roman" w:hAnsi="Times New Roman"/>
          <w:sz w:val="24"/>
        </w:rPr>
        <w:footnoteReference w:id="466"/>
      </w:r>
      <w:r w:rsidRPr="000309F2">
        <w:rPr>
          <w:rFonts w:ascii="Times New Roman" w:hAnsi="Times New Roman"/>
        </w:rPr>
        <w:t>. And, despite the detailed submissions of Mr Ryan, as amicus curiae in support of the contrary conclusion, the Supreme Court of Western Australia is not invalidly enlisted to give effect to legislative and executive policy. The real difficulties in justifying the HRSO Act in its application to robbery concern the substantive dimension of judicial power.</w:t>
      </w:r>
    </w:p>
    <w:p w14:paraId="474D7E65" w14:textId="77777777" w:rsidR="00E3198A" w:rsidRPr="000309F2" w:rsidRDefault="00E3198A" w:rsidP="000309F2">
      <w:pPr>
        <w:pStyle w:val="HeadingL3"/>
        <w:spacing w:after="260" w:line="280" w:lineRule="exact"/>
        <w:ind w:right="0"/>
        <w:jc w:val="both"/>
        <w:rPr>
          <w:rFonts w:ascii="Times New Roman" w:hAnsi="Times New Roman"/>
        </w:rPr>
      </w:pPr>
      <w:r w:rsidRPr="000309F2">
        <w:rPr>
          <w:rFonts w:ascii="Times New Roman" w:hAnsi="Times New Roman"/>
        </w:rPr>
        <w:t>1. Continuing detention as a possible order for less serious robberies</w:t>
      </w:r>
    </w:p>
    <w:p w14:paraId="02F6CB9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If the HRSO Act permitted a continuing detention order for all robberies, then there would be two difficulties for justification which, at least in combination, would be likely to invalidate the Act in its application to robbery.</w:t>
      </w:r>
    </w:p>
    <w:p w14:paraId="50ED7D6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first difficulty is the wide range of seriousness of robbery</w:t>
      </w:r>
      <w:r w:rsidRPr="000309F2" w:rsidDel="00CC61FE">
        <w:rPr>
          <w:rFonts w:ascii="Times New Roman" w:hAnsi="Times New Roman"/>
        </w:rPr>
        <w:t xml:space="preserve"> </w:t>
      </w:r>
      <w:r w:rsidRPr="000309F2">
        <w:rPr>
          <w:rFonts w:ascii="Times New Roman" w:hAnsi="Times New Roman"/>
        </w:rPr>
        <w:t>offences. In this respect, robbery differs from serious sexual offences and terrorism</w:t>
      </w:r>
      <w:r w:rsidRPr="000309F2">
        <w:rPr>
          <w:rFonts w:ascii="Times New Roman" w:hAnsi="Times New Roman"/>
        </w:rPr>
        <w:noBreakHyphen/>
        <w:t xml:space="preserve">related offences. The serious sexual offences to which the legislation considered in </w:t>
      </w:r>
      <w:proofErr w:type="spellStart"/>
      <w:r w:rsidRPr="000309F2">
        <w:rPr>
          <w:rFonts w:ascii="Times New Roman" w:hAnsi="Times New Roman"/>
          <w:i/>
        </w:rPr>
        <w:t>Fardon</w:t>
      </w:r>
      <w:proofErr w:type="spellEnd"/>
      <w:r w:rsidRPr="000309F2">
        <w:rPr>
          <w:rFonts w:ascii="Times New Roman" w:hAnsi="Times New Roman"/>
          <w:i/>
        </w:rPr>
        <w:t xml:space="preserve"> </w:t>
      </w:r>
      <w:r w:rsidRPr="000309F2" w:rsidDel="00E41886">
        <w:rPr>
          <w:rFonts w:ascii="Times New Roman" w:hAnsi="Times New Roman"/>
        </w:rPr>
        <w:t>responded</w:t>
      </w:r>
      <w:r w:rsidRPr="000309F2">
        <w:rPr>
          <w:rFonts w:ascii="Times New Roman" w:hAnsi="Times New Roman"/>
        </w:rPr>
        <w:t xml:space="preserve"> were sexual offences involving violence or against children. And the terrorism</w:t>
      </w:r>
      <w:r w:rsidRPr="000309F2">
        <w:rPr>
          <w:rFonts w:ascii="Times New Roman" w:hAnsi="Times New Roman"/>
        </w:rPr>
        <w:noBreakHyphen/>
        <w:t xml:space="preserve">related offences to which the legislation considered in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responded involved conduct "connected with action which strikes at the heart of a civilised society"</w:t>
      </w:r>
      <w:r w:rsidRPr="000309F2">
        <w:rPr>
          <w:rStyle w:val="FootnoteReference"/>
          <w:rFonts w:ascii="Times New Roman" w:hAnsi="Times New Roman"/>
          <w:sz w:val="24"/>
        </w:rPr>
        <w:footnoteReference w:id="467"/>
      </w:r>
      <w:r w:rsidRPr="000309F2">
        <w:rPr>
          <w:rFonts w:ascii="Times New Roman" w:hAnsi="Times New Roman"/>
        </w:rPr>
        <w:t xml:space="preserve"> and which "poses a singular threat to civil society"</w:t>
      </w:r>
      <w:r w:rsidRPr="000309F2">
        <w:rPr>
          <w:rStyle w:val="FootnoteReference"/>
          <w:rFonts w:ascii="Times New Roman" w:hAnsi="Times New Roman"/>
          <w:sz w:val="24"/>
        </w:rPr>
        <w:footnoteReference w:id="468"/>
      </w:r>
      <w:r w:rsidRPr="000309F2">
        <w:rPr>
          <w:rFonts w:ascii="Times New Roman" w:hAnsi="Times New Roman"/>
        </w:rPr>
        <w:t>. No offence in the range of serious sexual offences or terrorism</w:t>
      </w:r>
      <w:r w:rsidRPr="000309F2">
        <w:rPr>
          <w:rFonts w:ascii="Times New Roman" w:hAnsi="Times New Roman"/>
        </w:rPr>
        <w:noBreakHyphen/>
        <w:t xml:space="preserve">related offences </w:t>
      </w:r>
      <w:r w:rsidRPr="000309F2">
        <w:rPr>
          <w:rFonts w:ascii="Times New Roman" w:hAnsi="Times New Roman"/>
        </w:rPr>
        <w:lastRenderedPageBreak/>
        <w:t xml:space="preserve">covered by the </w:t>
      </w:r>
      <w:proofErr w:type="spellStart"/>
      <w:r w:rsidRPr="000309F2">
        <w:rPr>
          <w:rFonts w:ascii="Times New Roman" w:hAnsi="Times New Roman"/>
          <w:i/>
        </w:rPr>
        <w:t>Fardon</w:t>
      </w:r>
      <w:proofErr w:type="spellEnd"/>
      <w:r w:rsidRPr="000309F2">
        <w:rPr>
          <w:rFonts w:ascii="Times New Roman" w:hAnsi="Times New Roman"/>
          <w:i/>
        </w:rPr>
        <w:t xml:space="preserve"> </w:t>
      </w:r>
      <w:r w:rsidRPr="000309F2">
        <w:rPr>
          <w:rFonts w:ascii="Times New Roman" w:hAnsi="Times New Roman"/>
        </w:rPr>
        <w:t xml:space="preserve">and </w:t>
      </w:r>
      <w:proofErr w:type="spellStart"/>
      <w:r w:rsidRPr="000309F2">
        <w:rPr>
          <w:rFonts w:ascii="Times New Roman" w:hAnsi="Times New Roman"/>
          <w:i/>
        </w:rPr>
        <w:t>Benbrika</w:t>
      </w:r>
      <w:proofErr w:type="spellEnd"/>
      <w:r w:rsidRPr="000309F2">
        <w:rPr>
          <w:rFonts w:ascii="Times New Roman" w:hAnsi="Times New Roman"/>
          <w:i/>
        </w:rPr>
        <w:t xml:space="preserve"> </w:t>
      </w:r>
      <w:r w:rsidRPr="000309F2">
        <w:rPr>
          <w:rFonts w:ascii="Times New Roman" w:hAnsi="Times New Roman"/>
        </w:rPr>
        <w:t>legislation could be described other than as a serious offence.</w:t>
      </w:r>
    </w:p>
    <w:p w14:paraId="41F1BE6E"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b/>
          <w:bCs/>
        </w:rPr>
      </w:pPr>
      <w:r w:rsidRPr="000309F2">
        <w:rPr>
          <w:rFonts w:ascii="Times New Roman" w:hAnsi="Times New Roman"/>
        </w:rPr>
        <w:tab/>
        <w:t xml:space="preserve">By contrast, the offence of robbery, under s 392 of the </w:t>
      </w:r>
      <w:r w:rsidRPr="000309F2">
        <w:rPr>
          <w:rFonts w:ascii="Times New Roman" w:hAnsi="Times New Roman"/>
          <w:i/>
        </w:rPr>
        <w:t>Criminal Code </w:t>
      </w:r>
      <w:r w:rsidRPr="000309F2">
        <w:rPr>
          <w:rFonts w:ascii="Times New Roman" w:hAnsi="Times New Roman"/>
        </w:rPr>
        <w:t xml:space="preserve">(WA), involves stealing a thing with the use, or threatened use, of violence to a person or property </w:t>
      </w:r>
      <w:proofErr w:type="gramStart"/>
      <w:r w:rsidRPr="000309F2">
        <w:rPr>
          <w:rFonts w:ascii="Times New Roman" w:hAnsi="Times New Roman"/>
        </w:rPr>
        <w:t>in order to</w:t>
      </w:r>
      <w:proofErr w:type="gramEnd"/>
      <w:r w:rsidRPr="000309F2">
        <w:rPr>
          <w:rFonts w:ascii="Times New Roman" w:hAnsi="Times New Roman"/>
        </w:rPr>
        <w:t xml:space="preserve"> obtain the thing or overcome resistance to it being stolen. Although the maximum term of imprisonment for robbery in circumstances of aggravation is life imprisonment, the offence need not be serious. Towards the lowest level of seriousness, robbery could be committed in circumstances as trivial as an 18</w:t>
      </w:r>
      <w:r w:rsidRPr="000309F2">
        <w:rPr>
          <w:rFonts w:ascii="Times New Roman" w:hAnsi="Times New Roman"/>
        </w:rPr>
        <w:noBreakHyphen/>
        <w:t>year</w:t>
      </w:r>
      <w:r w:rsidRPr="000309F2">
        <w:rPr>
          <w:rFonts w:ascii="Times New Roman" w:hAnsi="Times New Roman"/>
        </w:rPr>
        <w:noBreakHyphen/>
        <w:t>old offender demanding possession of a $1 comic book known to be owned by his friend, by threatening to tear some of the pages if it is not permanently given by the friend to the offender. Whilst the triviality of this offence is such that it might never be charged, s 6(a) of the HRSO Act extends the application of the Act to robberies that might never be the subject of a charge.</w:t>
      </w:r>
    </w:p>
    <w:p w14:paraId="722347C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b/>
          <w:bCs/>
        </w:rPr>
      </w:pPr>
      <w:r w:rsidRPr="000309F2">
        <w:rPr>
          <w:rFonts w:ascii="Times New Roman" w:hAnsi="Times New Roman"/>
        </w:rPr>
        <w:tab/>
      </w:r>
      <w:r w:rsidRPr="000309F2">
        <w:rPr>
          <w:rFonts w:ascii="Times New Roman" w:hAnsi="Times New Roman"/>
          <w:bCs/>
        </w:rPr>
        <w:t xml:space="preserve">It must be </w:t>
      </w:r>
      <w:r w:rsidRPr="000309F2">
        <w:rPr>
          <w:rFonts w:ascii="Times New Roman" w:hAnsi="Times New Roman"/>
        </w:rPr>
        <w:t>emphasised</w:t>
      </w:r>
      <w:r w:rsidRPr="000309F2">
        <w:rPr>
          <w:rFonts w:ascii="Times New Roman" w:hAnsi="Times New Roman"/>
          <w:bCs/>
        </w:rPr>
        <w:t xml:space="preserve"> that the difficulty </w:t>
      </w:r>
      <w:r w:rsidRPr="000309F2">
        <w:rPr>
          <w:rFonts w:ascii="Times New Roman" w:hAnsi="Times New Roman"/>
        </w:rPr>
        <w:t>in justifying</w:t>
      </w:r>
      <w:r w:rsidRPr="000309F2">
        <w:rPr>
          <w:rFonts w:ascii="Times New Roman" w:hAnsi="Times New Roman"/>
          <w:bCs/>
        </w:rPr>
        <w:t xml:space="preserve"> the application of the HRSO Act to less serious offences of robbery does not depend upon any distinction between "[p]</w:t>
      </w:r>
      <w:proofErr w:type="spellStart"/>
      <w:r w:rsidRPr="000309F2">
        <w:rPr>
          <w:rFonts w:ascii="Times New Roman" w:hAnsi="Times New Roman"/>
          <w:bCs/>
        </w:rPr>
        <w:t>revention</w:t>
      </w:r>
      <w:proofErr w:type="spellEnd"/>
      <w:r w:rsidRPr="000309F2">
        <w:rPr>
          <w:rFonts w:ascii="Times New Roman" w:hAnsi="Times New Roman"/>
          <w:bCs/>
        </w:rPr>
        <w:t xml:space="preserve"> of harm" and "prevention of commission of a criminal offence"</w:t>
      </w:r>
      <w:r w:rsidRPr="000309F2">
        <w:rPr>
          <w:rStyle w:val="FootnoteReference"/>
          <w:rFonts w:ascii="Times New Roman" w:hAnsi="Times New Roman"/>
          <w:bCs/>
          <w:sz w:val="24"/>
        </w:rPr>
        <w:footnoteReference w:id="469"/>
      </w:r>
      <w:r w:rsidRPr="000309F2">
        <w:rPr>
          <w:rFonts w:ascii="Times New Roman" w:hAnsi="Times New Roman"/>
          <w:bCs/>
        </w:rPr>
        <w:t>. The invidiousness of such a distinction is illustrated by the difficulty, perhaps absurdity, of attempting to identify which criminalised acts of assistance in the commission of terrorist offences do not involve "harm"</w:t>
      </w:r>
      <w:r w:rsidRPr="000309F2">
        <w:rPr>
          <w:rStyle w:val="FootnoteReference"/>
          <w:rFonts w:ascii="Times New Roman" w:hAnsi="Times New Roman"/>
          <w:bCs/>
          <w:sz w:val="24"/>
        </w:rPr>
        <w:footnoteReference w:id="470"/>
      </w:r>
      <w:r w:rsidRPr="000309F2">
        <w:rPr>
          <w:rFonts w:ascii="Times New Roman" w:hAnsi="Times New Roman"/>
          <w:bCs/>
        </w:rPr>
        <w:t>. The policy choice of the Parliament of Western Australia to treat robbery as a crime that always involves harm to the public must be respected. But, as the sentencing discretion rightly recognises, the harm might be very minimal.</w:t>
      </w:r>
    </w:p>
    <w:p w14:paraId="4E861BAD"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b/>
          <w:bCs/>
        </w:rPr>
      </w:pPr>
      <w:r w:rsidRPr="000309F2">
        <w:rPr>
          <w:rFonts w:ascii="Times New Roman" w:hAnsi="Times New Roman"/>
          <w:bCs/>
        </w:rPr>
        <w:tab/>
        <w:t xml:space="preserve">The difficulty in justifying the </w:t>
      </w:r>
      <w:r w:rsidRPr="000309F2">
        <w:rPr>
          <w:rFonts w:ascii="Times New Roman" w:hAnsi="Times New Roman"/>
        </w:rPr>
        <w:t>potential application of the</w:t>
      </w:r>
      <w:r w:rsidRPr="000309F2">
        <w:rPr>
          <w:rFonts w:ascii="Times New Roman" w:hAnsi="Times New Roman"/>
          <w:bCs/>
        </w:rPr>
        <w:t xml:space="preserve"> HRSO Act to all robberies arises because the Act could, as effectively, achieve its purposes </w:t>
      </w:r>
      <w:r w:rsidRPr="000309F2">
        <w:rPr>
          <w:rFonts w:ascii="Times New Roman" w:hAnsi="Times New Roman"/>
        </w:rPr>
        <w:t>without permitting continuing detention orders for anticipated robberies that are not objectively serious. This Court has said that the "extension of a sentence of imprisonment which would violate the principle of proportionality can scarcely be justified on the ground that it is necessary to protect society from crime which is serious but non</w:t>
      </w:r>
      <w:r w:rsidRPr="000309F2">
        <w:rPr>
          <w:rFonts w:ascii="Times New Roman" w:hAnsi="Times New Roman"/>
        </w:rPr>
        <w:noBreakHyphen/>
        <w:t>violent"</w:t>
      </w:r>
      <w:r w:rsidRPr="000309F2">
        <w:rPr>
          <w:rStyle w:val="FootnoteReference"/>
          <w:rFonts w:ascii="Times New Roman" w:hAnsi="Times New Roman"/>
          <w:sz w:val="24"/>
        </w:rPr>
        <w:footnoteReference w:id="471"/>
      </w:r>
      <w:r w:rsidRPr="000309F2">
        <w:rPr>
          <w:rFonts w:ascii="Times New Roman" w:hAnsi="Times New Roman"/>
        </w:rPr>
        <w:t>. That reasoning applies, a fortiori, when the crime is both non</w:t>
      </w:r>
      <w:r w:rsidRPr="000309F2">
        <w:rPr>
          <w:rFonts w:ascii="Times New Roman" w:hAnsi="Times New Roman"/>
        </w:rPr>
        <w:noBreakHyphen/>
        <w:t>serious and non</w:t>
      </w:r>
      <w:r w:rsidRPr="000309F2">
        <w:rPr>
          <w:rFonts w:ascii="Times New Roman" w:hAnsi="Times New Roman"/>
        </w:rPr>
        <w:noBreakHyphen/>
        <w:t xml:space="preserve">violent. It is hard to conceive of any circumstances where the adequate protection of the community (including potential victims) requires the continuing detention of a person solely on the basis that it is predicted, </w:t>
      </w:r>
      <w:r w:rsidRPr="000309F2">
        <w:rPr>
          <w:rFonts w:ascii="Times New Roman" w:hAnsi="Times New Roman"/>
        </w:rPr>
        <w:lastRenderedPageBreak/>
        <w:t>by means of dubious validity, that the person is likely to commit a robbery at the lower end of seriousness. Further, it is at least arguable that an order for continuing detention of such a predicted offender might undermine, rather than advance, any care or treatment of that person.</w:t>
      </w:r>
    </w:p>
    <w:p w14:paraId="09E0891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b/>
          <w:bCs/>
        </w:rPr>
      </w:pPr>
      <w:r w:rsidRPr="000309F2">
        <w:rPr>
          <w:rFonts w:ascii="Times New Roman" w:hAnsi="Times New Roman"/>
        </w:rPr>
        <w:tab/>
        <w:t xml:space="preserve">A second difficulty in justifying the application of continuing detention to any offence of robbery is the apparent absence of balance between, on the one hand, the limited need to protect the community from the commission of robberies that are not objectively serious and, on the other hand, the extreme constraint upon liberty imposed by continuing detention orders. </w:t>
      </w:r>
    </w:p>
    <w:p w14:paraId="05F86857" w14:textId="77777777" w:rsidR="00E3198A" w:rsidRPr="000309F2" w:rsidRDefault="00E3198A" w:rsidP="000309F2">
      <w:pPr>
        <w:pStyle w:val="HeadingL3"/>
        <w:spacing w:after="260" w:line="280" w:lineRule="exact"/>
        <w:ind w:right="0"/>
        <w:jc w:val="both"/>
        <w:rPr>
          <w:rFonts w:ascii="Times New Roman" w:hAnsi="Times New Roman"/>
        </w:rPr>
      </w:pPr>
      <w:r w:rsidRPr="000309F2">
        <w:rPr>
          <w:rFonts w:ascii="Times New Roman" w:hAnsi="Times New Roman"/>
        </w:rPr>
        <w:t>2. The lack of discretion as to whether to make a restriction order</w:t>
      </w:r>
    </w:p>
    <w:p w14:paraId="25C7866F"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Another notable feature of the HRSO Act which raises issues for the substantive dimension of judicial power is the lack of judicial discretion in s 48 as to whether to make a restriction order. This contrasts with the discretion contained in the sexual offender legislation considered in </w:t>
      </w:r>
      <w:proofErr w:type="spellStart"/>
      <w:r w:rsidRPr="000309F2">
        <w:rPr>
          <w:rFonts w:ascii="Times New Roman" w:hAnsi="Times New Roman"/>
          <w:i/>
        </w:rPr>
        <w:t>Fardon</w:t>
      </w:r>
      <w:proofErr w:type="spellEnd"/>
      <w:r w:rsidRPr="000309F2">
        <w:rPr>
          <w:rFonts w:ascii="Times New Roman" w:hAnsi="Times New Roman"/>
        </w:rPr>
        <w:t>,</w:t>
      </w:r>
      <w:r w:rsidRPr="000309F2">
        <w:rPr>
          <w:rFonts w:ascii="Times New Roman" w:hAnsi="Times New Roman"/>
          <w:i/>
        </w:rPr>
        <w:t xml:space="preserve"> </w:t>
      </w:r>
      <w:r w:rsidRPr="000309F2">
        <w:rPr>
          <w:rFonts w:ascii="Times New Roman" w:hAnsi="Times New Roman"/>
        </w:rPr>
        <w:t>which provided that if the court is satisfied that there is an unacceptable risk that the prisoner will commit a serious sexual offence, the court "</w:t>
      </w:r>
      <w:r w:rsidRPr="000309F2">
        <w:rPr>
          <w:rFonts w:ascii="Times New Roman" w:hAnsi="Times New Roman"/>
          <w:i/>
        </w:rPr>
        <w:t xml:space="preserve">may </w:t>
      </w:r>
      <w:r w:rsidRPr="000309F2">
        <w:rPr>
          <w:rFonts w:ascii="Times New Roman" w:hAnsi="Times New Roman"/>
        </w:rPr>
        <w:t>order" continuing detention or supervision</w:t>
      </w:r>
      <w:r w:rsidRPr="000309F2">
        <w:rPr>
          <w:rStyle w:val="FootnoteReference"/>
          <w:rFonts w:ascii="Times New Roman" w:hAnsi="Times New Roman"/>
          <w:sz w:val="24"/>
        </w:rPr>
        <w:footnoteReference w:id="472"/>
      </w:r>
      <w:r w:rsidRPr="000309F2">
        <w:rPr>
          <w:rFonts w:ascii="Times New Roman" w:hAnsi="Times New Roman"/>
        </w:rPr>
        <w:t xml:space="preserve">. It also contrasts with the discretion contained in the terrorism legislation considered in </w:t>
      </w:r>
      <w:proofErr w:type="spellStart"/>
      <w:r w:rsidRPr="000309F2">
        <w:rPr>
          <w:rFonts w:ascii="Times New Roman" w:hAnsi="Times New Roman"/>
          <w:i/>
        </w:rPr>
        <w:t>Benbrika</w:t>
      </w:r>
      <w:proofErr w:type="spellEnd"/>
      <w:r w:rsidRPr="000309F2">
        <w:rPr>
          <w:rFonts w:ascii="Times New Roman" w:hAnsi="Times New Roman"/>
          <w:iCs/>
        </w:rPr>
        <w:t>,</w:t>
      </w:r>
      <w:r w:rsidRPr="000309F2">
        <w:rPr>
          <w:rFonts w:ascii="Times New Roman" w:hAnsi="Times New Roman"/>
          <w:i/>
        </w:rPr>
        <w:t xml:space="preserve"> </w:t>
      </w:r>
      <w:r w:rsidRPr="000309F2">
        <w:rPr>
          <w:rFonts w:ascii="Times New Roman" w:hAnsi="Times New Roman"/>
        </w:rPr>
        <w:t>which provided that a court "</w:t>
      </w:r>
      <w:r w:rsidRPr="000309F2">
        <w:rPr>
          <w:rFonts w:ascii="Times New Roman" w:hAnsi="Times New Roman"/>
          <w:i/>
        </w:rPr>
        <w:t xml:space="preserve">may </w:t>
      </w:r>
      <w:r w:rsidRPr="000309F2">
        <w:rPr>
          <w:rFonts w:ascii="Times New Roman" w:hAnsi="Times New Roman"/>
        </w:rPr>
        <w:t>make a written order under this subsection"</w:t>
      </w:r>
      <w:r w:rsidRPr="000309F2">
        <w:rPr>
          <w:rStyle w:val="FootnoteReference"/>
          <w:rFonts w:ascii="Times New Roman" w:hAnsi="Times New Roman"/>
          <w:sz w:val="24"/>
        </w:rPr>
        <w:footnoteReference w:id="473"/>
      </w:r>
      <w:r w:rsidRPr="000309F2">
        <w:rPr>
          <w:rFonts w:ascii="Times New Roman" w:hAnsi="Times New Roman"/>
        </w:rPr>
        <w:t>.</w:t>
      </w:r>
    </w:p>
    <w:p w14:paraId="727D05F8"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absence of judicial discretion as to whether to make a restriction order could be very significant in the absence of an appropriately narrow interpretation of the HRSO Act. For instance, on an interpretation of the HRSO Act which neglected the third and fourth stages set out above, if the Court were to conclude that a person is a high risk serious offender on the basis of a high risk that the person will commit a robbery at the lower end of seriousness, then the combination of s 29(1) and the lack of judicial discretion in the making of a restriction order in s 48 could have a perverse effect. An offender who was thought to be at high risk of committing a very minor robbery – threatened damage to a cheap comic book – would be subject to the grossly disproportionate order of continuing detention if the offender could not prove that a supervision order would make the offender unlikely to commit any anticipated minor offending falling within Sch 1.</w:t>
      </w:r>
    </w:p>
    <w:p w14:paraId="415AFD65" w14:textId="77777777" w:rsidR="00E3198A" w:rsidRPr="000309F2" w:rsidRDefault="00E3198A" w:rsidP="000309F2">
      <w:pPr>
        <w:pStyle w:val="HeadingL2"/>
        <w:spacing w:after="260" w:line="280" w:lineRule="exact"/>
        <w:ind w:right="0"/>
        <w:jc w:val="both"/>
        <w:rPr>
          <w:rFonts w:ascii="Times New Roman" w:hAnsi="Times New Roman"/>
        </w:rPr>
      </w:pPr>
      <w:r w:rsidRPr="000309F2">
        <w:rPr>
          <w:rFonts w:ascii="Times New Roman" w:hAnsi="Times New Roman"/>
        </w:rPr>
        <w:lastRenderedPageBreak/>
        <w:t>The practical operation of the HRSO Act</w:t>
      </w:r>
    </w:p>
    <w:p w14:paraId="5AB7E0BC"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Since the HRSO Act was very recently enacted, Mr </w:t>
      </w:r>
      <w:proofErr w:type="spellStart"/>
      <w:r w:rsidRPr="000309F2">
        <w:rPr>
          <w:rFonts w:ascii="Times New Roman" w:hAnsi="Times New Roman"/>
        </w:rPr>
        <w:t>Garlett</w:t>
      </w:r>
      <w:proofErr w:type="spellEnd"/>
      <w:r w:rsidRPr="000309F2">
        <w:rPr>
          <w:rFonts w:ascii="Times New Roman" w:hAnsi="Times New Roman"/>
        </w:rPr>
        <w:t xml:space="preserve"> was not </w:t>
      </w:r>
      <w:proofErr w:type="gramStart"/>
      <w:r w:rsidRPr="000309F2">
        <w:rPr>
          <w:rFonts w:ascii="Times New Roman" w:hAnsi="Times New Roman"/>
        </w:rPr>
        <w:t>in a position</w:t>
      </w:r>
      <w:proofErr w:type="gramEnd"/>
      <w:r w:rsidRPr="000309F2">
        <w:rPr>
          <w:rFonts w:ascii="Times New Roman" w:hAnsi="Times New Roman"/>
        </w:rPr>
        <w:t xml:space="preserve"> to make submissions about the practical operation of the HRSO Act. Nevertheless, it is necessary to observe that the practical operation of the Act may, in future, raise significant difficulties in justifying continuing detention orders, particularly as the level of objective seriousness of the "serious offences", or the level of objective seriousness of the circumstances of those offences, diminishes. </w:t>
      </w:r>
    </w:p>
    <w:p w14:paraId="5B356C5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Although this Court had no legislative facts before it on the subject, one potentially significant issue in the practical operation of the HRSO Act was referred to in the written submissions for Mr Ryan. That issue is what Quinlan CJ, referring to the predecessor legislation to the HRSO Act, described as a "Catch</w:t>
      </w:r>
      <w:r w:rsidRPr="000309F2">
        <w:rPr>
          <w:rFonts w:ascii="Times New Roman" w:hAnsi="Times New Roman"/>
        </w:rPr>
        <w:noBreakHyphen/>
        <w:t>22"</w:t>
      </w:r>
      <w:r w:rsidRPr="000309F2">
        <w:rPr>
          <w:rStyle w:val="FootnoteReference"/>
          <w:rFonts w:ascii="Times New Roman" w:hAnsi="Times New Roman"/>
          <w:sz w:val="24"/>
        </w:rPr>
        <w:footnoteReference w:id="474"/>
      </w:r>
      <w:r w:rsidRPr="000309F2">
        <w:rPr>
          <w:rFonts w:ascii="Times New Roman" w:hAnsi="Times New Roman"/>
        </w:rPr>
        <w:t>. The Catch</w:t>
      </w:r>
      <w:r w:rsidRPr="000309F2">
        <w:rPr>
          <w:rFonts w:ascii="Times New Roman" w:hAnsi="Times New Roman"/>
        </w:rPr>
        <w:noBreakHyphen/>
        <w:t>22 arises where a continuing detention order must be made before the State will provide an offender with treatment, which is in turn necessary to prevent them from being subject to an order for continuing detention. That Catch</w:t>
      </w:r>
      <w:r w:rsidRPr="000309F2">
        <w:rPr>
          <w:rFonts w:ascii="Times New Roman" w:hAnsi="Times New Roman"/>
        </w:rPr>
        <w:noBreakHyphen/>
        <w:t xml:space="preserve">22 would show a practical operation of the HRSO Act that is contrary to its expressed purposes. It would provide a strong foundation for a submission that the significant individual injustice manifested by the HRSO Act is unjustified by its purposes. As Quinlan CJ rightly said, it is "in the interests of the community, and its protection from offending, that an offender with known treatment needs have those treatment needs addressed </w:t>
      </w:r>
      <w:r w:rsidRPr="000309F2">
        <w:rPr>
          <w:rFonts w:ascii="Times New Roman" w:hAnsi="Times New Roman"/>
          <w:i/>
        </w:rPr>
        <w:t>before</w:t>
      </w:r>
      <w:r w:rsidRPr="000309F2">
        <w:rPr>
          <w:rFonts w:ascii="Times New Roman" w:hAnsi="Times New Roman"/>
        </w:rPr>
        <w:t xml:space="preserve"> consideration is given to their release under supervision not, as is the case, afterwards"</w:t>
      </w:r>
      <w:r w:rsidRPr="000309F2">
        <w:rPr>
          <w:rStyle w:val="FootnoteReference"/>
          <w:rFonts w:ascii="Times New Roman" w:hAnsi="Times New Roman"/>
          <w:sz w:val="24"/>
        </w:rPr>
        <w:footnoteReference w:id="475"/>
      </w:r>
      <w:r w:rsidRPr="000309F2">
        <w:rPr>
          <w:rFonts w:ascii="Times New Roman" w:hAnsi="Times New Roman"/>
        </w:rPr>
        <w:t>.</w:t>
      </w:r>
    </w:p>
    <w:p w14:paraId="2B8AB3A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same concern has been reiterated in proceedings under the HRSO Act. This suggests that its practical operation might, not uncommonly, be subject to the same issues</w:t>
      </w:r>
      <w:r w:rsidRPr="000309F2">
        <w:rPr>
          <w:rStyle w:val="FootnoteReference"/>
          <w:rFonts w:ascii="Times New Roman" w:hAnsi="Times New Roman"/>
          <w:sz w:val="24"/>
        </w:rPr>
        <w:footnoteReference w:id="476"/>
      </w:r>
      <w:r w:rsidRPr="000309F2">
        <w:rPr>
          <w:rFonts w:ascii="Times New Roman" w:hAnsi="Times New Roman"/>
        </w:rPr>
        <w:t xml:space="preserve">. In this matter, however, probably due to the recent nature of the HRSO Act, there was no evidence about these issues before </w:t>
      </w:r>
      <w:proofErr w:type="spellStart"/>
      <w:r w:rsidRPr="000309F2">
        <w:rPr>
          <w:rFonts w:ascii="Times New Roman" w:hAnsi="Times New Roman"/>
        </w:rPr>
        <w:t>Corboy</w:t>
      </w:r>
      <w:proofErr w:type="spellEnd"/>
      <w:r w:rsidRPr="000309F2">
        <w:rPr>
          <w:rFonts w:ascii="Times New Roman" w:hAnsi="Times New Roman"/>
        </w:rPr>
        <w:t> J and there is insufficient information before this Court for any legislative fact to be found concerning the extent to which the Catch</w:t>
      </w:r>
      <w:r w:rsidRPr="000309F2">
        <w:rPr>
          <w:rFonts w:ascii="Times New Roman" w:hAnsi="Times New Roman"/>
        </w:rPr>
        <w:noBreakHyphen/>
        <w:t>22 arises under the HRSO Act.</w:t>
      </w:r>
    </w:p>
    <w:p w14:paraId="031AEA4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Another significant issue may be the disproportionate effect that the HRSO Act has on Indigenous Australians for reasons that do not bear upon any of the purposes of the HRSO Act. That effect might be manifest in relation to Indigenous Australians who do not have permanent or fixed accommodation. As the Australian Law Reform Commission has observed, "Aboriginal and Torres Strait Islander peoples are ... disproportionately represented in the homeless population </w:t>
      </w:r>
      <w:r w:rsidRPr="000309F2">
        <w:rPr>
          <w:rFonts w:ascii="Times New Roman" w:hAnsi="Times New Roman"/>
        </w:rPr>
        <w:lastRenderedPageBreak/>
        <w:t>... accounting for 28% of homeless people [in 2011]"</w:t>
      </w:r>
      <w:r w:rsidRPr="000309F2">
        <w:rPr>
          <w:rStyle w:val="FootnoteReference"/>
          <w:rFonts w:ascii="Times New Roman" w:hAnsi="Times New Roman"/>
          <w:sz w:val="24"/>
        </w:rPr>
        <w:footnoteReference w:id="477"/>
      </w:r>
      <w:r w:rsidRPr="000309F2">
        <w:rPr>
          <w:rFonts w:ascii="Times New Roman" w:hAnsi="Times New Roman"/>
        </w:rPr>
        <w:t>. Those persons might be deprived of the possibility of a supervision order, and subjected to a continuing detention order, only because they are unable to prove, as required by ss 29(1), 30(2)(a), and 30(2)(c), that they will advise a community corrections officer of their address and every change in their place of residence during the period of the order</w:t>
      </w:r>
      <w:r w:rsidRPr="000309F2">
        <w:rPr>
          <w:rStyle w:val="FootnoteReference"/>
          <w:rFonts w:ascii="Times New Roman" w:hAnsi="Times New Roman"/>
          <w:sz w:val="24"/>
        </w:rPr>
        <w:footnoteReference w:id="478"/>
      </w:r>
      <w:r w:rsidRPr="000309F2">
        <w:rPr>
          <w:rFonts w:ascii="Times New Roman" w:hAnsi="Times New Roman"/>
        </w:rPr>
        <w:t>.</w:t>
      </w:r>
    </w:p>
    <w:p w14:paraId="3A9A931D"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Any disproportionate effect of the HRSO Act upon Indigenous Australians might be exacerbated by psychological or psychiatric reports to which the Court must have regard</w:t>
      </w:r>
      <w:r w:rsidRPr="000309F2">
        <w:rPr>
          <w:rStyle w:val="FootnoteReference"/>
          <w:rFonts w:ascii="Times New Roman" w:hAnsi="Times New Roman"/>
          <w:sz w:val="24"/>
        </w:rPr>
        <w:footnoteReference w:id="479"/>
      </w:r>
      <w:r w:rsidRPr="000309F2">
        <w:rPr>
          <w:rFonts w:ascii="Times New Roman" w:hAnsi="Times New Roman"/>
        </w:rPr>
        <w:t>. In 2019, it was observed that Australian practitioners in this field "do not have access to risk assessment instruments that have been developed and validated for Australian populations and therefore use instruments that were developed for North American and European populations". The authors continued</w:t>
      </w:r>
      <w:r w:rsidRPr="000309F2">
        <w:rPr>
          <w:rStyle w:val="FootnoteReference"/>
          <w:rFonts w:ascii="Times New Roman" w:hAnsi="Times New Roman"/>
          <w:sz w:val="24"/>
        </w:rPr>
        <w:footnoteReference w:id="480"/>
      </w:r>
      <w:r w:rsidRPr="000309F2">
        <w:rPr>
          <w:rFonts w:ascii="Times New Roman" w:hAnsi="Times New Roman"/>
        </w:rPr>
        <w:t>:</w:t>
      </w:r>
    </w:p>
    <w:p w14:paraId="570A99E6" w14:textId="77777777" w:rsidR="00E3198A" w:rsidRPr="000309F2" w:rsidRDefault="00E3198A" w:rsidP="000309F2">
      <w:pPr>
        <w:pStyle w:val="LeftrightafterHC"/>
        <w:spacing w:before="0" w:after="260" w:line="280" w:lineRule="exact"/>
        <w:ind w:right="0"/>
        <w:jc w:val="both"/>
        <w:rPr>
          <w:rFonts w:ascii="Times New Roman" w:hAnsi="Times New Roman"/>
        </w:rPr>
      </w:pPr>
      <w:r w:rsidRPr="000309F2">
        <w:rPr>
          <w:rFonts w:ascii="Times New Roman" w:hAnsi="Times New Roman"/>
        </w:rPr>
        <w:tab/>
        <w:t>"Practitioners' use of non</w:t>
      </w:r>
      <w:r w:rsidRPr="000309F2">
        <w:rPr>
          <w:rFonts w:ascii="Times New Roman" w:hAnsi="Times New Roman"/>
        </w:rPr>
        <w:noBreakHyphen/>
        <w:t>validated instruments to assess Indigenous Australians is particularly problematic because people from this population group are significantly over</w:t>
      </w:r>
      <w:r w:rsidRPr="000309F2">
        <w:rPr>
          <w:rFonts w:ascii="Times New Roman" w:hAnsi="Times New Roman"/>
        </w:rPr>
        <w:noBreakHyphen/>
        <w:t>represented in the criminal justice system. ...</w:t>
      </w:r>
    </w:p>
    <w:p w14:paraId="4CBEFFA5" w14:textId="77777777" w:rsidR="00E3198A" w:rsidRDefault="00E3198A" w:rsidP="000309F2">
      <w:pPr>
        <w:pStyle w:val="leftright"/>
        <w:spacing w:before="0" w:after="260" w:line="280" w:lineRule="exact"/>
        <w:ind w:right="0"/>
        <w:jc w:val="both"/>
        <w:rPr>
          <w:rFonts w:ascii="Times New Roman" w:hAnsi="Times New Roman"/>
        </w:rPr>
      </w:pPr>
      <w:r w:rsidRPr="000309F2">
        <w:rPr>
          <w:rFonts w:ascii="Times New Roman" w:hAnsi="Times New Roman"/>
        </w:rPr>
        <w:tab/>
        <w:t>Scholars have been writing about the role of ethnicity in the assessment of offenders for many years. There has specifically been an ongoing debate regarding the use of risk assessment instruments developed in North America to assess Indigenous people since the beginning of this decade to the present. The few Australian authors who write about this topic are mostly sceptical about the propriety of using non</w:t>
      </w:r>
      <w:r w:rsidRPr="000309F2">
        <w:rPr>
          <w:rFonts w:ascii="Times New Roman" w:hAnsi="Times New Roman"/>
        </w:rPr>
        <w:noBreakHyphen/>
        <w:t>validated instruments to assess Indigenous Australian offenders."</w:t>
      </w:r>
    </w:p>
    <w:p w14:paraId="566236C8"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Such practical effects cannot be assessed without sufficient material before this Court from which inferences concerning these matters can be drawn. Nevertheless, the disproportionate application of continuing detention orders to Indigenous Australians has been noticed under the Queensland preventive detention</w:t>
      </w:r>
      <w:r w:rsidRPr="000309F2" w:rsidDel="00FF75E7">
        <w:rPr>
          <w:rFonts w:ascii="Times New Roman" w:hAnsi="Times New Roman"/>
        </w:rPr>
        <w:t xml:space="preserve"> </w:t>
      </w:r>
      <w:r w:rsidRPr="000309F2">
        <w:rPr>
          <w:rFonts w:ascii="Times New Roman" w:hAnsi="Times New Roman"/>
        </w:rPr>
        <w:t xml:space="preserve">legislation considered by this Court in </w:t>
      </w:r>
      <w:proofErr w:type="spellStart"/>
      <w:r w:rsidRPr="000309F2">
        <w:rPr>
          <w:rFonts w:ascii="Times New Roman" w:hAnsi="Times New Roman"/>
          <w:i/>
          <w:iCs/>
        </w:rPr>
        <w:t>Fardon</w:t>
      </w:r>
      <w:proofErr w:type="spellEnd"/>
      <w:r w:rsidRPr="000309F2">
        <w:rPr>
          <w:rFonts w:ascii="Times New Roman" w:hAnsi="Times New Roman"/>
          <w:iCs/>
        </w:rPr>
        <w:t>. During the debate on that proposed legislation in Parliament, it was said</w:t>
      </w:r>
      <w:r w:rsidRPr="000309F2">
        <w:rPr>
          <w:rFonts w:ascii="Times New Roman" w:hAnsi="Times New Roman"/>
          <w:i/>
          <w:iCs/>
        </w:rPr>
        <w:t xml:space="preserve"> </w:t>
      </w:r>
      <w:r w:rsidRPr="000309F2">
        <w:rPr>
          <w:rFonts w:ascii="Times New Roman" w:hAnsi="Times New Roman"/>
        </w:rPr>
        <w:t xml:space="preserve">that it would apply only to </w:t>
      </w:r>
      <w:r w:rsidRPr="000309F2">
        <w:rPr>
          <w:rFonts w:ascii="Times New Roman" w:hAnsi="Times New Roman"/>
        </w:rPr>
        <w:lastRenderedPageBreak/>
        <w:t>"approximately a dozen or so very, very serious offenders, most of whom have been in prison for a long time"</w:t>
      </w:r>
      <w:r w:rsidRPr="000309F2">
        <w:rPr>
          <w:rStyle w:val="FootnoteReference"/>
          <w:rFonts w:ascii="Times New Roman" w:hAnsi="Times New Roman"/>
          <w:sz w:val="24"/>
        </w:rPr>
        <w:footnoteReference w:id="481"/>
      </w:r>
      <w:r w:rsidRPr="000309F2">
        <w:rPr>
          <w:rFonts w:ascii="Times New Roman" w:hAnsi="Times New Roman"/>
        </w:rPr>
        <w:t xml:space="preserve">. In 2021, in </w:t>
      </w:r>
      <w:r w:rsidRPr="000309F2">
        <w:rPr>
          <w:rFonts w:ascii="Times New Roman" w:hAnsi="Times New Roman"/>
          <w:i/>
          <w:iCs/>
        </w:rPr>
        <w:t>Attorney</w:t>
      </w:r>
      <w:r w:rsidRPr="000309F2">
        <w:rPr>
          <w:rFonts w:ascii="Times New Roman" w:hAnsi="Times New Roman"/>
          <w:i/>
          <w:iCs/>
        </w:rPr>
        <w:noBreakHyphen/>
        <w:t>General for the State of Queensland v Thaiday</w:t>
      </w:r>
      <w:r w:rsidRPr="000309F2">
        <w:rPr>
          <w:rStyle w:val="FootnoteReference"/>
          <w:rFonts w:ascii="Times New Roman" w:hAnsi="Times New Roman"/>
          <w:sz w:val="24"/>
        </w:rPr>
        <w:footnoteReference w:id="482"/>
      </w:r>
      <w:r w:rsidRPr="000309F2">
        <w:rPr>
          <w:rFonts w:ascii="Times New Roman" w:hAnsi="Times New Roman"/>
        </w:rPr>
        <w:t>, Applegarth J said:</w:t>
      </w:r>
    </w:p>
    <w:p w14:paraId="10DC6855" w14:textId="77777777" w:rsidR="00E3198A" w:rsidRDefault="00E3198A" w:rsidP="000309F2">
      <w:pPr>
        <w:pStyle w:val="LeftrightafterHC"/>
        <w:spacing w:before="0" w:after="260" w:line="280" w:lineRule="exact"/>
        <w:ind w:right="0"/>
        <w:jc w:val="both"/>
        <w:rPr>
          <w:rFonts w:ascii="Times New Roman" w:hAnsi="Times New Roman"/>
        </w:rPr>
      </w:pPr>
      <w:r w:rsidRPr="000309F2">
        <w:rPr>
          <w:rFonts w:ascii="Times New Roman" w:hAnsi="Times New Roman"/>
        </w:rPr>
        <w:t>"Over time, however, it has swept up scores of Indigenous men who are not paedophiles, but who pose a risk of committing a serious sexual offence when they are intoxicated by alcohol or drugs. The Act is a blunt instrument for these offenders. It is poorly</w:t>
      </w:r>
      <w:r w:rsidRPr="000309F2">
        <w:rPr>
          <w:rFonts w:ascii="Times New Roman" w:hAnsi="Times New Roman"/>
        </w:rPr>
        <w:noBreakHyphen/>
        <w:t>designed to address the long tail of Indigenous disadvantage in this State. It also is a very expensive way to address the risk of reoffending by individuals whose problems are associated with prejudiced upbringings in places like Palm Island, histories of alcohol and substance abuse, entrenched anti</w:t>
      </w:r>
      <w:r w:rsidRPr="000309F2">
        <w:rPr>
          <w:rFonts w:ascii="Times New Roman" w:hAnsi="Times New Roman"/>
        </w:rPr>
        <w:noBreakHyphen/>
        <w:t>social attitudes, distorted senses of entitlement towards women, homelessness and poverty."</w:t>
      </w:r>
    </w:p>
    <w:p w14:paraId="729B37E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Issues of this nature were not unnoticed in Parliament at the time that the HRSO Act was passed. In relation to the inclusion of the offence of burglary, if committed in specified circumstances, as a serious offence in Sch 1 to the HRSO Act – that being the only provision which has not yet come into operation – the Attorney</w:t>
      </w:r>
      <w:r w:rsidRPr="000309F2">
        <w:rPr>
          <w:rFonts w:ascii="Times New Roman" w:hAnsi="Times New Roman"/>
        </w:rPr>
        <w:noBreakHyphen/>
        <w:t>General cogently observed</w:t>
      </w:r>
      <w:r w:rsidRPr="000309F2">
        <w:rPr>
          <w:rStyle w:val="FootnoteReference"/>
          <w:rFonts w:ascii="Times New Roman" w:hAnsi="Times New Roman"/>
          <w:sz w:val="24"/>
        </w:rPr>
        <w:footnoteReference w:id="483"/>
      </w:r>
      <w:r w:rsidRPr="000309F2">
        <w:rPr>
          <w:rFonts w:ascii="Times New Roman" w:hAnsi="Times New Roman"/>
        </w:rPr>
        <w:t>:</w:t>
      </w:r>
    </w:p>
    <w:p w14:paraId="47BC8D82" w14:textId="77777777" w:rsidR="00E3198A" w:rsidRDefault="00E3198A" w:rsidP="000309F2">
      <w:pPr>
        <w:pStyle w:val="LeftrightafterHC"/>
        <w:spacing w:before="0" w:after="260" w:line="280" w:lineRule="exact"/>
        <w:ind w:right="0"/>
        <w:jc w:val="both"/>
        <w:rPr>
          <w:rFonts w:ascii="Times New Roman" w:hAnsi="Times New Roman"/>
        </w:rPr>
      </w:pPr>
      <w:r w:rsidRPr="000309F2">
        <w:rPr>
          <w:rFonts w:ascii="Times New Roman" w:hAnsi="Times New Roman"/>
        </w:rPr>
        <w:t xml:space="preserve">"The Legislative Council decided in its wisdom that aggravated burglary should be included. I have to say, this was of some concern to the State Solicitor and the Director of Public Prosecutions, because that can bring in so many people who have not committed an actual violent offence ... I thought that all members of the chamber contributed to the third reading speech in a most positive way on the reduction of Indigenous prisoner rates. We know that a lot of burglaries are committed by young Indigenous people who have fled their home because it is too violent at night. They wander the streets of some of our regional towns like Kununurra, Halls Creek, Fitzroy, </w:t>
      </w:r>
      <w:proofErr w:type="gramStart"/>
      <w:r w:rsidRPr="000309F2">
        <w:rPr>
          <w:rFonts w:ascii="Times New Roman" w:hAnsi="Times New Roman"/>
        </w:rPr>
        <w:t>Kalgoorlie</w:t>
      </w:r>
      <w:proofErr w:type="gramEnd"/>
      <w:r w:rsidRPr="000309F2">
        <w:rPr>
          <w:rFonts w:ascii="Times New Roman" w:hAnsi="Times New Roman"/>
        </w:rPr>
        <w:t xml:space="preserve"> and other towns, enter homes and steal for food. We did not want to capture all these people in this; we would never reduce the Indigenous prisoner rate. Do not forget that these people have served the actual term for their offence. So, aggravated burglary was eventually included, but not if the only circumstance of aggravation was being in company."</w:t>
      </w:r>
    </w:p>
    <w:p w14:paraId="278D7FFB"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The inclusion of burglary as a serious offence in the HRSO Act may have significant and separate problems of justification. But an assessment of the impact </w:t>
      </w:r>
      <w:r w:rsidRPr="000309F2">
        <w:rPr>
          <w:rFonts w:ascii="Times New Roman" w:hAnsi="Times New Roman"/>
        </w:rPr>
        <w:lastRenderedPageBreak/>
        <w:t>of such practical effects upon the validity of continuing detention orders under the HRSO Act for robbery, or possibly burglary, must await a case which raises those legislative facts.</w:t>
      </w:r>
    </w:p>
    <w:p w14:paraId="7A738C28" w14:textId="77777777" w:rsidR="00E3198A" w:rsidRPr="000309F2" w:rsidRDefault="00E3198A" w:rsidP="000309F2">
      <w:pPr>
        <w:pStyle w:val="HeadingL2"/>
        <w:spacing w:after="260" w:line="280" w:lineRule="exact"/>
        <w:ind w:right="0"/>
        <w:jc w:val="both"/>
        <w:rPr>
          <w:rFonts w:ascii="Times New Roman" w:hAnsi="Times New Roman"/>
        </w:rPr>
      </w:pPr>
      <w:r w:rsidRPr="000309F2">
        <w:rPr>
          <w:rFonts w:ascii="Times New Roman" w:hAnsi="Times New Roman"/>
        </w:rPr>
        <w:t>On the material before this Court, the HRSO Act is justified in relation to robbery</w:t>
      </w:r>
    </w:p>
    <w:p w14:paraId="3DD4E1C7"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r>
      <w:r w:rsidRPr="000309F2">
        <w:rPr>
          <w:rFonts w:ascii="Times New Roman" w:hAnsi="Times New Roman"/>
          <w:bCs/>
        </w:rPr>
        <w:t>Since the only substantial concerns in justifying the HRSO Act in its application to robbery</w:t>
      </w:r>
      <w:r w:rsidRPr="000309F2">
        <w:rPr>
          <w:rFonts w:ascii="Times New Roman" w:hAnsi="Times New Roman"/>
        </w:rPr>
        <w:t>, on the facts of this case,</w:t>
      </w:r>
      <w:r w:rsidRPr="000309F2">
        <w:rPr>
          <w:rFonts w:ascii="Times New Roman" w:hAnsi="Times New Roman"/>
          <w:bCs/>
        </w:rPr>
        <w:t xml:space="preserve"> relate to the legal operation of the HRSO Act, it is essential to assess those concerns </w:t>
      </w:r>
      <w:proofErr w:type="gramStart"/>
      <w:r w:rsidRPr="000309F2">
        <w:rPr>
          <w:rFonts w:ascii="Times New Roman" w:hAnsi="Times New Roman"/>
          <w:bCs/>
        </w:rPr>
        <w:t>in light of</w:t>
      </w:r>
      <w:proofErr w:type="gramEnd"/>
      <w:r w:rsidRPr="000309F2">
        <w:rPr>
          <w:rFonts w:ascii="Times New Roman" w:hAnsi="Times New Roman"/>
          <w:bCs/>
        </w:rPr>
        <w:t xml:space="preserve"> the proper interpretation of the HRSO Act. The five interpretive stages set out above adopt a narrow interpretation that answers these concerns. That narrow interpretation is the </w:t>
      </w:r>
      <w:r w:rsidRPr="000309F2">
        <w:rPr>
          <w:rFonts w:ascii="Times New Roman" w:hAnsi="Times New Roman"/>
        </w:rPr>
        <w:t xml:space="preserve">best </w:t>
      </w:r>
      <w:r w:rsidRPr="000309F2">
        <w:rPr>
          <w:rFonts w:ascii="Times New Roman" w:hAnsi="Times New Roman"/>
          <w:bCs/>
        </w:rPr>
        <w:t xml:space="preserve">understanding of the HRSO Act, which has a broad premise of depriving persons of liberty only where it is necessary to ensure adequate protection of the community. Even if the narrow interpretation were not the proper interpretation, s 7 of the </w:t>
      </w:r>
      <w:r w:rsidRPr="000309F2">
        <w:rPr>
          <w:rFonts w:ascii="Times New Roman" w:hAnsi="Times New Roman"/>
          <w:i/>
        </w:rPr>
        <w:t xml:space="preserve">Interpretation Act </w:t>
      </w:r>
      <w:r w:rsidRPr="000309F2">
        <w:rPr>
          <w:rFonts w:ascii="Times New Roman" w:hAnsi="Times New Roman"/>
          <w:bCs/>
        </w:rPr>
        <w:t xml:space="preserve">would require the relevant provisions to be read down </w:t>
      </w:r>
      <w:r w:rsidRPr="000309F2">
        <w:rPr>
          <w:rFonts w:ascii="Times New Roman" w:hAnsi="Times New Roman"/>
        </w:rPr>
        <w:t>in this manner</w:t>
      </w:r>
      <w:r w:rsidRPr="000309F2">
        <w:rPr>
          <w:rFonts w:ascii="Times New Roman" w:hAnsi="Times New Roman"/>
          <w:bCs/>
        </w:rPr>
        <w:t xml:space="preserve"> </w:t>
      </w:r>
      <w:proofErr w:type="gramStart"/>
      <w:r w:rsidRPr="000309F2">
        <w:rPr>
          <w:rFonts w:ascii="Times New Roman" w:hAnsi="Times New Roman"/>
          <w:bCs/>
        </w:rPr>
        <w:t>in order to</w:t>
      </w:r>
      <w:proofErr w:type="gramEnd"/>
      <w:r w:rsidRPr="000309F2">
        <w:rPr>
          <w:rFonts w:ascii="Times New Roman" w:hAnsi="Times New Roman"/>
          <w:bCs/>
        </w:rPr>
        <w:t xml:space="preserve"> prevent the invalidity of the HRSO Act in its application to robbery.</w:t>
      </w:r>
    </w:p>
    <w:p w14:paraId="2AE663E3"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r>
      <w:proofErr w:type="gramStart"/>
      <w:r w:rsidRPr="000309F2">
        <w:rPr>
          <w:rFonts w:ascii="Times New Roman" w:hAnsi="Times New Roman"/>
        </w:rPr>
        <w:t>Both of the issues</w:t>
      </w:r>
      <w:proofErr w:type="gramEnd"/>
      <w:r w:rsidRPr="000309F2">
        <w:rPr>
          <w:rFonts w:ascii="Times New Roman" w:hAnsi="Times New Roman"/>
        </w:rPr>
        <w:t xml:space="preserve"> considered above, concerning justification of the legal operation of the HRSO Act, relate to the possibility of a continuing detention order being imposed for the anticipated commission of a robbery that is not objectively serious and involves little individual or social harm. On the proper interpretation of the HRSO Act, no restriction order can be made unless, by the third stage in the interpretive process, the probability of the specified serious offence being committed, together with the magnitude or seriousness of the harm that would result, outweighs the burden placed upon the liberty of the offender by a restriction order for an offence that they have not committed.</w:t>
      </w:r>
    </w:p>
    <w:p w14:paraId="6392D813"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Applied correctly, therefore, even a judicial assessment of a high probability of an offender committing a robbery would not be sufficient for a restriction order if the anticipated robbery is of a low level of seriousness. Even where an anticipated robbery is sufficiently serious to engage s 7 of the HRSO Act, any concerns arising from the lack of judicial discretion to refuse a restriction order are resolved by the fourth stage of the interpretive process. Given the vast range of possible supervision orders, including even home detention, it should not require more than a modicum of ingenuity to devise supervision orders that will suffice for an offender to establish that they will satisfy the conditions of a supervision order, including not committing the specified serious offence. A continuing detention order would not then be made.</w:t>
      </w:r>
    </w:p>
    <w:p w14:paraId="13783E3A"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Mr </w:t>
      </w:r>
      <w:proofErr w:type="spellStart"/>
      <w:r w:rsidRPr="000309F2">
        <w:rPr>
          <w:rFonts w:ascii="Times New Roman" w:hAnsi="Times New Roman"/>
        </w:rPr>
        <w:t>Garlett's</w:t>
      </w:r>
      <w:proofErr w:type="spellEnd"/>
      <w:r w:rsidRPr="000309F2">
        <w:rPr>
          <w:rFonts w:ascii="Times New Roman" w:hAnsi="Times New Roman"/>
        </w:rPr>
        <w:t xml:space="preserve"> challenge on this appeal was concerned only with continuing detention orders; supervision orders for anticipated offences of robbery would be invalid only if inseverable in the legislative scheme from continuing detention orders. An important part of the scheme is the discretion to make a supervision order rather than a continuing detention order. That discretion would almost invariably be exercised, other than in the most extreme cases which involve </w:t>
      </w:r>
      <w:r w:rsidRPr="000309F2">
        <w:rPr>
          <w:rFonts w:ascii="Times New Roman" w:hAnsi="Times New Roman"/>
        </w:rPr>
        <w:lastRenderedPageBreak/>
        <w:t xml:space="preserve">offenders who cannot be the subject of a supervision order. The existence of this "internal" discretion is a reasonable alternative to a discretion as to whether any restriction order should be made. And, </w:t>
      </w:r>
      <w:proofErr w:type="gramStart"/>
      <w:r w:rsidRPr="000309F2">
        <w:rPr>
          <w:rFonts w:ascii="Times New Roman" w:hAnsi="Times New Roman"/>
        </w:rPr>
        <w:t>in light of</w:t>
      </w:r>
      <w:proofErr w:type="gramEnd"/>
      <w:r w:rsidRPr="000309F2">
        <w:rPr>
          <w:rFonts w:ascii="Times New Roman" w:hAnsi="Times New Roman"/>
        </w:rPr>
        <w:t xml:space="preserve"> the extreme circumstances necessary for a continuing detention order, it cannot be said that the purposes of the protective punishment are slight or trivial compared with the extent of the constraint upon a person's liberty for an anticipated offence.</w:t>
      </w:r>
    </w:p>
    <w:p w14:paraId="06F7EB13" w14:textId="77777777" w:rsidR="00E3198A" w:rsidRPr="000309F2" w:rsidRDefault="00E3198A" w:rsidP="000309F2">
      <w:pPr>
        <w:pStyle w:val="HeadingL1"/>
        <w:spacing w:after="260" w:line="280" w:lineRule="exact"/>
        <w:ind w:right="0"/>
        <w:jc w:val="both"/>
        <w:rPr>
          <w:rFonts w:ascii="Times New Roman" w:hAnsi="Times New Roman"/>
        </w:rPr>
      </w:pPr>
      <w:r w:rsidRPr="000309F2">
        <w:rPr>
          <w:rFonts w:ascii="Times New Roman" w:hAnsi="Times New Roman"/>
        </w:rPr>
        <w:t>Conclusion</w:t>
      </w:r>
    </w:p>
    <w:p w14:paraId="7001EDA0"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It is of paramount importance to these reasons to emphasise that, on its proper interpretation, the HRSO Act does not permit the imposition of continuing detention orders for any robbery. In its application to robberies, the HRSO Act permits restriction orders only for anticipated robberies with a sufficiently high degree of seriousness and a sufficiently high magnitude of harm to justify a restriction order that deprives a person of their liberty for an offence that they have not committed. Even then, the restriction order will only be a continuing detention order as a matter of last resort.</w:t>
      </w:r>
    </w:p>
    <w:p w14:paraId="1505F609"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The real question on this appeal,</w:t>
      </w:r>
      <w:r w:rsidRPr="000309F2" w:rsidDel="005624BE">
        <w:rPr>
          <w:rFonts w:ascii="Times New Roman" w:hAnsi="Times New Roman"/>
        </w:rPr>
        <w:t xml:space="preserve"> </w:t>
      </w:r>
      <w:r w:rsidRPr="000309F2">
        <w:rPr>
          <w:rFonts w:ascii="Times New Roman" w:hAnsi="Times New Roman"/>
        </w:rPr>
        <w:t xml:space="preserve">in the absence of any </w:t>
      </w:r>
      <w:proofErr w:type="gramStart"/>
      <w:r w:rsidRPr="000309F2">
        <w:rPr>
          <w:rFonts w:ascii="Times New Roman" w:hAnsi="Times New Roman"/>
        </w:rPr>
        <w:t>particular legislative</w:t>
      </w:r>
      <w:proofErr w:type="gramEnd"/>
      <w:r w:rsidRPr="000309F2">
        <w:rPr>
          <w:rFonts w:ascii="Times New Roman" w:hAnsi="Times New Roman"/>
        </w:rPr>
        <w:t xml:space="preserve"> facts, is therefore whether the HRSO Act is invalid in its application to robbery in those extreme cases in which continuing detention orders would be imposed. On its proper interpretation, which involves a very narrow application of continuing detention orders, and </w:t>
      </w:r>
      <w:proofErr w:type="gramStart"/>
      <w:r w:rsidRPr="000309F2">
        <w:rPr>
          <w:rFonts w:ascii="Times New Roman" w:hAnsi="Times New Roman"/>
        </w:rPr>
        <w:t>in light of</w:t>
      </w:r>
      <w:proofErr w:type="gramEnd"/>
      <w:r w:rsidRPr="000309F2">
        <w:rPr>
          <w:rFonts w:ascii="Times New Roman" w:hAnsi="Times New Roman"/>
        </w:rPr>
        <w:t xml:space="preserve"> the decisions of this Court in </w:t>
      </w:r>
      <w:proofErr w:type="spellStart"/>
      <w:r w:rsidRPr="000309F2">
        <w:rPr>
          <w:rFonts w:ascii="Times New Roman" w:hAnsi="Times New Roman"/>
          <w:i/>
          <w:iCs/>
        </w:rPr>
        <w:t>Fardon</w:t>
      </w:r>
      <w:proofErr w:type="spellEnd"/>
      <w:r w:rsidRPr="000309F2">
        <w:rPr>
          <w:rStyle w:val="FootnoteReference"/>
          <w:rFonts w:ascii="Times New Roman" w:hAnsi="Times New Roman"/>
          <w:sz w:val="24"/>
        </w:rPr>
        <w:footnoteReference w:id="484"/>
      </w:r>
      <w:r w:rsidRPr="000309F2">
        <w:rPr>
          <w:rFonts w:ascii="Times New Roman" w:hAnsi="Times New Roman"/>
          <w:i/>
          <w:iCs/>
        </w:rPr>
        <w:t xml:space="preserve"> </w:t>
      </w:r>
      <w:r w:rsidRPr="000309F2">
        <w:rPr>
          <w:rFonts w:ascii="Times New Roman" w:hAnsi="Times New Roman"/>
        </w:rPr>
        <w:t xml:space="preserve">and </w:t>
      </w:r>
      <w:proofErr w:type="spellStart"/>
      <w:r w:rsidRPr="000309F2">
        <w:rPr>
          <w:rFonts w:ascii="Times New Roman" w:hAnsi="Times New Roman"/>
          <w:i/>
          <w:iCs/>
        </w:rPr>
        <w:t>Benbrika</w:t>
      </w:r>
      <w:proofErr w:type="spellEnd"/>
      <w:r w:rsidRPr="000309F2">
        <w:rPr>
          <w:rStyle w:val="FootnoteReference"/>
          <w:rFonts w:ascii="Times New Roman" w:hAnsi="Times New Roman"/>
          <w:sz w:val="24"/>
        </w:rPr>
        <w:footnoteReference w:id="485"/>
      </w:r>
      <w:r w:rsidRPr="000309F2">
        <w:rPr>
          <w:rFonts w:ascii="Times New Roman" w:hAnsi="Times New Roman"/>
        </w:rPr>
        <w:t>,</w:t>
      </w:r>
      <w:r w:rsidRPr="000309F2">
        <w:rPr>
          <w:rFonts w:ascii="Times New Roman" w:hAnsi="Times New Roman"/>
          <w:i/>
          <w:iCs/>
        </w:rPr>
        <w:t xml:space="preserve"> </w:t>
      </w:r>
      <w:r w:rsidRPr="000309F2">
        <w:rPr>
          <w:rFonts w:ascii="Times New Roman" w:hAnsi="Times New Roman"/>
        </w:rPr>
        <w:t xml:space="preserve">that question must be answered in the negative. As explained at the outset of these reasons, any attempt to distinguish the seriousness of extreme cases of robbery from the sexual offences that were the subject of the legislation considered in </w:t>
      </w:r>
      <w:proofErr w:type="spellStart"/>
      <w:r w:rsidRPr="000309F2">
        <w:rPr>
          <w:rFonts w:ascii="Times New Roman" w:hAnsi="Times New Roman"/>
          <w:i/>
          <w:iCs/>
        </w:rPr>
        <w:t>Fardon</w:t>
      </w:r>
      <w:proofErr w:type="spellEnd"/>
      <w:r w:rsidRPr="000309F2">
        <w:rPr>
          <w:rFonts w:ascii="Times New Roman" w:hAnsi="Times New Roman"/>
          <w:i/>
          <w:iCs/>
        </w:rPr>
        <w:t xml:space="preserve"> </w:t>
      </w:r>
      <w:r w:rsidRPr="000309F2">
        <w:rPr>
          <w:rFonts w:ascii="Times New Roman" w:hAnsi="Times New Roman"/>
        </w:rPr>
        <w:t>is a futile enterprise because the categories are not independent</w:t>
      </w:r>
      <w:r w:rsidRPr="000309F2">
        <w:rPr>
          <w:rStyle w:val="FootnoteReference"/>
          <w:rFonts w:ascii="Times New Roman" w:hAnsi="Times New Roman"/>
          <w:sz w:val="24"/>
        </w:rPr>
        <w:footnoteReference w:id="486"/>
      </w:r>
      <w:r w:rsidRPr="000309F2">
        <w:rPr>
          <w:rFonts w:ascii="Times New Roman" w:hAnsi="Times New Roman"/>
        </w:rPr>
        <w:t>.</w:t>
      </w:r>
    </w:p>
    <w:p w14:paraId="20BC61C2" w14:textId="77777777" w:rsidR="00E3198A" w:rsidRPr="000309F2"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 xml:space="preserve">Whether or not a continuing detention order for an offence that has not been committed can ever be morally justified, the </w:t>
      </w:r>
      <w:r w:rsidRPr="000309F2">
        <w:rPr>
          <w:rFonts w:ascii="Times New Roman" w:hAnsi="Times New Roman"/>
          <w:i/>
        </w:rPr>
        <w:t xml:space="preserve">Constitution </w:t>
      </w:r>
      <w:r w:rsidRPr="000309F2">
        <w:rPr>
          <w:rFonts w:ascii="Times New Roman" w:hAnsi="Times New Roman"/>
        </w:rPr>
        <w:t>does not prohibit the Parliament of Western Australia from empowering a court to impose that injustice in the extreme circumstances of an anticipated robbery as permitted by the proper interpretation of the HRSO Act.</w:t>
      </w:r>
    </w:p>
    <w:p w14:paraId="23216AE1" w14:textId="697110BD" w:rsidR="00E3198A" w:rsidRPr="00E3198A" w:rsidRDefault="00E3198A" w:rsidP="00E3198A">
      <w:pPr>
        <w:pStyle w:val="FixListStyle"/>
        <w:numPr>
          <w:ilvl w:val="0"/>
          <w:numId w:val="18"/>
        </w:numPr>
        <w:spacing w:after="260" w:line="280" w:lineRule="exact"/>
        <w:ind w:left="0" w:right="0" w:hanging="720"/>
        <w:jc w:val="both"/>
        <w:rPr>
          <w:rFonts w:ascii="Times New Roman" w:hAnsi="Times New Roman"/>
        </w:rPr>
      </w:pPr>
      <w:r w:rsidRPr="000309F2">
        <w:rPr>
          <w:rFonts w:ascii="Times New Roman" w:hAnsi="Times New Roman"/>
        </w:rPr>
        <w:tab/>
        <w:t>I agree with the orders proposed by Kiefel CJ, Keane and Steward JJ.</w:t>
      </w:r>
    </w:p>
    <w:p w14:paraId="357D46B7" w14:textId="77777777" w:rsidR="00E3198A" w:rsidRDefault="00E3198A" w:rsidP="00C06B3A">
      <w:pPr>
        <w:pStyle w:val="FixListStyle"/>
        <w:spacing w:after="260" w:line="280" w:lineRule="exact"/>
        <w:ind w:right="0"/>
        <w:jc w:val="both"/>
        <w:rPr>
          <w:rFonts w:ascii="Times New Roman" w:hAnsi="Times New Roman"/>
        </w:rPr>
        <w:sectPr w:rsidR="00E3198A" w:rsidSect="00E3198A">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43E6B596" w14:textId="77777777" w:rsidR="00E3198A" w:rsidRPr="006F101C" w:rsidRDefault="00E3198A" w:rsidP="00E3198A">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6F101C">
        <w:rPr>
          <w:rFonts w:ascii="Times New Roman" w:hAnsi="Times New Roman"/>
        </w:rPr>
        <w:lastRenderedPageBreak/>
        <w:t xml:space="preserve">GLEESON J.   Legislation providing for a court to order the detention of an offender following completion of (or otherwise </w:t>
      </w:r>
      <w:proofErr w:type="gramStart"/>
      <w:r w:rsidRPr="006F101C">
        <w:rPr>
          <w:rFonts w:ascii="Times New Roman" w:hAnsi="Times New Roman"/>
        </w:rPr>
        <w:t>in excess of</w:t>
      </w:r>
      <w:proofErr w:type="gramEnd"/>
      <w:r w:rsidRPr="006F101C">
        <w:rPr>
          <w:rFonts w:ascii="Times New Roman" w:hAnsi="Times New Roman"/>
        </w:rPr>
        <w:t>) a sentence of imprisonment was found to be valid in</w:t>
      </w:r>
      <w:r w:rsidRPr="006F101C">
        <w:rPr>
          <w:rFonts w:ascii="Times New Roman" w:hAnsi="Times New Roman"/>
          <w:i/>
        </w:rPr>
        <w:t xml:space="preserve"> </w:t>
      </w:r>
      <w:proofErr w:type="spellStart"/>
      <w:r w:rsidRPr="006F101C">
        <w:rPr>
          <w:rFonts w:ascii="Times New Roman" w:hAnsi="Times New Roman"/>
          <w:i/>
        </w:rPr>
        <w:t>Fardon</w:t>
      </w:r>
      <w:proofErr w:type="spellEnd"/>
      <w:r w:rsidRPr="006F101C">
        <w:rPr>
          <w:rFonts w:ascii="Times New Roman" w:hAnsi="Times New Roman"/>
          <w:i/>
        </w:rPr>
        <w:t xml:space="preserve"> v Attorney-General (Qld)</w:t>
      </w:r>
      <w:r w:rsidRPr="006F101C">
        <w:rPr>
          <w:rStyle w:val="FootnoteReference"/>
          <w:rFonts w:ascii="Times New Roman" w:hAnsi="Times New Roman"/>
          <w:iCs/>
          <w:sz w:val="24"/>
        </w:rPr>
        <w:footnoteReference w:id="487"/>
      </w:r>
      <w:r w:rsidRPr="006F101C">
        <w:rPr>
          <w:rFonts w:ascii="Times New Roman" w:hAnsi="Times New Roman"/>
          <w:iCs/>
        </w:rPr>
        <w:t>,</w:t>
      </w:r>
      <w:r w:rsidRPr="006F101C">
        <w:rPr>
          <w:rFonts w:ascii="Times New Roman" w:hAnsi="Times New Roman"/>
          <w:i/>
        </w:rPr>
        <w:t xml:space="preserve"> </w:t>
      </w:r>
      <w:proofErr w:type="spellStart"/>
      <w:r w:rsidRPr="006F101C">
        <w:rPr>
          <w:rFonts w:ascii="Times New Roman" w:hAnsi="Times New Roman"/>
          <w:i/>
        </w:rPr>
        <w:t>Pollentine</w:t>
      </w:r>
      <w:proofErr w:type="spellEnd"/>
      <w:r w:rsidRPr="006F101C">
        <w:rPr>
          <w:rFonts w:ascii="Times New Roman" w:hAnsi="Times New Roman"/>
          <w:i/>
        </w:rPr>
        <w:t xml:space="preserve"> v </w:t>
      </w:r>
      <w:proofErr w:type="spellStart"/>
      <w:r w:rsidRPr="006F101C">
        <w:rPr>
          <w:rFonts w:ascii="Times New Roman" w:hAnsi="Times New Roman"/>
          <w:i/>
        </w:rPr>
        <w:t>Bleijie</w:t>
      </w:r>
      <w:proofErr w:type="spellEnd"/>
      <w:r w:rsidRPr="006F101C">
        <w:rPr>
          <w:rStyle w:val="FootnoteReference"/>
          <w:rFonts w:ascii="Times New Roman" w:hAnsi="Times New Roman"/>
          <w:iCs/>
          <w:sz w:val="24"/>
        </w:rPr>
        <w:footnoteReference w:id="488"/>
      </w:r>
      <w:r w:rsidRPr="006F101C">
        <w:rPr>
          <w:rFonts w:ascii="Times New Roman" w:hAnsi="Times New Roman"/>
          <w:iCs/>
        </w:rPr>
        <w:t xml:space="preserve"> </w:t>
      </w:r>
      <w:r w:rsidRPr="006F101C">
        <w:rPr>
          <w:rFonts w:ascii="Times New Roman" w:hAnsi="Times New Roman"/>
        </w:rPr>
        <w:t xml:space="preserve">and </w:t>
      </w:r>
      <w:r w:rsidRPr="006F101C">
        <w:rPr>
          <w:rFonts w:ascii="Times New Roman" w:hAnsi="Times New Roman"/>
          <w:i/>
          <w:iCs/>
        </w:rPr>
        <w:t xml:space="preserve">Minister for Home Affairs v </w:t>
      </w:r>
      <w:proofErr w:type="spellStart"/>
      <w:r w:rsidRPr="006F101C">
        <w:rPr>
          <w:rFonts w:ascii="Times New Roman" w:hAnsi="Times New Roman"/>
          <w:i/>
        </w:rPr>
        <w:t>Benbrika</w:t>
      </w:r>
      <w:proofErr w:type="spellEnd"/>
      <w:r w:rsidRPr="006F101C">
        <w:rPr>
          <w:rStyle w:val="FootnoteReference"/>
          <w:rFonts w:ascii="Times New Roman" w:hAnsi="Times New Roman"/>
          <w:iCs/>
          <w:sz w:val="24"/>
        </w:rPr>
        <w:footnoteReference w:id="489"/>
      </w:r>
      <w:r w:rsidRPr="006F101C">
        <w:rPr>
          <w:rFonts w:ascii="Times New Roman" w:hAnsi="Times New Roman"/>
          <w:i/>
        </w:rPr>
        <w:t>.</w:t>
      </w:r>
      <w:r w:rsidRPr="006F101C">
        <w:rPr>
          <w:rFonts w:ascii="Times New Roman" w:hAnsi="Times New Roman"/>
        </w:rPr>
        <w:t xml:space="preserve"> In </w:t>
      </w:r>
      <w:proofErr w:type="spellStart"/>
      <w:r w:rsidRPr="006F101C">
        <w:rPr>
          <w:rFonts w:ascii="Times New Roman" w:hAnsi="Times New Roman"/>
          <w:i/>
        </w:rPr>
        <w:t>Fardon</w:t>
      </w:r>
      <w:proofErr w:type="spellEnd"/>
      <w:r w:rsidRPr="006F101C">
        <w:rPr>
          <w:rFonts w:ascii="Times New Roman" w:hAnsi="Times New Roman"/>
          <w:i/>
        </w:rPr>
        <w:t xml:space="preserve"> </w:t>
      </w:r>
      <w:r w:rsidRPr="006F101C">
        <w:rPr>
          <w:rFonts w:ascii="Times New Roman" w:hAnsi="Times New Roman"/>
        </w:rPr>
        <w:t xml:space="preserve">and </w:t>
      </w:r>
      <w:proofErr w:type="spellStart"/>
      <w:r w:rsidRPr="006F101C">
        <w:rPr>
          <w:rFonts w:ascii="Times New Roman" w:hAnsi="Times New Roman"/>
          <w:i/>
        </w:rPr>
        <w:t>Pollentine</w:t>
      </w:r>
      <w:proofErr w:type="spellEnd"/>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 xml:space="preserve">which concerned State legislation, the standard of constitutional validity engaged was that identified in the decision of </w:t>
      </w:r>
      <w:r w:rsidRPr="006F101C">
        <w:rPr>
          <w:rFonts w:ascii="Times New Roman" w:hAnsi="Times New Roman"/>
          <w:i/>
        </w:rPr>
        <w:t>Kable v Director of Public Prosecutions (NSW)</w:t>
      </w:r>
      <w:r w:rsidRPr="006F101C">
        <w:rPr>
          <w:rStyle w:val="FootnoteReference"/>
          <w:rFonts w:ascii="Times New Roman" w:hAnsi="Times New Roman"/>
          <w:iCs/>
          <w:sz w:val="24"/>
        </w:rPr>
        <w:footnoteReference w:id="490"/>
      </w:r>
      <w:r w:rsidRPr="006F101C">
        <w:rPr>
          <w:rFonts w:ascii="Times New Roman" w:hAnsi="Times New Roman"/>
          <w:iCs/>
        </w:rPr>
        <w:t xml:space="preserve">, </w:t>
      </w:r>
      <w:r w:rsidRPr="006F101C">
        <w:rPr>
          <w:rFonts w:ascii="Times New Roman" w:hAnsi="Times New Roman"/>
        </w:rPr>
        <w:t>and which has been stated in terms that State (or Territory</w:t>
      </w:r>
      <w:r w:rsidRPr="006F101C">
        <w:rPr>
          <w:rStyle w:val="FootnoteReference"/>
          <w:rFonts w:ascii="Times New Roman" w:hAnsi="Times New Roman"/>
          <w:sz w:val="24"/>
        </w:rPr>
        <w:footnoteReference w:id="491"/>
      </w:r>
      <w:r w:rsidRPr="006F101C">
        <w:rPr>
          <w:rFonts w:ascii="Times New Roman" w:hAnsi="Times New Roman"/>
        </w:rPr>
        <w:t>) legislation may not validly confer upon a court that is a potential repository of federal jurisdiction a function that substantially impairs that court's institutional integrity, such an impairment being incompatible with the court's constitutional position as a potential repository of federal judicial power</w:t>
      </w:r>
      <w:r w:rsidRPr="006F101C">
        <w:rPr>
          <w:rStyle w:val="FootnoteReference"/>
          <w:rFonts w:ascii="Times New Roman" w:hAnsi="Times New Roman"/>
          <w:sz w:val="24"/>
        </w:rPr>
        <w:footnoteReference w:id="492"/>
      </w:r>
      <w:r w:rsidRPr="006F101C">
        <w:rPr>
          <w:rFonts w:ascii="Times New Roman" w:hAnsi="Times New Roman"/>
        </w:rPr>
        <w:t xml:space="preserve">. In </w:t>
      </w:r>
      <w:proofErr w:type="spellStart"/>
      <w:r w:rsidRPr="006F101C">
        <w:rPr>
          <w:rFonts w:ascii="Times New Roman" w:hAnsi="Times New Roman"/>
          <w:i/>
        </w:rPr>
        <w:t>Benbrika</w:t>
      </w:r>
      <w:proofErr w:type="spellEnd"/>
      <w:r w:rsidRPr="006F101C">
        <w:rPr>
          <w:rFonts w:ascii="Times New Roman" w:hAnsi="Times New Roman"/>
        </w:rPr>
        <w:t>, which concerned Commonwealth legislation, the standard of validity engaged was instead supplied by the principle of separation of federal judicial power from the executive and legislative powers of the Commonwealth</w:t>
      </w:r>
      <w:r w:rsidRPr="006F101C">
        <w:rPr>
          <w:rStyle w:val="FootnoteReference"/>
          <w:rFonts w:ascii="Times New Roman" w:hAnsi="Times New Roman"/>
          <w:iCs/>
          <w:sz w:val="24"/>
        </w:rPr>
        <w:footnoteReference w:id="493"/>
      </w:r>
      <w:r w:rsidRPr="006F101C">
        <w:rPr>
          <w:rFonts w:ascii="Times New Roman" w:hAnsi="Times New Roman"/>
        </w:rPr>
        <w:t xml:space="preserve">. </w:t>
      </w:r>
    </w:p>
    <w:p w14:paraId="04D102E7"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Of these decisions, </w:t>
      </w:r>
      <w:proofErr w:type="spellStart"/>
      <w:r w:rsidRPr="006F101C">
        <w:rPr>
          <w:rFonts w:ascii="Times New Roman" w:hAnsi="Times New Roman"/>
          <w:i/>
          <w:iCs/>
        </w:rPr>
        <w:t>Fardon</w:t>
      </w:r>
      <w:proofErr w:type="spellEnd"/>
      <w:r w:rsidRPr="006F101C">
        <w:rPr>
          <w:rFonts w:ascii="Times New Roman" w:hAnsi="Times New Roman"/>
        </w:rPr>
        <w:t xml:space="preserve"> is most relevant to this case. </w:t>
      </w:r>
      <w:proofErr w:type="spellStart"/>
      <w:r w:rsidRPr="006F101C">
        <w:rPr>
          <w:rFonts w:ascii="Times New Roman" w:hAnsi="Times New Roman"/>
          <w:i/>
          <w:iCs/>
        </w:rPr>
        <w:t>Fardon</w:t>
      </w:r>
      <w:proofErr w:type="spellEnd"/>
      <w:r w:rsidRPr="006F101C">
        <w:rPr>
          <w:rFonts w:ascii="Times New Roman" w:hAnsi="Times New Roman"/>
        </w:rPr>
        <w:t xml:space="preserve"> concerned the </w:t>
      </w:r>
      <w:r w:rsidRPr="006F101C">
        <w:rPr>
          <w:rFonts w:ascii="Times New Roman" w:hAnsi="Times New Roman"/>
          <w:i/>
          <w:iCs/>
        </w:rPr>
        <w:t>Dangerous Prisoners (Sexual Offenders) Act 2003</w:t>
      </w:r>
      <w:r w:rsidRPr="006F101C">
        <w:rPr>
          <w:rFonts w:ascii="Times New Roman" w:hAnsi="Times New Roman"/>
        </w:rPr>
        <w:t xml:space="preserve"> (Qld) ("the DPSO Act"). The appellant did not challenge the correctness of </w:t>
      </w:r>
      <w:proofErr w:type="spellStart"/>
      <w:r w:rsidRPr="00903001">
        <w:rPr>
          <w:rFonts w:ascii="Times New Roman" w:hAnsi="Times New Roman"/>
          <w:i/>
          <w:iCs/>
        </w:rPr>
        <w:t>Fardon</w:t>
      </w:r>
      <w:proofErr w:type="spellEnd"/>
      <w:r w:rsidRPr="006F101C">
        <w:rPr>
          <w:rFonts w:ascii="Times New Roman" w:hAnsi="Times New Roman"/>
        </w:rPr>
        <w:t xml:space="preserve"> (or any other decision in which this Court has found legislation providing for preventive orders to be valid). Instead, the appellant contends that, unlike the </w:t>
      </w:r>
      <w:r w:rsidRPr="006F101C">
        <w:rPr>
          <w:rFonts w:ascii="Times New Roman" w:hAnsi="Times New Roman"/>
          <w:iCs/>
        </w:rPr>
        <w:t>DPSO Act,</w:t>
      </w:r>
      <w:r w:rsidRPr="006F101C">
        <w:rPr>
          <w:rFonts w:ascii="Times New Roman" w:hAnsi="Times New Roman"/>
        </w:rPr>
        <w:t xml:space="preserve"> the </w:t>
      </w:r>
      <w:proofErr w:type="gramStart"/>
      <w:r w:rsidRPr="00903001">
        <w:rPr>
          <w:rFonts w:ascii="Times New Roman" w:hAnsi="Times New Roman"/>
          <w:i/>
          <w:iCs/>
        </w:rPr>
        <w:t>High Risk</w:t>
      </w:r>
      <w:proofErr w:type="gramEnd"/>
      <w:r w:rsidRPr="00903001">
        <w:rPr>
          <w:rFonts w:ascii="Times New Roman" w:hAnsi="Times New Roman"/>
          <w:i/>
          <w:iCs/>
        </w:rPr>
        <w:t xml:space="preserve"> Serious Offenders Act 2020</w:t>
      </w:r>
      <w:r w:rsidRPr="006F101C">
        <w:rPr>
          <w:rFonts w:ascii="Times New Roman" w:hAnsi="Times New Roman"/>
        </w:rPr>
        <w:t xml:space="preserve"> </w:t>
      </w:r>
      <w:r w:rsidRPr="006F101C">
        <w:rPr>
          <w:rFonts w:ascii="Times New Roman" w:hAnsi="Times New Roman"/>
          <w:iCs/>
        </w:rPr>
        <w:t>(WA) ("the HRSO Act")</w:t>
      </w:r>
      <w:r w:rsidRPr="006F101C">
        <w:rPr>
          <w:rFonts w:ascii="Times New Roman" w:hAnsi="Times New Roman"/>
        </w:rPr>
        <w:t xml:space="preserve"> offends the </w:t>
      </w:r>
      <w:r w:rsidRPr="00903001">
        <w:rPr>
          <w:rFonts w:ascii="Times New Roman" w:hAnsi="Times New Roman"/>
          <w:i/>
          <w:iCs/>
        </w:rPr>
        <w:t xml:space="preserve">Kable </w:t>
      </w:r>
      <w:r w:rsidRPr="006F101C">
        <w:rPr>
          <w:rFonts w:ascii="Times New Roman" w:hAnsi="Times New Roman"/>
        </w:rPr>
        <w:t xml:space="preserve">principle insofar as the </w:t>
      </w:r>
      <w:r w:rsidRPr="006F101C">
        <w:rPr>
          <w:rFonts w:ascii="Times New Roman" w:hAnsi="Times New Roman"/>
          <w:iCs/>
        </w:rPr>
        <w:t>HRSO Act</w:t>
      </w:r>
      <w:r w:rsidRPr="006F101C">
        <w:rPr>
          <w:rFonts w:ascii="Times New Roman" w:hAnsi="Times New Roman"/>
        </w:rPr>
        <w:t xml:space="preserve"> applies to a person who has been convicted of robbery.</w:t>
      </w:r>
    </w:p>
    <w:p w14:paraId="61690F5D"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It was recognised in </w:t>
      </w:r>
      <w:proofErr w:type="spellStart"/>
      <w:r w:rsidRPr="00903001">
        <w:rPr>
          <w:rFonts w:ascii="Times New Roman" w:hAnsi="Times New Roman"/>
          <w:i/>
          <w:iCs/>
        </w:rPr>
        <w:t>Fardon</w:t>
      </w:r>
      <w:proofErr w:type="spellEnd"/>
      <w:r w:rsidRPr="006F101C">
        <w:rPr>
          <w:rFonts w:ascii="Times New Roman" w:hAnsi="Times New Roman"/>
        </w:rPr>
        <w:t xml:space="preserve"> that the DPSO Act raised "[s]</w:t>
      </w:r>
      <w:proofErr w:type="spellStart"/>
      <w:r w:rsidRPr="006F101C">
        <w:rPr>
          <w:rFonts w:ascii="Times New Roman" w:hAnsi="Times New Roman"/>
        </w:rPr>
        <w:t>ubstantial</w:t>
      </w:r>
      <w:proofErr w:type="spellEnd"/>
      <w:r w:rsidRPr="006F101C">
        <w:rPr>
          <w:rFonts w:ascii="Times New Roman" w:hAnsi="Times New Roman"/>
        </w:rPr>
        <w:t xml:space="preserve"> questions of civil liberty" and "difficult questions involving the reconciliation of </w:t>
      </w:r>
      <w:r w:rsidRPr="006F101C">
        <w:rPr>
          <w:rFonts w:ascii="Times New Roman" w:hAnsi="Times New Roman"/>
        </w:rPr>
        <w:lastRenderedPageBreak/>
        <w:t>rights to liberty and concerns for the protection of the community"</w:t>
      </w:r>
      <w:r w:rsidRPr="006F101C">
        <w:rPr>
          <w:rStyle w:val="FootnoteReference"/>
          <w:rFonts w:ascii="Times New Roman" w:hAnsi="Times New Roman"/>
          <w:sz w:val="24"/>
        </w:rPr>
        <w:footnoteReference w:id="494"/>
      </w:r>
      <w:r w:rsidRPr="006F101C">
        <w:rPr>
          <w:rFonts w:ascii="Times New Roman" w:hAnsi="Times New Roman"/>
        </w:rPr>
        <w:t xml:space="preserve">. Those questions are magnified in relation to the HRSO Act to the extent that the Act has the potential to apply to more offenders and may operate to protect the community from a wider array of harms. </w:t>
      </w:r>
    </w:p>
    <w:p w14:paraId="167F4C83"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The present case may demonstrate the harsh potential of the HRSO Act: </w:t>
      </w:r>
      <w:proofErr w:type="gramStart"/>
      <w:r w:rsidRPr="006F101C">
        <w:rPr>
          <w:rFonts w:ascii="Times New Roman" w:hAnsi="Times New Roman"/>
        </w:rPr>
        <w:t>the</w:t>
      </w:r>
      <w:proofErr w:type="gramEnd"/>
      <w:r w:rsidRPr="006F101C">
        <w:rPr>
          <w:rFonts w:ascii="Times New Roman" w:hAnsi="Times New Roman"/>
        </w:rPr>
        <w:t xml:space="preserve"> State of Western Australia sought a continuing detention order from the Supreme Court of Western Australia ("WASC")</w:t>
      </w:r>
      <w:r w:rsidRPr="006F101C">
        <w:rPr>
          <w:rStyle w:val="FootnoteReference"/>
          <w:rFonts w:ascii="Times New Roman" w:hAnsi="Times New Roman"/>
          <w:sz w:val="24"/>
        </w:rPr>
        <w:footnoteReference w:id="495"/>
      </w:r>
      <w:r w:rsidRPr="006F101C">
        <w:rPr>
          <w:rFonts w:ascii="Times New Roman" w:hAnsi="Times New Roman"/>
        </w:rPr>
        <w:t xml:space="preserve"> in respect of a young offender who has spent little of his adolescent and adult life outside of prison. His most recent imprisonment followed a conviction for aggravated armed robbery involving threats of violence but no physical violence, and no weapon but a pretence of being armed with a handgun. However, as it turned out, no continuing detention order was made. Prior to the hearing of the application, the State advised the Court that the State would seek only a supervision order</w:t>
      </w:r>
      <w:r w:rsidRPr="006F101C">
        <w:rPr>
          <w:rStyle w:val="FootnoteReference"/>
          <w:rFonts w:ascii="Times New Roman" w:hAnsi="Times New Roman"/>
          <w:sz w:val="24"/>
        </w:rPr>
        <w:footnoteReference w:id="496"/>
      </w:r>
      <w:r w:rsidRPr="006F101C">
        <w:rPr>
          <w:rFonts w:ascii="Times New Roman" w:hAnsi="Times New Roman"/>
        </w:rPr>
        <w:t xml:space="preserve">, and, ultimately, the State's application was refused. The appellant was not considered to have a propensity to commit any particular "serious offence" as defined in the HRSO Act. Rather, the Court's conclusion was that the appellant </w:t>
      </w:r>
      <w:proofErr w:type="gramStart"/>
      <w:r w:rsidRPr="006F101C">
        <w:rPr>
          <w:rFonts w:ascii="Times New Roman" w:hAnsi="Times New Roman"/>
        </w:rPr>
        <w:t>had a tendency to</w:t>
      </w:r>
      <w:proofErr w:type="gramEnd"/>
      <w:r w:rsidRPr="006F101C">
        <w:rPr>
          <w:rFonts w:ascii="Times New Roman" w:hAnsi="Times New Roman"/>
        </w:rPr>
        <w:t xml:space="preserve"> commit offences more generally, particularly when in antisocial company and when under the influence of illicit substances.</w:t>
      </w:r>
    </w:p>
    <w:p w14:paraId="2CA6FC62"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In any event, and as in </w:t>
      </w:r>
      <w:proofErr w:type="spellStart"/>
      <w:r w:rsidRPr="00D819B0">
        <w:rPr>
          <w:rFonts w:ascii="Times New Roman" w:hAnsi="Times New Roman"/>
          <w:i/>
          <w:iCs/>
        </w:rPr>
        <w:t>Fardon</w:t>
      </w:r>
      <w:proofErr w:type="spellEnd"/>
      <w:r w:rsidRPr="006F101C">
        <w:rPr>
          <w:rFonts w:ascii="Times New Roman" w:hAnsi="Times New Roman"/>
          <w:iCs/>
        </w:rPr>
        <w:t>,</w:t>
      </w:r>
      <w:r w:rsidRPr="006F101C">
        <w:rPr>
          <w:rFonts w:ascii="Times New Roman" w:hAnsi="Times New Roman"/>
        </w:rPr>
        <w:t xml:space="preserve"> this case may not be decided upon the basis of concerns about the legislative policy of preventive detention as provided for in the State legislation under challenge. The appellant argued that the case raises for consideration whether the regime in the HRSO Act, designed to protect the community, might render preventive detention so commonplace that its application by the WASC is offensive to the Court's institutional integrity. Put another way, does the HRSO Act provide for so much preventive detention that its application should be impugned as a "grossly unjudicial chore"</w:t>
      </w:r>
      <w:r w:rsidRPr="006F101C">
        <w:rPr>
          <w:rStyle w:val="FootnoteReference"/>
          <w:rFonts w:ascii="Times New Roman" w:hAnsi="Times New Roman"/>
          <w:sz w:val="24"/>
        </w:rPr>
        <w:footnoteReference w:id="497"/>
      </w:r>
      <w:r w:rsidRPr="006F101C">
        <w:rPr>
          <w:rFonts w:ascii="Times New Roman" w:hAnsi="Times New Roman"/>
        </w:rPr>
        <w:t xml:space="preserve">? The Court's capacity to address broad questions of this kind meaningfully is limited: its task is confined to </w:t>
      </w:r>
      <w:r w:rsidRPr="006F101C">
        <w:rPr>
          <w:rFonts w:ascii="Times New Roman" w:hAnsi="Times New Roman"/>
        </w:rPr>
        <w:lastRenderedPageBreak/>
        <w:t>determining the narrow issue of the validity of the HRSO Act in its application to a person who is under a custodial sentence for robbery.</w:t>
      </w:r>
    </w:p>
    <w:p w14:paraId="1D2CF752"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I agree with the plurality that the function of the WASC under the HRSO Act in its application to the offence of robbery is materially indistinguishable from the function conferred upon the Supreme Court of Queensland ("QSC") by the DPSO Act. Accordingly, the appellant's challenge to the validity of the HRSO Act must fail. I generally agree with their Honours' reasons that the Act is not offensive to the institutional integrity of the WASC but add the following observations.</w:t>
      </w:r>
    </w:p>
    <w:p w14:paraId="6118D5B6" w14:textId="77777777" w:rsidR="00E3198A" w:rsidRPr="006F101C" w:rsidRDefault="00E3198A" w:rsidP="006F101C">
      <w:pPr>
        <w:pStyle w:val="HeadingL1"/>
        <w:spacing w:after="260" w:line="280" w:lineRule="exact"/>
        <w:ind w:right="0"/>
        <w:jc w:val="both"/>
        <w:rPr>
          <w:rFonts w:ascii="Times New Roman" w:hAnsi="Times New Roman"/>
        </w:rPr>
      </w:pPr>
      <w:r w:rsidRPr="006F101C">
        <w:rPr>
          <w:rFonts w:ascii="Times New Roman" w:hAnsi="Times New Roman"/>
        </w:rPr>
        <w:t>State power to make laws for involuntary detention by the state</w:t>
      </w:r>
    </w:p>
    <w:p w14:paraId="10CB878E"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Despite early criticisms</w:t>
      </w:r>
      <w:r w:rsidRPr="006F101C">
        <w:rPr>
          <w:rStyle w:val="FootnoteReference"/>
          <w:rFonts w:ascii="Times New Roman" w:hAnsi="Times New Roman"/>
          <w:sz w:val="24"/>
        </w:rPr>
        <w:footnoteReference w:id="498"/>
      </w:r>
      <w:r w:rsidRPr="006F101C">
        <w:rPr>
          <w:rFonts w:ascii="Times New Roman" w:hAnsi="Times New Roman"/>
        </w:rPr>
        <w:t xml:space="preserve">, the statement referred to in </w:t>
      </w:r>
      <w:proofErr w:type="spellStart"/>
      <w:r w:rsidRPr="006F101C">
        <w:rPr>
          <w:rFonts w:ascii="Times New Roman" w:hAnsi="Times New Roman"/>
          <w:i/>
        </w:rPr>
        <w:t>Benbrika</w:t>
      </w:r>
      <w:proofErr w:type="spellEnd"/>
      <w:r w:rsidRPr="006F101C">
        <w:rPr>
          <w:rFonts w:ascii="Times New Roman" w:hAnsi="Times New Roman"/>
          <w:i/>
        </w:rPr>
        <w:t xml:space="preserve"> </w:t>
      </w:r>
      <w:r w:rsidRPr="006F101C">
        <w:rPr>
          <w:rFonts w:ascii="Times New Roman" w:hAnsi="Times New Roman"/>
        </w:rPr>
        <w:t>by the plurality as the "</w:t>
      </w:r>
      <w:r w:rsidRPr="006F101C">
        <w:rPr>
          <w:rFonts w:ascii="Times New Roman" w:hAnsi="Times New Roman"/>
          <w:i/>
        </w:rPr>
        <w:t xml:space="preserve">Lim </w:t>
      </w:r>
      <w:r w:rsidRPr="006F101C">
        <w:rPr>
          <w:rFonts w:ascii="Times New Roman" w:hAnsi="Times New Roman"/>
        </w:rPr>
        <w:t>principle"</w:t>
      </w:r>
      <w:r w:rsidRPr="006F101C">
        <w:rPr>
          <w:rStyle w:val="FootnoteReference"/>
          <w:rFonts w:ascii="Times New Roman" w:hAnsi="Times New Roman"/>
          <w:sz w:val="24"/>
        </w:rPr>
        <w:footnoteReference w:id="499"/>
      </w:r>
      <w:r w:rsidRPr="006F101C">
        <w:rPr>
          <w:rFonts w:ascii="Times New Roman" w:hAnsi="Times New Roman"/>
        </w:rPr>
        <w:t xml:space="preserve"> and by </w:t>
      </w:r>
      <w:proofErr w:type="spellStart"/>
      <w:r w:rsidRPr="006F101C">
        <w:rPr>
          <w:rFonts w:ascii="Times New Roman" w:hAnsi="Times New Roman"/>
        </w:rPr>
        <w:t>Gageler</w:t>
      </w:r>
      <w:proofErr w:type="spellEnd"/>
      <w:r w:rsidRPr="006F101C">
        <w:rPr>
          <w:rFonts w:ascii="Times New Roman" w:hAnsi="Times New Roman"/>
        </w:rPr>
        <w:t> J in the present proceeding as the "</w:t>
      </w:r>
      <w:r w:rsidRPr="006F101C">
        <w:rPr>
          <w:rFonts w:ascii="Times New Roman" w:hAnsi="Times New Roman"/>
          <w:i/>
        </w:rPr>
        <w:t xml:space="preserve">Lim </w:t>
      </w:r>
      <w:r w:rsidRPr="006F101C">
        <w:rPr>
          <w:rFonts w:ascii="Times New Roman" w:hAnsi="Times New Roman"/>
        </w:rPr>
        <w:t>observation"</w:t>
      </w:r>
      <w:r w:rsidRPr="006F101C">
        <w:rPr>
          <w:rStyle w:val="FootnoteReference"/>
          <w:rFonts w:ascii="Times New Roman" w:hAnsi="Times New Roman"/>
          <w:sz w:val="24"/>
        </w:rPr>
        <w:footnoteReference w:id="500"/>
      </w:r>
      <w:r w:rsidRPr="006F101C">
        <w:rPr>
          <w:rFonts w:ascii="Times New Roman" w:hAnsi="Times New Roman"/>
        </w:rPr>
        <w:t xml:space="preserve">, namely that, exceptional cases aside, "the involuntary detention of a citizen in custody by the </w:t>
      </w:r>
      <w:r>
        <w:rPr>
          <w:rFonts w:ascii="Times New Roman" w:hAnsi="Times New Roman"/>
        </w:rPr>
        <w:t>[s]</w:t>
      </w:r>
      <w:proofErr w:type="spellStart"/>
      <w:r w:rsidRPr="006F101C">
        <w:rPr>
          <w:rFonts w:ascii="Times New Roman" w:hAnsi="Times New Roman"/>
        </w:rPr>
        <w:t>tate</w:t>
      </w:r>
      <w:proofErr w:type="spellEnd"/>
      <w:r w:rsidRPr="006F101C">
        <w:rPr>
          <w:rFonts w:ascii="Times New Roman" w:hAnsi="Times New Roman"/>
        </w:rPr>
        <w:t xml:space="preserve"> is penal or punitive in character and, under our system of government, exists only as an incident of the exclusively judicial function of adjudging and punishing criminal guilt"</w:t>
      </w:r>
      <w:r w:rsidRPr="006F101C">
        <w:rPr>
          <w:rStyle w:val="FootnoteReference"/>
          <w:rFonts w:ascii="Times New Roman" w:hAnsi="Times New Roman"/>
          <w:sz w:val="24"/>
        </w:rPr>
        <w:footnoteReference w:id="501"/>
      </w:r>
      <w:r w:rsidRPr="006F101C">
        <w:rPr>
          <w:rFonts w:ascii="Times New Roman" w:hAnsi="Times New Roman"/>
        </w:rPr>
        <w:t>, is now well accepted as a statement of a constitutional limit upon Commonwealth legislative power</w:t>
      </w:r>
      <w:r w:rsidRPr="006F101C">
        <w:rPr>
          <w:rStyle w:val="FootnoteReference"/>
          <w:rFonts w:ascii="Times New Roman" w:hAnsi="Times New Roman"/>
          <w:sz w:val="24"/>
        </w:rPr>
        <w:footnoteReference w:id="502"/>
      </w:r>
      <w:r w:rsidRPr="006F101C">
        <w:rPr>
          <w:rFonts w:ascii="Times New Roman" w:hAnsi="Times New Roman"/>
        </w:rPr>
        <w:t xml:space="preserve">. In </w:t>
      </w:r>
      <w:proofErr w:type="spellStart"/>
      <w:r w:rsidRPr="006F101C">
        <w:rPr>
          <w:rFonts w:ascii="Times New Roman" w:hAnsi="Times New Roman"/>
          <w:i/>
        </w:rPr>
        <w:t>Benbrika</w:t>
      </w:r>
      <w:proofErr w:type="spellEnd"/>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the plurality considered that a preventive detention regime imposed by Commonwealth legislation was valid as an exception to the "</w:t>
      </w:r>
      <w:r w:rsidRPr="006F101C">
        <w:rPr>
          <w:rFonts w:ascii="Times New Roman" w:hAnsi="Times New Roman"/>
          <w:i/>
        </w:rPr>
        <w:t xml:space="preserve">Lim </w:t>
      </w:r>
      <w:r w:rsidRPr="006F101C">
        <w:rPr>
          <w:rFonts w:ascii="Times New Roman" w:hAnsi="Times New Roman"/>
        </w:rPr>
        <w:t>principle"</w:t>
      </w:r>
      <w:r w:rsidRPr="006F101C">
        <w:rPr>
          <w:rStyle w:val="FootnoteReference"/>
          <w:rFonts w:ascii="Times New Roman" w:hAnsi="Times New Roman"/>
          <w:sz w:val="24"/>
        </w:rPr>
        <w:footnoteReference w:id="503"/>
      </w:r>
      <w:r w:rsidRPr="006F101C">
        <w:rPr>
          <w:rFonts w:ascii="Times New Roman" w:hAnsi="Times New Roman"/>
        </w:rPr>
        <w:t xml:space="preserve">. Noting that the decision in </w:t>
      </w:r>
      <w:r w:rsidRPr="006F101C">
        <w:rPr>
          <w:rFonts w:ascii="Times New Roman" w:hAnsi="Times New Roman"/>
          <w:i/>
        </w:rPr>
        <w:t xml:space="preserve">Lim </w:t>
      </w:r>
      <w:r w:rsidRPr="006F101C">
        <w:rPr>
          <w:rFonts w:ascii="Times New Roman" w:hAnsi="Times New Roman"/>
        </w:rPr>
        <w:t xml:space="preserve">itself illustrated that the categories of exceptional cases of legal non-punitive detention are not closed, the plurality in </w:t>
      </w:r>
      <w:proofErr w:type="spellStart"/>
      <w:r w:rsidRPr="006F101C">
        <w:rPr>
          <w:rFonts w:ascii="Times New Roman" w:hAnsi="Times New Roman"/>
          <w:i/>
        </w:rPr>
        <w:t>Benbrika</w:t>
      </w:r>
      <w:proofErr w:type="spellEnd"/>
      <w:r w:rsidRPr="006F101C">
        <w:rPr>
          <w:rFonts w:ascii="Times New Roman" w:hAnsi="Times New Roman"/>
          <w:i/>
        </w:rPr>
        <w:t xml:space="preserve"> </w:t>
      </w:r>
      <w:r w:rsidRPr="006F101C">
        <w:rPr>
          <w:rFonts w:ascii="Times New Roman" w:hAnsi="Times New Roman"/>
        </w:rPr>
        <w:t xml:space="preserve">did not accept that the exceptions were either confined by history or insusceptible of analogical development. For their Honours, it was the protective purpose of the relevant legislation that qualified the judicial power conferred by </w:t>
      </w:r>
      <w:r w:rsidRPr="006F101C">
        <w:rPr>
          <w:rFonts w:ascii="Times New Roman" w:hAnsi="Times New Roman"/>
        </w:rPr>
        <w:lastRenderedPageBreak/>
        <w:t>the legislation as "an exception to a principle that is recognised under our system of government as a safeguard on liberty"</w:t>
      </w:r>
      <w:r w:rsidRPr="006F101C">
        <w:rPr>
          <w:rStyle w:val="FootnoteReference"/>
          <w:rFonts w:ascii="Times New Roman" w:hAnsi="Times New Roman"/>
          <w:sz w:val="24"/>
        </w:rPr>
        <w:footnoteReference w:id="504"/>
      </w:r>
      <w:r w:rsidRPr="006F101C">
        <w:rPr>
          <w:rFonts w:ascii="Times New Roman" w:hAnsi="Times New Roman"/>
        </w:rPr>
        <w:t xml:space="preserve">. </w:t>
      </w:r>
    </w:p>
    <w:p w14:paraId="6B1BFD4B"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It has been suggested that the </w:t>
      </w:r>
      <w:r w:rsidRPr="006F101C">
        <w:rPr>
          <w:rFonts w:ascii="Times New Roman" w:hAnsi="Times New Roman"/>
          <w:i/>
        </w:rPr>
        <w:t xml:space="preserve">Lim </w:t>
      </w:r>
      <w:r w:rsidRPr="006F101C">
        <w:rPr>
          <w:rFonts w:ascii="Times New Roman" w:hAnsi="Times New Roman"/>
        </w:rPr>
        <w:t xml:space="preserve">principle operates as a limit upon the legislative power of the States, as a principle that identifies functions that are incompatible with the institutional integrity of a State court that is the concern of the </w:t>
      </w:r>
      <w:r w:rsidRPr="006F101C">
        <w:rPr>
          <w:rFonts w:ascii="Times New Roman" w:hAnsi="Times New Roman"/>
          <w:i/>
        </w:rPr>
        <w:t xml:space="preserve">Kable </w:t>
      </w:r>
      <w:r w:rsidRPr="006F101C">
        <w:rPr>
          <w:rFonts w:ascii="Times New Roman" w:hAnsi="Times New Roman"/>
        </w:rPr>
        <w:t xml:space="preserve">principle. In the absence of a challenge to </w:t>
      </w:r>
      <w:proofErr w:type="spellStart"/>
      <w:r w:rsidRPr="006F101C">
        <w:rPr>
          <w:rFonts w:ascii="Times New Roman" w:hAnsi="Times New Roman"/>
          <w:i/>
        </w:rPr>
        <w:t>Fardon</w:t>
      </w:r>
      <w:proofErr w:type="spellEnd"/>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 xml:space="preserve">the question was not fully argued. It would be a significant step to conclude that the </w:t>
      </w:r>
      <w:r w:rsidRPr="006F101C">
        <w:rPr>
          <w:rFonts w:ascii="Times New Roman" w:hAnsi="Times New Roman"/>
          <w:i/>
        </w:rPr>
        <w:t xml:space="preserve">Lim </w:t>
      </w:r>
      <w:r w:rsidRPr="006F101C">
        <w:rPr>
          <w:rFonts w:ascii="Times New Roman" w:hAnsi="Times New Roman"/>
        </w:rPr>
        <w:t xml:space="preserve">principle operates as an additional constraint on State (and Territory) legislative power, over and above the </w:t>
      </w:r>
      <w:r w:rsidRPr="006F101C">
        <w:rPr>
          <w:rFonts w:ascii="Times New Roman" w:hAnsi="Times New Roman"/>
          <w:i/>
        </w:rPr>
        <w:t xml:space="preserve">Kable </w:t>
      </w:r>
      <w:r w:rsidRPr="006F101C">
        <w:rPr>
          <w:rFonts w:ascii="Times New Roman" w:hAnsi="Times New Roman"/>
        </w:rPr>
        <w:t>principle.</w:t>
      </w:r>
    </w:p>
    <w:p w14:paraId="2BD1149E"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There can be no doubt that the generally penal or punitive character of involuntary detention of a citizen (or any person) in custody does not depend upon whether "the [s]</w:t>
      </w:r>
      <w:proofErr w:type="spellStart"/>
      <w:r w:rsidRPr="006F101C">
        <w:rPr>
          <w:rFonts w:ascii="Times New Roman" w:hAnsi="Times New Roman"/>
        </w:rPr>
        <w:t>tate</w:t>
      </w:r>
      <w:proofErr w:type="spellEnd"/>
      <w:r w:rsidRPr="006F101C">
        <w:rPr>
          <w:rFonts w:ascii="Times New Roman" w:hAnsi="Times New Roman"/>
        </w:rPr>
        <w:t>"</w:t>
      </w:r>
      <w:r w:rsidRPr="006F101C">
        <w:rPr>
          <w:rStyle w:val="FootnoteReference"/>
          <w:rFonts w:ascii="Times New Roman" w:hAnsi="Times New Roman"/>
          <w:sz w:val="24"/>
        </w:rPr>
        <w:footnoteReference w:id="505"/>
      </w:r>
      <w:r w:rsidRPr="006F101C">
        <w:rPr>
          <w:rFonts w:ascii="Times New Roman" w:hAnsi="Times New Roman"/>
        </w:rPr>
        <w:t xml:space="preserve"> effecting the detention is the Commonwealth, or an Australian State or Territory. Further, at least as a matter of empirical fact, it is the norm throughout Australia that involuntary detention exists only as an incident of the exercise of judicial power to adjudge and punish criminal guilt. However, the </w:t>
      </w:r>
      <w:r w:rsidRPr="006F101C">
        <w:rPr>
          <w:rFonts w:ascii="Times New Roman" w:hAnsi="Times New Roman"/>
          <w:i/>
          <w:iCs/>
        </w:rPr>
        <w:t xml:space="preserve">Lim </w:t>
      </w:r>
      <w:r w:rsidRPr="006F101C">
        <w:rPr>
          <w:rFonts w:ascii="Times New Roman" w:hAnsi="Times New Roman"/>
        </w:rPr>
        <w:t>principle was articulated as a constitutive part of the doctrine of the separation of Commonwealth judicial power</w:t>
      </w:r>
      <w:r w:rsidRPr="006F101C">
        <w:rPr>
          <w:rStyle w:val="FootnoteReference"/>
          <w:rFonts w:ascii="Times New Roman" w:hAnsi="Times New Roman"/>
          <w:sz w:val="24"/>
        </w:rPr>
        <w:footnoteReference w:id="506"/>
      </w:r>
      <w:r w:rsidRPr="006F101C">
        <w:rPr>
          <w:rFonts w:ascii="Times New Roman" w:hAnsi="Times New Roman"/>
        </w:rPr>
        <w:t xml:space="preserve">, not as a doctrine about the nature of Ch III courts or the characteristics of Ch III courts that are essential to the institutional integrity of those courts, and not in answer to a question about the scope of State legislative power. </w:t>
      </w:r>
    </w:p>
    <w:p w14:paraId="0F10BA4F"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This Court in </w:t>
      </w:r>
      <w:proofErr w:type="spellStart"/>
      <w:r w:rsidRPr="006F101C">
        <w:rPr>
          <w:rFonts w:ascii="Times New Roman" w:hAnsi="Times New Roman"/>
          <w:i/>
        </w:rPr>
        <w:t>Fardon</w:t>
      </w:r>
      <w:proofErr w:type="spellEnd"/>
      <w:r w:rsidRPr="006F101C">
        <w:rPr>
          <w:rFonts w:ascii="Times New Roman" w:hAnsi="Times New Roman"/>
          <w:i/>
        </w:rPr>
        <w:t xml:space="preserve"> </w:t>
      </w:r>
      <w:r w:rsidRPr="006F101C">
        <w:rPr>
          <w:rFonts w:ascii="Times New Roman" w:hAnsi="Times New Roman"/>
        </w:rPr>
        <w:t xml:space="preserve">did not treat the </w:t>
      </w:r>
      <w:r w:rsidRPr="006F101C">
        <w:rPr>
          <w:rFonts w:ascii="Times New Roman" w:hAnsi="Times New Roman"/>
          <w:i/>
        </w:rPr>
        <w:t xml:space="preserve">Lim </w:t>
      </w:r>
      <w:r w:rsidRPr="006F101C">
        <w:rPr>
          <w:rFonts w:ascii="Times New Roman" w:hAnsi="Times New Roman"/>
        </w:rPr>
        <w:t xml:space="preserve">principle as relevant to the constitutional validity of the DPSO Act, despite an argument (made by the Attorney-General for the Commonwealth) that the DPSO Act would have been valid if enacted as Commonwealth legislation (thereby testing the Act against the </w:t>
      </w:r>
      <w:r w:rsidRPr="006F101C">
        <w:rPr>
          <w:rFonts w:ascii="Times New Roman" w:hAnsi="Times New Roman"/>
          <w:i/>
        </w:rPr>
        <w:t xml:space="preserve">Lim </w:t>
      </w:r>
      <w:r w:rsidRPr="006F101C">
        <w:rPr>
          <w:rFonts w:ascii="Times New Roman" w:hAnsi="Times New Roman"/>
        </w:rPr>
        <w:t>principle) and despite an argument (made by the appellant in that case) that the Act was invalid as a Bill of Pains and Penalties, because it inflicted punishment without a judicial trial</w:t>
      </w:r>
      <w:r w:rsidRPr="006F101C">
        <w:rPr>
          <w:rStyle w:val="FootnoteReference"/>
          <w:rFonts w:ascii="Times New Roman" w:hAnsi="Times New Roman"/>
          <w:sz w:val="24"/>
        </w:rPr>
        <w:footnoteReference w:id="507"/>
      </w:r>
      <w:r w:rsidRPr="006F101C">
        <w:rPr>
          <w:rFonts w:ascii="Times New Roman" w:hAnsi="Times New Roman"/>
        </w:rPr>
        <w:t>.</w:t>
      </w:r>
    </w:p>
    <w:p w14:paraId="0FC81210"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Rather, the majority Justices focussed squarely on whether the DPSO Act impaired the institutional integrity of the QSC in terms of its independence and impartiality. In this regard, the judgments are consistent with the well-established separation between the </w:t>
      </w:r>
      <w:r w:rsidRPr="006F101C">
        <w:rPr>
          <w:rFonts w:ascii="Times New Roman" w:hAnsi="Times New Roman"/>
          <w:i/>
          <w:iCs/>
        </w:rPr>
        <w:t xml:space="preserve">Kable </w:t>
      </w:r>
      <w:r w:rsidRPr="006F101C">
        <w:rPr>
          <w:rFonts w:ascii="Times New Roman" w:hAnsi="Times New Roman"/>
        </w:rPr>
        <w:t xml:space="preserve">principle (which relevantly defines limits upon State </w:t>
      </w:r>
      <w:r w:rsidRPr="006F101C">
        <w:rPr>
          <w:rFonts w:ascii="Times New Roman" w:hAnsi="Times New Roman"/>
        </w:rPr>
        <w:lastRenderedPageBreak/>
        <w:t>legislative power) and the doctrine of the separation of Commonwealth judicial power (which relevantly limits Commonwealth legislative power)</w:t>
      </w:r>
      <w:r w:rsidRPr="006F101C">
        <w:rPr>
          <w:rStyle w:val="FootnoteReference"/>
          <w:rFonts w:ascii="Times New Roman" w:hAnsi="Times New Roman"/>
          <w:sz w:val="24"/>
        </w:rPr>
        <w:footnoteReference w:id="508"/>
      </w:r>
      <w:r w:rsidRPr="006F101C">
        <w:rPr>
          <w:rFonts w:ascii="Times New Roman" w:hAnsi="Times New Roman"/>
        </w:rPr>
        <w:t xml:space="preserve">. </w:t>
      </w:r>
    </w:p>
    <w:p w14:paraId="0969AD7B"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The common conclusion of the majority Justices in </w:t>
      </w:r>
      <w:proofErr w:type="spellStart"/>
      <w:r w:rsidRPr="006F101C">
        <w:rPr>
          <w:rFonts w:ascii="Times New Roman" w:hAnsi="Times New Roman"/>
          <w:i/>
        </w:rPr>
        <w:t>Fardon</w:t>
      </w:r>
      <w:proofErr w:type="spellEnd"/>
      <w:r w:rsidRPr="006F101C">
        <w:rPr>
          <w:rFonts w:ascii="Times New Roman" w:hAnsi="Times New Roman"/>
          <w:i/>
        </w:rPr>
        <w:t xml:space="preserve"> </w:t>
      </w:r>
      <w:r w:rsidRPr="006F101C">
        <w:rPr>
          <w:rFonts w:ascii="Times New Roman" w:hAnsi="Times New Roman"/>
        </w:rPr>
        <w:t xml:space="preserve">was that the DPSO Act did not impair the institutional integrity of the QSC, and so did not transgress limits imposed by Ch III of the </w:t>
      </w:r>
      <w:r w:rsidRPr="006F101C">
        <w:rPr>
          <w:rFonts w:ascii="Times New Roman" w:hAnsi="Times New Roman"/>
          <w:i/>
          <w:iCs/>
        </w:rPr>
        <w:t>Constitution</w:t>
      </w:r>
      <w:r w:rsidRPr="006F101C">
        <w:rPr>
          <w:rFonts w:ascii="Times New Roman" w:hAnsi="Times New Roman"/>
        </w:rPr>
        <w:t xml:space="preserve">. Further, while it is true to say that the legislation in </w:t>
      </w:r>
      <w:proofErr w:type="spellStart"/>
      <w:r w:rsidRPr="006F101C">
        <w:rPr>
          <w:rFonts w:ascii="Times New Roman" w:hAnsi="Times New Roman"/>
          <w:i/>
        </w:rPr>
        <w:t>Fardon</w:t>
      </w:r>
      <w:proofErr w:type="spellEnd"/>
      <w:r w:rsidRPr="006F101C">
        <w:rPr>
          <w:rFonts w:ascii="Times New Roman" w:hAnsi="Times New Roman"/>
          <w:i/>
        </w:rPr>
        <w:t xml:space="preserve"> </w:t>
      </w:r>
      <w:r w:rsidRPr="006F101C">
        <w:rPr>
          <w:rFonts w:ascii="Times New Roman" w:hAnsi="Times New Roman"/>
        </w:rPr>
        <w:t xml:space="preserve">was directed to a particular class of sexual offender, none of the majority Justices in </w:t>
      </w:r>
      <w:proofErr w:type="spellStart"/>
      <w:r w:rsidRPr="006F101C">
        <w:rPr>
          <w:rFonts w:ascii="Times New Roman" w:hAnsi="Times New Roman"/>
          <w:i/>
        </w:rPr>
        <w:t>Fardon</w:t>
      </w:r>
      <w:proofErr w:type="spellEnd"/>
      <w:r w:rsidRPr="006F101C">
        <w:rPr>
          <w:rFonts w:ascii="Times New Roman" w:hAnsi="Times New Roman"/>
          <w:i/>
        </w:rPr>
        <w:t xml:space="preserve"> </w:t>
      </w:r>
      <w:r w:rsidRPr="006F101C">
        <w:rPr>
          <w:rFonts w:ascii="Times New Roman" w:hAnsi="Times New Roman"/>
        </w:rPr>
        <w:t>reasoned by reference to the special nature of sexual offences, or the exceptional character of the DPSO Act as a scheme tailored to address specific community fears about sexual crimes, or its limited operation, because the legislation was directed to what might be thought to be a very small number of offenders. Nor did their Honours focus attention upon the nature of the risk assessment that the QSC was required to undertake, beyond observing that it involved an evaluative exercise that the Court was well equipped to undertake</w:t>
      </w:r>
      <w:r w:rsidRPr="006F101C">
        <w:rPr>
          <w:rStyle w:val="FootnoteReference"/>
          <w:rFonts w:ascii="Times New Roman" w:hAnsi="Times New Roman"/>
          <w:sz w:val="24"/>
        </w:rPr>
        <w:footnoteReference w:id="509"/>
      </w:r>
      <w:r w:rsidRPr="006F101C">
        <w:rPr>
          <w:rFonts w:ascii="Times New Roman" w:hAnsi="Times New Roman"/>
        </w:rPr>
        <w:t>. Their Honours did not express concerns about the "borrowing of judicial services to do the work of the legislature or the executive"</w:t>
      </w:r>
      <w:r w:rsidRPr="006F101C">
        <w:rPr>
          <w:rStyle w:val="FootnoteReference"/>
          <w:rFonts w:ascii="Times New Roman" w:hAnsi="Times New Roman"/>
          <w:sz w:val="24"/>
        </w:rPr>
        <w:footnoteReference w:id="510"/>
      </w:r>
      <w:r w:rsidRPr="006F101C">
        <w:rPr>
          <w:rFonts w:ascii="Times New Roman" w:hAnsi="Times New Roman"/>
        </w:rPr>
        <w:t>, or about the potential "blur[ring]" of institutional boundaries</w:t>
      </w:r>
      <w:r w:rsidRPr="006F101C">
        <w:rPr>
          <w:rStyle w:val="FootnoteReference"/>
          <w:rFonts w:ascii="Times New Roman" w:hAnsi="Times New Roman"/>
          <w:sz w:val="24"/>
        </w:rPr>
        <w:footnoteReference w:id="511"/>
      </w:r>
      <w:r w:rsidRPr="006F101C">
        <w:rPr>
          <w:rFonts w:ascii="Times New Roman" w:hAnsi="Times New Roman"/>
        </w:rPr>
        <w:t>.</w:t>
      </w:r>
    </w:p>
    <w:p w14:paraId="36310DF8"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Although not explicitly addressed to the application of the </w:t>
      </w:r>
      <w:r w:rsidRPr="006F101C">
        <w:rPr>
          <w:rFonts w:ascii="Times New Roman" w:hAnsi="Times New Roman"/>
          <w:i/>
        </w:rPr>
        <w:t xml:space="preserve">Lim </w:t>
      </w:r>
      <w:r w:rsidRPr="006F101C">
        <w:rPr>
          <w:rFonts w:ascii="Times New Roman" w:hAnsi="Times New Roman"/>
        </w:rPr>
        <w:t xml:space="preserve">principle, there are several passages in the majority judgments in </w:t>
      </w:r>
      <w:proofErr w:type="spellStart"/>
      <w:r w:rsidRPr="006F101C">
        <w:rPr>
          <w:rFonts w:ascii="Times New Roman" w:hAnsi="Times New Roman"/>
          <w:i/>
        </w:rPr>
        <w:t>Fardon</w:t>
      </w:r>
      <w:proofErr w:type="spellEnd"/>
      <w:r w:rsidRPr="006F101C">
        <w:rPr>
          <w:rFonts w:ascii="Times New Roman" w:hAnsi="Times New Roman"/>
        </w:rPr>
        <w:t xml:space="preserve"> that are inconsistent with the </w:t>
      </w:r>
      <w:r w:rsidRPr="006F101C">
        <w:rPr>
          <w:rFonts w:ascii="Times New Roman" w:hAnsi="Times New Roman"/>
          <w:i/>
        </w:rPr>
        <w:t xml:space="preserve">Lim </w:t>
      </w:r>
      <w:r w:rsidRPr="006F101C">
        <w:rPr>
          <w:rFonts w:ascii="Times New Roman" w:hAnsi="Times New Roman"/>
        </w:rPr>
        <w:t xml:space="preserve">principle as a test for whether State legislation offends the institutional integrity of a </w:t>
      </w:r>
      <w:proofErr w:type="gramStart"/>
      <w:r w:rsidRPr="006F101C">
        <w:rPr>
          <w:rFonts w:ascii="Times New Roman" w:hAnsi="Times New Roman"/>
        </w:rPr>
        <w:t>State</w:t>
      </w:r>
      <w:proofErr w:type="gramEnd"/>
      <w:r w:rsidRPr="006F101C">
        <w:rPr>
          <w:rFonts w:ascii="Times New Roman" w:hAnsi="Times New Roman"/>
        </w:rPr>
        <w:t xml:space="preserve"> court.</w:t>
      </w:r>
    </w:p>
    <w:p w14:paraId="12F1A51C"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Gleeson CJ perceived "the case of the prisoner who represents </w:t>
      </w:r>
      <w:proofErr w:type="gramStart"/>
      <w:r w:rsidRPr="006F101C">
        <w:rPr>
          <w:rFonts w:ascii="Times New Roman" w:hAnsi="Times New Roman"/>
        </w:rPr>
        <w:t>a serious danger</w:t>
      </w:r>
      <w:proofErr w:type="gramEnd"/>
      <w:r w:rsidRPr="006F101C">
        <w:rPr>
          <w:rFonts w:ascii="Times New Roman" w:hAnsi="Times New Roman"/>
        </w:rPr>
        <w:t xml:space="preserve"> to the community upon release" as an "almost intractable problem" for the criminal justice system, but one which may warrant a legislative response which considers "the protection of the safety of citizens in light of the rights and freedoms accepted as fundamental in our society"</w:t>
      </w:r>
      <w:r w:rsidRPr="006F101C">
        <w:rPr>
          <w:rStyle w:val="FootnoteReference"/>
          <w:rFonts w:ascii="Times New Roman" w:hAnsi="Times New Roman"/>
          <w:sz w:val="24"/>
        </w:rPr>
        <w:footnoteReference w:id="512"/>
      </w:r>
      <w:r w:rsidRPr="006F101C">
        <w:rPr>
          <w:rFonts w:ascii="Times New Roman" w:hAnsi="Times New Roman"/>
        </w:rPr>
        <w:t xml:space="preserve">. The Chief Justice cited, with apparent approval, Deane J's observation in </w:t>
      </w:r>
      <w:r w:rsidRPr="006F101C">
        <w:rPr>
          <w:rFonts w:ascii="Times New Roman" w:hAnsi="Times New Roman"/>
          <w:i/>
        </w:rPr>
        <w:t xml:space="preserve">Veen v The Queen [No 2] </w:t>
      </w:r>
      <w:r w:rsidRPr="006F101C">
        <w:rPr>
          <w:rFonts w:ascii="Times New Roman" w:hAnsi="Times New Roman"/>
        </w:rPr>
        <w:t>that</w:t>
      </w:r>
      <w:r w:rsidRPr="006F101C">
        <w:rPr>
          <w:rStyle w:val="FootnoteReference"/>
          <w:rFonts w:ascii="Times New Roman" w:hAnsi="Times New Roman"/>
          <w:bCs/>
          <w:sz w:val="24"/>
          <w:szCs w:val="28"/>
        </w:rPr>
        <w:footnoteReference w:id="513"/>
      </w:r>
      <w:r w:rsidRPr="006F101C">
        <w:rPr>
          <w:rFonts w:ascii="Times New Roman" w:hAnsi="Times New Roman"/>
        </w:rPr>
        <w:t>:</w:t>
      </w:r>
    </w:p>
    <w:p w14:paraId="5B57D79F" w14:textId="77777777" w:rsidR="00E3198A" w:rsidRDefault="00E3198A" w:rsidP="006F101C">
      <w:pPr>
        <w:pStyle w:val="LeftrightHanging"/>
        <w:tabs>
          <w:tab w:val="clear" w:pos="1440"/>
          <w:tab w:val="left" w:pos="1560"/>
        </w:tabs>
        <w:spacing w:before="0" w:after="260" w:line="280" w:lineRule="exact"/>
        <w:ind w:left="709" w:right="0" w:hanging="22"/>
        <w:jc w:val="both"/>
        <w:rPr>
          <w:rFonts w:ascii="Times New Roman" w:hAnsi="Times New Roman"/>
        </w:rPr>
      </w:pPr>
      <w:r w:rsidRPr="006F101C">
        <w:rPr>
          <w:rFonts w:ascii="Times New Roman" w:hAnsi="Times New Roman"/>
        </w:rPr>
        <w:lastRenderedPageBreak/>
        <w:t xml:space="preserve">"[T]he protection of the community obviously warrants the introduction of some acceptable statutory system of preventive restraint to deal with the case of a person who has been convicted of violent crime and who, while not legally insane, might represent a grave threat to the safety of other people by reason of mental abnormality if he were to be released as a matter of course at the end of what represents a proper punitive sentence". </w:t>
      </w:r>
    </w:p>
    <w:p w14:paraId="53F7CE4B"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After referring to various aspects of the legislation, including that it did not confer functions which were "incompatible" with the proper discharge of judicial responsibilities or with the exercise of judicial power</w:t>
      </w:r>
      <w:r w:rsidRPr="006F101C">
        <w:rPr>
          <w:rStyle w:val="FootnoteReference"/>
          <w:rFonts w:ascii="Times New Roman" w:hAnsi="Times New Roman"/>
          <w:sz w:val="24"/>
        </w:rPr>
        <w:footnoteReference w:id="514"/>
      </w:r>
      <w:r w:rsidRPr="006F101C">
        <w:rPr>
          <w:rFonts w:ascii="Times New Roman" w:hAnsi="Times New Roman"/>
        </w:rPr>
        <w:t>, the Chief Justice suggested that, by conferring the relevant powers upon the QSC, "the Queensland Parliament was attempting to ensure that the powers would be exercised independently, impartially and judicially"</w:t>
      </w:r>
      <w:r w:rsidRPr="006F101C">
        <w:rPr>
          <w:rStyle w:val="FootnoteReference"/>
          <w:rFonts w:ascii="Times New Roman" w:hAnsi="Times New Roman"/>
          <w:sz w:val="24"/>
        </w:rPr>
        <w:footnoteReference w:id="515"/>
      </w:r>
      <w:r w:rsidRPr="006F101C">
        <w:rPr>
          <w:rFonts w:ascii="Times New Roman" w:hAnsi="Times New Roman"/>
        </w:rPr>
        <w:t xml:space="preserve">. </w:t>
      </w:r>
    </w:p>
    <w:p w14:paraId="64B203C9"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McHugh J, who considered the functions conferred upon the QSC to involve the exercise of judicial power</w:t>
      </w:r>
      <w:r w:rsidRPr="006F101C">
        <w:rPr>
          <w:rStyle w:val="FootnoteReference"/>
          <w:rFonts w:ascii="Times New Roman" w:hAnsi="Times New Roman"/>
          <w:sz w:val="24"/>
        </w:rPr>
        <w:footnoteReference w:id="516"/>
      </w:r>
      <w:r w:rsidRPr="006F101C">
        <w:rPr>
          <w:rFonts w:ascii="Times New Roman" w:hAnsi="Times New Roman"/>
        </w:rPr>
        <w:t xml:space="preserve">, stated that it would be a "serious constitutional mistake" to think that either </w:t>
      </w:r>
      <w:r w:rsidRPr="006F101C">
        <w:rPr>
          <w:rFonts w:ascii="Times New Roman" w:hAnsi="Times New Roman"/>
          <w:i/>
        </w:rPr>
        <w:t xml:space="preserve">Kable </w:t>
      </w:r>
      <w:r w:rsidRPr="006F101C">
        <w:rPr>
          <w:rFonts w:ascii="Times New Roman" w:hAnsi="Times New Roman"/>
        </w:rPr>
        <w:t xml:space="preserve">or the </w:t>
      </w:r>
      <w:r w:rsidRPr="006F101C">
        <w:rPr>
          <w:rFonts w:ascii="Times New Roman" w:hAnsi="Times New Roman"/>
          <w:i/>
        </w:rPr>
        <w:t>Constitution</w:t>
      </w:r>
      <w:r w:rsidRPr="006F101C">
        <w:rPr>
          <w:rFonts w:ascii="Times New Roman" w:hAnsi="Times New Roman"/>
        </w:rPr>
        <w:t xml:space="preserve"> assimilates State courts or their judges and officers with federal courts or their judges and officers. Rather, his Honour said: "Chapter III of the </w:t>
      </w:r>
      <w:r w:rsidRPr="006F101C">
        <w:rPr>
          <w:rFonts w:ascii="Times New Roman" w:hAnsi="Times New Roman"/>
          <w:i/>
          <w:iCs/>
        </w:rPr>
        <w:t>Constitution</w:t>
      </w:r>
      <w:r w:rsidRPr="006F101C">
        <w:rPr>
          <w:rFonts w:ascii="Times New Roman" w:hAnsi="Times New Roman"/>
        </w:rPr>
        <w:t>, which provides for the exercise of federal judicial power, invalidates State legislation that purports to invest jurisdiction and powers in State courts only in very limited circumstances"</w:t>
      </w:r>
      <w:r w:rsidRPr="006F101C">
        <w:rPr>
          <w:rStyle w:val="FootnoteReference"/>
          <w:rFonts w:ascii="Times New Roman" w:hAnsi="Times New Roman"/>
          <w:sz w:val="24"/>
        </w:rPr>
        <w:footnoteReference w:id="517"/>
      </w:r>
      <w:r w:rsidRPr="006F101C">
        <w:rPr>
          <w:rFonts w:ascii="Times New Roman" w:hAnsi="Times New Roman"/>
        </w:rPr>
        <w:t xml:space="preserve">. Subject to the </w:t>
      </w:r>
      <w:r w:rsidRPr="006F101C">
        <w:rPr>
          <w:rFonts w:ascii="Times New Roman" w:hAnsi="Times New Roman"/>
          <w:i/>
        </w:rPr>
        <w:t xml:space="preserve">Kable </w:t>
      </w:r>
      <w:r w:rsidRPr="006F101C">
        <w:rPr>
          <w:rFonts w:ascii="Times New Roman" w:hAnsi="Times New Roman"/>
        </w:rPr>
        <w:t>principle, "when the federal Parliament invests State courts with federal jurisdiction, it must take them as it finds them"</w:t>
      </w:r>
      <w:r w:rsidRPr="006F101C">
        <w:rPr>
          <w:rStyle w:val="FootnoteReference"/>
          <w:rFonts w:ascii="Times New Roman" w:hAnsi="Times New Roman"/>
          <w:sz w:val="24"/>
        </w:rPr>
        <w:footnoteReference w:id="518"/>
      </w:r>
      <w:r w:rsidRPr="006F101C">
        <w:rPr>
          <w:rFonts w:ascii="Times New Roman" w:hAnsi="Times New Roman"/>
        </w:rPr>
        <w:t xml:space="preserve">. Further, McHugh J considered, State legislative power to make laws "for the peace welfare and good government" of the State is "as plenary as that of the Imperial Parliament" and would authorise a law requiring "breaches of the criminal law to be determined by non-judicial tribunals", that is, in a manner inconsistent with the </w:t>
      </w:r>
      <w:r w:rsidRPr="006F101C">
        <w:rPr>
          <w:rFonts w:ascii="Times New Roman" w:hAnsi="Times New Roman"/>
          <w:i/>
        </w:rPr>
        <w:t xml:space="preserve">Lim </w:t>
      </w:r>
      <w:r w:rsidRPr="006F101C">
        <w:rPr>
          <w:rFonts w:ascii="Times New Roman" w:hAnsi="Times New Roman"/>
        </w:rPr>
        <w:t>principle</w:t>
      </w:r>
      <w:r w:rsidRPr="006F101C">
        <w:rPr>
          <w:rStyle w:val="FootnoteReference"/>
          <w:rFonts w:ascii="Times New Roman" w:hAnsi="Times New Roman"/>
          <w:sz w:val="24"/>
        </w:rPr>
        <w:footnoteReference w:id="519"/>
      </w:r>
      <w:r w:rsidRPr="006F101C">
        <w:rPr>
          <w:rFonts w:ascii="Times New Roman" w:hAnsi="Times New Roman"/>
        </w:rPr>
        <w:t>. His Honour concluded that</w:t>
      </w:r>
      <w:r w:rsidRPr="006F101C">
        <w:rPr>
          <w:rStyle w:val="FootnoteReference"/>
          <w:rFonts w:ascii="Times New Roman" w:hAnsi="Times New Roman"/>
          <w:sz w:val="24"/>
        </w:rPr>
        <w:footnoteReference w:id="520"/>
      </w:r>
      <w:r w:rsidRPr="006F101C">
        <w:rPr>
          <w:rFonts w:ascii="Times New Roman" w:hAnsi="Times New Roman"/>
        </w:rPr>
        <w:t>:</w:t>
      </w:r>
    </w:p>
    <w:p w14:paraId="1C482F7B" w14:textId="77777777" w:rsidR="00E3198A" w:rsidRDefault="00E3198A" w:rsidP="006F101C">
      <w:pPr>
        <w:pStyle w:val="LeftrightHanging"/>
        <w:tabs>
          <w:tab w:val="clear" w:pos="1440"/>
          <w:tab w:val="left" w:pos="1701"/>
        </w:tabs>
        <w:spacing w:before="0" w:after="260" w:line="280" w:lineRule="exact"/>
        <w:ind w:left="709" w:right="0" w:firstLine="0"/>
        <w:jc w:val="both"/>
        <w:rPr>
          <w:rFonts w:ascii="Times New Roman" w:hAnsi="Times New Roman"/>
        </w:rPr>
      </w:pPr>
      <w:r w:rsidRPr="006F101C">
        <w:rPr>
          <w:rFonts w:ascii="Times New Roman" w:hAnsi="Times New Roman"/>
        </w:rPr>
        <w:tab/>
        <w:t xml:space="preserve">"The bare fact that particular State legislation invests a </w:t>
      </w:r>
      <w:proofErr w:type="gramStart"/>
      <w:r w:rsidRPr="006F101C">
        <w:rPr>
          <w:rFonts w:ascii="Times New Roman" w:hAnsi="Times New Roman"/>
        </w:rPr>
        <w:t>State</w:t>
      </w:r>
      <w:proofErr w:type="gramEnd"/>
      <w:r w:rsidRPr="006F101C">
        <w:rPr>
          <w:rFonts w:ascii="Times New Roman" w:hAnsi="Times New Roman"/>
        </w:rPr>
        <w:t xml:space="preserve"> court with powers that are or jurisdiction that is repugnant to the traditional judicial process will seldom, if ever, compromise the institutional integrity of that </w:t>
      </w:r>
      <w:r w:rsidRPr="006F101C">
        <w:rPr>
          <w:rFonts w:ascii="Times New Roman" w:hAnsi="Times New Roman"/>
        </w:rPr>
        <w:lastRenderedPageBreak/>
        <w:t>court to the extent that it affects that court's capacity to exercise federal jurisdiction impartially and according to federal law. ...</w:t>
      </w:r>
      <w:r>
        <w:rPr>
          <w:rFonts w:ascii="Times New Roman" w:hAnsi="Times New Roman"/>
        </w:rPr>
        <w:t xml:space="preserve"> </w:t>
      </w:r>
      <w:r w:rsidRPr="006F101C">
        <w:rPr>
          <w:rFonts w:ascii="Times New Roman" w:hAnsi="Times New Roman"/>
        </w:rPr>
        <w:t xml:space="preserve">State legislation may require State courts to exercise powers and take away substantive rights on grounds that judges think </w:t>
      </w:r>
      <w:proofErr w:type="gramStart"/>
      <w:r w:rsidRPr="006F101C">
        <w:rPr>
          <w:rFonts w:ascii="Times New Roman" w:hAnsi="Times New Roman"/>
        </w:rPr>
        <w:t>are</w:t>
      </w:r>
      <w:proofErr w:type="gramEnd"/>
      <w:r w:rsidRPr="006F101C">
        <w:rPr>
          <w:rFonts w:ascii="Times New Roman" w:hAnsi="Times New Roman"/>
        </w:rPr>
        <w:t xml:space="preserve"> foolish, unwise or even patently unjust. Nevertheless, it does not follow that, because State legislation requires State courts to make orders that could not be countenanced in a society with a Bill of Rights, the institutional integrity of those courts is compromised."</w:t>
      </w:r>
    </w:p>
    <w:p w14:paraId="18524605"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r>
      <w:proofErr w:type="spellStart"/>
      <w:r w:rsidRPr="006F101C">
        <w:rPr>
          <w:rFonts w:ascii="Times New Roman" w:hAnsi="Times New Roman"/>
        </w:rPr>
        <w:t>Gummow</w:t>
      </w:r>
      <w:proofErr w:type="spellEnd"/>
      <w:r w:rsidRPr="006F101C">
        <w:rPr>
          <w:rFonts w:ascii="Times New Roman" w:hAnsi="Times New Roman"/>
        </w:rPr>
        <w:t xml:space="preserve"> J was the only Justice to address the argument that the DPSO Act could have been validly enacted as Commonwealth law. His Honour rejected that argument but, in doing so, reformulated the </w:t>
      </w:r>
      <w:r w:rsidRPr="006F101C">
        <w:rPr>
          <w:rFonts w:ascii="Times New Roman" w:hAnsi="Times New Roman"/>
          <w:i/>
        </w:rPr>
        <w:t xml:space="preserve">Lim </w:t>
      </w:r>
      <w:r w:rsidRPr="006F101C">
        <w:rPr>
          <w:rFonts w:ascii="Times New Roman" w:hAnsi="Times New Roman"/>
        </w:rPr>
        <w:t>principle in terms that, "the 'exceptional cases' aside, the involuntary detention of a citizen in custody by the [s]</w:t>
      </w:r>
      <w:proofErr w:type="spellStart"/>
      <w:r w:rsidRPr="006F101C">
        <w:rPr>
          <w:rFonts w:ascii="Times New Roman" w:hAnsi="Times New Roman"/>
        </w:rPr>
        <w:t>tate</w:t>
      </w:r>
      <w:proofErr w:type="spellEnd"/>
      <w:r w:rsidRPr="006F101C">
        <w:rPr>
          <w:rFonts w:ascii="Times New Roman" w:hAnsi="Times New Roman"/>
        </w:rPr>
        <w:t xml:space="preserve"> is permissible only as a consequential step in the adjudication of criminal guilt of that citizen for past acts"</w:t>
      </w:r>
      <w:r w:rsidRPr="006F101C">
        <w:rPr>
          <w:rStyle w:val="FootnoteReference"/>
          <w:rFonts w:ascii="Times New Roman" w:hAnsi="Times New Roman"/>
          <w:sz w:val="24"/>
        </w:rPr>
        <w:footnoteReference w:id="521"/>
      </w:r>
      <w:r w:rsidRPr="006F101C">
        <w:rPr>
          <w:rFonts w:ascii="Times New Roman" w:hAnsi="Times New Roman"/>
        </w:rPr>
        <w:t xml:space="preserve">. As his Honour put it, "[t]he </w:t>
      </w:r>
      <w:proofErr w:type="gramStart"/>
      <w:r w:rsidRPr="006F101C">
        <w:rPr>
          <w:rFonts w:ascii="Times New Roman" w:hAnsi="Times New Roman"/>
        </w:rPr>
        <w:t>vice</w:t>
      </w:r>
      <w:proofErr w:type="gramEnd"/>
      <w:r w:rsidRPr="006F101C">
        <w:rPr>
          <w:rFonts w:ascii="Times New Roman" w:hAnsi="Times New Roman"/>
        </w:rPr>
        <w:t xml:space="preserve"> for a Ch III court and for the federal laws postulated ... would be in the nature of the outcome, not the means by which it was obtained"</w:t>
      </w:r>
      <w:r w:rsidRPr="006F101C">
        <w:rPr>
          <w:rStyle w:val="FootnoteReference"/>
          <w:rFonts w:ascii="Times New Roman" w:hAnsi="Times New Roman"/>
          <w:sz w:val="24"/>
        </w:rPr>
        <w:footnoteReference w:id="522"/>
      </w:r>
      <w:r w:rsidRPr="006F101C">
        <w:rPr>
          <w:rFonts w:ascii="Times New Roman" w:hAnsi="Times New Roman"/>
        </w:rPr>
        <w:t>.</w:t>
      </w:r>
    </w:p>
    <w:p w14:paraId="2754FA78"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Notably, </w:t>
      </w:r>
      <w:proofErr w:type="spellStart"/>
      <w:r w:rsidRPr="006F101C">
        <w:rPr>
          <w:rFonts w:ascii="Times New Roman" w:hAnsi="Times New Roman"/>
        </w:rPr>
        <w:t>Gummow</w:t>
      </w:r>
      <w:proofErr w:type="spellEnd"/>
      <w:r w:rsidRPr="006F101C">
        <w:rPr>
          <w:rFonts w:ascii="Times New Roman" w:hAnsi="Times New Roman"/>
        </w:rPr>
        <w:t xml:space="preserve"> J did not extrapolate from this reformulation to a conclusion that the DPSO Act was invalid. His Honour (with Hayne J here agreeing) considered that the application of the </w:t>
      </w:r>
      <w:r w:rsidRPr="006F101C">
        <w:rPr>
          <w:rFonts w:ascii="Times New Roman" w:hAnsi="Times New Roman"/>
          <w:i/>
        </w:rPr>
        <w:t xml:space="preserve">Kable </w:t>
      </w:r>
      <w:r w:rsidRPr="006F101C">
        <w:rPr>
          <w:rFonts w:ascii="Times New Roman" w:hAnsi="Times New Roman"/>
        </w:rPr>
        <w:t>principle focussed attention on the judicial process under the impugned legislation and whether elements of that process "may ameliorate what otherwise would be the sapping of the institutional integrity of the Supreme Court"</w:t>
      </w:r>
      <w:r w:rsidRPr="006F101C">
        <w:rPr>
          <w:rStyle w:val="FootnoteReference"/>
          <w:rFonts w:ascii="Times New Roman" w:hAnsi="Times New Roman"/>
          <w:sz w:val="24"/>
        </w:rPr>
        <w:footnoteReference w:id="523"/>
      </w:r>
      <w:r w:rsidRPr="006F101C">
        <w:rPr>
          <w:rFonts w:ascii="Times New Roman" w:hAnsi="Times New Roman"/>
        </w:rPr>
        <w:t xml:space="preserve">. </w:t>
      </w:r>
      <w:proofErr w:type="spellStart"/>
      <w:r w:rsidRPr="006F101C">
        <w:rPr>
          <w:rFonts w:ascii="Times New Roman" w:hAnsi="Times New Roman"/>
        </w:rPr>
        <w:t>Gummow</w:t>
      </w:r>
      <w:proofErr w:type="spellEnd"/>
      <w:r w:rsidRPr="006F101C">
        <w:rPr>
          <w:rFonts w:ascii="Times New Roman" w:hAnsi="Times New Roman"/>
        </w:rPr>
        <w:t> J did not express any doubt about the impact of the DPSO Act upon either the independence or the impartiality of the QSC. Ultimately, his Honour considered that the nature of the "factum" selected for the attraction of the Act (being a "prisoner"), the subjection of orders to annual "review", the judicial nature of the process with respect to applications, and the Court's independence in the performance of its functions under the Act, combined to support the conclusion that invalidity was not established</w:t>
      </w:r>
      <w:r w:rsidRPr="006F101C">
        <w:rPr>
          <w:rStyle w:val="FootnoteReference"/>
          <w:rFonts w:ascii="Times New Roman" w:hAnsi="Times New Roman"/>
          <w:sz w:val="24"/>
        </w:rPr>
        <w:footnoteReference w:id="524"/>
      </w:r>
      <w:r w:rsidRPr="006F101C">
        <w:rPr>
          <w:rFonts w:ascii="Times New Roman" w:hAnsi="Times New Roman"/>
        </w:rPr>
        <w:t xml:space="preserve">. </w:t>
      </w:r>
    </w:p>
    <w:p w14:paraId="0219A078"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Hayne J (who otherwise agreed with </w:t>
      </w:r>
      <w:proofErr w:type="spellStart"/>
      <w:r w:rsidRPr="006F101C">
        <w:rPr>
          <w:rFonts w:ascii="Times New Roman" w:hAnsi="Times New Roman"/>
        </w:rPr>
        <w:t>Gummow</w:t>
      </w:r>
      <w:proofErr w:type="spellEnd"/>
      <w:r w:rsidRPr="006F101C">
        <w:rPr>
          <w:rFonts w:ascii="Times New Roman" w:hAnsi="Times New Roman"/>
        </w:rPr>
        <w:t xml:space="preserve"> J) reserved his opinion about whether federal legislation along the lines of the DPSO Act would be invalid</w:t>
      </w:r>
      <w:r w:rsidRPr="006F101C">
        <w:rPr>
          <w:rStyle w:val="FootnoteReference"/>
          <w:rFonts w:ascii="Times New Roman" w:hAnsi="Times New Roman"/>
          <w:sz w:val="24"/>
        </w:rPr>
        <w:footnoteReference w:id="525"/>
      </w:r>
      <w:r w:rsidRPr="006F101C">
        <w:rPr>
          <w:rFonts w:ascii="Times New Roman" w:hAnsi="Times New Roman"/>
        </w:rPr>
        <w:t xml:space="preserve">. His Honour explicitly adverted to the problem that preventive detention "is at odds with identifying the central constitutional conception of detention as a </w:t>
      </w:r>
      <w:r w:rsidRPr="006F101C">
        <w:rPr>
          <w:rFonts w:ascii="Times New Roman" w:hAnsi="Times New Roman"/>
        </w:rPr>
        <w:lastRenderedPageBreak/>
        <w:t>consequence of judicial determination of engagement in past conduct"</w:t>
      </w:r>
      <w:r w:rsidRPr="006F101C">
        <w:rPr>
          <w:rStyle w:val="FootnoteReference"/>
          <w:rFonts w:ascii="Times New Roman" w:hAnsi="Times New Roman"/>
          <w:sz w:val="24"/>
        </w:rPr>
        <w:footnoteReference w:id="526"/>
      </w:r>
      <w:r w:rsidRPr="006F101C">
        <w:rPr>
          <w:rFonts w:ascii="Times New Roman" w:hAnsi="Times New Roman"/>
        </w:rPr>
        <w:t xml:space="preserve">. However, his Honour saw this as an issue about judicial power </w:t>
      </w:r>
      <w:proofErr w:type="gramStart"/>
      <w:r w:rsidRPr="006F101C">
        <w:rPr>
          <w:rFonts w:ascii="Times New Roman" w:hAnsi="Times New Roman"/>
        </w:rPr>
        <w:t>for the reason that</w:t>
      </w:r>
      <w:proofErr w:type="gramEnd"/>
      <w:r w:rsidRPr="006F101C">
        <w:rPr>
          <w:rFonts w:ascii="Times New Roman" w:hAnsi="Times New Roman"/>
        </w:rPr>
        <w:t xml:space="preserve"> legislation requiring a federal court to make an order for preventive detention "would purport to confer a non-judicial function on that court"</w:t>
      </w:r>
      <w:r w:rsidRPr="006F101C">
        <w:rPr>
          <w:rStyle w:val="FootnoteReference"/>
          <w:rFonts w:ascii="Times New Roman" w:hAnsi="Times New Roman"/>
          <w:sz w:val="24"/>
        </w:rPr>
        <w:footnoteReference w:id="527"/>
      </w:r>
      <w:r w:rsidRPr="006F101C">
        <w:rPr>
          <w:rFonts w:ascii="Times New Roman" w:hAnsi="Times New Roman"/>
        </w:rPr>
        <w:t>.</w:t>
      </w:r>
    </w:p>
    <w:p w14:paraId="2C2DCB06"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For their part, </w:t>
      </w:r>
      <w:proofErr w:type="spellStart"/>
      <w:r w:rsidRPr="006F101C">
        <w:rPr>
          <w:rFonts w:ascii="Times New Roman" w:hAnsi="Times New Roman"/>
        </w:rPr>
        <w:t>Callinan</w:t>
      </w:r>
      <w:proofErr w:type="spellEnd"/>
      <w:r w:rsidRPr="006F101C">
        <w:rPr>
          <w:rFonts w:ascii="Times New Roman" w:hAnsi="Times New Roman"/>
        </w:rPr>
        <w:t xml:space="preserve"> and </w:t>
      </w:r>
      <w:proofErr w:type="spellStart"/>
      <w:r w:rsidRPr="006F101C">
        <w:rPr>
          <w:rFonts w:ascii="Times New Roman" w:hAnsi="Times New Roman"/>
        </w:rPr>
        <w:t>Heydon</w:t>
      </w:r>
      <w:proofErr w:type="spellEnd"/>
      <w:r w:rsidRPr="006F101C">
        <w:rPr>
          <w:rFonts w:ascii="Times New Roman" w:hAnsi="Times New Roman"/>
        </w:rPr>
        <w:t xml:space="preserve"> JJ stated</w:t>
      </w:r>
      <w:r w:rsidRPr="006F101C">
        <w:rPr>
          <w:rStyle w:val="FootnoteReference"/>
          <w:rFonts w:ascii="Times New Roman" w:hAnsi="Times New Roman"/>
          <w:sz w:val="24"/>
        </w:rPr>
        <w:footnoteReference w:id="528"/>
      </w:r>
      <w:r w:rsidRPr="006F101C">
        <w:rPr>
          <w:rFonts w:ascii="Times New Roman" w:hAnsi="Times New Roman"/>
        </w:rPr>
        <w:t>:</w:t>
      </w:r>
    </w:p>
    <w:p w14:paraId="73D27E32" w14:textId="77777777" w:rsidR="00E3198A" w:rsidRDefault="00E3198A" w:rsidP="006F101C">
      <w:pPr>
        <w:pStyle w:val="LeftrightHanging"/>
        <w:tabs>
          <w:tab w:val="clear" w:pos="1440"/>
          <w:tab w:val="left" w:pos="1560"/>
        </w:tabs>
        <w:spacing w:before="0" w:after="260" w:line="280" w:lineRule="exact"/>
        <w:ind w:left="709" w:right="0" w:firstLine="0"/>
        <w:jc w:val="both"/>
        <w:rPr>
          <w:rFonts w:ascii="Times New Roman" w:hAnsi="Times New Roman"/>
        </w:rPr>
      </w:pPr>
      <w:r w:rsidRPr="006F101C">
        <w:rPr>
          <w:rFonts w:ascii="Times New Roman" w:hAnsi="Times New Roman"/>
        </w:rPr>
        <w:t xml:space="preserve">"Not everything by way of decision-making denied to a federal judge is denied to a judge of a State. So long as the State court, in applying legislation, is not called upon to act and decide, effectively as the alter ego of the legislature or the executive, so long as it is to undertake a genuine adjudicative process and so long as its integrity and independence as a court are not compromised, then the legislation in question will not infringe Ch III of the </w:t>
      </w:r>
      <w:r w:rsidRPr="006F101C">
        <w:rPr>
          <w:rFonts w:ascii="Times New Roman" w:hAnsi="Times New Roman"/>
          <w:i/>
          <w:iCs/>
        </w:rPr>
        <w:t>Constitution</w:t>
      </w:r>
      <w:r w:rsidRPr="006F101C">
        <w:rPr>
          <w:rFonts w:ascii="Times New Roman" w:hAnsi="Times New Roman"/>
        </w:rPr>
        <w:t>."</w:t>
      </w:r>
    </w:p>
    <w:p w14:paraId="6D402CE9" w14:textId="77777777" w:rsidR="00E3198A" w:rsidRPr="006F101C" w:rsidRDefault="00E3198A" w:rsidP="006F101C">
      <w:pPr>
        <w:pStyle w:val="HeadingL1"/>
        <w:spacing w:after="260" w:line="280" w:lineRule="exact"/>
        <w:ind w:right="0"/>
        <w:jc w:val="both"/>
        <w:rPr>
          <w:rFonts w:ascii="Times New Roman" w:hAnsi="Times New Roman"/>
        </w:rPr>
      </w:pPr>
      <w:r w:rsidRPr="006F101C">
        <w:rPr>
          <w:rFonts w:ascii="Times New Roman" w:hAnsi="Times New Roman"/>
        </w:rPr>
        <w:t xml:space="preserve">Significance of the </w:t>
      </w:r>
      <w:r w:rsidRPr="006F101C">
        <w:rPr>
          <w:rFonts w:ascii="Times New Roman" w:hAnsi="Times New Roman"/>
          <w:i/>
          <w:iCs/>
        </w:rPr>
        <w:t xml:space="preserve">Lim </w:t>
      </w:r>
      <w:r w:rsidRPr="006F101C">
        <w:rPr>
          <w:rFonts w:ascii="Times New Roman" w:hAnsi="Times New Roman"/>
        </w:rPr>
        <w:t xml:space="preserve">principle for the </w:t>
      </w:r>
      <w:r w:rsidRPr="006F101C">
        <w:rPr>
          <w:rFonts w:ascii="Times New Roman" w:hAnsi="Times New Roman"/>
          <w:i/>
          <w:iCs/>
        </w:rPr>
        <w:t xml:space="preserve">Kable </w:t>
      </w:r>
      <w:r w:rsidRPr="006F101C">
        <w:rPr>
          <w:rFonts w:ascii="Times New Roman" w:hAnsi="Times New Roman"/>
          <w:iCs/>
        </w:rPr>
        <w:t>principle</w:t>
      </w:r>
    </w:p>
    <w:p w14:paraId="5207E473"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Although in </w:t>
      </w:r>
      <w:proofErr w:type="spellStart"/>
      <w:r w:rsidRPr="006F101C">
        <w:rPr>
          <w:rFonts w:ascii="Times New Roman" w:hAnsi="Times New Roman"/>
          <w:i/>
        </w:rPr>
        <w:t>Fardon</w:t>
      </w:r>
      <w:proofErr w:type="spellEnd"/>
      <w:r w:rsidRPr="006F101C">
        <w:rPr>
          <w:rFonts w:ascii="Times New Roman" w:hAnsi="Times New Roman"/>
          <w:i/>
        </w:rPr>
        <w:t xml:space="preserve"> </w:t>
      </w:r>
      <w:proofErr w:type="spellStart"/>
      <w:r w:rsidRPr="006F101C">
        <w:rPr>
          <w:rFonts w:ascii="Times New Roman" w:hAnsi="Times New Roman"/>
        </w:rPr>
        <w:t>Gummow</w:t>
      </w:r>
      <w:proofErr w:type="spellEnd"/>
      <w:r w:rsidRPr="006F101C">
        <w:rPr>
          <w:rFonts w:ascii="Times New Roman" w:hAnsi="Times New Roman"/>
        </w:rPr>
        <w:t xml:space="preserve"> J noted that the </w:t>
      </w:r>
      <w:r w:rsidRPr="006F101C">
        <w:rPr>
          <w:rFonts w:ascii="Times New Roman" w:hAnsi="Times New Roman"/>
          <w:i/>
        </w:rPr>
        <w:t xml:space="preserve">Lim </w:t>
      </w:r>
      <w:r w:rsidRPr="006F101C">
        <w:rPr>
          <w:rFonts w:ascii="Times New Roman" w:hAnsi="Times New Roman"/>
        </w:rPr>
        <w:t xml:space="preserve">principle had informed several of the judgments in </w:t>
      </w:r>
      <w:r w:rsidRPr="006F101C">
        <w:rPr>
          <w:rFonts w:ascii="Times New Roman" w:hAnsi="Times New Roman"/>
          <w:i/>
        </w:rPr>
        <w:t xml:space="preserve">Kable </w:t>
      </w:r>
      <w:r w:rsidRPr="006F101C">
        <w:rPr>
          <w:rFonts w:ascii="Times New Roman" w:hAnsi="Times New Roman"/>
        </w:rPr>
        <w:t>(including his own)</w:t>
      </w:r>
      <w:r w:rsidRPr="006F101C">
        <w:rPr>
          <w:rStyle w:val="FootnoteReference"/>
          <w:rFonts w:ascii="Times New Roman" w:hAnsi="Times New Roman"/>
          <w:sz w:val="24"/>
        </w:rPr>
        <w:footnoteReference w:id="529"/>
      </w:r>
      <w:r w:rsidRPr="006F101C">
        <w:rPr>
          <w:rFonts w:ascii="Times New Roman" w:hAnsi="Times New Roman"/>
        </w:rPr>
        <w:t xml:space="preserve">, there is reason to doubt its significance for the principle stated in </w:t>
      </w:r>
      <w:r w:rsidRPr="006F101C">
        <w:rPr>
          <w:rFonts w:ascii="Times New Roman" w:hAnsi="Times New Roman"/>
          <w:i/>
        </w:rPr>
        <w:t>Kable</w:t>
      </w:r>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 xml:space="preserve">at least for the purpose of a conclusion that the </w:t>
      </w:r>
      <w:r w:rsidRPr="006F101C">
        <w:rPr>
          <w:rFonts w:ascii="Times New Roman" w:hAnsi="Times New Roman"/>
          <w:i/>
        </w:rPr>
        <w:t xml:space="preserve">Lim </w:t>
      </w:r>
      <w:r w:rsidRPr="006F101C">
        <w:rPr>
          <w:rFonts w:ascii="Times New Roman" w:hAnsi="Times New Roman"/>
        </w:rPr>
        <w:t xml:space="preserve">principle is germane to the institutional integrity of a </w:t>
      </w:r>
      <w:proofErr w:type="gramStart"/>
      <w:r w:rsidRPr="006F101C">
        <w:rPr>
          <w:rFonts w:ascii="Times New Roman" w:hAnsi="Times New Roman"/>
        </w:rPr>
        <w:t>State</w:t>
      </w:r>
      <w:proofErr w:type="gramEnd"/>
      <w:r w:rsidRPr="006F101C">
        <w:rPr>
          <w:rFonts w:ascii="Times New Roman" w:hAnsi="Times New Roman"/>
        </w:rPr>
        <w:t xml:space="preserve"> court</w:t>
      </w:r>
      <w:r w:rsidRPr="006F101C">
        <w:rPr>
          <w:rFonts w:ascii="Times New Roman" w:hAnsi="Times New Roman"/>
          <w:i/>
        </w:rPr>
        <w:t>.</w:t>
      </w:r>
      <w:r w:rsidRPr="006F101C">
        <w:rPr>
          <w:rFonts w:ascii="Times New Roman" w:hAnsi="Times New Roman"/>
        </w:rPr>
        <w:t xml:space="preserve"> In </w:t>
      </w:r>
      <w:r w:rsidRPr="006F101C">
        <w:rPr>
          <w:rFonts w:ascii="Times New Roman" w:hAnsi="Times New Roman"/>
          <w:i/>
          <w:iCs/>
        </w:rPr>
        <w:t>Kable</w:t>
      </w:r>
      <w:r w:rsidRPr="006F101C">
        <w:rPr>
          <w:rFonts w:ascii="Times New Roman" w:hAnsi="Times New Roman"/>
        </w:rPr>
        <w:t xml:space="preserve">, his Honour considered that the requirement of the </w:t>
      </w:r>
      <w:r w:rsidRPr="006F101C">
        <w:rPr>
          <w:rFonts w:ascii="Times New Roman" w:hAnsi="Times New Roman"/>
          <w:i/>
        </w:rPr>
        <w:t>Community Protection Act 1994</w:t>
      </w:r>
      <w:r w:rsidRPr="006F101C">
        <w:rPr>
          <w:rFonts w:ascii="Times New Roman" w:hAnsi="Times New Roman"/>
        </w:rPr>
        <w:t xml:space="preserve"> (NSW) ("the NSW Act") that the Supreme Court of New South Wales ("NSWSC") "inflict punishment without any anterior finding of criminal guilt by application of the law to past events, being the facts as found" was "repugnant to judicial process"</w:t>
      </w:r>
      <w:r w:rsidRPr="006F101C">
        <w:rPr>
          <w:rStyle w:val="FootnoteReference"/>
          <w:rFonts w:ascii="Times New Roman" w:hAnsi="Times New Roman"/>
          <w:sz w:val="24"/>
        </w:rPr>
        <w:footnoteReference w:id="530"/>
      </w:r>
      <w:r w:rsidRPr="006F101C">
        <w:rPr>
          <w:rFonts w:ascii="Times New Roman" w:hAnsi="Times New Roman"/>
        </w:rPr>
        <w:t>. However, his Honour was alone in apparently treating that feature of the NSW Act as a sufficient basis for the challenged legislation's incompatibility with the institutional integrity of the NSWSC</w:t>
      </w:r>
      <w:r w:rsidRPr="006F101C">
        <w:rPr>
          <w:rStyle w:val="FootnoteReference"/>
          <w:rFonts w:ascii="Times New Roman" w:hAnsi="Times New Roman"/>
          <w:iCs/>
          <w:sz w:val="24"/>
        </w:rPr>
        <w:footnoteReference w:id="531"/>
      </w:r>
      <w:r w:rsidRPr="006F101C">
        <w:rPr>
          <w:rFonts w:ascii="Times New Roman" w:hAnsi="Times New Roman"/>
          <w:iCs/>
        </w:rPr>
        <w:t xml:space="preserve">. </w:t>
      </w:r>
    </w:p>
    <w:p w14:paraId="13D3E8B8"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The other Justice who referred explicitly to the </w:t>
      </w:r>
      <w:r w:rsidRPr="006F101C">
        <w:rPr>
          <w:rFonts w:ascii="Times New Roman" w:hAnsi="Times New Roman"/>
          <w:i/>
        </w:rPr>
        <w:t xml:space="preserve">Lim </w:t>
      </w:r>
      <w:r w:rsidRPr="006F101C">
        <w:rPr>
          <w:rFonts w:ascii="Times New Roman" w:hAnsi="Times New Roman"/>
        </w:rPr>
        <w:t xml:space="preserve">principle in </w:t>
      </w:r>
      <w:r w:rsidRPr="006F101C">
        <w:rPr>
          <w:rFonts w:ascii="Times New Roman" w:hAnsi="Times New Roman"/>
          <w:i/>
        </w:rPr>
        <w:t xml:space="preserve">Kable </w:t>
      </w:r>
      <w:r w:rsidRPr="006F101C">
        <w:rPr>
          <w:rFonts w:ascii="Times New Roman" w:hAnsi="Times New Roman"/>
        </w:rPr>
        <w:t xml:space="preserve">was Toohey J, but his Honour reasoned materially differently by rejecting the NSW Act, including because preventive detention under the Act: was not an incident of the exclusively judicial function of adjudging and punishing criminal guilt; was </w:t>
      </w:r>
      <w:r w:rsidRPr="006F101C">
        <w:rPr>
          <w:rFonts w:ascii="Times New Roman" w:hAnsi="Times New Roman"/>
        </w:rPr>
        <w:lastRenderedPageBreak/>
        <w:t xml:space="preserve">not part of a system of preventive detention with appropriate safeguards, consequent upon or ancillary to the adjudication of guilt; and did not fall within the "exceptional cases" mentioned in </w:t>
      </w:r>
      <w:r w:rsidRPr="006F101C">
        <w:rPr>
          <w:rFonts w:ascii="Times New Roman" w:hAnsi="Times New Roman"/>
          <w:i/>
        </w:rPr>
        <w:t>Lim</w:t>
      </w:r>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directly or by analogy</w:t>
      </w:r>
      <w:r w:rsidRPr="006F101C">
        <w:rPr>
          <w:rStyle w:val="FootnoteReference"/>
          <w:rFonts w:ascii="Times New Roman" w:hAnsi="Times New Roman"/>
          <w:sz w:val="24"/>
        </w:rPr>
        <w:footnoteReference w:id="532"/>
      </w:r>
      <w:r w:rsidRPr="006F101C">
        <w:rPr>
          <w:rFonts w:ascii="Times New Roman" w:hAnsi="Times New Roman"/>
        </w:rPr>
        <w:t xml:space="preserve">. These reasons, and in particular his Honour's evident acceptance of the possibility of "appropriate safeguards", do not indicate that Toohey J would have accepted </w:t>
      </w:r>
      <w:proofErr w:type="spellStart"/>
      <w:r w:rsidRPr="006F101C">
        <w:rPr>
          <w:rFonts w:ascii="Times New Roman" w:hAnsi="Times New Roman"/>
        </w:rPr>
        <w:t>Gummow</w:t>
      </w:r>
      <w:proofErr w:type="spellEnd"/>
      <w:r w:rsidRPr="006F101C">
        <w:rPr>
          <w:rFonts w:ascii="Times New Roman" w:hAnsi="Times New Roman"/>
        </w:rPr>
        <w:t xml:space="preserve"> J's reformulation of the </w:t>
      </w:r>
      <w:r w:rsidRPr="006F101C">
        <w:rPr>
          <w:rFonts w:ascii="Times New Roman" w:hAnsi="Times New Roman"/>
          <w:i/>
        </w:rPr>
        <w:t xml:space="preserve">Lim </w:t>
      </w:r>
      <w:r w:rsidRPr="006F101C">
        <w:rPr>
          <w:rFonts w:ascii="Times New Roman" w:hAnsi="Times New Roman"/>
        </w:rPr>
        <w:t>principle without qualification.</w:t>
      </w:r>
    </w:p>
    <w:p w14:paraId="4393A59F"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r>
      <w:proofErr w:type="spellStart"/>
      <w:r w:rsidRPr="006F101C">
        <w:rPr>
          <w:rFonts w:ascii="Times New Roman" w:hAnsi="Times New Roman"/>
        </w:rPr>
        <w:t>Gummow</w:t>
      </w:r>
      <w:proofErr w:type="spellEnd"/>
      <w:r w:rsidRPr="006F101C">
        <w:rPr>
          <w:rFonts w:ascii="Times New Roman" w:hAnsi="Times New Roman"/>
        </w:rPr>
        <w:t xml:space="preserve"> J also noted that the </w:t>
      </w:r>
      <w:r w:rsidRPr="006F101C">
        <w:rPr>
          <w:rFonts w:ascii="Times New Roman" w:hAnsi="Times New Roman"/>
          <w:i/>
        </w:rPr>
        <w:t xml:space="preserve">Lim </w:t>
      </w:r>
      <w:r w:rsidRPr="006F101C">
        <w:rPr>
          <w:rFonts w:ascii="Times New Roman" w:hAnsi="Times New Roman"/>
        </w:rPr>
        <w:t xml:space="preserve">principle was "reflected" in the reasons of </w:t>
      </w:r>
      <w:proofErr w:type="spellStart"/>
      <w:r w:rsidRPr="006F101C">
        <w:rPr>
          <w:rFonts w:ascii="Times New Roman" w:hAnsi="Times New Roman"/>
        </w:rPr>
        <w:t>Gaudron</w:t>
      </w:r>
      <w:proofErr w:type="spellEnd"/>
      <w:r w:rsidRPr="006F101C">
        <w:rPr>
          <w:rFonts w:ascii="Times New Roman" w:hAnsi="Times New Roman"/>
        </w:rPr>
        <w:t xml:space="preserve"> J and McHugh J in </w:t>
      </w:r>
      <w:r w:rsidRPr="006F101C">
        <w:rPr>
          <w:rFonts w:ascii="Times New Roman" w:hAnsi="Times New Roman"/>
          <w:i/>
          <w:iCs/>
        </w:rPr>
        <w:t>Kable</w:t>
      </w:r>
      <w:r w:rsidRPr="006F101C">
        <w:rPr>
          <w:rStyle w:val="FootnoteReference"/>
          <w:rFonts w:ascii="Times New Roman" w:hAnsi="Times New Roman"/>
          <w:sz w:val="24"/>
        </w:rPr>
        <w:footnoteReference w:id="533"/>
      </w:r>
      <w:r w:rsidRPr="006F101C">
        <w:rPr>
          <w:rFonts w:ascii="Times New Roman" w:hAnsi="Times New Roman"/>
        </w:rPr>
        <w:t xml:space="preserve">. But neither Justice can be taken to have expressed any general view that State legislation providing for court-ordered preventive detention after sentence, directed to a class of offenders and for a purpose of community protection, was likely to be invalid for repugnancy to the judicial process. While </w:t>
      </w:r>
      <w:proofErr w:type="spellStart"/>
      <w:r w:rsidRPr="006F101C">
        <w:rPr>
          <w:rFonts w:ascii="Times New Roman" w:hAnsi="Times New Roman"/>
        </w:rPr>
        <w:t>Gaudron</w:t>
      </w:r>
      <w:proofErr w:type="spellEnd"/>
      <w:r w:rsidRPr="006F101C">
        <w:rPr>
          <w:rFonts w:ascii="Times New Roman" w:hAnsi="Times New Roman"/>
        </w:rPr>
        <w:t xml:space="preserve"> J considered that the process provided for by the NSW Act was the "antithesis of the judicial process", her Honour emphasised the Act's provision for formation of an opinion as to the probability of future offending "on the basis of material which does not necessarily constitute evidence admissible in legal proceedings"</w:t>
      </w:r>
      <w:r w:rsidRPr="006F101C">
        <w:rPr>
          <w:rStyle w:val="FootnoteReference"/>
          <w:rFonts w:ascii="Times New Roman" w:hAnsi="Times New Roman"/>
          <w:sz w:val="24"/>
        </w:rPr>
        <w:footnoteReference w:id="534"/>
      </w:r>
      <w:r w:rsidRPr="006F101C">
        <w:rPr>
          <w:rFonts w:ascii="Times New Roman" w:hAnsi="Times New Roman"/>
        </w:rPr>
        <w:t xml:space="preserve">, and concluded that public confidence could not be maintained in a judicial system not predicated on equal justice </w:t>
      </w:r>
      <w:r w:rsidRPr="006F101C">
        <w:rPr>
          <w:rFonts w:ascii="Times New Roman" w:hAnsi="Times New Roman"/>
          <w:color w:val="202124"/>
          <w:shd w:val="clear" w:color="auto" w:fill="FFFFFF"/>
        </w:rPr>
        <w:t>–</w:t>
      </w:r>
      <w:r w:rsidRPr="006F101C">
        <w:rPr>
          <w:rFonts w:ascii="Times New Roman" w:hAnsi="Times New Roman"/>
          <w:color w:val="202124"/>
          <w:sz w:val="21"/>
          <w:szCs w:val="21"/>
          <w:shd w:val="clear" w:color="auto" w:fill="FFFFFF"/>
        </w:rPr>
        <w:t xml:space="preserve"> </w:t>
      </w:r>
      <w:r w:rsidRPr="006F101C">
        <w:rPr>
          <w:rFonts w:ascii="Times New Roman" w:hAnsi="Times New Roman"/>
        </w:rPr>
        <w:t xml:space="preserve">an observation directed to the </w:t>
      </w:r>
      <w:r w:rsidRPr="006F101C">
        <w:rPr>
          <w:rFonts w:ascii="Times New Roman" w:hAnsi="Times New Roman"/>
          <w:i/>
        </w:rPr>
        <w:t>ad hominem</w:t>
      </w:r>
      <w:r w:rsidRPr="006F101C">
        <w:rPr>
          <w:rFonts w:ascii="Times New Roman" w:hAnsi="Times New Roman"/>
        </w:rPr>
        <w:t xml:space="preserve"> nature of the NSW Act</w:t>
      </w:r>
      <w:r w:rsidRPr="006F101C">
        <w:rPr>
          <w:rStyle w:val="FootnoteReference"/>
          <w:rFonts w:ascii="Times New Roman" w:hAnsi="Times New Roman"/>
          <w:sz w:val="24"/>
        </w:rPr>
        <w:footnoteReference w:id="535"/>
      </w:r>
      <w:r w:rsidRPr="006F101C">
        <w:rPr>
          <w:rFonts w:ascii="Times New Roman" w:hAnsi="Times New Roman"/>
        </w:rPr>
        <w:t xml:space="preserve">. </w:t>
      </w:r>
    </w:p>
    <w:p w14:paraId="1245A93E"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In </w:t>
      </w:r>
      <w:r w:rsidRPr="006F101C">
        <w:rPr>
          <w:rFonts w:ascii="Times New Roman" w:hAnsi="Times New Roman"/>
          <w:i/>
        </w:rPr>
        <w:t xml:space="preserve">Kable, </w:t>
      </w:r>
      <w:r w:rsidRPr="006F101C">
        <w:rPr>
          <w:rFonts w:ascii="Times New Roman" w:hAnsi="Times New Roman"/>
        </w:rPr>
        <w:t>McHugh J had stated that "there is no reason to doubt the authority of the State to make general laws for preventive detention when those laws operate in accordance with the ordinary judicial processes of the State courts"</w:t>
      </w:r>
      <w:r w:rsidRPr="006F101C">
        <w:rPr>
          <w:rStyle w:val="FootnoteReference"/>
          <w:rFonts w:ascii="Times New Roman" w:hAnsi="Times New Roman"/>
          <w:sz w:val="24"/>
        </w:rPr>
        <w:footnoteReference w:id="536"/>
      </w:r>
      <w:r w:rsidRPr="006F101C">
        <w:rPr>
          <w:rFonts w:ascii="Times New Roman" w:hAnsi="Times New Roman"/>
        </w:rPr>
        <w:t xml:space="preserve">. In </w:t>
      </w:r>
      <w:proofErr w:type="spellStart"/>
      <w:r w:rsidRPr="006F101C">
        <w:rPr>
          <w:rFonts w:ascii="Times New Roman" w:hAnsi="Times New Roman"/>
          <w:i/>
        </w:rPr>
        <w:t>Fardon</w:t>
      </w:r>
      <w:proofErr w:type="spellEnd"/>
      <w:r w:rsidRPr="006F101C">
        <w:rPr>
          <w:rFonts w:ascii="Times New Roman" w:hAnsi="Times New Roman"/>
          <w:iCs/>
        </w:rPr>
        <w:t>,</w:t>
      </w:r>
      <w:r w:rsidRPr="006F101C">
        <w:rPr>
          <w:rFonts w:ascii="Times New Roman" w:hAnsi="Times New Roman"/>
          <w:i/>
        </w:rPr>
        <w:t xml:space="preserve"> </w:t>
      </w:r>
      <w:r w:rsidRPr="006F101C">
        <w:rPr>
          <w:rFonts w:ascii="Times New Roman" w:hAnsi="Times New Roman"/>
        </w:rPr>
        <w:t>McHugh J explicitly deprecated the phrase "repugnant to the judicial process" as tending to invite error</w:t>
      </w:r>
      <w:r w:rsidRPr="006F101C">
        <w:rPr>
          <w:rStyle w:val="FootnoteReference"/>
          <w:rFonts w:ascii="Times New Roman" w:hAnsi="Times New Roman"/>
          <w:sz w:val="24"/>
        </w:rPr>
        <w:footnoteReference w:id="537"/>
      </w:r>
      <w:r w:rsidRPr="006F101C">
        <w:rPr>
          <w:rFonts w:ascii="Times New Roman" w:hAnsi="Times New Roman"/>
        </w:rPr>
        <w:t xml:space="preserve">. McHugh J concluded that repugnancy to the traditional judicial process "will seldom, if ever, compromise the institutional integrity of [a </w:t>
      </w:r>
      <w:proofErr w:type="gramStart"/>
      <w:r w:rsidRPr="006F101C">
        <w:rPr>
          <w:rFonts w:ascii="Times New Roman" w:hAnsi="Times New Roman"/>
        </w:rPr>
        <w:t>State</w:t>
      </w:r>
      <w:proofErr w:type="gramEnd"/>
      <w:r w:rsidRPr="006F101C">
        <w:rPr>
          <w:rFonts w:ascii="Times New Roman" w:hAnsi="Times New Roman"/>
        </w:rPr>
        <w:t xml:space="preserve"> court] to the extent that it affects that court's capacity to exercise federal jurisdiction impartially and according to federal law"</w:t>
      </w:r>
      <w:r w:rsidRPr="006F101C">
        <w:rPr>
          <w:rStyle w:val="FootnoteReference"/>
          <w:rFonts w:ascii="Times New Roman" w:hAnsi="Times New Roman"/>
          <w:sz w:val="24"/>
        </w:rPr>
        <w:footnoteReference w:id="538"/>
      </w:r>
      <w:r w:rsidRPr="006F101C">
        <w:rPr>
          <w:rFonts w:ascii="Times New Roman" w:hAnsi="Times New Roman"/>
        </w:rPr>
        <w:t xml:space="preserve">. </w:t>
      </w:r>
    </w:p>
    <w:p w14:paraId="157A7941" w14:textId="77777777" w:rsidR="00E3198A" w:rsidRPr="006F101C" w:rsidRDefault="00E3198A" w:rsidP="006F101C">
      <w:pPr>
        <w:pStyle w:val="HeadingL1"/>
        <w:spacing w:after="260" w:line="280" w:lineRule="exact"/>
        <w:ind w:right="0"/>
        <w:jc w:val="both"/>
        <w:rPr>
          <w:rFonts w:ascii="Times New Roman" w:hAnsi="Times New Roman"/>
        </w:rPr>
      </w:pPr>
      <w:r w:rsidRPr="006F101C">
        <w:rPr>
          <w:rFonts w:ascii="Times New Roman" w:hAnsi="Times New Roman"/>
        </w:rPr>
        <w:lastRenderedPageBreak/>
        <w:t>Preventive detention for robbery</w:t>
      </w:r>
    </w:p>
    <w:p w14:paraId="168A8244"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If it were necessary to test the inclusion of robbery in the HRSO Act against the </w:t>
      </w:r>
      <w:r w:rsidRPr="006F101C">
        <w:rPr>
          <w:rFonts w:ascii="Times New Roman" w:hAnsi="Times New Roman"/>
          <w:i/>
        </w:rPr>
        <w:t xml:space="preserve">Lim </w:t>
      </w:r>
      <w:r w:rsidRPr="006F101C">
        <w:rPr>
          <w:rFonts w:ascii="Times New Roman" w:hAnsi="Times New Roman"/>
        </w:rPr>
        <w:t xml:space="preserve">principle, and if that required demonstration that the relevant law was directed to a grave and specific harm, I would consider that law passes both hurdles. </w:t>
      </w:r>
    </w:p>
    <w:p w14:paraId="5AB42166"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 xml:space="preserve">Section 392 of the </w:t>
      </w:r>
      <w:r w:rsidRPr="006F101C">
        <w:rPr>
          <w:rFonts w:ascii="Times New Roman" w:hAnsi="Times New Roman"/>
          <w:i/>
        </w:rPr>
        <w:t xml:space="preserve">Criminal Code </w:t>
      </w:r>
      <w:r w:rsidRPr="006F101C">
        <w:rPr>
          <w:rFonts w:ascii="Times New Roman" w:hAnsi="Times New Roman"/>
        </w:rPr>
        <w:t>(WA) creates an offence of robbery in the following terms:</w:t>
      </w:r>
    </w:p>
    <w:p w14:paraId="4B7236D2" w14:textId="77777777" w:rsidR="00E3198A" w:rsidRPr="006F101C" w:rsidRDefault="00E3198A" w:rsidP="006F101C">
      <w:pPr>
        <w:pStyle w:val="leftright"/>
        <w:spacing w:before="0" w:after="260" w:line="280" w:lineRule="exact"/>
        <w:ind w:right="0"/>
        <w:jc w:val="both"/>
        <w:rPr>
          <w:rFonts w:ascii="Times New Roman" w:hAnsi="Times New Roman"/>
        </w:rPr>
      </w:pPr>
      <w:r w:rsidRPr="006F101C">
        <w:rPr>
          <w:rFonts w:ascii="Times New Roman" w:hAnsi="Times New Roman"/>
        </w:rPr>
        <w:t>"Robbery</w:t>
      </w:r>
    </w:p>
    <w:p w14:paraId="77ADFE49" w14:textId="77777777" w:rsidR="00E3198A" w:rsidRPr="006F101C" w:rsidRDefault="00E3198A" w:rsidP="006F101C">
      <w:pPr>
        <w:pStyle w:val="leftright"/>
        <w:spacing w:before="0" w:after="260" w:line="280" w:lineRule="exact"/>
        <w:ind w:right="0"/>
        <w:jc w:val="both"/>
        <w:rPr>
          <w:rFonts w:ascii="Times New Roman" w:hAnsi="Times New Roman"/>
        </w:rPr>
      </w:pPr>
      <w:r w:rsidRPr="006F101C">
        <w:rPr>
          <w:rFonts w:ascii="Times New Roman" w:hAnsi="Times New Roman"/>
        </w:rPr>
        <w:t xml:space="preserve">A person who steals a thing and, immediately before or at the time of or immediately after doing so, uses or threatens to use violence to any person or property in order </w:t>
      </w:r>
      <w:r w:rsidRPr="006F101C">
        <w:rPr>
          <w:rFonts w:ascii="Times New Roman" w:hAnsi="Times New Roman"/>
          <w:color w:val="202124"/>
          <w:shd w:val="clear" w:color="auto" w:fill="FFFFFF"/>
        </w:rPr>
        <w:t>–</w:t>
      </w:r>
    </w:p>
    <w:p w14:paraId="69013B37" w14:textId="77777777" w:rsidR="00E3198A" w:rsidRPr="006F101C" w:rsidRDefault="00E3198A" w:rsidP="006F101C">
      <w:pPr>
        <w:pStyle w:val="leftright"/>
        <w:spacing w:before="0" w:after="260" w:line="280" w:lineRule="exact"/>
        <w:ind w:left="0" w:right="0"/>
        <w:jc w:val="both"/>
        <w:rPr>
          <w:rFonts w:ascii="Times New Roman" w:hAnsi="Times New Roman"/>
        </w:rPr>
      </w:pPr>
      <w:r w:rsidRPr="006F101C">
        <w:rPr>
          <w:rFonts w:ascii="Times New Roman" w:hAnsi="Times New Roman"/>
        </w:rPr>
        <w:tab/>
        <w:t>(a)</w:t>
      </w:r>
      <w:r w:rsidRPr="006F101C">
        <w:rPr>
          <w:rFonts w:ascii="Times New Roman" w:hAnsi="Times New Roman"/>
        </w:rPr>
        <w:tab/>
        <w:t>to obtain the thing stolen; or</w:t>
      </w:r>
    </w:p>
    <w:p w14:paraId="6F49A131" w14:textId="77777777" w:rsidR="00E3198A" w:rsidRPr="006F101C" w:rsidRDefault="00E3198A" w:rsidP="006F101C">
      <w:pPr>
        <w:pStyle w:val="leftright"/>
        <w:spacing w:before="0" w:after="260" w:line="280" w:lineRule="exact"/>
        <w:ind w:left="1440" w:right="0" w:hanging="1440"/>
        <w:jc w:val="both"/>
        <w:rPr>
          <w:rFonts w:ascii="Times New Roman" w:hAnsi="Times New Roman"/>
        </w:rPr>
      </w:pPr>
      <w:r w:rsidRPr="006F101C">
        <w:rPr>
          <w:rFonts w:ascii="Times New Roman" w:hAnsi="Times New Roman"/>
        </w:rPr>
        <w:tab/>
        <w:t>(b)</w:t>
      </w:r>
      <w:r w:rsidRPr="006F101C">
        <w:rPr>
          <w:rFonts w:ascii="Times New Roman" w:hAnsi="Times New Roman"/>
        </w:rPr>
        <w:tab/>
        <w:t>to prevent or overcome resistance to its being stolen,</w:t>
      </w:r>
    </w:p>
    <w:p w14:paraId="76B9CA6F" w14:textId="77777777" w:rsidR="00E3198A" w:rsidRPr="006F101C" w:rsidRDefault="00E3198A" w:rsidP="006F101C">
      <w:pPr>
        <w:pStyle w:val="leftright"/>
        <w:spacing w:before="0" w:after="260" w:line="280" w:lineRule="exact"/>
        <w:ind w:left="1440" w:right="0" w:hanging="1440"/>
        <w:jc w:val="both"/>
        <w:rPr>
          <w:rFonts w:ascii="Times New Roman" w:hAnsi="Times New Roman"/>
        </w:rPr>
      </w:pPr>
      <w:r w:rsidRPr="006F101C">
        <w:rPr>
          <w:rFonts w:ascii="Times New Roman" w:hAnsi="Times New Roman"/>
        </w:rPr>
        <w:tab/>
        <w:t xml:space="preserve">is guilty of a crime and is liable </w:t>
      </w:r>
      <w:r w:rsidRPr="006F101C">
        <w:rPr>
          <w:rFonts w:ascii="Times New Roman" w:hAnsi="Times New Roman"/>
          <w:color w:val="202124"/>
          <w:shd w:val="clear" w:color="auto" w:fill="FFFFFF"/>
        </w:rPr>
        <w:t>–</w:t>
      </w:r>
    </w:p>
    <w:p w14:paraId="50980B6B" w14:textId="77777777" w:rsidR="00E3198A" w:rsidRPr="006F101C" w:rsidRDefault="00E3198A" w:rsidP="006F101C">
      <w:pPr>
        <w:pStyle w:val="leftright"/>
        <w:spacing w:before="0" w:after="260" w:line="280" w:lineRule="exact"/>
        <w:ind w:left="1440" w:right="0" w:hanging="1440"/>
        <w:jc w:val="both"/>
        <w:rPr>
          <w:rFonts w:ascii="Times New Roman" w:hAnsi="Times New Roman"/>
        </w:rPr>
      </w:pPr>
      <w:r w:rsidRPr="006F101C">
        <w:rPr>
          <w:rFonts w:ascii="Times New Roman" w:hAnsi="Times New Roman"/>
        </w:rPr>
        <w:tab/>
        <w:t>(c)</w:t>
      </w:r>
      <w:r w:rsidRPr="006F101C">
        <w:rPr>
          <w:rFonts w:ascii="Times New Roman" w:hAnsi="Times New Roman"/>
        </w:rPr>
        <w:tab/>
        <w:t>if immediately before or at or immediately after the commission of the offence the offender is armed with any dangerous or offensive weapon or instrument or pretends to be so armed, to imprisonment for life; or</w:t>
      </w:r>
    </w:p>
    <w:p w14:paraId="73FAF4E4" w14:textId="77777777" w:rsidR="00E3198A" w:rsidRPr="006F101C" w:rsidRDefault="00E3198A" w:rsidP="006F101C">
      <w:pPr>
        <w:pStyle w:val="leftright"/>
        <w:tabs>
          <w:tab w:val="clear" w:pos="720"/>
          <w:tab w:val="left" w:pos="851"/>
        </w:tabs>
        <w:spacing w:before="0" w:after="260" w:line="280" w:lineRule="exact"/>
        <w:ind w:left="1440" w:right="0" w:hanging="720"/>
        <w:jc w:val="both"/>
        <w:rPr>
          <w:rFonts w:ascii="Times New Roman" w:hAnsi="Times New Roman"/>
        </w:rPr>
      </w:pPr>
      <w:r w:rsidRPr="006F101C">
        <w:rPr>
          <w:rFonts w:ascii="Times New Roman" w:hAnsi="Times New Roman"/>
        </w:rPr>
        <w:t>(d)</w:t>
      </w:r>
      <w:r w:rsidRPr="006F101C">
        <w:rPr>
          <w:rFonts w:ascii="Times New Roman" w:hAnsi="Times New Roman"/>
        </w:rPr>
        <w:tab/>
        <w:t>if the offence is committed in circumstances of aggravation, to imprisonment for 20 years; or</w:t>
      </w:r>
    </w:p>
    <w:p w14:paraId="7D91B3AE" w14:textId="77777777" w:rsidR="00E3198A" w:rsidRDefault="00E3198A" w:rsidP="006F101C">
      <w:pPr>
        <w:pStyle w:val="leftright"/>
        <w:spacing w:before="0" w:after="260" w:line="280" w:lineRule="exact"/>
        <w:ind w:left="0" w:right="0"/>
        <w:jc w:val="both"/>
        <w:rPr>
          <w:rFonts w:ascii="Times New Roman" w:hAnsi="Times New Roman"/>
        </w:rPr>
      </w:pPr>
      <w:r w:rsidRPr="006F101C">
        <w:rPr>
          <w:rFonts w:ascii="Times New Roman" w:hAnsi="Times New Roman"/>
        </w:rPr>
        <w:tab/>
        <w:t xml:space="preserve">(e) </w:t>
      </w:r>
      <w:r w:rsidRPr="006F101C">
        <w:rPr>
          <w:rFonts w:ascii="Times New Roman" w:hAnsi="Times New Roman"/>
        </w:rPr>
        <w:tab/>
        <w:t>in any other case, to imprisonment for 14 years."</w:t>
      </w:r>
      <w:r w:rsidRPr="006F101C" w:rsidDel="001A4059">
        <w:rPr>
          <w:rFonts w:ascii="Times New Roman" w:hAnsi="Times New Roman"/>
        </w:rPr>
        <w:t xml:space="preserve"> </w:t>
      </w:r>
    </w:p>
    <w:p w14:paraId="59A706EE"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i/>
        </w:rPr>
        <w:tab/>
      </w:r>
      <w:r w:rsidRPr="006F101C">
        <w:rPr>
          <w:rFonts w:ascii="Times New Roman" w:hAnsi="Times New Roman"/>
        </w:rPr>
        <w:t xml:space="preserve">The terms of s 392 cover a wide range of offending including conduct that may not cause significant harm to any individual. Potential harms that may be inflicted by an offence against s 392 will necessarily vary according to the </w:t>
      </w:r>
      <w:proofErr w:type="gramStart"/>
      <w:r w:rsidRPr="006F101C">
        <w:rPr>
          <w:rFonts w:ascii="Times New Roman" w:hAnsi="Times New Roman"/>
        </w:rPr>
        <w:t>particular circumstances</w:t>
      </w:r>
      <w:proofErr w:type="gramEnd"/>
      <w:r w:rsidRPr="006F101C">
        <w:rPr>
          <w:rFonts w:ascii="Times New Roman" w:hAnsi="Times New Roman"/>
        </w:rPr>
        <w:t xml:space="preserve"> of the offence. However, it is reasonable to assume that, by fixing a maximum penalty of life imprisonment in some circumstances, the legislature apprehended that the harm inflicted by a robbery may be very grave. A court is not well placed to compare the gravity of potential harms resulting from categories of offences beyond noting the maximum penalties fixed by the legislature. If the institutional integrity of a court may be compromised by applying a law such as the HRSO Act on the basis that the harm sought to be addressed by the law is not sufficiently grave, then, having regard to the availability of life imprisonment as a maximum penalty, I am not persuaded that the institutional integrity of the WASC may be compromised by the inclusion of robbery as a "serious offence" in the HRSO Act on that account.</w:t>
      </w:r>
    </w:p>
    <w:p w14:paraId="77C1C7E0"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lastRenderedPageBreak/>
        <w:tab/>
        <w:t xml:space="preserve">The HRSO Act as it applies to the Western Australian offence of robbery seeks to balance the liberty interests of both a "high risk serious offender" and those members of the community who may be harmed </w:t>
      </w:r>
      <w:proofErr w:type="gramStart"/>
      <w:r w:rsidRPr="006F101C">
        <w:rPr>
          <w:rFonts w:ascii="Times New Roman" w:hAnsi="Times New Roman"/>
        </w:rPr>
        <w:t>as a result of</w:t>
      </w:r>
      <w:proofErr w:type="gramEnd"/>
      <w:r w:rsidRPr="006F101C">
        <w:rPr>
          <w:rFonts w:ascii="Times New Roman" w:hAnsi="Times New Roman"/>
        </w:rPr>
        <w:t xml:space="preserve"> an "unacceptable risk that the offender will commit a serious offence"</w:t>
      </w:r>
      <w:r w:rsidRPr="006F101C">
        <w:rPr>
          <w:rStyle w:val="FootnoteReference"/>
          <w:rFonts w:ascii="Times New Roman" w:hAnsi="Times New Roman"/>
          <w:sz w:val="24"/>
        </w:rPr>
        <w:footnoteReference w:id="539"/>
      </w:r>
      <w:r w:rsidRPr="006F101C">
        <w:rPr>
          <w:rFonts w:ascii="Times New Roman" w:hAnsi="Times New Roman"/>
        </w:rPr>
        <w:t xml:space="preserve">, particularly, although not necessarily, the offence of robbery. I respectfully agree with the observation of the plurality in </w:t>
      </w:r>
      <w:proofErr w:type="spellStart"/>
      <w:r w:rsidRPr="00D819B0">
        <w:rPr>
          <w:rFonts w:ascii="Times New Roman" w:hAnsi="Times New Roman"/>
          <w:i/>
          <w:iCs/>
        </w:rPr>
        <w:t>Benbrika</w:t>
      </w:r>
      <w:proofErr w:type="spellEnd"/>
      <w:r w:rsidRPr="00D819B0">
        <w:rPr>
          <w:rFonts w:ascii="Times New Roman" w:hAnsi="Times New Roman"/>
          <w:i/>
          <w:iCs/>
        </w:rPr>
        <w:t xml:space="preserve"> </w:t>
      </w:r>
      <w:r w:rsidRPr="006F101C">
        <w:rPr>
          <w:rFonts w:ascii="Times New Roman" w:hAnsi="Times New Roman"/>
        </w:rPr>
        <w:t xml:space="preserve">that </w:t>
      </w:r>
      <w:proofErr w:type="spellStart"/>
      <w:r w:rsidRPr="006F101C">
        <w:rPr>
          <w:rFonts w:ascii="Times New Roman" w:hAnsi="Times New Roman"/>
        </w:rPr>
        <w:t>Gummow</w:t>
      </w:r>
      <w:proofErr w:type="spellEnd"/>
      <w:r w:rsidRPr="006F101C">
        <w:rPr>
          <w:rFonts w:ascii="Times New Roman" w:hAnsi="Times New Roman"/>
        </w:rPr>
        <w:t xml:space="preserve"> J's analysis in </w:t>
      </w:r>
      <w:proofErr w:type="spellStart"/>
      <w:r w:rsidRPr="00D819B0">
        <w:rPr>
          <w:rFonts w:ascii="Times New Roman" w:hAnsi="Times New Roman"/>
          <w:i/>
          <w:iCs/>
        </w:rPr>
        <w:t>Fardon</w:t>
      </w:r>
      <w:proofErr w:type="spellEnd"/>
      <w:r w:rsidRPr="00D819B0">
        <w:rPr>
          <w:rFonts w:ascii="Times New Roman" w:hAnsi="Times New Roman"/>
          <w:i/>
          <w:iCs/>
        </w:rPr>
        <w:t xml:space="preserve"> </w:t>
      </w:r>
      <w:r w:rsidRPr="006F101C">
        <w:rPr>
          <w:rFonts w:ascii="Times New Roman" w:hAnsi="Times New Roman"/>
        </w:rPr>
        <w:t xml:space="preserve">did not explain why an appropriately tailored scheme for protection of the community from harm resulting from </w:t>
      </w:r>
      <w:proofErr w:type="gramStart"/>
      <w:r w:rsidRPr="006F101C">
        <w:rPr>
          <w:rFonts w:ascii="Times New Roman" w:hAnsi="Times New Roman"/>
        </w:rPr>
        <w:t>particular forms</w:t>
      </w:r>
      <w:proofErr w:type="gramEnd"/>
      <w:r w:rsidRPr="006F101C">
        <w:rPr>
          <w:rFonts w:ascii="Times New Roman" w:hAnsi="Times New Roman"/>
        </w:rPr>
        <w:t xml:space="preserve"> of criminal activity is incapable of coming within an "exceptional case" to be identified by analogy to those "exceptional cases" identified in </w:t>
      </w:r>
      <w:r w:rsidRPr="00D819B0">
        <w:rPr>
          <w:rFonts w:ascii="Times New Roman" w:hAnsi="Times New Roman"/>
          <w:i/>
          <w:iCs/>
        </w:rPr>
        <w:t>Lim</w:t>
      </w:r>
      <w:r w:rsidRPr="006F101C">
        <w:rPr>
          <w:rStyle w:val="FootnoteReference"/>
          <w:rFonts w:ascii="Times New Roman" w:hAnsi="Times New Roman"/>
          <w:sz w:val="24"/>
        </w:rPr>
        <w:footnoteReference w:id="540"/>
      </w:r>
      <w:r w:rsidRPr="006F101C">
        <w:rPr>
          <w:rFonts w:ascii="Times New Roman" w:hAnsi="Times New Roman"/>
        </w:rPr>
        <w:t>. To my mind, such detention is capable of being seen as analogous to involuntary detention in cases of infectious disease which is necessarily directed to community protection</w:t>
      </w:r>
      <w:r w:rsidRPr="006F101C">
        <w:rPr>
          <w:rStyle w:val="FootnoteReference"/>
          <w:rFonts w:ascii="Times New Roman" w:hAnsi="Times New Roman"/>
          <w:sz w:val="24"/>
        </w:rPr>
        <w:footnoteReference w:id="541"/>
      </w:r>
      <w:r w:rsidRPr="006F101C">
        <w:rPr>
          <w:rFonts w:ascii="Times New Roman" w:hAnsi="Times New Roman"/>
        </w:rPr>
        <w:t>. Involuntary detention in cases of mental illness may also afford an analogy where the detention is not solely for the protection of the detainee.</w:t>
      </w:r>
    </w:p>
    <w:p w14:paraId="601DE066" w14:textId="77777777" w:rsidR="00E3198A" w:rsidRPr="006F101C" w:rsidRDefault="00E3198A" w:rsidP="006F101C">
      <w:pPr>
        <w:pStyle w:val="HeadingL1"/>
        <w:spacing w:after="260" w:line="280" w:lineRule="exact"/>
        <w:ind w:right="0"/>
        <w:jc w:val="both"/>
        <w:rPr>
          <w:rFonts w:ascii="Times New Roman" w:hAnsi="Times New Roman"/>
        </w:rPr>
      </w:pPr>
      <w:r w:rsidRPr="006F101C">
        <w:rPr>
          <w:rFonts w:ascii="Times New Roman" w:hAnsi="Times New Roman"/>
        </w:rPr>
        <w:t>Judicial independence and impartiality under the HRSO Act</w:t>
      </w:r>
    </w:p>
    <w:p w14:paraId="753684FD" w14:textId="77777777" w:rsidR="00E3198A" w:rsidRPr="006F101C" w:rsidRDefault="00E3198A" w:rsidP="00E3198A">
      <w:pPr>
        <w:pStyle w:val="FixListStyle"/>
        <w:numPr>
          <w:ilvl w:val="0"/>
          <w:numId w:val="18"/>
        </w:numPr>
        <w:spacing w:after="260" w:line="280" w:lineRule="exact"/>
        <w:ind w:left="0" w:right="0" w:hanging="720"/>
        <w:jc w:val="both"/>
        <w:rPr>
          <w:rFonts w:ascii="Times New Roman" w:hAnsi="Times New Roman"/>
        </w:rPr>
      </w:pPr>
      <w:r w:rsidRPr="006F101C">
        <w:rPr>
          <w:rFonts w:ascii="Times New Roman" w:hAnsi="Times New Roman"/>
        </w:rPr>
        <w:tab/>
        <w:t>On its face, there is no aspect of the HRSO Act that compromises the independence of the WASC from either the legislative or executive branches of the Western Australian government, or that compromises the Court's impartiality. To the contrary, and similarly to the DPSO Act, the HRSO Act requires the Western Australian executive to make an application to the Court, in accordance with the legislation. The application is then assessed by the Court in accordance with the legislation. As is illustrative of the independent functions of executive and judiciary under the HRSO Act, in this case the State of Western Australia applied ultimately for a supervision order. That application was rejected by the Court, which was not satisfied that it was necessary to make a restriction order in relation to the appellant to ensure adequate protection of the community against an unacceptable risk that the appellant would commit a serious offence.</w:t>
      </w:r>
    </w:p>
    <w:p w14:paraId="4798D93E" w14:textId="77777777" w:rsidR="00E3198A" w:rsidRPr="006F101C" w:rsidRDefault="00E3198A" w:rsidP="006F101C">
      <w:pPr>
        <w:pStyle w:val="HeadingL1"/>
        <w:spacing w:after="260" w:line="280" w:lineRule="exact"/>
        <w:ind w:right="0"/>
        <w:jc w:val="both"/>
        <w:rPr>
          <w:rFonts w:ascii="Times New Roman" w:hAnsi="Times New Roman"/>
        </w:rPr>
      </w:pPr>
      <w:r w:rsidRPr="006F101C">
        <w:rPr>
          <w:rFonts w:ascii="Times New Roman" w:hAnsi="Times New Roman"/>
        </w:rPr>
        <w:t>Conclusion</w:t>
      </w:r>
    </w:p>
    <w:p w14:paraId="4B68A72F" w14:textId="77777777" w:rsidR="00E3198A" w:rsidRDefault="00E3198A" w:rsidP="00E3198A">
      <w:pPr>
        <w:pStyle w:val="FixListStyle"/>
        <w:numPr>
          <w:ilvl w:val="0"/>
          <w:numId w:val="18"/>
        </w:numPr>
        <w:spacing w:after="260" w:line="280" w:lineRule="exact"/>
        <w:ind w:left="0" w:right="0" w:hanging="720"/>
        <w:jc w:val="both"/>
        <w:rPr>
          <w:rFonts w:ascii="Times New Roman" w:hAnsi="Times New Roman"/>
        </w:rPr>
        <w:sectPr w:rsidR="00E3198A" w:rsidSect="00E3198A">
          <w:headerReference w:type="even" r:id="rId32"/>
          <w:headerReference w:type="default" r:id="rId33"/>
          <w:headerReference w:type="first" r:id="rId34"/>
          <w:pgSz w:w="11907" w:h="16839" w:code="9"/>
          <w:pgMar w:top="1440" w:right="1701" w:bottom="1984" w:left="1701" w:header="720" w:footer="720" w:gutter="0"/>
          <w:cols w:space="720"/>
          <w:docGrid w:linePitch="354"/>
        </w:sectPr>
      </w:pPr>
      <w:r w:rsidRPr="006F101C">
        <w:rPr>
          <w:rFonts w:ascii="Times New Roman" w:hAnsi="Times New Roman"/>
        </w:rPr>
        <w:tab/>
        <w:t>The appeal should be dismissed.</w:t>
      </w:r>
    </w:p>
    <w:p w14:paraId="1FBB8CE5" w14:textId="319C11EE" w:rsidR="00784D56" w:rsidRPr="00E3198A" w:rsidRDefault="00784D56" w:rsidP="00E3198A">
      <w:pPr>
        <w:pStyle w:val="NormalBody"/>
      </w:pPr>
    </w:p>
    <w:sectPr w:rsidR="00784D56" w:rsidRPr="00E3198A" w:rsidSect="00E3198A">
      <w:headerReference w:type="default" r:id="rId3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C5F8" w14:textId="77777777" w:rsidR="00115BF5" w:rsidRDefault="00115BF5">
      <w:pPr>
        <w:spacing w:line="240" w:lineRule="auto"/>
      </w:pPr>
      <w:r>
        <w:separator/>
      </w:r>
    </w:p>
  </w:endnote>
  <w:endnote w:type="continuationSeparator" w:id="0">
    <w:p w14:paraId="0A33804F" w14:textId="77777777" w:rsidR="00115BF5" w:rsidRDefault="00115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68FF" w14:textId="77777777" w:rsidR="00F77E33" w:rsidRDefault="00F77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6D8E" w14:textId="77777777" w:rsidR="00F77E33" w:rsidRDefault="00F77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F66D" w14:textId="77777777" w:rsidR="00F77E33" w:rsidRDefault="00F77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1341" w14:textId="77777777" w:rsidR="00F77E33" w:rsidRDefault="00F77E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BFD3" w14:textId="77777777" w:rsidR="00F77E33" w:rsidRDefault="00F77E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5B00" w14:textId="77777777" w:rsidR="00F77E33" w:rsidRDefault="00F77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B7B3" w14:textId="77777777" w:rsidR="00115BF5" w:rsidRPr="00C06B3A" w:rsidRDefault="00115BF5" w:rsidP="00C06B3A">
      <w:pPr>
        <w:pStyle w:val="Footer"/>
        <w:spacing w:before="120" w:after="20"/>
        <w:ind w:right="0"/>
        <w:rPr>
          <w:rFonts w:ascii="Times New Roman" w:hAnsi="Times New Roman"/>
        </w:rPr>
      </w:pPr>
      <w:r>
        <w:continuationSeparator/>
      </w:r>
    </w:p>
  </w:footnote>
  <w:footnote w:type="continuationSeparator" w:id="0">
    <w:p w14:paraId="0540F6AA" w14:textId="77777777" w:rsidR="00115BF5" w:rsidRPr="00C06B3A" w:rsidRDefault="00115BF5" w:rsidP="00C06B3A">
      <w:pPr>
        <w:pStyle w:val="Footer"/>
        <w:spacing w:before="120" w:after="20"/>
        <w:ind w:right="0"/>
        <w:rPr>
          <w:rFonts w:ascii="Times New Roman" w:hAnsi="Times New Roman"/>
        </w:rPr>
      </w:pPr>
      <w:r w:rsidRPr="00C06B3A">
        <w:rPr>
          <w:rFonts w:ascii="Times New Roman" w:hAnsi="Times New Roman"/>
        </w:rPr>
        <w:continuationSeparator/>
      </w:r>
    </w:p>
  </w:footnote>
  <w:footnote w:type="continuationNotice" w:id="1">
    <w:p w14:paraId="409AC17B" w14:textId="77777777" w:rsidR="00115BF5" w:rsidRPr="00E3198A" w:rsidRDefault="00115BF5">
      <w:pPr>
        <w:jc w:val="right"/>
        <w:rPr>
          <w:rFonts w:ascii="Times New Roman" w:hAnsi="Times New Roman"/>
          <w:sz w:val="24"/>
        </w:rPr>
      </w:pPr>
    </w:p>
  </w:footnote>
  <w:footnote w:id="2">
    <w:p w14:paraId="546508FB" w14:textId="32F4D439" w:rsidR="002044A8" w:rsidRPr="00C06B3A" w:rsidRDefault="002044A8" w:rsidP="00C06B3A">
      <w:pPr>
        <w:pStyle w:val="FootnoteText"/>
        <w:spacing w:line="280" w:lineRule="exact"/>
        <w:ind w:right="0"/>
        <w:jc w:val="both"/>
        <w:rPr>
          <w:rFonts w:ascii="Times New Roman" w:hAnsi="Times New Roman"/>
          <w:i/>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4226B0" w:rsidRPr="00C06B3A">
        <w:rPr>
          <w:rFonts w:ascii="Times New Roman" w:hAnsi="Times New Roman"/>
          <w:sz w:val="24"/>
        </w:rPr>
        <w:t>(</w:t>
      </w:r>
      <w:r w:rsidRPr="00C06B3A">
        <w:rPr>
          <w:rFonts w:ascii="Times New Roman" w:hAnsi="Times New Roman"/>
          <w:sz w:val="24"/>
        </w:rPr>
        <w:t>2021</w:t>
      </w:r>
      <w:r w:rsidR="004226B0" w:rsidRPr="00C06B3A">
        <w:rPr>
          <w:rFonts w:ascii="Times New Roman" w:hAnsi="Times New Roman"/>
          <w:sz w:val="24"/>
        </w:rPr>
        <w:t>)</w:t>
      </w:r>
      <w:r w:rsidRPr="00C06B3A">
        <w:rPr>
          <w:rFonts w:ascii="Times New Roman" w:hAnsi="Times New Roman"/>
          <w:sz w:val="24"/>
        </w:rPr>
        <w:t xml:space="preserve"> </w:t>
      </w:r>
      <w:r w:rsidR="00C960EC" w:rsidRPr="00C06B3A">
        <w:rPr>
          <w:rFonts w:ascii="Times New Roman" w:hAnsi="Times New Roman"/>
          <w:sz w:val="24"/>
        </w:rPr>
        <w:t>362 FLR 284</w:t>
      </w:r>
      <w:r w:rsidRPr="00C06B3A">
        <w:rPr>
          <w:rFonts w:ascii="Times New Roman" w:hAnsi="Times New Roman"/>
          <w:sz w:val="24"/>
        </w:rPr>
        <w:t xml:space="preserve"> at </w:t>
      </w:r>
      <w:r w:rsidR="003C58C7" w:rsidRPr="00C06B3A">
        <w:rPr>
          <w:rFonts w:ascii="Times New Roman" w:hAnsi="Times New Roman"/>
          <w:sz w:val="24"/>
        </w:rPr>
        <w:t>287 </w:t>
      </w:r>
      <w:r w:rsidRPr="00C06B3A">
        <w:rPr>
          <w:rFonts w:ascii="Times New Roman" w:hAnsi="Times New Roman"/>
          <w:sz w:val="24"/>
        </w:rPr>
        <w:t>[1].</w:t>
      </w:r>
    </w:p>
  </w:footnote>
  <w:footnote w:id="3">
    <w:p w14:paraId="3509CF13" w14:textId="2D72AC3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Pr="00C06B3A">
        <w:rPr>
          <w:rFonts w:ascii="Times New Roman" w:hAnsi="Times New Roman"/>
          <w:sz w:val="24"/>
        </w:rPr>
        <w:t>[2019] WASCSR 7</w:t>
      </w:r>
      <w:r w:rsidR="006D689B" w:rsidRPr="00C06B3A">
        <w:rPr>
          <w:rFonts w:ascii="Times New Roman" w:hAnsi="Times New Roman"/>
          <w:sz w:val="24"/>
        </w:rPr>
        <w:t>4 at [</w:t>
      </w:r>
      <w:proofErr w:type="gramStart"/>
      <w:r w:rsidR="006D689B" w:rsidRPr="00C06B3A">
        <w:rPr>
          <w:rFonts w:ascii="Times New Roman" w:hAnsi="Times New Roman"/>
          <w:sz w:val="24"/>
        </w:rPr>
        <w:t>146]</w:t>
      </w:r>
      <w:r w:rsidR="00622C81" w:rsidRPr="00C06B3A">
        <w:rPr>
          <w:rFonts w:ascii="Times New Roman" w:hAnsi="Times New Roman"/>
          <w:sz w:val="24"/>
        </w:rPr>
        <w:noBreakHyphen/>
      </w:r>
      <w:proofErr w:type="gramEnd"/>
      <w:r w:rsidR="00622C81" w:rsidRPr="00C06B3A">
        <w:rPr>
          <w:rFonts w:ascii="Times New Roman" w:hAnsi="Times New Roman"/>
          <w:sz w:val="24"/>
        </w:rPr>
        <w:t>[147]</w:t>
      </w:r>
      <w:r w:rsidRPr="00C06B3A">
        <w:rPr>
          <w:rFonts w:ascii="Times New Roman" w:hAnsi="Times New Roman"/>
          <w:sz w:val="24"/>
        </w:rPr>
        <w:t xml:space="preserve">; </w:t>
      </w:r>
      <w:r w:rsidRPr="00C06B3A">
        <w:rPr>
          <w:rFonts w:ascii="Times New Roman" w:hAnsi="Times New Roman"/>
          <w:i/>
          <w:sz w:val="24"/>
        </w:rPr>
        <w:t xml:space="preserve">Western Australia v Garlett </w:t>
      </w:r>
      <w:r w:rsidR="003C58C7" w:rsidRPr="00C06B3A">
        <w:rPr>
          <w:rFonts w:ascii="Times New Roman" w:hAnsi="Times New Roman"/>
          <w:sz w:val="24"/>
        </w:rPr>
        <w:t>(</w:t>
      </w:r>
      <w:r w:rsidRPr="00C06B3A">
        <w:rPr>
          <w:rFonts w:ascii="Times New Roman" w:hAnsi="Times New Roman"/>
          <w:sz w:val="24"/>
        </w:rPr>
        <w:t>2021</w:t>
      </w:r>
      <w:r w:rsidR="003C58C7" w:rsidRPr="00C06B3A">
        <w:rPr>
          <w:rFonts w:ascii="Times New Roman" w:hAnsi="Times New Roman"/>
          <w:sz w:val="24"/>
        </w:rPr>
        <w:t>)</w:t>
      </w:r>
      <w:r w:rsidRPr="00C06B3A">
        <w:rPr>
          <w:rFonts w:ascii="Times New Roman" w:hAnsi="Times New Roman"/>
          <w:sz w:val="24"/>
        </w:rPr>
        <w:t xml:space="preserve"> </w:t>
      </w:r>
      <w:r w:rsidR="003C58C7" w:rsidRPr="00C06B3A">
        <w:rPr>
          <w:rFonts w:ascii="Times New Roman" w:hAnsi="Times New Roman"/>
          <w:sz w:val="24"/>
        </w:rPr>
        <w:t>362 FLR 284</w:t>
      </w:r>
      <w:r w:rsidRPr="00C06B3A">
        <w:rPr>
          <w:rFonts w:ascii="Times New Roman" w:hAnsi="Times New Roman"/>
          <w:sz w:val="24"/>
        </w:rPr>
        <w:t xml:space="preserve"> at </w:t>
      </w:r>
      <w:r w:rsidR="003C58C7" w:rsidRPr="00C06B3A">
        <w:rPr>
          <w:rFonts w:ascii="Times New Roman" w:hAnsi="Times New Roman"/>
          <w:sz w:val="24"/>
        </w:rPr>
        <w:t>287 </w:t>
      </w:r>
      <w:r w:rsidRPr="00C06B3A">
        <w:rPr>
          <w:rFonts w:ascii="Times New Roman" w:hAnsi="Times New Roman"/>
          <w:sz w:val="24"/>
        </w:rPr>
        <w:t>[2].</w:t>
      </w:r>
    </w:p>
  </w:footnote>
  <w:footnote w:id="4">
    <w:p w14:paraId="5459EDE8" w14:textId="6E2C846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3C58C7" w:rsidRPr="00C06B3A">
        <w:rPr>
          <w:rFonts w:ascii="Times New Roman" w:hAnsi="Times New Roman"/>
          <w:sz w:val="24"/>
        </w:rPr>
        <w:t>(</w:t>
      </w:r>
      <w:r w:rsidRPr="00C06B3A">
        <w:rPr>
          <w:rFonts w:ascii="Times New Roman" w:hAnsi="Times New Roman"/>
          <w:sz w:val="24"/>
        </w:rPr>
        <w:t>2021</w:t>
      </w:r>
      <w:r w:rsidR="003C58C7" w:rsidRPr="00C06B3A">
        <w:rPr>
          <w:rFonts w:ascii="Times New Roman" w:hAnsi="Times New Roman"/>
          <w:sz w:val="24"/>
        </w:rPr>
        <w:t>)</w:t>
      </w:r>
      <w:r w:rsidRPr="00C06B3A">
        <w:rPr>
          <w:rFonts w:ascii="Times New Roman" w:hAnsi="Times New Roman"/>
          <w:sz w:val="24"/>
        </w:rPr>
        <w:t xml:space="preserve"> </w:t>
      </w:r>
      <w:r w:rsidR="008F2B90" w:rsidRPr="00C06B3A">
        <w:rPr>
          <w:rFonts w:ascii="Times New Roman" w:hAnsi="Times New Roman"/>
          <w:sz w:val="24"/>
        </w:rPr>
        <w:t>362 FLR 284</w:t>
      </w:r>
      <w:r w:rsidRPr="00C06B3A">
        <w:rPr>
          <w:rFonts w:ascii="Times New Roman" w:hAnsi="Times New Roman"/>
          <w:sz w:val="24"/>
        </w:rPr>
        <w:t xml:space="preserve"> at </w:t>
      </w:r>
      <w:r w:rsidR="008F2B90" w:rsidRPr="00C06B3A">
        <w:rPr>
          <w:rFonts w:ascii="Times New Roman" w:hAnsi="Times New Roman"/>
          <w:sz w:val="24"/>
        </w:rPr>
        <w:t>288 </w:t>
      </w:r>
      <w:r w:rsidRPr="00C06B3A">
        <w:rPr>
          <w:rFonts w:ascii="Times New Roman" w:hAnsi="Times New Roman"/>
          <w:sz w:val="24"/>
        </w:rPr>
        <w:t>[</w:t>
      </w:r>
      <w:proofErr w:type="gramStart"/>
      <w:r w:rsidRPr="00C06B3A">
        <w:rPr>
          <w:rFonts w:ascii="Times New Roman" w:hAnsi="Times New Roman"/>
          <w:sz w:val="24"/>
        </w:rPr>
        <w:t>3]</w:t>
      </w:r>
      <w:r w:rsidRPr="00C06B3A">
        <w:rPr>
          <w:rFonts w:ascii="Times New Roman" w:hAnsi="Times New Roman"/>
          <w:sz w:val="24"/>
        </w:rPr>
        <w:noBreakHyphen/>
      </w:r>
      <w:proofErr w:type="gramEnd"/>
      <w:r w:rsidRPr="00C06B3A">
        <w:rPr>
          <w:rFonts w:ascii="Times New Roman" w:hAnsi="Times New Roman"/>
          <w:sz w:val="24"/>
        </w:rPr>
        <w:t>[4].</w:t>
      </w:r>
    </w:p>
  </w:footnote>
  <w:footnote w:id="5">
    <w:p w14:paraId="709CBDFE" w14:textId="5E201BD5" w:rsidR="005B081C" w:rsidRPr="00C06B3A" w:rsidRDefault="005B081C"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Western Australia v Garlett </w:t>
      </w:r>
      <w:r w:rsidRPr="00C06B3A">
        <w:rPr>
          <w:rFonts w:ascii="Times New Roman" w:hAnsi="Times New Roman"/>
          <w:sz w:val="24"/>
        </w:rPr>
        <w:t>[2019] WASCSR 74 at [</w:t>
      </w:r>
      <w:r w:rsidR="00844B92" w:rsidRPr="00C06B3A">
        <w:rPr>
          <w:rFonts w:ascii="Times New Roman" w:hAnsi="Times New Roman"/>
          <w:sz w:val="24"/>
        </w:rPr>
        <w:t>50].</w:t>
      </w:r>
    </w:p>
  </w:footnote>
  <w:footnote w:id="6">
    <w:p w14:paraId="5A186E6B" w14:textId="472F2E86"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517092" w:rsidRPr="00C06B3A">
        <w:rPr>
          <w:rFonts w:ascii="Times New Roman" w:hAnsi="Times New Roman"/>
          <w:sz w:val="24"/>
        </w:rPr>
        <w:t>(</w:t>
      </w:r>
      <w:r w:rsidRPr="00C06B3A">
        <w:rPr>
          <w:rFonts w:ascii="Times New Roman" w:hAnsi="Times New Roman"/>
          <w:sz w:val="24"/>
        </w:rPr>
        <w:t>2021</w:t>
      </w:r>
      <w:r w:rsidR="00517092" w:rsidRPr="00C06B3A">
        <w:rPr>
          <w:rFonts w:ascii="Times New Roman" w:hAnsi="Times New Roman"/>
          <w:sz w:val="24"/>
        </w:rPr>
        <w:t>)</w:t>
      </w:r>
      <w:r w:rsidRPr="00C06B3A">
        <w:rPr>
          <w:rFonts w:ascii="Times New Roman" w:hAnsi="Times New Roman"/>
          <w:sz w:val="24"/>
        </w:rPr>
        <w:t xml:space="preserve"> </w:t>
      </w:r>
      <w:r w:rsidR="00517092" w:rsidRPr="00C06B3A">
        <w:rPr>
          <w:rFonts w:ascii="Times New Roman" w:hAnsi="Times New Roman"/>
          <w:sz w:val="24"/>
        </w:rPr>
        <w:t>362 FLR 284</w:t>
      </w:r>
      <w:r w:rsidRPr="00C06B3A">
        <w:rPr>
          <w:rFonts w:ascii="Times New Roman" w:hAnsi="Times New Roman"/>
          <w:sz w:val="24"/>
        </w:rPr>
        <w:t xml:space="preserve"> at </w:t>
      </w:r>
      <w:r w:rsidR="00FB32BF" w:rsidRPr="00C06B3A">
        <w:rPr>
          <w:rFonts w:ascii="Times New Roman" w:hAnsi="Times New Roman"/>
          <w:sz w:val="24"/>
        </w:rPr>
        <w:t>343 </w:t>
      </w:r>
      <w:r w:rsidRPr="00C06B3A">
        <w:rPr>
          <w:rFonts w:ascii="Times New Roman" w:hAnsi="Times New Roman"/>
          <w:sz w:val="24"/>
        </w:rPr>
        <w:t>[236], [240].</w:t>
      </w:r>
    </w:p>
  </w:footnote>
  <w:footnote w:id="7">
    <w:p w14:paraId="5ED44C0B" w14:textId="422E0FA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886A70" w:rsidRPr="00C06B3A">
        <w:rPr>
          <w:rFonts w:ascii="Times New Roman" w:hAnsi="Times New Roman"/>
          <w:sz w:val="24"/>
        </w:rPr>
        <w:t>(</w:t>
      </w:r>
      <w:r w:rsidRPr="00C06B3A">
        <w:rPr>
          <w:rFonts w:ascii="Times New Roman" w:hAnsi="Times New Roman"/>
          <w:sz w:val="24"/>
        </w:rPr>
        <w:t>2021</w:t>
      </w:r>
      <w:r w:rsidR="00886A70" w:rsidRPr="00C06B3A">
        <w:rPr>
          <w:rFonts w:ascii="Times New Roman" w:hAnsi="Times New Roman"/>
          <w:sz w:val="24"/>
        </w:rPr>
        <w:t>)</w:t>
      </w:r>
      <w:r w:rsidRPr="00C06B3A">
        <w:rPr>
          <w:rFonts w:ascii="Times New Roman" w:hAnsi="Times New Roman"/>
          <w:sz w:val="24"/>
        </w:rPr>
        <w:t xml:space="preserve"> </w:t>
      </w:r>
      <w:r w:rsidR="00886A70" w:rsidRPr="00C06B3A">
        <w:rPr>
          <w:rFonts w:ascii="Times New Roman" w:hAnsi="Times New Roman"/>
          <w:sz w:val="24"/>
        </w:rPr>
        <w:t>362 FLR 284</w:t>
      </w:r>
      <w:r w:rsidRPr="00C06B3A">
        <w:rPr>
          <w:rFonts w:ascii="Times New Roman" w:hAnsi="Times New Roman"/>
          <w:sz w:val="24"/>
        </w:rPr>
        <w:t xml:space="preserve"> at </w:t>
      </w:r>
      <w:r w:rsidR="00886A70" w:rsidRPr="00C06B3A">
        <w:rPr>
          <w:rFonts w:ascii="Times New Roman" w:hAnsi="Times New Roman"/>
          <w:sz w:val="24"/>
        </w:rPr>
        <w:t>343 </w:t>
      </w:r>
      <w:r w:rsidRPr="00C06B3A">
        <w:rPr>
          <w:rFonts w:ascii="Times New Roman" w:hAnsi="Times New Roman"/>
          <w:sz w:val="24"/>
        </w:rPr>
        <w:t xml:space="preserve">[239], </w:t>
      </w:r>
      <w:r w:rsidR="00886A70" w:rsidRPr="00C06B3A">
        <w:rPr>
          <w:rFonts w:ascii="Times New Roman" w:hAnsi="Times New Roman"/>
          <w:sz w:val="24"/>
        </w:rPr>
        <w:t>343</w:t>
      </w:r>
      <w:r w:rsidR="00886A70" w:rsidRPr="00C06B3A">
        <w:rPr>
          <w:rFonts w:ascii="Times New Roman" w:hAnsi="Times New Roman"/>
          <w:sz w:val="24"/>
        </w:rPr>
        <w:noBreakHyphen/>
        <w:t>344 </w:t>
      </w:r>
      <w:r w:rsidRPr="00C06B3A">
        <w:rPr>
          <w:rFonts w:ascii="Times New Roman" w:hAnsi="Times New Roman"/>
          <w:sz w:val="24"/>
        </w:rPr>
        <w:t>[241].</w:t>
      </w:r>
    </w:p>
  </w:footnote>
  <w:footnote w:id="8">
    <w:p w14:paraId="11245BEB" w14:textId="67B1848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886A70" w:rsidRPr="00C06B3A">
        <w:rPr>
          <w:rFonts w:ascii="Times New Roman" w:hAnsi="Times New Roman"/>
          <w:sz w:val="24"/>
        </w:rPr>
        <w:t>(</w:t>
      </w:r>
      <w:r w:rsidRPr="00C06B3A">
        <w:rPr>
          <w:rFonts w:ascii="Times New Roman" w:hAnsi="Times New Roman"/>
          <w:sz w:val="24"/>
        </w:rPr>
        <w:t>2021</w:t>
      </w:r>
      <w:r w:rsidR="00886A70" w:rsidRPr="00C06B3A">
        <w:rPr>
          <w:rFonts w:ascii="Times New Roman" w:hAnsi="Times New Roman"/>
          <w:sz w:val="24"/>
        </w:rPr>
        <w:t>)</w:t>
      </w:r>
      <w:r w:rsidRPr="00C06B3A">
        <w:rPr>
          <w:rFonts w:ascii="Times New Roman" w:hAnsi="Times New Roman"/>
          <w:sz w:val="24"/>
        </w:rPr>
        <w:t xml:space="preserve"> </w:t>
      </w:r>
      <w:r w:rsidR="00886A70" w:rsidRPr="00C06B3A">
        <w:rPr>
          <w:rFonts w:ascii="Times New Roman" w:hAnsi="Times New Roman"/>
          <w:sz w:val="24"/>
        </w:rPr>
        <w:t>362 FLR 284</w:t>
      </w:r>
      <w:r w:rsidRPr="00C06B3A">
        <w:rPr>
          <w:rFonts w:ascii="Times New Roman" w:hAnsi="Times New Roman"/>
          <w:sz w:val="24"/>
        </w:rPr>
        <w:t xml:space="preserve"> at </w:t>
      </w:r>
      <w:r w:rsidR="00886A70" w:rsidRPr="00C06B3A">
        <w:rPr>
          <w:rFonts w:ascii="Times New Roman" w:hAnsi="Times New Roman"/>
          <w:sz w:val="24"/>
        </w:rPr>
        <w:t>343 </w:t>
      </w:r>
      <w:r w:rsidRPr="00C06B3A">
        <w:rPr>
          <w:rFonts w:ascii="Times New Roman" w:hAnsi="Times New Roman"/>
          <w:sz w:val="24"/>
        </w:rPr>
        <w:t>[</w:t>
      </w:r>
      <w:proofErr w:type="gramStart"/>
      <w:r w:rsidRPr="00C06B3A">
        <w:rPr>
          <w:rFonts w:ascii="Times New Roman" w:hAnsi="Times New Roman"/>
          <w:sz w:val="24"/>
        </w:rPr>
        <w:t>236]</w:t>
      </w:r>
      <w:r w:rsidRPr="00C06B3A">
        <w:rPr>
          <w:rFonts w:ascii="Times New Roman" w:hAnsi="Times New Roman"/>
          <w:sz w:val="24"/>
        </w:rPr>
        <w:noBreakHyphen/>
      </w:r>
      <w:proofErr w:type="gramEnd"/>
      <w:r w:rsidRPr="00C06B3A">
        <w:rPr>
          <w:rFonts w:ascii="Times New Roman" w:hAnsi="Times New Roman"/>
          <w:sz w:val="24"/>
        </w:rPr>
        <w:t>[238].</w:t>
      </w:r>
    </w:p>
  </w:footnote>
  <w:footnote w:id="9">
    <w:p w14:paraId="16E5F7EF" w14:textId="6577A9CE"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A54AE2" w:rsidRPr="00C06B3A">
        <w:rPr>
          <w:rFonts w:ascii="Times New Roman" w:hAnsi="Times New Roman"/>
          <w:sz w:val="24"/>
        </w:rPr>
        <w:t>(</w:t>
      </w:r>
      <w:r w:rsidRPr="00C06B3A">
        <w:rPr>
          <w:rFonts w:ascii="Times New Roman" w:hAnsi="Times New Roman"/>
          <w:sz w:val="24"/>
        </w:rPr>
        <w:t>2021</w:t>
      </w:r>
      <w:r w:rsidR="00A54AE2" w:rsidRPr="00C06B3A">
        <w:rPr>
          <w:rFonts w:ascii="Times New Roman" w:hAnsi="Times New Roman"/>
          <w:sz w:val="24"/>
        </w:rPr>
        <w:t>)</w:t>
      </w:r>
      <w:r w:rsidRPr="00C06B3A">
        <w:rPr>
          <w:rFonts w:ascii="Times New Roman" w:hAnsi="Times New Roman"/>
          <w:sz w:val="24"/>
        </w:rPr>
        <w:t xml:space="preserve"> </w:t>
      </w:r>
      <w:r w:rsidR="00A54AE2" w:rsidRPr="00C06B3A">
        <w:rPr>
          <w:rFonts w:ascii="Times New Roman" w:hAnsi="Times New Roman"/>
          <w:sz w:val="24"/>
        </w:rPr>
        <w:t>362 FLR 284</w:t>
      </w:r>
      <w:r w:rsidRPr="00C06B3A">
        <w:rPr>
          <w:rFonts w:ascii="Times New Roman" w:hAnsi="Times New Roman"/>
          <w:sz w:val="24"/>
        </w:rPr>
        <w:t xml:space="preserve"> at </w:t>
      </w:r>
      <w:r w:rsidR="00A54AE2" w:rsidRPr="00C06B3A">
        <w:rPr>
          <w:rFonts w:ascii="Times New Roman" w:hAnsi="Times New Roman"/>
          <w:sz w:val="24"/>
        </w:rPr>
        <w:t>343 </w:t>
      </w:r>
      <w:r w:rsidRPr="00C06B3A">
        <w:rPr>
          <w:rFonts w:ascii="Times New Roman" w:hAnsi="Times New Roman"/>
          <w:sz w:val="24"/>
        </w:rPr>
        <w:t>[237].</w:t>
      </w:r>
    </w:p>
  </w:footnote>
  <w:footnote w:id="10">
    <w:p w14:paraId="772682F3" w14:textId="6248214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(2004) 223 CLR 575 at 592 [20].</w:t>
      </w:r>
    </w:p>
  </w:footnote>
  <w:footnote w:id="11">
    <w:p w14:paraId="6C86F032" w14:textId="2F1C254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 35(1) of the HRSO Act; </w:t>
      </w:r>
      <w:r w:rsidRPr="00C06B3A">
        <w:rPr>
          <w:rFonts w:ascii="Times New Roman" w:hAnsi="Times New Roman"/>
          <w:i/>
          <w:sz w:val="24"/>
        </w:rPr>
        <w:t xml:space="preserve">Western Australia v Garlett </w:t>
      </w:r>
      <w:r w:rsidR="00655F45" w:rsidRPr="00C06B3A">
        <w:rPr>
          <w:rFonts w:ascii="Times New Roman" w:hAnsi="Times New Roman"/>
          <w:sz w:val="24"/>
        </w:rPr>
        <w:t>(</w:t>
      </w:r>
      <w:r w:rsidRPr="00C06B3A">
        <w:rPr>
          <w:rFonts w:ascii="Times New Roman" w:hAnsi="Times New Roman"/>
          <w:sz w:val="24"/>
        </w:rPr>
        <w:t>2021</w:t>
      </w:r>
      <w:r w:rsidR="00655F45" w:rsidRPr="00C06B3A">
        <w:rPr>
          <w:rFonts w:ascii="Times New Roman" w:hAnsi="Times New Roman"/>
          <w:sz w:val="24"/>
        </w:rPr>
        <w:t>)</w:t>
      </w:r>
      <w:r w:rsidRPr="00C06B3A">
        <w:rPr>
          <w:rFonts w:ascii="Times New Roman" w:hAnsi="Times New Roman"/>
          <w:sz w:val="24"/>
        </w:rPr>
        <w:t xml:space="preserve"> </w:t>
      </w:r>
      <w:r w:rsidR="00655F45" w:rsidRPr="00C06B3A">
        <w:rPr>
          <w:rFonts w:ascii="Times New Roman" w:hAnsi="Times New Roman"/>
          <w:sz w:val="24"/>
        </w:rPr>
        <w:t>362 FLR 284</w:t>
      </w:r>
      <w:r w:rsidRPr="00C06B3A">
        <w:rPr>
          <w:rFonts w:ascii="Times New Roman" w:hAnsi="Times New Roman"/>
          <w:sz w:val="24"/>
        </w:rPr>
        <w:t xml:space="preserve"> at </w:t>
      </w:r>
      <w:r w:rsidR="00E226B2" w:rsidRPr="00C06B3A">
        <w:rPr>
          <w:rFonts w:ascii="Times New Roman" w:hAnsi="Times New Roman"/>
          <w:sz w:val="24"/>
        </w:rPr>
        <w:t>288 </w:t>
      </w:r>
      <w:r w:rsidRPr="00C06B3A">
        <w:rPr>
          <w:rFonts w:ascii="Times New Roman" w:hAnsi="Times New Roman"/>
          <w:sz w:val="24"/>
        </w:rPr>
        <w:t>[5].</w:t>
      </w:r>
    </w:p>
  </w:footnote>
  <w:footnote w:id="12">
    <w:p w14:paraId="15B81279" w14:textId="6ACA11E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Criminal Code </w:t>
      </w:r>
      <w:r w:rsidRPr="00C06B3A">
        <w:rPr>
          <w:rFonts w:ascii="Times New Roman" w:hAnsi="Times New Roman"/>
          <w:sz w:val="24"/>
        </w:rPr>
        <w:t>(WA), ss 392, 393.</w:t>
      </w:r>
    </w:p>
  </w:footnote>
  <w:footnote w:id="13">
    <w:p w14:paraId="51A95684" w14:textId="0C46738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254144" w:rsidRPr="00C06B3A">
        <w:rPr>
          <w:rFonts w:ascii="Times New Roman" w:hAnsi="Times New Roman"/>
          <w:sz w:val="24"/>
        </w:rPr>
        <w:t>(</w:t>
      </w:r>
      <w:r w:rsidRPr="00C06B3A">
        <w:rPr>
          <w:rFonts w:ascii="Times New Roman" w:hAnsi="Times New Roman"/>
          <w:sz w:val="24"/>
        </w:rPr>
        <w:t>2021</w:t>
      </w:r>
      <w:r w:rsidR="00254144" w:rsidRPr="00C06B3A">
        <w:rPr>
          <w:rFonts w:ascii="Times New Roman" w:hAnsi="Times New Roman"/>
          <w:sz w:val="24"/>
        </w:rPr>
        <w:t>)</w:t>
      </w:r>
      <w:r w:rsidRPr="00C06B3A">
        <w:rPr>
          <w:rFonts w:ascii="Times New Roman" w:hAnsi="Times New Roman"/>
          <w:sz w:val="24"/>
        </w:rPr>
        <w:t xml:space="preserve"> </w:t>
      </w:r>
      <w:r w:rsidR="00254144" w:rsidRPr="00C06B3A">
        <w:rPr>
          <w:rFonts w:ascii="Times New Roman" w:hAnsi="Times New Roman"/>
          <w:sz w:val="24"/>
        </w:rPr>
        <w:t>362 FLR 284</w:t>
      </w:r>
      <w:r w:rsidRPr="00C06B3A">
        <w:rPr>
          <w:rFonts w:ascii="Times New Roman" w:hAnsi="Times New Roman"/>
          <w:sz w:val="24"/>
        </w:rPr>
        <w:t xml:space="preserve"> at </w:t>
      </w:r>
      <w:r w:rsidR="00254144" w:rsidRPr="00C06B3A">
        <w:rPr>
          <w:rFonts w:ascii="Times New Roman" w:hAnsi="Times New Roman"/>
          <w:sz w:val="24"/>
        </w:rPr>
        <w:t>288 </w:t>
      </w:r>
      <w:r w:rsidRPr="00C06B3A">
        <w:rPr>
          <w:rFonts w:ascii="Times New Roman" w:hAnsi="Times New Roman"/>
          <w:sz w:val="24"/>
        </w:rPr>
        <w:t>[</w:t>
      </w:r>
      <w:proofErr w:type="gramStart"/>
      <w:r w:rsidRPr="00C06B3A">
        <w:rPr>
          <w:rFonts w:ascii="Times New Roman" w:hAnsi="Times New Roman"/>
          <w:sz w:val="24"/>
        </w:rPr>
        <w:t>6]</w:t>
      </w:r>
      <w:r w:rsidRPr="00C06B3A">
        <w:rPr>
          <w:rFonts w:ascii="Times New Roman" w:hAnsi="Times New Roman"/>
          <w:sz w:val="24"/>
        </w:rPr>
        <w:noBreakHyphen/>
      </w:r>
      <w:proofErr w:type="gramEnd"/>
      <w:r w:rsidRPr="00C06B3A">
        <w:rPr>
          <w:rFonts w:ascii="Times New Roman" w:hAnsi="Times New Roman"/>
          <w:sz w:val="24"/>
        </w:rPr>
        <w:t>[7], [9].</w:t>
      </w:r>
    </w:p>
  </w:footnote>
  <w:footnote w:id="14">
    <w:p w14:paraId="504B40BD" w14:textId="4951145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Western Australia v Garlett</w:t>
      </w:r>
      <w:r w:rsidRPr="00C06B3A">
        <w:rPr>
          <w:rFonts w:ascii="Times New Roman" w:hAnsi="Times New Roman"/>
          <w:sz w:val="24"/>
        </w:rPr>
        <w:t xml:space="preserve"> </w:t>
      </w:r>
      <w:r w:rsidR="00CE5B4C" w:rsidRPr="00C06B3A">
        <w:rPr>
          <w:rFonts w:ascii="Times New Roman" w:hAnsi="Times New Roman"/>
          <w:sz w:val="24"/>
        </w:rPr>
        <w:t>(</w:t>
      </w:r>
      <w:r w:rsidRPr="00C06B3A">
        <w:rPr>
          <w:rFonts w:ascii="Times New Roman" w:hAnsi="Times New Roman"/>
          <w:sz w:val="24"/>
        </w:rPr>
        <w:t>2021</w:t>
      </w:r>
      <w:r w:rsidR="00CE5B4C" w:rsidRPr="00C06B3A">
        <w:rPr>
          <w:rFonts w:ascii="Times New Roman" w:hAnsi="Times New Roman"/>
          <w:sz w:val="24"/>
        </w:rPr>
        <w:t>)</w:t>
      </w:r>
      <w:r w:rsidRPr="00C06B3A">
        <w:rPr>
          <w:rFonts w:ascii="Times New Roman" w:hAnsi="Times New Roman"/>
          <w:sz w:val="24"/>
        </w:rPr>
        <w:t xml:space="preserve"> </w:t>
      </w:r>
      <w:r w:rsidR="00CE5B4C" w:rsidRPr="00C06B3A">
        <w:rPr>
          <w:rFonts w:ascii="Times New Roman" w:hAnsi="Times New Roman"/>
          <w:sz w:val="24"/>
        </w:rPr>
        <w:t>362 FLR 284</w:t>
      </w:r>
      <w:r w:rsidRPr="00C06B3A">
        <w:rPr>
          <w:rFonts w:ascii="Times New Roman" w:hAnsi="Times New Roman"/>
          <w:sz w:val="24"/>
        </w:rPr>
        <w:t xml:space="preserve"> at </w:t>
      </w:r>
      <w:r w:rsidR="00CE5B4C" w:rsidRPr="00C06B3A">
        <w:rPr>
          <w:rFonts w:ascii="Times New Roman" w:hAnsi="Times New Roman"/>
          <w:sz w:val="24"/>
        </w:rPr>
        <w:t>288 </w:t>
      </w:r>
      <w:r w:rsidRPr="00C06B3A">
        <w:rPr>
          <w:rFonts w:ascii="Times New Roman" w:hAnsi="Times New Roman"/>
          <w:sz w:val="24"/>
        </w:rPr>
        <w:t>[8].</w:t>
      </w:r>
    </w:p>
  </w:footnote>
  <w:footnote w:id="15">
    <w:p w14:paraId="5E06CF39" w14:textId="079E8C3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(1996) 189 CLR 51.</w:t>
      </w:r>
    </w:p>
  </w:footnote>
  <w:footnote w:id="16">
    <w:p w14:paraId="5800F808" w14:textId="00F1D5F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(1996) 189 CLR 51 at 103</w:t>
      </w:r>
      <w:r w:rsidRPr="00C06B3A">
        <w:rPr>
          <w:rFonts w:ascii="Times New Roman" w:hAnsi="Times New Roman"/>
          <w:sz w:val="24"/>
        </w:rPr>
        <w:noBreakHyphen/>
        <w:t>104, 114</w:t>
      </w:r>
      <w:r w:rsidRPr="00C06B3A">
        <w:rPr>
          <w:rFonts w:ascii="Times New Roman" w:hAnsi="Times New Roman"/>
          <w:sz w:val="24"/>
        </w:rPr>
        <w:noBreakHyphen/>
        <w:t xml:space="preserve">115. See also </w:t>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 xml:space="preserve">(2004) 223 CLR 575 at 591 [15]; </w:t>
      </w:r>
      <w:r w:rsidRPr="00C06B3A">
        <w:rPr>
          <w:rFonts w:ascii="Times New Roman" w:hAnsi="Times New Roman"/>
          <w:i/>
          <w:iCs/>
          <w:sz w:val="24"/>
        </w:rPr>
        <w:t>Vella v Commissioner of Police (NSW)</w:t>
      </w:r>
      <w:r w:rsidRPr="00C06B3A">
        <w:rPr>
          <w:rFonts w:ascii="Times New Roman" w:hAnsi="Times New Roman"/>
          <w:sz w:val="24"/>
        </w:rPr>
        <w:t xml:space="preserve"> (2019) 269 CLR 219 at 246 [55].</w:t>
      </w:r>
    </w:p>
  </w:footnote>
  <w:footnote w:id="17">
    <w:p w14:paraId="38381EC0"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ss 71, 77 of the </w:t>
      </w:r>
      <w:r w:rsidRPr="00C06B3A">
        <w:rPr>
          <w:rFonts w:ascii="Times New Roman" w:hAnsi="Times New Roman"/>
          <w:i/>
          <w:sz w:val="24"/>
        </w:rPr>
        <w:t>Constitution</w:t>
      </w:r>
      <w:r w:rsidRPr="00C06B3A">
        <w:rPr>
          <w:rFonts w:ascii="Times New Roman" w:hAnsi="Times New Roman"/>
          <w:sz w:val="24"/>
        </w:rPr>
        <w:t>.</w:t>
      </w:r>
    </w:p>
  </w:footnote>
  <w:footnote w:id="18">
    <w:p w14:paraId="2EFC5122" w14:textId="7BD5D39E"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Kable v Director of Public Prosecutions (NSW)</w:t>
      </w:r>
      <w:r w:rsidRPr="00C06B3A">
        <w:rPr>
          <w:rFonts w:ascii="Times New Roman" w:hAnsi="Times New Roman"/>
          <w:iCs/>
          <w:sz w:val="24"/>
        </w:rPr>
        <w:t xml:space="preserve"> </w:t>
      </w:r>
      <w:r w:rsidRPr="00C06B3A">
        <w:rPr>
          <w:rFonts w:ascii="Times New Roman" w:hAnsi="Times New Roman"/>
          <w:sz w:val="24"/>
        </w:rPr>
        <w:t>(1996) 189 CLR 51 at 103.</w:t>
      </w:r>
    </w:p>
  </w:footnote>
  <w:footnote w:id="19">
    <w:p w14:paraId="6407FE77" w14:textId="3BDBD77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774355" w:rsidRPr="00C06B3A">
        <w:rPr>
          <w:rFonts w:ascii="Times New Roman" w:hAnsi="Times New Roman"/>
          <w:sz w:val="24"/>
        </w:rPr>
        <w:t>(</w:t>
      </w:r>
      <w:r w:rsidRPr="00C06B3A">
        <w:rPr>
          <w:rFonts w:ascii="Times New Roman" w:hAnsi="Times New Roman"/>
          <w:sz w:val="24"/>
        </w:rPr>
        <w:t>2021</w:t>
      </w:r>
      <w:r w:rsidR="00774355" w:rsidRPr="00C06B3A">
        <w:rPr>
          <w:rFonts w:ascii="Times New Roman" w:hAnsi="Times New Roman"/>
          <w:sz w:val="24"/>
        </w:rPr>
        <w:t>)</w:t>
      </w:r>
      <w:r w:rsidRPr="00C06B3A">
        <w:rPr>
          <w:rFonts w:ascii="Times New Roman" w:hAnsi="Times New Roman"/>
          <w:sz w:val="24"/>
        </w:rPr>
        <w:t xml:space="preserve"> </w:t>
      </w:r>
      <w:r w:rsidR="00774355" w:rsidRPr="00C06B3A">
        <w:rPr>
          <w:rFonts w:ascii="Times New Roman" w:hAnsi="Times New Roman"/>
          <w:sz w:val="24"/>
        </w:rPr>
        <w:t>362 FLR 284</w:t>
      </w:r>
      <w:r w:rsidRPr="00C06B3A">
        <w:rPr>
          <w:rFonts w:ascii="Times New Roman" w:hAnsi="Times New Roman"/>
          <w:sz w:val="24"/>
        </w:rPr>
        <w:t xml:space="preserve"> at </w:t>
      </w:r>
      <w:r w:rsidR="00774355" w:rsidRPr="00C06B3A">
        <w:rPr>
          <w:rFonts w:ascii="Times New Roman" w:hAnsi="Times New Roman"/>
          <w:sz w:val="24"/>
        </w:rPr>
        <w:t>288</w:t>
      </w:r>
      <w:r w:rsidR="00774355" w:rsidRPr="00C06B3A">
        <w:rPr>
          <w:rFonts w:ascii="Times New Roman" w:hAnsi="Times New Roman"/>
          <w:sz w:val="24"/>
        </w:rPr>
        <w:noBreakHyphen/>
        <w:t>289 </w:t>
      </w:r>
      <w:r w:rsidRPr="00C06B3A">
        <w:rPr>
          <w:rFonts w:ascii="Times New Roman" w:hAnsi="Times New Roman"/>
          <w:sz w:val="24"/>
        </w:rPr>
        <w:t>[10], [13].</w:t>
      </w:r>
    </w:p>
  </w:footnote>
  <w:footnote w:id="20">
    <w:p w14:paraId="05D2D586" w14:textId="1688619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BD7FA0" w:rsidRPr="00C06B3A">
        <w:rPr>
          <w:rFonts w:ascii="Times New Roman" w:hAnsi="Times New Roman"/>
          <w:sz w:val="24"/>
        </w:rPr>
        <w:t>(</w:t>
      </w:r>
      <w:r w:rsidRPr="00C06B3A">
        <w:rPr>
          <w:rFonts w:ascii="Times New Roman" w:hAnsi="Times New Roman"/>
          <w:sz w:val="24"/>
        </w:rPr>
        <w:t>2021</w:t>
      </w:r>
      <w:r w:rsidR="00BD7FA0" w:rsidRPr="00C06B3A">
        <w:rPr>
          <w:rFonts w:ascii="Times New Roman" w:hAnsi="Times New Roman"/>
          <w:sz w:val="24"/>
        </w:rPr>
        <w:t>)</w:t>
      </w:r>
      <w:r w:rsidRPr="00C06B3A">
        <w:rPr>
          <w:rFonts w:ascii="Times New Roman" w:hAnsi="Times New Roman"/>
          <w:sz w:val="24"/>
        </w:rPr>
        <w:t xml:space="preserve"> </w:t>
      </w:r>
      <w:r w:rsidR="00BD7FA0" w:rsidRPr="00C06B3A">
        <w:rPr>
          <w:rFonts w:ascii="Times New Roman" w:hAnsi="Times New Roman"/>
          <w:sz w:val="24"/>
        </w:rPr>
        <w:t>362 FLR 284</w:t>
      </w:r>
      <w:r w:rsidRPr="00C06B3A">
        <w:rPr>
          <w:rFonts w:ascii="Times New Roman" w:hAnsi="Times New Roman"/>
          <w:sz w:val="24"/>
        </w:rPr>
        <w:t xml:space="preserve"> at </w:t>
      </w:r>
      <w:r w:rsidR="00BD7FA0" w:rsidRPr="00C06B3A">
        <w:rPr>
          <w:rFonts w:ascii="Times New Roman" w:hAnsi="Times New Roman"/>
          <w:sz w:val="24"/>
        </w:rPr>
        <w:t>289 </w:t>
      </w:r>
      <w:r w:rsidRPr="00C06B3A">
        <w:rPr>
          <w:rFonts w:ascii="Times New Roman" w:hAnsi="Times New Roman"/>
          <w:sz w:val="24"/>
        </w:rPr>
        <w:t>[14].</w:t>
      </w:r>
    </w:p>
  </w:footnote>
  <w:footnote w:id="21">
    <w:p w14:paraId="4197CF47" w14:textId="532DDA34"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BD7FA0" w:rsidRPr="00C06B3A">
        <w:rPr>
          <w:rFonts w:ascii="Times New Roman" w:hAnsi="Times New Roman"/>
          <w:sz w:val="24"/>
        </w:rPr>
        <w:t>(</w:t>
      </w:r>
      <w:r w:rsidRPr="00C06B3A">
        <w:rPr>
          <w:rFonts w:ascii="Times New Roman" w:hAnsi="Times New Roman"/>
          <w:sz w:val="24"/>
        </w:rPr>
        <w:t>2021</w:t>
      </w:r>
      <w:r w:rsidR="00BD7FA0" w:rsidRPr="00C06B3A">
        <w:rPr>
          <w:rFonts w:ascii="Times New Roman" w:hAnsi="Times New Roman"/>
          <w:sz w:val="24"/>
        </w:rPr>
        <w:t>)</w:t>
      </w:r>
      <w:r w:rsidRPr="00C06B3A">
        <w:rPr>
          <w:rFonts w:ascii="Times New Roman" w:hAnsi="Times New Roman"/>
          <w:sz w:val="24"/>
        </w:rPr>
        <w:t xml:space="preserve"> </w:t>
      </w:r>
      <w:r w:rsidR="00BD7FA0" w:rsidRPr="00C06B3A">
        <w:rPr>
          <w:rFonts w:ascii="Times New Roman" w:hAnsi="Times New Roman"/>
          <w:sz w:val="24"/>
        </w:rPr>
        <w:t>362 FLR 284</w:t>
      </w:r>
      <w:r w:rsidRPr="00C06B3A">
        <w:rPr>
          <w:rFonts w:ascii="Times New Roman" w:hAnsi="Times New Roman"/>
          <w:sz w:val="24"/>
        </w:rPr>
        <w:t xml:space="preserve"> at </w:t>
      </w:r>
      <w:r w:rsidR="00BD7FA0" w:rsidRPr="00C06B3A">
        <w:rPr>
          <w:rFonts w:ascii="Times New Roman" w:hAnsi="Times New Roman"/>
          <w:sz w:val="24"/>
        </w:rPr>
        <w:t>289 </w:t>
      </w:r>
      <w:r w:rsidRPr="00C06B3A">
        <w:rPr>
          <w:rFonts w:ascii="Times New Roman" w:hAnsi="Times New Roman"/>
          <w:sz w:val="24"/>
        </w:rPr>
        <w:t>[14(e)</w:t>
      </w:r>
      <w:r w:rsidRPr="00C06B3A">
        <w:rPr>
          <w:rFonts w:ascii="Times New Roman" w:hAnsi="Times New Roman"/>
          <w:sz w:val="24"/>
        </w:rPr>
        <w:noBreakHyphen/>
        <w:t>(f)].</w:t>
      </w:r>
    </w:p>
  </w:footnote>
  <w:footnote w:id="22">
    <w:p w14:paraId="69CCD90F" w14:textId="5A9FD04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C91742" w:rsidRPr="00C06B3A">
        <w:rPr>
          <w:rFonts w:ascii="Times New Roman" w:hAnsi="Times New Roman"/>
          <w:sz w:val="24"/>
        </w:rPr>
        <w:t>(</w:t>
      </w:r>
      <w:r w:rsidRPr="00C06B3A">
        <w:rPr>
          <w:rFonts w:ascii="Times New Roman" w:hAnsi="Times New Roman"/>
          <w:sz w:val="24"/>
        </w:rPr>
        <w:t>2021</w:t>
      </w:r>
      <w:r w:rsidR="00C91742" w:rsidRPr="00C06B3A">
        <w:rPr>
          <w:rFonts w:ascii="Times New Roman" w:hAnsi="Times New Roman"/>
          <w:sz w:val="24"/>
        </w:rPr>
        <w:t>)</w:t>
      </w:r>
      <w:r w:rsidRPr="00C06B3A">
        <w:rPr>
          <w:rFonts w:ascii="Times New Roman" w:hAnsi="Times New Roman"/>
          <w:sz w:val="24"/>
        </w:rPr>
        <w:t xml:space="preserve"> </w:t>
      </w:r>
      <w:r w:rsidR="00C91742" w:rsidRPr="00C06B3A">
        <w:rPr>
          <w:rFonts w:ascii="Times New Roman" w:hAnsi="Times New Roman"/>
          <w:sz w:val="24"/>
        </w:rPr>
        <w:t>362 FLR 284</w:t>
      </w:r>
      <w:r w:rsidRPr="00C06B3A">
        <w:rPr>
          <w:rFonts w:ascii="Times New Roman" w:hAnsi="Times New Roman"/>
          <w:sz w:val="24"/>
        </w:rPr>
        <w:t xml:space="preserve"> at </w:t>
      </w:r>
      <w:r w:rsidR="00C91742" w:rsidRPr="00C06B3A">
        <w:rPr>
          <w:rFonts w:ascii="Times New Roman" w:hAnsi="Times New Roman"/>
          <w:sz w:val="24"/>
        </w:rPr>
        <w:t>29</w:t>
      </w:r>
      <w:r w:rsidR="00D2454A" w:rsidRPr="00C06B3A">
        <w:rPr>
          <w:rFonts w:ascii="Times New Roman" w:hAnsi="Times New Roman"/>
          <w:sz w:val="24"/>
        </w:rPr>
        <w:t>6</w:t>
      </w:r>
      <w:r w:rsidR="00C91742" w:rsidRPr="00C06B3A">
        <w:rPr>
          <w:rFonts w:ascii="Times New Roman" w:hAnsi="Times New Roman"/>
          <w:sz w:val="24"/>
        </w:rPr>
        <w:t> </w:t>
      </w:r>
      <w:r w:rsidRPr="00C06B3A">
        <w:rPr>
          <w:rFonts w:ascii="Times New Roman" w:hAnsi="Times New Roman"/>
          <w:sz w:val="24"/>
        </w:rPr>
        <w:t>[51].</w:t>
      </w:r>
    </w:p>
  </w:footnote>
  <w:footnote w:id="23">
    <w:p w14:paraId="37508F3A" w14:textId="1B276EF2" w:rsidR="00564515" w:rsidRPr="00C06B3A" w:rsidRDefault="00564515"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00F9042D" w:rsidRPr="00C06B3A">
        <w:rPr>
          <w:rFonts w:ascii="Times New Roman" w:hAnsi="Times New Roman"/>
          <w:sz w:val="24"/>
        </w:rPr>
        <w:t xml:space="preserve">See </w:t>
      </w:r>
      <w:r w:rsidR="00967958" w:rsidRPr="00C06B3A">
        <w:rPr>
          <w:rFonts w:ascii="Times New Roman" w:hAnsi="Times New Roman"/>
          <w:sz w:val="24"/>
        </w:rPr>
        <w:t xml:space="preserve">item 1 of Subdiv 1 of Div 2 of Sch 1 to the HRSO </w:t>
      </w:r>
      <w:r w:rsidR="00F9042D" w:rsidRPr="00C06B3A">
        <w:rPr>
          <w:rFonts w:ascii="Times New Roman" w:hAnsi="Times New Roman"/>
          <w:sz w:val="24"/>
        </w:rPr>
        <w:t>Act, which is to commence on a date to be fixed by proclamation.</w:t>
      </w:r>
    </w:p>
  </w:footnote>
  <w:footnote w:id="24">
    <w:p w14:paraId="673029F9" w14:textId="7DCC37D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ss 3, 8(1) of the DSO Act; </w:t>
      </w:r>
      <w:r w:rsidRPr="00C06B3A">
        <w:rPr>
          <w:rFonts w:ascii="Times New Roman" w:hAnsi="Times New Roman"/>
          <w:i/>
          <w:sz w:val="24"/>
        </w:rPr>
        <w:t>Evidence Act 1906 </w:t>
      </w:r>
      <w:r w:rsidRPr="00C06B3A">
        <w:rPr>
          <w:rFonts w:ascii="Times New Roman" w:hAnsi="Times New Roman"/>
          <w:sz w:val="24"/>
        </w:rPr>
        <w:t>(WA), s 106A.</w:t>
      </w:r>
    </w:p>
  </w:footnote>
  <w:footnote w:id="25">
    <w:p w14:paraId="5CBDA67F" w14:textId="5B97428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5 of the HRSO Act.</w:t>
      </w:r>
    </w:p>
  </w:footnote>
  <w:footnote w:id="26">
    <w:p w14:paraId="01525F80" w14:textId="367D372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item 34 of </w:t>
      </w:r>
      <w:r w:rsidR="007E59D5" w:rsidRPr="00C06B3A">
        <w:rPr>
          <w:rFonts w:ascii="Times New Roman" w:hAnsi="Times New Roman"/>
          <w:sz w:val="24"/>
        </w:rPr>
        <w:t xml:space="preserve">Subdiv 3 of Div 1 of Sch 1 to </w:t>
      </w:r>
      <w:r w:rsidRPr="00C06B3A">
        <w:rPr>
          <w:rFonts w:ascii="Times New Roman" w:hAnsi="Times New Roman"/>
          <w:sz w:val="24"/>
        </w:rPr>
        <w:t xml:space="preserve">the HRSO Act; </w:t>
      </w:r>
      <w:r w:rsidRPr="00C06B3A">
        <w:rPr>
          <w:rFonts w:ascii="Times New Roman" w:hAnsi="Times New Roman"/>
          <w:i/>
          <w:sz w:val="24"/>
        </w:rPr>
        <w:t>Criminal Code </w:t>
      </w:r>
      <w:r w:rsidRPr="00C06B3A">
        <w:rPr>
          <w:rFonts w:ascii="Times New Roman" w:hAnsi="Times New Roman"/>
          <w:sz w:val="24"/>
        </w:rPr>
        <w:t>(WA), s 392.</w:t>
      </w:r>
    </w:p>
  </w:footnote>
  <w:footnote w:id="27">
    <w:p w14:paraId="3DC13544" w14:textId="46DB82D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Western Australia v Garlett </w:t>
      </w:r>
      <w:r w:rsidR="00D142F4" w:rsidRPr="00C06B3A">
        <w:rPr>
          <w:rFonts w:ascii="Times New Roman" w:hAnsi="Times New Roman"/>
          <w:sz w:val="24"/>
        </w:rPr>
        <w:t>(</w:t>
      </w:r>
      <w:r w:rsidRPr="00C06B3A">
        <w:rPr>
          <w:rFonts w:ascii="Times New Roman" w:hAnsi="Times New Roman"/>
          <w:sz w:val="24"/>
        </w:rPr>
        <w:t>2021</w:t>
      </w:r>
      <w:r w:rsidR="00D142F4" w:rsidRPr="00C06B3A">
        <w:rPr>
          <w:rFonts w:ascii="Times New Roman" w:hAnsi="Times New Roman"/>
          <w:sz w:val="24"/>
        </w:rPr>
        <w:t>)</w:t>
      </w:r>
      <w:r w:rsidRPr="00C06B3A">
        <w:rPr>
          <w:rFonts w:ascii="Times New Roman" w:hAnsi="Times New Roman"/>
          <w:sz w:val="24"/>
        </w:rPr>
        <w:t xml:space="preserve"> </w:t>
      </w:r>
      <w:r w:rsidR="00A6646C" w:rsidRPr="00C06B3A">
        <w:rPr>
          <w:rFonts w:ascii="Times New Roman" w:hAnsi="Times New Roman"/>
          <w:sz w:val="24"/>
        </w:rPr>
        <w:t>362 FLR 284</w:t>
      </w:r>
      <w:r w:rsidRPr="00C06B3A">
        <w:rPr>
          <w:rFonts w:ascii="Times New Roman" w:hAnsi="Times New Roman"/>
          <w:sz w:val="24"/>
        </w:rPr>
        <w:t xml:space="preserve"> at </w:t>
      </w:r>
      <w:r w:rsidR="00A6646C" w:rsidRPr="00C06B3A">
        <w:rPr>
          <w:rFonts w:ascii="Times New Roman" w:hAnsi="Times New Roman"/>
          <w:sz w:val="24"/>
        </w:rPr>
        <w:t>296</w:t>
      </w:r>
      <w:r w:rsidR="00A6646C" w:rsidRPr="00C06B3A">
        <w:rPr>
          <w:rFonts w:ascii="Times New Roman" w:hAnsi="Times New Roman"/>
          <w:sz w:val="24"/>
        </w:rPr>
        <w:noBreakHyphen/>
        <w:t>297 </w:t>
      </w:r>
      <w:r w:rsidRPr="00C06B3A">
        <w:rPr>
          <w:rFonts w:ascii="Times New Roman" w:hAnsi="Times New Roman"/>
          <w:sz w:val="24"/>
        </w:rPr>
        <w:t>[56].</w:t>
      </w:r>
    </w:p>
  </w:footnote>
  <w:footnote w:id="28">
    <w:p w14:paraId="48E6BA86" w14:textId="0B4935F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82(2) of the HRSO Act.</w:t>
      </w:r>
    </w:p>
  </w:footnote>
  <w:footnote w:id="29">
    <w:p w14:paraId="4355AC0A" w14:textId="2F724BB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14 of the HRSO Act.</w:t>
      </w:r>
    </w:p>
  </w:footnote>
  <w:footnote w:id="30">
    <w:p w14:paraId="5F3DF068" w14:textId="3DFDB7B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15(2) of the HRSO Act.</w:t>
      </w:r>
    </w:p>
  </w:footnote>
  <w:footnote w:id="31">
    <w:p w14:paraId="764031C9" w14:textId="12AD30D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ss 3, 17 of the HRSO Act. See also s 18.</w:t>
      </w:r>
    </w:p>
  </w:footnote>
  <w:footnote w:id="32">
    <w:p w14:paraId="272704F7" w14:textId="358DB21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26(1) of the HRSO Act.</w:t>
      </w:r>
    </w:p>
  </w:footnote>
  <w:footnote w:id="33">
    <w:p w14:paraId="39068CE2" w14:textId="4323131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27(1) of the HRSO Act.</w:t>
      </w:r>
    </w:p>
  </w:footnote>
  <w:footnote w:id="34">
    <w:p w14:paraId="2370A2C8" w14:textId="1E85B0E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37(1), (2) of the HRSO Act.</w:t>
      </w:r>
    </w:p>
  </w:footnote>
  <w:footnote w:id="35">
    <w:p w14:paraId="3F09E8F8" w14:textId="1D607FC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43(1) of the HRSO Act.</w:t>
      </w:r>
    </w:p>
  </w:footnote>
  <w:footnote w:id="36">
    <w:p w14:paraId="20C29C02"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45 of the HRSO Act.</w:t>
      </w:r>
    </w:p>
  </w:footnote>
  <w:footnote w:id="37">
    <w:p w14:paraId="0F727A39" w14:textId="603E687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w:t>
      </w:r>
      <w:r w:rsidR="00AA3CB7" w:rsidRPr="00C06B3A">
        <w:rPr>
          <w:rFonts w:ascii="Times New Roman" w:hAnsi="Times New Roman"/>
          <w:sz w:val="24"/>
        </w:rPr>
        <w:t>s</w:t>
      </w:r>
      <w:r w:rsidRPr="00C06B3A">
        <w:rPr>
          <w:rFonts w:ascii="Times New Roman" w:hAnsi="Times New Roman"/>
          <w:sz w:val="24"/>
        </w:rPr>
        <w:t> 41</w:t>
      </w:r>
      <w:r w:rsidR="00AA3CB7" w:rsidRPr="00C06B3A">
        <w:rPr>
          <w:rFonts w:ascii="Times New Roman" w:hAnsi="Times New Roman"/>
          <w:sz w:val="24"/>
        </w:rPr>
        <w:t>, 44</w:t>
      </w:r>
      <w:r w:rsidRPr="00C06B3A">
        <w:rPr>
          <w:rFonts w:ascii="Times New Roman" w:hAnsi="Times New Roman"/>
          <w:sz w:val="24"/>
        </w:rPr>
        <w:t xml:space="preserve"> of the HRSO Act.</w:t>
      </w:r>
    </w:p>
  </w:footnote>
  <w:footnote w:id="38">
    <w:p w14:paraId="31B23EFE" w14:textId="3D3E1A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ss 34, 39 of the HRSO Act.</w:t>
      </w:r>
    </w:p>
  </w:footnote>
  <w:footnote w:id="39">
    <w:p w14:paraId="10102895" w14:textId="6FF6137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65(1) of the HRSO Act.</w:t>
      </w:r>
    </w:p>
  </w:footnote>
  <w:footnote w:id="40">
    <w:p w14:paraId="2DA84652" w14:textId="797EC97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68 of the HRSO Act.</w:t>
      </w:r>
    </w:p>
  </w:footnote>
  <w:footnote w:id="41">
    <w:p w14:paraId="2CB7B0A0" w14:textId="7DA05BD6"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69(1), (3)(b) of the HRSO Act.</w:t>
      </w:r>
    </w:p>
  </w:footnote>
  <w:footnote w:id="42">
    <w:p w14:paraId="782583E6" w14:textId="605EDB2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FD1510" w:rsidRPr="00C06B3A">
        <w:rPr>
          <w:rFonts w:ascii="Times New Roman" w:hAnsi="Times New Roman"/>
          <w:sz w:val="24"/>
        </w:rPr>
        <w:t>(</w:t>
      </w:r>
      <w:r w:rsidRPr="00C06B3A">
        <w:rPr>
          <w:rFonts w:ascii="Times New Roman" w:hAnsi="Times New Roman"/>
          <w:sz w:val="24"/>
        </w:rPr>
        <w:t>2021</w:t>
      </w:r>
      <w:r w:rsidR="00FD1510" w:rsidRPr="00C06B3A">
        <w:rPr>
          <w:rFonts w:ascii="Times New Roman" w:hAnsi="Times New Roman"/>
          <w:sz w:val="24"/>
        </w:rPr>
        <w:t>)</w:t>
      </w:r>
      <w:r w:rsidRPr="00C06B3A">
        <w:rPr>
          <w:rFonts w:ascii="Times New Roman" w:hAnsi="Times New Roman"/>
          <w:sz w:val="24"/>
        </w:rPr>
        <w:t xml:space="preserve"> </w:t>
      </w:r>
      <w:r w:rsidR="000D2381" w:rsidRPr="00C06B3A">
        <w:rPr>
          <w:rFonts w:ascii="Times New Roman" w:hAnsi="Times New Roman"/>
          <w:sz w:val="24"/>
        </w:rPr>
        <w:t>362 FLR 284</w:t>
      </w:r>
      <w:r w:rsidRPr="00C06B3A">
        <w:rPr>
          <w:rFonts w:ascii="Times New Roman" w:hAnsi="Times New Roman"/>
          <w:sz w:val="24"/>
        </w:rPr>
        <w:t xml:space="preserve"> at </w:t>
      </w:r>
      <w:r w:rsidR="000D2381" w:rsidRPr="00C06B3A">
        <w:rPr>
          <w:rFonts w:ascii="Times New Roman" w:hAnsi="Times New Roman"/>
          <w:sz w:val="24"/>
        </w:rPr>
        <w:t>313 </w:t>
      </w:r>
      <w:r w:rsidRPr="00C06B3A">
        <w:rPr>
          <w:rFonts w:ascii="Times New Roman" w:hAnsi="Times New Roman"/>
          <w:sz w:val="24"/>
        </w:rPr>
        <w:t xml:space="preserve">[109]. See also </w:t>
      </w:r>
      <w:r w:rsidR="000D2381" w:rsidRPr="00C06B3A">
        <w:rPr>
          <w:rFonts w:ascii="Times New Roman" w:hAnsi="Times New Roman"/>
          <w:sz w:val="24"/>
        </w:rPr>
        <w:t>312</w:t>
      </w:r>
      <w:r w:rsidR="000D2381" w:rsidRPr="00C06B3A">
        <w:rPr>
          <w:rFonts w:ascii="Times New Roman" w:hAnsi="Times New Roman"/>
          <w:sz w:val="24"/>
        </w:rPr>
        <w:noBreakHyphen/>
        <w:t>313 </w:t>
      </w:r>
      <w:r w:rsidRPr="00C06B3A">
        <w:rPr>
          <w:rFonts w:ascii="Times New Roman" w:hAnsi="Times New Roman"/>
          <w:sz w:val="24"/>
        </w:rPr>
        <w:t>[</w:t>
      </w:r>
      <w:proofErr w:type="gramStart"/>
      <w:r w:rsidRPr="00C06B3A">
        <w:rPr>
          <w:rFonts w:ascii="Times New Roman" w:hAnsi="Times New Roman"/>
          <w:sz w:val="24"/>
        </w:rPr>
        <w:t>106]</w:t>
      </w:r>
      <w:r w:rsidRPr="00C06B3A">
        <w:rPr>
          <w:rFonts w:ascii="Times New Roman" w:hAnsi="Times New Roman"/>
          <w:sz w:val="24"/>
        </w:rPr>
        <w:noBreakHyphen/>
      </w:r>
      <w:proofErr w:type="gramEnd"/>
      <w:r w:rsidRPr="00C06B3A">
        <w:rPr>
          <w:rFonts w:ascii="Times New Roman" w:hAnsi="Times New Roman"/>
          <w:sz w:val="24"/>
        </w:rPr>
        <w:t>[108].</w:t>
      </w:r>
    </w:p>
  </w:footnote>
  <w:footnote w:id="43">
    <w:p w14:paraId="52420025" w14:textId="3C5323C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7C6DD6" w:rsidRPr="00C06B3A">
        <w:rPr>
          <w:rFonts w:ascii="Times New Roman" w:hAnsi="Times New Roman"/>
          <w:sz w:val="24"/>
        </w:rPr>
        <w:t>(</w:t>
      </w:r>
      <w:r w:rsidRPr="00C06B3A">
        <w:rPr>
          <w:rFonts w:ascii="Times New Roman" w:hAnsi="Times New Roman"/>
          <w:sz w:val="24"/>
        </w:rPr>
        <w:t>2021</w:t>
      </w:r>
      <w:r w:rsidR="007C6DD6" w:rsidRPr="00C06B3A">
        <w:rPr>
          <w:rFonts w:ascii="Times New Roman" w:hAnsi="Times New Roman"/>
          <w:sz w:val="24"/>
        </w:rPr>
        <w:t>)</w:t>
      </w:r>
      <w:r w:rsidRPr="00C06B3A">
        <w:rPr>
          <w:rFonts w:ascii="Times New Roman" w:hAnsi="Times New Roman"/>
          <w:sz w:val="24"/>
        </w:rPr>
        <w:t xml:space="preserve"> </w:t>
      </w:r>
      <w:r w:rsidR="009F6682" w:rsidRPr="00C06B3A">
        <w:rPr>
          <w:rFonts w:ascii="Times New Roman" w:hAnsi="Times New Roman"/>
          <w:sz w:val="24"/>
        </w:rPr>
        <w:t>362 FLR 284</w:t>
      </w:r>
      <w:r w:rsidRPr="00C06B3A">
        <w:rPr>
          <w:rFonts w:ascii="Times New Roman" w:hAnsi="Times New Roman"/>
          <w:sz w:val="24"/>
        </w:rPr>
        <w:t xml:space="preserve"> at </w:t>
      </w:r>
      <w:r w:rsidR="009F6682" w:rsidRPr="00C06B3A">
        <w:rPr>
          <w:rFonts w:ascii="Times New Roman" w:hAnsi="Times New Roman"/>
          <w:sz w:val="24"/>
        </w:rPr>
        <w:t>314 </w:t>
      </w:r>
      <w:r w:rsidRPr="00C06B3A">
        <w:rPr>
          <w:rFonts w:ascii="Times New Roman" w:hAnsi="Times New Roman"/>
          <w:sz w:val="24"/>
        </w:rPr>
        <w:t>[121].</w:t>
      </w:r>
    </w:p>
  </w:footnote>
  <w:footnote w:id="44">
    <w:p w14:paraId="490C735E" w14:textId="37C4D33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4B69B8" w:rsidRPr="00C06B3A">
        <w:rPr>
          <w:rFonts w:ascii="Times New Roman" w:hAnsi="Times New Roman"/>
          <w:sz w:val="24"/>
        </w:rPr>
        <w:t>(</w:t>
      </w:r>
      <w:r w:rsidRPr="00C06B3A">
        <w:rPr>
          <w:rFonts w:ascii="Times New Roman" w:hAnsi="Times New Roman"/>
          <w:sz w:val="24"/>
        </w:rPr>
        <w:t>2021</w:t>
      </w:r>
      <w:r w:rsidR="004B69B8" w:rsidRPr="00C06B3A">
        <w:rPr>
          <w:rFonts w:ascii="Times New Roman" w:hAnsi="Times New Roman"/>
          <w:sz w:val="24"/>
        </w:rPr>
        <w:t>)</w:t>
      </w:r>
      <w:r w:rsidRPr="00C06B3A">
        <w:rPr>
          <w:rFonts w:ascii="Times New Roman" w:hAnsi="Times New Roman"/>
          <w:sz w:val="24"/>
        </w:rPr>
        <w:t xml:space="preserve"> </w:t>
      </w:r>
      <w:r w:rsidR="004B69B8" w:rsidRPr="00C06B3A">
        <w:rPr>
          <w:rFonts w:ascii="Times New Roman" w:hAnsi="Times New Roman"/>
          <w:sz w:val="24"/>
        </w:rPr>
        <w:t>362 FLR 284</w:t>
      </w:r>
      <w:r w:rsidRPr="00C06B3A">
        <w:rPr>
          <w:rFonts w:ascii="Times New Roman" w:hAnsi="Times New Roman"/>
          <w:sz w:val="24"/>
        </w:rPr>
        <w:t xml:space="preserve"> at </w:t>
      </w:r>
      <w:r w:rsidR="004B69B8" w:rsidRPr="00C06B3A">
        <w:rPr>
          <w:rFonts w:ascii="Times New Roman" w:hAnsi="Times New Roman"/>
          <w:sz w:val="24"/>
        </w:rPr>
        <w:t>314 </w:t>
      </w:r>
      <w:r w:rsidRPr="00C06B3A">
        <w:rPr>
          <w:rFonts w:ascii="Times New Roman" w:hAnsi="Times New Roman"/>
          <w:sz w:val="24"/>
        </w:rPr>
        <w:t>[122].</w:t>
      </w:r>
    </w:p>
  </w:footnote>
  <w:footnote w:id="45">
    <w:p w14:paraId="4BC3FDD9" w14:textId="4B7F352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4B69B8" w:rsidRPr="00C06B3A">
        <w:rPr>
          <w:rFonts w:ascii="Times New Roman" w:hAnsi="Times New Roman"/>
          <w:sz w:val="24"/>
        </w:rPr>
        <w:t>(</w:t>
      </w:r>
      <w:r w:rsidRPr="00C06B3A">
        <w:rPr>
          <w:rFonts w:ascii="Times New Roman" w:hAnsi="Times New Roman"/>
          <w:sz w:val="24"/>
        </w:rPr>
        <w:t>2021</w:t>
      </w:r>
      <w:r w:rsidR="004B69B8" w:rsidRPr="00C06B3A">
        <w:rPr>
          <w:rFonts w:ascii="Times New Roman" w:hAnsi="Times New Roman"/>
          <w:sz w:val="24"/>
        </w:rPr>
        <w:t>)</w:t>
      </w:r>
      <w:r w:rsidRPr="00C06B3A">
        <w:rPr>
          <w:rFonts w:ascii="Times New Roman" w:hAnsi="Times New Roman"/>
          <w:sz w:val="24"/>
        </w:rPr>
        <w:t xml:space="preserve"> </w:t>
      </w:r>
      <w:r w:rsidR="004B69B8" w:rsidRPr="00C06B3A">
        <w:rPr>
          <w:rFonts w:ascii="Times New Roman" w:hAnsi="Times New Roman"/>
          <w:sz w:val="24"/>
        </w:rPr>
        <w:t>362 FLR 284</w:t>
      </w:r>
      <w:r w:rsidRPr="00C06B3A">
        <w:rPr>
          <w:rFonts w:ascii="Times New Roman" w:hAnsi="Times New Roman"/>
          <w:sz w:val="24"/>
        </w:rPr>
        <w:t xml:space="preserve"> at </w:t>
      </w:r>
      <w:r w:rsidR="004B69B8" w:rsidRPr="00C06B3A">
        <w:rPr>
          <w:rFonts w:ascii="Times New Roman" w:hAnsi="Times New Roman"/>
          <w:sz w:val="24"/>
        </w:rPr>
        <w:t>314 </w:t>
      </w:r>
      <w:r w:rsidRPr="00C06B3A">
        <w:rPr>
          <w:rFonts w:ascii="Times New Roman" w:hAnsi="Times New Roman"/>
          <w:sz w:val="24"/>
        </w:rPr>
        <w:t>[123], [125].</w:t>
      </w:r>
    </w:p>
  </w:footnote>
  <w:footnote w:id="46">
    <w:p w14:paraId="38EE5C34" w14:textId="1AAA71E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4B69B8" w:rsidRPr="00C06B3A">
        <w:rPr>
          <w:rFonts w:ascii="Times New Roman" w:hAnsi="Times New Roman"/>
          <w:sz w:val="24"/>
        </w:rPr>
        <w:t>(</w:t>
      </w:r>
      <w:r w:rsidRPr="00C06B3A">
        <w:rPr>
          <w:rFonts w:ascii="Times New Roman" w:hAnsi="Times New Roman"/>
          <w:sz w:val="24"/>
        </w:rPr>
        <w:t>2021</w:t>
      </w:r>
      <w:r w:rsidR="004B69B8" w:rsidRPr="00C06B3A">
        <w:rPr>
          <w:rFonts w:ascii="Times New Roman" w:hAnsi="Times New Roman"/>
          <w:sz w:val="24"/>
        </w:rPr>
        <w:t>)</w:t>
      </w:r>
      <w:r w:rsidRPr="00C06B3A">
        <w:rPr>
          <w:rFonts w:ascii="Times New Roman" w:hAnsi="Times New Roman"/>
          <w:sz w:val="24"/>
        </w:rPr>
        <w:t xml:space="preserve"> </w:t>
      </w:r>
      <w:r w:rsidR="004B69B8" w:rsidRPr="00C06B3A">
        <w:rPr>
          <w:rFonts w:ascii="Times New Roman" w:hAnsi="Times New Roman"/>
          <w:sz w:val="24"/>
        </w:rPr>
        <w:t>362 FLR 284</w:t>
      </w:r>
      <w:r w:rsidRPr="00C06B3A">
        <w:rPr>
          <w:rFonts w:ascii="Times New Roman" w:hAnsi="Times New Roman"/>
          <w:sz w:val="24"/>
        </w:rPr>
        <w:t xml:space="preserve"> at </w:t>
      </w:r>
      <w:r w:rsidR="004B69B8" w:rsidRPr="00C06B3A">
        <w:rPr>
          <w:rFonts w:ascii="Times New Roman" w:hAnsi="Times New Roman"/>
          <w:sz w:val="24"/>
        </w:rPr>
        <w:t>320 </w:t>
      </w:r>
      <w:r w:rsidRPr="00C06B3A">
        <w:rPr>
          <w:rFonts w:ascii="Times New Roman" w:hAnsi="Times New Roman"/>
          <w:sz w:val="24"/>
        </w:rPr>
        <w:t>[145].</w:t>
      </w:r>
    </w:p>
  </w:footnote>
  <w:footnote w:id="47">
    <w:p w14:paraId="6F3E8D25" w14:textId="6242E7C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[2016] WASC 212.</w:t>
      </w:r>
    </w:p>
  </w:footnote>
  <w:footnote w:id="48">
    <w:p w14:paraId="5C170174" w14:textId="121A96B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4B69B8" w:rsidRPr="00C06B3A">
        <w:rPr>
          <w:rFonts w:ascii="Times New Roman" w:hAnsi="Times New Roman"/>
          <w:sz w:val="24"/>
        </w:rPr>
        <w:t>(</w:t>
      </w:r>
      <w:r w:rsidRPr="00C06B3A">
        <w:rPr>
          <w:rFonts w:ascii="Times New Roman" w:hAnsi="Times New Roman"/>
          <w:sz w:val="24"/>
        </w:rPr>
        <w:t>2021</w:t>
      </w:r>
      <w:r w:rsidR="004B69B8" w:rsidRPr="00C06B3A">
        <w:rPr>
          <w:rFonts w:ascii="Times New Roman" w:hAnsi="Times New Roman"/>
          <w:sz w:val="24"/>
        </w:rPr>
        <w:t>)</w:t>
      </w:r>
      <w:r w:rsidRPr="00C06B3A">
        <w:rPr>
          <w:rFonts w:ascii="Times New Roman" w:hAnsi="Times New Roman"/>
          <w:sz w:val="24"/>
        </w:rPr>
        <w:t xml:space="preserve"> </w:t>
      </w:r>
      <w:r w:rsidR="004B69B8" w:rsidRPr="00C06B3A">
        <w:rPr>
          <w:rFonts w:ascii="Times New Roman" w:hAnsi="Times New Roman"/>
          <w:sz w:val="24"/>
        </w:rPr>
        <w:t>362 FLR 284</w:t>
      </w:r>
      <w:r w:rsidRPr="00C06B3A">
        <w:rPr>
          <w:rFonts w:ascii="Times New Roman" w:hAnsi="Times New Roman"/>
          <w:sz w:val="24"/>
        </w:rPr>
        <w:t xml:space="preserve"> at </w:t>
      </w:r>
      <w:r w:rsidR="004B69B8" w:rsidRPr="00C06B3A">
        <w:rPr>
          <w:rFonts w:ascii="Times New Roman" w:hAnsi="Times New Roman"/>
          <w:sz w:val="24"/>
        </w:rPr>
        <w:t>320 </w:t>
      </w:r>
      <w:r w:rsidRPr="00C06B3A">
        <w:rPr>
          <w:rFonts w:ascii="Times New Roman" w:hAnsi="Times New Roman"/>
          <w:sz w:val="24"/>
        </w:rPr>
        <w:t>[146].</w:t>
      </w:r>
    </w:p>
  </w:footnote>
  <w:footnote w:id="49">
    <w:p w14:paraId="4544D984" w14:textId="6E108E5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00AA3CB7" w:rsidRPr="00C06B3A">
        <w:rPr>
          <w:rFonts w:ascii="Times New Roman" w:hAnsi="Times New Roman"/>
          <w:sz w:val="24"/>
        </w:rPr>
        <w:t>s</w:t>
      </w:r>
      <w:r w:rsidRPr="00C06B3A">
        <w:rPr>
          <w:rFonts w:ascii="Times New Roman" w:hAnsi="Times New Roman"/>
          <w:sz w:val="24"/>
        </w:rPr>
        <w:t>s </w:t>
      </w:r>
      <w:r w:rsidR="00AA3CB7" w:rsidRPr="00C06B3A">
        <w:rPr>
          <w:rFonts w:ascii="Times New Roman" w:hAnsi="Times New Roman"/>
          <w:sz w:val="24"/>
        </w:rPr>
        <w:t xml:space="preserve">45, </w:t>
      </w:r>
      <w:r w:rsidRPr="00C06B3A">
        <w:rPr>
          <w:rFonts w:ascii="Times New Roman" w:hAnsi="Times New Roman"/>
          <w:sz w:val="24"/>
        </w:rPr>
        <w:t>84 of the HRSO Act.</w:t>
      </w:r>
    </w:p>
  </w:footnote>
  <w:footnote w:id="50">
    <w:p w14:paraId="7D598939" w14:textId="26CAF286"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ss 84(3)(b), 86(2), (3) of the HRSO Act.</w:t>
      </w:r>
    </w:p>
  </w:footnote>
  <w:footnote w:id="51">
    <w:p w14:paraId="6EF23B9A"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75(1)(b) of the HRSO Act.</w:t>
      </w:r>
    </w:p>
  </w:footnote>
  <w:footnote w:id="52">
    <w:p w14:paraId="5DE5725D" w14:textId="0DBDB75D"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DF5C94" w:rsidRPr="00C06B3A">
        <w:rPr>
          <w:rFonts w:ascii="Times New Roman" w:hAnsi="Times New Roman"/>
          <w:sz w:val="24"/>
        </w:rPr>
        <w:t>(</w:t>
      </w:r>
      <w:r w:rsidRPr="00C06B3A">
        <w:rPr>
          <w:rFonts w:ascii="Times New Roman" w:hAnsi="Times New Roman"/>
          <w:sz w:val="24"/>
        </w:rPr>
        <w:t>2021</w:t>
      </w:r>
      <w:r w:rsidR="00DF5C94" w:rsidRPr="00C06B3A">
        <w:rPr>
          <w:rFonts w:ascii="Times New Roman" w:hAnsi="Times New Roman"/>
          <w:sz w:val="24"/>
        </w:rPr>
        <w:t>)</w:t>
      </w:r>
      <w:r w:rsidRPr="00C06B3A">
        <w:rPr>
          <w:rFonts w:ascii="Times New Roman" w:hAnsi="Times New Roman"/>
          <w:sz w:val="24"/>
        </w:rPr>
        <w:t xml:space="preserve"> </w:t>
      </w:r>
      <w:r w:rsidR="001E7F17" w:rsidRPr="00C06B3A">
        <w:rPr>
          <w:rFonts w:ascii="Times New Roman" w:hAnsi="Times New Roman"/>
          <w:sz w:val="24"/>
        </w:rPr>
        <w:t>362 FLR 284</w:t>
      </w:r>
      <w:r w:rsidRPr="00C06B3A">
        <w:rPr>
          <w:rFonts w:ascii="Times New Roman" w:hAnsi="Times New Roman"/>
          <w:sz w:val="24"/>
        </w:rPr>
        <w:t xml:space="preserve"> at </w:t>
      </w:r>
      <w:r w:rsidR="00C15550" w:rsidRPr="00C06B3A">
        <w:rPr>
          <w:rFonts w:ascii="Times New Roman" w:hAnsi="Times New Roman"/>
          <w:sz w:val="24"/>
        </w:rPr>
        <w:t>320</w:t>
      </w:r>
      <w:r w:rsidR="00C15550" w:rsidRPr="00C06B3A">
        <w:rPr>
          <w:rFonts w:ascii="Times New Roman" w:hAnsi="Times New Roman"/>
          <w:sz w:val="24"/>
        </w:rPr>
        <w:noBreakHyphen/>
      </w:r>
      <w:r w:rsidR="001E7F17" w:rsidRPr="00C06B3A">
        <w:rPr>
          <w:rFonts w:ascii="Times New Roman" w:hAnsi="Times New Roman"/>
          <w:sz w:val="24"/>
        </w:rPr>
        <w:t>321 </w:t>
      </w:r>
      <w:r w:rsidRPr="00C06B3A">
        <w:rPr>
          <w:rFonts w:ascii="Times New Roman" w:hAnsi="Times New Roman"/>
          <w:sz w:val="24"/>
        </w:rPr>
        <w:t>[147].</w:t>
      </w:r>
    </w:p>
  </w:footnote>
  <w:footnote w:id="53">
    <w:p w14:paraId="39472CF8" w14:textId="238E8686"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C15550" w:rsidRPr="00C06B3A">
        <w:rPr>
          <w:rFonts w:ascii="Times New Roman" w:hAnsi="Times New Roman"/>
          <w:sz w:val="24"/>
        </w:rPr>
        <w:t>(</w:t>
      </w:r>
      <w:r w:rsidRPr="00C06B3A">
        <w:rPr>
          <w:rFonts w:ascii="Times New Roman" w:hAnsi="Times New Roman"/>
          <w:sz w:val="24"/>
        </w:rPr>
        <w:t>2021</w:t>
      </w:r>
      <w:r w:rsidR="00C15550" w:rsidRPr="00C06B3A">
        <w:rPr>
          <w:rFonts w:ascii="Times New Roman" w:hAnsi="Times New Roman"/>
          <w:sz w:val="24"/>
        </w:rPr>
        <w:t>)</w:t>
      </w:r>
      <w:r w:rsidRPr="00C06B3A">
        <w:rPr>
          <w:rFonts w:ascii="Times New Roman" w:hAnsi="Times New Roman"/>
          <w:sz w:val="24"/>
        </w:rPr>
        <w:t xml:space="preserve"> </w:t>
      </w:r>
      <w:r w:rsidR="00C15550" w:rsidRPr="00C06B3A">
        <w:rPr>
          <w:rFonts w:ascii="Times New Roman" w:hAnsi="Times New Roman"/>
          <w:sz w:val="24"/>
        </w:rPr>
        <w:t>362 FLR 284</w:t>
      </w:r>
      <w:r w:rsidRPr="00C06B3A">
        <w:rPr>
          <w:rFonts w:ascii="Times New Roman" w:hAnsi="Times New Roman"/>
          <w:sz w:val="24"/>
        </w:rPr>
        <w:t xml:space="preserve"> at </w:t>
      </w:r>
      <w:r w:rsidR="003A23AB" w:rsidRPr="00C06B3A">
        <w:rPr>
          <w:rFonts w:ascii="Times New Roman" w:hAnsi="Times New Roman"/>
          <w:sz w:val="24"/>
        </w:rPr>
        <w:t>324</w:t>
      </w:r>
      <w:r w:rsidR="003A23AB" w:rsidRPr="00C06B3A">
        <w:rPr>
          <w:rFonts w:ascii="Times New Roman" w:hAnsi="Times New Roman"/>
          <w:sz w:val="24"/>
        </w:rPr>
        <w:noBreakHyphen/>
        <w:t>325 </w:t>
      </w:r>
      <w:r w:rsidRPr="00C06B3A">
        <w:rPr>
          <w:rFonts w:ascii="Times New Roman" w:hAnsi="Times New Roman"/>
          <w:sz w:val="24"/>
        </w:rPr>
        <w:t>[161].</w:t>
      </w:r>
    </w:p>
  </w:footnote>
  <w:footnote w:id="54">
    <w:p w14:paraId="46613785" w14:textId="64C20D7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5344A3" w:rsidRPr="00C06B3A">
        <w:rPr>
          <w:rFonts w:ascii="Times New Roman" w:hAnsi="Times New Roman"/>
          <w:sz w:val="24"/>
        </w:rPr>
        <w:t>(</w:t>
      </w:r>
      <w:r w:rsidRPr="00C06B3A">
        <w:rPr>
          <w:rFonts w:ascii="Times New Roman" w:hAnsi="Times New Roman"/>
          <w:sz w:val="24"/>
        </w:rPr>
        <w:t>2021</w:t>
      </w:r>
      <w:r w:rsidR="005344A3" w:rsidRPr="00C06B3A">
        <w:rPr>
          <w:rFonts w:ascii="Times New Roman" w:hAnsi="Times New Roman"/>
          <w:sz w:val="24"/>
        </w:rPr>
        <w:t>)</w:t>
      </w:r>
      <w:r w:rsidRPr="00C06B3A">
        <w:rPr>
          <w:rFonts w:ascii="Times New Roman" w:hAnsi="Times New Roman"/>
          <w:sz w:val="24"/>
        </w:rPr>
        <w:t xml:space="preserve"> </w:t>
      </w:r>
      <w:r w:rsidR="005344A3" w:rsidRPr="00C06B3A">
        <w:rPr>
          <w:rFonts w:ascii="Times New Roman" w:hAnsi="Times New Roman"/>
          <w:sz w:val="24"/>
        </w:rPr>
        <w:t>362 FLR 284</w:t>
      </w:r>
      <w:r w:rsidRPr="00C06B3A">
        <w:rPr>
          <w:rFonts w:ascii="Times New Roman" w:hAnsi="Times New Roman"/>
          <w:sz w:val="24"/>
        </w:rPr>
        <w:t xml:space="preserve"> at </w:t>
      </w:r>
      <w:r w:rsidR="005344A3" w:rsidRPr="00C06B3A">
        <w:rPr>
          <w:rFonts w:ascii="Times New Roman" w:hAnsi="Times New Roman"/>
          <w:sz w:val="24"/>
        </w:rPr>
        <w:t>322 </w:t>
      </w:r>
      <w:r w:rsidRPr="00C06B3A">
        <w:rPr>
          <w:rFonts w:ascii="Times New Roman" w:hAnsi="Times New Roman"/>
          <w:sz w:val="24"/>
        </w:rPr>
        <w:t>[150].</w:t>
      </w:r>
    </w:p>
  </w:footnote>
  <w:footnote w:id="55">
    <w:p w14:paraId="1A9BCC13" w14:textId="0487A1D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165DE0" w:rsidRPr="00C06B3A">
        <w:rPr>
          <w:rFonts w:ascii="Times New Roman" w:hAnsi="Times New Roman"/>
          <w:sz w:val="24"/>
        </w:rPr>
        <w:t>(</w:t>
      </w:r>
      <w:r w:rsidRPr="00C06B3A">
        <w:rPr>
          <w:rFonts w:ascii="Times New Roman" w:hAnsi="Times New Roman"/>
          <w:sz w:val="24"/>
        </w:rPr>
        <w:t>2021</w:t>
      </w:r>
      <w:r w:rsidR="00165DE0" w:rsidRPr="00C06B3A">
        <w:rPr>
          <w:rFonts w:ascii="Times New Roman" w:hAnsi="Times New Roman"/>
          <w:sz w:val="24"/>
        </w:rPr>
        <w:t>)</w:t>
      </w:r>
      <w:r w:rsidRPr="00C06B3A">
        <w:rPr>
          <w:rFonts w:ascii="Times New Roman" w:hAnsi="Times New Roman"/>
          <w:sz w:val="24"/>
        </w:rPr>
        <w:t xml:space="preserve"> </w:t>
      </w:r>
      <w:r w:rsidR="00165DE0" w:rsidRPr="00C06B3A">
        <w:rPr>
          <w:rFonts w:ascii="Times New Roman" w:hAnsi="Times New Roman"/>
          <w:sz w:val="24"/>
        </w:rPr>
        <w:t xml:space="preserve">362 FLR </w:t>
      </w:r>
      <w:r w:rsidR="008079E5" w:rsidRPr="00C06B3A">
        <w:rPr>
          <w:rFonts w:ascii="Times New Roman" w:hAnsi="Times New Roman"/>
          <w:sz w:val="24"/>
        </w:rPr>
        <w:t>284</w:t>
      </w:r>
      <w:r w:rsidRPr="00C06B3A">
        <w:rPr>
          <w:rFonts w:ascii="Times New Roman" w:hAnsi="Times New Roman"/>
          <w:sz w:val="24"/>
        </w:rPr>
        <w:t xml:space="preserve"> at </w:t>
      </w:r>
      <w:r w:rsidR="008079E5" w:rsidRPr="00C06B3A">
        <w:rPr>
          <w:rFonts w:ascii="Times New Roman" w:hAnsi="Times New Roman"/>
          <w:sz w:val="24"/>
        </w:rPr>
        <w:t>322 </w:t>
      </w:r>
      <w:r w:rsidRPr="00C06B3A">
        <w:rPr>
          <w:rFonts w:ascii="Times New Roman" w:hAnsi="Times New Roman"/>
          <w:sz w:val="24"/>
        </w:rPr>
        <w:t>[</w:t>
      </w:r>
      <w:proofErr w:type="gramStart"/>
      <w:r w:rsidRPr="00C06B3A">
        <w:rPr>
          <w:rFonts w:ascii="Times New Roman" w:hAnsi="Times New Roman"/>
          <w:sz w:val="24"/>
        </w:rPr>
        <w:t>151]</w:t>
      </w:r>
      <w:r w:rsidRPr="00C06B3A">
        <w:rPr>
          <w:rFonts w:ascii="Times New Roman" w:hAnsi="Times New Roman"/>
          <w:sz w:val="24"/>
        </w:rPr>
        <w:noBreakHyphen/>
      </w:r>
      <w:proofErr w:type="gramEnd"/>
      <w:r w:rsidRPr="00C06B3A">
        <w:rPr>
          <w:rFonts w:ascii="Times New Roman" w:hAnsi="Times New Roman"/>
          <w:sz w:val="24"/>
        </w:rPr>
        <w:t>[152].</w:t>
      </w:r>
    </w:p>
  </w:footnote>
  <w:footnote w:id="56">
    <w:p w14:paraId="51E7CBEA"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(1992) 176 CLR 1 at 27.</w:t>
      </w:r>
    </w:p>
  </w:footnote>
  <w:footnote w:id="57">
    <w:p w14:paraId="7C9AD9C8" w14:textId="1B69D2B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Fardon v Attorney</w:t>
      </w:r>
      <w:r w:rsidRPr="00C06B3A">
        <w:rPr>
          <w:rFonts w:ascii="Times New Roman" w:hAnsi="Times New Roman"/>
          <w:i/>
          <w:iCs/>
          <w:sz w:val="24"/>
        </w:rPr>
        <w:noBreakHyphen/>
        <w:t>General (Qld)</w:t>
      </w:r>
      <w:r w:rsidRPr="00C06B3A">
        <w:rPr>
          <w:rFonts w:ascii="Times New Roman" w:hAnsi="Times New Roman"/>
          <w:sz w:val="24"/>
        </w:rPr>
        <w:t xml:space="preserve"> (2004) 223 CLR 575 at 591 [18], 598</w:t>
      </w:r>
      <w:r w:rsidRPr="00C06B3A">
        <w:rPr>
          <w:rFonts w:ascii="Times New Roman" w:hAnsi="Times New Roman"/>
          <w:sz w:val="24"/>
        </w:rPr>
        <w:noBreakHyphen/>
        <w:t>601 [</w:t>
      </w:r>
      <w:proofErr w:type="gramStart"/>
      <w:r w:rsidRPr="00C06B3A">
        <w:rPr>
          <w:rFonts w:ascii="Times New Roman" w:hAnsi="Times New Roman"/>
          <w:sz w:val="24"/>
        </w:rPr>
        <w:t>36]</w:t>
      </w:r>
      <w:r w:rsidRPr="00C06B3A">
        <w:rPr>
          <w:rFonts w:ascii="Times New Roman" w:hAnsi="Times New Roman"/>
          <w:sz w:val="24"/>
        </w:rPr>
        <w:noBreakHyphen/>
      </w:r>
      <w:proofErr w:type="gramEnd"/>
      <w:r w:rsidRPr="00C06B3A">
        <w:rPr>
          <w:rFonts w:ascii="Times New Roman" w:hAnsi="Times New Roman"/>
          <w:sz w:val="24"/>
        </w:rPr>
        <w:t>[42], 614 [85]</w:t>
      </w:r>
      <w:r w:rsidRPr="00C06B3A">
        <w:rPr>
          <w:rFonts w:ascii="Times New Roman" w:hAnsi="Times New Roman"/>
          <w:sz w:val="24"/>
        </w:rPr>
        <w:noBreakHyphen/>
        <w:t>[86], 655</w:t>
      </w:r>
      <w:r w:rsidRPr="00C06B3A">
        <w:rPr>
          <w:rFonts w:ascii="Times New Roman" w:hAnsi="Times New Roman"/>
          <w:sz w:val="24"/>
        </w:rPr>
        <w:noBreakHyphen/>
        <w:t>656 [219].</w:t>
      </w:r>
    </w:p>
  </w:footnote>
  <w:footnote w:id="58">
    <w:p w14:paraId="7FEC3A05" w14:textId="5E5583F6"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See s 13(2) and Sch 1 of the DPSO Act.</w:t>
      </w:r>
    </w:p>
  </w:footnote>
  <w:footnote w:id="59">
    <w:p w14:paraId="42DB6904" w14:textId="205B57E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Chu Kheng Lim v Minister for Immigration, Local Government and Ethnic Affairs </w:t>
      </w:r>
      <w:r w:rsidRPr="00C06B3A">
        <w:rPr>
          <w:rFonts w:ascii="Times New Roman" w:hAnsi="Times New Roman"/>
          <w:sz w:val="24"/>
        </w:rPr>
        <w:t>(1992) 176 CLR 1 at 27</w:t>
      </w:r>
      <w:r w:rsidRPr="00C06B3A">
        <w:rPr>
          <w:rFonts w:ascii="Times New Roman" w:hAnsi="Times New Roman"/>
          <w:sz w:val="24"/>
        </w:rPr>
        <w:noBreakHyphen/>
        <w:t>28, 58.</w:t>
      </w:r>
    </w:p>
  </w:footnote>
  <w:footnote w:id="60">
    <w:p w14:paraId="1D96722C" w14:textId="465CD8E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(2021) 95 ALJR 166 at 181 [</w:t>
      </w:r>
      <w:proofErr w:type="gramStart"/>
      <w:r w:rsidRPr="00C06B3A">
        <w:rPr>
          <w:rFonts w:ascii="Times New Roman" w:hAnsi="Times New Roman"/>
          <w:sz w:val="24"/>
        </w:rPr>
        <w:t>35]</w:t>
      </w:r>
      <w:r w:rsidRPr="00C06B3A">
        <w:rPr>
          <w:rFonts w:ascii="Times New Roman" w:hAnsi="Times New Roman"/>
          <w:sz w:val="24"/>
        </w:rPr>
        <w:noBreakHyphen/>
      </w:r>
      <w:proofErr w:type="gramEnd"/>
      <w:r w:rsidRPr="00C06B3A">
        <w:rPr>
          <w:rFonts w:ascii="Times New Roman" w:hAnsi="Times New Roman"/>
          <w:sz w:val="24"/>
        </w:rPr>
        <w:t>[36], 183 [41]</w:t>
      </w:r>
      <w:r w:rsidRPr="00C06B3A">
        <w:rPr>
          <w:rFonts w:ascii="Times New Roman" w:hAnsi="Times New Roman"/>
          <w:sz w:val="24"/>
        </w:rPr>
        <w:noBreakHyphen/>
        <w:t>[43]; 388 ALR 1 at 14, 16</w:t>
      </w:r>
      <w:r w:rsidRPr="00C06B3A">
        <w:rPr>
          <w:rFonts w:ascii="Times New Roman" w:hAnsi="Times New Roman"/>
          <w:sz w:val="24"/>
        </w:rPr>
        <w:noBreakHyphen/>
        <w:t>17.</w:t>
      </w:r>
    </w:p>
  </w:footnote>
  <w:footnote w:id="61">
    <w:p w14:paraId="086D71AB" w14:textId="3B24698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Minister for Home Affairs v Benbrika </w:t>
      </w:r>
      <w:r w:rsidRPr="00C06B3A">
        <w:rPr>
          <w:rFonts w:ascii="Times New Roman" w:hAnsi="Times New Roman"/>
          <w:sz w:val="24"/>
        </w:rPr>
        <w:t>(2021) 95 ALJR 166 at 181 [34]; 388 ALR 1 at 14.</w:t>
      </w:r>
    </w:p>
  </w:footnote>
  <w:footnote w:id="62">
    <w:p w14:paraId="69AE6B62" w14:textId="4AF7959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Garlett </w:t>
      </w:r>
      <w:r w:rsidR="001A1BEB" w:rsidRPr="00C06B3A">
        <w:rPr>
          <w:rFonts w:ascii="Times New Roman" w:hAnsi="Times New Roman"/>
          <w:sz w:val="24"/>
        </w:rPr>
        <w:t>(</w:t>
      </w:r>
      <w:r w:rsidRPr="00C06B3A">
        <w:rPr>
          <w:rFonts w:ascii="Times New Roman" w:hAnsi="Times New Roman"/>
          <w:sz w:val="24"/>
        </w:rPr>
        <w:t>2021</w:t>
      </w:r>
      <w:r w:rsidR="001A1BEB" w:rsidRPr="00C06B3A">
        <w:rPr>
          <w:rFonts w:ascii="Times New Roman" w:hAnsi="Times New Roman"/>
          <w:sz w:val="24"/>
        </w:rPr>
        <w:t>)</w:t>
      </w:r>
      <w:r w:rsidRPr="00C06B3A">
        <w:rPr>
          <w:rFonts w:ascii="Times New Roman" w:hAnsi="Times New Roman"/>
          <w:sz w:val="24"/>
        </w:rPr>
        <w:t xml:space="preserve"> </w:t>
      </w:r>
      <w:r w:rsidR="00E47686" w:rsidRPr="00C06B3A">
        <w:rPr>
          <w:rFonts w:ascii="Times New Roman" w:hAnsi="Times New Roman"/>
          <w:sz w:val="24"/>
        </w:rPr>
        <w:t>362 FLR 284</w:t>
      </w:r>
      <w:r w:rsidRPr="00C06B3A">
        <w:rPr>
          <w:rFonts w:ascii="Times New Roman" w:hAnsi="Times New Roman"/>
          <w:sz w:val="24"/>
        </w:rPr>
        <w:t xml:space="preserve"> at </w:t>
      </w:r>
      <w:r w:rsidR="001C0D9D" w:rsidRPr="00C06B3A">
        <w:rPr>
          <w:rFonts w:ascii="Times New Roman" w:hAnsi="Times New Roman"/>
          <w:sz w:val="24"/>
        </w:rPr>
        <w:t>306 </w:t>
      </w:r>
      <w:r w:rsidRPr="00C06B3A">
        <w:rPr>
          <w:rFonts w:ascii="Times New Roman" w:hAnsi="Times New Roman"/>
          <w:sz w:val="24"/>
        </w:rPr>
        <w:t>[88].</w:t>
      </w:r>
    </w:p>
  </w:footnote>
  <w:footnote w:id="63">
    <w:p w14:paraId="097A4249" w14:textId="1732AB4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Blackstone, </w:t>
      </w:r>
      <w:r w:rsidRPr="00C06B3A">
        <w:rPr>
          <w:rFonts w:ascii="Times New Roman" w:hAnsi="Times New Roman"/>
          <w:i/>
          <w:iCs/>
          <w:sz w:val="24"/>
        </w:rPr>
        <w:t xml:space="preserve">Commentaries on the Laws of England </w:t>
      </w:r>
      <w:r w:rsidRPr="00C06B3A">
        <w:rPr>
          <w:rFonts w:ascii="Times New Roman" w:hAnsi="Times New Roman"/>
          <w:sz w:val="24"/>
        </w:rPr>
        <w:t>(1769), bk </w:t>
      </w:r>
      <w:r w:rsidR="005D6669" w:rsidRPr="00C06B3A">
        <w:rPr>
          <w:rFonts w:ascii="Times New Roman" w:hAnsi="Times New Roman"/>
          <w:sz w:val="24"/>
        </w:rPr>
        <w:t>4</w:t>
      </w:r>
      <w:r w:rsidRPr="00C06B3A">
        <w:rPr>
          <w:rFonts w:ascii="Times New Roman" w:hAnsi="Times New Roman"/>
          <w:sz w:val="24"/>
        </w:rPr>
        <w:t>, c</w:t>
      </w:r>
      <w:r w:rsidR="007A674E" w:rsidRPr="00C06B3A">
        <w:rPr>
          <w:rFonts w:ascii="Times New Roman" w:hAnsi="Times New Roman"/>
          <w:sz w:val="24"/>
        </w:rPr>
        <w:t>h</w:t>
      </w:r>
      <w:r w:rsidRPr="00C06B3A">
        <w:rPr>
          <w:rFonts w:ascii="Times New Roman" w:hAnsi="Times New Roman"/>
          <w:sz w:val="24"/>
        </w:rPr>
        <w:t> 1 at 11</w:t>
      </w:r>
      <w:r w:rsidRPr="00C06B3A">
        <w:rPr>
          <w:rFonts w:ascii="Times New Roman" w:hAnsi="Times New Roman"/>
          <w:sz w:val="24"/>
        </w:rPr>
        <w:noBreakHyphen/>
        <w:t>12.</w:t>
      </w:r>
    </w:p>
  </w:footnote>
  <w:footnote w:id="64">
    <w:p w14:paraId="324DB260"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Holmes, </w:t>
      </w:r>
      <w:r w:rsidRPr="00C06B3A">
        <w:rPr>
          <w:rFonts w:ascii="Times New Roman" w:hAnsi="Times New Roman"/>
          <w:i/>
          <w:iCs/>
          <w:sz w:val="24"/>
        </w:rPr>
        <w:t xml:space="preserve">The Common Law </w:t>
      </w:r>
      <w:r w:rsidRPr="00C06B3A">
        <w:rPr>
          <w:rFonts w:ascii="Times New Roman" w:hAnsi="Times New Roman"/>
          <w:sz w:val="24"/>
        </w:rPr>
        <w:t>(1881) at 43.</w:t>
      </w:r>
    </w:p>
  </w:footnote>
  <w:footnote w:id="65">
    <w:p w14:paraId="69C0EE21" w14:textId="2561124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(1979) 143 CLR 458 at 467, 468, 482</w:t>
      </w:r>
      <w:r w:rsidR="00A25D6A" w:rsidRPr="00C06B3A">
        <w:rPr>
          <w:rFonts w:ascii="Times New Roman" w:hAnsi="Times New Roman"/>
          <w:sz w:val="24"/>
        </w:rPr>
        <w:t>-</w:t>
      </w:r>
      <w:r w:rsidRPr="00C06B3A">
        <w:rPr>
          <w:rFonts w:ascii="Times New Roman" w:hAnsi="Times New Roman"/>
          <w:sz w:val="24"/>
        </w:rPr>
        <w:t>483, 495 ("</w:t>
      </w:r>
      <w:r w:rsidRPr="00C06B3A">
        <w:rPr>
          <w:rFonts w:ascii="Times New Roman" w:hAnsi="Times New Roman"/>
          <w:i/>
          <w:sz w:val="24"/>
        </w:rPr>
        <w:t>Veen [No 1]</w:t>
      </w:r>
      <w:r w:rsidRPr="00C06B3A">
        <w:rPr>
          <w:rFonts w:ascii="Times New Roman" w:hAnsi="Times New Roman"/>
          <w:sz w:val="24"/>
        </w:rPr>
        <w:t>").</w:t>
      </w:r>
    </w:p>
  </w:footnote>
  <w:footnote w:id="66">
    <w:p w14:paraId="297C5F5A"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(1988) 164 CLR 465 at 472</w:t>
      </w:r>
      <w:r w:rsidRPr="00C06B3A">
        <w:rPr>
          <w:rFonts w:ascii="Times New Roman" w:hAnsi="Times New Roman"/>
          <w:sz w:val="24"/>
        </w:rPr>
        <w:noBreakHyphen/>
        <w:t>473.</w:t>
      </w:r>
    </w:p>
  </w:footnote>
  <w:footnote w:id="67">
    <w:p w14:paraId="0BCA6ADB" w14:textId="574EC89D"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588</w:t>
      </w:r>
      <w:r w:rsidR="002345E1" w:rsidRPr="00C06B3A">
        <w:rPr>
          <w:rFonts w:ascii="Times New Roman" w:hAnsi="Times New Roman"/>
          <w:sz w:val="24"/>
        </w:rPr>
        <w:noBreakHyphen/>
        <w:t>589</w:t>
      </w:r>
      <w:r w:rsidRPr="00C06B3A">
        <w:rPr>
          <w:rFonts w:ascii="Times New Roman" w:hAnsi="Times New Roman"/>
          <w:sz w:val="24"/>
        </w:rPr>
        <w:t> [</w:t>
      </w:r>
      <w:proofErr w:type="gramStart"/>
      <w:r w:rsidRPr="00C06B3A">
        <w:rPr>
          <w:rFonts w:ascii="Times New Roman" w:hAnsi="Times New Roman"/>
          <w:sz w:val="24"/>
        </w:rPr>
        <w:t>7]</w:t>
      </w:r>
      <w:r w:rsidRPr="00C06B3A">
        <w:rPr>
          <w:rFonts w:ascii="Times New Roman" w:hAnsi="Times New Roman"/>
          <w:sz w:val="24"/>
        </w:rPr>
        <w:noBreakHyphen/>
      </w:r>
      <w:proofErr w:type="gramEnd"/>
      <w:r w:rsidRPr="00C06B3A">
        <w:rPr>
          <w:rFonts w:ascii="Times New Roman" w:hAnsi="Times New Roman"/>
          <w:sz w:val="24"/>
        </w:rPr>
        <w:t>[9].</w:t>
      </w:r>
    </w:p>
  </w:footnote>
  <w:footnote w:id="68">
    <w:p w14:paraId="1E88B940" w14:textId="033C0F1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588 [9].</w:t>
      </w:r>
    </w:p>
  </w:footnote>
  <w:footnote w:id="69">
    <w:p w14:paraId="6E3EDFE3" w14:textId="18FAC596" w:rsidR="00800E93" w:rsidRPr="00C06B3A" w:rsidRDefault="00800E93"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Western Australia v Latimer </w:t>
      </w:r>
      <w:r w:rsidRPr="00C06B3A">
        <w:rPr>
          <w:rFonts w:ascii="Times New Roman" w:hAnsi="Times New Roman"/>
          <w:sz w:val="24"/>
        </w:rPr>
        <w:t xml:space="preserve">[2006] WASC 235 at [49]; </w:t>
      </w:r>
      <w:r w:rsidR="002D1ECF" w:rsidRPr="00C06B3A">
        <w:rPr>
          <w:rFonts w:ascii="Times New Roman" w:hAnsi="Times New Roman"/>
          <w:i/>
          <w:iCs/>
          <w:sz w:val="24"/>
        </w:rPr>
        <w:t xml:space="preserve">Western Australia v ACJ </w:t>
      </w:r>
      <w:r w:rsidR="002D1ECF" w:rsidRPr="00C06B3A">
        <w:rPr>
          <w:rFonts w:ascii="Times New Roman" w:hAnsi="Times New Roman"/>
          <w:sz w:val="24"/>
        </w:rPr>
        <w:t>[2021] WASC 219 at [32]</w:t>
      </w:r>
      <w:r w:rsidR="002A5852" w:rsidRPr="00C06B3A">
        <w:rPr>
          <w:rFonts w:ascii="Times New Roman" w:hAnsi="Times New Roman"/>
          <w:sz w:val="24"/>
        </w:rPr>
        <w:t xml:space="preserve">; </w:t>
      </w:r>
      <w:r w:rsidR="002A5852" w:rsidRPr="00C06B3A">
        <w:rPr>
          <w:rFonts w:ascii="Times New Roman" w:hAnsi="Times New Roman"/>
          <w:i/>
          <w:iCs/>
          <w:sz w:val="24"/>
        </w:rPr>
        <w:t>Western Australia v Quartermaine</w:t>
      </w:r>
      <w:r w:rsidR="009F236C" w:rsidRPr="00C06B3A">
        <w:rPr>
          <w:rFonts w:ascii="Times New Roman" w:hAnsi="Times New Roman"/>
          <w:i/>
          <w:iCs/>
          <w:sz w:val="24"/>
        </w:rPr>
        <w:t xml:space="preserve"> [No</w:t>
      </w:r>
      <w:r w:rsidR="006B5F4F" w:rsidRPr="00C06B3A">
        <w:rPr>
          <w:rFonts w:ascii="Times New Roman" w:hAnsi="Times New Roman"/>
          <w:i/>
          <w:iCs/>
          <w:sz w:val="24"/>
        </w:rPr>
        <w:t> </w:t>
      </w:r>
      <w:r w:rsidR="009F236C" w:rsidRPr="00C06B3A">
        <w:rPr>
          <w:rFonts w:ascii="Times New Roman" w:hAnsi="Times New Roman"/>
          <w:i/>
          <w:iCs/>
          <w:sz w:val="24"/>
        </w:rPr>
        <w:t>2]</w:t>
      </w:r>
      <w:r w:rsidR="002A5852" w:rsidRPr="00C06B3A">
        <w:rPr>
          <w:rFonts w:ascii="Times New Roman" w:hAnsi="Times New Roman"/>
          <w:i/>
          <w:iCs/>
          <w:sz w:val="24"/>
        </w:rPr>
        <w:t xml:space="preserve"> </w:t>
      </w:r>
      <w:r w:rsidR="002A5852" w:rsidRPr="00C06B3A">
        <w:rPr>
          <w:rFonts w:ascii="Times New Roman" w:hAnsi="Times New Roman"/>
          <w:sz w:val="24"/>
        </w:rPr>
        <w:t>[2021] WASC 267 at [</w:t>
      </w:r>
      <w:r w:rsidR="0072302C" w:rsidRPr="00C06B3A">
        <w:rPr>
          <w:rFonts w:ascii="Times New Roman" w:hAnsi="Times New Roman"/>
          <w:sz w:val="24"/>
        </w:rPr>
        <w:t xml:space="preserve">14]; </w:t>
      </w:r>
      <w:r w:rsidR="0072302C" w:rsidRPr="00C06B3A">
        <w:rPr>
          <w:rFonts w:ascii="Times New Roman" w:hAnsi="Times New Roman"/>
          <w:i/>
          <w:iCs/>
          <w:sz w:val="24"/>
        </w:rPr>
        <w:t xml:space="preserve">Western Australia v Dragon [No 2] </w:t>
      </w:r>
      <w:r w:rsidR="00141FAE" w:rsidRPr="00C06B3A">
        <w:rPr>
          <w:rFonts w:ascii="Times New Roman" w:hAnsi="Times New Roman"/>
          <w:sz w:val="24"/>
        </w:rPr>
        <w:t>[2022] WASC 189 at [15]</w:t>
      </w:r>
      <w:r w:rsidR="002D1ECF" w:rsidRPr="00C06B3A">
        <w:rPr>
          <w:rFonts w:ascii="Times New Roman" w:hAnsi="Times New Roman"/>
          <w:sz w:val="24"/>
        </w:rPr>
        <w:t>.</w:t>
      </w:r>
    </w:p>
  </w:footnote>
  <w:footnote w:id="70">
    <w:p w14:paraId="635A8CA1" w14:textId="3D249EB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Criminal Procedure Act 2004</w:t>
      </w:r>
      <w:r w:rsidRPr="00C06B3A">
        <w:rPr>
          <w:rFonts w:ascii="Times New Roman" w:hAnsi="Times New Roman"/>
          <w:sz w:val="24"/>
        </w:rPr>
        <w:t xml:space="preserve"> (WA), s 62(4)(b). See also </w:t>
      </w:r>
      <w:r w:rsidRPr="00C06B3A">
        <w:rPr>
          <w:rFonts w:ascii="Times New Roman" w:hAnsi="Times New Roman"/>
          <w:i/>
          <w:iCs/>
          <w:sz w:val="24"/>
        </w:rPr>
        <w:t>Criminal Procedure Act 1986</w:t>
      </w:r>
      <w:r w:rsidRPr="00C06B3A">
        <w:rPr>
          <w:rFonts w:ascii="Times New Roman" w:hAnsi="Times New Roman"/>
          <w:sz w:val="24"/>
        </w:rPr>
        <w:t xml:space="preserve"> (NSW), s 143(1)(h); </w:t>
      </w:r>
      <w:r w:rsidRPr="00C06B3A">
        <w:rPr>
          <w:rFonts w:ascii="Times New Roman" w:hAnsi="Times New Roman"/>
          <w:i/>
          <w:iCs/>
          <w:sz w:val="24"/>
        </w:rPr>
        <w:t>Criminal Procedure Act 2009</w:t>
      </w:r>
      <w:r w:rsidRPr="00C06B3A">
        <w:rPr>
          <w:rFonts w:ascii="Times New Roman" w:hAnsi="Times New Roman"/>
          <w:sz w:val="24"/>
        </w:rPr>
        <w:t xml:space="preserve"> (Vic), s 189(1); </w:t>
      </w:r>
      <w:r w:rsidRPr="00C06B3A">
        <w:rPr>
          <w:rFonts w:ascii="Times New Roman" w:hAnsi="Times New Roman"/>
          <w:i/>
          <w:iCs/>
          <w:sz w:val="24"/>
        </w:rPr>
        <w:t>Criminal Procedure Act 1921</w:t>
      </w:r>
      <w:r w:rsidRPr="00C06B3A">
        <w:rPr>
          <w:rFonts w:ascii="Times New Roman" w:hAnsi="Times New Roman"/>
          <w:sz w:val="24"/>
        </w:rPr>
        <w:t> (SA), s 123(4)(e)</w:t>
      </w:r>
      <w:r w:rsidR="00A25D6A" w:rsidRPr="00C06B3A">
        <w:rPr>
          <w:rFonts w:ascii="Times New Roman" w:hAnsi="Times New Roman"/>
          <w:sz w:val="24"/>
        </w:rPr>
        <w:t>;</w:t>
      </w:r>
      <w:r w:rsidR="00A25D6A" w:rsidRPr="00C06B3A">
        <w:rPr>
          <w:rFonts w:ascii="Times New Roman" w:hAnsi="Times New Roman"/>
          <w:i/>
          <w:iCs/>
          <w:sz w:val="24"/>
        </w:rPr>
        <w:t xml:space="preserve"> Criminal Code </w:t>
      </w:r>
      <w:r w:rsidR="00A25D6A" w:rsidRPr="00C06B3A">
        <w:rPr>
          <w:rFonts w:ascii="Times New Roman" w:hAnsi="Times New Roman"/>
          <w:iCs/>
          <w:sz w:val="24"/>
        </w:rPr>
        <w:t>(Qld),</w:t>
      </w:r>
      <w:r w:rsidR="00A25D6A" w:rsidRPr="00C06B3A">
        <w:rPr>
          <w:rFonts w:ascii="Times New Roman" w:hAnsi="Times New Roman"/>
          <w:sz w:val="24"/>
        </w:rPr>
        <w:t xml:space="preserve"> s 590</w:t>
      </w:r>
      <w:proofErr w:type="gramStart"/>
      <w:r w:rsidR="00A25D6A" w:rsidRPr="00C06B3A">
        <w:rPr>
          <w:rFonts w:ascii="Times New Roman" w:hAnsi="Times New Roman"/>
          <w:sz w:val="24"/>
        </w:rPr>
        <w:t>B(</w:t>
      </w:r>
      <w:proofErr w:type="gramEnd"/>
      <w:r w:rsidR="00A25D6A" w:rsidRPr="00C06B3A">
        <w:rPr>
          <w:rFonts w:ascii="Times New Roman" w:hAnsi="Times New Roman"/>
          <w:sz w:val="24"/>
        </w:rPr>
        <w:t>1)</w:t>
      </w:r>
      <w:r w:rsidRPr="00C06B3A">
        <w:rPr>
          <w:rFonts w:ascii="Times New Roman" w:hAnsi="Times New Roman"/>
          <w:sz w:val="24"/>
        </w:rPr>
        <w:t>.</w:t>
      </w:r>
    </w:p>
  </w:footnote>
  <w:footnote w:id="71">
    <w:p w14:paraId="57B58FA9" w14:textId="52A2923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Kable v Director of Public Prosecutions (NSW) </w:t>
      </w:r>
      <w:r w:rsidRPr="00C06B3A">
        <w:rPr>
          <w:rFonts w:ascii="Times New Roman" w:hAnsi="Times New Roman"/>
          <w:sz w:val="24"/>
        </w:rPr>
        <w:t>(1996) 189 CLR 51 at 98, 107, 108, 117</w:t>
      </w:r>
      <w:r w:rsidRPr="00C06B3A">
        <w:rPr>
          <w:rFonts w:ascii="Times New Roman" w:hAnsi="Times New Roman"/>
          <w:sz w:val="24"/>
        </w:rPr>
        <w:noBreakHyphen/>
        <w:t>118, 133.</w:t>
      </w:r>
    </w:p>
  </w:footnote>
  <w:footnote w:id="72">
    <w:p w14:paraId="6B552A7F" w14:textId="70DD51F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Kable v Director of Public Prosecutions (NSW) </w:t>
      </w:r>
      <w:r w:rsidRPr="00C06B3A">
        <w:rPr>
          <w:rFonts w:ascii="Times New Roman" w:hAnsi="Times New Roman"/>
          <w:sz w:val="24"/>
        </w:rPr>
        <w:t>(1996) 189 CLR 51 at 124.</w:t>
      </w:r>
    </w:p>
  </w:footnote>
  <w:footnote w:id="73">
    <w:p w14:paraId="75763616"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Kable v Director of Public Prosecutions (NSW) </w:t>
      </w:r>
      <w:r w:rsidRPr="00C06B3A">
        <w:rPr>
          <w:rFonts w:ascii="Times New Roman" w:hAnsi="Times New Roman"/>
          <w:sz w:val="24"/>
        </w:rPr>
        <w:t>(1996) 189 CLR 51 at 98.</w:t>
      </w:r>
    </w:p>
  </w:footnote>
  <w:footnote w:id="74">
    <w:p w14:paraId="2CB08387" w14:textId="6B95C64E"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(2014) 253 CLR 393 at 425 [42].</w:t>
      </w:r>
    </w:p>
  </w:footnote>
  <w:footnote w:id="75">
    <w:p w14:paraId="3E1E0FD5" w14:textId="53E6106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Community Protection Act 1994 </w:t>
      </w:r>
      <w:r w:rsidRPr="00C06B3A">
        <w:rPr>
          <w:rFonts w:ascii="Times New Roman" w:hAnsi="Times New Roman"/>
          <w:iCs/>
          <w:sz w:val="24"/>
        </w:rPr>
        <w:t>(NSW)</w:t>
      </w:r>
      <w:r w:rsidRPr="00C06B3A">
        <w:rPr>
          <w:rFonts w:ascii="Times New Roman" w:hAnsi="Times New Roman"/>
          <w:sz w:val="24"/>
        </w:rPr>
        <w:t>, s 3(1), (2).</w:t>
      </w:r>
    </w:p>
  </w:footnote>
  <w:footnote w:id="76">
    <w:p w14:paraId="66C3A7F7" w14:textId="1CEA3E9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Community Protection Act 1994 </w:t>
      </w:r>
      <w:r w:rsidRPr="00C06B3A">
        <w:rPr>
          <w:rFonts w:ascii="Times New Roman" w:hAnsi="Times New Roman"/>
          <w:iCs/>
          <w:sz w:val="24"/>
        </w:rPr>
        <w:t>(NSW)</w:t>
      </w:r>
      <w:r w:rsidRPr="00C06B3A">
        <w:rPr>
          <w:rFonts w:ascii="Times New Roman" w:hAnsi="Times New Roman"/>
          <w:sz w:val="24"/>
        </w:rPr>
        <w:t>, ss 3(1), (3), 5(1).</w:t>
      </w:r>
    </w:p>
  </w:footnote>
  <w:footnote w:id="77">
    <w:p w14:paraId="5491FBA7" w14:textId="5249E4EE"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Kable v Director of Public Prosecutions (NSW) </w:t>
      </w:r>
      <w:r w:rsidRPr="00C06B3A">
        <w:rPr>
          <w:rFonts w:ascii="Times New Roman" w:hAnsi="Times New Roman"/>
          <w:sz w:val="24"/>
        </w:rPr>
        <w:t>(1996) 189 CLR 51 at 98, 106</w:t>
      </w:r>
      <w:r w:rsidRPr="00C06B3A">
        <w:rPr>
          <w:rFonts w:ascii="Times New Roman" w:hAnsi="Times New Roman"/>
          <w:sz w:val="24"/>
        </w:rPr>
        <w:noBreakHyphen/>
        <w:t>107, 122, 124, 133</w:t>
      </w:r>
      <w:r w:rsidRPr="00C06B3A">
        <w:rPr>
          <w:rFonts w:ascii="Times New Roman" w:hAnsi="Times New Roman"/>
          <w:sz w:val="24"/>
        </w:rPr>
        <w:noBreakHyphen/>
        <w:t>134.</w:t>
      </w:r>
    </w:p>
  </w:footnote>
  <w:footnote w:id="78">
    <w:p w14:paraId="069A7AD7" w14:textId="7567578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iCs/>
          <w:sz w:val="24"/>
        </w:rPr>
        <w:t>Attorney</w:t>
      </w:r>
      <w:r w:rsidRPr="00C06B3A">
        <w:rPr>
          <w:rFonts w:ascii="Times New Roman" w:hAnsi="Times New Roman"/>
          <w:i/>
          <w:iCs/>
          <w:sz w:val="24"/>
        </w:rPr>
        <w:noBreakHyphen/>
        <w:t>General (NT) v Emmerson</w:t>
      </w:r>
      <w:r w:rsidRPr="00C06B3A">
        <w:rPr>
          <w:rFonts w:ascii="Times New Roman" w:hAnsi="Times New Roman"/>
          <w:sz w:val="24"/>
        </w:rPr>
        <w:t xml:space="preserve"> (2014) 253 CLR 393 at 426 [44].</w:t>
      </w:r>
    </w:p>
  </w:footnote>
  <w:footnote w:id="79">
    <w:p w14:paraId="17E2EC8A" w14:textId="1C29F30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Fardon v Attorney</w:t>
      </w:r>
      <w:r w:rsidRPr="00C06B3A">
        <w:rPr>
          <w:rFonts w:ascii="Times New Roman" w:hAnsi="Times New Roman"/>
          <w:i/>
          <w:iCs/>
          <w:sz w:val="24"/>
        </w:rPr>
        <w:noBreakHyphen/>
        <w:t>General (Qld)</w:t>
      </w:r>
      <w:r w:rsidRPr="00C06B3A">
        <w:rPr>
          <w:rFonts w:ascii="Times New Roman" w:hAnsi="Times New Roman"/>
          <w:sz w:val="24"/>
        </w:rPr>
        <w:t xml:space="preserve"> (2004) 223 CLR 575 at 592</w:t>
      </w:r>
      <w:r w:rsidRPr="00C06B3A">
        <w:rPr>
          <w:rFonts w:ascii="Times New Roman" w:hAnsi="Times New Roman"/>
          <w:sz w:val="24"/>
        </w:rPr>
        <w:noBreakHyphen/>
        <w:t>593 [21].</w:t>
      </w:r>
    </w:p>
  </w:footnote>
  <w:footnote w:id="80">
    <w:p w14:paraId="40C4A2BE" w14:textId="01A83A5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General (Qld) </w:t>
      </w:r>
      <w:r w:rsidRPr="00C06B3A">
        <w:rPr>
          <w:rFonts w:ascii="Times New Roman" w:hAnsi="Times New Roman"/>
          <w:sz w:val="24"/>
        </w:rPr>
        <w:t>(2004) 223 CLR 575 at 592 [19].</w:t>
      </w:r>
    </w:p>
  </w:footnote>
  <w:footnote w:id="81">
    <w:p w14:paraId="52A42BE3" w14:textId="46FD326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General (Qld) </w:t>
      </w:r>
      <w:r w:rsidRPr="00C06B3A">
        <w:rPr>
          <w:rFonts w:ascii="Times New Roman" w:hAnsi="Times New Roman"/>
          <w:sz w:val="24"/>
        </w:rPr>
        <w:t>(2004) 223 CLR 575 at 592 [20].</w:t>
      </w:r>
    </w:p>
  </w:footnote>
  <w:footnote w:id="82">
    <w:p w14:paraId="4A87E00D" w14:textId="705DFAE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613 [83], 647</w:t>
      </w:r>
      <w:r w:rsidRPr="00C06B3A">
        <w:rPr>
          <w:rFonts w:ascii="Times New Roman" w:hAnsi="Times New Roman"/>
          <w:sz w:val="24"/>
        </w:rPr>
        <w:noBreakHyphen/>
        <w:t>648 [196], 653 [214], 654 [217].</w:t>
      </w:r>
    </w:p>
  </w:footnote>
  <w:footnote w:id="83">
    <w:p w14:paraId="7BD48892" w14:textId="786F81A8"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General (Qld)</w:t>
      </w:r>
      <w:r w:rsidRPr="00C06B3A">
        <w:rPr>
          <w:rFonts w:ascii="Times New Roman" w:hAnsi="Times New Roman"/>
          <w:sz w:val="24"/>
        </w:rPr>
        <w:t xml:space="preserve"> (2004) 223 CLR 575 at 589</w:t>
      </w:r>
      <w:r w:rsidRPr="00C06B3A">
        <w:rPr>
          <w:rFonts w:ascii="Times New Roman" w:hAnsi="Times New Roman"/>
          <w:sz w:val="24"/>
        </w:rPr>
        <w:noBreakHyphen/>
        <w:t>590 [</w:t>
      </w:r>
      <w:proofErr w:type="gramStart"/>
      <w:r w:rsidRPr="00C06B3A">
        <w:rPr>
          <w:rFonts w:ascii="Times New Roman" w:hAnsi="Times New Roman"/>
          <w:sz w:val="24"/>
        </w:rPr>
        <w:t>11]</w:t>
      </w:r>
      <w:r w:rsidRPr="00C06B3A">
        <w:rPr>
          <w:rFonts w:ascii="Times New Roman" w:hAnsi="Times New Roman"/>
          <w:sz w:val="24"/>
        </w:rPr>
        <w:noBreakHyphen/>
      </w:r>
      <w:proofErr w:type="gramEnd"/>
      <w:r w:rsidRPr="00C06B3A">
        <w:rPr>
          <w:rFonts w:ascii="Times New Roman" w:hAnsi="Times New Roman"/>
          <w:sz w:val="24"/>
        </w:rPr>
        <w:t>[14], 602 [44], 653</w:t>
      </w:r>
      <w:r w:rsidRPr="00C06B3A">
        <w:rPr>
          <w:rFonts w:ascii="Times New Roman" w:hAnsi="Times New Roman"/>
          <w:sz w:val="24"/>
        </w:rPr>
        <w:noBreakHyphen/>
        <w:t>654 [214]</w:t>
      </w:r>
      <w:r w:rsidRPr="00C06B3A">
        <w:rPr>
          <w:rFonts w:ascii="Times New Roman" w:hAnsi="Times New Roman"/>
          <w:sz w:val="24"/>
        </w:rPr>
        <w:noBreakHyphen/>
        <w:t>[217].</w:t>
      </w:r>
    </w:p>
  </w:footnote>
  <w:footnote w:id="84">
    <w:p w14:paraId="2B93254D" w14:textId="38270D9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602 [44], 619 [107], 656 [220].</w:t>
      </w:r>
    </w:p>
  </w:footnote>
  <w:footnote w:id="85">
    <w:p w14:paraId="3C360C51" w14:textId="171EBDA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Attorney</w:t>
      </w:r>
      <w:r w:rsidRPr="00C06B3A">
        <w:rPr>
          <w:rFonts w:ascii="Times New Roman" w:hAnsi="Times New Roman"/>
          <w:i/>
          <w:sz w:val="24"/>
        </w:rPr>
        <w:noBreakHyphen/>
        <w:t xml:space="preserve">General (NT) v Emmerson </w:t>
      </w:r>
      <w:r w:rsidRPr="00C06B3A">
        <w:rPr>
          <w:rFonts w:ascii="Times New Roman" w:hAnsi="Times New Roman"/>
          <w:sz w:val="24"/>
        </w:rPr>
        <w:t>(2014) 253 CLR 393 at 425</w:t>
      </w:r>
      <w:r w:rsidRPr="00C06B3A">
        <w:rPr>
          <w:rFonts w:ascii="Times New Roman" w:hAnsi="Times New Roman"/>
          <w:sz w:val="24"/>
        </w:rPr>
        <w:noBreakHyphen/>
        <w:t>426 [43].</w:t>
      </w:r>
    </w:p>
  </w:footnote>
  <w:footnote w:id="86">
    <w:p w14:paraId="75E8CCA4" w14:textId="28F7BA6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(2004) 223 CLR 575.</w:t>
      </w:r>
    </w:p>
  </w:footnote>
  <w:footnote w:id="87">
    <w:p w14:paraId="41B976D7" w14:textId="59FF462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592 [</w:t>
      </w:r>
      <w:proofErr w:type="gramStart"/>
      <w:r w:rsidRPr="00C06B3A">
        <w:rPr>
          <w:rFonts w:ascii="Times New Roman" w:hAnsi="Times New Roman"/>
          <w:sz w:val="24"/>
        </w:rPr>
        <w:t>19]</w:t>
      </w:r>
      <w:r w:rsidRPr="00C06B3A">
        <w:rPr>
          <w:rFonts w:ascii="Times New Roman" w:hAnsi="Times New Roman"/>
          <w:sz w:val="24"/>
        </w:rPr>
        <w:noBreakHyphen/>
      </w:r>
      <w:proofErr w:type="gramEnd"/>
      <w:r w:rsidRPr="00C06B3A">
        <w:rPr>
          <w:rFonts w:ascii="Times New Roman" w:hAnsi="Times New Roman"/>
          <w:sz w:val="24"/>
        </w:rPr>
        <w:t>[20], 596</w:t>
      </w:r>
      <w:r w:rsidRPr="00C06B3A">
        <w:rPr>
          <w:rFonts w:ascii="Times New Roman" w:hAnsi="Times New Roman"/>
          <w:sz w:val="24"/>
        </w:rPr>
        <w:noBreakHyphen/>
        <w:t>597 [34], 621 [114]</w:t>
      </w:r>
      <w:r w:rsidRPr="00C06B3A">
        <w:rPr>
          <w:rFonts w:ascii="Times New Roman" w:hAnsi="Times New Roman"/>
          <w:sz w:val="24"/>
        </w:rPr>
        <w:noBreakHyphen/>
        <w:t>[115], 648 [198], 658 [234].</w:t>
      </w:r>
    </w:p>
  </w:footnote>
  <w:footnote w:id="88">
    <w:p w14:paraId="3EBECB9D" w14:textId="5F11988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621 [116]. See also 598 [35], 600</w:t>
      </w:r>
      <w:r w:rsidRPr="00C06B3A">
        <w:rPr>
          <w:rFonts w:ascii="Times New Roman" w:hAnsi="Times New Roman"/>
          <w:sz w:val="24"/>
        </w:rPr>
        <w:noBreakHyphen/>
        <w:t>602 [</w:t>
      </w:r>
      <w:proofErr w:type="gramStart"/>
      <w:r w:rsidRPr="00C06B3A">
        <w:rPr>
          <w:rFonts w:ascii="Times New Roman" w:hAnsi="Times New Roman"/>
          <w:sz w:val="24"/>
        </w:rPr>
        <w:t>41]</w:t>
      </w:r>
      <w:r w:rsidRPr="00C06B3A">
        <w:rPr>
          <w:rFonts w:ascii="Times New Roman" w:hAnsi="Times New Roman"/>
          <w:sz w:val="24"/>
        </w:rPr>
        <w:noBreakHyphen/>
      </w:r>
      <w:proofErr w:type="gramEnd"/>
      <w:r w:rsidRPr="00C06B3A">
        <w:rPr>
          <w:rFonts w:ascii="Times New Roman" w:hAnsi="Times New Roman"/>
          <w:sz w:val="24"/>
        </w:rPr>
        <w:t>[44].</w:t>
      </w:r>
    </w:p>
  </w:footnote>
  <w:footnote w:id="89">
    <w:p w14:paraId="7152DD2D" w14:textId="455EBBB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593 [22], 596</w:t>
      </w:r>
      <w:r w:rsidRPr="00C06B3A">
        <w:rPr>
          <w:rFonts w:ascii="Times New Roman" w:hAnsi="Times New Roman"/>
          <w:sz w:val="24"/>
        </w:rPr>
        <w:noBreakHyphen/>
        <w:t>597 [34], 657 [225].</w:t>
      </w:r>
    </w:p>
  </w:footnote>
  <w:footnote w:id="90">
    <w:p w14:paraId="12FC029C" w14:textId="78D6F66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Vella v Commissioner of Police (NSW) </w:t>
      </w:r>
      <w:r w:rsidRPr="00C06B3A">
        <w:rPr>
          <w:rFonts w:ascii="Times New Roman" w:hAnsi="Times New Roman"/>
          <w:sz w:val="24"/>
        </w:rPr>
        <w:t xml:space="preserve">(2019) 269 CLR 219 at 258 [84]. See </w:t>
      </w:r>
      <w:r w:rsidRPr="00C06B3A">
        <w:rPr>
          <w:rFonts w:ascii="Times New Roman" w:hAnsi="Times New Roman"/>
          <w:i/>
          <w:sz w:val="24"/>
        </w:rPr>
        <w:t xml:space="preserve">Thomas v Mowbray </w:t>
      </w:r>
      <w:r w:rsidRPr="00C06B3A">
        <w:rPr>
          <w:rFonts w:ascii="Times New Roman" w:hAnsi="Times New Roman"/>
          <w:sz w:val="24"/>
        </w:rPr>
        <w:t xml:space="preserve">(2007) 233 CLR 307; </w:t>
      </w:r>
      <w:r w:rsidRPr="00C06B3A">
        <w:rPr>
          <w:rFonts w:ascii="Times New Roman" w:hAnsi="Times New Roman"/>
          <w:i/>
          <w:sz w:val="24"/>
        </w:rPr>
        <w:t xml:space="preserve">Wainohu v New South Wales </w:t>
      </w:r>
      <w:r w:rsidRPr="00C06B3A">
        <w:rPr>
          <w:rFonts w:ascii="Times New Roman" w:hAnsi="Times New Roman"/>
          <w:sz w:val="24"/>
        </w:rPr>
        <w:t xml:space="preserve">(2011) 243 CLR 181; </w:t>
      </w:r>
      <w:r w:rsidRPr="00C06B3A">
        <w:rPr>
          <w:rFonts w:ascii="Times New Roman" w:hAnsi="Times New Roman"/>
          <w:i/>
          <w:sz w:val="24"/>
        </w:rPr>
        <w:t>Condon v Pompano</w:t>
      </w:r>
      <w:r w:rsidR="00DA35A9" w:rsidRPr="00C06B3A">
        <w:rPr>
          <w:rFonts w:ascii="Times New Roman" w:hAnsi="Times New Roman"/>
          <w:i/>
          <w:sz w:val="24"/>
        </w:rPr>
        <w:t xml:space="preserve"> Pty Ltd</w:t>
      </w:r>
      <w:r w:rsidRPr="00C06B3A">
        <w:rPr>
          <w:rFonts w:ascii="Times New Roman" w:hAnsi="Times New Roman"/>
          <w:i/>
          <w:sz w:val="24"/>
        </w:rPr>
        <w:t xml:space="preserve"> </w:t>
      </w:r>
      <w:r w:rsidRPr="00C06B3A">
        <w:rPr>
          <w:rFonts w:ascii="Times New Roman" w:hAnsi="Times New Roman"/>
          <w:sz w:val="24"/>
        </w:rPr>
        <w:t>(2013) 252 CLR 38.</w:t>
      </w:r>
    </w:p>
  </w:footnote>
  <w:footnote w:id="91">
    <w:p w14:paraId="68FCC681"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Vella v Commissioner of Police (NSW) </w:t>
      </w:r>
      <w:r w:rsidRPr="00C06B3A">
        <w:rPr>
          <w:rFonts w:ascii="Times New Roman" w:hAnsi="Times New Roman"/>
          <w:sz w:val="24"/>
        </w:rPr>
        <w:t xml:space="preserve">(2019) 269 CLR 219 at 235 [23]. See also </w:t>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593 [22].</w:t>
      </w:r>
    </w:p>
  </w:footnote>
  <w:footnote w:id="92">
    <w:p w14:paraId="58A6F76B" w14:textId="40B6E58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589</w:t>
      </w:r>
      <w:r w:rsidRPr="00C06B3A">
        <w:rPr>
          <w:rFonts w:ascii="Times New Roman" w:hAnsi="Times New Roman"/>
          <w:sz w:val="24"/>
        </w:rPr>
        <w:noBreakHyphen/>
        <w:t>590 [12].</w:t>
      </w:r>
    </w:p>
  </w:footnote>
  <w:footnote w:id="93">
    <w:p w14:paraId="4514FDA9" w14:textId="0DE1B271"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cf </w:t>
      </w:r>
      <w:r w:rsidRPr="00C06B3A">
        <w:rPr>
          <w:rFonts w:ascii="Times New Roman" w:hAnsi="Times New Roman"/>
          <w:i/>
          <w:iCs/>
          <w:sz w:val="24"/>
        </w:rPr>
        <w:t>Kable v Director of Public Prosecutions (NSW)</w:t>
      </w:r>
      <w:r w:rsidRPr="00C06B3A">
        <w:rPr>
          <w:rFonts w:ascii="Times New Roman" w:hAnsi="Times New Roman"/>
          <w:sz w:val="24"/>
        </w:rPr>
        <w:t xml:space="preserve"> (1996) 189 CLR 51 at 133, </w:t>
      </w:r>
      <w:r w:rsidR="00BC5DA4" w:rsidRPr="00C06B3A">
        <w:rPr>
          <w:rFonts w:ascii="Times New Roman" w:hAnsi="Times New Roman"/>
          <w:sz w:val="24"/>
        </w:rPr>
        <w:t xml:space="preserve">quoting </w:t>
      </w:r>
      <w:r w:rsidRPr="00C06B3A">
        <w:rPr>
          <w:rFonts w:ascii="Times New Roman" w:hAnsi="Times New Roman"/>
          <w:i/>
          <w:sz w:val="24"/>
        </w:rPr>
        <w:t xml:space="preserve">Hobson v Hansen </w:t>
      </w:r>
      <w:r w:rsidRPr="00C06B3A">
        <w:rPr>
          <w:rFonts w:ascii="Times New Roman" w:hAnsi="Times New Roman"/>
          <w:sz w:val="24"/>
        </w:rPr>
        <w:t>(1967) 265 F Supp 902 at 930.</w:t>
      </w:r>
    </w:p>
  </w:footnote>
  <w:footnote w:id="94">
    <w:p w14:paraId="3F3077FC" w14:textId="4A3C842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See s 13(1)</w:t>
      </w:r>
      <w:r w:rsidR="001814DB" w:rsidRPr="00C06B3A">
        <w:rPr>
          <w:rFonts w:ascii="Times New Roman" w:hAnsi="Times New Roman"/>
          <w:sz w:val="24"/>
        </w:rPr>
        <w:t>,</w:t>
      </w:r>
      <w:r w:rsidRPr="00C06B3A">
        <w:rPr>
          <w:rFonts w:ascii="Times New Roman" w:hAnsi="Times New Roman"/>
          <w:sz w:val="24"/>
        </w:rPr>
        <w:t xml:space="preserve"> (5)</w:t>
      </w:r>
      <w:r w:rsidR="008F674C">
        <w:rPr>
          <w:rFonts w:ascii="Times New Roman" w:hAnsi="Times New Roman"/>
          <w:sz w:val="24"/>
        </w:rPr>
        <w:t xml:space="preserve"> of the DPSO Act</w:t>
      </w:r>
      <w:r w:rsidRPr="00C06B3A">
        <w:rPr>
          <w:rFonts w:ascii="Times New Roman" w:hAnsi="Times New Roman"/>
          <w:sz w:val="24"/>
        </w:rPr>
        <w:t>.</w:t>
      </w:r>
    </w:p>
  </w:footnote>
  <w:footnote w:id="95">
    <w:p w14:paraId="11EF809C"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Kelly v The Queen </w:t>
      </w:r>
      <w:r w:rsidRPr="00C06B3A">
        <w:rPr>
          <w:rFonts w:ascii="Times New Roman" w:hAnsi="Times New Roman"/>
          <w:sz w:val="24"/>
        </w:rPr>
        <w:t>(2004) 218 CLR 216 at 253 [103].</w:t>
      </w:r>
    </w:p>
  </w:footnote>
  <w:footnote w:id="96">
    <w:p w14:paraId="37907B91" w14:textId="306EE1F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 7(1) of the HRSO Act.</w:t>
      </w:r>
    </w:p>
  </w:footnote>
  <w:footnote w:id="97">
    <w:p w14:paraId="41EC7212" w14:textId="0134561D"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Attorney</w:t>
      </w:r>
      <w:r w:rsidRPr="00C06B3A">
        <w:rPr>
          <w:rFonts w:ascii="Times New Roman" w:hAnsi="Times New Roman"/>
          <w:i/>
          <w:sz w:val="24"/>
        </w:rPr>
        <w:noBreakHyphen/>
        <w:t xml:space="preserve">General (NT) v Emmerson </w:t>
      </w:r>
      <w:r w:rsidRPr="00C06B3A">
        <w:rPr>
          <w:rFonts w:ascii="Times New Roman" w:hAnsi="Times New Roman"/>
          <w:sz w:val="24"/>
        </w:rPr>
        <w:t>(2014) 253 CLR 393 at 419</w:t>
      </w:r>
      <w:r w:rsidRPr="00C06B3A">
        <w:rPr>
          <w:rFonts w:ascii="Times New Roman" w:hAnsi="Times New Roman"/>
          <w:sz w:val="24"/>
        </w:rPr>
        <w:noBreakHyphen/>
        <w:t>420 [24], 431 [</w:t>
      </w:r>
      <w:proofErr w:type="gramStart"/>
      <w:r w:rsidRPr="00C06B3A">
        <w:rPr>
          <w:rFonts w:ascii="Times New Roman" w:hAnsi="Times New Roman"/>
          <w:sz w:val="24"/>
        </w:rPr>
        <w:t>59]</w:t>
      </w:r>
      <w:r w:rsidRPr="00C06B3A">
        <w:rPr>
          <w:rFonts w:ascii="Times New Roman" w:hAnsi="Times New Roman"/>
          <w:sz w:val="24"/>
        </w:rPr>
        <w:noBreakHyphen/>
      </w:r>
      <w:proofErr w:type="gramEnd"/>
      <w:r w:rsidRPr="00C06B3A">
        <w:rPr>
          <w:rFonts w:ascii="Times New Roman" w:hAnsi="Times New Roman"/>
          <w:sz w:val="24"/>
        </w:rPr>
        <w:t xml:space="preserve">[60]. See </w:t>
      </w:r>
      <w:r w:rsidRPr="00C06B3A">
        <w:rPr>
          <w:rFonts w:ascii="Times New Roman" w:hAnsi="Times New Roman"/>
          <w:i/>
          <w:sz w:val="24"/>
        </w:rPr>
        <w:t>Misuse of Drugs Act 1990 </w:t>
      </w:r>
      <w:r w:rsidRPr="00C06B3A">
        <w:rPr>
          <w:rFonts w:ascii="Times New Roman" w:hAnsi="Times New Roman"/>
          <w:sz w:val="24"/>
        </w:rPr>
        <w:t xml:space="preserve">(NT), s 36A; </w:t>
      </w:r>
      <w:r w:rsidRPr="00C06B3A">
        <w:rPr>
          <w:rFonts w:ascii="Times New Roman" w:hAnsi="Times New Roman"/>
          <w:i/>
          <w:sz w:val="24"/>
        </w:rPr>
        <w:t>Criminal Property Forfeiture Act 2002 </w:t>
      </w:r>
      <w:r w:rsidRPr="00C06B3A">
        <w:rPr>
          <w:rFonts w:ascii="Times New Roman" w:hAnsi="Times New Roman"/>
          <w:sz w:val="24"/>
        </w:rPr>
        <w:t>(NT), s 94(1).</w:t>
      </w:r>
    </w:p>
  </w:footnote>
  <w:footnote w:id="98">
    <w:p w14:paraId="2D0D9F26" w14:textId="30FD25D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Attorney</w:t>
      </w:r>
      <w:r w:rsidRPr="00C06B3A">
        <w:rPr>
          <w:rFonts w:ascii="Times New Roman" w:hAnsi="Times New Roman"/>
          <w:i/>
          <w:sz w:val="24"/>
        </w:rPr>
        <w:noBreakHyphen/>
        <w:t xml:space="preserve">General (NT) v Emmerson </w:t>
      </w:r>
      <w:r w:rsidRPr="00C06B3A">
        <w:rPr>
          <w:rFonts w:ascii="Times New Roman" w:hAnsi="Times New Roman"/>
          <w:sz w:val="24"/>
        </w:rPr>
        <w:t>(2014) 253 CLR 393 at 431 [60].</w:t>
      </w:r>
    </w:p>
  </w:footnote>
  <w:footnote w:id="99">
    <w:p w14:paraId="3927222D" w14:textId="54520B74"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Fardon v Attorney</w:t>
      </w:r>
      <w:r w:rsidRPr="00C06B3A">
        <w:rPr>
          <w:rFonts w:ascii="Times New Roman" w:hAnsi="Times New Roman"/>
          <w:i/>
          <w:iCs/>
          <w:sz w:val="24"/>
        </w:rPr>
        <w:noBreakHyphen/>
        <w:t xml:space="preserve">General (Qld) </w:t>
      </w:r>
      <w:r w:rsidRPr="00C06B3A">
        <w:rPr>
          <w:rFonts w:ascii="Times New Roman" w:hAnsi="Times New Roman"/>
          <w:iCs/>
          <w:sz w:val="24"/>
        </w:rPr>
        <w:t>(2004)</w:t>
      </w:r>
      <w:r w:rsidRPr="00C06B3A">
        <w:rPr>
          <w:rFonts w:ascii="Times New Roman" w:hAnsi="Times New Roman"/>
          <w:i/>
          <w:iCs/>
          <w:sz w:val="24"/>
        </w:rPr>
        <w:t xml:space="preserve"> </w:t>
      </w:r>
      <w:r w:rsidRPr="00C06B3A">
        <w:rPr>
          <w:rFonts w:ascii="Times New Roman" w:hAnsi="Times New Roman"/>
          <w:sz w:val="24"/>
        </w:rPr>
        <w:t xml:space="preserve">223 CLR 575 at 610 [74]; </w:t>
      </w:r>
      <w:r w:rsidRPr="00C06B3A">
        <w:rPr>
          <w:rFonts w:ascii="Times New Roman" w:hAnsi="Times New Roman"/>
          <w:i/>
          <w:iCs/>
          <w:sz w:val="24"/>
        </w:rPr>
        <w:t xml:space="preserve">Minister for Home Affairs v Benbrika </w:t>
      </w:r>
      <w:r w:rsidRPr="00C06B3A">
        <w:rPr>
          <w:rFonts w:ascii="Times New Roman" w:hAnsi="Times New Roman"/>
          <w:sz w:val="24"/>
        </w:rPr>
        <w:t>(2021) 95 ALJR 166 at 220 [214]; 388 ALR 1 at 64</w:t>
      </w:r>
      <w:r w:rsidRPr="00C06B3A">
        <w:rPr>
          <w:rFonts w:ascii="Times New Roman" w:hAnsi="Times New Roman"/>
          <w:sz w:val="24"/>
        </w:rPr>
        <w:noBreakHyphen/>
        <w:t>65.</w:t>
      </w:r>
    </w:p>
  </w:footnote>
  <w:footnote w:id="100">
    <w:p w14:paraId="4401FF0A" w14:textId="6DA71D8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Minister for Home Affairs v Benbrika </w:t>
      </w:r>
      <w:r w:rsidRPr="00C06B3A">
        <w:rPr>
          <w:rFonts w:ascii="Times New Roman" w:hAnsi="Times New Roman"/>
          <w:sz w:val="24"/>
        </w:rPr>
        <w:t>(2021) 95 ALJR 166 at 224 [230]; 388 ALR 1 at 70.</w:t>
      </w:r>
    </w:p>
  </w:footnote>
  <w:footnote w:id="101">
    <w:p w14:paraId="1A7E84FD" w14:textId="0E5408F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Minister for Home Affairs v Benbrika </w:t>
      </w:r>
      <w:r w:rsidRPr="00C06B3A">
        <w:rPr>
          <w:rFonts w:ascii="Times New Roman" w:hAnsi="Times New Roman"/>
          <w:sz w:val="24"/>
        </w:rPr>
        <w:t>(2021) 95 ALJR 166 at 22</w:t>
      </w:r>
      <w:r w:rsidR="00F06F64" w:rsidRPr="00C06B3A">
        <w:rPr>
          <w:rFonts w:ascii="Times New Roman" w:hAnsi="Times New Roman"/>
          <w:sz w:val="24"/>
        </w:rPr>
        <w:t>4</w:t>
      </w:r>
      <w:r w:rsidRPr="00C06B3A">
        <w:rPr>
          <w:rFonts w:ascii="Times New Roman" w:hAnsi="Times New Roman"/>
          <w:sz w:val="24"/>
        </w:rPr>
        <w:t> [228]</w:t>
      </w:r>
      <w:r w:rsidR="00072934" w:rsidRPr="00C06B3A">
        <w:rPr>
          <w:rFonts w:ascii="Times New Roman" w:hAnsi="Times New Roman"/>
          <w:sz w:val="24"/>
        </w:rPr>
        <w:t>; 388 ALR 1 at 69</w:t>
      </w:r>
      <w:r w:rsidRPr="00C06B3A">
        <w:rPr>
          <w:rFonts w:ascii="Times New Roman" w:hAnsi="Times New Roman"/>
          <w:sz w:val="24"/>
        </w:rPr>
        <w:t xml:space="preserve">, quoting </w:t>
      </w:r>
      <w:r w:rsidRPr="00C06B3A">
        <w:rPr>
          <w:rFonts w:ascii="Times New Roman" w:hAnsi="Times New Roman"/>
          <w:i/>
          <w:sz w:val="24"/>
        </w:rPr>
        <w:t xml:space="preserve">McGarry v The Queen </w:t>
      </w:r>
      <w:r w:rsidRPr="00C06B3A">
        <w:rPr>
          <w:rFonts w:ascii="Times New Roman" w:hAnsi="Times New Roman"/>
          <w:sz w:val="24"/>
        </w:rPr>
        <w:t>(2001) 207 CLR 121 at 129 [20].</w:t>
      </w:r>
    </w:p>
  </w:footnote>
  <w:footnote w:id="102">
    <w:p w14:paraId="012009DB" w14:textId="23C8D3A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Vella v Commissioner of Police (NSW) </w:t>
      </w:r>
      <w:r w:rsidRPr="00C06B3A">
        <w:rPr>
          <w:rFonts w:ascii="Times New Roman" w:hAnsi="Times New Roman"/>
          <w:sz w:val="24"/>
        </w:rPr>
        <w:t>(2019) 269 CLR 219 at 230 [3].</w:t>
      </w:r>
    </w:p>
  </w:footnote>
  <w:footnote w:id="103">
    <w:p w14:paraId="4526BB59" w14:textId="472E5A2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(2013) 25</w:t>
      </w:r>
      <w:r w:rsidR="00DA35A9" w:rsidRPr="00C06B3A">
        <w:rPr>
          <w:rFonts w:ascii="Times New Roman" w:hAnsi="Times New Roman"/>
          <w:sz w:val="24"/>
        </w:rPr>
        <w:t>2</w:t>
      </w:r>
      <w:r w:rsidRPr="00C06B3A">
        <w:rPr>
          <w:rFonts w:ascii="Times New Roman" w:hAnsi="Times New Roman"/>
          <w:sz w:val="24"/>
        </w:rPr>
        <w:t xml:space="preserve"> CLR 381 at 414 [10</w:t>
      </w:r>
      <w:r w:rsidR="00DA35A9" w:rsidRPr="00C06B3A">
        <w:rPr>
          <w:rFonts w:ascii="Times New Roman" w:hAnsi="Times New Roman"/>
          <w:sz w:val="24"/>
        </w:rPr>
        <w:t>5</w:t>
      </w:r>
      <w:r w:rsidRPr="00C06B3A">
        <w:rPr>
          <w:rFonts w:ascii="Times New Roman" w:hAnsi="Times New Roman"/>
          <w:sz w:val="24"/>
        </w:rPr>
        <w:t>].</w:t>
      </w:r>
    </w:p>
  </w:footnote>
  <w:footnote w:id="104">
    <w:p w14:paraId="22DF03BD" w14:textId="4D8EDEE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iCs/>
          <w:sz w:val="24"/>
        </w:rPr>
        <w:t>Minister for Home Affairs v Benbrika</w:t>
      </w:r>
      <w:r w:rsidRPr="00C06B3A">
        <w:rPr>
          <w:rFonts w:ascii="Times New Roman" w:hAnsi="Times New Roman"/>
          <w:sz w:val="24"/>
        </w:rPr>
        <w:t xml:space="preserve"> (2021) 95 ALJR 166 at 184</w:t>
      </w:r>
      <w:r w:rsidRPr="00C06B3A">
        <w:rPr>
          <w:rFonts w:ascii="Times New Roman" w:hAnsi="Times New Roman"/>
          <w:sz w:val="24"/>
        </w:rPr>
        <w:noBreakHyphen/>
        <w:t>185 [46]; 388 ALR 1 at 18.</w:t>
      </w:r>
    </w:p>
  </w:footnote>
  <w:footnote w:id="105">
    <w:p w14:paraId="10A7DF0B" w14:textId="27FCEFE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See s 7(3)(e), (f) of the HRSO Act.</w:t>
      </w:r>
    </w:p>
  </w:footnote>
  <w:footnote w:id="106">
    <w:p w14:paraId="4E56CDA4" w14:textId="73D1973A"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[2022] WASC 61 at [56].</w:t>
      </w:r>
    </w:p>
  </w:footnote>
  <w:footnote w:id="107">
    <w:p w14:paraId="731BD927" w14:textId="371B4E71"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Minister for Home Affairs v Benbrika </w:t>
      </w:r>
      <w:r w:rsidRPr="00C06B3A">
        <w:rPr>
          <w:rFonts w:ascii="Times New Roman" w:hAnsi="Times New Roman"/>
          <w:sz w:val="24"/>
        </w:rPr>
        <w:t>(2021) 95 ALJR 166 at 184</w:t>
      </w:r>
      <w:r w:rsidRPr="00C06B3A">
        <w:rPr>
          <w:rFonts w:ascii="Times New Roman" w:hAnsi="Times New Roman"/>
          <w:sz w:val="24"/>
        </w:rPr>
        <w:noBreakHyphen/>
        <w:t>185 [</w:t>
      </w:r>
      <w:proofErr w:type="gramStart"/>
      <w:r w:rsidRPr="00C06B3A">
        <w:rPr>
          <w:rFonts w:ascii="Times New Roman" w:hAnsi="Times New Roman"/>
          <w:sz w:val="24"/>
        </w:rPr>
        <w:t>46]</w:t>
      </w:r>
      <w:r w:rsidRPr="00C06B3A">
        <w:rPr>
          <w:rFonts w:ascii="Times New Roman" w:hAnsi="Times New Roman"/>
          <w:sz w:val="24"/>
        </w:rPr>
        <w:noBreakHyphen/>
      </w:r>
      <w:proofErr w:type="gramEnd"/>
      <w:r w:rsidRPr="00C06B3A">
        <w:rPr>
          <w:rFonts w:ascii="Times New Roman" w:hAnsi="Times New Roman"/>
          <w:sz w:val="24"/>
        </w:rPr>
        <w:t>[47]; 388 ALR 1 at 18</w:t>
      </w:r>
      <w:r w:rsidRPr="00C06B3A">
        <w:rPr>
          <w:rFonts w:ascii="Times New Roman" w:hAnsi="Times New Roman"/>
          <w:sz w:val="24"/>
        </w:rPr>
        <w:noBreakHyphen/>
        <w:t>19.</w:t>
      </w:r>
    </w:p>
  </w:footnote>
  <w:footnote w:id="108">
    <w:p w14:paraId="0E669F70" w14:textId="4514E5FD"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(2020) </w:t>
      </w:r>
      <w:r w:rsidR="005D4C7C" w:rsidRPr="00C06B3A">
        <w:rPr>
          <w:rFonts w:ascii="Times New Roman" w:hAnsi="Times New Roman"/>
          <w:sz w:val="24"/>
        </w:rPr>
        <w:t xml:space="preserve">270 CLR </w:t>
      </w:r>
      <w:r w:rsidR="00600379" w:rsidRPr="00C06B3A">
        <w:rPr>
          <w:rFonts w:ascii="Times New Roman" w:hAnsi="Times New Roman"/>
          <w:sz w:val="24"/>
        </w:rPr>
        <w:t>412 at 423</w:t>
      </w:r>
      <w:r w:rsidR="00600379" w:rsidRPr="00C06B3A">
        <w:rPr>
          <w:rFonts w:ascii="Times New Roman" w:hAnsi="Times New Roman"/>
          <w:sz w:val="24"/>
        </w:rPr>
        <w:noBreakHyphen/>
        <w:t>424 [18]</w:t>
      </w:r>
      <w:r w:rsidRPr="00C06B3A">
        <w:rPr>
          <w:rFonts w:ascii="Times New Roman" w:hAnsi="Times New Roman"/>
          <w:sz w:val="24"/>
        </w:rPr>
        <w:t>.</w:t>
      </w:r>
    </w:p>
  </w:footnote>
  <w:footnote w:id="109">
    <w:p w14:paraId="11FF3F51" w14:textId="4B3873C3"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(1920) 28 CLR 129 at 151</w:t>
      </w:r>
      <w:r w:rsidRPr="00C06B3A">
        <w:rPr>
          <w:rFonts w:ascii="Times New Roman" w:hAnsi="Times New Roman"/>
          <w:sz w:val="24"/>
        </w:rPr>
        <w:noBreakHyphen/>
        <w:t>152.</w:t>
      </w:r>
    </w:p>
  </w:footnote>
  <w:footnote w:id="110">
    <w:p w14:paraId="01A83D0D" w14:textId="17C6001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Gerner v Victoria </w:t>
      </w:r>
      <w:r w:rsidRPr="00C06B3A">
        <w:rPr>
          <w:rFonts w:ascii="Times New Roman" w:hAnsi="Times New Roman"/>
          <w:sz w:val="24"/>
        </w:rPr>
        <w:t xml:space="preserve">(2020) </w:t>
      </w:r>
      <w:r w:rsidR="00BB384D" w:rsidRPr="00C06B3A">
        <w:rPr>
          <w:rFonts w:ascii="Times New Roman" w:hAnsi="Times New Roman"/>
          <w:sz w:val="24"/>
        </w:rPr>
        <w:t xml:space="preserve">270 CLR 412 at </w:t>
      </w:r>
      <w:r w:rsidR="001836B8" w:rsidRPr="00C06B3A">
        <w:rPr>
          <w:rFonts w:ascii="Times New Roman" w:hAnsi="Times New Roman"/>
          <w:sz w:val="24"/>
        </w:rPr>
        <w:t>424 [18]</w:t>
      </w:r>
      <w:r w:rsidR="00DA35A9" w:rsidRPr="00C06B3A">
        <w:rPr>
          <w:rFonts w:ascii="Times New Roman" w:hAnsi="Times New Roman"/>
          <w:sz w:val="24"/>
        </w:rPr>
        <w:t xml:space="preserve"> </w:t>
      </w:r>
      <w:r w:rsidRPr="00C06B3A">
        <w:rPr>
          <w:rFonts w:ascii="Times New Roman" w:hAnsi="Times New Roman"/>
          <w:sz w:val="24"/>
        </w:rPr>
        <w:t>(</w:t>
      </w:r>
      <w:r w:rsidR="001836B8" w:rsidRPr="00C06B3A">
        <w:rPr>
          <w:rFonts w:ascii="Times New Roman" w:hAnsi="Times New Roman"/>
          <w:sz w:val="24"/>
        </w:rPr>
        <w:t xml:space="preserve">footnote </w:t>
      </w:r>
      <w:r w:rsidRPr="00C06B3A">
        <w:rPr>
          <w:rFonts w:ascii="Times New Roman" w:hAnsi="Times New Roman"/>
          <w:sz w:val="24"/>
        </w:rPr>
        <w:t>omitted).</w:t>
      </w:r>
    </w:p>
  </w:footnote>
  <w:footnote w:id="111">
    <w:p w14:paraId="7F348DA2" w14:textId="21FEE98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593 [23] (</w:t>
      </w:r>
      <w:r w:rsidR="00556FA2" w:rsidRPr="00C06B3A">
        <w:rPr>
          <w:rFonts w:ascii="Times New Roman" w:hAnsi="Times New Roman"/>
          <w:sz w:val="24"/>
        </w:rPr>
        <w:t xml:space="preserve">footnote </w:t>
      </w:r>
      <w:r w:rsidRPr="00C06B3A">
        <w:rPr>
          <w:rFonts w:ascii="Times New Roman" w:hAnsi="Times New Roman"/>
          <w:sz w:val="24"/>
        </w:rPr>
        <w:t>omitted).</w:t>
      </w:r>
    </w:p>
  </w:footnote>
  <w:footnote w:id="112">
    <w:p w14:paraId="09F21235" w14:textId="4731696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593 [23].</w:t>
      </w:r>
    </w:p>
  </w:footnote>
  <w:footnote w:id="113">
    <w:p w14:paraId="60C45A80" w14:textId="4616BDA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Minister for Home Affairs v Benbrika </w:t>
      </w:r>
      <w:r w:rsidRPr="00C06B3A">
        <w:rPr>
          <w:rFonts w:ascii="Times New Roman" w:hAnsi="Times New Roman"/>
          <w:sz w:val="24"/>
        </w:rPr>
        <w:t>(2021) 95 ALJR 166 at 223 [226]; 388 ALR 1 at 69.</w:t>
      </w:r>
    </w:p>
  </w:footnote>
  <w:footnote w:id="114">
    <w:p w14:paraId="67D0CBDF" w14:textId="0AFA5EF1"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Vella v Commissioner of Police (NSW) </w:t>
      </w:r>
      <w:r w:rsidRPr="00C06B3A">
        <w:rPr>
          <w:rFonts w:ascii="Times New Roman" w:hAnsi="Times New Roman"/>
          <w:sz w:val="24"/>
        </w:rPr>
        <w:t xml:space="preserve">(2019) 269 CLR 219 at 235 [24], quoting </w:t>
      </w:r>
      <w:r w:rsidRPr="00C06B3A">
        <w:rPr>
          <w:rFonts w:ascii="Times New Roman" w:hAnsi="Times New Roman"/>
          <w:i/>
          <w:iCs/>
          <w:sz w:val="24"/>
        </w:rPr>
        <w:t>Fardon v Attorney</w:t>
      </w:r>
      <w:r w:rsidRPr="00C06B3A">
        <w:rPr>
          <w:rFonts w:ascii="Times New Roman" w:hAnsi="Times New Roman"/>
          <w:i/>
          <w:iCs/>
          <w:sz w:val="24"/>
        </w:rPr>
        <w:noBreakHyphen/>
        <w:t xml:space="preserve">General </w:t>
      </w:r>
      <w:r w:rsidR="00DA35A9" w:rsidRPr="00C06B3A">
        <w:rPr>
          <w:rFonts w:ascii="Times New Roman" w:hAnsi="Times New Roman"/>
          <w:i/>
          <w:iCs/>
          <w:sz w:val="24"/>
        </w:rPr>
        <w:t>(</w:t>
      </w:r>
      <w:r w:rsidRPr="00C06B3A">
        <w:rPr>
          <w:rFonts w:ascii="Times New Roman" w:hAnsi="Times New Roman"/>
          <w:i/>
          <w:iCs/>
          <w:sz w:val="24"/>
        </w:rPr>
        <w:t>Qld</w:t>
      </w:r>
      <w:r w:rsidR="00DA35A9" w:rsidRPr="00C06B3A">
        <w:rPr>
          <w:rFonts w:ascii="Times New Roman" w:hAnsi="Times New Roman"/>
          <w:i/>
          <w:iCs/>
          <w:sz w:val="24"/>
        </w:rPr>
        <w:t>)</w:t>
      </w:r>
      <w:r w:rsidRPr="00C06B3A">
        <w:rPr>
          <w:rFonts w:ascii="Times New Roman" w:hAnsi="Times New Roman"/>
          <w:i/>
          <w:iCs/>
          <w:sz w:val="24"/>
        </w:rPr>
        <w:t xml:space="preserve"> </w:t>
      </w:r>
      <w:r w:rsidRPr="00C06B3A">
        <w:rPr>
          <w:rFonts w:ascii="Times New Roman" w:hAnsi="Times New Roman"/>
          <w:sz w:val="24"/>
        </w:rPr>
        <w:t>(2004) 223 CLR 575 at 593 [23].</w:t>
      </w:r>
    </w:p>
  </w:footnote>
  <w:footnote w:id="115">
    <w:p w14:paraId="38948559" w14:textId="77777777" w:rsidR="007040EA" w:rsidRPr="00C06B3A" w:rsidRDefault="007040EA"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Roadshow Films Pty Ltd v iiNet Ltd [No 1] </w:t>
      </w:r>
      <w:r w:rsidRPr="00C06B3A">
        <w:rPr>
          <w:rFonts w:ascii="Times New Roman" w:hAnsi="Times New Roman"/>
          <w:sz w:val="24"/>
        </w:rPr>
        <w:t>(2011) 248 CLR 37 at 39 [3].</w:t>
      </w:r>
    </w:p>
  </w:footnote>
  <w:footnote w:id="116">
    <w:p w14:paraId="0A92F859" w14:textId="550475BF"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 xml:space="preserve">Kuczborski v Queensland </w:t>
      </w:r>
      <w:r w:rsidRPr="00C06B3A">
        <w:rPr>
          <w:rFonts w:ascii="Times New Roman" w:hAnsi="Times New Roman"/>
          <w:sz w:val="24"/>
        </w:rPr>
        <w:t>(2014) 254 CLR 51 at 98 [140].</w:t>
      </w:r>
    </w:p>
  </w:footnote>
  <w:footnote w:id="117">
    <w:p w14:paraId="4EF44689"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(2009) 240 CLR 319.</w:t>
      </w:r>
    </w:p>
  </w:footnote>
  <w:footnote w:id="118">
    <w:p w14:paraId="0C42C80B"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(2010) 242 CLR 1.</w:t>
      </w:r>
    </w:p>
  </w:footnote>
  <w:footnote w:id="119">
    <w:p w14:paraId="79011267"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(2011) 243 CLR 181.</w:t>
      </w:r>
    </w:p>
  </w:footnote>
  <w:footnote w:id="120">
    <w:p w14:paraId="77ACBEB0" w14:textId="7717A43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Criminal Assets Recovery Act 1990 </w:t>
      </w:r>
      <w:r w:rsidRPr="00C06B3A">
        <w:rPr>
          <w:rFonts w:ascii="Times New Roman" w:hAnsi="Times New Roman"/>
          <w:sz w:val="24"/>
        </w:rPr>
        <w:t>(NSW).</w:t>
      </w:r>
    </w:p>
  </w:footnote>
  <w:footnote w:id="121">
    <w:p w14:paraId="76DD79E8" w14:textId="16377FD4"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Serious and Organised Crime (Control) Act 2008 </w:t>
      </w:r>
      <w:r w:rsidRPr="00C06B3A">
        <w:rPr>
          <w:rFonts w:ascii="Times New Roman" w:hAnsi="Times New Roman"/>
          <w:sz w:val="24"/>
        </w:rPr>
        <w:t xml:space="preserve">(SA); </w:t>
      </w:r>
      <w:r w:rsidRPr="00C06B3A">
        <w:rPr>
          <w:rFonts w:ascii="Times New Roman" w:hAnsi="Times New Roman"/>
          <w:i/>
          <w:sz w:val="24"/>
        </w:rPr>
        <w:t>Crimes (Criminal Organisations Control) Act 2009 </w:t>
      </w:r>
      <w:r w:rsidRPr="00C06B3A">
        <w:rPr>
          <w:rFonts w:ascii="Times New Roman" w:hAnsi="Times New Roman"/>
          <w:sz w:val="24"/>
        </w:rPr>
        <w:t>(NSW).</w:t>
      </w:r>
    </w:p>
  </w:footnote>
  <w:footnote w:id="122">
    <w:p w14:paraId="6B546114" w14:textId="55B6B094"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South Australia v Totani </w:t>
      </w:r>
      <w:r w:rsidRPr="00C06B3A">
        <w:rPr>
          <w:rFonts w:ascii="Times New Roman" w:hAnsi="Times New Roman"/>
          <w:sz w:val="24"/>
        </w:rPr>
        <w:t>(2010) 242 CLR 1 at 21 [</w:t>
      </w:r>
      <w:proofErr w:type="gramStart"/>
      <w:r w:rsidRPr="00C06B3A">
        <w:rPr>
          <w:rFonts w:ascii="Times New Roman" w:hAnsi="Times New Roman"/>
          <w:sz w:val="24"/>
        </w:rPr>
        <w:t>3]</w:t>
      </w:r>
      <w:r w:rsidRPr="00C06B3A">
        <w:rPr>
          <w:rFonts w:ascii="Times New Roman" w:hAnsi="Times New Roman"/>
          <w:sz w:val="24"/>
        </w:rPr>
        <w:noBreakHyphen/>
      </w:r>
      <w:proofErr w:type="gramEnd"/>
      <w:r w:rsidRPr="00C06B3A">
        <w:rPr>
          <w:rFonts w:ascii="Times New Roman" w:hAnsi="Times New Roman"/>
          <w:sz w:val="24"/>
        </w:rPr>
        <w:t>[4].</w:t>
      </w:r>
    </w:p>
  </w:footnote>
  <w:footnote w:id="123">
    <w:p w14:paraId="231E55B9" w14:textId="4B525C4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Wainohu v New South Wales </w:t>
      </w:r>
      <w:r w:rsidRPr="00C06B3A">
        <w:rPr>
          <w:rFonts w:ascii="Times New Roman" w:hAnsi="Times New Roman"/>
          <w:sz w:val="24"/>
        </w:rPr>
        <w:t>(2011) 243 CLR 181 at 19</w:t>
      </w:r>
      <w:r w:rsidR="0058548E" w:rsidRPr="00C06B3A">
        <w:rPr>
          <w:rFonts w:ascii="Times New Roman" w:hAnsi="Times New Roman"/>
          <w:sz w:val="24"/>
        </w:rPr>
        <w:t>2</w:t>
      </w:r>
      <w:r w:rsidRPr="00C06B3A">
        <w:rPr>
          <w:rFonts w:ascii="Times New Roman" w:hAnsi="Times New Roman"/>
          <w:sz w:val="24"/>
        </w:rPr>
        <w:t> [7], 213</w:t>
      </w:r>
      <w:r w:rsidRPr="00C06B3A">
        <w:rPr>
          <w:rFonts w:ascii="Times New Roman" w:hAnsi="Times New Roman"/>
          <w:sz w:val="24"/>
        </w:rPr>
        <w:noBreakHyphen/>
        <w:t>215 [</w:t>
      </w:r>
      <w:proofErr w:type="gramStart"/>
      <w:r w:rsidRPr="00C06B3A">
        <w:rPr>
          <w:rFonts w:ascii="Times New Roman" w:hAnsi="Times New Roman"/>
          <w:sz w:val="24"/>
        </w:rPr>
        <w:t>54]</w:t>
      </w:r>
      <w:r w:rsidRPr="00C06B3A">
        <w:rPr>
          <w:rFonts w:ascii="Times New Roman" w:hAnsi="Times New Roman"/>
          <w:sz w:val="24"/>
        </w:rPr>
        <w:noBreakHyphen/>
      </w:r>
      <w:proofErr w:type="gramEnd"/>
      <w:r w:rsidRPr="00C06B3A">
        <w:rPr>
          <w:rFonts w:ascii="Times New Roman" w:hAnsi="Times New Roman"/>
          <w:sz w:val="24"/>
        </w:rPr>
        <w:t>[59], 228 [104].</w:t>
      </w:r>
    </w:p>
  </w:footnote>
  <w:footnote w:id="124">
    <w:p w14:paraId="1A66D0AC" w14:textId="06967DBB"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International Finance Trust Co Ltd v New South Wales Crime Commission </w:t>
      </w:r>
      <w:r w:rsidRPr="00C06B3A">
        <w:rPr>
          <w:rFonts w:ascii="Times New Roman" w:hAnsi="Times New Roman"/>
          <w:sz w:val="24"/>
        </w:rPr>
        <w:t>(2009) 240 CLR 319 at 355 [56], 366</w:t>
      </w:r>
      <w:r w:rsidRPr="00C06B3A">
        <w:rPr>
          <w:rFonts w:ascii="Times New Roman" w:hAnsi="Times New Roman"/>
          <w:sz w:val="24"/>
        </w:rPr>
        <w:noBreakHyphen/>
        <w:t>367 [</w:t>
      </w:r>
      <w:proofErr w:type="gramStart"/>
      <w:r w:rsidRPr="00C06B3A">
        <w:rPr>
          <w:rFonts w:ascii="Times New Roman" w:hAnsi="Times New Roman"/>
          <w:sz w:val="24"/>
        </w:rPr>
        <w:t>97]</w:t>
      </w:r>
      <w:r w:rsidRPr="00C06B3A">
        <w:rPr>
          <w:rFonts w:ascii="Times New Roman" w:hAnsi="Times New Roman"/>
          <w:sz w:val="24"/>
        </w:rPr>
        <w:noBreakHyphen/>
      </w:r>
      <w:proofErr w:type="gramEnd"/>
      <w:r w:rsidRPr="00C06B3A">
        <w:rPr>
          <w:rFonts w:ascii="Times New Roman" w:hAnsi="Times New Roman"/>
          <w:sz w:val="24"/>
        </w:rPr>
        <w:t>[98], 386</w:t>
      </w:r>
      <w:r w:rsidRPr="00C06B3A">
        <w:rPr>
          <w:rFonts w:ascii="Times New Roman" w:hAnsi="Times New Roman"/>
          <w:sz w:val="24"/>
        </w:rPr>
        <w:noBreakHyphen/>
        <w:t>387 [159]</w:t>
      </w:r>
      <w:r w:rsidRPr="00C06B3A">
        <w:rPr>
          <w:rFonts w:ascii="Times New Roman" w:hAnsi="Times New Roman"/>
          <w:sz w:val="24"/>
        </w:rPr>
        <w:noBreakHyphen/>
        <w:t>[161].</w:t>
      </w:r>
    </w:p>
  </w:footnote>
  <w:footnote w:id="125">
    <w:p w14:paraId="0AD29FE1" w14:textId="7439A50C"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International Finance Trust Co Ltd v New South Wales Crime Commission </w:t>
      </w:r>
      <w:r w:rsidRPr="00C06B3A">
        <w:rPr>
          <w:rFonts w:ascii="Times New Roman" w:hAnsi="Times New Roman"/>
          <w:sz w:val="24"/>
        </w:rPr>
        <w:t>(2009) 240 CLR 319 at 360 [77].</w:t>
      </w:r>
    </w:p>
  </w:footnote>
  <w:footnote w:id="126">
    <w:p w14:paraId="767EBEC9"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See s 4 of the HRSO Act.</w:t>
      </w:r>
    </w:p>
  </w:footnote>
  <w:footnote w:id="127">
    <w:p w14:paraId="11A00924" w14:textId="3CE1072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 at 588 [</w:t>
      </w:r>
      <w:proofErr w:type="gramStart"/>
      <w:r w:rsidRPr="00C06B3A">
        <w:rPr>
          <w:rFonts w:ascii="Times New Roman" w:hAnsi="Times New Roman"/>
          <w:sz w:val="24"/>
        </w:rPr>
        <w:t>7]</w:t>
      </w:r>
      <w:r w:rsidRPr="00C06B3A">
        <w:rPr>
          <w:rFonts w:ascii="Times New Roman" w:hAnsi="Times New Roman"/>
          <w:sz w:val="24"/>
        </w:rPr>
        <w:noBreakHyphen/>
      </w:r>
      <w:proofErr w:type="gramEnd"/>
      <w:r w:rsidRPr="00C06B3A">
        <w:rPr>
          <w:rFonts w:ascii="Times New Roman" w:hAnsi="Times New Roman"/>
          <w:sz w:val="24"/>
        </w:rPr>
        <w:t>[8].</w:t>
      </w:r>
    </w:p>
  </w:footnote>
  <w:footnote w:id="128">
    <w:p w14:paraId="345228E8" w14:textId="77777777"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[2021] WASC 219 at [416].</w:t>
      </w:r>
    </w:p>
  </w:footnote>
  <w:footnote w:id="129">
    <w:p w14:paraId="4B4CE66B" w14:textId="52346135"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iCs/>
          <w:sz w:val="24"/>
        </w:rPr>
        <w:t>Western Australia v Lewis</w:t>
      </w:r>
      <w:r w:rsidRPr="00C06B3A">
        <w:rPr>
          <w:rFonts w:ascii="Times New Roman" w:hAnsi="Times New Roman"/>
          <w:sz w:val="24"/>
        </w:rPr>
        <w:t xml:space="preserve"> </w:t>
      </w:r>
      <w:r w:rsidRPr="00C06B3A">
        <w:rPr>
          <w:rFonts w:ascii="Times New Roman" w:hAnsi="Times New Roman"/>
          <w:i/>
          <w:iCs/>
          <w:sz w:val="24"/>
        </w:rPr>
        <w:t xml:space="preserve">[No 2] </w:t>
      </w:r>
      <w:r w:rsidRPr="00C06B3A">
        <w:rPr>
          <w:rFonts w:ascii="Times New Roman" w:hAnsi="Times New Roman"/>
          <w:sz w:val="24"/>
        </w:rPr>
        <w:t>[2020] WASC 377 at [102]</w:t>
      </w:r>
      <w:r w:rsidRPr="00C06B3A">
        <w:rPr>
          <w:rFonts w:ascii="Times New Roman" w:hAnsi="Times New Roman"/>
          <w:sz w:val="24"/>
        </w:rPr>
        <w:noBreakHyphen/>
        <w:t xml:space="preserve">[111]; </w:t>
      </w:r>
      <w:r w:rsidRPr="00C06B3A">
        <w:rPr>
          <w:rFonts w:ascii="Times New Roman" w:hAnsi="Times New Roman"/>
          <w:i/>
          <w:iCs/>
          <w:sz w:val="24"/>
        </w:rPr>
        <w:t xml:space="preserve">Western Australia v Atkinson [No 2] </w:t>
      </w:r>
      <w:r w:rsidRPr="00C06B3A">
        <w:rPr>
          <w:rFonts w:ascii="Times New Roman" w:hAnsi="Times New Roman"/>
          <w:sz w:val="24"/>
        </w:rPr>
        <w:t>[2020] WASC 379 at [87]</w:t>
      </w:r>
      <w:r w:rsidRPr="00C06B3A">
        <w:rPr>
          <w:rFonts w:ascii="Times New Roman" w:hAnsi="Times New Roman"/>
          <w:sz w:val="24"/>
        </w:rPr>
        <w:noBreakHyphen/>
        <w:t xml:space="preserve">[95]; </w:t>
      </w:r>
      <w:r w:rsidRPr="00C06B3A">
        <w:rPr>
          <w:rFonts w:ascii="Times New Roman" w:hAnsi="Times New Roman"/>
          <w:i/>
          <w:iCs/>
          <w:sz w:val="24"/>
        </w:rPr>
        <w:t xml:space="preserve">Western Australia v TJZ </w:t>
      </w:r>
      <w:r w:rsidRPr="00C06B3A">
        <w:rPr>
          <w:rFonts w:ascii="Times New Roman" w:hAnsi="Times New Roman"/>
          <w:sz w:val="24"/>
        </w:rPr>
        <w:t>[2020] WASC 407 at </w:t>
      </w:r>
      <w:r w:rsidR="00661A73" w:rsidRPr="00C06B3A">
        <w:rPr>
          <w:rFonts w:ascii="Times New Roman" w:hAnsi="Times New Roman"/>
          <w:sz w:val="24"/>
        </w:rPr>
        <w:t>[</w:t>
      </w:r>
      <w:r w:rsidRPr="00C06B3A">
        <w:rPr>
          <w:rFonts w:ascii="Times New Roman" w:hAnsi="Times New Roman"/>
          <w:sz w:val="24"/>
        </w:rPr>
        <w:t>158]</w:t>
      </w:r>
      <w:r w:rsidRPr="00C06B3A">
        <w:rPr>
          <w:rFonts w:ascii="Times New Roman" w:hAnsi="Times New Roman"/>
          <w:sz w:val="24"/>
        </w:rPr>
        <w:noBreakHyphen/>
        <w:t xml:space="preserve">[169]; </w:t>
      </w:r>
      <w:r w:rsidRPr="00C06B3A">
        <w:rPr>
          <w:rFonts w:ascii="Times New Roman" w:hAnsi="Times New Roman"/>
          <w:i/>
          <w:iCs/>
          <w:sz w:val="24"/>
        </w:rPr>
        <w:t xml:space="preserve">Western Australia v PCA </w:t>
      </w:r>
      <w:r w:rsidRPr="00C06B3A">
        <w:rPr>
          <w:rFonts w:ascii="Times New Roman" w:hAnsi="Times New Roman"/>
          <w:sz w:val="24"/>
        </w:rPr>
        <w:t>[2020] WASC 478 at [388]</w:t>
      </w:r>
      <w:r w:rsidRPr="00C06B3A">
        <w:rPr>
          <w:rFonts w:ascii="Times New Roman" w:hAnsi="Times New Roman"/>
          <w:sz w:val="24"/>
        </w:rPr>
        <w:noBreakHyphen/>
        <w:t xml:space="preserve">[406]; </w:t>
      </w:r>
      <w:r w:rsidR="00661A73" w:rsidRPr="00C06B3A">
        <w:rPr>
          <w:rFonts w:ascii="Times New Roman" w:hAnsi="Times New Roman"/>
          <w:i/>
          <w:iCs/>
          <w:sz w:val="24"/>
        </w:rPr>
        <w:t xml:space="preserve">Western Australia v Yorkshire [No 2] </w:t>
      </w:r>
      <w:r w:rsidR="00661A73" w:rsidRPr="00C06B3A">
        <w:rPr>
          <w:rFonts w:ascii="Times New Roman" w:hAnsi="Times New Roman"/>
          <w:sz w:val="24"/>
        </w:rPr>
        <w:t>[2021] WASC 261 at [117]</w:t>
      </w:r>
      <w:r w:rsidR="00661A73" w:rsidRPr="00C06B3A">
        <w:rPr>
          <w:rFonts w:ascii="Times New Roman" w:hAnsi="Times New Roman"/>
          <w:sz w:val="24"/>
        </w:rPr>
        <w:noBreakHyphen/>
        <w:t xml:space="preserve">[146]; </w:t>
      </w:r>
      <w:r w:rsidRPr="00C06B3A">
        <w:rPr>
          <w:rFonts w:ascii="Times New Roman" w:hAnsi="Times New Roman"/>
          <w:i/>
          <w:iCs/>
          <w:sz w:val="24"/>
        </w:rPr>
        <w:t>Western Australia v Quartermaine</w:t>
      </w:r>
      <w:r w:rsidR="00661A73" w:rsidRPr="00C06B3A">
        <w:rPr>
          <w:rFonts w:ascii="Times New Roman" w:hAnsi="Times New Roman"/>
          <w:i/>
          <w:iCs/>
          <w:sz w:val="24"/>
        </w:rPr>
        <w:t xml:space="preserve"> [No 2]</w:t>
      </w:r>
      <w:r w:rsidRPr="00C06B3A">
        <w:rPr>
          <w:rFonts w:ascii="Times New Roman" w:hAnsi="Times New Roman"/>
          <w:i/>
          <w:iCs/>
          <w:sz w:val="24"/>
        </w:rPr>
        <w:t xml:space="preserve"> </w:t>
      </w:r>
      <w:r w:rsidRPr="00C06B3A">
        <w:rPr>
          <w:rFonts w:ascii="Times New Roman" w:hAnsi="Times New Roman"/>
          <w:sz w:val="24"/>
        </w:rPr>
        <w:t>[2021] WASC 267 at [155]</w:t>
      </w:r>
      <w:r w:rsidRPr="00C06B3A">
        <w:rPr>
          <w:rFonts w:ascii="Times New Roman" w:hAnsi="Times New Roman"/>
          <w:sz w:val="24"/>
        </w:rPr>
        <w:noBreakHyphen/>
        <w:t xml:space="preserve">[170]; </w:t>
      </w:r>
      <w:r w:rsidRPr="00C06B3A">
        <w:rPr>
          <w:rFonts w:ascii="Times New Roman" w:hAnsi="Times New Roman"/>
          <w:i/>
          <w:iCs/>
          <w:sz w:val="24"/>
        </w:rPr>
        <w:t>Western Australia v D</w:t>
      </w:r>
      <w:r w:rsidR="00661A73" w:rsidRPr="00C06B3A">
        <w:rPr>
          <w:rFonts w:ascii="Times New Roman" w:hAnsi="Times New Roman"/>
          <w:i/>
          <w:iCs/>
          <w:sz w:val="24"/>
        </w:rPr>
        <w:t>'</w:t>
      </w:r>
      <w:r w:rsidRPr="00C06B3A">
        <w:rPr>
          <w:rFonts w:ascii="Times New Roman" w:hAnsi="Times New Roman"/>
          <w:i/>
          <w:iCs/>
          <w:sz w:val="24"/>
        </w:rPr>
        <w:t xml:space="preserve">Rozario [No 3] </w:t>
      </w:r>
      <w:r w:rsidRPr="00C06B3A">
        <w:rPr>
          <w:rFonts w:ascii="Times New Roman" w:hAnsi="Times New Roman"/>
          <w:sz w:val="24"/>
        </w:rPr>
        <w:t>[2021] WASC 412 at [136]</w:t>
      </w:r>
      <w:r w:rsidRPr="00C06B3A">
        <w:rPr>
          <w:rFonts w:ascii="Times New Roman" w:hAnsi="Times New Roman"/>
          <w:sz w:val="24"/>
        </w:rPr>
        <w:noBreakHyphen/>
        <w:t xml:space="preserve">[140]; </w:t>
      </w:r>
      <w:r w:rsidRPr="00C06B3A">
        <w:rPr>
          <w:rFonts w:ascii="Times New Roman" w:hAnsi="Times New Roman"/>
          <w:i/>
          <w:iCs/>
          <w:sz w:val="24"/>
        </w:rPr>
        <w:t xml:space="preserve">Western Australia v Atkins [No 2] </w:t>
      </w:r>
      <w:r w:rsidRPr="00C06B3A">
        <w:rPr>
          <w:rFonts w:ascii="Times New Roman" w:hAnsi="Times New Roman"/>
          <w:sz w:val="24"/>
        </w:rPr>
        <w:t>[2022] WASC 45 at [140]</w:t>
      </w:r>
      <w:r w:rsidRPr="00C06B3A">
        <w:rPr>
          <w:rFonts w:ascii="Times New Roman" w:hAnsi="Times New Roman"/>
          <w:sz w:val="24"/>
        </w:rPr>
        <w:noBreakHyphen/>
        <w:t>[156].</w:t>
      </w:r>
    </w:p>
  </w:footnote>
  <w:footnote w:id="130">
    <w:p w14:paraId="7E5C204A" w14:textId="66CE80D2"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[2007] 1 Qd R 396 at 405 [39].</w:t>
      </w:r>
    </w:p>
  </w:footnote>
  <w:footnote w:id="131">
    <w:p w14:paraId="3221D49F" w14:textId="6B9CFBD9"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iCs/>
          <w:sz w:val="24"/>
        </w:rPr>
        <w:t>Director of Public Prosecutions (WA) v DAL [No 2]</w:t>
      </w:r>
      <w:r w:rsidRPr="00C06B3A">
        <w:rPr>
          <w:rFonts w:ascii="Times New Roman" w:hAnsi="Times New Roman"/>
          <w:sz w:val="24"/>
        </w:rPr>
        <w:t xml:space="preserve"> [2016] WASC 212 esp at [33].</w:t>
      </w:r>
    </w:p>
  </w:footnote>
  <w:footnote w:id="132">
    <w:p w14:paraId="0659C289" w14:textId="52B6C4EE"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sz w:val="24"/>
        </w:rPr>
        <w:t xml:space="preserve">Western Australia v ACJ </w:t>
      </w:r>
      <w:r w:rsidRPr="00C06B3A">
        <w:rPr>
          <w:rFonts w:ascii="Times New Roman" w:hAnsi="Times New Roman"/>
          <w:sz w:val="24"/>
        </w:rPr>
        <w:t>[2021] WASC 219 at [32].</w:t>
      </w:r>
    </w:p>
  </w:footnote>
  <w:footnote w:id="133">
    <w:p w14:paraId="2AA1308A" w14:textId="0B29947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Western Australia v Latimer </w:t>
      </w:r>
      <w:r w:rsidRPr="00C06B3A">
        <w:rPr>
          <w:rFonts w:ascii="Times New Roman" w:hAnsi="Times New Roman"/>
          <w:sz w:val="24"/>
        </w:rPr>
        <w:t>[2006] WASC 235 at [49].</w:t>
      </w:r>
    </w:p>
  </w:footnote>
  <w:footnote w:id="134">
    <w:p w14:paraId="04CFEF6F" w14:textId="65D5BC50"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r>
      <w:r w:rsidRPr="00C06B3A">
        <w:rPr>
          <w:rFonts w:ascii="Times New Roman" w:hAnsi="Times New Roman"/>
          <w:i/>
          <w:iCs/>
          <w:sz w:val="24"/>
        </w:rPr>
        <w:t xml:space="preserve">Director of Public Prosecutions (WA) v Decke </w:t>
      </w:r>
      <w:r w:rsidRPr="00C06B3A">
        <w:rPr>
          <w:rFonts w:ascii="Times New Roman" w:hAnsi="Times New Roman"/>
          <w:sz w:val="24"/>
        </w:rPr>
        <w:t>[2009] WASC 312 at [14].</w:t>
      </w:r>
    </w:p>
  </w:footnote>
  <w:footnote w:id="135">
    <w:p w14:paraId="77CB8AFC" w14:textId="01794E51" w:rsidR="002044A8" w:rsidRPr="00C06B3A" w:rsidRDefault="002044A8" w:rsidP="00C06B3A">
      <w:pPr>
        <w:pStyle w:val="FootnoteText"/>
        <w:spacing w:line="280" w:lineRule="exact"/>
        <w:ind w:right="0"/>
        <w:jc w:val="both"/>
        <w:rPr>
          <w:rFonts w:ascii="Times New Roman" w:hAnsi="Times New Roman"/>
          <w:sz w:val="24"/>
        </w:rPr>
      </w:pPr>
      <w:r w:rsidRPr="00C06B3A">
        <w:rPr>
          <w:rStyle w:val="FootnoteReference"/>
          <w:rFonts w:ascii="Times New Roman" w:hAnsi="Times New Roman"/>
          <w:sz w:val="22"/>
          <w:vertAlign w:val="baseline"/>
        </w:rPr>
        <w:footnoteRef/>
      </w:r>
      <w:r w:rsidRPr="00C06B3A">
        <w:rPr>
          <w:rFonts w:ascii="Times New Roman" w:hAnsi="Times New Roman"/>
          <w:sz w:val="24"/>
        </w:rPr>
        <w:t xml:space="preserve"> </w:t>
      </w:r>
      <w:r w:rsidRPr="00C06B3A">
        <w:rPr>
          <w:rFonts w:ascii="Times New Roman" w:hAnsi="Times New Roman"/>
          <w:sz w:val="24"/>
        </w:rPr>
        <w:tab/>
        <w:t xml:space="preserve">See </w:t>
      </w:r>
      <w:r w:rsidRPr="00C06B3A">
        <w:rPr>
          <w:rFonts w:ascii="Times New Roman" w:hAnsi="Times New Roman"/>
          <w:i/>
          <w:sz w:val="24"/>
        </w:rPr>
        <w:t>Fardon v Attorney</w:t>
      </w:r>
      <w:r w:rsidRPr="00C06B3A">
        <w:rPr>
          <w:rFonts w:ascii="Times New Roman" w:hAnsi="Times New Roman"/>
          <w:i/>
          <w:sz w:val="24"/>
        </w:rPr>
        <w:noBreakHyphen/>
        <w:t xml:space="preserve">General (Qld) </w:t>
      </w:r>
      <w:r w:rsidRPr="00C06B3A">
        <w:rPr>
          <w:rFonts w:ascii="Times New Roman" w:hAnsi="Times New Roman"/>
          <w:sz w:val="24"/>
        </w:rPr>
        <w:t>(2004) 223 CLR 575.</w:t>
      </w:r>
    </w:p>
  </w:footnote>
  <w:footnote w:id="136">
    <w:p w14:paraId="01FBDDA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(1992) 176 CLR 1 at 27.</w:t>
      </w:r>
    </w:p>
  </w:footnote>
  <w:footnote w:id="137">
    <w:p w14:paraId="367438AC"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Re Tracey; Ex parte Ryan</w:t>
      </w:r>
      <w:r w:rsidRPr="00E61F4C">
        <w:rPr>
          <w:rFonts w:ascii="Times New Roman" w:hAnsi="Times New Roman"/>
          <w:sz w:val="24"/>
        </w:rPr>
        <w:t xml:space="preserve"> (1989) 166 CLR 518 at 580. See also </w:t>
      </w:r>
      <w:r w:rsidRPr="00E61F4C">
        <w:rPr>
          <w:rFonts w:ascii="Times New Roman" w:hAnsi="Times New Roman"/>
          <w:i/>
          <w:sz w:val="24"/>
        </w:rPr>
        <w:t>R v Federal Court of Bankruptcy; Ex parte Lowenstein</w:t>
      </w:r>
      <w:r w:rsidRPr="00E61F4C">
        <w:rPr>
          <w:rFonts w:ascii="Times New Roman" w:hAnsi="Times New Roman"/>
          <w:sz w:val="24"/>
        </w:rPr>
        <w:t xml:space="preserve"> (1938) 59 CLR 556 at 580-581.</w:t>
      </w:r>
    </w:p>
  </w:footnote>
  <w:footnote w:id="138">
    <w:p w14:paraId="23AEFDD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(1956) 94 CLR 254 at 270.</w:t>
      </w:r>
    </w:p>
  </w:footnote>
  <w:footnote w:id="139">
    <w:p w14:paraId="0B4E274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(1992) 176 CLR 1 at 28-29.</w:t>
      </w:r>
    </w:p>
  </w:footnote>
  <w:footnote w:id="140">
    <w:p w14:paraId="5044E13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Sections 71 and 76 of the </w:t>
      </w:r>
      <w:r w:rsidRPr="00E61F4C">
        <w:rPr>
          <w:rFonts w:ascii="Times New Roman" w:hAnsi="Times New Roman"/>
          <w:i/>
          <w:sz w:val="24"/>
        </w:rPr>
        <w:t>Constitution</w:t>
      </w:r>
      <w:r w:rsidRPr="00E61F4C">
        <w:rPr>
          <w:rFonts w:ascii="Times New Roman" w:hAnsi="Times New Roman"/>
          <w:sz w:val="24"/>
        </w:rPr>
        <w:t>.</w:t>
      </w:r>
    </w:p>
  </w:footnote>
  <w:footnote w:id="141">
    <w:p w14:paraId="7D8218A8"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Sections 71 and 77(i) of the </w:t>
      </w:r>
      <w:r w:rsidRPr="00E61F4C">
        <w:rPr>
          <w:rFonts w:ascii="Times New Roman" w:hAnsi="Times New Roman"/>
          <w:i/>
          <w:sz w:val="24"/>
        </w:rPr>
        <w:t>Constitution</w:t>
      </w:r>
      <w:r w:rsidRPr="00E61F4C">
        <w:rPr>
          <w:rFonts w:ascii="Times New Roman" w:hAnsi="Times New Roman"/>
          <w:sz w:val="24"/>
        </w:rPr>
        <w:t>.</w:t>
      </w:r>
    </w:p>
  </w:footnote>
  <w:footnote w:id="142">
    <w:p w14:paraId="02F8DF05"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Sections 71 and 77(iii) of the </w:t>
      </w:r>
      <w:r w:rsidRPr="00E61F4C">
        <w:rPr>
          <w:rFonts w:ascii="Times New Roman" w:hAnsi="Times New Roman"/>
          <w:i/>
          <w:sz w:val="24"/>
        </w:rPr>
        <w:t>Constitution</w:t>
      </w:r>
      <w:r w:rsidRPr="00E61F4C">
        <w:rPr>
          <w:rFonts w:ascii="Times New Roman" w:hAnsi="Times New Roman"/>
          <w:sz w:val="24"/>
        </w:rPr>
        <w:t>.</w:t>
      </w:r>
    </w:p>
  </w:footnote>
  <w:footnote w:id="143">
    <w:p w14:paraId="20906B34"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Sections 71 and 122 of the </w:t>
      </w:r>
      <w:r w:rsidRPr="00E61F4C">
        <w:rPr>
          <w:rFonts w:ascii="Times New Roman" w:hAnsi="Times New Roman"/>
          <w:i/>
          <w:sz w:val="24"/>
        </w:rPr>
        <w:t>Constitution</w:t>
      </w:r>
      <w:r w:rsidRPr="00E61F4C">
        <w:rPr>
          <w:rFonts w:ascii="Times New Roman" w:hAnsi="Times New Roman"/>
          <w:sz w:val="24"/>
        </w:rPr>
        <w:t>.</w:t>
      </w:r>
    </w:p>
  </w:footnote>
  <w:footnote w:id="144">
    <w:p w14:paraId="5F6D800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North Australian Aboriginal Justice Agency Ltd v Northern Territory</w:t>
      </w:r>
      <w:r w:rsidRPr="00E61F4C">
        <w:rPr>
          <w:rFonts w:ascii="Times New Roman" w:hAnsi="Times New Roman"/>
          <w:sz w:val="24"/>
        </w:rPr>
        <w:t xml:space="preserve"> (2015) 256 CLR 569 at 618 [120].</w:t>
      </w:r>
    </w:p>
  </w:footnote>
  <w:footnote w:id="145">
    <w:p w14:paraId="06D6ABF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North Australian Aboriginal Legal Aid Service Inc v Bradley</w:t>
      </w:r>
      <w:r w:rsidRPr="00E61F4C">
        <w:rPr>
          <w:rFonts w:ascii="Times New Roman" w:hAnsi="Times New Roman"/>
          <w:sz w:val="24"/>
        </w:rPr>
        <w:t xml:space="preserve"> (2004) 218 CLR 146 at 163 [29].</w:t>
      </w:r>
    </w:p>
  </w:footnote>
  <w:footnote w:id="146">
    <w:p w14:paraId="748F3D5A"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iCs/>
          <w:sz w:val="24"/>
        </w:rPr>
        <w:t>Huddart, Parker &amp; Co Pty Ltd v Moorehead</w:t>
      </w:r>
      <w:r w:rsidRPr="00E61F4C">
        <w:rPr>
          <w:rFonts w:ascii="Times New Roman" w:hAnsi="Times New Roman"/>
          <w:sz w:val="24"/>
        </w:rPr>
        <w:t xml:space="preserve"> (1909) 8 CLR 330 at 357.</w:t>
      </w:r>
    </w:p>
  </w:footnote>
  <w:footnote w:id="147">
    <w:p w14:paraId="363188C0"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R v Trade Practices Tribunal; Ex parte Tasmanian Breweries Pty Ltd</w:t>
      </w:r>
      <w:r w:rsidRPr="00E61F4C">
        <w:rPr>
          <w:rFonts w:ascii="Times New Roman" w:hAnsi="Times New Roman"/>
          <w:sz w:val="24"/>
        </w:rPr>
        <w:t xml:space="preserve"> (1970) 123 CLR 361 at 374; </w:t>
      </w:r>
      <w:r w:rsidRPr="00E61F4C">
        <w:rPr>
          <w:rFonts w:ascii="Times New Roman" w:hAnsi="Times New Roman"/>
          <w:i/>
          <w:sz w:val="24"/>
        </w:rPr>
        <w:t>TCL Air Conditioner (Zhongshan) Co Ltd v Judges of the Federal Court of Australia</w:t>
      </w:r>
      <w:r w:rsidRPr="00E61F4C">
        <w:rPr>
          <w:rFonts w:ascii="Times New Roman" w:hAnsi="Times New Roman"/>
          <w:sz w:val="24"/>
        </w:rPr>
        <w:t xml:space="preserve"> (2013) 251 CLR 533 at 553 [27].</w:t>
      </w:r>
    </w:p>
  </w:footnote>
  <w:footnote w:id="148">
    <w:p w14:paraId="25580CB0"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Kable v Director of Public Prosecutions (NSW)</w:t>
      </w:r>
      <w:r w:rsidRPr="00E61F4C">
        <w:rPr>
          <w:rFonts w:ascii="Times New Roman" w:hAnsi="Times New Roman"/>
          <w:sz w:val="24"/>
        </w:rPr>
        <w:t xml:space="preserve"> (1996) 189 CLR 51 at 103; </w:t>
      </w:r>
      <w:r w:rsidRPr="00E61F4C">
        <w:rPr>
          <w:rFonts w:ascii="Times New Roman" w:hAnsi="Times New Roman"/>
          <w:i/>
          <w:sz w:val="24"/>
        </w:rPr>
        <w:t>Condon v Pompano Pty Ltd</w:t>
      </w:r>
      <w:r w:rsidRPr="00E61F4C">
        <w:rPr>
          <w:rFonts w:ascii="Times New Roman" w:hAnsi="Times New Roman"/>
          <w:sz w:val="24"/>
        </w:rPr>
        <w:t xml:space="preserve"> (2013) 252 CLR 38 at 89 [123].</w:t>
      </w:r>
    </w:p>
  </w:footnote>
  <w:footnote w:id="149">
    <w:p w14:paraId="3DEB74BC"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(1996) 189 CLR 51.</w:t>
      </w:r>
    </w:p>
  </w:footnote>
  <w:footnote w:id="150">
    <w:p w14:paraId="0CEA1E00"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North Australian Aboriginal Legal Aid Service Inc v Bradley</w:t>
      </w:r>
      <w:r w:rsidRPr="00E61F4C">
        <w:rPr>
          <w:rFonts w:ascii="Times New Roman" w:hAnsi="Times New Roman"/>
          <w:sz w:val="24"/>
        </w:rPr>
        <w:t xml:space="preserve"> (2004) 218 CLR 146 at 162-164 [26]-[33]; </w:t>
      </w:r>
      <w:r w:rsidRPr="00E61F4C">
        <w:rPr>
          <w:rFonts w:ascii="Times New Roman" w:hAnsi="Times New Roman"/>
          <w:i/>
          <w:sz w:val="24"/>
        </w:rPr>
        <w:t>Forge v Australian Securities and Investments Commission</w:t>
      </w:r>
      <w:r w:rsidRPr="00E61F4C">
        <w:rPr>
          <w:rFonts w:ascii="Times New Roman" w:hAnsi="Times New Roman"/>
          <w:sz w:val="24"/>
        </w:rPr>
        <w:t xml:space="preserve"> (2006) 228 CLR 45 at 75-76 [62]-[64].</w:t>
      </w:r>
    </w:p>
  </w:footnote>
  <w:footnote w:id="151">
    <w:p w14:paraId="0C8DA757"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Kable v Director of Public Prosecutions (NSW)</w:t>
      </w:r>
      <w:r w:rsidRPr="00E61F4C">
        <w:rPr>
          <w:rFonts w:ascii="Times New Roman" w:hAnsi="Times New Roman"/>
          <w:sz w:val="24"/>
        </w:rPr>
        <w:t xml:space="preserve"> (1996) 189 CLR 51; </w:t>
      </w:r>
      <w:r w:rsidRPr="00E61F4C">
        <w:rPr>
          <w:rFonts w:ascii="Times New Roman" w:hAnsi="Times New Roman"/>
          <w:i/>
          <w:sz w:val="24"/>
        </w:rPr>
        <w:t>South Australia v Totani</w:t>
      </w:r>
      <w:r w:rsidRPr="00E61F4C">
        <w:rPr>
          <w:rFonts w:ascii="Times New Roman" w:hAnsi="Times New Roman"/>
          <w:sz w:val="24"/>
        </w:rPr>
        <w:t xml:space="preserve"> (2010) 242 CLR 1.</w:t>
      </w:r>
    </w:p>
  </w:footnote>
  <w:footnote w:id="152">
    <w:p w14:paraId="31597711"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International Finance Trust Co Ltd v New South Wales Crime Commission</w:t>
      </w:r>
      <w:r w:rsidRPr="00E61F4C">
        <w:rPr>
          <w:rFonts w:ascii="Times New Roman" w:hAnsi="Times New Roman"/>
          <w:sz w:val="24"/>
        </w:rPr>
        <w:t xml:space="preserve"> (2009) 240 CLR 319; </w:t>
      </w:r>
      <w:r w:rsidRPr="00E61F4C">
        <w:rPr>
          <w:rFonts w:ascii="Times New Roman" w:hAnsi="Times New Roman"/>
          <w:i/>
          <w:sz w:val="24"/>
        </w:rPr>
        <w:t>Wainohu v New South Wales</w:t>
      </w:r>
      <w:r w:rsidRPr="00E61F4C">
        <w:rPr>
          <w:rFonts w:ascii="Times New Roman" w:hAnsi="Times New Roman"/>
          <w:sz w:val="24"/>
        </w:rPr>
        <w:t xml:space="preserve"> (2011) 243 CLR 181.</w:t>
      </w:r>
    </w:p>
  </w:footnote>
  <w:footnote w:id="153">
    <w:p w14:paraId="5039A56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(2006) 228 CLR 45 at 76 [63].</w:t>
      </w:r>
    </w:p>
  </w:footnote>
  <w:footnote w:id="154">
    <w:p w14:paraId="4E8C807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(2006) 228 CLR 45 at 76 [64].</w:t>
      </w:r>
    </w:p>
  </w:footnote>
  <w:footnote w:id="155">
    <w:p w14:paraId="7F2A548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Fardon v Attorney-General (Qld)</w:t>
      </w:r>
      <w:r w:rsidRPr="00E61F4C">
        <w:rPr>
          <w:rFonts w:ascii="Times New Roman" w:hAnsi="Times New Roman"/>
          <w:sz w:val="24"/>
        </w:rPr>
        <w:t xml:space="preserve"> (2004) 223 CLR 575 at 591 [15]; </w:t>
      </w:r>
      <w:r w:rsidRPr="00E61F4C">
        <w:rPr>
          <w:rFonts w:ascii="Times New Roman" w:hAnsi="Times New Roman"/>
          <w:i/>
          <w:sz w:val="24"/>
        </w:rPr>
        <w:t>Attorney-General (NT) v Em</w:t>
      </w:r>
      <w:r>
        <w:rPr>
          <w:rFonts w:ascii="Times New Roman" w:hAnsi="Times New Roman"/>
          <w:i/>
          <w:sz w:val="24"/>
        </w:rPr>
        <w:t>m</w:t>
      </w:r>
      <w:r w:rsidRPr="00E61F4C">
        <w:rPr>
          <w:rFonts w:ascii="Times New Roman" w:hAnsi="Times New Roman"/>
          <w:i/>
          <w:sz w:val="24"/>
        </w:rPr>
        <w:t>erson</w:t>
      </w:r>
      <w:r w:rsidRPr="00E61F4C">
        <w:rPr>
          <w:rFonts w:ascii="Times New Roman" w:hAnsi="Times New Roman"/>
          <w:sz w:val="24"/>
        </w:rPr>
        <w:t xml:space="preserve"> (2014) 253 CLR 393 at 424 [40].</w:t>
      </w:r>
    </w:p>
  </w:footnote>
  <w:footnote w:id="156">
    <w:p w14:paraId="15FAFCA5"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Condon v Pompano Pty Ltd</w:t>
      </w:r>
      <w:r w:rsidRPr="00E61F4C">
        <w:rPr>
          <w:rFonts w:ascii="Times New Roman" w:hAnsi="Times New Roman"/>
          <w:sz w:val="24"/>
        </w:rPr>
        <w:t xml:space="preserve"> (2013) 252 CLR 38 at 106 [183].</w:t>
      </w:r>
    </w:p>
  </w:footnote>
  <w:footnote w:id="157">
    <w:p w14:paraId="58BB01C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H A Bachrach Pty Ltd v Queensland</w:t>
      </w:r>
      <w:r w:rsidRPr="00E61F4C">
        <w:rPr>
          <w:rFonts w:ascii="Times New Roman" w:hAnsi="Times New Roman"/>
          <w:sz w:val="24"/>
        </w:rPr>
        <w:t xml:space="preserve"> (1998) 195 CLR 547 at 561-562 [14]; </w:t>
      </w:r>
      <w:r w:rsidRPr="00E61F4C">
        <w:rPr>
          <w:rFonts w:ascii="Times New Roman" w:hAnsi="Times New Roman"/>
          <w:i/>
          <w:sz w:val="24"/>
        </w:rPr>
        <w:t>Silbert v Director of Public Prosecutions</w:t>
      </w:r>
      <w:r w:rsidRPr="00E61F4C">
        <w:rPr>
          <w:rFonts w:ascii="Times New Roman" w:hAnsi="Times New Roman"/>
          <w:sz w:val="24"/>
        </w:rPr>
        <w:t xml:space="preserve"> </w:t>
      </w:r>
      <w:r w:rsidRPr="00E61F4C">
        <w:rPr>
          <w:rFonts w:ascii="Times New Roman" w:hAnsi="Times New Roman"/>
          <w:i/>
          <w:sz w:val="24"/>
        </w:rPr>
        <w:t>(WA)</w:t>
      </w:r>
      <w:r w:rsidRPr="00E61F4C">
        <w:rPr>
          <w:rFonts w:ascii="Times New Roman" w:hAnsi="Times New Roman"/>
          <w:sz w:val="24"/>
        </w:rPr>
        <w:t xml:space="preserve"> (2004) 217 CLR 181 at 186 [10]; </w:t>
      </w:r>
      <w:r w:rsidRPr="00E61F4C">
        <w:rPr>
          <w:rFonts w:ascii="Times New Roman" w:hAnsi="Times New Roman"/>
          <w:i/>
          <w:sz w:val="24"/>
        </w:rPr>
        <w:t>Baker v The Queen</w:t>
      </w:r>
      <w:r w:rsidRPr="00E61F4C">
        <w:rPr>
          <w:rFonts w:ascii="Times New Roman" w:hAnsi="Times New Roman"/>
          <w:sz w:val="24"/>
        </w:rPr>
        <w:t xml:space="preserve"> (2004) 223 CLR 513 at 526-527 [22]-[24]; </w:t>
      </w:r>
      <w:r w:rsidRPr="00E61F4C">
        <w:rPr>
          <w:rFonts w:ascii="Times New Roman" w:hAnsi="Times New Roman"/>
          <w:i/>
          <w:sz w:val="24"/>
        </w:rPr>
        <w:t>Condon v Pompano Pty Ltd</w:t>
      </w:r>
      <w:r w:rsidRPr="00E61F4C">
        <w:rPr>
          <w:rFonts w:ascii="Times New Roman" w:hAnsi="Times New Roman"/>
          <w:sz w:val="24"/>
        </w:rPr>
        <w:t xml:space="preserve"> (2013) 252 CLR 38 at 90 [126].</w:t>
      </w:r>
    </w:p>
  </w:footnote>
  <w:footnote w:id="158">
    <w:p w14:paraId="19414110"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Condon v Pompano Pty Ltd</w:t>
      </w:r>
      <w:r w:rsidRPr="00E61F4C">
        <w:rPr>
          <w:rFonts w:ascii="Times New Roman" w:hAnsi="Times New Roman"/>
          <w:sz w:val="24"/>
        </w:rPr>
        <w:t xml:space="preserve"> (2013) 252 CLR 38 at 90 [126].</w:t>
      </w:r>
    </w:p>
  </w:footnote>
  <w:footnote w:id="159">
    <w:p w14:paraId="7769B4A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See </w:t>
      </w:r>
      <w:r w:rsidRPr="00E61F4C">
        <w:rPr>
          <w:rFonts w:ascii="Times New Roman" w:hAnsi="Times New Roman"/>
          <w:i/>
          <w:sz w:val="24"/>
        </w:rPr>
        <w:t>Condon v Pompano Pty Ltd</w:t>
      </w:r>
      <w:r w:rsidRPr="00E61F4C">
        <w:rPr>
          <w:rFonts w:ascii="Times New Roman" w:hAnsi="Times New Roman"/>
          <w:sz w:val="24"/>
        </w:rPr>
        <w:t xml:space="preserve"> (2013) 252 CLR 38 at 89-90 [124]-[125].</w:t>
      </w:r>
    </w:p>
  </w:footnote>
  <w:footnote w:id="160">
    <w:p w14:paraId="2D43C967"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See </w:t>
      </w:r>
      <w:r w:rsidRPr="00E61F4C">
        <w:rPr>
          <w:rFonts w:ascii="Times New Roman" w:hAnsi="Times New Roman"/>
          <w:i/>
          <w:sz w:val="24"/>
        </w:rPr>
        <w:t>Vella v Commissioner of Police</w:t>
      </w:r>
      <w:r w:rsidRPr="00E61F4C">
        <w:rPr>
          <w:rFonts w:ascii="Times New Roman" w:hAnsi="Times New Roman"/>
          <w:sz w:val="24"/>
        </w:rPr>
        <w:t xml:space="preserve"> </w:t>
      </w:r>
      <w:r w:rsidRPr="00E61F4C">
        <w:rPr>
          <w:rFonts w:ascii="Times New Roman" w:hAnsi="Times New Roman"/>
          <w:i/>
          <w:sz w:val="24"/>
        </w:rPr>
        <w:t>(NSW)</w:t>
      </w:r>
      <w:r w:rsidRPr="00E61F4C">
        <w:rPr>
          <w:rFonts w:ascii="Times New Roman" w:hAnsi="Times New Roman"/>
          <w:sz w:val="24"/>
        </w:rPr>
        <w:t xml:space="preserve"> (2019) 269 CLR 219 at 278 [147].</w:t>
      </w:r>
    </w:p>
  </w:footnote>
  <w:footnote w:id="161">
    <w:p w14:paraId="1C923562" w14:textId="77777777" w:rsidR="00E3198A" w:rsidRPr="00E61F4C" w:rsidRDefault="00E3198A" w:rsidP="00E61F4C">
      <w:pPr>
        <w:pStyle w:val="FootnoteText"/>
        <w:spacing w:line="280" w:lineRule="exact"/>
        <w:ind w:right="0"/>
        <w:jc w:val="both"/>
        <w:rPr>
          <w:rFonts w:ascii="Times New Roman" w:hAnsi="Times New Roman"/>
          <w:i/>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Forge v Australian Securities and Investments Commission</w:t>
      </w:r>
      <w:r w:rsidRPr="00E61F4C">
        <w:rPr>
          <w:rFonts w:ascii="Times New Roman" w:hAnsi="Times New Roman"/>
          <w:sz w:val="24"/>
        </w:rPr>
        <w:t xml:space="preserve"> (2006) 228 CLR 45 at 76 [64].</w:t>
      </w:r>
    </w:p>
  </w:footnote>
  <w:footnote w:id="162">
    <w:p w14:paraId="3016B696"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North Australian Aboriginal Justice Agency Ltd v Northern Territory</w:t>
      </w:r>
      <w:r w:rsidRPr="00E61F4C">
        <w:rPr>
          <w:rFonts w:ascii="Times New Roman" w:hAnsi="Times New Roman"/>
          <w:sz w:val="24"/>
        </w:rPr>
        <w:t xml:space="preserve"> (2015) 256 CLR 569 at 610 [94], quoting </w:t>
      </w:r>
      <w:r w:rsidRPr="00E61F4C">
        <w:rPr>
          <w:rFonts w:ascii="Times New Roman" w:hAnsi="Times New Roman"/>
          <w:i/>
          <w:sz w:val="24"/>
        </w:rPr>
        <w:t xml:space="preserve">Williams v The Queen </w:t>
      </w:r>
      <w:r w:rsidRPr="00E61F4C">
        <w:rPr>
          <w:rFonts w:ascii="Times New Roman" w:hAnsi="Times New Roman"/>
          <w:sz w:val="24"/>
        </w:rPr>
        <w:t xml:space="preserve">(1986) 161 CLR 278 at 292 and </w:t>
      </w:r>
      <w:r w:rsidRPr="00E61F4C">
        <w:rPr>
          <w:rFonts w:ascii="Times New Roman" w:hAnsi="Times New Roman"/>
          <w:i/>
          <w:sz w:val="24"/>
        </w:rPr>
        <w:t>R v Quinn; Ex parte Consolidated Foods Corporation</w:t>
      </w:r>
      <w:r w:rsidRPr="00E61F4C">
        <w:rPr>
          <w:rFonts w:ascii="Times New Roman" w:hAnsi="Times New Roman"/>
          <w:sz w:val="24"/>
        </w:rPr>
        <w:t xml:space="preserve"> (1977) 138 CLR 1 at 11 (cleaned up).</w:t>
      </w:r>
    </w:p>
  </w:footnote>
  <w:footnote w:id="163">
    <w:p w14:paraId="726764FE"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(1992) 176 CLR 1 at 27.</w:t>
      </w:r>
    </w:p>
  </w:footnote>
  <w:footnote w:id="164">
    <w:p w14:paraId="039A4F9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Magaming v The Queen</w:t>
      </w:r>
      <w:r w:rsidRPr="00E61F4C">
        <w:rPr>
          <w:rFonts w:ascii="Times New Roman" w:hAnsi="Times New Roman"/>
          <w:sz w:val="24"/>
        </w:rPr>
        <w:t xml:space="preserve"> (2013) 252 CLR 381 at 400 [63]. See also </w:t>
      </w:r>
      <w:r w:rsidRPr="00E61F4C">
        <w:rPr>
          <w:rFonts w:ascii="Times New Roman" w:hAnsi="Times New Roman"/>
          <w:i/>
          <w:sz w:val="24"/>
        </w:rPr>
        <w:t>Vella v Commissioner of Police (NSW)</w:t>
      </w:r>
      <w:r w:rsidRPr="00E61F4C">
        <w:rPr>
          <w:rFonts w:ascii="Times New Roman" w:hAnsi="Times New Roman"/>
          <w:sz w:val="24"/>
        </w:rPr>
        <w:t xml:space="preserve"> (2019) 269 CLR 219 at 276 [141].</w:t>
      </w:r>
    </w:p>
  </w:footnote>
  <w:footnote w:id="165">
    <w:p w14:paraId="51EB721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Re Bolton; Ex parte Beane</w:t>
      </w:r>
      <w:r w:rsidRPr="00E61F4C">
        <w:rPr>
          <w:rFonts w:ascii="Times New Roman" w:hAnsi="Times New Roman"/>
          <w:sz w:val="24"/>
        </w:rPr>
        <w:t xml:space="preserve"> (1987) 162 CLR 514 at 520-521.</w:t>
      </w:r>
    </w:p>
  </w:footnote>
  <w:footnote w:id="166">
    <w:p w14:paraId="50841B2B"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See Stellios, "Liberty as a Constitutional Value: The Difficulty of Differing Conceptions of 'The Relationship of the Individual to the State'"</w:t>
      </w:r>
      <w:r>
        <w:rPr>
          <w:rFonts w:ascii="Times New Roman" w:hAnsi="Times New Roman"/>
          <w:sz w:val="24"/>
        </w:rPr>
        <w:t>,</w:t>
      </w:r>
      <w:r w:rsidRPr="00E61F4C">
        <w:rPr>
          <w:rFonts w:ascii="Times New Roman" w:hAnsi="Times New Roman"/>
          <w:sz w:val="24"/>
        </w:rPr>
        <w:t xml:space="preserve"> in Dixon (ed), </w:t>
      </w:r>
      <w:r w:rsidRPr="00E61F4C">
        <w:rPr>
          <w:rFonts w:ascii="Times New Roman" w:hAnsi="Times New Roman"/>
          <w:i/>
          <w:sz w:val="24"/>
        </w:rPr>
        <w:t>Australian Constitutional Values</w:t>
      </w:r>
      <w:r w:rsidRPr="00E61F4C">
        <w:rPr>
          <w:rFonts w:ascii="Times New Roman" w:hAnsi="Times New Roman"/>
          <w:sz w:val="24"/>
        </w:rPr>
        <w:t xml:space="preserve"> (2018) 177.</w:t>
      </w:r>
    </w:p>
  </w:footnote>
  <w:footnote w:id="167">
    <w:p w14:paraId="77131968"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Dicey, </w:t>
      </w:r>
      <w:r w:rsidRPr="00E61F4C">
        <w:rPr>
          <w:rFonts w:ascii="Times New Roman" w:hAnsi="Times New Roman"/>
          <w:i/>
          <w:iCs/>
          <w:sz w:val="24"/>
        </w:rPr>
        <w:t xml:space="preserve">Lectures </w:t>
      </w:r>
      <w:r w:rsidRPr="00E61F4C">
        <w:rPr>
          <w:rFonts w:ascii="Times New Roman" w:hAnsi="Times New Roman"/>
          <w:i/>
          <w:sz w:val="24"/>
        </w:rPr>
        <w:t>Introductory to the Study of the Law of the Constitution</w:t>
      </w:r>
      <w:r w:rsidRPr="00E61F4C">
        <w:rPr>
          <w:rFonts w:ascii="Times New Roman" w:hAnsi="Times New Roman"/>
          <w:sz w:val="24"/>
        </w:rPr>
        <w:t xml:space="preserve"> (1885) at 215-216.</w:t>
      </w:r>
    </w:p>
  </w:footnote>
  <w:footnote w:id="168">
    <w:p w14:paraId="32C2B45A"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Dicey, </w:t>
      </w:r>
      <w:r w:rsidRPr="00E61F4C">
        <w:rPr>
          <w:rFonts w:ascii="Times New Roman" w:hAnsi="Times New Roman"/>
          <w:i/>
          <w:iCs/>
          <w:sz w:val="24"/>
        </w:rPr>
        <w:t xml:space="preserve">Lectures </w:t>
      </w:r>
      <w:r w:rsidRPr="00E61F4C">
        <w:rPr>
          <w:rFonts w:ascii="Times New Roman" w:hAnsi="Times New Roman"/>
          <w:i/>
          <w:sz w:val="24"/>
        </w:rPr>
        <w:t>Introductory to the Study of the Law of the Constitution</w:t>
      </w:r>
      <w:r w:rsidRPr="00E61F4C">
        <w:rPr>
          <w:rFonts w:ascii="Times New Roman" w:hAnsi="Times New Roman"/>
          <w:iCs/>
          <w:sz w:val="24"/>
        </w:rPr>
        <w:t xml:space="preserve"> </w:t>
      </w:r>
      <w:r w:rsidRPr="00E61F4C">
        <w:rPr>
          <w:rFonts w:ascii="Times New Roman" w:hAnsi="Times New Roman"/>
          <w:sz w:val="24"/>
        </w:rPr>
        <w:t xml:space="preserve">(1885) at 215. See also </w:t>
      </w:r>
      <w:r w:rsidRPr="00E61F4C">
        <w:rPr>
          <w:rFonts w:ascii="Times New Roman" w:hAnsi="Times New Roman"/>
          <w:i/>
          <w:sz w:val="24"/>
        </w:rPr>
        <w:t>Ex parte Walsh and Johnson; In re Yates</w:t>
      </w:r>
      <w:r w:rsidRPr="00E61F4C">
        <w:rPr>
          <w:rFonts w:ascii="Times New Roman" w:hAnsi="Times New Roman"/>
          <w:sz w:val="24"/>
        </w:rPr>
        <w:t xml:space="preserve"> (1925) 37 CLR 36 at 79.</w:t>
      </w:r>
    </w:p>
  </w:footnote>
  <w:footnote w:id="169">
    <w:p w14:paraId="728DA70D"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(1992) 176 CLR 1 at 27-28.</w:t>
      </w:r>
    </w:p>
  </w:footnote>
  <w:footnote w:id="170">
    <w:p w14:paraId="3F4E8D11"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Minister for Home Affairs v Benbrika</w:t>
      </w:r>
      <w:r w:rsidRPr="00E61F4C">
        <w:rPr>
          <w:rFonts w:ascii="Times New Roman" w:hAnsi="Times New Roman"/>
          <w:sz w:val="24"/>
        </w:rPr>
        <w:t xml:space="preserve"> (2021) 95 ALJR 166 at 189 [71]; 388 ALR 1 at 24-25.</w:t>
      </w:r>
    </w:p>
  </w:footnote>
  <w:footnote w:id="171">
    <w:p w14:paraId="43869C05"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Minister for Home Affairs v Benbrika</w:t>
      </w:r>
      <w:r w:rsidRPr="00E61F4C">
        <w:rPr>
          <w:rFonts w:ascii="Times New Roman" w:hAnsi="Times New Roman"/>
          <w:sz w:val="24"/>
        </w:rPr>
        <w:t xml:space="preserve"> (2021) 95 ALJR 166 at 188-189 [69]; 388 ALR 1 at 24.</w:t>
      </w:r>
    </w:p>
  </w:footnote>
  <w:footnote w:id="172">
    <w:p w14:paraId="1E1C334D"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(1938) 59 CLR 556 at 588-589.</w:t>
      </w:r>
    </w:p>
  </w:footnote>
  <w:footnote w:id="173">
    <w:p w14:paraId="3AE8CF6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See </w:t>
      </w:r>
      <w:r w:rsidRPr="00E61F4C">
        <w:rPr>
          <w:rFonts w:ascii="Times New Roman" w:hAnsi="Times New Roman"/>
          <w:i/>
          <w:sz w:val="24"/>
        </w:rPr>
        <w:t>Minister for Home Affairs v Benbrika</w:t>
      </w:r>
      <w:r w:rsidRPr="00E61F4C">
        <w:rPr>
          <w:rFonts w:ascii="Times New Roman" w:hAnsi="Times New Roman"/>
          <w:sz w:val="24"/>
        </w:rPr>
        <w:t xml:space="preserve"> (2021) 95 ALJR 166 at 189 [71]-[72]; 388 ALR 1 at 24-25.</w:t>
      </w:r>
    </w:p>
  </w:footnote>
  <w:footnote w:id="174">
    <w:p w14:paraId="1068EE92"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(1996) 189 CLR 51 at 97-98, 131-132.</w:t>
      </w:r>
    </w:p>
  </w:footnote>
  <w:footnote w:id="175">
    <w:p w14:paraId="24951635"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(1996) 189 CLR 51 at 106-107, 121-122. See </w:t>
      </w:r>
      <w:r w:rsidRPr="00E61F4C">
        <w:rPr>
          <w:rFonts w:ascii="Times New Roman" w:hAnsi="Times New Roman"/>
          <w:i/>
          <w:sz w:val="24"/>
        </w:rPr>
        <w:t>Fardon v Attorney-General (Qld)</w:t>
      </w:r>
      <w:r w:rsidRPr="00E61F4C">
        <w:rPr>
          <w:rFonts w:ascii="Times New Roman" w:hAnsi="Times New Roman"/>
          <w:sz w:val="24"/>
        </w:rPr>
        <w:t xml:space="preserve"> (2004) 223 CLR 575 at 611 [77].</w:t>
      </w:r>
    </w:p>
  </w:footnote>
  <w:footnote w:id="176">
    <w:p w14:paraId="0681A774"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(2004) 223 CLR 575.</w:t>
      </w:r>
    </w:p>
  </w:footnote>
  <w:footnote w:id="177">
    <w:p w14:paraId="3701C975"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color w:val="000000"/>
          <w:sz w:val="24"/>
          <w:szCs w:val="27"/>
          <w:shd w:val="clear" w:color="auto" w:fill="FFFFFF"/>
        </w:rPr>
        <w:t>(1988) 164 CLR 465 at 495.</w:t>
      </w:r>
    </w:p>
  </w:footnote>
  <w:footnote w:id="178">
    <w:p w14:paraId="5A9A6FC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(2004) 223 CLR 575 at 588-589 [9], 592 [20].</w:t>
      </w:r>
    </w:p>
  </w:footnote>
  <w:footnote w:id="179">
    <w:p w14:paraId="71C03E06"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388 ALR 1.</w:t>
      </w:r>
    </w:p>
  </w:footnote>
  <w:footnote w:id="180">
    <w:p w14:paraId="7718669C"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(2004) 223 CLR 575 at 634 [155].</w:t>
      </w:r>
    </w:p>
  </w:footnote>
  <w:footnote w:id="181">
    <w:p w14:paraId="7E256761"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(2019) 269 CLR 219.</w:t>
      </w:r>
    </w:p>
  </w:footnote>
  <w:footnote w:id="182">
    <w:p w14:paraId="7BFBE60D"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(2007) 233 CLR 307.</w:t>
      </w:r>
    </w:p>
  </w:footnote>
  <w:footnote w:id="183">
    <w:p w14:paraId="09B57DA2"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(2019) 269 CLR 219 at 287 [171].</w:t>
      </w:r>
    </w:p>
  </w:footnote>
  <w:footnote w:id="184">
    <w:p w14:paraId="12A15B8A"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at 190-191 [78]; 388 ALR 1 at 26-27.</w:t>
      </w:r>
    </w:p>
  </w:footnote>
  <w:footnote w:id="185">
    <w:p w14:paraId="53416CA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(1997) 190 CLR 1 at 162.</w:t>
      </w:r>
    </w:p>
  </w:footnote>
  <w:footnote w:id="186">
    <w:p w14:paraId="0FF18934"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(2004) 223 CLR 575 at 653-654 [215].</w:t>
      </w:r>
    </w:p>
  </w:footnote>
  <w:footnote w:id="187">
    <w:p w14:paraId="40293727"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See </w:t>
      </w:r>
      <w:r w:rsidRPr="00E61F4C">
        <w:rPr>
          <w:rFonts w:ascii="Times New Roman" w:hAnsi="Times New Roman"/>
          <w:i/>
          <w:sz w:val="24"/>
        </w:rPr>
        <w:t xml:space="preserve">Minister for Home Affairs v Benbrika </w:t>
      </w:r>
      <w:r w:rsidRPr="00E61F4C">
        <w:rPr>
          <w:rFonts w:ascii="Times New Roman" w:hAnsi="Times New Roman"/>
          <w:sz w:val="24"/>
        </w:rPr>
        <w:t xml:space="preserve">(2021) 95 ALJR 166 at 191 [78]; 388 ALR 1 at 26-27, citing </w:t>
      </w:r>
      <w:r w:rsidRPr="00E61F4C">
        <w:rPr>
          <w:rFonts w:ascii="Times New Roman" w:hAnsi="Times New Roman"/>
          <w:i/>
          <w:iCs/>
          <w:sz w:val="24"/>
        </w:rPr>
        <w:t>McCloy v New South Wales</w:t>
      </w:r>
      <w:r w:rsidRPr="00E61F4C">
        <w:rPr>
          <w:rFonts w:ascii="Times New Roman" w:hAnsi="Times New Roman"/>
          <w:i/>
          <w:sz w:val="24"/>
        </w:rPr>
        <w:t xml:space="preserve"> </w:t>
      </w:r>
      <w:r w:rsidRPr="00E61F4C">
        <w:rPr>
          <w:rFonts w:ascii="Times New Roman" w:hAnsi="Times New Roman"/>
          <w:sz w:val="24"/>
        </w:rPr>
        <w:t xml:space="preserve">(2015) 257 CLR 178 at 231 [130]. See also </w:t>
      </w:r>
      <w:r w:rsidRPr="00E61F4C">
        <w:rPr>
          <w:rFonts w:ascii="Times New Roman" w:hAnsi="Times New Roman"/>
          <w:i/>
          <w:sz w:val="24"/>
        </w:rPr>
        <w:t>Cunliffe v The Commonwealth</w:t>
      </w:r>
      <w:r w:rsidRPr="00E61F4C">
        <w:rPr>
          <w:rFonts w:ascii="Times New Roman" w:hAnsi="Times New Roman"/>
          <w:sz w:val="24"/>
        </w:rPr>
        <w:t xml:space="preserve"> (1994) 182 CLR 272 at 324.</w:t>
      </w:r>
    </w:p>
  </w:footnote>
  <w:footnote w:id="188">
    <w:p w14:paraId="0835B3E7"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(2004) 223 CLR 575 at 608-614 [68]-[89].</w:t>
      </w:r>
    </w:p>
  </w:footnote>
  <w:footnote w:id="189">
    <w:p w14:paraId="0F436B81"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at 188-193 [66]-[89]; 388 ALR 1 at 23-29.</w:t>
      </w:r>
    </w:p>
  </w:footnote>
  <w:footnote w:id="190">
    <w:p w14:paraId="287FEB6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Magaming v The Queen</w:t>
      </w:r>
      <w:r w:rsidRPr="00E61F4C">
        <w:rPr>
          <w:rFonts w:ascii="Times New Roman" w:hAnsi="Times New Roman"/>
          <w:sz w:val="24"/>
        </w:rPr>
        <w:t xml:space="preserve"> (2013) 252 CLR 381 at 414 [105]. See also at 397-398 [52], 414 [106]-[107].</w:t>
      </w:r>
    </w:p>
  </w:footnote>
  <w:footnote w:id="191">
    <w:p w14:paraId="4E75FF4B"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Kartinyeri v The Commonwealth</w:t>
      </w:r>
      <w:r w:rsidRPr="00E61F4C">
        <w:rPr>
          <w:rFonts w:ascii="Times New Roman" w:hAnsi="Times New Roman"/>
          <w:sz w:val="24"/>
        </w:rPr>
        <w:t xml:space="preserve"> (1998) 195 CLR 337 at 381 [88], quoting </w:t>
      </w:r>
      <w:r w:rsidRPr="00E61F4C">
        <w:rPr>
          <w:rFonts w:ascii="Times New Roman" w:hAnsi="Times New Roman"/>
          <w:i/>
          <w:sz w:val="24"/>
        </w:rPr>
        <w:t xml:space="preserve">Western Australia v </w:t>
      </w:r>
      <w:proofErr w:type="gramStart"/>
      <w:r w:rsidRPr="00E61F4C">
        <w:rPr>
          <w:rFonts w:ascii="Times New Roman" w:hAnsi="Times New Roman"/>
          <w:i/>
          <w:sz w:val="24"/>
        </w:rPr>
        <w:t>The</w:t>
      </w:r>
      <w:proofErr w:type="gramEnd"/>
      <w:r w:rsidRPr="00E61F4C">
        <w:rPr>
          <w:rFonts w:ascii="Times New Roman" w:hAnsi="Times New Roman"/>
          <w:i/>
          <w:sz w:val="24"/>
        </w:rPr>
        <w:t xml:space="preserve"> Commonwealth</w:t>
      </w:r>
      <w:r w:rsidRPr="00E61F4C">
        <w:rPr>
          <w:rFonts w:ascii="Times New Roman" w:hAnsi="Times New Roman"/>
          <w:sz w:val="24"/>
        </w:rPr>
        <w:t xml:space="preserve"> (1975) 134 CLR 201 at 275.</w:t>
      </w:r>
    </w:p>
  </w:footnote>
  <w:footnote w:id="192">
    <w:p w14:paraId="1FCFC148"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Mill, </w:t>
      </w:r>
      <w:r w:rsidRPr="00E61F4C">
        <w:rPr>
          <w:rFonts w:ascii="Times New Roman" w:hAnsi="Times New Roman"/>
          <w:i/>
          <w:sz w:val="24"/>
        </w:rPr>
        <w:t>On Liberty</w:t>
      </w:r>
      <w:r w:rsidRPr="00E61F4C">
        <w:rPr>
          <w:rFonts w:ascii="Times New Roman" w:hAnsi="Times New Roman"/>
          <w:sz w:val="24"/>
        </w:rPr>
        <w:t xml:space="preserve"> (1859) at 172.</w:t>
      </w:r>
    </w:p>
  </w:footnote>
  <w:footnote w:id="193">
    <w:p w14:paraId="0036A341"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at 181 [36]; 388 ALR 1 at 14.</w:t>
      </w:r>
    </w:p>
  </w:footnote>
  <w:footnote w:id="194">
    <w:p w14:paraId="4B219BA7"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at 181 [36]; 388 ALR 1 at 14.</w:t>
      </w:r>
    </w:p>
  </w:footnote>
  <w:footnote w:id="195">
    <w:p w14:paraId="635D217F"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(2021) 95 ALJR 166 at 18</w:t>
      </w:r>
      <w:r>
        <w:rPr>
          <w:rFonts w:ascii="Times New Roman" w:hAnsi="Times New Roman"/>
          <w:sz w:val="24"/>
        </w:rPr>
        <w:t>5</w:t>
      </w:r>
      <w:r w:rsidRPr="00E61F4C">
        <w:rPr>
          <w:rFonts w:ascii="Times New Roman" w:hAnsi="Times New Roman"/>
          <w:sz w:val="24"/>
        </w:rPr>
        <w:t xml:space="preserve"> [47]; 388 ALR 1 at 19.</w:t>
      </w:r>
    </w:p>
  </w:footnote>
  <w:footnote w:id="196">
    <w:p w14:paraId="06DAE679"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iCs/>
          <w:sz w:val="24"/>
        </w:rPr>
        <w:t xml:space="preserve">Melbourne Corporation v The Commonwealth </w:t>
      </w:r>
      <w:r w:rsidRPr="00E61F4C">
        <w:rPr>
          <w:rFonts w:ascii="Times New Roman" w:hAnsi="Times New Roman"/>
          <w:sz w:val="24"/>
        </w:rPr>
        <w:t>(1947) 74 CLR 31 at 82.</w:t>
      </w:r>
    </w:p>
  </w:footnote>
  <w:footnote w:id="197">
    <w:p w14:paraId="16C86190"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 xml:space="preserve">Australian Communist Party v The Commonwealth </w:t>
      </w:r>
      <w:r w:rsidRPr="00E61F4C">
        <w:rPr>
          <w:rFonts w:ascii="Times New Roman" w:hAnsi="Times New Roman"/>
          <w:sz w:val="24"/>
        </w:rPr>
        <w:t xml:space="preserve">(1951) 83 CLR 1 at 262-263. </w:t>
      </w:r>
    </w:p>
  </w:footnote>
  <w:footnote w:id="198">
    <w:p w14:paraId="20538E3B"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 xml:space="preserve">Marbury v Madison </w:t>
      </w:r>
      <w:r w:rsidRPr="00E61F4C">
        <w:rPr>
          <w:rFonts w:ascii="Times New Roman" w:hAnsi="Times New Roman"/>
          <w:sz w:val="24"/>
        </w:rPr>
        <w:t>(1803) 5 US 137 at 177.</w:t>
      </w:r>
    </w:p>
  </w:footnote>
  <w:footnote w:id="199">
    <w:p w14:paraId="40843AC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proofErr w:type="gramStart"/>
      <w:r w:rsidRPr="00E61F4C">
        <w:rPr>
          <w:rFonts w:ascii="Times New Roman" w:hAnsi="Times New Roman"/>
          <w:sz w:val="24"/>
        </w:rPr>
        <w:t>eg</w:t>
      </w:r>
      <w:proofErr w:type="gramEnd"/>
      <w:r w:rsidRPr="00E61F4C">
        <w:rPr>
          <w:rFonts w:ascii="Times New Roman" w:hAnsi="Times New Roman"/>
          <w:sz w:val="24"/>
        </w:rPr>
        <w:t xml:space="preserve"> </w:t>
      </w:r>
      <w:r w:rsidRPr="00E61F4C">
        <w:rPr>
          <w:rFonts w:ascii="Times New Roman" w:hAnsi="Times New Roman"/>
          <w:i/>
          <w:sz w:val="24"/>
        </w:rPr>
        <w:t>Austin v The Commonwealth</w:t>
      </w:r>
      <w:r w:rsidRPr="00E61F4C">
        <w:rPr>
          <w:rFonts w:ascii="Times New Roman" w:hAnsi="Times New Roman"/>
          <w:sz w:val="24"/>
        </w:rPr>
        <w:t xml:space="preserve"> (2003) 215 CLR 185 at 249 [124].</w:t>
      </w:r>
    </w:p>
  </w:footnote>
  <w:footnote w:id="200">
    <w:p w14:paraId="2BCF0FB3"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Fardon v Attorney-General (Qld)</w:t>
      </w:r>
      <w:r w:rsidRPr="00E61F4C">
        <w:rPr>
          <w:rFonts w:ascii="Times New Roman" w:hAnsi="Times New Roman"/>
          <w:sz w:val="24"/>
        </w:rPr>
        <w:t xml:space="preserve"> (2004) 223 CLR 575 at 646 [190], citing </w:t>
      </w:r>
      <w:r w:rsidRPr="00E61F4C">
        <w:rPr>
          <w:rFonts w:ascii="Times New Roman" w:hAnsi="Times New Roman"/>
          <w:i/>
          <w:sz w:val="24"/>
        </w:rPr>
        <w:t>Australian Communist Party v The Commonwealth</w:t>
      </w:r>
      <w:r w:rsidRPr="00E61F4C">
        <w:rPr>
          <w:rFonts w:ascii="Times New Roman" w:hAnsi="Times New Roman"/>
          <w:sz w:val="24"/>
        </w:rPr>
        <w:t xml:space="preserve"> (1951) 83 CLR 1 at 187-188.</w:t>
      </w:r>
    </w:p>
  </w:footnote>
  <w:footnote w:id="201">
    <w:p w14:paraId="419A1D18"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r>
      <w:r w:rsidRPr="00E61F4C">
        <w:rPr>
          <w:rFonts w:ascii="Times New Roman" w:hAnsi="Times New Roman"/>
          <w:i/>
          <w:sz w:val="24"/>
        </w:rPr>
        <w:t>Condon v Pompano Pty Ltd</w:t>
      </w:r>
      <w:r w:rsidRPr="00E61F4C">
        <w:rPr>
          <w:rFonts w:ascii="Times New Roman" w:hAnsi="Times New Roman"/>
          <w:sz w:val="24"/>
        </w:rPr>
        <w:t xml:space="preserve"> (2013) 252 CLR 38 at 94 [137], quoting Friendly, "The Bill of Rights as a Code of Criminal Procedure" (1965) 53 </w:t>
      </w:r>
      <w:r w:rsidRPr="00E61F4C">
        <w:rPr>
          <w:rFonts w:ascii="Times New Roman" w:hAnsi="Times New Roman"/>
          <w:i/>
          <w:sz w:val="24"/>
        </w:rPr>
        <w:t>California Law Review</w:t>
      </w:r>
      <w:r w:rsidRPr="00E61F4C">
        <w:rPr>
          <w:rFonts w:ascii="Times New Roman" w:hAnsi="Times New Roman"/>
          <w:sz w:val="24"/>
        </w:rPr>
        <w:t xml:space="preserve"> 929 at 950.</w:t>
      </w:r>
    </w:p>
  </w:footnote>
  <w:footnote w:id="202">
    <w:p w14:paraId="505AFE1B"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Sections 392 and 393 of the </w:t>
      </w:r>
      <w:r w:rsidRPr="00E61F4C">
        <w:rPr>
          <w:rFonts w:ascii="Times New Roman" w:hAnsi="Times New Roman"/>
          <w:i/>
          <w:sz w:val="24"/>
        </w:rPr>
        <w:t xml:space="preserve">Criminal Code </w:t>
      </w:r>
      <w:r w:rsidRPr="00E61F4C">
        <w:rPr>
          <w:rFonts w:ascii="Times New Roman" w:hAnsi="Times New Roman"/>
          <w:sz w:val="24"/>
        </w:rPr>
        <w:t xml:space="preserve">(WA), referred to in items 34 and 35 of Subdiv 3 of Div 1 of Sch 1 to the </w:t>
      </w:r>
      <w:proofErr w:type="gramStart"/>
      <w:r w:rsidRPr="00E61F4C">
        <w:rPr>
          <w:rFonts w:ascii="Times New Roman" w:hAnsi="Times New Roman"/>
          <w:i/>
          <w:sz w:val="24"/>
        </w:rPr>
        <w:t>High Risk</w:t>
      </w:r>
      <w:proofErr w:type="gramEnd"/>
      <w:r w:rsidRPr="00E61F4C">
        <w:rPr>
          <w:rFonts w:ascii="Times New Roman" w:hAnsi="Times New Roman"/>
          <w:i/>
          <w:sz w:val="24"/>
        </w:rPr>
        <w:t xml:space="preserve"> Serious Offenders Act 2020 </w:t>
      </w:r>
      <w:r w:rsidRPr="00E61F4C">
        <w:rPr>
          <w:rFonts w:ascii="Times New Roman" w:hAnsi="Times New Roman"/>
          <w:sz w:val="24"/>
        </w:rPr>
        <w:t>(WA).</w:t>
      </w:r>
    </w:p>
  </w:footnote>
  <w:footnote w:id="203">
    <w:p w14:paraId="4DD32A39" w14:textId="77777777" w:rsidR="00E3198A" w:rsidRPr="00E61F4C" w:rsidRDefault="00E3198A" w:rsidP="00E61F4C">
      <w:pPr>
        <w:pStyle w:val="FootnoteText"/>
        <w:spacing w:line="280" w:lineRule="exact"/>
        <w:ind w:right="0"/>
        <w:jc w:val="both"/>
        <w:rPr>
          <w:rFonts w:ascii="Times New Roman" w:hAnsi="Times New Roman"/>
          <w:sz w:val="24"/>
        </w:rPr>
      </w:pPr>
      <w:r w:rsidRPr="00E61F4C">
        <w:rPr>
          <w:rStyle w:val="FootnoteReference"/>
          <w:rFonts w:ascii="Times New Roman" w:hAnsi="Times New Roman"/>
          <w:sz w:val="22"/>
          <w:vertAlign w:val="baseline"/>
        </w:rPr>
        <w:footnoteRef/>
      </w:r>
      <w:r w:rsidRPr="00E61F4C">
        <w:rPr>
          <w:rFonts w:ascii="Times New Roman" w:hAnsi="Times New Roman"/>
          <w:sz w:val="24"/>
        </w:rPr>
        <w:t xml:space="preserve"> </w:t>
      </w:r>
      <w:r w:rsidRPr="00E61F4C">
        <w:rPr>
          <w:rFonts w:ascii="Times New Roman" w:hAnsi="Times New Roman"/>
          <w:sz w:val="24"/>
        </w:rPr>
        <w:tab/>
        <w:t xml:space="preserve">Section 7(1) of the </w:t>
      </w:r>
      <w:proofErr w:type="gramStart"/>
      <w:r w:rsidRPr="00E61F4C">
        <w:rPr>
          <w:rFonts w:ascii="Times New Roman" w:hAnsi="Times New Roman"/>
          <w:i/>
          <w:sz w:val="24"/>
        </w:rPr>
        <w:t>High Risk</w:t>
      </w:r>
      <w:proofErr w:type="gramEnd"/>
      <w:r w:rsidRPr="00E61F4C">
        <w:rPr>
          <w:rFonts w:ascii="Times New Roman" w:hAnsi="Times New Roman"/>
          <w:i/>
          <w:sz w:val="24"/>
        </w:rPr>
        <w:t xml:space="preserve"> Serious Offenders Act 2020 </w:t>
      </w:r>
      <w:r w:rsidRPr="00E61F4C">
        <w:rPr>
          <w:rFonts w:ascii="Times New Roman" w:hAnsi="Times New Roman"/>
          <w:sz w:val="24"/>
        </w:rPr>
        <w:t>(WA).</w:t>
      </w:r>
    </w:p>
  </w:footnote>
  <w:footnote w:id="204">
    <w:p w14:paraId="5269777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HRSO Act, Sch 1, Div 1, Subdiv 3, </w:t>
      </w:r>
      <w:r>
        <w:rPr>
          <w:rFonts w:ascii="Times New Roman" w:hAnsi="Times New Roman"/>
          <w:sz w:val="24"/>
        </w:rPr>
        <w:t>i</w:t>
      </w:r>
      <w:r w:rsidRPr="004C6E3E">
        <w:rPr>
          <w:rFonts w:ascii="Times New Roman" w:hAnsi="Times New Roman"/>
          <w:sz w:val="24"/>
        </w:rPr>
        <w:t xml:space="preserve">tem 34. See also </w:t>
      </w:r>
      <w:r w:rsidRPr="004C6E3E">
        <w:rPr>
          <w:rFonts w:ascii="Times New Roman" w:hAnsi="Times New Roman"/>
          <w:i/>
          <w:iCs/>
          <w:sz w:val="24"/>
        </w:rPr>
        <w:t>Criminal Code</w:t>
      </w:r>
      <w:r w:rsidRPr="004C6E3E">
        <w:rPr>
          <w:rFonts w:ascii="Times New Roman" w:hAnsi="Times New Roman"/>
          <w:sz w:val="24"/>
        </w:rPr>
        <w:t xml:space="preserve"> (WA), s 392.</w:t>
      </w:r>
    </w:p>
  </w:footnote>
  <w:footnote w:id="205">
    <w:p w14:paraId="331817E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 xml:space="preserve">North Australian Aboriginal Justice Agency Ltd v Northern Territory </w:t>
      </w:r>
      <w:r w:rsidRPr="004C6E3E">
        <w:rPr>
          <w:rFonts w:ascii="Times New Roman" w:hAnsi="Times New Roman"/>
          <w:sz w:val="24"/>
        </w:rPr>
        <w:t>(2015) 256 CLR 569 at 621 [134] ("</w:t>
      </w:r>
      <w:r w:rsidRPr="004C6E3E">
        <w:rPr>
          <w:rFonts w:ascii="Times New Roman" w:hAnsi="Times New Roman"/>
          <w:i/>
          <w:iCs/>
          <w:sz w:val="24"/>
        </w:rPr>
        <w:t>NAAJA</w:t>
      </w:r>
      <w:r w:rsidRPr="004C6E3E">
        <w:rPr>
          <w:rFonts w:ascii="Times New Roman" w:hAnsi="Times New Roman"/>
          <w:sz w:val="24"/>
        </w:rPr>
        <w:t>").</w:t>
      </w:r>
    </w:p>
  </w:footnote>
  <w:footnote w:id="206">
    <w:p w14:paraId="3E5B00F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 xml:space="preserve">Vella v Commissioner of Police (NSW) </w:t>
      </w:r>
      <w:r w:rsidRPr="004C6E3E">
        <w:rPr>
          <w:rFonts w:ascii="Times New Roman" w:hAnsi="Times New Roman"/>
          <w:sz w:val="24"/>
        </w:rPr>
        <w:t>(2019) 269 CLR 219 at 292 [186].</w:t>
      </w:r>
    </w:p>
  </w:footnote>
  <w:footnote w:id="207">
    <w:p w14:paraId="4440049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Minister for Home Affairs v Benbrika</w:t>
      </w:r>
      <w:r w:rsidRPr="004C6E3E">
        <w:rPr>
          <w:rFonts w:ascii="Times New Roman" w:hAnsi="Times New Roman"/>
          <w:sz w:val="24"/>
        </w:rPr>
        <w:t xml:space="preserve"> (2021) 95 ALJR 166 at 201 [136]; see</w:t>
      </w:r>
      <w:r>
        <w:rPr>
          <w:rFonts w:ascii="Times New Roman" w:hAnsi="Times New Roman"/>
          <w:sz w:val="24"/>
        </w:rPr>
        <w:t> </w:t>
      </w:r>
      <w:r w:rsidRPr="004C6E3E">
        <w:rPr>
          <w:rFonts w:ascii="Times New Roman" w:hAnsi="Times New Roman"/>
          <w:sz w:val="24"/>
        </w:rPr>
        <w:t>also 202-203 [138]-[142]; 388 ALR 1 at 40; see also 41-42.</w:t>
      </w:r>
    </w:p>
  </w:footnote>
  <w:footnote w:id="208">
    <w:p w14:paraId="66FC723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Blackstone, </w:t>
      </w:r>
      <w:r w:rsidRPr="004C6E3E">
        <w:rPr>
          <w:rFonts w:ascii="Times New Roman" w:hAnsi="Times New Roman"/>
          <w:i/>
          <w:iCs/>
          <w:sz w:val="24"/>
        </w:rPr>
        <w:t>Commentaries on the Laws of England</w:t>
      </w:r>
      <w:r w:rsidRPr="004C6E3E">
        <w:rPr>
          <w:rFonts w:ascii="Times New Roman" w:hAnsi="Times New Roman"/>
          <w:sz w:val="24"/>
        </w:rPr>
        <w:t xml:space="preserve"> (1769), bk 4, ch 18 at 248, referring to the power to bind persons to keep the peace. See also </w:t>
      </w:r>
      <w:r w:rsidRPr="004C6E3E">
        <w:rPr>
          <w:rFonts w:ascii="Times New Roman" w:hAnsi="Times New Roman"/>
          <w:i/>
          <w:sz w:val="24"/>
        </w:rPr>
        <w:t>Thomas v Mowbray</w:t>
      </w:r>
      <w:r w:rsidRPr="004C6E3E">
        <w:rPr>
          <w:rFonts w:ascii="Times New Roman" w:hAnsi="Times New Roman"/>
          <w:sz w:val="24"/>
        </w:rPr>
        <w:t xml:space="preserve"> (2007) 233 CLR 307 at 329 [16]; </w:t>
      </w:r>
      <w:r w:rsidRPr="004C6E3E">
        <w:rPr>
          <w:rFonts w:ascii="Times New Roman" w:hAnsi="Times New Roman"/>
          <w:i/>
          <w:sz w:val="24"/>
        </w:rPr>
        <w:t xml:space="preserve">Vella </w:t>
      </w:r>
      <w:r w:rsidRPr="004C6E3E">
        <w:rPr>
          <w:rFonts w:ascii="Times New Roman" w:hAnsi="Times New Roman"/>
          <w:sz w:val="24"/>
        </w:rPr>
        <w:t>(2019) 269 CLR 219 at 236-237 [29], 281 [156].</w:t>
      </w:r>
    </w:p>
  </w:footnote>
  <w:footnote w:id="209">
    <w:p w14:paraId="7DB76B2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Ashworth and Zedner, </w:t>
      </w:r>
      <w:r w:rsidRPr="004C6E3E">
        <w:rPr>
          <w:rFonts w:ascii="Times New Roman" w:hAnsi="Times New Roman"/>
          <w:i/>
          <w:iCs/>
          <w:sz w:val="24"/>
        </w:rPr>
        <w:t>Preventive Justice</w:t>
      </w:r>
      <w:r w:rsidRPr="004C6E3E">
        <w:rPr>
          <w:rFonts w:ascii="Times New Roman" w:hAnsi="Times New Roman"/>
          <w:sz w:val="24"/>
        </w:rPr>
        <w:t xml:space="preserve"> (2014) at 2, 5-7, 20</w:t>
      </w:r>
      <w:r w:rsidRPr="004C6E3E">
        <w:rPr>
          <w:rFonts w:ascii="Times New Roman" w:hAnsi="Times New Roman"/>
          <w:sz w:val="24"/>
        </w:rPr>
        <w:noBreakHyphen/>
        <w:t>21.</w:t>
      </w:r>
    </w:p>
  </w:footnote>
  <w:footnote w:id="210">
    <w:p w14:paraId="0096543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Zedner, "Taking the Preventive Justice Project Forward", in Tulich et al (eds), </w:t>
      </w:r>
      <w:r w:rsidRPr="004C6E3E">
        <w:rPr>
          <w:rFonts w:ascii="Times New Roman" w:hAnsi="Times New Roman"/>
          <w:i/>
          <w:sz w:val="24"/>
        </w:rPr>
        <w:t>Regulating Preventive Justice: Principle, Policy and Paradox</w:t>
      </w:r>
      <w:r w:rsidRPr="004C6E3E">
        <w:rPr>
          <w:rFonts w:ascii="Times New Roman" w:hAnsi="Times New Roman"/>
          <w:sz w:val="24"/>
        </w:rPr>
        <w:t xml:space="preserve"> (2017) xiii at xiii.</w:t>
      </w:r>
    </w:p>
  </w:footnote>
  <w:footnote w:id="211">
    <w:p w14:paraId="222A944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Ashworth and Zedner, </w:t>
      </w:r>
      <w:r w:rsidRPr="004C6E3E">
        <w:rPr>
          <w:rFonts w:ascii="Times New Roman" w:hAnsi="Times New Roman"/>
          <w:i/>
          <w:iCs/>
          <w:sz w:val="24"/>
        </w:rPr>
        <w:t>Preventive</w:t>
      </w:r>
      <w:r w:rsidRPr="004C6E3E">
        <w:rPr>
          <w:rFonts w:ascii="Times New Roman" w:hAnsi="Times New Roman"/>
          <w:i/>
          <w:sz w:val="24"/>
        </w:rPr>
        <w:t xml:space="preserve"> Justice</w:t>
      </w:r>
      <w:r w:rsidRPr="004C6E3E">
        <w:rPr>
          <w:rFonts w:ascii="Times New Roman" w:hAnsi="Times New Roman"/>
          <w:sz w:val="24"/>
        </w:rPr>
        <w:t xml:space="preserve"> (2014) at 20.</w:t>
      </w:r>
    </w:p>
  </w:footnote>
  <w:footnote w:id="212">
    <w:p w14:paraId="56876C1E"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3 definition of "restriction order".</w:t>
      </w:r>
    </w:p>
  </w:footnote>
  <w:footnote w:id="213">
    <w:p w14:paraId="244B97B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26.</w:t>
      </w:r>
    </w:p>
  </w:footnote>
  <w:footnote w:id="214">
    <w:p w14:paraId="0307734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27; see also s 30.</w:t>
      </w:r>
    </w:p>
  </w:footnote>
  <w:footnote w:id="215">
    <w:p w14:paraId="4FDDA4E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See, eg, HRSO Act, ss 3 definition of "restriction order", 7(1), 35(4), 48.</w:t>
      </w:r>
    </w:p>
  </w:footnote>
  <w:footnote w:id="216">
    <w:p w14:paraId="050B604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 xml:space="preserve">Kable v Director of Public Prosecutions (NSW) </w:t>
      </w:r>
      <w:r w:rsidRPr="004C6E3E">
        <w:rPr>
          <w:rFonts w:ascii="Times New Roman" w:hAnsi="Times New Roman"/>
          <w:iCs/>
          <w:sz w:val="24"/>
        </w:rPr>
        <w:t>(</w:t>
      </w:r>
      <w:r w:rsidRPr="004C6E3E">
        <w:rPr>
          <w:rFonts w:ascii="Times New Roman" w:hAnsi="Times New Roman"/>
          <w:sz w:val="24"/>
        </w:rPr>
        <w:t>1996) 189 CLR 51;</w:t>
      </w:r>
      <w:r w:rsidRPr="004C6E3E">
        <w:rPr>
          <w:rFonts w:ascii="Times New Roman" w:hAnsi="Times New Roman"/>
          <w:i/>
          <w:sz w:val="24"/>
        </w:rPr>
        <w:t xml:space="preserve"> Fardon v Attorney</w:t>
      </w:r>
      <w:r w:rsidRPr="004C6E3E">
        <w:rPr>
          <w:rFonts w:ascii="Times New Roman" w:hAnsi="Times New Roman"/>
          <w:i/>
          <w:sz w:val="24"/>
        </w:rPr>
        <w:noBreakHyphen/>
        <w:t>General (Qld)</w:t>
      </w:r>
      <w:r w:rsidRPr="004C6E3E">
        <w:rPr>
          <w:rFonts w:ascii="Times New Roman" w:hAnsi="Times New Roman"/>
          <w:sz w:val="24"/>
        </w:rPr>
        <w:t xml:space="preserve"> (2004) 223 CLR 575; </w:t>
      </w:r>
      <w:r w:rsidRPr="004C6E3E">
        <w:rPr>
          <w:rFonts w:ascii="Times New Roman" w:hAnsi="Times New Roman"/>
          <w:i/>
          <w:sz w:val="24"/>
        </w:rPr>
        <w:t xml:space="preserve">Thomas </w:t>
      </w:r>
      <w:r w:rsidRPr="004C6E3E">
        <w:rPr>
          <w:rFonts w:ascii="Times New Roman" w:hAnsi="Times New Roman"/>
          <w:sz w:val="24"/>
        </w:rPr>
        <w:t xml:space="preserve">(2007) 233 CLR 307; </w:t>
      </w:r>
      <w:r w:rsidRPr="004C6E3E">
        <w:rPr>
          <w:rFonts w:ascii="Times New Roman" w:hAnsi="Times New Roman"/>
          <w:i/>
          <w:sz w:val="24"/>
        </w:rPr>
        <w:t xml:space="preserve">South Australia v Totani </w:t>
      </w:r>
      <w:r w:rsidRPr="004C6E3E">
        <w:rPr>
          <w:rFonts w:ascii="Times New Roman" w:hAnsi="Times New Roman"/>
          <w:sz w:val="24"/>
        </w:rPr>
        <w:t xml:space="preserve">(2010) 242 CLR 1; </w:t>
      </w:r>
      <w:r w:rsidRPr="004C6E3E">
        <w:rPr>
          <w:rFonts w:ascii="Times New Roman" w:hAnsi="Times New Roman"/>
          <w:i/>
          <w:sz w:val="24"/>
        </w:rPr>
        <w:t>Wainohu v New South Wales</w:t>
      </w:r>
      <w:r w:rsidRPr="004C6E3E">
        <w:rPr>
          <w:rFonts w:ascii="Times New Roman" w:hAnsi="Times New Roman"/>
          <w:sz w:val="24"/>
        </w:rPr>
        <w:t xml:space="preserve"> (2011) 243 CLR 181; </w:t>
      </w:r>
      <w:r w:rsidRPr="004C6E3E">
        <w:rPr>
          <w:rFonts w:ascii="Times New Roman" w:hAnsi="Times New Roman"/>
          <w:i/>
          <w:iCs/>
          <w:sz w:val="24"/>
        </w:rPr>
        <w:t>Pollentine v Bleijie</w:t>
      </w:r>
      <w:r w:rsidRPr="004C6E3E">
        <w:rPr>
          <w:rFonts w:ascii="Times New Roman" w:hAnsi="Times New Roman"/>
          <w:sz w:val="24"/>
        </w:rPr>
        <w:t xml:space="preserve"> (2014) 253 CLR 629; </w:t>
      </w:r>
      <w:r w:rsidRPr="004C6E3E">
        <w:rPr>
          <w:rFonts w:ascii="Times New Roman" w:hAnsi="Times New Roman"/>
          <w:i/>
          <w:sz w:val="24"/>
        </w:rPr>
        <w:t xml:space="preserve">Vella </w:t>
      </w:r>
      <w:r w:rsidRPr="004C6E3E">
        <w:rPr>
          <w:rFonts w:ascii="Times New Roman" w:hAnsi="Times New Roman"/>
          <w:sz w:val="24"/>
        </w:rPr>
        <w:t xml:space="preserve">(2019) 269 CLR 219; </w:t>
      </w:r>
      <w:r w:rsidRPr="004C6E3E">
        <w:rPr>
          <w:rFonts w:ascii="Times New Roman" w:hAnsi="Times New Roman"/>
          <w:i/>
          <w:sz w:val="24"/>
        </w:rPr>
        <w:t>Benbrika</w:t>
      </w:r>
      <w:r w:rsidRPr="004C6E3E">
        <w:rPr>
          <w:rFonts w:ascii="Times New Roman" w:hAnsi="Times New Roman"/>
          <w:sz w:val="24"/>
        </w:rPr>
        <w:t xml:space="preserve"> (2021) 95 ALJR 166; 388 ALR 1.</w:t>
      </w:r>
    </w:p>
  </w:footnote>
  <w:footnote w:id="217">
    <w:p w14:paraId="2078422E"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Cs/>
          <w:sz w:val="24"/>
        </w:rPr>
        <w:t>(</w:t>
      </w:r>
      <w:r w:rsidRPr="004C6E3E">
        <w:rPr>
          <w:rFonts w:ascii="Times New Roman" w:hAnsi="Times New Roman"/>
          <w:sz w:val="24"/>
        </w:rPr>
        <w:t>1996) 189 CLR 51.</w:t>
      </w:r>
    </w:p>
  </w:footnote>
  <w:footnote w:id="218">
    <w:p w14:paraId="408FAAC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(2010) 242 CLR 1. And leaving aside </w:t>
      </w:r>
      <w:r w:rsidRPr="004C6E3E">
        <w:rPr>
          <w:rFonts w:ascii="Times New Roman" w:hAnsi="Times New Roman"/>
          <w:i/>
          <w:iCs/>
          <w:sz w:val="24"/>
        </w:rPr>
        <w:t xml:space="preserve">Wainohu </w:t>
      </w:r>
      <w:r w:rsidRPr="004C6E3E">
        <w:rPr>
          <w:rFonts w:ascii="Times New Roman" w:hAnsi="Times New Roman"/>
          <w:sz w:val="24"/>
        </w:rPr>
        <w:t>(2011) 243 CLR 181, in which the Court held wholly invalid the impugned legislation but on a basis that is not presently relevant: see 217</w:t>
      </w:r>
      <w:r w:rsidRPr="004C6E3E">
        <w:rPr>
          <w:rFonts w:ascii="Times New Roman" w:hAnsi="Times New Roman"/>
          <w:sz w:val="24"/>
        </w:rPr>
        <w:noBreakHyphen/>
        <w:t>220 [65]-[70], 228-230 [104]-[109]; cf 220 [72], 230 [111]; 249-251 [178]-[185].</w:t>
      </w:r>
    </w:p>
  </w:footnote>
  <w:footnote w:id="219">
    <w:p w14:paraId="6296E2B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 xml:space="preserve">Fardon </w:t>
      </w:r>
      <w:r w:rsidRPr="004C6E3E">
        <w:rPr>
          <w:rFonts w:ascii="Times New Roman" w:hAnsi="Times New Roman"/>
          <w:sz w:val="24"/>
        </w:rPr>
        <w:t>(2004) 223 CLR 575 at 593 [24], 601-602 [43]</w:t>
      </w:r>
      <w:r w:rsidRPr="004C6E3E">
        <w:rPr>
          <w:rFonts w:ascii="Times New Roman" w:hAnsi="Times New Roman"/>
          <w:sz w:val="24"/>
        </w:rPr>
        <w:noBreakHyphen/>
        <w:t>[44], 619-622 [106]</w:t>
      </w:r>
      <w:r>
        <w:rPr>
          <w:rFonts w:ascii="Times New Roman" w:hAnsi="Times New Roman"/>
          <w:sz w:val="24"/>
        </w:rPr>
        <w:noBreakHyphen/>
      </w:r>
      <w:r w:rsidRPr="004C6E3E">
        <w:rPr>
          <w:rFonts w:ascii="Times New Roman" w:hAnsi="Times New Roman"/>
          <w:sz w:val="24"/>
        </w:rPr>
        <w:t xml:space="preserve">[120], 647-648 [195]-[198], 658 [234]; cf 646-647 [191]-[194]; </w:t>
      </w:r>
      <w:r w:rsidRPr="004C6E3E">
        <w:rPr>
          <w:rFonts w:ascii="Times New Roman" w:hAnsi="Times New Roman"/>
          <w:i/>
          <w:sz w:val="24"/>
        </w:rPr>
        <w:t xml:space="preserve">Thomas </w:t>
      </w:r>
      <w:r w:rsidRPr="004C6E3E">
        <w:rPr>
          <w:rFonts w:ascii="Times New Roman" w:hAnsi="Times New Roman"/>
          <w:sz w:val="24"/>
        </w:rPr>
        <w:t>(2007) 233 CLR 307 at 326-335 [10]-[30], 342-358 [61]-[126], 506-509 [591]</w:t>
      </w:r>
      <w:r w:rsidRPr="004C6E3E">
        <w:rPr>
          <w:rFonts w:ascii="Times New Roman" w:hAnsi="Times New Roman"/>
          <w:sz w:val="24"/>
        </w:rPr>
        <w:noBreakHyphen/>
        <w:t>[600], 526 [651]; cf 366 [157], 412-437 [298]-[371], 462-480 [458]</w:t>
      </w:r>
      <w:r w:rsidRPr="004C6E3E">
        <w:rPr>
          <w:rFonts w:ascii="Times New Roman" w:hAnsi="Times New Roman"/>
          <w:sz w:val="24"/>
        </w:rPr>
        <w:noBreakHyphen/>
        <w:t xml:space="preserve">[517]; </w:t>
      </w:r>
      <w:r w:rsidRPr="004C6E3E">
        <w:rPr>
          <w:rFonts w:ascii="Times New Roman" w:hAnsi="Times New Roman"/>
          <w:i/>
          <w:iCs/>
          <w:sz w:val="24"/>
        </w:rPr>
        <w:t xml:space="preserve">Pollentine </w:t>
      </w:r>
      <w:r w:rsidRPr="004C6E3E">
        <w:rPr>
          <w:rFonts w:ascii="Times New Roman" w:hAnsi="Times New Roman"/>
          <w:sz w:val="24"/>
        </w:rPr>
        <w:t xml:space="preserve">(2014) 253 CLR 629 at 651 [52]-[53], 658 [77]; </w:t>
      </w:r>
      <w:r w:rsidRPr="004C6E3E">
        <w:rPr>
          <w:rFonts w:ascii="Times New Roman" w:hAnsi="Times New Roman"/>
          <w:i/>
          <w:sz w:val="24"/>
        </w:rPr>
        <w:t xml:space="preserve">Vella </w:t>
      </w:r>
      <w:r w:rsidRPr="004C6E3E">
        <w:rPr>
          <w:rFonts w:ascii="Times New Roman" w:hAnsi="Times New Roman"/>
          <w:sz w:val="24"/>
        </w:rPr>
        <w:t xml:space="preserve">(2019) 269 CLR 219 at 234 [20], 261 [91]; cf 262 [94], 291 [181], [182]; </w:t>
      </w:r>
      <w:r w:rsidRPr="004C6E3E">
        <w:rPr>
          <w:rFonts w:ascii="Times New Roman" w:hAnsi="Times New Roman"/>
          <w:i/>
          <w:sz w:val="24"/>
        </w:rPr>
        <w:t>Benbrika</w:t>
      </w:r>
      <w:r w:rsidRPr="004C6E3E">
        <w:rPr>
          <w:rFonts w:ascii="Times New Roman" w:hAnsi="Times New Roman"/>
          <w:sz w:val="24"/>
        </w:rPr>
        <w:t xml:space="preserve"> (2021) 95 ALJR 166 at 185-186 [53], 227 [239]; cf 187 [64], 193-195 [90]-[99], 196 [109], 210-211 [177]-[179]; 388 ALR 1 at 20, 74; cf 22, 29-32, 33, 52.</w:t>
      </w:r>
    </w:p>
  </w:footnote>
  <w:footnote w:id="220">
    <w:p w14:paraId="518370B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Kable </w:t>
      </w:r>
      <w:r w:rsidRPr="004C6E3E">
        <w:rPr>
          <w:rFonts w:ascii="Times New Roman" w:hAnsi="Times New Roman"/>
          <w:iCs/>
          <w:sz w:val="24"/>
        </w:rPr>
        <w:t>(</w:t>
      </w:r>
      <w:r w:rsidRPr="004C6E3E">
        <w:rPr>
          <w:rFonts w:ascii="Times New Roman" w:hAnsi="Times New Roman"/>
          <w:sz w:val="24"/>
        </w:rPr>
        <w:t xml:space="preserve">1996) 189 CLR 51; </w:t>
      </w:r>
      <w:r w:rsidRPr="004C6E3E">
        <w:rPr>
          <w:rFonts w:ascii="Times New Roman" w:hAnsi="Times New Roman"/>
          <w:i/>
          <w:sz w:val="24"/>
        </w:rPr>
        <w:t xml:space="preserve">Fardon </w:t>
      </w:r>
      <w:r w:rsidRPr="004C6E3E">
        <w:rPr>
          <w:rFonts w:ascii="Times New Roman" w:hAnsi="Times New Roman"/>
          <w:sz w:val="24"/>
        </w:rPr>
        <w:t xml:space="preserve">(2004) 223 CLR 575; </w:t>
      </w:r>
      <w:r w:rsidRPr="004C6E3E">
        <w:rPr>
          <w:rFonts w:ascii="Times New Roman" w:hAnsi="Times New Roman"/>
          <w:i/>
          <w:sz w:val="24"/>
        </w:rPr>
        <w:t>Benbrika</w:t>
      </w:r>
      <w:r w:rsidRPr="004C6E3E">
        <w:rPr>
          <w:rFonts w:ascii="Times New Roman" w:hAnsi="Times New Roman"/>
          <w:sz w:val="24"/>
        </w:rPr>
        <w:t xml:space="preserve"> (2021) 95 ALJR 166; 388 ALR 1.</w:t>
      </w:r>
    </w:p>
  </w:footnote>
  <w:footnote w:id="221">
    <w:p w14:paraId="3A87590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Totani </w:t>
      </w:r>
      <w:r w:rsidRPr="004C6E3E">
        <w:rPr>
          <w:rFonts w:ascii="Times New Roman" w:hAnsi="Times New Roman"/>
          <w:sz w:val="24"/>
        </w:rPr>
        <w:t xml:space="preserve">(2010) 242 CLR 1; </w:t>
      </w:r>
      <w:r w:rsidRPr="004C6E3E">
        <w:rPr>
          <w:rFonts w:ascii="Times New Roman" w:hAnsi="Times New Roman"/>
          <w:i/>
          <w:sz w:val="24"/>
        </w:rPr>
        <w:t xml:space="preserve">Vella </w:t>
      </w:r>
      <w:r w:rsidRPr="004C6E3E">
        <w:rPr>
          <w:rFonts w:ascii="Times New Roman" w:hAnsi="Times New Roman"/>
          <w:sz w:val="24"/>
        </w:rPr>
        <w:t xml:space="preserve">(2019) 269 CLR 219. See also </w:t>
      </w:r>
      <w:r w:rsidRPr="004C6E3E">
        <w:rPr>
          <w:rFonts w:ascii="Times New Roman" w:hAnsi="Times New Roman"/>
          <w:i/>
          <w:iCs/>
          <w:sz w:val="24"/>
        </w:rPr>
        <w:t xml:space="preserve">Wainohu </w:t>
      </w:r>
      <w:r w:rsidRPr="004C6E3E">
        <w:rPr>
          <w:rFonts w:ascii="Times New Roman" w:hAnsi="Times New Roman"/>
          <w:sz w:val="24"/>
        </w:rPr>
        <w:t>(2011) 243 CLR 181.</w:t>
      </w:r>
    </w:p>
  </w:footnote>
  <w:footnote w:id="222">
    <w:p w14:paraId="756FE8E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 xml:space="preserve">Thomas </w:t>
      </w:r>
      <w:r w:rsidRPr="004C6E3E">
        <w:rPr>
          <w:rFonts w:ascii="Times New Roman" w:hAnsi="Times New Roman"/>
          <w:sz w:val="24"/>
        </w:rPr>
        <w:t>(2007) 233 CLR 307 at 356 [116].</w:t>
      </w:r>
    </w:p>
  </w:footnote>
  <w:footnote w:id="223">
    <w:p w14:paraId="614744C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Cs/>
          <w:sz w:val="24"/>
        </w:rPr>
        <w:t>(</w:t>
      </w:r>
      <w:r w:rsidRPr="004C6E3E">
        <w:rPr>
          <w:rFonts w:ascii="Times New Roman" w:hAnsi="Times New Roman"/>
          <w:sz w:val="24"/>
        </w:rPr>
        <w:t>1996) 189 CLR 51.</w:t>
      </w:r>
    </w:p>
  </w:footnote>
  <w:footnote w:id="224">
    <w:p w14:paraId="062581C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See Tulich, Murray and Skead, "Antipodean Perspectives on Preventive Justice: The</w:t>
      </w:r>
      <w:r>
        <w:rPr>
          <w:rFonts w:ascii="Times New Roman" w:hAnsi="Times New Roman"/>
          <w:sz w:val="24"/>
        </w:rPr>
        <w:t> </w:t>
      </w:r>
      <w:r w:rsidRPr="004C6E3E">
        <w:rPr>
          <w:rFonts w:ascii="Times New Roman" w:hAnsi="Times New Roman"/>
          <w:sz w:val="24"/>
        </w:rPr>
        <w:t xml:space="preserve">High Court and Serious Crime Prevention Orders" (2021) 30 </w:t>
      </w:r>
      <w:r w:rsidRPr="004C6E3E">
        <w:rPr>
          <w:rFonts w:ascii="Times New Roman" w:hAnsi="Times New Roman"/>
          <w:i/>
          <w:sz w:val="24"/>
        </w:rPr>
        <w:t>Griffith Law Review</w:t>
      </w:r>
      <w:r w:rsidRPr="004C6E3E">
        <w:rPr>
          <w:rFonts w:ascii="Times New Roman" w:hAnsi="Times New Roman"/>
          <w:sz w:val="24"/>
        </w:rPr>
        <w:t xml:space="preserve"> 211 at 232.</w:t>
      </w:r>
    </w:p>
  </w:footnote>
  <w:footnote w:id="225">
    <w:p w14:paraId="67EF49D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Loughnan and Selchow, "Preventive Detention Beyond the Law: The Need to Ask Socio-Political Questions", in Keyzer (ed), </w:t>
      </w:r>
      <w:r w:rsidRPr="004C6E3E">
        <w:rPr>
          <w:rFonts w:ascii="Times New Roman" w:hAnsi="Times New Roman"/>
          <w:i/>
          <w:sz w:val="24"/>
        </w:rPr>
        <w:t>Preventive Detention: Asking the Fundamental Questions</w:t>
      </w:r>
      <w:r w:rsidRPr="004C6E3E">
        <w:rPr>
          <w:rFonts w:ascii="Times New Roman" w:hAnsi="Times New Roman"/>
          <w:sz w:val="24"/>
        </w:rPr>
        <w:t xml:space="preserve"> (2013) 261 at 269.</w:t>
      </w:r>
    </w:p>
  </w:footnote>
  <w:footnote w:id="226">
    <w:p w14:paraId="61F1761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McSherry and Keyzer, </w:t>
      </w:r>
      <w:r w:rsidRPr="004C6E3E">
        <w:rPr>
          <w:rFonts w:ascii="Times New Roman" w:hAnsi="Times New Roman"/>
          <w:i/>
          <w:sz w:val="24"/>
        </w:rPr>
        <w:t xml:space="preserve">Sex Offenders and </w:t>
      </w:r>
      <w:r w:rsidRPr="004C6E3E">
        <w:rPr>
          <w:rFonts w:ascii="Times New Roman" w:hAnsi="Times New Roman"/>
          <w:i/>
          <w:iCs/>
          <w:sz w:val="24"/>
        </w:rPr>
        <w:t xml:space="preserve">Preventive </w:t>
      </w:r>
      <w:r w:rsidRPr="004C6E3E">
        <w:rPr>
          <w:rFonts w:ascii="Times New Roman" w:hAnsi="Times New Roman"/>
          <w:i/>
          <w:sz w:val="24"/>
        </w:rPr>
        <w:t>Detention: Politics, Policy and Practice</w:t>
      </w:r>
      <w:r w:rsidRPr="004C6E3E">
        <w:rPr>
          <w:rFonts w:ascii="Times New Roman" w:hAnsi="Times New Roman"/>
          <w:sz w:val="24"/>
        </w:rPr>
        <w:t xml:space="preserve"> (2009) at 114. See also Zedner, "Taking the Preventive Justice Project Forward", in Tulich et al (eds), </w:t>
      </w:r>
      <w:r w:rsidRPr="004C6E3E">
        <w:rPr>
          <w:rFonts w:ascii="Times New Roman" w:hAnsi="Times New Roman"/>
          <w:i/>
          <w:sz w:val="24"/>
        </w:rPr>
        <w:t>Regulating Preventive Justice: Principle, Policy and Paradox</w:t>
      </w:r>
      <w:r w:rsidRPr="004C6E3E">
        <w:rPr>
          <w:rFonts w:ascii="Times New Roman" w:hAnsi="Times New Roman"/>
          <w:sz w:val="24"/>
        </w:rPr>
        <w:t xml:space="preserve"> (2017) xiii at xxii.</w:t>
      </w:r>
    </w:p>
  </w:footnote>
  <w:footnote w:id="227">
    <w:p w14:paraId="074BD27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Benbrika</w:t>
      </w:r>
      <w:r w:rsidRPr="004C6E3E">
        <w:rPr>
          <w:rFonts w:ascii="Times New Roman" w:hAnsi="Times New Roman"/>
          <w:sz w:val="24"/>
        </w:rPr>
        <w:t xml:space="preserve"> (2021) 95 ALJR 166 at 209 [167]; 388 ALR 1 at 50.</w:t>
      </w:r>
    </w:p>
  </w:footnote>
  <w:footnote w:id="228">
    <w:p w14:paraId="02D5894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Zedner, "Neither Safe </w:t>
      </w:r>
      <w:proofErr w:type="gramStart"/>
      <w:r w:rsidRPr="004C6E3E">
        <w:rPr>
          <w:rFonts w:ascii="Times New Roman" w:hAnsi="Times New Roman"/>
          <w:sz w:val="24"/>
        </w:rPr>
        <w:t>Nor</w:t>
      </w:r>
      <w:proofErr w:type="gramEnd"/>
      <w:r w:rsidRPr="004C6E3E">
        <w:rPr>
          <w:rFonts w:ascii="Times New Roman" w:hAnsi="Times New Roman"/>
          <w:sz w:val="24"/>
        </w:rPr>
        <w:t xml:space="preserve"> Sound? The Perils and Possibilities of Risk" (2006) 48 </w:t>
      </w:r>
      <w:r w:rsidRPr="004C6E3E">
        <w:rPr>
          <w:rFonts w:ascii="Times New Roman" w:hAnsi="Times New Roman"/>
          <w:i/>
          <w:sz w:val="24"/>
        </w:rPr>
        <w:t>Canadian Journal of Criminology and Criminal Justice</w:t>
      </w:r>
      <w:r w:rsidRPr="004C6E3E">
        <w:rPr>
          <w:rFonts w:ascii="Times New Roman" w:hAnsi="Times New Roman"/>
          <w:sz w:val="24"/>
        </w:rPr>
        <w:t xml:space="preserve"> 423 at 425.</w:t>
      </w:r>
    </w:p>
  </w:footnote>
  <w:footnote w:id="229">
    <w:p w14:paraId="55003A2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Mill, </w:t>
      </w:r>
      <w:r w:rsidRPr="004C6E3E">
        <w:rPr>
          <w:rFonts w:ascii="Times New Roman" w:hAnsi="Times New Roman"/>
          <w:i/>
          <w:sz w:val="24"/>
        </w:rPr>
        <w:t>On Liberty</w:t>
      </w:r>
      <w:r w:rsidRPr="004C6E3E">
        <w:rPr>
          <w:rFonts w:ascii="Times New Roman" w:hAnsi="Times New Roman"/>
          <w:sz w:val="24"/>
        </w:rPr>
        <w:t xml:space="preserve"> (1859) at 172.</w:t>
      </w:r>
    </w:p>
  </w:footnote>
  <w:footnote w:id="230">
    <w:p w14:paraId="04C4412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 xml:space="preserve">NAAJA </w:t>
      </w:r>
      <w:r w:rsidRPr="004C6E3E">
        <w:rPr>
          <w:rFonts w:ascii="Times New Roman" w:hAnsi="Times New Roman"/>
          <w:sz w:val="24"/>
        </w:rPr>
        <w:t xml:space="preserve">(2015) 256 CLR 569 at 621 [134]. </w:t>
      </w:r>
    </w:p>
  </w:footnote>
  <w:footnote w:id="231">
    <w:p w14:paraId="7803D16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Benbrika</w:t>
      </w:r>
      <w:r w:rsidRPr="004C6E3E">
        <w:rPr>
          <w:rFonts w:ascii="Times New Roman" w:hAnsi="Times New Roman"/>
          <w:sz w:val="24"/>
        </w:rPr>
        <w:t xml:space="preserve"> (2021) 95 ALJR 166 at 201 [136]; see also 202</w:t>
      </w:r>
      <w:r w:rsidRPr="004C6E3E">
        <w:rPr>
          <w:rFonts w:ascii="Times New Roman" w:hAnsi="Times New Roman"/>
          <w:sz w:val="24"/>
        </w:rPr>
        <w:noBreakHyphen/>
        <w:t>203 [138]-[142]; 388 ALR 1 at 40; see also 41-42.</w:t>
      </w:r>
    </w:p>
  </w:footnote>
  <w:footnote w:id="232">
    <w:p w14:paraId="45862A2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Rose, "Government and Control" (2000) 40 </w:t>
      </w:r>
      <w:r w:rsidRPr="004C6E3E">
        <w:rPr>
          <w:rFonts w:ascii="Times New Roman" w:hAnsi="Times New Roman"/>
          <w:i/>
          <w:sz w:val="24"/>
        </w:rPr>
        <w:t>British Journal of Criminology</w:t>
      </w:r>
      <w:r w:rsidRPr="004C6E3E">
        <w:rPr>
          <w:rFonts w:ascii="Times New Roman" w:hAnsi="Times New Roman"/>
          <w:sz w:val="24"/>
        </w:rPr>
        <w:t xml:space="preserve"> 321 at 334. See also </w:t>
      </w:r>
      <w:r w:rsidRPr="004C6E3E">
        <w:rPr>
          <w:rFonts w:ascii="Times New Roman" w:hAnsi="Times New Roman"/>
          <w:i/>
          <w:sz w:val="24"/>
        </w:rPr>
        <w:t xml:space="preserve">Totani </w:t>
      </w:r>
      <w:r w:rsidRPr="004C6E3E">
        <w:rPr>
          <w:rFonts w:ascii="Times New Roman" w:hAnsi="Times New Roman"/>
          <w:sz w:val="24"/>
        </w:rPr>
        <w:t>(2010) 242 CLR 1 at 91 [233].</w:t>
      </w:r>
    </w:p>
  </w:footnote>
  <w:footnote w:id="233">
    <w:p w14:paraId="470BCED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5; see also Sch 1, Divs 1 and 2.</w:t>
      </w:r>
    </w:p>
  </w:footnote>
  <w:footnote w:id="234">
    <w:p w14:paraId="2B0B028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HRSO Act, Sch 1, Div 1, Subdiv 3, </w:t>
      </w:r>
      <w:r>
        <w:rPr>
          <w:rFonts w:ascii="Times New Roman" w:hAnsi="Times New Roman"/>
          <w:sz w:val="24"/>
        </w:rPr>
        <w:t>i</w:t>
      </w:r>
      <w:r w:rsidRPr="004C6E3E">
        <w:rPr>
          <w:rFonts w:ascii="Times New Roman" w:hAnsi="Times New Roman"/>
          <w:sz w:val="24"/>
        </w:rPr>
        <w:t xml:space="preserve">tem 34. See also </w:t>
      </w:r>
      <w:r w:rsidRPr="004C6E3E">
        <w:rPr>
          <w:rFonts w:ascii="Times New Roman" w:hAnsi="Times New Roman"/>
          <w:i/>
          <w:iCs/>
          <w:sz w:val="24"/>
        </w:rPr>
        <w:t>Criminal Code</w:t>
      </w:r>
      <w:r w:rsidRPr="004C6E3E">
        <w:rPr>
          <w:rFonts w:ascii="Times New Roman" w:hAnsi="Times New Roman"/>
          <w:sz w:val="24"/>
        </w:rPr>
        <w:t xml:space="preserve"> (WA), s 392.</w:t>
      </w:r>
    </w:p>
  </w:footnote>
  <w:footnote w:id="235">
    <w:p w14:paraId="606D72A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7(1).</w:t>
      </w:r>
    </w:p>
  </w:footnote>
  <w:footnote w:id="236">
    <w:p w14:paraId="61D52B1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 xml:space="preserve">NAAJA </w:t>
      </w:r>
      <w:r w:rsidRPr="004C6E3E">
        <w:rPr>
          <w:rFonts w:ascii="Times New Roman" w:hAnsi="Times New Roman"/>
          <w:sz w:val="24"/>
        </w:rPr>
        <w:t>(2015) 256 CLR 569 at 613 [104].</w:t>
      </w:r>
    </w:p>
  </w:footnote>
  <w:footnote w:id="237">
    <w:p w14:paraId="49E20B4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276 [141], quoting </w:t>
      </w:r>
      <w:r w:rsidRPr="004C6E3E">
        <w:rPr>
          <w:rFonts w:ascii="Times New Roman" w:hAnsi="Times New Roman"/>
          <w:i/>
          <w:sz w:val="24"/>
        </w:rPr>
        <w:t>R v Davison</w:t>
      </w:r>
      <w:r w:rsidRPr="004C6E3E">
        <w:rPr>
          <w:rFonts w:ascii="Times New Roman" w:hAnsi="Times New Roman"/>
          <w:sz w:val="24"/>
        </w:rPr>
        <w:t xml:space="preserve"> (1954) 90 CLR 353 at 380-382.</w:t>
      </w:r>
    </w:p>
  </w:footnote>
  <w:footnote w:id="238">
    <w:p w14:paraId="7FD8B14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Davison</w:t>
      </w:r>
      <w:r w:rsidRPr="004C6E3E">
        <w:rPr>
          <w:rFonts w:ascii="Times New Roman" w:hAnsi="Times New Roman"/>
          <w:sz w:val="24"/>
        </w:rPr>
        <w:t xml:space="preserve"> (1954) 90 CLR 353 at 381.</w:t>
      </w:r>
    </w:p>
  </w:footnote>
  <w:footnote w:id="239">
    <w:p w14:paraId="37152FD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Davison</w:t>
      </w:r>
      <w:r w:rsidRPr="004C6E3E">
        <w:rPr>
          <w:rFonts w:ascii="Times New Roman" w:hAnsi="Times New Roman"/>
          <w:sz w:val="24"/>
        </w:rPr>
        <w:t xml:space="preserve"> (1954) 90 CLR 353 at 381-382, quoted with approval in </w:t>
      </w:r>
      <w:r w:rsidRPr="004C6E3E">
        <w:rPr>
          <w:rFonts w:ascii="Times New Roman" w:hAnsi="Times New Roman"/>
          <w:i/>
          <w:sz w:val="24"/>
        </w:rPr>
        <w:t>Vella</w:t>
      </w:r>
      <w:r w:rsidRPr="004C6E3E">
        <w:rPr>
          <w:rFonts w:ascii="Times New Roman" w:hAnsi="Times New Roman"/>
          <w:sz w:val="24"/>
        </w:rPr>
        <w:t xml:space="preserve"> (2019) 269 CLR 219 at 276 [141], 292 [190] and </w:t>
      </w:r>
      <w:r w:rsidRPr="004C6E3E">
        <w:rPr>
          <w:rFonts w:ascii="Times New Roman" w:hAnsi="Times New Roman"/>
          <w:i/>
          <w:sz w:val="24"/>
        </w:rPr>
        <w:t>Benbrika</w:t>
      </w:r>
      <w:r w:rsidRPr="004C6E3E">
        <w:rPr>
          <w:rFonts w:ascii="Times New Roman" w:hAnsi="Times New Roman"/>
          <w:sz w:val="24"/>
        </w:rPr>
        <w:t xml:space="preserve"> (2021) 95 ALJR 166 at 188 [67], 202 [139]; 388 ALR 1 at 23, 41. See also </w:t>
      </w:r>
      <w:r w:rsidRPr="004C6E3E">
        <w:rPr>
          <w:rFonts w:ascii="Times New Roman" w:hAnsi="Times New Roman"/>
          <w:i/>
          <w:sz w:val="24"/>
        </w:rPr>
        <w:t>White</w:t>
      </w:r>
      <w:r w:rsidRPr="004C6E3E">
        <w:rPr>
          <w:rFonts w:ascii="Times New Roman" w:hAnsi="Times New Roman"/>
          <w:sz w:val="24"/>
        </w:rPr>
        <w:t xml:space="preserve"> </w:t>
      </w:r>
      <w:r w:rsidRPr="004C6E3E">
        <w:rPr>
          <w:rFonts w:ascii="Times New Roman" w:hAnsi="Times New Roman"/>
          <w:i/>
          <w:sz w:val="24"/>
        </w:rPr>
        <w:t xml:space="preserve">v Director of Military Prosecutions </w:t>
      </w:r>
      <w:r w:rsidRPr="004C6E3E">
        <w:rPr>
          <w:rFonts w:ascii="Times New Roman" w:hAnsi="Times New Roman"/>
          <w:sz w:val="24"/>
        </w:rPr>
        <w:t xml:space="preserve">(2007) 231 CLR 570 at 594 [45]; </w:t>
      </w:r>
      <w:r w:rsidRPr="004C6E3E">
        <w:rPr>
          <w:rFonts w:ascii="Times New Roman" w:hAnsi="Times New Roman"/>
          <w:i/>
          <w:sz w:val="24"/>
        </w:rPr>
        <w:t xml:space="preserve">Thomas </w:t>
      </w:r>
      <w:r w:rsidRPr="004C6E3E">
        <w:rPr>
          <w:rFonts w:ascii="Times New Roman" w:hAnsi="Times New Roman"/>
          <w:sz w:val="24"/>
        </w:rPr>
        <w:t xml:space="preserve">(2007) 233 CLR 307 at 464 [463]; </w:t>
      </w:r>
      <w:r w:rsidRPr="004C6E3E">
        <w:rPr>
          <w:rFonts w:ascii="Times New Roman" w:hAnsi="Times New Roman"/>
          <w:i/>
          <w:sz w:val="24"/>
        </w:rPr>
        <w:t>Murphy v Electoral Commissioner</w:t>
      </w:r>
      <w:r w:rsidRPr="004C6E3E">
        <w:rPr>
          <w:rFonts w:ascii="Times New Roman" w:hAnsi="Times New Roman"/>
          <w:sz w:val="24"/>
        </w:rPr>
        <w:t xml:space="preserve"> (2016) 261 CLR 28 at 123</w:t>
      </w:r>
      <w:r w:rsidRPr="004C6E3E">
        <w:rPr>
          <w:rFonts w:ascii="Times New Roman" w:hAnsi="Times New Roman"/>
          <w:sz w:val="24"/>
        </w:rPr>
        <w:noBreakHyphen/>
        <w:t xml:space="preserve">124 [303]; </w:t>
      </w:r>
      <w:r w:rsidRPr="004C6E3E">
        <w:rPr>
          <w:rFonts w:ascii="Times New Roman" w:hAnsi="Times New Roman"/>
          <w:i/>
          <w:sz w:val="24"/>
        </w:rPr>
        <w:t>Palmer v Ayres</w:t>
      </w:r>
      <w:r w:rsidRPr="004C6E3E">
        <w:rPr>
          <w:rFonts w:ascii="Times New Roman" w:hAnsi="Times New Roman"/>
          <w:sz w:val="24"/>
        </w:rPr>
        <w:t xml:space="preserve"> (2017) 259 CLR 478 at 502-503 [62]; </w:t>
      </w:r>
      <w:r w:rsidRPr="004C6E3E">
        <w:rPr>
          <w:rFonts w:ascii="Times New Roman" w:hAnsi="Times New Roman"/>
          <w:i/>
          <w:sz w:val="24"/>
        </w:rPr>
        <w:t>Brown</w:t>
      </w:r>
      <w:r w:rsidRPr="004C6E3E">
        <w:rPr>
          <w:rFonts w:ascii="Times New Roman" w:hAnsi="Times New Roman"/>
          <w:sz w:val="24"/>
        </w:rPr>
        <w:t xml:space="preserve"> </w:t>
      </w:r>
      <w:r w:rsidRPr="004C6E3E">
        <w:rPr>
          <w:rFonts w:ascii="Times New Roman" w:hAnsi="Times New Roman"/>
          <w:i/>
          <w:sz w:val="24"/>
        </w:rPr>
        <w:t xml:space="preserve">v Tasmania </w:t>
      </w:r>
      <w:r w:rsidRPr="004C6E3E">
        <w:rPr>
          <w:rFonts w:ascii="Times New Roman" w:hAnsi="Times New Roman"/>
          <w:sz w:val="24"/>
        </w:rPr>
        <w:t>(2017) 261 CLR 328 at 467 [436].</w:t>
      </w:r>
    </w:p>
  </w:footnote>
  <w:footnote w:id="240">
    <w:p w14:paraId="42D8C5C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(2019) 269 CLR 219 at 293 [191].</w:t>
      </w:r>
    </w:p>
  </w:footnote>
  <w:footnote w:id="241">
    <w:p w14:paraId="11288DD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Plaintiff M68/2015 v Minister for Immigration and Border Protection</w:t>
      </w:r>
      <w:r w:rsidRPr="004C6E3E">
        <w:rPr>
          <w:rFonts w:ascii="Times New Roman" w:hAnsi="Times New Roman"/>
          <w:sz w:val="24"/>
        </w:rPr>
        <w:t xml:space="preserve"> (2016) 257 CLR 42 at 158 [373], quoting </w:t>
      </w:r>
      <w:r w:rsidRPr="004C6E3E">
        <w:rPr>
          <w:rFonts w:ascii="Times New Roman" w:hAnsi="Times New Roman"/>
          <w:i/>
          <w:iCs/>
          <w:sz w:val="24"/>
        </w:rPr>
        <w:t>R v Kid</w:t>
      </w:r>
      <w:r w:rsidRPr="004C6E3E">
        <w:rPr>
          <w:rFonts w:ascii="Times New Roman" w:hAnsi="Times New Roman"/>
          <w:i/>
          <w:sz w:val="24"/>
        </w:rPr>
        <w:t>man</w:t>
      </w:r>
      <w:r w:rsidRPr="004C6E3E">
        <w:rPr>
          <w:rFonts w:ascii="Times New Roman" w:hAnsi="Times New Roman"/>
          <w:sz w:val="24"/>
        </w:rPr>
        <w:t xml:space="preserve"> (1915) 20 CLR 425 at 441. See also </w:t>
      </w:r>
      <w:r w:rsidRPr="004C6E3E">
        <w:rPr>
          <w:rFonts w:ascii="Times New Roman" w:hAnsi="Times New Roman"/>
          <w:i/>
          <w:sz w:val="24"/>
        </w:rPr>
        <w:t>Davis v The Commonwealth</w:t>
      </w:r>
      <w:r w:rsidRPr="004C6E3E">
        <w:rPr>
          <w:rFonts w:ascii="Times New Roman" w:hAnsi="Times New Roman"/>
          <w:sz w:val="24"/>
        </w:rPr>
        <w:t xml:space="preserve"> (1988) 166 CLR 79 at 108; </w:t>
      </w:r>
      <w:r w:rsidRPr="004C6E3E">
        <w:rPr>
          <w:rFonts w:ascii="Times New Roman" w:hAnsi="Times New Roman"/>
          <w:i/>
          <w:sz w:val="24"/>
        </w:rPr>
        <w:t>Pape v Federal Commissioner of Taxation</w:t>
      </w:r>
      <w:r w:rsidRPr="004C6E3E">
        <w:rPr>
          <w:rFonts w:ascii="Times New Roman" w:hAnsi="Times New Roman"/>
          <w:sz w:val="24"/>
        </w:rPr>
        <w:t xml:space="preserve"> (2009) 238 CLR 1; </w:t>
      </w:r>
      <w:r w:rsidRPr="004C6E3E">
        <w:rPr>
          <w:rFonts w:ascii="Times New Roman" w:hAnsi="Times New Roman"/>
          <w:i/>
          <w:iCs/>
          <w:sz w:val="24"/>
        </w:rPr>
        <w:t>Williams v The Commonwealth</w:t>
      </w:r>
      <w:r w:rsidRPr="004C6E3E">
        <w:rPr>
          <w:rFonts w:ascii="Times New Roman" w:hAnsi="Times New Roman"/>
          <w:i/>
          <w:sz w:val="24"/>
        </w:rPr>
        <w:t xml:space="preserve"> [No 2] </w:t>
      </w:r>
      <w:r w:rsidRPr="004C6E3E">
        <w:rPr>
          <w:rFonts w:ascii="Times New Roman" w:hAnsi="Times New Roman"/>
          <w:sz w:val="24"/>
        </w:rPr>
        <w:t>(2014) 252 CLR 416.</w:t>
      </w:r>
    </w:p>
  </w:footnote>
  <w:footnote w:id="242">
    <w:p w14:paraId="5BD5E7B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iCs/>
          <w:sz w:val="24"/>
        </w:rPr>
        <w:t>Lipohar v The Queen</w:t>
      </w:r>
      <w:r w:rsidRPr="004C6E3E">
        <w:rPr>
          <w:rFonts w:ascii="Times New Roman" w:hAnsi="Times New Roman"/>
          <w:sz w:val="24"/>
        </w:rPr>
        <w:t xml:space="preserve"> (1999) 200 CLR 485 at 576 [237], 583 [254].</w:t>
      </w:r>
    </w:p>
  </w:footnote>
  <w:footnote w:id="243">
    <w:p w14:paraId="382822D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Benbrika</w:t>
      </w:r>
      <w:r w:rsidRPr="004C6E3E">
        <w:rPr>
          <w:rFonts w:ascii="Times New Roman" w:hAnsi="Times New Roman"/>
          <w:sz w:val="24"/>
        </w:rPr>
        <w:t xml:space="preserve"> (2021) 95 ALJR 166 at 207 [160]; 388 ALR 1 at 48.</w:t>
      </w:r>
    </w:p>
  </w:footnote>
  <w:footnote w:id="244">
    <w:p w14:paraId="76CC67A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iCs/>
          <w:sz w:val="24"/>
        </w:rPr>
        <w:t>Vella</w:t>
      </w:r>
      <w:r w:rsidRPr="004C6E3E">
        <w:rPr>
          <w:rFonts w:ascii="Times New Roman" w:hAnsi="Times New Roman"/>
          <w:sz w:val="24"/>
        </w:rPr>
        <w:t xml:space="preserve"> (2019) 269 CLR 219 at 293 [191].</w:t>
      </w:r>
    </w:p>
  </w:footnote>
  <w:footnote w:id="245">
    <w:p w14:paraId="1AB0F5DE"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Leeth v The Commonwealth</w:t>
      </w:r>
      <w:r w:rsidRPr="004C6E3E">
        <w:rPr>
          <w:rFonts w:ascii="Times New Roman" w:hAnsi="Times New Roman"/>
          <w:sz w:val="24"/>
        </w:rPr>
        <w:t xml:space="preserve"> (1992) 174 CLR 455 at 471; </w:t>
      </w:r>
      <w:r w:rsidRPr="004C6E3E">
        <w:rPr>
          <w:rFonts w:ascii="Times New Roman" w:hAnsi="Times New Roman"/>
          <w:i/>
          <w:iCs/>
          <w:sz w:val="24"/>
        </w:rPr>
        <w:t>Nicholas v The Queen</w:t>
      </w:r>
      <w:r w:rsidRPr="004C6E3E">
        <w:rPr>
          <w:rFonts w:ascii="Times New Roman" w:hAnsi="Times New Roman"/>
          <w:sz w:val="24"/>
        </w:rPr>
        <w:t xml:space="preserve"> (1998) 193 CLR 173 at 187 [18].</w:t>
      </w:r>
    </w:p>
  </w:footnote>
  <w:footnote w:id="246">
    <w:p w14:paraId="11D4FFB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Federal Commissioner of Taxation v Munro</w:t>
      </w:r>
      <w:r w:rsidRPr="004C6E3E">
        <w:rPr>
          <w:rFonts w:ascii="Times New Roman" w:hAnsi="Times New Roman"/>
          <w:sz w:val="24"/>
        </w:rPr>
        <w:t xml:space="preserve"> (1926) 38 CLR 153 at 175; </w:t>
      </w:r>
      <w:r w:rsidRPr="004C6E3E">
        <w:rPr>
          <w:rFonts w:ascii="Times New Roman" w:hAnsi="Times New Roman"/>
          <w:i/>
          <w:sz w:val="24"/>
        </w:rPr>
        <w:t>R v Quinn; Ex parte Consolidated Foods Corporation</w:t>
      </w:r>
      <w:r w:rsidRPr="004C6E3E">
        <w:rPr>
          <w:rFonts w:ascii="Times New Roman" w:hAnsi="Times New Roman"/>
          <w:sz w:val="24"/>
        </w:rPr>
        <w:t xml:space="preserve"> (1977) 138 CLR 1 at 11; </w:t>
      </w:r>
      <w:r w:rsidRPr="004C6E3E">
        <w:rPr>
          <w:rFonts w:ascii="Times New Roman" w:hAnsi="Times New Roman"/>
          <w:i/>
          <w:sz w:val="24"/>
        </w:rPr>
        <w:t>Re Tracey; Ex</w:t>
      </w:r>
      <w:r>
        <w:rPr>
          <w:rFonts w:ascii="Times New Roman" w:hAnsi="Times New Roman"/>
          <w:i/>
          <w:sz w:val="24"/>
        </w:rPr>
        <w:t> </w:t>
      </w:r>
      <w:r w:rsidRPr="004C6E3E">
        <w:rPr>
          <w:rFonts w:ascii="Times New Roman" w:hAnsi="Times New Roman"/>
          <w:i/>
          <w:sz w:val="24"/>
        </w:rPr>
        <w:t>parte Ryan</w:t>
      </w:r>
      <w:r w:rsidRPr="004C6E3E">
        <w:rPr>
          <w:rFonts w:ascii="Times New Roman" w:hAnsi="Times New Roman"/>
          <w:sz w:val="24"/>
        </w:rPr>
        <w:t xml:space="preserve"> (1989) 166 CLR 518 at 580; </w:t>
      </w:r>
      <w:r w:rsidRPr="004C6E3E">
        <w:rPr>
          <w:rFonts w:ascii="Times New Roman" w:hAnsi="Times New Roman"/>
          <w:i/>
          <w:sz w:val="24"/>
        </w:rPr>
        <w:t>Polyukhovich v The Commonwealth</w:t>
      </w:r>
      <w:r w:rsidRPr="004C6E3E">
        <w:rPr>
          <w:rFonts w:ascii="Times New Roman" w:hAnsi="Times New Roman"/>
          <w:sz w:val="24"/>
        </w:rPr>
        <w:t xml:space="preserve"> (1991) 172 CLR 501 at 536, 609-610, 612, 646, 685-686, 721; </w:t>
      </w:r>
      <w:r w:rsidRPr="004C6E3E">
        <w:rPr>
          <w:rFonts w:ascii="Times New Roman" w:hAnsi="Times New Roman"/>
          <w:i/>
          <w:iCs/>
          <w:sz w:val="24"/>
        </w:rPr>
        <w:t xml:space="preserve">Chu Kheng </w:t>
      </w:r>
      <w:r w:rsidRPr="004C6E3E">
        <w:rPr>
          <w:rFonts w:ascii="Times New Roman" w:hAnsi="Times New Roman"/>
          <w:i/>
          <w:sz w:val="24"/>
        </w:rPr>
        <w:t>Lim</w:t>
      </w:r>
      <w:r w:rsidRPr="004C6E3E">
        <w:rPr>
          <w:rFonts w:ascii="Times New Roman" w:hAnsi="Times New Roman"/>
          <w:sz w:val="24"/>
        </w:rPr>
        <w:t xml:space="preserve"> </w:t>
      </w:r>
      <w:r w:rsidRPr="004C6E3E">
        <w:rPr>
          <w:rFonts w:ascii="Times New Roman" w:hAnsi="Times New Roman"/>
          <w:i/>
          <w:iCs/>
          <w:sz w:val="24"/>
        </w:rPr>
        <w:t>v Minister for Immigration</w:t>
      </w:r>
      <w:r w:rsidRPr="004C6E3E">
        <w:rPr>
          <w:rFonts w:ascii="Times New Roman" w:hAnsi="Times New Roman"/>
          <w:i/>
          <w:sz w:val="24"/>
        </w:rPr>
        <w:t xml:space="preserve">, Local Government and Ethnic Affairs </w:t>
      </w:r>
      <w:r w:rsidRPr="004C6E3E">
        <w:rPr>
          <w:rFonts w:ascii="Times New Roman" w:hAnsi="Times New Roman"/>
          <w:sz w:val="24"/>
        </w:rPr>
        <w:t xml:space="preserve">(1992) 176 CLR 1 at 27; </w:t>
      </w:r>
      <w:r w:rsidRPr="004C6E3E">
        <w:rPr>
          <w:rFonts w:ascii="Times New Roman" w:hAnsi="Times New Roman"/>
          <w:i/>
          <w:sz w:val="24"/>
        </w:rPr>
        <w:t>Brandy v Human Rights and Equal Opportunity Commission</w:t>
      </w:r>
      <w:r w:rsidRPr="004C6E3E">
        <w:rPr>
          <w:rFonts w:ascii="Times New Roman" w:hAnsi="Times New Roman"/>
          <w:sz w:val="24"/>
        </w:rPr>
        <w:t xml:space="preserve"> (1995) 183 CLR 245 at 258, 269; </w:t>
      </w:r>
      <w:r w:rsidRPr="004C6E3E">
        <w:rPr>
          <w:rFonts w:ascii="Times New Roman" w:hAnsi="Times New Roman"/>
          <w:i/>
          <w:sz w:val="24"/>
        </w:rPr>
        <w:t>Attorney-General (Cth) v Breckler</w:t>
      </w:r>
      <w:r w:rsidRPr="004C6E3E">
        <w:rPr>
          <w:rFonts w:ascii="Times New Roman" w:hAnsi="Times New Roman"/>
          <w:sz w:val="24"/>
        </w:rPr>
        <w:t xml:space="preserve"> (1999) 197 CLR 83 at 109 [40]; </w:t>
      </w:r>
      <w:r w:rsidRPr="004C6E3E">
        <w:rPr>
          <w:rFonts w:ascii="Times New Roman" w:hAnsi="Times New Roman"/>
          <w:i/>
          <w:sz w:val="24"/>
        </w:rPr>
        <w:t>Magaming v The Queen</w:t>
      </w:r>
      <w:r w:rsidRPr="004C6E3E">
        <w:rPr>
          <w:rFonts w:ascii="Times New Roman" w:hAnsi="Times New Roman"/>
          <w:sz w:val="24"/>
        </w:rPr>
        <w:t xml:space="preserve"> (2013) 252 CLR 381 at 396 [47], 399-400 [61]-[63]; </w:t>
      </w:r>
      <w:r w:rsidRPr="004C6E3E">
        <w:rPr>
          <w:rFonts w:ascii="Times New Roman" w:hAnsi="Times New Roman"/>
          <w:i/>
          <w:sz w:val="24"/>
        </w:rPr>
        <w:t>Kuczborski v Queensland</w:t>
      </w:r>
      <w:r w:rsidRPr="004C6E3E">
        <w:rPr>
          <w:rFonts w:ascii="Times New Roman" w:hAnsi="Times New Roman"/>
          <w:sz w:val="24"/>
        </w:rPr>
        <w:t xml:space="preserve"> (2014) 254 CLR 51 at 120 [233]; </w:t>
      </w:r>
      <w:r w:rsidRPr="004C6E3E">
        <w:rPr>
          <w:rFonts w:ascii="Times New Roman" w:hAnsi="Times New Roman"/>
          <w:i/>
          <w:sz w:val="24"/>
        </w:rPr>
        <w:t>Duncan v New South Wales</w:t>
      </w:r>
      <w:r w:rsidRPr="004C6E3E">
        <w:rPr>
          <w:rFonts w:ascii="Times New Roman" w:hAnsi="Times New Roman"/>
          <w:sz w:val="24"/>
        </w:rPr>
        <w:t xml:space="preserve"> (2015) 255 CLR 388 at 407 [41]; </w:t>
      </w:r>
      <w:r w:rsidRPr="004C6E3E">
        <w:rPr>
          <w:rFonts w:ascii="Times New Roman" w:hAnsi="Times New Roman"/>
          <w:i/>
          <w:sz w:val="24"/>
        </w:rPr>
        <w:t>Falzon</w:t>
      </w:r>
      <w:r w:rsidRPr="004C6E3E">
        <w:rPr>
          <w:rFonts w:ascii="Times New Roman" w:hAnsi="Times New Roman"/>
          <w:i/>
          <w:sz w:val="24"/>
          <w:szCs w:val="18"/>
        </w:rPr>
        <w:t xml:space="preserve"> v Minister for Immigration and Border Protection</w:t>
      </w:r>
      <w:r w:rsidRPr="004C6E3E">
        <w:rPr>
          <w:rFonts w:ascii="Times New Roman" w:hAnsi="Times New Roman"/>
          <w:sz w:val="24"/>
        </w:rPr>
        <w:t xml:space="preserve"> (2018) 262 CLR 333 at 340 [15]; </w:t>
      </w:r>
      <w:r w:rsidRPr="004C6E3E">
        <w:rPr>
          <w:rFonts w:ascii="Times New Roman" w:hAnsi="Times New Roman"/>
          <w:i/>
          <w:sz w:val="24"/>
        </w:rPr>
        <w:t>Benbrika</w:t>
      </w:r>
      <w:r w:rsidRPr="004C6E3E">
        <w:rPr>
          <w:rFonts w:ascii="Times New Roman" w:hAnsi="Times New Roman"/>
          <w:sz w:val="24"/>
        </w:rPr>
        <w:t xml:space="preserve"> (2021) 95 AJLR 166 at 177-178 [18]</w:t>
      </w:r>
      <w:r w:rsidRPr="004C6E3E">
        <w:rPr>
          <w:rFonts w:ascii="Times New Roman" w:hAnsi="Times New Roman"/>
          <w:sz w:val="24"/>
        </w:rPr>
        <w:noBreakHyphen/>
        <w:t>[19], 189 [72], 202 [140], 207 [160], 218 [207]-[208]; 388 ALR 1 at 9-10, 25, 41-42, 48, 62.</w:t>
      </w:r>
    </w:p>
  </w:footnote>
  <w:footnote w:id="247">
    <w:p w14:paraId="336306E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 xml:space="preserve">Benbrika </w:t>
      </w:r>
      <w:r w:rsidRPr="004C6E3E">
        <w:rPr>
          <w:rFonts w:ascii="Times New Roman" w:hAnsi="Times New Roman"/>
          <w:sz w:val="24"/>
        </w:rPr>
        <w:t>(2021) 95 ALJR 166 at 204 [146]; 388 ALR 1 at 43, citing</w:t>
      </w:r>
      <w:r w:rsidRPr="004C6E3E">
        <w:rPr>
          <w:rFonts w:ascii="Times New Roman" w:eastAsia="Calibri" w:hAnsi="Times New Roman"/>
          <w:sz w:val="24"/>
        </w:rPr>
        <w:t xml:space="preserve"> </w:t>
      </w:r>
      <w:r w:rsidRPr="004C6E3E">
        <w:rPr>
          <w:rFonts w:ascii="Times New Roman" w:eastAsia="Calibri" w:hAnsi="Times New Roman"/>
          <w:i/>
          <w:sz w:val="24"/>
        </w:rPr>
        <w:t>Davison</w:t>
      </w:r>
      <w:r w:rsidRPr="004C6E3E">
        <w:rPr>
          <w:rFonts w:ascii="Times New Roman" w:eastAsia="Calibri" w:hAnsi="Times New Roman"/>
          <w:sz w:val="24"/>
        </w:rPr>
        <w:t xml:space="preserve"> (1954) 90 CLR 353 at 366, </w:t>
      </w:r>
      <w:r w:rsidRPr="004C6E3E">
        <w:rPr>
          <w:rFonts w:ascii="Times New Roman" w:eastAsia="Calibri" w:hAnsi="Times New Roman"/>
          <w:i/>
          <w:sz w:val="24"/>
        </w:rPr>
        <w:t xml:space="preserve">R v Trade Practices Tribunal; Ex parte Tasmanian </w:t>
      </w:r>
      <w:r w:rsidRPr="004C6E3E">
        <w:rPr>
          <w:rFonts w:ascii="Times New Roman" w:eastAsia="Calibri" w:hAnsi="Times New Roman"/>
          <w:i/>
          <w:iCs/>
          <w:sz w:val="24"/>
        </w:rPr>
        <w:t>Breweries Pty Ltd</w:t>
      </w:r>
      <w:r w:rsidRPr="004C6E3E">
        <w:rPr>
          <w:rFonts w:ascii="Times New Roman" w:eastAsia="Calibri" w:hAnsi="Times New Roman"/>
          <w:sz w:val="24"/>
        </w:rPr>
        <w:t xml:space="preserve"> (1970) 123 CLR 361 at 373,</w:t>
      </w:r>
      <w:r w:rsidRPr="004C6E3E">
        <w:rPr>
          <w:rFonts w:ascii="Times New Roman" w:eastAsia="Calibri" w:hAnsi="Times New Roman"/>
          <w:i/>
          <w:iCs/>
          <w:sz w:val="24"/>
        </w:rPr>
        <w:t xml:space="preserve"> Precision Data Holdings Ltd v Wills</w:t>
      </w:r>
      <w:r w:rsidRPr="004C6E3E">
        <w:rPr>
          <w:rFonts w:ascii="Times New Roman" w:eastAsia="Calibri" w:hAnsi="Times New Roman"/>
          <w:sz w:val="24"/>
        </w:rPr>
        <w:t xml:space="preserve"> (1991) 173 CLR 167 at 188-189, </w:t>
      </w:r>
      <w:r w:rsidRPr="004C6E3E">
        <w:rPr>
          <w:rFonts w:ascii="Times New Roman" w:eastAsia="Calibri" w:hAnsi="Times New Roman"/>
          <w:i/>
          <w:sz w:val="24"/>
        </w:rPr>
        <w:t xml:space="preserve">Brandy </w:t>
      </w:r>
      <w:r w:rsidRPr="004C6E3E">
        <w:rPr>
          <w:rFonts w:ascii="Times New Roman" w:eastAsia="Calibri" w:hAnsi="Times New Roman"/>
          <w:sz w:val="24"/>
        </w:rPr>
        <w:t xml:space="preserve">(1995) 183 CLR 245 at 267-268, </w:t>
      </w:r>
      <w:r w:rsidRPr="004C6E3E">
        <w:rPr>
          <w:rFonts w:ascii="Times New Roman" w:eastAsia="Calibri" w:hAnsi="Times New Roman"/>
          <w:i/>
          <w:sz w:val="24"/>
        </w:rPr>
        <w:t>Re Woolley; Ex</w:t>
      </w:r>
      <w:r>
        <w:rPr>
          <w:rFonts w:ascii="Times New Roman" w:eastAsia="Calibri" w:hAnsi="Times New Roman"/>
          <w:i/>
          <w:sz w:val="24"/>
        </w:rPr>
        <w:t> </w:t>
      </w:r>
      <w:r w:rsidRPr="004C6E3E">
        <w:rPr>
          <w:rFonts w:ascii="Times New Roman" w:eastAsia="Calibri" w:hAnsi="Times New Roman"/>
          <w:i/>
          <w:sz w:val="24"/>
        </w:rPr>
        <w:t>parte Applicants M276/2003</w:t>
      </w:r>
      <w:r w:rsidRPr="004C6E3E">
        <w:rPr>
          <w:rFonts w:ascii="Times New Roman" w:eastAsia="Calibri" w:hAnsi="Times New Roman"/>
          <w:sz w:val="24"/>
        </w:rPr>
        <w:t xml:space="preserve"> (2004) 225 CLR 1 at 22 [51], </w:t>
      </w:r>
      <w:r w:rsidRPr="004C6E3E">
        <w:rPr>
          <w:rFonts w:ascii="Times New Roman" w:eastAsia="Calibri" w:hAnsi="Times New Roman"/>
          <w:i/>
          <w:sz w:val="24"/>
        </w:rPr>
        <w:t xml:space="preserve">Thomas </w:t>
      </w:r>
      <w:r w:rsidRPr="004C6E3E">
        <w:rPr>
          <w:rFonts w:ascii="Times New Roman" w:eastAsia="Calibri" w:hAnsi="Times New Roman"/>
          <w:sz w:val="24"/>
        </w:rPr>
        <w:t xml:space="preserve">(2007) 233 CLR 307 at 414 [306] and </w:t>
      </w:r>
      <w:r w:rsidRPr="004C6E3E">
        <w:rPr>
          <w:rFonts w:ascii="Times New Roman" w:eastAsia="Calibri" w:hAnsi="Times New Roman"/>
          <w:i/>
          <w:sz w:val="24"/>
        </w:rPr>
        <w:t>Attorney-General (Cth) v Alinta Ltd</w:t>
      </w:r>
      <w:r w:rsidRPr="004C6E3E">
        <w:rPr>
          <w:rFonts w:ascii="Times New Roman" w:eastAsia="Calibri" w:hAnsi="Times New Roman"/>
          <w:sz w:val="24"/>
        </w:rPr>
        <w:t xml:space="preserve"> (2008) 233 CLR 542 at 592 [151].</w:t>
      </w:r>
    </w:p>
  </w:footnote>
  <w:footnote w:id="248">
    <w:p w14:paraId="790D2D6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Huddart, Parker &amp; Co Pty Ltd v Moorehead</w:t>
      </w:r>
      <w:r w:rsidRPr="004C6E3E">
        <w:rPr>
          <w:rFonts w:ascii="Times New Roman" w:hAnsi="Times New Roman"/>
          <w:sz w:val="24"/>
        </w:rPr>
        <w:t xml:space="preserve"> (1909) 8 CLR 330 at 357, quoted with approval in </w:t>
      </w:r>
      <w:r w:rsidRPr="004C6E3E">
        <w:rPr>
          <w:rFonts w:ascii="Times New Roman" w:hAnsi="Times New Roman"/>
          <w:i/>
          <w:sz w:val="24"/>
        </w:rPr>
        <w:t>Vella</w:t>
      </w:r>
      <w:r w:rsidRPr="004C6E3E">
        <w:rPr>
          <w:rFonts w:ascii="Times New Roman" w:hAnsi="Times New Roman"/>
          <w:sz w:val="24"/>
        </w:rPr>
        <w:t xml:space="preserve"> (2019) 269 CLR 219 at 279 [151] and </w:t>
      </w:r>
      <w:r w:rsidRPr="004C6E3E">
        <w:rPr>
          <w:rFonts w:ascii="Times New Roman" w:hAnsi="Times New Roman"/>
          <w:i/>
          <w:sz w:val="24"/>
        </w:rPr>
        <w:t>Benbrika</w:t>
      </w:r>
      <w:r w:rsidRPr="004C6E3E">
        <w:rPr>
          <w:rFonts w:ascii="Times New Roman" w:hAnsi="Times New Roman"/>
          <w:sz w:val="24"/>
        </w:rPr>
        <w:t xml:space="preserve"> (2021) 95 ALJR 166 at 204 [146]; 388 ALR 1 at 43. See also </w:t>
      </w:r>
      <w:r w:rsidRPr="004C6E3E">
        <w:rPr>
          <w:rFonts w:ascii="Times New Roman" w:hAnsi="Times New Roman"/>
          <w:i/>
          <w:sz w:val="24"/>
        </w:rPr>
        <w:t>Waterside Workers' Federation of Australia v J W Alexander Ltd</w:t>
      </w:r>
      <w:r w:rsidRPr="004C6E3E">
        <w:rPr>
          <w:rFonts w:ascii="Times New Roman" w:hAnsi="Times New Roman"/>
          <w:sz w:val="24"/>
        </w:rPr>
        <w:t xml:space="preserve"> (1918) 25 CLR 434 at 442-443; </w:t>
      </w:r>
      <w:r w:rsidRPr="004C6E3E">
        <w:rPr>
          <w:rFonts w:ascii="Times New Roman" w:hAnsi="Times New Roman"/>
          <w:i/>
          <w:sz w:val="24"/>
        </w:rPr>
        <w:t>Brandy</w:t>
      </w:r>
      <w:r w:rsidRPr="004C6E3E">
        <w:rPr>
          <w:rFonts w:ascii="Times New Roman" w:hAnsi="Times New Roman"/>
          <w:sz w:val="24"/>
        </w:rPr>
        <w:t xml:space="preserve"> (1995) 183 CLR 245 at 267-268; </w:t>
      </w:r>
      <w:r w:rsidRPr="004C6E3E">
        <w:rPr>
          <w:rFonts w:ascii="Times New Roman" w:hAnsi="Times New Roman"/>
          <w:i/>
          <w:sz w:val="24"/>
        </w:rPr>
        <w:t>Bass</w:t>
      </w:r>
      <w:r w:rsidRPr="004C6E3E">
        <w:rPr>
          <w:rFonts w:ascii="Times New Roman" w:hAnsi="Times New Roman"/>
          <w:sz w:val="24"/>
        </w:rPr>
        <w:t xml:space="preserve"> </w:t>
      </w:r>
      <w:r w:rsidRPr="004C6E3E">
        <w:rPr>
          <w:rFonts w:ascii="Times New Roman" w:hAnsi="Times New Roman"/>
          <w:i/>
          <w:sz w:val="24"/>
        </w:rPr>
        <w:t>v Permanent Trustee Co Ltd</w:t>
      </w:r>
      <w:r w:rsidRPr="004C6E3E">
        <w:rPr>
          <w:rFonts w:ascii="Times New Roman" w:hAnsi="Times New Roman"/>
          <w:sz w:val="24"/>
        </w:rPr>
        <w:t xml:space="preserve"> (1999) 198 CLR 334 at 355</w:t>
      </w:r>
      <w:r>
        <w:rPr>
          <w:rFonts w:ascii="Times New Roman" w:hAnsi="Times New Roman"/>
          <w:sz w:val="24"/>
        </w:rPr>
        <w:noBreakHyphen/>
      </w:r>
      <w:r w:rsidRPr="004C6E3E">
        <w:rPr>
          <w:rFonts w:ascii="Times New Roman" w:hAnsi="Times New Roman"/>
          <w:sz w:val="24"/>
        </w:rPr>
        <w:t xml:space="preserve">359 [45]-[56]; </w:t>
      </w:r>
      <w:r w:rsidRPr="004C6E3E">
        <w:rPr>
          <w:rFonts w:ascii="Times New Roman" w:hAnsi="Times New Roman"/>
          <w:i/>
          <w:sz w:val="24"/>
        </w:rPr>
        <w:t>Alinta</w:t>
      </w:r>
      <w:r w:rsidRPr="004C6E3E" w:rsidDel="00694CA4">
        <w:rPr>
          <w:rFonts w:ascii="Times New Roman" w:hAnsi="Times New Roman"/>
          <w:i/>
          <w:sz w:val="24"/>
        </w:rPr>
        <w:t xml:space="preserve"> </w:t>
      </w:r>
      <w:r w:rsidRPr="004C6E3E">
        <w:rPr>
          <w:rFonts w:ascii="Times New Roman" w:hAnsi="Times New Roman"/>
          <w:sz w:val="24"/>
        </w:rPr>
        <w:t>(2008) 233 CLR 542 at 577 [94], 592-593 [153]-[155];</w:t>
      </w:r>
      <w:r w:rsidRPr="004C6E3E">
        <w:rPr>
          <w:rFonts w:ascii="Times New Roman" w:hAnsi="Times New Roman"/>
          <w:i/>
          <w:sz w:val="24"/>
        </w:rPr>
        <w:t xml:space="preserve"> Totani</w:t>
      </w:r>
      <w:r>
        <w:rPr>
          <w:rFonts w:ascii="Times New Roman" w:hAnsi="Times New Roman"/>
          <w:i/>
          <w:sz w:val="24"/>
        </w:rPr>
        <w:t> </w:t>
      </w:r>
      <w:r w:rsidRPr="004C6E3E">
        <w:rPr>
          <w:rFonts w:ascii="Times New Roman" w:hAnsi="Times New Roman"/>
          <w:sz w:val="24"/>
        </w:rPr>
        <w:t>(2010) 242 CLR 1 at 86 [220</w:t>
      </w:r>
      <w:r w:rsidRPr="004C6E3E" w:rsidDel="00695389">
        <w:rPr>
          <w:rFonts w:ascii="Times New Roman" w:hAnsi="Times New Roman"/>
          <w:sz w:val="24"/>
        </w:rPr>
        <w:t>]</w:t>
      </w:r>
      <w:r w:rsidRPr="004C6E3E">
        <w:rPr>
          <w:rFonts w:ascii="Times New Roman" w:hAnsi="Times New Roman"/>
          <w:sz w:val="24"/>
        </w:rPr>
        <w:t>.</w:t>
      </w:r>
    </w:p>
  </w:footnote>
  <w:footnote w:id="249">
    <w:p w14:paraId="0992AB1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189 [70]; 388 ALR 1 at 24, quoting </w:t>
      </w:r>
      <w:r w:rsidRPr="004C6E3E">
        <w:rPr>
          <w:rFonts w:ascii="Times New Roman" w:hAnsi="Times New Roman"/>
          <w:i/>
          <w:sz w:val="24"/>
        </w:rPr>
        <w:t>Magaming</w:t>
      </w:r>
      <w:r w:rsidRPr="004C6E3E">
        <w:rPr>
          <w:rFonts w:ascii="Times New Roman" w:hAnsi="Times New Roman"/>
          <w:sz w:val="24"/>
        </w:rPr>
        <w:t xml:space="preserve"> (2013) 252 CLR 381 at 400 [63].</w:t>
      </w:r>
    </w:p>
  </w:footnote>
  <w:footnote w:id="250">
    <w:p w14:paraId="5AB99A4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at 188 [69]; 388 ALR 1 at 24.</w:t>
      </w:r>
    </w:p>
  </w:footnote>
  <w:footnote w:id="251">
    <w:p w14:paraId="1D61176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189 [69]; see also 189 [73]; 388 ALR 1 at 24; see</w:t>
      </w:r>
      <w:r>
        <w:rPr>
          <w:rFonts w:ascii="Times New Roman" w:hAnsi="Times New Roman"/>
          <w:sz w:val="24"/>
        </w:rPr>
        <w:t> </w:t>
      </w:r>
      <w:r w:rsidRPr="004C6E3E">
        <w:rPr>
          <w:rFonts w:ascii="Times New Roman" w:hAnsi="Times New Roman"/>
          <w:sz w:val="24"/>
        </w:rPr>
        <w:t>also 25.</w:t>
      </w:r>
    </w:p>
  </w:footnote>
  <w:footnote w:id="252">
    <w:p w14:paraId="30CB69F7"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276 [141]. See also </w:t>
      </w:r>
      <w:r w:rsidRPr="004C6E3E">
        <w:rPr>
          <w:rFonts w:ascii="Times New Roman" w:hAnsi="Times New Roman"/>
          <w:i/>
          <w:sz w:val="24"/>
        </w:rPr>
        <w:t>Magaming</w:t>
      </w:r>
      <w:r w:rsidRPr="004C6E3E">
        <w:rPr>
          <w:rFonts w:ascii="Times New Roman" w:hAnsi="Times New Roman"/>
          <w:sz w:val="24"/>
        </w:rPr>
        <w:t xml:space="preserve"> (2013) 252 CLR 381 at 400-401 [63]-[67]; </w:t>
      </w:r>
      <w:r w:rsidRPr="004C6E3E">
        <w:rPr>
          <w:rFonts w:ascii="Times New Roman" w:hAnsi="Times New Roman"/>
          <w:i/>
          <w:sz w:val="24"/>
        </w:rPr>
        <w:t xml:space="preserve">NAAJA </w:t>
      </w:r>
      <w:r w:rsidRPr="004C6E3E">
        <w:rPr>
          <w:rFonts w:ascii="Times New Roman" w:hAnsi="Times New Roman"/>
          <w:sz w:val="24"/>
        </w:rPr>
        <w:t xml:space="preserve">(2015) 256 CLR 569 at 610-611 [94]-[97]; </w:t>
      </w:r>
      <w:r w:rsidRPr="004C6E3E">
        <w:rPr>
          <w:rFonts w:ascii="Times New Roman" w:hAnsi="Times New Roman"/>
          <w:i/>
          <w:sz w:val="24"/>
        </w:rPr>
        <w:t>Benbrika</w:t>
      </w:r>
      <w:r>
        <w:rPr>
          <w:rFonts w:ascii="Times New Roman" w:hAnsi="Times New Roman"/>
          <w:sz w:val="24"/>
        </w:rPr>
        <w:t> </w:t>
      </w:r>
      <w:r w:rsidRPr="004C6E3E">
        <w:rPr>
          <w:rFonts w:ascii="Times New Roman" w:hAnsi="Times New Roman"/>
          <w:sz w:val="24"/>
        </w:rPr>
        <w:t>(2021) 95 ALJR 166 at 188 [68], 202 [138]-[140]; 388 ALR 1 at 23, 41</w:t>
      </w:r>
      <w:r>
        <w:rPr>
          <w:rFonts w:ascii="Times New Roman" w:hAnsi="Times New Roman"/>
          <w:sz w:val="24"/>
        </w:rPr>
        <w:noBreakHyphen/>
      </w:r>
      <w:r w:rsidRPr="004C6E3E">
        <w:rPr>
          <w:rFonts w:ascii="Times New Roman" w:hAnsi="Times New Roman"/>
          <w:sz w:val="24"/>
        </w:rPr>
        <w:t>42. See generally Stellios, "Liberty as a Constitutional Value: The Difficulty of Differing Conceptions of 'The Relationship of the Individual to the State'", in</w:t>
      </w:r>
      <w:r>
        <w:rPr>
          <w:rFonts w:ascii="Times New Roman" w:hAnsi="Times New Roman"/>
          <w:sz w:val="24"/>
        </w:rPr>
        <w:t> </w:t>
      </w:r>
      <w:r w:rsidRPr="004C6E3E">
        <w:rPr>
          <w:rFonts w:ascii="Times New Roman" w:hAnsi="Times New Roman"/>
          <w:sz w:val="24"/>
        </w:rPr>
        <w:t>Dixon</w:t>
      </w:r>
      <w:r>
        <w:rPr>
          <w:rFonts w:ascii="Times New Roman" w:hAnsi="Times New Roman"/>
          <w:sz w:val="24"/>
        </w:rPr>
        <w:t> </w:t>
      </w:r>
      <w:r w:rsidRPr="004C6E3E">
        <w:rPr>
          <w:rFonts w:ascii="Times New Roman" w:hAnsi="Times New Roman"/>
          <w:sz w:val="24"/>
        </w:rPr>
        <w:t xml:space="preserve">(ed), </w:t>
      </w:r>
      <w:r w:rsidRPr="004C6E3E">
        <w:rPr>
          <w:rFonts w:ascii="Times New Roman" w:hAnsi="Times New Roman"/>
          <w:i/>
          <w:iCs/>
          <w:sz w:val="24"/>
        </w:rPr>
        <w:t>Australian Constitutional Values</w:t>
      </w:r>
      <w:r w:rsidRPr="004C6E3E">
        <w:rPr>
          <w:rFonts w:ascii="Times New Roman" w:hAnsi="Times New Roman"/>
          <w:sz w:val="24"/>
        </w:rPr>
        <w:t xml:space="preserve"> (2018) 177.</w:t>
      </w:r>
    </w:p>
  </w:footnote>
  <w:footnote w:id="253">
    <w:p w14:paraId="06ACEE4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277 [145].</w:t>
      </w:r>
    </w:p>
  </w:footnote>
  <w:footnote w:id="254">
    <w:p w14:paraId="333D6FC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277 [145]; see also, quoted there, Redish,</w:t>
      </w:r>
      <w:r>
        <w:rPr>
          <w:rFonts w:ascii="Times New Roman" w:hAnsi="Times New Roman"/>
          <w:sz w:val="24"/>
        </w:rPr>
        <w:t> </w:t>
      </w:r>
      <w:r w:rsidRPr="004C6E3E">
        <w:rPr>
          <w:rFonts w:ascii="Times New Roman" w:hAnsi="Times New Roman"/>
          <w:sz w:val="24"/>
        </w:rPr>
        <w:t>"Separation</w:t>
      </w:r>
      <w:r>
        <w:rPr>
          <w:rFonts w:ascii="Times New Roman" w:hAnsi="Times New Roman"/>
          <w:sz w:val="24"/>
        </w:rPr>
        <w:t> </w:t>
      </w:r>
      <w:r w:rsidRPr="004C6E3E">
        <w:rPr>
          <w:rFonts w:ascii="Times New Roman" w:hAnsi="Times New Roman"/>
          <w:sz w:val="24"/>
        </w:rPr>
        <w:t>of Powers, Judicial Authority, and the Scope of Article III: The</w:t>
      </w:r>
      <w:r>
        <w:rPr>
          <w:rFonts w:ascii="Times New Roman" w:hAnsi="Times New Roman"/>
          <w:sz w:val="24"/>
        </w:rPr>
        <w:t> </w:t>
      </w:r>
      <w:r w:rsidRPr="004C6E3E">
        <w:rPr>
          <w:rFonts w:ascii="Times New Roman" w:hAnsi="Times New Roman"/>
          <w:sz w:val="24"/>
        </w:rPr>
        <w:t xml:space="preserve">Troubling Cases of </w:t>
      </w:r>
      <w:r w:rsidRPr="004C6E3E">
        <w:rPr>
          <w:rFonts w:ascii="Times New Roman" w:hAnsi="Times New Roman"/>
          <w:i/>
          <w:sz w:val="24"/>
        </w:rPr>
        <w:t xml:space="preserve">Morrison </w:t>
      </w:r>
      <w:r w:rsidRPr="004C6E3E">
        <w:rPr>
          <w:rFonts w:ascii="Times New Roman" w:hAnsi="Times New Roman"/>
          <w:sz w:val="24"/>
        </w:rPr>
        <w:t xml:space="preserve">and </w:t>
      </w:r>
      <w:r w:rsidRPr="004C6E3E">
        <w:rPr>
          <w:rFonts w:ascii="Times New Roman" w:hAnsi="Times New Roman"/>
          <w:i/>
          <w:sz w:val="24"/>
        </w:rPr>
        <w:t>Mistretta</w:t>
      </w:r>
      <w:r w:rsidRPr="004C6E3E">
        <w:rPr>
          <w:rFonts w:ascii="Times New Roman" w:hAnsi="Times New Roman"/>
          <w:sz w:val="24"/>
        </w:rPr>
        <w:t xml:space="preserve">" (1989) 39 </w:t>
      </w:r>
      <w:r w:rsidRPr="004C6E3E">
        <w:rPr>
          <w:rFonts w:ascii="Times New Roman" w:hAnsi="Times New Roman"/>
          <w:i/>
          <w:iCs/>
          <w:sz w:val="24"/>
        </w:rPr>
        <w:t>DePaul Law Review</w:t>
      </w:r>
      <w:r w:rsidRPr="004C6E3E">
        <w:rPr>
          <w:rFonts w:ascii="Times New Roman" w:hAnsi="Times New Roman"/>
          <w:sz w:val="24"/>
        </w:rPr>
        <w:t xml:space="preserve"> 299 at 303.</w:t>
      </w:r>
    </w:p>
  </w:footnote>
  <w:footnote w:id="255">
    <w:p w14:paraId="56F5432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(1992) 176 CLR 1 at 27</w:t>
      </w:r>
      <w:r w:rsidRPr="004C6E3E">
        <w:rPr>
          <w:rFonts w:ascii="Times New Roman" w:hAnsi="Times New Roman"/>
          <w:sz w:val="24"/>
        </w:rPr>
        <w:noBreakHyphen/>
        <w:t xml:space="preserve">29. See </w:t>
      </w:r>
      <w:r w:rsidRPr="004C6E3E">
        <w:rPr>
          <w:rFonts w:ascii="Times New Roman" w:hAnsi="Times New Roman"/>
          <w:i/>
          <w:sz w:val="24"/>
        </w:rPr>
        <w:t>Benbrika</w:t>
      </w:r>
      <w:r w:rsidRPr="004C6E3E">
        <w:rPr>
          <w:rFonts w:ascii="Times New Roman" w:hAnsi="Times New Roman"/>
          <w:sz w:val="24"/>
        </w:rPr>
        <w:t xml:space="preserve"> (2021) 95 ALJR 166 at 201 [136], 202</w:t>
      </w:r>
      <w:r w:rsidRPr="004C6E3E">
        <w:rPr>
          <w:rFonts w:ascii="Times New Roman" w:hAnsi="Times New Roman"/>
          <w:sz w:val="24"/>
        </w:rPr>
        <w:noBreakHyphen/>
        <w:t>203 [</w:t>
      </w:r>
      <w:proofErr w:type="gramStart"/>
      <w:r w:rsidRPr="004C6E3E">
        <w:rPr>
          <w:rFonts w:ascii="Times New Roman" w:hAnsi="Times New Roman"/>
          <w:sz w:val="24"/>
        </w:rPr>
        <w:t>138]</w:t>
      </w:r>
      <w:r w:rsidRPr="004C6E3E">
        <w:rPr>
          <w:rFonts w:ascii="Times New Roman" w:hAnsi="Times New Roman"/>
          <w:sz w:val="24"/>
        </w:rPr>
        <w:noBreakHyphen/>
      </w:r>
      <w:proofErr w:type="gramEnd"/>
      <w:r w:rsidRPr="004C6E3E">
        <w:rPr>
          <w:rFonts w:ascii="Times New Roman" w:hAnsi="Times New Roman"/>
          <w:sz w:val="24"/>
        </w:rPr>
        <w:t>[142]; 388 ALR 1 at 40, 41-42.</w:t>
      </w:r>
    </w:p>
  </w:footnote>
  <w:footnote w:id="256">
    <w:p w14:paraId="1A1D7181" w14:textId="435C2D51"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201 [134]; 388 ALR 1 at 40, quoting </w:t>
      </w:r>
      <w:r w:rsidRPr="004C6E3E">
        <w:rPr>
          <w:rFonts w:ascii="Times New Roman" w:hAnsi="Times New Roman"/>
          <w:i/>
          <w:sz w:val="24"/>
        </w:rPr>
        <w:t>Lim</w:t>
      </w:r>
      <w:r w:rsidRPr="004C6E3E">
        <w:rPr>
          <w:rFonts w:ascii="Times New Roman" w:hAnsi="Times New Roman"/>
          <w:sz w:val="24"/>
        </w:rPr>
        <w:t xml:space="preserve"> (1992) 176 CLR 1 at 27. See also </w:t>
      </w:r>
      <w:r w:rsidRPr="004C6E3E">
        <w:rPr>
          <w:rFonts w:ascii="Times New Roman" w:hAnsi="Times New Roman"/>
          <w:i/>
          <w:sz w:val="24"/>
        </w:rPr>
        <w:t>Behrooz v Secretary, Department of Immigration and Multicultural and Indigenous Affairs</w:t>
      </w:r>
      <w:r w:rsidRPr="004C6E3E">
        <w:rPr>
          <w:rFonts w:ascii="Times New Roman" w:hAnsi="Times New Roman"/>
          <w:sz w:val="24"/>
        </w:rPr>
        <w:t xml:space="preserve"> (2004) 219 CLR 486 at 528 [121]; </w:t>
      </w:r>
      <w:r w:rsidRPr="004C6E3E">
        <w:rPr>
          <w:rFonts w:ascii="Times New Roman" w:hAnsi="Times New Roman"/>
          <w:i/>
          <w:iCs/>
          <w:sz w:val="24"/>
        </w:rPr>
        <w:t>Re </w:t>
      </w:r>
      <w:r w:rsidRPr="004C6E3E">
        <w:rPr>
          <w:rFonts w:ascii="Times New Roman" w:hAnsi="Times New Roman"/>
          <w:i/>
          <w:sz w:val="24"/>
        </w:rPr>
        <w:t>Woolley</w:t>
      </w:r>
      <w:r w:rsidRPr="004C6E3E">
        <w:rPr>
          <w:rFonts w:ascii="Times New Roman" w:hAnsi="Times New Roman"/>
          <w:sz w:val="24"/>
        </w:rPr>
        <w:t xml:space="preserve"> (2004) 225 CLR 1 at 12 [16]; </w:t>
      </w:r>
      <w:r w:rsidRPr="004C6E3E">
        <w:rPr>
          <w:rFonts w:ascii="Times New Roman" w:hAnsi="Times New Roman"/>
          <w:i/>
          <w:sz w:val="24"/>
        </w:rPr>
        <w:t>Vasiljkovic v The Commonwealth</w:t>
      </w:r>
      <w:r w:rsidRPr="004C6E3E">
        <w:rPr>
          <w:rFonts w:ascii="Times New Roman" w:hAnsi="Times New Roman"/>
          <w:sz w:val="24"/>
        </w:rPr>
        <w:t xml:space="preserve"> (2006) 227 CLR 614 at 642 [84], 667 [180]; </w:t>
      </w:r>
      <w:r w:rsidRPr="004C6E3E">
        <w:rPr>
          <w:rFonts w:ascii="Times New Roman" w:hAnsi="Times New Roman"/>
          <w:i/>
          <w:sz w:val="24"/>
        </w:rPr>
        <w:t>NAAJA</w:t>
      </w:r>
      <w:r w:rsidRPr="004C6E3E">
        <w:rPr>
          <w:rFonts w:ascii="Times New Roman" w:hAnsi="Times New Roman"/>
          <w:sz w:val="24"/>
        </w:rPr>
        <w:t xml:space="preserve"> (2015) 256 CLR 569 at 592-593 [37]; </w:t>
      </w:r>
      <w:r w:rsidRPr="004C6E3E">
        <w:rPr>
          <w:rFonts w:ascii="Times New Roman" w:hAnsi="Times New Roman"/>
          <w:i/>
          <w:sz w:val="24"/>
        </w:rPr>
        <w:t>Plaintiff</w:t>
      </w:r>
      <w:r w:rsidR="009F5842">
        <w:rPr>
          <w:rFonts w:ascii="Times New Roman" w:hAnsi="Times New Roman"/>
          <w:i/>
          <w:sz w:val="24"/>
        </w:rPr>
        <w:t> </w:t>
      </w:r>
      <w:r w:rsidRPr="004C6E3E">
        <w:rPr>
          <w:rFonts w:ascii="Times New Roman" w:hAnsi="Times New Roman"/>
          <w:i/>
          <w:sz w:val="24"/>
        </w:rPr>
        <w:t>M68</w:t>
      </w:r>
      <w:r w:rsidRPr="004C6E3E">
        <w:rPr>
          <w:rFonts w:ascii="Times New Roman" w:hAnsi="Times New Roman"/>
          <w:sz w:val="24"/>
        </w:rPr>
        <w:t xml:space="preserve"> (2016) 257 CLR 42 at 69-70 [40]; </w:t>
      </w:r>
      <w:r w:rsidRPr="004C6E3E">
        <w:rPr>
          <w:rFonts w:ascii="Times New Roman" w:hAnsi="Times New Roman"/>
          <w:i/>
          <w:iCs/>
          <w:sz w:val="24"/>
        </w:rPr>
        <w:t>Falzon</w:t>
      </w:r>
      <w:r w:rsidRPr="004C6E3E">
        <w:rPr>
          <w:rFonts w:ascii="Times New Roman" w:hAnsi="Times New Roman"/>
          <w:sz w:val="24"/>
        </w:rPr>
        <w:t xml:space="preserve"> (2018) 262 CLR 333 at 341 [16]; </w:t>
      </w:r>
      <w:r w:rsidRPr="004C6E3E">
        <w:rPr>
          <w:rFonts w:ascii="Times New Roman" w:hAnsi="Times New Roman"/>
          <w:i/>
          <w:sz w:val="24"/>
        </w:rPr>
        <w:t>Vella</w:t>
      </w:r>
      <w:r w:rsidRPr="004C6E3E">
        <w:rPr>
          <w:rFonts w:ascii="Times New Roman" w:hAnsi="Times New Roman"/>
          <w:sz w:val="24"/>
        </w:rPr>
        <w:t xml:space="preserve"> (2019) 269 CLR 219 at 280 [152].</w:t>
      </w:r>
    </w:p>
  </w:footnote>
  <w:footnote w:id="257">
    <w:p w14:paraId="769828E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NAAJA</w:t>
      </w:r>
      <w:r w:rsidRPr="004C6E3E">
        <w:rPr>
          <w:rFonts w:ascii="Times New Roman" w:hAnsi="Times New Roman"/>
          <w:sz w:val="24"/>
        </w:rPr>
        <w:t xml:space="preserve"> (2015) 256 CLR 569 at 611 [98]. See also </w:t>
      </w:r>
      <w:r w:rsidRPr="004C6E3E">
        <w:rPr>
          <w:rFonts w:ascii="Times New Roman" w:hAnsi="Times New Roman"/>
          <w:i/>
          <w:sz w:val="24"/>
        </w:rPr>
        <w:t>Falzon</w:t>
      </w:r>
      <w:r w:rsidRPr="004C6E3E">
        <w:rPr>
          <w:rFonts w:ascii="Times New Roman" w:hAnsi="Times New Roman"/>
          <w:sz w:val="24"/>
        </w:rPr>
        <w:t xml:space="preserve"> (2018) 262 CLR 333 at 342 [24]; </w:t>
      </w:r>
      <w:r w:rsidRPr="004C6E3E">
        <w:rPr>
          <w:rFonts w:ascii="Times New Roman" w:hAnsi="Times New Roman"/>
          <w:i/>
          <w:sz w:val="24"/>
        </w:rPr>
        <w:t>Benbrika</w:t>
      </w:r>
      <w:r w:rsidRPr="004C6E3E">
        <w:rPr>
          <w:rFonts w:ascii="Times New Roman" w:hAnsi="Times New Roman"/>
          <w:sz w:val="24"/>
        </w:rPr>
        <w:t xml:space="preserve"> (2021) 95 ALJR 166 at 182-183 [40], 189 [73], 202 [140]; 388 ALR 1 at 16, 25, 41-42.</w:t>
      </w:r>
    </w:p>
  </w:footnote>
  <w:footnote w:id="258">
    <w:p w14:paraId="4665BA8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Behrooz </w:t>
      </w:r>
      <w:r w:rsidRPr="004C6E3E">
        <w:rPr>
          <w:rFonts w:ascii="Times New Roman" w:hAnsi="Times New Roman"/>
          <w:sz w:val="24"/>
        </w:rPr>
        <w:t>(2004) 219 CLR 486 at 499 [20].</w:t>
      </w:r>
    </w:p>
  </w:footnote>
  <w:footnote w:id="259">
    <w:p w14:paraId="47B17EB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Behrooz </w:t>
      </w:r>
      <w:r w:rsidRPr="004C6E3E">
        <w:rPr>
          <w:rFonts w:ascii="Times New Roman" w:hAnsi="Times New Roman"/>
          <w:sz w:val="24"/>
        </w:rPr>
        <w:t>(2004) 219 CLR 486 at 499 [21].</w:t>
      </w:r>
    </w:p>
  </w:footnote>
  <w:footnote w:id="260">
    <w:p w14:paraId="7F574317"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Witham v Holloway</w:t>
      </w:r>
      <w:r w:rsidRPr="004C6E3E">
        <w:rPr>
          <w:rFonts w:ascii="Times New Roman" w:hAnsi="Times New Roman"/>
          <w:sz w:val="24"/>
        </w:rPr>
        <w:t xml:space="preserve"> (1995) 183 CLR 525 at 534. See also </w:t>
      </w:r>
      <w:r w:rsidRPr="004C6E3E">
        <w:rPr>
          <w:rFonts w:ascii="Times New Roman" w:hAnsi="Times New Roman"/>
          <w:i/>
          <w:sz w:val="24"/>
        </w:rPr>
        <w:t>Muldrock v The Queen</w:t>
      </w:r>
      <w:r w:rsidRPr="004C6E3E">
        <w:rPr>
          <w:rFonts w:ascii="Times New Roman" w:hAnsi="Times New Roman"/>
          <w:sz w:val="24"/>
        </w:rPr>
        <w:t xml:space="preserve"> (2011) 244 CLR 120 at 140 [57].</w:t>
      </w:r>
    </w:p>
  </w:footnote>
  <w:footnote w:id="261">
    <w:p w14:paraId="51B5B8E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Lim</w:t>
      </w:r>
      <w:r w:rsidRPr="004C6E3E">
        <w:rPr>
          <w:rFonts w:ascii="Times New Roman" w:hAnsi="Times New Roman"/>
          <w:sz w:val="24"/>
        </w:rPr>
        <w:t xml:space="preserve"> (1992) 176 CLR 1 at 28</w:t>
      </w:r>
      <w:r w:rsidRPr="004C6E3E">
        <w:rPr>
          <w:rFonts w:ascii="Times New Roman" w:hAnsi="Times New Roman"/>
          <w:sz w:val="24"/>
        </w:rPr>
        <w:noBreakHyphen/>
        <w:t xml:space="preserve">29; </w:t>
      </w:r>
      <w:r w:rsidRPr="004C6E3E">
        <w:rPr>
          <w:rFonts w:ascii="Times New Roman" w:hAnsi="Times New Roman"/>
          <w:i/>
          <w:sz w:val="24"/>
        </w:rPr>
        <w:t xml:space="preserve">Benbrika </w:t>
      </w:r>
      <w:r w:rsidRPr="004C6E3E">
        <w:rPr>
          <w:rFonts w:ascii="Times New Roman" w:hAnsi="Times New Roman"/>
          <w:sz w:val="24"/>
        </w:rPr>
        <w:t>(2021) 95 ALJR 166 at 177 [18], 189</w:t>
      </w:r>
      <w:r>
        <w:rPr>
          <w:rFonts w:ascii="Times New Roman" w:hAnsi="Times New Roman"/>
          <w:sz w:val="24"/>
        </w:rPr>
        <w:noBreakHyphen/>
      </w:r>
      <w:r w:rsidRPr="004C6E3E">
        <w:rPr>
          <w:rFonts w:ascii="Times New Roman" w:hAnsi="Times New Roman"/>
          <w:sz w:val="24"/>
        </w:rPr>
        <w:t>190 [</w:t>
      </w:r>
      <w:proofErr w:type="gramStart"/>
      <w:r w:rsidRPr="004C6E3E">
        <w:rPr>
          <w:rFonts w:ascii="Times New Roman" w:hAnsi="Times New Roman"/>
          <w:sz w:val="24"/>
        </w:rPr>
        <w:t>73]</w:t>
      </w:r>
      <w:r w:rsidRPr="004C6E3E">
        <w:rPr>
          <w:rFonts w:ascii="Times New Roman" w:hAnsi="Times New Roman"/>
          <w:sz w:val="24"/>
        </w:rPr>
        <w:noBreakHyphen/>
      </w:r>
      <w:proofErr w:type="gramEnd"/>
      <w:r w:rsidRPr="004C6E3E">
        <w:rPr>
          <w:rFonts w:ascii="Times New Roman" w:hAnsi="Times New Roman"/>
          <w:sz w:val="24"/>
        </w:rPr>
        <w:t>[75], 201 [135</w:t>
      </w:r>
      <w:r w:rsidRPr="004C6E3E" w:rsidDel="00876237">
        <w:rPr>
          <w:rFonts w:ascii="Times New Roman" w:hAnsi="Times New Roman"/>
          <w:sz w:val="24"/>
        </w:rPr>
        <w:t>]</w:t>
      </w:r>
      <w:r w:rsidRPr="004C6E3E">
        <w:rPr>
          <w:rFonts w:ascii="Times New Roman" w:hAnsi="Times New Roman"/>
          <w:sz w:val="24"/>
        </w:rPr>
        <w:t>; 388 ALR 1 at 9-10, 25-26, 40.</w:t>
      </w:r>
    </w:p>
  </w:footnote>
  <w:footnote w:id="262">
    <w:p w14:paraId="4384216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Lim</w:t>
      </w:r>
      <w:r w:rsidRPr="004C6E3E">
        <w:rPr>
          <w:rFonts w:ascii="Times New Roman" w:hAnsi="Times New Roman"/>
          <w:sz w:val="24"/>
        </w:rPr>
        <w:t xml:space="preserve"> (1992) 176 CLR 1 at 10, 32, 58, 71. See also</w:t>
      </w:r>
      <w:r w:rsidRPr="004C6E3E">
        <w:rPr>
          <w:rFonts w:ascii="Times New Roman" w:hAnsi="Times New Roman"/>
          <w:i/>
          <w:sz w:val="24"/>
        </w:rPr>
        <w:t xml:space="preserve"> Behrooz </w:t>
      </w:r>
      <w:r w:rsidRPr="004C6E3E">
        <w:rPr>
          <w:rFonts w:ascii="Times New Roman" w:hAnsi="Times New Roman"/>
          <w:sz w:val="24"/>
        </w:rPr>
        <w:t>(2004) 219 CLR 486 at 499 [20];</w:t>
      </w:r>
      <w:r w:rsidRPr="004C6E3E">
        <w:rPr>
          <w:rFonts w:ascii="Times New Roman" w:hAnsi="Times New Roman"/>
          <w:i/>
          <w:iCs/>
          <w:sz w:val="24"/>
        </w:rPr>
        <w:t xml:space="preserve"> Vasiljkovic </w:t>
      </w:r>
      <w:r w:rsidRPr="004C6E3E">
        <w:rPr>
          <w:rFonts w:ascii="Times New Roman" w:hAnsi="Times New Roman"/>
          <w:sz w:val="24"/>
        </w:rPr>
        <w:t xml:space="preserve">(2006) 227 CLR 614 at 648 [108], 668 [183]; </w:t>
      </w:r>
      <w:r w:rsidRPr="004C6E3E">
        <w:rPr>
          <w:rFonts w:ascii="Times New Roman" w:hAnsi="Times New Roman"/>
          <w:i/>
          <w:sz w:val="24"/>
        </w:rPr>
        <w:t xml:space="preserve">Benbrika </w:t>
      </w:r>
      <w:r w:rsidRPr="004C6E3E">
        <w:rPr>
          <w:rFonts w:ascii="Times New Roman" w:hAnsi="Times New Roman"/>
          <w:sz w:val="24"/>
        </w:rPr>
        <w:t>(2021) 95 ALJR 166 at 189-190 [</w:t>
      </w:r>
      <w:proofErr w:type="gramStart"/>
      <w:r w:rsidRPr="004C6E3E">
        <w:rPr>
          <w:rFonts w:ascii="Times New Roman" w:hAnsi="Times New Roman"/>
          <w:sz w:val="24"/>
        </w:rPr>
        <w:t>73]</w:t>
      </w:r>
      <w:r w:rsidRPr="004C6E3E">
        <w:rPr>
          <w:rFonts w:ascii="Times New Roman" w:hAnsi="Times New Roman"/>
          <w:sz w:val="24"/>
        </w:rPr>
        <w:noBreakHyphen/>
      </w:r>
      <w:proofErr w:type="gramEnd"/>
      <w:r w:rsidRPr="004C6E3E">
        <w:rPr>
          <w:rFonts w:ascii="Times New Roman" w:hAnsi="Times New Roman"/>
          <w:sz w:val="24"/>
        </w:rPr>
        <w:t>[75]; 388 ALR 1 at 25-26.</w:t>
      </w:r>
    </w:p>
  </w:footnote>
  <w:footnote w:id="263">
    <w:p w14:paraId="3F026D4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Kruger v The Commonwealth</w:t>
      </w:r>
      <w:r w:rsidRPr="004C6E3E">
        <w:rPr>
          <w:rFonts w:ascii="Times New Roman" w:hAnsi="Times New Roman"/>
          <w:sz w:val="24"/>
        </w:rPr>
        <w:t xml:space="preserve"> (1997) 190 CLR 1 at 110; </w:t>
      </w:r>
      <w:r w:rsidRPr="004C6E3E">
        <w:rPr>
          <w:rFonts w:ascii="Times New Roman" w:hAnsi="Times New Roman"/>
          <w:i/>
          <w:sz w:val="24"/>
        </w:rPr>
        <w:t>Vasiljkovic</w:t>
      </w:r>
      <w:r w:rsidRPr="004C6E3E">
        <w:rPr>
          <w:rFonts w:ascii="Times New Roman" w:hAnsi="Times New Roman"/>
          <w:sz w:val="24"/>
        </w:rPr>
        <w:t xml:space="preserve"> (2006) 227 CLR 614 at 631 [37]; </w:t>
      </w:r>
      <w:r w:rsidRPr="004C6E3E">
        <w:rPr>
          <w:rFonts w:ascii="Times New Roman" w:hAnsi="Times New Roman"/>
          <w:i/>
          <w:sz w:val="24"/>
        </w:rPr>
        <w:t xml:space="preserve">Benbrika </w:t>
      </w:r>
      <w:r w:rsidRPr="004C6E3E">
        <w:rPr>
          <w:rFonts w:ascii="Times New Roman" w:hAnsi="Times New Roman"/>
          <w:sz w:val="24"/>
        </w:rPr>
        <w:t>(2021) 95 ALJR 166 at 202 [140]; 388 ALR 1 at 42.</w:t>
      </w:r>
    </w:p>
  </w:footnote>
  <w:footnote w:id="264">
    <w:p w14:paraId="5B27C04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190 [75]-[77], 202 [140]; 388 ALR 1 at 25-26, 41</w:t>
      </w:r>
      <w:r>
        <w:rPr>
          <w:rFonts w:ascii="Times New Roman" w:hAnsi="Times New Roman"/>
          <w:sz w:val="24"/>
        </w:rPr>
        <w:noBreakHyphen/>
      </w:r>
      <w:r w:rsidRPr="004C6E3E">
        <w:rPr>
          <w:rFonts w:ascii="Times New Roman" w:hAnsi="Times New Roman"/>
          <w:sz w:val="24"/>
        </w:rPr>
        <w:t xml:space="preserve">42. See also </w:t>
      </w:r>
      <w:r w:rsidRPr="004C6E3E">
        <w:rPr>
          <w:rFonts w:ascii="Times New Roman" w:hAnsi="Times New Roman"/>
          <w:i/>
          <w:sz w:val="24"/>
        </w:rPr>
        <w:t>Al-Kateb v Godwin</w:t>
      </w:r>
      <w:r w:rsidRPr="004C6E3E">
        <w:rPr>
          <w:rFonts w:ascii="Times New Roman" w:hAnsi="Times New Roman"/>
          <w:sz w:val="24"/>
        </w:rPr>
        <w:t xml:space="preserve"> (2004) 219 CLR 562 at 646 [251]; </w:t>
      </w:r>
      <w:r w:rsidRPr="004C6E3E">
        <w:rPr>
          <w:rFonts w:ascii="Times New Roman" w:hAnsi="Times New Roman"/>
          <w:i/>
          <w:sz w:val="24"/>
        </w:rPr>
        <w:t xml:space="preserve">Vasiljkovic </w:t>
      </w:r>
      <w:r w:rsidRPr="004C6E3E">
        <w:rPr>
          <w:rFonts w:ascii="Times New Roman" w:hAnsi="Times New Roman"/>
          <w:sz w:val="24"/>
        </w:rPr>
        <w:t>(2006) 227 CLR 614 at 648 [108].</w:t>
      </w:r>
    </w:p>
  </w:footnote>
  <w:footnote w:id="265">
    <w:p w14:paraId="1F07F1B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201 [135]; 388 ALR 1 at 40.</w:t>
      </w:r>
    </w:p>
  </w:footnote>
  <w:footnote w:id="266">
    <w:p w14:paraId="0ED1648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Fardon</w:t>
      </w:r>
      <w:r w:rsidRPr="004C6E3E">
        <w:rPr>
          <w:rFonts w:ascii="Times New Roman" w:hAnsi="Times New Roman"/>
          <w:sz w:val="24"/>
        </w:rPr>
        <w:t xml:space="preserve"> (2004) 223 CLR 575 at 612 [80]. See also </w:t>
      </w:r>
      <w:r w:rsidRPr="004C6E3E">
        <w:rPr>
          <w:rFonts w:ascii="Times New Roman" w:hAnsi="Times New Roman"/>
          <w:i/>
          <w:iCs/>
          <w:sz w:val="24"/>
        </w:rPr>
        <w:t xml:space="preserve">Vella </w:t>
      </w:r>
      <w:r w:rsidRPr="004C6E3E">
        <w:rPr>
          <w:rFonts w:ascii="Times New Roman" w:hAnsi="Times New Roman"/>
          <w:sz w:val="24"/>
        </w:rPr>
        <w:t xml:space="preserve">(2019) 269 CLR 219 at 280 [152]; </w:t>
      </w:r>
      <w:r w:rsidRPr="004C6E3E">
        <w:rPr>
          <w:rFonts w:ascii="Times New Roman" w:hAnsi="Times New Roman"/>
          <w:i/>
          <w:iCs/>
          <w:sz w:val="24"/>
        </w:rPr>
        <w:t>Benbrika</w:t>
      </w:r>
      <w:r w:rsidRPr="004C6E3E">
        <w:rPr>
          <w:rFonts w:ascii="Times New Roman" w:hAnsi="Times New Roman"/>
          <w:sz w:val="24"/>
        </w:rPr>
        <w:t xml:space="preserve"> (2021) 95 ALJR 166 at 179-180 [24]-[27], 189 [71], 201 [135]; 388 ALR 1 at 11-12, 25, 40.</w:t>
      </w:r>
    </w:p>
  </w:footnote>
  <w:footnote w:id="267">
    <w:p w14:paraId="120A87D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Benbrika</w:t>
      </w:r>
      <w:r w:rsidRPr="004C6E3E">
        <w:rPr>
          <w:rFonts w:ascii="Times New Roman" w:hAnsi="Times New Roman"/>
          <w:sz w:val="24"/>
        </w:rPr>
        <w:t xml:space="preserve"> (2021) 95 ALJR 166 at 189 [71], 201</w:t>
      </w:r>
      <w:r w:rsidRPr="004C6E3E">
        <w:rPr>
          <w:rFonts w:ascii="Times New Roman" w:hAnsi="Times New Roman"/>
          <w:sz w:val="24"/>
        </w:rPr>
        <w:noBreakHyphen/>
        <w:t>202 [</w:t>
      </w:r>
      <w:proofErr w:type="gramStart"/>
      <w:r w:rsidRPr="004C6E3E">
        <w:rPr>
          <w:rFonts w:ascii="Times New Roman" w:hAnsi="Times New Roman"/>
          <w:sz w:val="24"/>
        </w:rPr>
        <w:t>137]</w:t>
      </w:r>
      <w:r w:rsidRPr="004C6E3E">
        <w:rPr>
          <w:rFonts w:ascii="Times New Roman" w:hAnsi="Times New Roman"/>
          <w:sz w:val="24"/>
        </w:rPr>
        <w:noBreakHyphen/>
      </w:r>
      <w:proofErr w:type="gramEnd"/>
      <w:r w:rsidRPr="004C6E3E">
        <w:rPr>
          <w:rFonts w:ascii="Times New Roman" w:hAnsi="Times New Roman"/>
          <w:sz w:val="24"/>
        </w:rPr>
        <w:t xml:space="preserve">[140]; 388 ALR 1 at 25, 40-42. See also </w:t>
      </w:r>
      <w:r w:rsidRPr="004C6E3E">
        <w:rPr>
          <w:rFonts w:ascii="Times New Roman" w:hAnsi="Times New Roman"/>
          <w:i/>
          <w:sz w:val="24"/>
        </w:rPr>
        <w:t>Foucha v Louisiana</w:t>
      </w:r>
      <w:r w:rsidRPr="004C6E3E">
        <w:rPr>
          <w:rFonts w:ascii="Times New Roman" w:hAnsi="Times New Roman"/>
          <w:sz w:val="24"/>
        </w:rPr>
        <w:t xml:space="preserve"> (1992) 504 US 71 at 82-83.</w:t>
      </w:r>
    </w:p>
  </w:footnote>
  <w:footnote w:id="268">
    <w:p w14:paraId="3909A25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at 181 [36]; 388 ALR 1 at 14.</w:t>
      </w:r>
    </w:p>
  </w:footnote>
  <w:footnote w:id="269">
    <w:p w14:paraId="41A6952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i/>
          <w:iCs/>
          <w:sz w:val="24"/>
        </w:rPr>
        <w:t xml:space="preserve">Totani </w:t>
      </w:r>
      <w:r w:rsidRPr="004C6E3E">
        <w:rPr>
          <w:rFonts w:ascii="Times New Roman" w:eastAsia="Calibri" w:hAnsi="Times New Roman"/>
          <w:sz w:val="24"/>
        </w:rPr>
        <w:t xml:space="preserve">(2010) 242 CLR 1 at 51 [78]; </w:t>
      </w:r>
      <w:r w:rsidRPr="004C6E3E">
        <w:rPr>
          <w:rFonts w:ascii="Times New Roman" w:hAnsi="Times New Roman"/>
          <w:i/>
          <w:iCs/>
          <w:sz w:val="24"/>
        </w:rPr>
        <w:t xml:space="preserve">Vella </w:t>
      </w:r>
      <w:r w:rsidRPr="004C6E3E">
        <w:rPr>
          <w:rFonts w:ascii="Times New Roman" w:hAnsi="Times New Roman"/>
          <w:sz w:val="24"/>
        </w:rPr>
        <w:t>(2019) 269 CLR 219 at 295 [201]. See</w:t>
      </w:r>
      <w:r>
        <w:rPr>
          <w:rFonts w:ascii="Times New Roman" w:hAnsi="Times New Roman"/>
          <w:sz w:val="24"/>
        </w:rPr>
        <w:t> </w:t>
      </w:r>
      <w:r w:rsidRPr="004C6E3E">
        <w:rPr>
          <w:rFonts w:ascii="Times New Roman" w:hAnsi="Times New Roman"/>
          <w:sz w:val="24"/>
        </w:rPr>
        <w:t xml:space="preserve">also </w:t>
      </w:r>
      <w:r w:rsidRPr="004C6E3E">
        <w:rPr>
          <w:rFonts w:ascii="Times New Roman" w:hAnsi="Times New Roman"/>
          <w:i/>
          <w:iCs/>
          <w:sz w:val="24"/>
        </w:rPr>
        <w:t xml:space="preserve">Kable </w:t>
      </w:r>
      <w:r w:rsidRPr="004C6E3E">
        <w:rPr>
          <w:rFonts w:ascii="Times New Roman" w:hAnsi="Times New Roman"/>
          <w:iCs/>
          <w:sz w:val="24"/>
        </w:rPr>
        <w:t>(</w:t>
      </w:r>
      <w:r w:rsidRPr="004C6E3E">
        <w:rPr>
          <w:rFonts w:ascii="Times New Roman" w:hAnsi="Times New Roman"/>
          <w:sz w:val="24"/>
        </w:rPr>
        <w:t>1996) 189 CLR 51 at 98, 106</w:t>
      </w:r>
      <w:r w:rsidRPr="004C6E3E">
        <w:rPr>
          <w:rFonts w:ascii="Times New Roman" w:hAnsi="Times New Roman"/>
          <w:sz w:val="24"/>
        </w:rPr>
        <w:noBreakHyphen/>
        <w:t xml:space="preserve">108, 121-122, 131. cf </w:t>
      </w:r>
      <w:r w:rsidRPr="004C6E3E">
        <w:rPr>
          <w:rFonts w:ascii="Times New Roman" w:hAnsi="Times New Roman"/>
          <w:i/>
          <w:iCs/>
          <w:sz w:val="24"/>
        </w:rPr>
        <w:t>Fardon</w:t>
      </w:r>
      <w:r w:rsidRPr="004C6E3E">
        <w:rPr>
          <w:rFonts w:ascii="Times New Roman" w:hAnsi="Times New Roman"/>
          <w:sz w:val="24"/>
        </w:rPr>
        <w:t xml:space="preserve"> (2004) 223 CLR 575 at 602 [44], 614 [90], 648 [198], 654 [216]-[217], 656 [220].</w:t>
      </w:r>
    </w:p>
  </w:footnote>
  <w:footnote w:id="270">
    <w:p w14:paraId="2EB53BC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See also Dyer, "</w:t>
      </w:r>
      <w:r w:rsidRPr="004C6E3E">
        <w:rPr>
          <w:rFonts w:ascii="Times New Roman" w:hAnsi="Times New Roman"/>
          <w:i/>
          <w:sz w:val="24"/>
        </w:rPr>
        <w:t>Minister for Home Affairs v Benbrika</w:t>
      </w:r>
      <w:r w:rsidRPr="004C6E3E">
        <w:rPr>
          <w:rFonts w:ascii="Times New Roman" w:hAnsi="Times New Roman"/>
          <w:sz w:val="24"/>
        </w:rPr>
        <w:t xml:space="preserve"> and the Capacity of Chapter</w:t>
      </w:r>
      <w:r>
        <w:rPr>
          <w:rFonts w:ascii="Times New Roman" w:hAnsi="Times New Roman"/>
          <w:sz w:val="24"/>
        </w:rPr>
        <w:t> </w:t>
      </w:r>
      <w:r w:rsidRPr="004C6E3E">
        <w:rPr>
          <w:rFonts w:ascii="Times New Roman" w:hAnsi="Times New Roman"/>
          <w:sz w:val="24"/>
        </w:rPr>
        <w:t xml:space="preserve">III of the </w:t>
      </w:r>
      <w:r w:rsidRPr="004C6E3E">
        <w:rPr>
          <w:rFonts w:ascii="Times New Roman" w:hAnsi="Times New Roman"/>
          <w:i/>
          <w:sz w:val="24"/>
        </w:rPr>
        <w:t xml:space="preserve">Commonwealth Constitution </w:t>
      </w:r>
      <w:r w:rsidRPr="004C6E3E">
        <w:rPr>
          <w:rFonts w:ascii="Times New Roman" w:hAnsi="Times New Roman"/>
          <w:sz w:val="24"/>
        </w:rPr>
        <w:t>to Protect Prisoners' Rights" (2022)</w:t>
      </w:r>
      <w:r>
        <w:rPr>
          <w:rFonts w:ascii="Times New Roman" w:hAnsi="Times New Roman"/>
          <w:sz w:val="24"/>
        </w:rPr>
        <w:t> </w:t>
      </w:r>
      <w:r w:rsidRPr="004C6E3E">
        <w:rPr>
          <w:rFonts w:ascii="Times New Roman" w:hAnsi="Times New Roman"/>
          <w:sz w:val="24"/>
        </w:rPr>
        <w:t>45</w:t>
      </w:r>
      <w:r>
        <w:rPr>
          <w:rFonts w:ascii="Times New Roman" w:hAnsi="Times New Roman"/>
          <w:sz w:val="24"/>
        </w:rPr>
        <w:t> </w:t>
      </w:r>
      <w:r w:rsidRPr="004C6E3E">
        <w:rPr>
          <w:rFonts w:ascii="Times New Roman" w:hAnsi="Times New Roman"/>
          <w:i/>
          <w:sz w:val="24"/>
        </w:rPr>
        <w:t>University of New South Wales Law Journal</w:t>
      </w:r>
      <w:r w:rsidRPr="004C6E3E">
        <w:rPr>
          <w:rFonts w:ascii="Times New Roman" w:hAnsi="Times New Roman"/>
          <w:sz w:val="24"/>
        </w:rPr>
        <w:t xml:space="preserve"> 209 at 235-236.</w:t>
      </w:r>
    </w:p>
  </w:footnote>
  <w:footnote w:id="271">
    <w:p w14:paraId="79C2509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Ashworth and Zedner, </w:t>
      </w:r>
      <w:r w:rsidRPr="004C6E3E">
        <w:rPr>
          <w:rFonts w:ascii="Times New Roman" w:hAnsi="Times New Roman"/>
          <w:i/>
          <w:iCs/>
          <w:sz w:val="24"/>
        </w:rPr>
        <w:t>Preventive</w:t>
      </w:r>
      <w:r w:rsidRPr="004C6E3E">
        <w:rPr>
          <w:rFonts w:ascii="Times New Roman" w:hAnsi="Times New Roman"/>
          <w:i/>
          <w:sz w:val="24"/>
        </w:rPr>
        <w:t xml:space="preserve"> Justice</w:t>
      </w:r>
      <w:r w:rsidRPr="004C6E3E">
        <w:rPr>
          <w:rFonts w:ascii="Times New Roman" w:hAnsi="Times New Roman"/>
          <w:sz w:val="24"/>
        </w:rPr>
        <w:t xml:space="preserve"> (2014) at 146.</w:t>
      </w:r>
    </w:p>
  </w:footnote>
  <w:footnote w:id="272">
    <w:p w14:paraId="2E9AF69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 xml:space="preserve">Rich </w:t>
      </w:r>
      <w:proofErr w:type="gramStart"/>
      <w:r w:rsidRPr="004C6E3E">
        <w:rPr>
          <w:rFonts w:ascii="Times New Roman" w:hAnsi="Times New Roman"/>
          <w:i/>
          <w:sz w:val="24"/>
        </w:rPr>
        <w:t>v</w:t>
      </w:r>
      <w:proofErr w:type="gramEnd"/>
      <w:r w:rsidRPr="004C6E3E">
        <w:rPr>
          <w:rFonts w:ascii="Times New Roman" w:hAnsi="Times New Roman"/>
          <w:i/>
          <w:sz w:val="24"/>
        </w:rPr>
        <w:t xml:space="preserve"> Australian Securities and Investments Commission</w:t>
      </w:r>
      <w:r w:rsidRPr="004C6E3E">
        <w:rPr>
          <w:rFonts w:ascii="Times New Roman" w:hAnsi="Times New Roman"/>
          <w:sz w:val="24"/>
        </w:rPr>
        <w:t xml:space="preserve"> (2004) 220 CLR 129 at 146 [35]; see also </w:t>
      </w:r>
      <w:r w:rsidRPr="004C6E3E">
        <w:rPr>
          <w:rFonts w:ascii="Times New Roman" w:hAnsi="Times New Roman"/>
          <w:i/>
          <w:iCs/>
          <w:sz w:val="24"/>
        </w:rPr>
        <w:t xml:space="preserve">Alexander v Minister for Home Affairs </w:t>
      </w:r>
      <w:r w:rsidRPr="004C6E3E">
        <w:rPr>
          <w:rFonts w:ascii="Times New Roman" w:hAnsi="Times New Roman"/>
          <w:sz w:val="24"/>
        </w:rPr>
        <w:t>(2022) 96 ALJR 560 at 584-585 [106]; 401 ALR 438 at 463</w:t>
      </w:r>
      <w:r w:rsidRPr="004C6E3E" w:rsidDel="00221143">
        <w:rPr>
          <w:rFonts w:ascii="Times New Roman" w:hAnsi="Times New Roman"/>
          <w:sz w:val="24"/>
        </w:rPr>
        <w:t>.</w:t>
      </w:r>
    </w:p>
  </w:footnote>
  <w:footnote w:id="273">
    <w:p w14:paraId="09F2E62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 xml:space="preserve">Alexander </w:t>
      </w:r>
      <w:r w:rsidRPr="004C6E3E">
        <w:rPr>
          <w:rFonts w:ascii="Times New Roman" w:hAnsi="Times New Roman"/>
          <w:sz w:val="24"/>
        </w:rPr>
        <w:t>(2022) 96 ALJR 560 at 584-585 [106]; 401 ALR 438 at 463</w:t>
      </w:r>
      <w:r w:rsidRPr="004C6E3E" w:rsidDel="00221143">
        <w:rPr>
          <w:rFonts w:ascii="Times New Roman" w:hAnsi="Times New Roman"/>
          <w:sz w:val="24"/>
        </w:rPr>
        <w:t>.</w:t>
      </w:r>
    </w:p>
  </w:footnote>
  <w:footnote w:id="274">
    <w:p w14:paraId="46755F0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 xml:space="preserve">Benbrika </w:t>
      </w:r>
      <w:r w:rsidRPr="004C6E3E">
        <w:rPr>
          <w:rFonts w:ascii="Times New Roman" w:hAnsi="Times New Roman"/>
          <w:sz w:val="24"/>
        </w:rPr>
        <w:t>(2021) 95 ALJR 166 at 210-211 [178]; 388 ALR 1 at 52.</w:t>
      </w:r>
    </w:p>
  </w:footnote>
  <w:footnote w:id="275">
    <w:p w14:paraId="1FCC8EF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Benbrika</w:t>
      </w:r>
      <w:r w:rsidRPr="004C6E3E">
        <w:rPr>
          <w:rFonts w:ascii="Times New Roman" w:hAnsi="Times New Roman"/>
          <w:sz w:val="24"/>
        </w:rPr>
        <w:t xml:space="preserve"> (2021) 95 ALJR 166 at 181 [36]; 388 ALR 1 at 14. </w:t>
      </w:r>
    </w:p>
  </w:footnote>
  <w:footnote w:id="276">
    <w:p w14:paraId="0594EB9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279 [151], quoting </w:t>
      </w:r>
      <w:r w:rsidRPr="004C6E3E">
        <w:rPr>
          <w:rFonts w:ascii="Times New Roman" w:hAnsi="Times New Roman"/>
          <w:i/>
          <w:sz w:val="24"/>
        </w:rPr>
        <w:t>Tasmanian Breweries</w:t>
      </w:r>
      <w:r w:rsidRPr="004C6E3E">
        <w:rPr>
          <w:rFonts w:ascii="Times New Roman" w:hAnsi="Times New Roman"/>
          <w:sz w:val="24"/>
        </w:rPr>
        <w:t xml:space="preserve"> </w:t>
      </w:r>
      <w:r w:rsidRPr="004C6E3E">
        <w:rPr>
          <w:rFonts w:ascii="Times New Roman" w:eastAsia="Calibri" w:hAnsi="Times New Roman"/>
          <w:sz w:val="24"/>
        </w:rPr>
        <w:t xml:space="preserve">(1970) 123 CLR 361 </w:t>
      </w:r>
      <w:r w:rsidRPr="004C6E3E">
        <w:rPr>
          <w:rFonts w:ascii="Times New Roman" w:hAnsi="Times New Roman"/>
          <w:sz w:val="24"/>
        </w:rPr>
        <w:t>at 374; see also 282 [158].</w:t>
      </w:r>
    </w:p>
  </w:footnote>
  <w:footnote w:id="277">
    <w:p w14:paraId="3D1E447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Vella</w:t>
      </w:r>
      <w:r w:rsidRPr="004C6E3E">
        <w:rPr>
          <w:rFonts w:ascii="Times New Roman" w:hAnsi="Times New Roman"/>
          <w:sz w:val="24"/>
        </w:rPr>
        <w:t xml:space="preserve"> (2019) 269 CLR 219 at 282 [158]. cf </w:t>
      </w:r>
      <w:r w:rsidRPr="004C6E3E">
        <w:rPr>
          <w:rFonts w:ascii="Times New Roman" w:hAnsi="Times New Roman"/>
          <w:i/>
          <w:sz w:val="24"/>
        </w:rPr>
        <w:t>Grollo v Palmer</w:t>
      </w:r>
      <w:r w:rsidRPr="004C6E3E">
        <w:rPr>
          <w:rFonts w:ascii="Times New Roman" w:hAnsi="Times New Roman"/>
          <w:sz w:val="24"/>
        </w:rPr>
        <w:t xml:space="preserve"> (1995) 184 CLR 348 at 367; </w:t>
      </w:r>
      <w:r w:rsidRPr="004C6E3E">
        <w:rPr>
          <w:rFonts w:ascii="Times New Roman" w:hAnsi="Times New Roman"/>
          <w:i/>
          <w:sz w:val="24"/>
        </w:rPr>
        <w:t xml:space="preserve">Thomas </w:t>
      </w:r>
      <w:r w:rsidRPr="004C6E3E">
        <w:rPr>
          <w:rFonts w:ascii="Times New Roman" w:hAnsi="Times New Roman"/>
          <w:sz w:val="24"/>
        </w:rPr>
        <w:t xml:space="preserve">(2007) 233 CLR 307 at 329 [17]; </w:t>
      </w:r>
      <w:r w:rsidRPr="004C6E3E">
        <w:rPr>
          <w:rFonts w:ascii="Times New Roman" w:hAnsi="Times New Roman"/>
          <w:i/>
          <w:sz w:val="24"/>
        </w:rPr>
        <w:t>Vella</w:t>
      </w:r>
      <w:r w:rsidRPr="004C6E3E">
        <w:rPr>
          <w:rFonts w:ascii="Times New Roman" w:hAnsi="Times New Roman"/>
          <w:sz w:val="24"/>
        </w:rPr>
        <w:t xml:space="preserve"> (2019) 269 CLR 219 at 260-261 [90].</w:t>
      </w:r>
    </w:p>
  </w:footnote>
  <w:footnote w:id="278">
    <w:p w14:paraId="4D3454F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287 [171], quoted in </w:t>
      </w:r>
      <w:r w:rsidRPr="004C6E3E">
        <w:rPr>
          <w:rFonts w:ascii="Times New Roman" w:hAnsi="Times New Roman"/>
          <w:i/>
          <w:sz w:val="24"/>
        </w:rPr>
        <w:t>Benbrika</w:t>
      </w:r>
      <w:r w:rsidRPr="004C6E3E">
        <w:rPr>
          <w:rFonts w:ascii="Times New Roman" w:hAnsi="Times New Roman"/>
          <w:sz w:val="24"/>
        </w:rPr>
        <w:t xml:space="preserve"> (2021) 95 ALJR 166 at 205 [151]; 388 ALR 1 at 45. See also </w:t>
      </w:r>
      <w:r w:rsidRPr="004C6E3E">
        <w:rPr>
          <w:rFonts w:ascii="Times New Roman" w:hAnsi="Times New Roman"/>
          <w:i/>
          <w:iCs/>
          <w:sz w:val="24"/>
        </w:rPr>
        <w:t>Tasmanian Breweries</w:t>
      </w:r>
      <w:r w:rsidRPr="004C6E3E">
        <w:rPr>
          <w:rFonts w:ascii="Times New Roman" w:hAnsi="Times New Roman"/>
          <w:sz w:val="24"/>
        </w:rPr>
        <w:t xml:space="preserve"> </w:t>
      </w:r>
      <w:r w:rsidRPr="004C6E3E">
        <w:rPr>
          <w:rFonts w:ascii="Times New Roman" w:eastAsia="Calibri" w:hAnsi="Times New Roman"/>
          <w:sz w:val="24"/>
        </w:rPr>
        <w:t>(1970) 123 CLR 361 at 374-375.</w:t>
      </w:r>
    </w:p>
  </w:footnote>
  <w:footnote w:id="279">
    <w:p w14:paraId="6BABED6E"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Kable</w:t>
      </w:r>
      <w:r w:rsidRPr="004C6E3E">
        <w:rPr>
          <w:rFonts w:ascii="Times New Roman" w:hAnsi="Times New Roman"/>
          <w:sz w:val="24"/>
        </w:rPr>
        <w:t xml:space="preserve"> (1996) 189 CLR 51 at </w:t>
      </w:r>
      <w:r w:rsidRPr="004C6E3E">
        <w:rPr>
          <w:rFonts w:ascii="Times New Roman" w:eastAsia="Calibri" w:hAnsi="Times New Roman"/>
          <w:sz w:val="24"/>
        </w:rPr>
        <w:t>96, 101-103, 114-119, 127-128, 138, 143</w:t>
      </w:r>
      <w:r w:rsidRPr="004C6E3E">
        <w:rPr>
          <w:rFonts w:ascii="Times New Roman" w:hAnsi="Times New Roman"/>
          <w:sz w:val="24"/>
        </w:rPr>
        <w:t xml:space="preserve">. See also </w:t>
      </w:r>
      <w:r w:rsidRPr="004C6E3E">
        <w:rPr>
          <w:rFonts w:ascii="Times New Roman" w:hAnsi="Times New Roman"/>
          <w:i/>
          <w:iCs/>
          <w:sz w:val="24"/>
        </w:rPr>
        <w:t>Fardon</w:t>
      </w:r>
      <w:r w:rsidRPr="004C6E3E">
        <w:rPr>
          <w:rFonts w:ascii="Times New Roman" w:hAnsi="Times New Roman"/>
          <w:sz w:val="24"/>
        </w:rPr>
        <w:t xml:space="preserve"> </w:t>
      </w:r>
      <w:r w:rsidRPr="004C6E3E">
        <w:rPr>
          <w:rFonts w:ascii="Times New Roman" w:eastAsia="Calibri" w:hAnsi="Times New Roman"/>
          <w:sz w:val="24"/>
        </w:rPr>
        <w:t xml:space="preserve">(2004) 223 CLR 575 at 591 [15]; </w:t>
      </w:r>
      <w:r w:rsidRPr="004C6E3E">
        <w:rPr>
          <w:rFonts w:ascii="Times New Roman" w:eastAsia="Calibri" w:hAnsi="Times New Roman"/>
          <w:i/>
          <w:iCs/>
          <w:sz w:val="24"/>
        </w:rPr>
        <w:t xml:space="preserve">Totani </w:t>
      </w:r>
      <w:r w:rsidRPr="004C6E3E">
        <w:rPr>
          <w:rFonts w:ascii="Times New Roman" w:eastAsia="Calibri" w:hAnsi="Times New Roman"/>
          <w:sz w:val="24"/>
        </w:rPr>
        <w:t xml:space="preserve">(2010) 242 CLR 1 at 47-48 [69], 81 [201]-[202], 83-84 [212]; </w:t>
      </w:r>
      <w:r w:rsidRPr="004C6E3E">
        <w:rPr>
          <w:rFonts w:ascii="Times New Roman" w:hAnsi="Times New Roman"/>
          <w:i/>
          <w:iCs/>
          <w:sz w:val="24"/>
        </w:rPr>
        <w:t xml:space="preserve">Wainohu </w:t>
      </w:r>
      <w:r w:rsidRPr="004C6E3E">
        <w:rPr>
          <w:rFonts w:ascii="Times New Roman" w:hAnsi="Times New Roman"/>
          <w:sz w:val="24"/>
        </w:rPr>
        <w:t xml:space="preserve">(2011) 243 CLR 181 at 208-209 [44]; </w:t>
      </w:r>
      <w:r w:rsidRPr="004C6E3E">
        <w:rPr>
          <w:rFonts w:ascii="Times New Roman" w:hAnsi="Times New Roman"/>
          <w:i/>
          <w:iCs/>
          <w:sz w:val="24"/>
        </w:rPr>
        <w:t>Attorney-General (NT) v Emmerson</w:t>
      </w:r>
      <w:r w:rsidRPr="004C6E3E">
        <w:rPr>
          <w:rFonts w:ascii="Times New Roman" w:hAnsi="Times New Roman"/>
          <w:sz w:val="24"/>
        </w:rPr>
        <w:t xml:space="preserve"> (2014) 253 CLR 393 at 424 [40]; </w:t>
      </w:r>
      <w:r w:rsidRPr="004C6E3E">
        <w:rPr>
          <w:rFonts w:ascii="Times New Roman" w:hAnsi="Times New Roman"/>
          <w:i/>
          <w:iCs/>
          <w:sz w:val="24"/>
        </w:rPr>
        <w:t>Kuczborski</w:t>
      </w:r>
      <w:r>
        <w:rPr>
          <w:rFonts w:ascii="Times New Roman" w:hAnsi="Times New Roman"/>
          <w:i/>
          <w:iCs/>
          <w:sz w:val="24"/>
        </w:rPr>
        <w:t> </w:t>
      </w:r>
      <w:r w:rsidRPr="004C6E3E">
        <w:rPr>
          <w:rFonts w:ascii="Times New Roman" w:hAnsi="Times New Roman"/>
          <w:sz w:val="24"/>
        </w:rPr>
        <w:t xml:space="preserve">(2014) 254 CLR 51 at 72-73 [38], 98 [139]; </w:t>
      </w:r>
      <w:r w:rsidRPr="004C6E3E">
        <w:rPr>
          <w:rFonts w:ascii="Times New Roman" w:hAnsi="Times New Roman"/>
          <w:i/>
          <w:iCs/>
          <w:sz w:val="24"/>
        </w:rPr>
        <w:t>NAAJA</w:t>
      </w:r>
      <w:r w:rsidRPr="004C6E3E" w:rsidDel="003E6915">
        <w:rPr>
          <w:rFonts w:ascii="Times New Roman" w:hAnsi="Times New Roman"/>
          <w:i/>
          <w:sz w:val="24"/>
        </w:rPr>
        <w:t xml:space="preserve"> </w:t>
      </w:r>
      <w:r w:rsidRPr="004C6E3E">
        <w:rPr>
          <w:rFonts w:ascii="Times New Roman" w:hAnsi="Times New Roman"/>
          <w:sz w:val="24"/>
        </w:rPr>
        <w:t xml:space="preserve">(2015) 256 CLR 569 at 593-595 [39]; </w:t>
      </w:r>
      <w:r w:rsidRPr="004C6E3E">
        <w:rPr>
          <w:rFonts w:ascii="Times New Roman" w:hAnsi="Times New Roman"/>
          <w:i/>
          <w:iCs/>
          <w:sz w:val="24"/>
        </w:rPr>
        <w:t>Vella</w:t>
      </w:r>
      <w:r w:rsidRPr="004C6E3E">
        <w:rPr>
          <w:rFonts w:ascii="Times New Roman" w:hAnsi="Times New Roman"/>
          <w:sz w:val="24"/>
        </w:rPr>
        <w:t xml:space="preserve"> (2019) 269 CLR 219 at 245-246 [55], 274-275 [138].</w:t>
      </w:r>
    </w:p>
  </w:footnote>
  <w:footnote w:id="280">
    <w:p w14:paraId="3DC0782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Kable</w:t>
      </w:r>
      <w:r w:rsidRPr="004C6E3E">
        <w:rPr>
          <w:rFonts w:ascii="Times New Roman" w:hAnsi="Times New Roman"/>
          <w:sz w:val="24"/>
        </w:rPr>
        <w:t xml:space="preserve"> (1996) 189 CLR 51 at 103; see also 115, 127-128; cf 82. See also </w:t>
      </w:r>
      <w:r w:rsidRPr="004C6E3E">
        <w:rPr>
          <w:rFonts w:ascii="Times New Roman" w:hAnsi="Times New Roman"/>
          <w:i/>
          <w:iCs/>
          <w:sz w:val="24"/>
        </w:rPr>
        <w:t>Fardon</w:t>
      </w:r>
      <w:r w:rsidRPr="004C6E3E">
        <w:rPr>
          <w:rFonts w:ascii="Times New Roman" w:hAnsi="Times New Roman"/>
          <w:sz w:val="24"/>
        </w:rPr>
        <w:t xml:space="preserve"> (2004) 223 CLR 575 at 617 [101]; </w:t>
      </w:r>
      <w:r w:rsidRPr="004C6E3E">
        <w:rPr>
          <w:rFonts w:ascii="Times New Roman" w:hAnsi="Times New Roman"/>
          <w:i/>
          <w:iCs/>
          <w:sz w:val="24"/>
        </w:rPr>
        <w:t xml:space="preserve">Wainohu </w:t>
      </w:r>
      <w:r w:rsidRPr="004C6E3E">
        <w:rPr>
          <w:rFonts w:ascii="Times New Roman" w:hAnsi="Times New Roman"/>
          <w:sz w:val="24"/>
        </w:rPr>
        <w:t xml:space="preserve">(2011) 243 CLR 181 at 209-210 [45], 228-229 [105], 247 [171]; </w:t>
      </w:r>
      <w:r w:rsidRPr="004C6E3E">
        <w:rPr>
          <w:rFonts w:ascii="Times New Roman" w:hAnsi="Times New Roman"/>
          <w:i/>
          <w:iCs/>
          <w:sz w:val="24"/>
        </w:rPr>
        <w:t>Condon v Pompano Pty Ltd</w:t>
      </w:r>
      <w:r w:rsidRPr="004C6E3E">
        <w:rPr>
          <w:rFonts w:ascii="Times New Roman" w:hAnsi="Times New Roman"/>
          <w:sz w:val="24"/>
        </w:rPr>
        <w:t xml:space="preserve"> (2013) 252 CLR 38 at 88-89 [123]; </w:t>
      </w:r>
      <w:r w:rsidRPr="004C6E3E">
        <w:rPr>
          <w:rFonts w:ascii="Times New Roman" w:hAnsi="Times New Roman"/>
          <w:i/>
          <w:sz w:val="24"/>
        </w:rPr>
        <w:t>Vella</w:t>
      </w:r>
      <w:r w:rsidRPr="004C6E3E">
        <w:rPr>
          <w:rFonts w:ascii="Times New Roman" w:hAnsi="Times New Roman"/>
          <w:sz w:val="24"/>
        </w:rPr>
        <w:t xml:space="preserve"> (2019) 269 CLR 219 at 278 [147]; </w:t>
      </w:r>
      <w:r w:rsidRPr="004C6E3E">
        <w:rPr>
          <w:rFonts w:ascii="Times New Roman" w:hAnsi="Times New Roman"/>
          <w:i/>
          <w:iCs/>
          <w:sz w:val="24"/>
        </w:rPr>
        <w:t>Benbrika</w:t>
      </w:r>
      <w:r w:rsidRPr="004C6E3E">
        <w:rPr>
          <w:rFonts w:ascii="Times New Roman" w:hAnsi="Times New Roman"/>
          <w:sz w:val="24"/>
        </w:rPr>
        <w:t xml:space="preserve"> (2021) 95 ALJR 166 at 178 [20]; 388 ALR 1 at 10.</w:t>
      </w:r>
    </w:p>
  </w:footnote>
  <w:footnote w:id="281">
    <w:p w14:paraId="1BCECFF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275 [138], quoting </w:t>
      </w:r>
      <w:r w:rsidRPr="004C6E3E">
        <w:rPr>
          <w:rFonts w:ascii="Times New Roman" w:hAnsi="Times New Roman"/>
          <w:i/>
          <w:iCs/>
          <w:sz w:val="24"/>
        </w:rPr>
        <w:t xml:space="preserve">Fardon </w:t>
      </w:r>
      <w:r w:rsidRPr="004C6E3E">
        <w:rPr>
          <w:rFonts w:ascii="Times New Roman" w:eastAsia="Calibri" w:hAnsi="Times New Roman"/>
          <w:sz w:val="24"/>
        </w:rPr>
        <w:t xml:space="preserve">(2004) 223 CLR 575 </w:t>
      </w:r>
      <w:r w:rsidRPr="004C6E3E">
        <w:rPr>
          <w:rFonts w:ascii="Times New Roman" w:hAnsi="Times New Roman"/>
          <w:sz w:val="24"/>
        </w:rPr>
        <w:t>at 591 [15].</w:t>
      </w:r>
    </w:p>
  </w:footnote>
  <w:footnote w:id="282">
    <w:p w14:paraId="680D992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Kable</w:t>
      </w:r>
      <w:r w:rsidRPr="004C6E3E">
        <w:rPr>
          <w:rFonts w:ascii="Times New Roman" w:hAnsi="Times New Roman"/>
          <w:sz w:val="24"/>
        </w:rPr>
        <w:t xml:space="preserve"> (1996) 189 CLR 51 at 98, 107-108, 116-118, 124, 133; </w:t>
      </w:r>
      <w:r w:rsidRPr="004C6E3E">
        <w:rPr>
          <w:rFonts w:ascii="Times New Roman" w:hAnsi="Times New Roman"/>
          <w:i/>
          <w:sz w:val="24"/>
        </w:rPr>
        <w:t>Fardon</w:t>
      </w:r>
      <w:r w:rsidRPr="004C6E3E">
        <w:rPr>
          <w:rFonts w:ascii="Times New Roman" w:hAnsi="Times New Roman"/>
          <w:sz w:val="24"/>
        </w:rPr>
        <w:t xml:space="preserve"> </w:t>
      </w:r>
      <w:r w:rsidRPr="004C6E3E">
        <w:rPr>
          <w:rFonts w:ascii="Times New Roman" w:eastAsia="Calibri" w:hAnsi="Times New Roman"/>
          <w:sz w:val="24"/>
        </w:rPr>
        <w:t xml:space="preserve">(2004) 223 CLR 575 </w:t>
      </w:r>
      <w:r w:rsidRPr="004C6E3E">
        <w:rPr>
          <w:rFonts w:ascii="Times New Roman" w:hAnsi="Times New Roman"/>
          <w:sz w:val="24"/>
        </w:rPr>
        <w:t xml:space="preserve">at 617-618 [102], 638 [166], 653 [213]; </w:t>
      </w:r>
      <w:r w:rsidRPr="004C6E3E">
        <w:rPr>
          <w:rFonts w:ascii="Times New Roman" w:eastAsia="Calibri" w:hAnsi="Times New Roman"/>
          <w:i/>
          <w:iCs/>
          <w:sz w:val="24"/>
        </w:rPr>
        <w:t xml:space="preserve">Totani </w:t>
      </w:r>
      <w:r w:rsidRPr="004C6E3E">
        <w:rPr>
          <w:rFonts w:ascii="Times New Roman" w:eastAsia="Calibri" w:hAnsi="Times New Roman"/>
          <w:sz w:val="24"/>
        </w:rPr>
        <w:t xml:space="preserve">(2010) 242 CLR 1 at 82 [206]; </w:t>
      </w:r>
      <w:r w:rsidRPr="004C6E3E">
        <w:rPr>
          <w:rFonts w:ascii="Times New Roman" w:hAnsi="Times New Roman"/>
          <w:i/>
          <w:iCs/>
          <w:sz w:val="24"/>
        </w:rPr>
        <w:t xml:space="preserve">NAAJA </w:t>
      </w:r>
      <w:r w:rsidRPr="004C6E3E">
        <w:rPr>
          <w:rFonts w:ascii="Times New Roman" w:hAnsi="Times New Roman"/>
          <w:sz w:val="24"/>
        </w:rPr>
        <w:t>(2015) 256 CLR 569 at 595 [40</w:t>
      </w:r>
      <w:r w:rsidRPr="004C6E3E">
        <w:rPr>
          <w:rFonts w:ascii="Times New Roman" w:eastAsia="Calibri" w:hAnsi="Times New Roman"/>
          <w:sz w:val="24"/>
        </w:rPr>
        <w:t>];</w:t>
      </w:r>
      <w:r w:rsidRPr="004C6E3E">
        <w:rPr>
          <w:rFonts w:ascii="Times New Roman" w:hAnsi="Times New Roman"/>
          <w:sz w:val="24"/>
        </w:rPr>
        <w:t xml:space="preserve"> </w:t>
      </w:r>
      <w:r w:rsidRPr="004C6E3E">
        <w:rPr>
          <w:rFonts w:ascii="Times New Roman" w:hAnsi="Times New Roman"/>
          <w:i/>
          <w:sz w:val="24"/>
        </w:rPr>
        <w:t>Vella</w:t>
      </w:r>
      <w:r w:rsidRPr="004C6E3E">
        <w:rPr>
          <w:rFonts w:ascii="Times New Roman" w:hAnsi="Times New Roman"/>
          <w:sz w:val="24"/>
        </w:rPr>
        <w:t xml:space="preserve"> (2019) 269 CLR 219 at 277 [144], 291 [183].</w:t>
      </w:r>
    </w:p>
  </w:footnote>
  <w:footnote w:id="283">
    <w:p w14:paraId="6CB9B6F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 xml:space="preserve">NAAJA </w:t>
      </w:r>
      <w:r w:rsidRPr="004C6E3E">
        <w:rPr>
          <w:rFonts w:ascii="Times New Roman" w:hAnsi="Times New Roman"/>
          <w:sz w:val="24"/>
        </w:rPr>
        <w:t>(2015) 256 CLR 569 at 621 [134].</w:t>
      </w:r>
    </w:p>
  </w:footnote>
  <w:footnote w:id="284">
    <w:p w14:paraId="2BAC683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eg, </w:t>
      </w:r>
      <w:r w:rsidRPr="004C6E3E">
        <w:rPr>
          <w:rFonts w:ascii="Times New Roman" w:hAnsi="Times New Roman"/>
          <w:i/>
          <w:iCs/>
          <w:sz w:val="24"/>
        </w:rPr>
        <w:t>Forge v Australian Securities and Investments Commission</w:t>
      </w:r>
      <w:r w:rsidRPr="004C6E3E">
        <w:rPr>
          <w:rFonts w:ascii="Times New Roman" w:hAnsi="Times New Roman"/>
          <w:sz w:val="24"/>
        </w:rPr>
        <w:t xml:space="preserve"> (2006) 228 CLR 45 at 76 [63]-[64]; </w:t>
      </w:r>
      <w:r w:rsidRPr="004C6E3E">
        <w:rPr>
          <w:rFonts w:ascii="Times New Roman" w:hAnsi="Times New Roman"/>
          <w:i/>
          <w:iCs/>
          <w:sz w:val="24"/>
        </w:rPr>
        <w:t>Gypsy Jokers Motorcycle Club Inc v Commissioner of Police</w:t>
      </w:r>
      <w:r w:rsidRPr="004C6E3E">
        <w:rPr>
          <w:rFonts w:ascii="Times New Roman" w:hAnsi="Times New Roman"/>
          <w:sz w:val="24"/>
        </w:rPr>
        <w:t xml:space="preserve"> (2008) 234 CLR 532 at 552-553 [10]; </w:t>
      </w:r>
      <w:r w:rsidRPr="004C6E3E">
        <w:rPr>
          <w:rFonts w:ascii="Times New Roman" w:hAnsi="Times New Roman"/>
          <w:i/>
          <w:iCs/>
          <w:sz w:val="24"/>
        </w:rPr>
        <w:t>K-Generation Pty Ltd v Liquor Licensing Court</w:t>
      </w:r>
      <w:r w:rsidRPr="004C6E3E">
        <w:rPr>
          <w:rFonts w:ascii="Times New Roman" w:hAnsi="Times New Roman"/>
          <w:sz w:val="24"/>
        </w:rPr>
        <w:t xml:space="preserve"> (2009) 237 CLR 501 at 530 [89], 559 [204]; </w:t>
      </w:r>
      <w:r w:rsidRPr="004C6E3E">
        <w:rPr>
          <w:rFonts w:ascii="Times New Roman" w:eastAsia="Calibri" w:hAnsi="Times New Roman"/>
          <w:i/>
          <w:sz w:val="24"/>
        </w:rPr>
        <w:t xml:space="preserve">Wainohu </w:t>
      </w:r>
      <w:r w:rsidRPr="004C6E3E">
        <w:rPr>
          <w:rFonts w:ascii="Times New Roman" w:eastAsia="Calibri" w:hAnsi="Times New Roman"/>
          <w:sz w:val="24"/>
        </w:rPr>
        <w:t xml:space="preserve">(2011) 243 CLR 181 at 208 [44]; </w:t>
      </w:r>
      <w:r w:rsidRPr="004C6E3E">
        <w:rPr>
          <w:rFonts w:ascii="Times New Roman" w:hAnsi="Times New Roman"/>
          <w:i/>
          <w:iCs/>
          <w:sz w:val="24"/>
        </w:rPr>
        <w:t xml:space="preserve">Pompano </w:t>
      </w:r>
      <w:r w:rsidRPr="004C6E3E">
        <w:rPr>
          <w:rFonts w:ascii="Times New Roman" w:hAnsi="Times New Roman"/>
          <w:sz w:val="24"/>
        </w:rPr>
        <w:t>(2013) 252 CLR 38 at 71-72 [67]-[68], 89-90 [125], 105</w:t>
      </w:r>
      <w:r>
        <w:rPr>
          <w:rFonts w:ascii="Times New Roman" w:hAnsi="Times New Roman"/>
          <w:sz w:val="24"/>
        </w:rPr>
        <w:t> </w:t>
      </w:r>
      <w:r w:rsidRPr="004C6E3E">
        <w:rPr>
          <w:rFonts w:ascii="Times New Roman" w:hAnsi="Times New Roman"/>
          <w:sz w:val="24"/>
        </w:rPr>
        <w:t xml:space="preserve">[177], 110 [194]; </w:t>
      </w:r>
      <w:r w:rsidRPr="004C6E3E">
        <w:rPr>
          <w:rFonts w:ascii="Times New Roman" w:hAnsi="Times New Roman"/>
          <w:i/>
          <w:iCs/>
          <w:sz w:val="24"/>
        </w:rPr>
        <w:t>Emmerson</w:t>
      </w:r>
      <w:r w:rsidRPr="004C6E3E">
        <w:rPr>
          <w:rFonts w:ascii="Times New Roman" w:hAnsi="Times New Roman"/>
          <w:sz w:val="24"/>
        </w:rPr>
        <w:t xml:space="preserve"> (2014) 253 CLR 393 at 426 [44]; </w:t>
      </w:r>
      <w:r w:rsidRPr="004C6E3E">
        <w:rPr>
          <w:rFonts w:ascii="Times New Roman" w:hAnsi="Times New Roman"/>
          <w:i/>
          <w:sz w:val="24"/>
        </w:rPr>
        <w:t xml:space="preserve">NAAJA </w:t>
      </w:r>
      <w:r w:rsidRPr="004C6E3E">
        <w:rPr>
          <w:rFonts w:ascii="Times New Roman" w:hAnsi="Times New Roman"/>
          <w:sz w:val="24"/>
        </w:rPr>
        <w:t>(2015) 256 CLR 569 at 594 [39], 618 [120]-[121].</w:t>
      </w:r>
    </w:p>
  </w:footnote>
  <w:footnote w:id="285">
    <w:p w14:paraId="1025C01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Fardon</w:t>
      </w:r>
      <w:r w:rsidRPr="004C6E3E">
        <w:rPr>
          <w:rFonts w:ascii="Times New Roman" w:hAnsi="Times New Roman"/>
          <w:sz w:val="24"/>
        </w:rPr>
        <w:t xml:space="preserve"> </w:t>
      </w:r>
      <w:r w:rsidRPr="004C6E3E">
        <w:rPr>
          <w:rFonts w:ascii="Times New Roman" w:eastAsia="Calibri" w:hAnsi="Times New Roman"/>
          <w:sz w:val="24"/>
        </w:rPr>
        <w:t xml:space="preserve">(2004) 223 CLR 575 </w:t>
      </w:r>
      <w:r w:rsidRPr="004C6E3E">
        <w:rPr>
          <w:rFonts w:ascii="Times New Roman" w:hAnsi="Times New Roman"/>
          <w:sz w:val="24"/>
        </w:rPr>
        <w:t>at</w:t>
      </w:r>
      <w:r w:rsidRPr="004C6E3E" w:rsidDel="002E7377">
        <w:rPr>
          <w:rFonts w:ascii="Times New Roman" w:hAnsi="Times New Roman"/>
          <w:sz w:val="24"/>
        </w:rPr>
        <w:t xml:space="preserve"> </w:t>
      </w:r>
      <w:r w:rsidRPr="004C6E3E">
        <w:rPr>
          <w:rFonts w:ascii="Times New Roman" w:hAnsi="Times New Roman"/>
          <w:sz w:val="24"/>
        </w:rPr>
        <w:t xml:space="preserve">618 [104]-[105]; </w:t>
      </w:r>
      <w:r w:rsidRPr="004C6E3E">
        <w:rPr>
          <w:rFonts w:ascii="Times New Roman" w:hAnsi="Times New Roman"/>
          <w:i/>
          <w:iCs/>
          <w:sz w:val="24"/>
        </w:rPr>
        <w:t xml:space="preserve">K-Generation </w:t>
      </w:r>
      <w:r w:rsidRPr="004C6E3E">
        <w:rPr>
          <w:rFonts w:ascii="Times New Roman" w:hAnsi="Times New Roman"/>
          <w:sz w:val="24"/>
        </w:rPr>
        <w:t xml:space="preserve">(2009) 237 CLR 501 at 530 [90]; </w:t>
      </w:r>
      <w:r w:rsidRPr="004C6E3E">
        <w:rPr>
          <w:rFonts w:ascii="Times New Roman" w:hAnsi="Times New Roman"/>
          <w:i/>
          <w:sz w:val="24"/>
        </w:rPr>
        <w:t>Kuczborski</w:t>
      </w:r>
      <w:r w:rsidRPr="004C6E3E">
        <w:rPr>
          <w:rFonts w:ascii="Times New Roman" w:hAnsi="Times New Roman"/>
          <w:sz w:val="24"/>
        </w:rPr>
        <w:t xml:space="preserve"> (2014) 254 CLR 51 at 72-73 [38], 89 [103], 90 [106].</w:t>
      </w:r>
    </w:p>
  </w:footnote>
  <w:footnote w:id="286">
    <w:p w14:paraId="13473D9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Stellios, </w:t>
      </w:r>
      <w:r w:rsidRPr="004C6E3E">
        <w:rPr>
          <w:rFonts w:ascii="Times New Roman" w:hAnsi="Times New Roman"/>
          <w:i/>
          <w:sz w:val="24"/>
        </w:rPr>
        <w:t>The Federal Judicature: Chapter III of the Constitution</w:t>
      </w:r>
      <w:r w:rsidRPr="004C6E3E">
        <w:rPr>
          <w:rFonts w:ascii="Times New Roman" w:hAnsi="Times New Roman"/>
          <w:sz w:val="24"/>
        </w:rPr>
        <w:t>, 2nd ed (2020) at</w:t>
      </w:r>
      <w:r>
        <w:rPr>
          <w:rFonts w:ascii="Times New Roman" w:hAnsi="Times New Roman"/>
          <w:sz w:val="24"/>
        </w:rPr>
        <w:t> </w:t>
      </w:r>
      <w:r w:rsidRPr="004C6E3E">
        <w:rPr>
          <w:rFonts w:ascii="Times New Roman" w:hAnsi="Times New Roman"/>
          <w:sz w:val="24"/>
        </w:rPr>
        <w:t>564.</w:t>
      </w:r>
    </w:p>
  </w:footnote>
  <w:footnote w:id="287">
    <w:p w14:paraId="2F11F69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Stellios, </w:t>
      </w:r>
      <w:r w:rsidRPr="004C6E3E">
        <w:rPr>
          <w:rFonts w:ascii="Times New Roman" w:hAnsi="Times New Roman"/>
          <w:i/>
          <w:iCs/>
          <w:sz w:val="24"/>
        </w:rPr>
        <w:t xml:space="preserve">The </w:t>
      </w:r>
      <w:r w:rsidRPr="004C6E3E">
        <w:rPr>
          <w:rFonts w:ascii="Times New Roman" w:hAnsi="Times New Roman"/>
          <w:i/>
          <w:sz w:val="24"/>
        </w:rPr>
        <w:t>Federal Judicature</w:t>
      </w:r>
      <w:r w:rsidRPr="004C6E3E">
        <w:rPr>
          <w:rFonts w:ascii="Times New Roman" w:hAnsi="Times New Roman"/>
          <w:i/>
          <w:iCs/>
          <w:sz w:val="24"/>
        </w:rPr>
        <w:t>: Chapter III of the Constitution</w:t>
      </w:r>
      <w:r w:rsidRPr="004C6E3E">
        <w:rPr>
          <w:rFonts w:ascii="Times New Roman" w:hAnsi="Times New Roman"/>
          <w:sz w:val="24"/>
        </w:rPr>
        <w:t>, 2nd ed (2020) at</w:t>
      </w:r>
      <w:r>
        <w:rPr>
          <w:rFonts w:ascii="Times New Roman" w:hAnsi="Times New Roman"/>
          <w:sz w:val="24"/>
        </w:rPr>
        <w:t> </w:t>
      </w:r>
      <w:r w:rsidRPr="004C6E3E">
        <w:rPr>
          <w:rFonts w:ascii="Times New Roman" w:hAnsi="Times New Roman"/>
          <w:sz w:val="24"/>
        </w:rPr>
        <w:t>566.</w:t>
      </w:r>
    </w:p>
  </w:footnote>
  <w:footnote w:id="288">
    <w:p w14:paraId="5F2EA01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eastAsia="Calibri" w:hAnsi="Times New Roman"/>
          <w:i/>
          <w:iCs/>
          <w:sz w:val="24"/>
        </w:rPr>
        <w:t xml:space="preserve">Totani </w:t>
      </w:r>
      <w:r w:rsidRPr="004C6E3E">
        <w:rPr>
          <w:rFonts w:ascii="Times New Roman" w:eastAsia="Calibri" w:hAnsi="Times New Roman"/>
          <w:sz w:val="24"/>
        </w:rPr>
        <w:t xml:space="preserve">(2010) 242 CLR 1 at 83-84 [212]; </w:t>
      </w:r>
      <w:r w:rsidRPr="004C6E3E">
        <w:rPr>
          <w:rFonts w:ascii="Times New Roman" w:hAnsi="Times New Roman"/>
          <w:i/>
          <w:iCs/>
          <w:sz w:val="24"/>
        </w:rPr>
        <w:t>Pompano</w:t>
      </w:r>
      <w:r w:rsidRPr="004C6E3E">
        <w:rPr>
          <w:rFonts w:ascii="Times New Roman" w:hAnsi="Times New Roman"/>
          <w:sz w:val="24"/>
        </w:rPr>
        <w:t xml:space="preserve"> (2013) 252 CLR 38 at 94 [137]; </w:t>
      </w:r>
      <w:r w:rsidRPr="004C6E3E">
        <w:rPr>
          <w:rFonts w:ascii="Times New Roman" w:hAnsi="Times New Roman"/>
          <w:i/>
          <w:iCs/>
          <w:sz w:val="24"/>
        </w:rPr>
        <w:t>Kuczborski</w:t>
      </w:r>
      <w:r w:rsidRPr="004C6E3E">
        <w:rPr>
          <w:rFonts w:ascii="Times New Roman" w:hAnsi="Times New Roman"/>
          <w:sz w:val="24"/>
        </w:rPr>
        <w:t xml:space="preserve"> (2014) 254 CLR 51 at 90 [106]; </w:t>
      </w:r>
      <w:r w:rsidRPr="004C6E3E">
        <w:rPr>
          <w:rFonts w:ascii="Times New Roman" w:hAnsi="Times New Roman"/>
          <w:i/>
          <w:iCs/>
          <w:sz w:val="24"/>
        </w:rPr>
        <w:t xml:space="preserve">Vella </w:t>
      </w:r>
      <w:r w:rsidRPr="004C6E3E">
        <w:rPr>
          <w:rFonts w:ascii="Times New Roman" w:hAnsi="Times New Roman"/>
          <w:sz w:val="24"/>
        </w:rPr>
        <w:t xml:space="preserve">(2019) 269 CLR 219 at 277-278 [146], 292 [188]; </w:t>
      </w:r>
      <w:r w:rsidRPr="004C6E3E">
        <w:rPr>
          <w:rFonts w:ascii="Times New Roman" w:hAnsi="Times New Roman"/>
          <w:i/>
          <w:iCs/>
          <w:sz w:val="24"/>
        </w:rPr>
        <w:t>Benbrika</w:t>
      </w:r>
      <w:r w:rsidRPr="004C6E3E">
        <w:rPr>
          <w:rFonts w:ascii="Times New Roman" w:hAnsi="Times New Roman"/>
          <w:sz w:val="24"/>
        </w:rPr>
        <w:t xml:space="preserve"> (2021) 95 ALJR 166 at 205 [152]; 388 ALR 1 at 45</w:t>
      </w:r>
      <w:r w:rsidRPr="004C6E3E">
        <w:rPr>
          <w:rFonts w:ascii="Times New Roman" w:hAnsi="Times New Roman"/>
          <w:sz w:val="24"/>
        </w:rPr>
        <w:noBreakHyphen/>
        <w:t>46.</w:t>
      </w:r>
    </w:p>
  </w:footnote>
  <w:footnote w:id="289">
    <w:p w14:paraId="1ABFFE3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Kable</w:t>
      </w:r>
      <w:r w:rsidRPr="004C6E3E">
        <w:rPr>
          <w:rFonts w:ascii="Times New Roman" w:hAnsi="Times New Roman"/>
          <w:sz w:val="24"/>
        </w:rPr>
        <w:t xml:space="preserve"> (1996) 189 CLR 51 at 66-67, 78, 103-104, 109, 137, 142; </w:t>
      </w:r>
      <w:r w:rsidRPr="004C6E3E">
        <w:rPr>
          <w:rFonts w:ascii="Times New Roman" w:hAnsi="Times New Roman"/>
          <w:i/>
          <w:iCs/>
          <w:sz w:val="24"/>
        </w:rPr>
        <w:t xml:space="preserve">Fardon </w:t>
      </w:r>
      <w:r w:rsidRPr="004C6E3E">
        <w:rPr>
          <w:rFonts w:ascii="Times New Roman" w:eastAsia="Calibri" w:hAnsi="Times New Roman"/>
          <w:sz w:val="24"/>
        </w:rPr>
        <w:t>(2004) 223</w:t>
      </w:r>
      <w:r>
        <w:rPr>
          <w:rFonts w:ascii="Times New Roman" w:eastAsia="Calibri" w:hAnsi="Times New Roman"/>
          <w:sz w:val="24"/>
        </w:rPr>
        <w:t> </w:t>
      </w:r>
      <w:r w:rsidRPr="004C6E3E">
        <w:rPr>
          <w:rFonts w:ascii="Times New Roman" w:eastAsia="Calibri" w:hAnsi="Times New Roman"/>
          <w:sz w:val="24"/>
        </w:rPr>
        <w:t xml:space="preserve">CLR 575 </w:t>
      </w:r>
      <w:r w:rsidRPr="004C6E3E">
        <w:rPr>
          <w:rFonts w:ascii="Times New Roman" w:hAnsi="Times New Roman"/>
          <w:sz w:val="24"/>
        </w:rPr>
        <w:t>at 614 [86];</w:t>
      </w:r>
      <w:r w:rsidRPr="004C6E3E" w:rsidDel="00044D7C">
        <w:rPr>
          <w:rFonts w:ascii="Times New Roman" w:hAnsi="Times New Roman"/>
          <w:sz w:val="24"/>
        </w:rPr>
        <w:t xml:space="preserve"> </w:t>
      </w:r>
      <w:r w:rsidRPr="004C6E3E">
        <w:rPr>
          <w:rFonts w:ascii="Times New Roman" w:hAnsi="Times New Roman"/>
          <w:i/>
          <w:iCs/>
          <w:sz w:val="24"/>
        </w:rPr>
        <w:t>Kirk v Industrial Court (NSW)</w:t>
      </w:r>
      <w:r w:rsidRPr="004C6E3E">
        <w:rPr>
          <w:rFonts w:ascii="Times New Roman" w:hAnsi="Times New Roman"/>
          <w:sz w:val="24"/>
        </w:rPr>
        <w:t xml:space="preserve"> (2010) 239 CLR 531 at 573 [69];</w:t>
      </w:r>
      <w:r w:rsidRPr="004C6E3E" w:rsidDel="00044D7C">
        <w:rPr>
          <w:rFonts w:ascii="Times New Roman" w:hAnsi="Times New Roman"/>
          <w:sz w:val="24"/>
        </w:rPr>
        <w:t xml:space="preserve"> </w:t>
      </w:r>
      <w:r w:rsidRPr="004C6E3E">
        <w:rPr>
          <w:rFonts w:ascii="Times New Roman" w:hAnsi="Times New Roman"/>
          <w:i/>
          <w:sz w:val="24"/>
        </w:rPr>
        <w:t>Pompano</w:t>
      </w:r>
      <w:r w:rsidRPr="004C6E3E">
        <w:rPr>
          <w:rFonts w:ascii="Times New Roman" w:hAnsi="Times New Roman"/>
          <w:sz w:val="24"/>
        </w:rPr>
        <w:t xml:space="preserve"> (2013) 252 CLR 38 at 89-90 [124]-[125]; </w:t>
      </w:r>
      <w:r w:rsidRPr="004C6E3E">
        <w:rPr>
          <w:rFonts w:ascii="Times New Roman" w:hAnsi="Times New Roman"/>
          <w:i/>
          <w:iCs/>
          <w:sz w:val="24"/>
        </w:rPr>
        <w:t>Pollentine</w:t>
      </w:r>
      <w:r w:rsidRPr="004C6E3E">
        <w:rPr>
          <w:rFonts w:ascii="Times New Roman" w:hAnsi="Times New Roman"/>
          <w:sz w:val="24"/>
        </w:rPr>
        <w:t xml:space="preserve"> (2014) 253</w:t>
      </w:r>
      <w:r>
        <w:rPr>
          <w:rFonts w:ascii="Times New Roman" w:hAnsi="Times New Roman"/>
          <w:sz w:val="24"/>
        </w:rPr>
        <w:t> </w:t>
      </w:r>
      <w:r w:rsidRPr="004C6E3E">
        <w:rPr>
          <w:rFonts w:ascii="Times New Roman" w:hAnsi="Times New Roman"/>
          <w:sz w:val="24"/>
        </w:rPr>
        <w:t xml:space="preserve">CLR 629 at 649 [42]; </w:t>
      </w:r>
      <w:r w:rsidRPr="004C6E3E">
        <w:rPr>
          <w:rFonts w:ascii="Times New Roman" w:hAnsi="Times New Roman"/>
          <w:i/>
          <w:sz w:val="24"/>
        </w:rPr>
        <w:t>Burns v Corbett</w:t>
      </w:r>
      <w:r w:rsidRPr="004C6E3E">
        <w:rPr>
          <w:rFonts w:ascii="Times New Roman" w:hAnsi="Times New Roman"/>
          <w:sz w:val="24"/>
        </w:rPr>
        <w:t xml:space="preserve"> (2018) 265 CLR 304 at 386 [183]; </w:t>
      </w:r>
      <w:r w:rsidRPr="004C6E3E">
        <w:rPr>
          <w:rFonts w:ascii="Times New Roman" w:hAnsi="Times New Roman"/>
          <w:i/>
          <w:sz w:val="24"/>
        </w:rPr>
        <w:t>Benbrika</w:t>
      </w:r>
      <w:r w:rsidRPr="004C6E3E">
        <w:rPr>
          <w:rFonts w:ascii="Times New Roman" w:hAnsi="Times New Roman"/>
          <w:sz w:val="24"/>
        </w:rPr>
        <w:t xml:space="preserve"> (2021) 95 ALJR 166 at 201 [137]; 388 ALR 1 at 40.</w:t>
      </w:r>
    </w:p>
  </w:footnote>
  <w:footnote w:id="290">
    <w:p w14:paraId="5287C9A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Pollentine </w:t>
      </w:r>
      <w:r w:rsidRPr="004C6E3E">
        <w:rPr>
          <w:rFonts w:ascii="Times New Roman" w:hAnsi="Times New Roman"/>
          <w:sz w:val="24"/>
        </w:rPr>
        <w:t xml:space="preserve">(2014) 253 CLR 629 at 649 [42], quoting </w:t>
      </w:r>
      <w:r w:rsidRPr="004C6E3E">
        <w:rPr>
          <w:rFonts w:ascii="Times New Roman" w:hAnsi="Times New Roman"/>
          <w:i/>
          <w:sz w:val="24"/>
        </w:rPr>
        <w:t xml:space="preserve">Pompano </w:t>
      </w:r>
      <w:r w:rsidRPr="004C6E3E">
        <w:rPr>
          <w:rFonts w:ascii="Times New Roman" w:hAnsi="Times New Roman"/>
          <w:sz w:val="24"/>
        </w:rPr>
        <w:t xml:space="preserve">(2013) 252 CLR 38 at 90 [125]. See also </w:t>
      </w:r>
      <w:r w:rsidRPr="004C6E3E">
        <w:rPr>
          <w:rFonts w:ascii="Times New Roman" w:hAnsi="Times New Roman"/>
          <w:i/>
          <w:iCs/>
          <w:sz w:val="24"/>
        </w:rPr>
        <w:t>Kable</w:t>
      </w:r>
      <w:r w:rsidRPr="004C6E3E">
        <w:rPr>
          <w:rFonts w:ascii="Times New Roman" w:hAnsi="Times New Roman"/>
          <w:sz w:val="24"/>
        </w:rPr>
        <w:t xml:space="preserve"> (1996) 189 CLR 51 at 104; </w:t>
      </w:r>
      <w:r w:rsidRPr="004C6E3E">
        <w:rPr>
          <w:rFonts w:ascii="Times New Roman" w:hAnsi="Times New Roman"/>
          <w:i/>
          <w:iCs/>
          <w:sz w:val="24"/>
        </w:rPr>
        <w:t>Baker v The Queen</w:t>
      </w:r>
      <w:r w:rsidRPr="004C6E3E">
        <w:rPr>
          <w:rFonts w:ascii="Times New Roman" w:hAnsi="Times New Roman"/>
          <w:sz w:val="24"/>
        </w:rPr>
        <w:t xml:space="preserve"> (2004) 223 CLR 513 at 534 [51]; </w:t>
      </w:r>
      <w:r w:rsidRPr="004C6E3E">
        <w:rPr>
          <w:rFonts w:ascii="Times New Roman" w:hAnsi="Times New Roman"/>
          <w:i/>
          <w:iCs/>
          <w:sz w:val="24"/>
        </w:rPr>
        <w:t>Benbrika</w:t>
      </w:r>
      <w:r w:rsidRPr="004C6E3E">
        <w:rPr>
          <w:rFonts w:ascii="Times New Roman" w:hAnsi="Times New Roman"/>
          <w:sz w:val="24"/>
        </w:rPr>
        <w:t xml:space="preserve"> (2021) 95 ALJR 166 at 201 [137]; 388 ALR 1 at 40-41.</w:t>
      </w:r>
    </w:p>
  </w:footnote>
  <w:footnote w:id="291">
    <w:p w14:paraId="3E5132A3"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i/>
          <w:iCs/>
          <w:sz w:val="24"/>
        </w:rPr>
        <w:t xml:space="preserve">Totani </w:t>
      </w:r>
      <w:r w:rsidRPr="004C6E3E">
        <w:rPr>
          <w:rFonts w:ascii="Times New Roman" w:eastAsia="Calibri" w:hAnsi="Times New Roman"/>
          <w:sz w:val="24"/>
        </w:rPr>
        <w:t xml:space="preserve">(2010) 242 CLR 1 at 83-84 [212]; </w:t>
      </w:r>
      <w:r w:rsidRPr="004C6E3E">
        <w:rPr>
          <w:rFonts w:ascii="Times New Roman" w:hAnsi="Times New Roman"/>
          <w:i/>
          <w:iCs/>
          <w:sz w:val="24"/>
        </w:rPr>
        <w:t>Vella</w:t>
      </w:r>
      <w:r w:rsidRPr="004C6E3E">
        <w:rPr>
          <w:rFonts w:ascii="Times New Roman" w:hAnsi="Times New Roman"/>
          <w:sz w:val="24"/>
        </w:rPr>
        <w:t xml:space="preserve"> (2019) 269 CLR 219 at 275 [140]</w:t>
      </w:r>
      <w:r w:rsidRPr="004C6E3E">
        <w:rPr>
          <w:rFonts w:ascii="Times New Roman" w:eastAsia="Calibri" w:hAnsi="Times New Roman"/>
          <w:sz w:val="24"/>
        </w:rPr>
        <w:t>.</w:t>
      </w:r>
    </w:p>
  </w:footnote>
  <w:footnote w:id="292">
    <w:p w14:paraId="4C107EE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275 [140], 277-278 [146].</w:t>
      </w:r>
    </w:p>
  </w:footnote>
  <w:footnote w:id="293">
    <w:p w14:paraId="2FE1BFD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sz w:val="24"/>
        </w:rPr>
        <w:t xml:space="preserve">Fardon </w:t>
      </w:r>
      <w:r w:rsidRPr="004C6E3E">
        <w:rPr>
          <w:rFonts w:ascii="Times New Roman" w:eastAsia="Calibri" w:hAnsi="Times New Roman"/>
          <w:sz w:val="24"/>
        </w:rPr>
        <w:t>(2004) 223 CLR 575 at 589-590 [12], 593 [22], 597 [34], 616-617 [</w:t>
      </w:r>
      <w:proofErr w:type="gramStart"/>
      <w:r w:rsidRPr="004C6E3E">
        <w:rPr>
          <w:rFonts w:ascii="Times New Roman" w:eastAsia="Calibri" w:hAnsi="Times New Roman"/>
          <w:sz w:val="24"/>
        </w:rPr>
        <w:t>97]</w:t>
      </w:r>
      <w:r>
        <w:rPr>
          <w:rFonts w:ascii="Times New Roman" w:eastAsia="Calibri" w:hAnsi="Times New Roman"/>
          <w:sz w:val="24"/>
        </w:rPr>
        <w:noBreakHyphen/>
      </w:r>
      <w:proofErr w:type="gramEnd"/>
      <w:r w:rsidRPr="004C6E3E">
        <w:rPr>
          <w:rFonts w:ascii="Times New Roman" w:eastAsia="Calibri" w:hAnsi="Times New Roman"/>
          <w:sz w:val="24"/>
        </w:rPr>
        <w:t>[98], 657 [225]-[226];</w:t>
      </w:r>
      <w:r w:rsidRPr="004C6E3E">
        <w:rPr>
          <w:rFonts w:ascii="Times New Roman" w:hAnsi="Times New Roman"/>
          <w:sz w:val="24"/>
        </w:rPr>
        <w:t xml:space="preserve"> </w:t>
      </w:r>
      <w:r w:rsidRPr="004C6E3E">
        <w:rPr>
          <w:rFonts w:ascii="Times New Roman" w:hAnsi="Times New Roman"/>
          <w:i/>
          <w:sz w:val="24"/>
        </w:rPr>
        <w:t>Thomas</w:t>
      </w:r>
      <w:r w:rsidRPr="004C6E3E">
        <w:rPr>
          <w:rFonts w:ascii="Times New Roman" w:hAnsi="Times New Roman"/>
          <w:sz w:val="24"/>
        </w:rPr>
        <w:t xml:space="preserve"> (2007) 233 CLR 307 at 330-331 [19], 333-334 [27]-[28], 347-348 [78]-[79], 355 [109]. See also</w:t>
      </w:r>
      <w:r w:rsidRPr="004C6E3E">
        <w:rPr>
          <w:rFonts w:ascii="Times New Roman" w:hAnsi="Times New Roman"/>
          <w:i/>
          <w:iCs/>
          <w:sz w:val="24"/>
        </w:rPr>
        <w:t xml:space="preserve"> Pompano </w:t>
      </w:r>
      <w:r w:rsidRPr="004C6E3E">
        <w:rPr>
          <w:rFonts w:ascii="Times New Roman" w:hAnsi="Times New Roman"/>
          <w:sz w:val="24"/>
        </w:rPr>
        <w:t>(2013) 252 CLR 38 at 96 [143].</w:t>
      </w:r>
    </w:p>
  </w:footnote>
  <w:footnote w:id="294">
    <w:p w14:paraId="02892CA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Vella</w:t>
      </w:r>
      <w:r w:rsidRPr="004C6E3E">
        <w:rPr>
          <w:rFonts w:ascii="Times New Roman" w:hAnsi="Times New Roman"/>
          <w:sz w:val="24"/>
        </w:rPr>
        <w:t xml:space="preserve"> (2019) 269 CLR 219 at 279 [149].</w:t>
      </w:r>
    </w:p>
  </w:footnote>
  <w:footnote w:id="295">
    <w:p w14:paraId="6382566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(2004) 223 CLR 575.</w:t>
      </w:r>
    </w:p>
  </w:footnote>
  <w:footnote w:id="296">
    <w:p w14:paraId="1A38E06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388 ALR 1.</w:t>
      </w:r>
    </w:p>
  </w:footnote>
  <w:footnote w:id="297">
    <w:p w14:paraId="130557A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(2004) 223 CLR 575.</w:t>
      </w:r>
    </w:p>
  </w:footnote>
  <w:footnote w:id="298">
    <w:p w14:paraId="4F00C77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388 ALR 1.</w:t>
      </w:r>
    </w:p>
  </w:footnote>
  <w:footnote w:id="299">
    <w:p w14:paraId="6BF1B8C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Pompano</w:t>
      </w:r>
      <w:r w:rsidRPr="004C6E3E">
        <w:rPr>
          <w:rFonts w:ascii="Times New Roman" w:hAnsi="Times New Roman"/>
          <w:sz w:val="24"/>
        </w:rPr>
        <w:t xml:space="preserve"> (2013) 252 CLR 38 at 94 [137].</w:t>
      </w:r>
    </w:p>
  </w:footnote>
  <w:footnote w:id="300">
    <w:p w14:paraId="3349ED1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Vella</w:t>
      </w:r>
      <w:r w:rsidRPr="004C6E3E">
        <w:rPr>
          <w:rFonts w:ascii="Times New Roman" w:hAnsi="Times New Roman"/>
          <w:sz w:val="24"/>
        </w:rPr>
        <w:t xml:space="preserve"> (2019) 269 CLR 219 at 292 [188]; see also 277-278 [146]; </w:t>
      </w:r>
      <w:r w:rsidRPr="004C6E3E">
        <w:rPr>
          <w:rFonts w:ascii="Times New Roman" w:hAnsi="Times New Roman"/>
          <w:i/>
          <w:sz w:val="24"/>
        </w:rPr>
        <w:t xml:space="preserve">Benbrika </w:t>
      </w:r>
      <w:r w:rsidRPr="004C6E3E">
        <w:rPr>
          <w:rFonts w:ascii="Times New Roman" w:hAnsi="Times New Roman"/>
          <w:sz w:val="24"/>
        </w:rPr>
        <w:t>(2021) 95 ALJR 166 at 205 [152]; 388 ALR 1 at 45-46.</w:t>
      </w:r>
    </w:p>
  </w:footnote>
  <w:footnote w:id="301">
    <w:p w14:paraId="3618E2D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 xml:space="preserve">(2004) 223 CLR 575 at </w:t>
      </w:r>
      <w:r w:rsidRPr="004C6E3E">
        <w:rPr>
          <w:rFonts w:ascii="Times New Roman" w:hAnsi="Times New Roman"/>
          <w:sz w:val="24"/>
        </w:rPr>
        <w:t>593 [24], 601-602 [43]-[44], 619-622 [106]-[120], 648</w:t>
      </w:r>
      <w:r>
        <w:rPr>
          <w:rFonts w:ascii="Times New Roman" w:hAnsi="Times New Roman"/>
          <w:sz w:val="24"/>
        </w:rPr>
        <w:t> </w:t>
      </w:r>
      <w:r w:rsidRPr="004C6E3E">
        <w:rPr>
          <w:rFonts w:ascii="Times New Roman" w:hAnsi="Times New Roman"/>
          <w:sz w:val="24"/>
        </w:rPr>
        <w:t>[198], 658 [234]</w:t>
      </w:r>
      <w:r w:rsidRPr="004C6E3E">
        <w:rPr>
          <w:rFonts w:ascii="Times New Roman" w:eastAsia="Calibri" w:hAnsi="Times New Roman"/>
          <w:sz w:val="24"/>
        </w:rPr>
        <w:t>.</w:t>
      </w:r>
    </w:p>
  </w:footnote>
  <w:footnote w:id="302">
    <w:p w14:paraId="73C261D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"[S]erious sexual offence" was defined as an offence of a sexual nature involving violence or against children: see </w:t>
      </w:r>
      <w:r w:rsidRPr="004C6E3E">
        <w:rPr>
          <w:rFonts w:ascii="Times New Roman" w:hAnsi="Times New Roman"/>
          <w:i/>
          <w:iCs/>
          <w:sz w:val="24"/>
        </w:rPr>
        <w:t xml:space="preserve">Fardon </w:t>
      </w:r>
      <w:r w:rsidRPr="004C6E3E">
        <w:rPr>
          <w:rFonts w:ascii="Times New Roman" w:eastAsia="Calibri" w:hAnsi="Times New Roman"/>
          <w:sz w:val="24"/>
        </w:rPr>
        <w:t>(2004) 223 CLR 575 at 604 [51]</w:t>
      </w:r>
      <w:r w:rsidRPr="004C6E3E">
        <w:rPr>
          <w:rFonts w:ascii="Times New Roman" w:hAnsi="Times New Roman"/>
          <w:sz w:val="24"/>
        </w:rPr>
        <w:t>.</w:t>
      </w:r>
    </w:p>
  </w:footnote>
  <w:footnote w:id="303">
    <w:p w14:paraId="0331316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at 172-173 [2], 185 [48], 227 [239]; 388 ALR 1 at 3, 19, 74.</w:t>
      </w:r>
    </w:p>
  </w:footnote>
  <w:footnote w:id="304">
    <w:p w14:paraId="114024D7"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The specified terrorism offences were defined as "serious Pt 5.3 offences": see</w:t>
      </w:r>
      <w:r>
        <w:rPr>
          <w:rFonts w:ascii="Times New Roman" w:hAnsi="Times New Roman"/>
          <w:sz w:val="24"/>
        </w:rPr>
        <w:t> </w:t>
      </w:r>
      <w:r w:rsidRPr="004C6E3E">
        <w:rPr>
          <w:rFonts w:ascii="Times New Roman" w:hAnsi="Times New Roman"/>
          <w:i/>
          <w:sz w:val="24"/>
        </w:rPr>
        <w:t xml:space="preserve">Benbrika </w:t>
      </w:r>
      <w:r w:rsidRPr="004C6E3E">
        <w:rPr>
          <w:rFonts w:ascii="Times New Roman" w:hAnsi="Times New Roman"/>
          <w:sz w:val="24"/>
        </w:rPr>
        <w:t>(2021) 95 ALJR 166 at 174 [8], 183</w:t>
      </w:r>
      <w:r w:rsidRPr="004C6E3E">
        <w:rPr>
          <w:rFonts w:ascii="Times New Roman" w:hAnsi="Times New Roman"/>
          <w:sz w:val="24"/>
        </w:rPr>
        <w:noBreakHyphen/>
        <w:t xml:space="preserve">184 [44]; 388 ALR 1 at 5, 17-18. </w:t>
      </w:r>
    </w:p>
  </w:footnote>
  <w:footnote w:id="305">
    <w:p w14:paraId="64D2145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(2004) 223 CLR 575.</w:t>
      </w:r>
    </w:p>
  </w:footnote>
  <w:footnote w:id="306">
    <w:p w14:paraId="6A631BF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388 ALR 1.</w:t>
      </w:r>
    </w:p>
  </w:footnote>
  <w:footnote w:id="307">
    <w:p w14:paraId="773545D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388 ALR 1.</w:t>
      </w:r>
    </w:p>
  </w:footnote>
  <w:footnote w:id="308">
    <w:p w14:paraId="51C6661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sz w:val="24"/>
        </w:rPr>
        <w:t xml:space="preserve">Benbrika </w:t>
      </w:r>
      <w:r w:rsidRPr="004C6E3E">
        <w:rPr>
          <w:rFonts w:ascii="Times New Roman" w:hAnsi="Times New Roman"/>
          <w:sz w:val="24"/>
        </w:rPr>
        <w:t>(2021) 95 ALJR 166 at 187 [64], 193-194 [93], [97], 195 [100]-[101], 209</w:t>
      </w:r>
      <w:r>
        <w:rPr>
          <w:rFonts w:ascii="Times New Roman" w:hAnsi="Times New Roman"/>
          <w:sz w:val="24"/>
        </w:rPr>
        <w:t> </w:t>
      </w:r>
      <w:r w:rsidRPr="004C6E3E">
        <w:rPr>
          <w:rFonts w:ascii="Times New Roman" w:hAnsi="Times New Roman"/>
          <w:sz w:val="24"/>
        </w:rPr>
        <w:t>[168]-[170], 210 [175]; see also 210 [177]; 388 ALR 1 at 22, 30, 31, 32, 50-51, 51-52; see also 52.</w:t>
      </w:r>
    </w:p>
  </w:footnote>
  <w:footnote w:id="309">
    <w:p w14:paraId="434821CE"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(2004) 223 CLR 575.</w:t>
      </w:r>
    </w:p>
  </w:footnote>
  <w:footnote w:id="310">
    <w:p w14:paraId="4145A95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388 ALR 1.</w:t>
      </w:r>
    </w:p>
  </w:footnote>
  <w:footnote w:id="311">
    <w:p w14:paraId="287D34D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Floud and Young, </w:t>
      </w:r>
      <w:r w:rsidRPr="004C6E3E">
        <w:rPr>
          <w:rFonts w:ascii="Times New Roman" w:hAnsi="Times New Roman"/>
          <w:i/>
          <w:iCs/>
          <w:sz w:val="24"/>
        </w:rPr>
        <w:t>Dangerousness and Criminal Justice</w:t>
      </w:r>
      <w:r w:rsidRPr="004C6E3E">
        <w:rPr>
          <w:rFonts w:ascii="Times New Roman" w:hAnsi="Times New Roman"/>
          <w:sz w:val="24"/>
        </w:rPr>
        <w:t xml:space="preserve"> (1981) at 50.</w:t>
      </w:r>
    </w:p>
  </w:footnote>
  <w:footnote w:id="312">
    <w:p w14:paraId="6661AABF"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Guttmacher and Weihofen, </w:t>
      </w:r>
      <w:r w:rsidRPr="004C6E3E">
        <w:rPr>
          <w:rFonts w:ascii="Times New Roman" w:hAnsi="Times New Roman"/>
          <w:i/>
          <w:iCs/>
          <w:sz w:val="24"/>
        </w:rPr>
        <w:t>Psychiatry and The Law</w:t>
      </w:r>
      <w:r w:rsidRPr="004C6E3E">
        <w:rPr>
          <w:rFonts w:ascii="Times New Roman" w:hAnsi="Times New Roman"/>
          <w:sz w:val="24"/>
        </w:rPr>
        <w:t xml:space="preserve"> (1952) at 110, 113; Zedner,</w:t>
      </w:r>
      <w:r>
        <w:rPr>
          <w:rFonts w:ascii="Times New Roman" w:hAnsi="Times New Roman"/>
          <w:sz w:val="24"/>
        </w:rPr>
        <w:t> </w:t>
      </w:r>
      <w:r w:rsidRPr="004C6E3E">
        <w:rPr>
          <w:rFonts w:ascii="Times New Roman" w:hAnsi="Times New Roman"/>
          <w:sz w:val="24"/>
        </w:rPr>
        <w:t xml:space="preserve">"Sexual Offences", in Stockdale and Casale (eds), </w:t>
      </w:r>
      <w:r w:rsidRPr="004C6E3E">
        <w:rPr>
          <w:rFonts w:ascii="Times New Roman" w:hAnsi="Times New Roman"/>
          <w:i/>
          <w:iCs/>
          <w:sz w:val="24"/>
        </w:rPr>
        <w:t>Criminal Justice Under Stress</w:t>
      </w:r>
      <w:r w:rsidRPr="004C6E3E">
        <w:rPr>
          <w:rFonts w:ascii="Times New Roman" w:hAnsi="Times New Roman"/>
          <w:sz w:val="24"/>
        </w:rPr>
        <w:t xml:space="preserve"> (1992) 265 at 274-283; Gunn and Taylor (eds), </w:t>
      </w:r>
      <w:r w:rsidRPr="004C6E3E">
        <w:rPr>
          <w:rFonts w:ascii="Times New Roman" w:hAnsi="Times New Roman"/>
          <w:i/>
          <w:sz w:val="24"/>
        </w:rPr>
        <w:t>Forensic Psychiatry: Clinical,</w:t>
      </w:r>
      <w:r>
        <w:rPr>
          <w:rFonts w:ascii="Times New Roman" w:hAnsi="Times New Roman"/>
          <w:i/>
          <w:sz w:val="24"/>
        </w:rPr>
        <w:t> </w:t>
      </w:r>
      <w:r w:rsidRPr="004C6E3E">
        <w:rPr>
          <w:rFonts w:ascii="Times New Roman" w:hAnsi="Times New Roman"/>
          <w:i/>
          <w:sz w:val="24"/>
        </w:rPr>
        <w:t>Legal and Ethical Issues</w:t>
      </w:r>
      <w:r w:rsidRPr="004C6E3E">
        <w:rPr>
          <w:rFonts w:ascii="Times New Roman" w:hAnsi="Times New Roman"/>
          <w:sz w:val="24"/>
        </w:rPr>
        <w:t xml:space="preserve"> (1993) at 323, 567; Beckett, "Assessment of Sex Offenders", in Morrison, Erooga and Beckett (eds), </w:t>
      </w:r>
      <w:r w:rsidRPr="004C6E3E">
        <w:rPr>
          <w:rFonts w:ascii="Times New Roman" w:hAnsi="Times New Roman"/>
          <w:i/>
          <w:iCs/>
          <w:sz w:val="24"/>
        </w:rPr>
        <w:t>Sexual Offending Against Children: Assessment and Treatment of Male Abusers</w:t>
      </w:r>
      <w:r w:rsidRPr="004C6E3E">
        <w:rPr>
          <w:rFonts w:ascii="Times New Roman" w:hAnsi="Times New Roman"/>
          <w:sz w:val="24"/>
        </w:rPr>
        <w:t xml:space="preserve"> (1994) 55; Commonwealth,</w:t>
      </w:r>
      <w:r>
        <w:rPr>
          <w:rFonts w:ascii="Times New Roman" w:hAnsi="Times New Roman"/>
          <w:sz w:val="24"/>
        </w:rPr>
        <w:t> </w:t>
      </w:r>
      <w:r w:rsidRPr="004C6E3E">
        <w:rPr>
          <w:rFonts w:ascii="Times New Roman" w:hAnsi="Times New Roman"/>
          <w:i/>
          <w:iCs/>
          <w:sz w:val="24"/>
        </w:rPr>
        <w:t>Royal Commission into Institutional Responses to Child Sexual Abuse: Final Report</w:t>
      </w:r>
      <w:r w:rsidRPr="004C6E3E">
        <w:rPr>
          <w:rFonts w:ascii="Times New Roman" w:hAnsi="Times New Roman"/>
          <w:sz w:val="24"/>
        </w:rPr>
        <w:t xml:space="preserve"> (2017), vol 2 at 138, 206 fn 20. See also </w:t>
      </w:r>
      <w:r w:rsidRPr="004C6E3E">
        <w:rPr>
          <w:rFonts w:ascii="Times New Roman" w:hAnsi="Times New Roman"/>
          <w:i/>
          <w:iCs/>
          <w:sz w:val="24"/>
        </w:rPr>
        <w:t xml:space="preserve">Fardon </w:t>
      </w:r>
      <w:r w:rsidRPr="004C6E3E">
        <w:rPr>
          <w:rFonts w:ascii="Times New Roman" w:eastAsia="Calibri" w:hAnsi="Times New Roman"/>
          <w:sz w:val="24"/>
        </w:rPr>
        <w:t xml:space="preserve">(2004) 223 CLR 575 at </w:t>
      </w:r>
      <w:r w:rsidRPr="004C6E3E">
        <w:rPr>
          <w:rFonts w:ascii="Times New Roman" w:hAnsi="Times New Roman"/>
          <w:sz w:val="24"/>
        </w:rPr>
        <w:t xml:space="preserve">588 [9], quoting </w:t>
      </w:r>
      <w:r w:rsidRPr="004C6E3E">
        <w:rPr>
          <w:rFonts w:ascii="Times New Roman" w:hAnsi="Times New Roman"/>
          <w:i/>
          <w:iCs/>
          <w:sz w:val="24"/>
        </w:rPr>
        <w:t>Veen v The Queen [No 2]</w:t>
      </w:r>
      <w:r w:rsidRPr="004C6E3E">
        <w:rPr>
          <w:rFonts w:ascii="Times New Roman" w:hAnsi="Times New Roman"/>
          <w:sz w:val="24"/>
        </w:rPr>
        <w:t xml:space="preserve"> (1988) 164 CLR 465 at 495; </w:t>
      </w:r>
      <w:r w:rsidRPr="004C6E3E">
        <w:rPr>
          <w:rFonts w:ascii="Times New Roman" w:hAnsi="Times New Roman"/>
          <w:i/>
          <w:iCs/>
          <w:sz w:val="24"/>
        </w:rPr>
        <w:t>Kansas v Crane</w:t>
      </w:r>
      <w:r w:rsidRPr="004C6E3E">
        <w:rPr>
          <w:rFonts w:ascii="Times New Roman" w:hAnsi="Times New Roman"/>
          <w:sz w:val="24"/>
        </w:rPr>
        <w:t xml:space="preserve"> (2002) 534 US 407 at 413, 415.</w:t>
      </w:r>
    </w:p>
  </w:footnote>
  <w:footnote w:id="313">
    <w:p w14:paraId="4BE03E8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"Paedophilia or paedophilic disorder is a psychiatric diagnosis which indicates a sustained sexual preference towards prepubescent children": Commonwealth, </w:t>
      </w:r>
      <w:r w:rsidRPr="004C6E3E">
        <w:rPr>
          <w:rFonts w:ascii="Times New Roman" w:hAnsi="Times New Roman"/>
          <w:i/>
          <w:iCs/>
          <w:sz w:val="24"/>
        </w:rPr>
        <w:t>Royal</w:t>
      </w:r>
      <w:r>
        <w:rPr>
          <w:rFonts w:ascii="Times New Roman" w:hAnsi="Times New Roman"/>
          <w:i/>
          <w:iCs/>
          <w:sz w:val="24"/>
        </w:rPr>
        <w:t> </w:t>
      </w:r>
      <w:r w:rsidRPr="004C6E3E">
        <w:rPr>
          <w:rFonts w:ascii="Times New Roman" w:hAnsi="Times New Roman"/>
          <w:i/>
          <w:iCs/>
          <w:sz w:val="24"/>
        </w:rPr>
        <w:t>Commission into Institutional Responses to Child Sexual Abuse: Final Report</w:t>
      </w:r>
      <w:r w:rsidRPr="004C6E3E">
        <w:rPr>
          <w:rFonts w:ascii="Times New Roman" w:hAnsi="Times New Roman"/>
          <w:sz w:val="24"/>
        </w:rPr>
        <w:t xml:space="preserve"> (2017), vol 2 at 206 fn 20. See also Guttmacher and Weihofen, </w:t>
      </w:r>
      <w:r w:rsidRPr="004C6E3E">
        <w:rPr>
          <w:rFonts w:ascii="Times New Roman" w:hAnsi="Times New Roman"/>
          <w:i/>
          <w:iCs/>
          <w:sz w:val="24"/>
        </w:rPr>
        <w:t>Psychiatry and The Law</w:t>
      </w:r>
      <w:r w:rsidRPr="004C6E3E">
        <w:rPr>
          <w:rFonts w:ascii="Times New Roman" w:hAnsi="Times New Roman"/>
          <w:sz w:val="24"/>
        </w:rPr>
        <w:t xml:space="preserve"> (1952) at 115; Glaser, "Paedophilia: The Public Health Problem of the Decade", in James (ed), </w:t>
      </w:r>
      <w:r w:rsidRPr="004C6E3E">
        <w:rPr>
          <w:rFonts w:ascii="Times New Roman" w:hAnsi="Times New Roman"/>
          <w:i/>
          <w:iCs/>
          <w:sz w:val="24"/>
        </w:rPr>
        <w:t>Paedophilia: Policy and Prevention</w:t>
      </w:r>
      <w:r w:rsidRPr="004C6E3E">
        <w:rPr>
          <w:rFonts w:ascii="Times New Roman" w:hAnsi="Times New Roman"/>
          <w:sz w:val="24"/>
        </w:rPr>
        <w:t xml:space="preserve"> (1997) 4 at 6; </w:t>
      </w:r>
      <w:r w:rsidRPr="004C6E3E">
        <w:rPr>
          <w:rFonts w:ascii="Times New Roman" w:hAnsi="Times New Roman"/>
          <w:i/>
          <w:iCs/>
          <w:sz w:val="24"/>
        </w:rPr>
        <w:t xml:space="preserve">Kansas </w:t>
      </w:r>
      <w:r w:rsidRPr="004C6E3E">
        <w:rPr>
          <w:rFonts w:ascii="Times New Roman" w:hAnsi="Times New Roman"/>
          <w:sz w:val="24"/>
        </w:rPr>
        <w:t>(2002) 534 US 407 at 414.</w:t>
      </w:r>
    </w:p>
  </w:footnote>
  <w:footnote w:id="314">
    <w:p w14:paraId="74CB6C0D"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Ashworth and Zedner, </w:t>
      </w:r>
      <w:r w:rsidRPr="004C6E3E">
        <w:rPr>
          <w:rFonts w:ascii="Times New Roman" w:hAnsi="Times New Roman"/>
          <w:i/>
          <w:sz w:val="24"/>
        </w:rPr>
        <w:t>Preventive Justice</w:t>
      </w:r>
      <w:r w:rsidRPr="004C6E3E">
        <w:rPr>
          <w:rFonts w:ascii="Times New Roman" w:hAnsi="Times New Roman"/>
          <w:sz w:val="24"/>
        </w:rPr>
        <w:t xml:space="preserve"> (2014) at 179, quoting Waldron, </w:t>
      </w:r>
      <w:r w:rsidRPr="004C6E3E">
        <w:rPr>
          <w:rFonts w:ascii="Times New Roman" w:hAnsi="Times New Roman"/>
          <w:i/>
          <w:sz w:val="24"/>
        </w:rPr>
        <w:t>Torture,</w:t>
      </w:r>
      <w:r>
        <w:rPr>
          <w:rFonts w:ascii="Times New Roman" w:hAnsi="Times New Roman"/>
          <w:i/>
          <w:sz w:val="24"/>
        </w:rPr>
        <w:t> </w:t>
      </w:r>
      <w:r w:rsidRPr="004C6E3E">
        <w:rPr>
          <w:rFonts w:ascii="Times New Roman" w:hAnsi="Times New Roman"/>
          <w:i/>
          <w:sz w:val="24"/>
        </w:rPr>
        <w:t>Terror, and Trade-Offs: Philosophy for the White House</w:t>
      </w:r>
      <w:r w:rsidRPr="004C6E3E">
        <w:rPr>
          <w:rFonts w:ascii="Times New Roman" w:hAnsi="Times New Roman"/>
          <w:sz w:val="24"/>
        </w:rPr>
        <w:t xml:space="preserve"> (2010) at 49.</w:t>
      </w:r>
    </w:p>
  </w:footnote>
  <w:footnote w:id="315">
    <w:p w14:paraId="3AFD129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Ruddock, "Law as a Preventative Weapon Against Terrorism", in Lynch, MacDonald and Williams (eds), </w:t>
      </w:r>
      <w:r w:rsidRPr="004C6E3E">
        <w:rPr>
          <w:rFonts w:ascii="Times New Roman" w:hAnsi="Times New Roman"/>
          <w:i/>
          <w:sz w:val="24"/>
        </w:rPr>
        <w:t>Law and Liberty in the War on Terror</w:t>
      </w:r>
      <w:r w:rsidRPr="004C6E3E">
        <w:rPr>
          <w:rFonts w:ascii="Times New Roman" w:hAnsi="Times New Roman"/>
          <w:sz w:val="24"/>
        </w:rPr>
        <w:t xml:space="preserve"> (2007) 3 at 5. See also Conte, </w:t>
      </w:r>
      <w:r w:rsidRPr="004C6E3E">
        <w:rPr>
          <w:rFonts w:ascii="Times New Roman" w:hAnsi="Times New Roman"/>
          <w:i/>
          <w:iCs/>
          <w:sz w:val="24"/>
        </w:rPr>
        <w:t xml:space="preserve">Human Rights in the Prevention and Punishment of Terrorism – Commonwealth Approaches: The United Kingdom, Canada, </w:t>
      </w:r>
      <w:proofErr w:type="gramStart"/>
      <w:r w:rsidRPr="004C6E3E">
        <w:rPr>
          <w:rFonts w:ascii="Times New Roman" w:hAnsi="Times New Roman"/>
          <w:i/>
          <w:iCs/>
          <w:sz w:val="24"/>
        </w:rPr>
        <w:t>Australia</w:t>
      </w:r>
      <w:proofErr w:type="gramEnd"/>
      <w:r w:rsidRPr="004C6E3E">
        <w:rPr>
          <w:rFonts w:ascii="Times New Roman" w:hAnsi="Times New Roman"/>
          <w:i/>
          <w:iCs/>
          <w:sz w:val="24"/>
        </w:rPr>
        <w:t xml:space="preserve"> and New Zealand</w:t>
      </w:r>
      <w:r w:rsidRPr="004C6E3E">
        <w:rPr>
          <w:rFonts w:ascii="Times New Roman" w:hAnsi="Times New Roman"/>
          <w:sz w:val="24"/>
        </w:rPr>
        <w:t xml:space="preserve"> (2010) at 9-11.</w:t>
      </w:r>
    </w:p>
  </w:footnote>
  <w:footnote w:id="316">
    <w:p w14:paraId="19BF7CB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(2021) 95 ALJR 166 at 181 [36]; 388 ALR 1 at 14.</w:t>
      </w:r>
    </w:p>
  </w:footnote>
  <w:footnote w:id="317">
    <w:p w14:paraId="6220E327"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HRSO Act, s 5; see also Sch 1, Divs 1 and 2.</w:t>
      </w:r>
    </w:p>
  </w:footnote>
  <w:footnote w:id="318">
    <w:p w14:paraId="22B74B7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Vella</w:t>
      </w:r>
      <w:r w:rsidRPr="004C6E3E">
        <w:rPr>
          <w:rFonts w:ascii="Times New Roman" w:hAnsi="Times New Roman"/>
          <w:sz w:val="24"/>
        </w:rPr>
        <w:t xml:space="preserve"> (2019) 269 CLR 219 at 294 [197]; </w:t>
      </w:r>
      <w:r w:rsidRPr="004C6E3E">
        <w:rPr>
          <w:rFonts w:ascii="Times New Roman" w:hAnsi="Times New Roman"/>
          <w:i/>
          <w:iCs/>
          <w:sz w:val="24"/>
        </w:rPr>
        <w:t>Benbrika</w:t>
      </w:r>
      <w:r w:rsidRPr="004C6E3E">
        <w:rPr>
          <w:rFonts w:ascii="Times New Roman" w:hAnsi="Times New Roman"/>
          <w:sz w:val="24"/>
        </w:rPr>
        <w:t xml:space="preserve"> (2021) 95 ALJR 166 at 206 [157]; 388 ALR 1 at 47.</w:t>
      </w:r>
    </w:p>
  </w:footnote>
  <w:footnote w:id="319">
    <w:p w14:paraId="6CD747E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Benbrika</w:t>
      </w:r>
      <w:r w:rsidRPr="004C6E3E">
        <w:rPr>
          <w:rFonts w:ascii="Times New Roman" w:hAnsi="Times New Roman"/>
          <w:sz w:val="24"/>
        </w:rPr>
        <w:t xml:space="preserve"> (2021) 95 ALJR 166 at 209 [168]; 388 ALR 1 at 50.</w:t>
      </w:r>
    </w:p>
  </w:footnote>
  <w:footnote w:id="320">
    <w:p w14:paraId="19EE7F27"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i/>
          <w:iCs/>
          <w:sz w:val="24"/>
        </w:rPr>
        <w:tab/>
      </w:r>
      <w:r w:rsidRPr="004C6E3E">
        <w:rPr>
          <w:rFonts w:ascii="Times New Roman" w:hAnsi="Times New Roman"/>
          <w:sz w:val="24"/>
        </w:rPr>
        <w:t>cf</w:t>
      </w:r>
      <w:r w:rsidRPr="004C6E3E">
        <w:rPr>
          <w:rFonts w:ascii="Times New Roman" w:hAnsi="Times New Roman"/>
          <w:i/>
          <w:iCs/>
          <w:sz w:val="24"/>
        </w:rPr>
        <w:t xml:space="preserve"> Benbrika</w:t>
      </w:r>
      <w:r w:rsidRPr="004C6E3E">
        <w:rPr>
          <w:rFonts w:ascii="Times New Roman" w:hAnsi="Times New Roman"/>
          <w:sz w:val="24"/>
        </w:rPr>
        <w:t xml:space="preserve"> (2021) 95 ALJR 166 at 191 [79]; 388 ALR 1 at 27. See also</w:t>
      </w:r>
      <w:r w:rsidRPr="004C6E3E">
        <w:rPr>
          <w:rFonts w:ascii="Times New Roman" w:hAnsi="Times New Roman"/>
          <w:i/>
          <w:iCs/>
          <w:sz w:val="24"/>
        </w:rPr>
        <w:t xml:space="preserve"> Fardon </w:t>
      </w:r>
      <w:r w:rsidRPr="004C6E3E">
        <w:rPr>
          <w:rFonts w:ascii="Times New Roman" w:eastAsia="Calibri" w:hAnsi="Times New Roman"/>
          <w:sz w:val="24"/>
        </w:rPr>
        <w:t xml:space="preserve">(2004) 223 CLR 575 at </w:t>
      </w:r>
      <w:r w:rsidRPr="004C6E3E">
        <w:rPr>
          <w:rFonts w:ascii="Times New Roman" w:hAnsi="Times New Roman"/>
          <w:sz w:val="24"/>
        </w:rPr>
        <w:t xml:space="preserve">588 [9], quoting </w:t>
      </w:r>
      <w:r w:rsidRPr="004C6E3E">
        <w:rPr>
          <w:rFonts w:ascii="Times New Roman" w:hAnsi="Times New Roman"/>
          <w:i/>
          <w:iCs/>
          <w:sz w:val="24"/>
        </w:rPr>
        <w:t>Veen </w:t>
      </w:r>
      <w:r w:rsidRPr="004C6E3E">
        <w:rPr>
          <w:rFonts w:ascii="Times New Roman" w:hAnsi="Times New Roman"/>
          <w:sz w:val="24"/>
        </w:rPr>
        <w:t>(1988) 164 CLR 465 at 495.</w:t>
      </w:r>
    </w:p>
  </w:footnote>
  <w:footnote w:id="321">
    <w:p w14:paraId="6D90B5F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See HRSO Act, ss 3 definitions of "offender" and "serious offender under custodial sentence", 7(1), 7(3)(</w:t>
      </w:r>
      <w:proofErr w:type="gramStart"/>
      <w:r w:rsidRPr="004C6E3E">
        <w:rPr>
          <w:rFonts w:ascii="Times New Roman" w:hAnsi="Times New Roman"/>
          <w:sz w:val="24"/>
        </w:rPr>
        <w:t>c)-(</w:t>
      </w:r>
      <w:proofErr w:type="gramEnd"/>
      <w:r w:rsidRPr="004C6E3E">
        <w:rPr>
          <w:rFonts w:ascii="Times New Roman" w:hAnsi="Times New Roman"/>
          <w:sz w:val="24"/>
        </w:rPr>
        <w:t xml:space="preserve">d), 7(3)(g)-(i). cf </w:t>
      </w:r>
      <w:r w:rsidRPr="004C6E3E">
        <w:rPr>
          <w:rFonts w:ascii="Times New Roman" w:hAnsi="Times New Roman"/>
          <w:i/>
          <w:iCs/>
          <w:sz w:val="24"/>
        </w:rPr>
        <w:t xml:space="preserve">Fardon </w:t>
      </w:r>
      <w:r w:rsidRPr="004C6E3E">
        <w:rPr>
          <w:rFonts w:ascii="Times New Roman" w:eastAsia="Calibri" w:hAnsi="Times New Roman"/>
          <w:sz w:val="24"/>
        </w:rPr>
        <w:t>(2004) 223 CLR 575 at 619 [108].</w:t>
      </w:r>
    </w:p>
  </w:footnote>
  <w:footnote w:id="322">
    <w:p w14:paraId="63A274F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HRSO Act, ss 7(3)(a), 46(2)(a), 74. cf </w:t>
      </w:r>
      <w:r w:rsidRPr="004C6E3E">
        <w:rPr>
          <w:rFonts w:ascii="Times New Roman" w:hAnsi="Times New Roman"/>
          <w:i/>
          <w:iCs/>
          <w:sz w:val="24"/>
        </w:rPr>
        <w:t xml:space="preserve">Fardon </w:t>
      </w:r>
      <w:r w:rsidRPr="004C6E3E">
        <w:rPr>
          <w:rFonts w:ascii="Times New Roman" w:eastAsia="Calibri" w:hAnsi="Times New Roman"/>
          <w:sz w:val="24"/>
        </w:rPr>
        <w:t xml:space="preserve">(2004) 223 CLR 575 at 656 [222]; </w:t>
      </w:r>
      <w:r w:rsidRPr="004C6E3E">
        <w:rPr>
          <w:rFonts w:ascii="Times New Roman" w:hAnsi="Times New Roman"/>
          <w:i/>
          <w:iCs/>
          <w:sz w:val="24"/>
        </w:rPr>
        <w:t>Benbrika</w:t>
      </w:r>
      <w:r w:rsidRPr="004C6E3E">
        <w:rPr>
          <w:rFonts w:ascii="Times New Roman" w:hAnsi="Times New Roman"/>
          <w:sz w:val="24"/>
        </w:rPr>
        <w:t xml:space="preserve"> (2021) 95 ALJR 166 at 174 [9]; 388 ALR 1 at 5</w:t>
      </w:r>
      <w:r w:rsidRPr="004C6E3E">
        <w:rPr>
          <w:rFonts w:ascii="Times New Roman" w:eastAsia="Calibri" w:hAnsi="Times New Roman"/>
          <w:sz w:val="24"/>
        </w:rPr>
        <w:t>.</w:t>
      </w:r>
    </w:p>
  </w:footnote>
  <w:footnote w:id="323">
    <w:p w14:paraId="6A6D06B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sz w:val="24"/>
        </w:rPr>
        <w:t xml:space="preserve">Western Australia v </w:t>
      </w:r>
      <w:proofErr w:type="gramStart"/>
      <w:r w:rsidRPr="004C6E3E">
        <w:rPr>
          <w:rFonts w:ascii="Times New Roman" w:hAnsi="Times New Roman"/>
          <w:i/>
          <w:sz w:val="24"/>
        </w:rPr>
        <w:t>The</w:t>
      </w:r>
      <w:proofErr w:type="gramEnd"/>
      <w:r w:rsidRPr="004C6E3E">
        <w:rPr>
          <w:rFonts w:ascii="Times New Roman" w:hAnsi="Times New Roman"/>
          <w:i/>
          <w:sz w:val="24"/>
        </w:rPr>
        <w:t xml:space="preserve"> Commonwealth </w:t>
      </w:r>
      <w:r w:rsidRPr="004C6E3E">
        <w:rPr>
          <w:rFonts w:ascii="Times New Roman" w:hAnsi="Times New Roman"/>
          <w:sz w:val="24"/>
        </w:rPr>
        <w:t xml:space="preserve">(1975) 134 CLR 201 at 275; </w:t>
      </w:r>
      <w:r w:rsidRPr="004C6E3E">
        <w:rPr>
          <w:rFonts w:ascii="Times New Roman" w:hAnsi="Times New Roman"/>
          <w:i/>
          <w:sz w:val="24"/>
        </w:rPr>
        <w:t>Kartinyeri</w:t>
      </w:r>
      <w:r>
        <w:rPr>
          <w:rFonts w:ascii="Times New Roman" w:hAnsi="Times New Roman"/>
          <w:i/>
          <w:sz w:val="24"/>
        </w:rPr>
        <w:t> </w:t>
      </w:r>
      <w:r w:rsidRPr="004C6E3E">
        <w:rPr>
          <w:rFonts w:ascii="Times New Roman" w:hAnsi="Times New Roman"/>
          <w:i/>
          <w:sz w:val="24"/>
        </w:rPr>
        <w:t xml:space="preserve">v The Commonwealth </w:t>
      </w:r>
      <w:r w:rsidRPr="004C6E3E">
        <w:rPr>
          <w:rFonts w:ascii="Times New Roman" w:hAnsi="Times New Roman"/>
          <w:sz w:val="24"/>
        </w:rPr>
        <w:t xml:space="preserve">(1998) 195 CLR 337 at 380-381 [88]; </w:t>
      </w:r>
      <w:r w:rsidRPr="004C6E3E">
        <w:rPr>
          <w:rFonts w:ascii="Times New Roman" w:hAnsi="Times New Roman"/>
          <w:i/>
          <w:sz w:val="24"/>
        </w:rPr>
        <w:t xml:space="preserve">Egan v Willis </w:t>
      </w:r>
      <w:r w:rsidRPr="004C6E3E">
        <w:rPr>
          <w:rFonts w:ascii="Times New Roman" w:hAnsi="Times New Roman"/>
          <w:sz w:val="24"/>
        </w:rPr>
        <w:t xml:space="preserve">(1998) 195 CLR 424 at 505 [160]; </w:t>
      </w:r>
      <w:r w:rsidRPr="004C6E3E">
        <w:rPr>
          <w:rFonts w:ascii="Times New Roman" w:hAnsi="Times New Roman"/>
          <w:i/>
          <w:sz w:val="24"/>
        </w:rPr>
        <w:t xml:space="preserve">Singh v The Commonwealth </w:t>
      </w:r>
      <w:r w:rsidRPr="004C6E3E">
        <w:rPr>
          <w:rFonts w:ascii="Times New Roman" w:hAnsi="Times New Roman"/>
          <w:sz w:val="24"/>
        </w:rPr>
        <w:t xml:space="preserve">(2004) 222 CLR 322 at 384 [155], see also 418 [268]-[269]; </w:t>
      </w:r>
      <w:r w:rsidRPr="004C6E3E">
        <w:rPr>
          <w:rFonts w:ascii="Times New Roman" w:hAnsi="Times New Roman"/>
          <w:i/>
          <w:sz w:val="24"/>
        </w:rPr>
        <w:t xml:space="preserve">XYZ v The Commonwealth </w:t>
      </w:r>
      <w:r w:rsidRPr="004C6E3E">
        <w:rPr>
          <w:rFonts w:ascii="Times New Roman" w:hAnsi="Times New Roman"/>
          <w:sz w:val="24"/>
        </w:rPr>
        <w:t>(2006) 227 CLR 532 at 549 [39].</w:t>
      </w:r>
    </w:p>
  </w:footnote>
  <w:footnote w:id="324">
    <w:p w14:paraId="73A740B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iCs/>
          <w:sz w:val="24"/>
        </w:rPr>
        <w:t xml:space="preserve">Fardon </w:t>
      </w:r>
      <w:r w:rsidRPr="004C6E3E">
        <w:rPr>
          <w:rFonts w:ascii="Times New Roman" w:eastAsia="Calibri" w:hAnsi="Times New Roman"/>
          <w:sz w:val="24"/>
        </w:rPr>
        <w:t>(2004) 223 CLR 575 at 613 [83].</w:t>
      </w:r>
    </w:p>
  </w:footnote>
  <w:footnote w:id="325">
    <w:p w14:paraId="7269B890"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1 [8].</w:t>
      </w:r>
    </w:p>
  </w:footnote>
  <w:footnote w:id="326">
    <w:p w14:paraId="5CDA6CA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1 [8].</w:t>
      </w:r>
    </w:p>
  </w:footnote>
  <w:footnote w:id="327">
    <w:p w14:paraId="4287957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iCs/>
          <w:sz w:val="24"/>
        </w:rPr>
        <w:t>Criminal Justice Act 1948</w:t>
      </w:r>
      <w:r w:rsidRPr="004C6E3E">
        <w:rPr>
          <w:rFonts w:ascii="Times New Roman" w:hAnsi="Times New Roman"/>
          <w:sz w:val="24"/>
        </w:rPr>
        <w:t xml:space="preserve"> (UK), s 21.</w:t>
      </w:r>
    </w:p>
  </w:footnote>
  <w:footnote w:id="328">
    <w:p w14:paraId="667CE82A"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United Kingdom, Home Office,</w:t>
      </w:r>
      <w:r w:rsidRPr="004C6E3E">
        <w:rPr>
          <w:rFonts w:ascii="Times New Roman" w:hAnsi="Times New Roman"/>
          <w:i/>
          <w:iCs/>
          <w:sz w:val="24"/>
        </w:rPr>
        <w:t xml:space="preserve"> Preventive Detention: Report of the Advisory Council on the Treatment of Offenders </w:t>
      </w:r>
      <w:r w:rsidRPr="004C6E3E">
        <w:rPr>
          <w:rFonts w:ascii="Times New Roman" w:hAnsi="Times New Roman"/>
          <w:sz w:val="24"/>
        </w:rPr>
        <w:t>(1963) at 5 [17].</w:t>
      </w:r>
    </w:p>
  </w:footnote>
  <w:footnote w:id="329">
    <w:p w14:paraId="60E38479"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7</w:t>
      </w:r>
      <w:r w:rsidRPr="004C6E3E">
        <w:rPr>
          <w:rFonts w:ascii="Times New Roman" w:hAnsi="Times New Roman"/>
          <w:sz w:val="24"/>
        </w:rPr>
        <w:noBreakHyphen/>
        <w:t>8 [21].</w:t>
      </w:r>
    </w:p>
  </w:footnote>
  <w:footnote w:id="330">
    <w:p w14:paraId="135E016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8 [21].</w:t>
      </w:r>
    </w:p>
  </w:footnote>
  <w:footnote w:id="331">
    <w:p w14:paraId="1868B86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8 [21].</w:t>
      </w:r>
    </w:p>
  </w:footnote>
  <w:footnote w:id="332">
    <w:p w14:paraId="0476A45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Williamson v United States</w:t>
      </w:r>
      <w:r w:rsidRPr="004C6E3E">
        <w:rPr>
          <w:rFonts w:ascii="Times New Roman" w:hAnsi="Times New Roman"/>
          <w:sz w:val="24"/>
        </w:rPr>
        <w:t xml:space="preserve"> (1950) 184 F 2d 280 at 282.</w:t>
      </w:r>
    </w:p>
  </w:footnote>
  <w:footnote w:id="333">
    <w:p w14:paraId="568BEA3C"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Benbrika</w:t>
      </w:r>
      <w:r w:rsidRPr="004C6E3E">
        <w:rPr>
          <w:rFonts w:ascii="Times New Roman" w:hAnsi="Times New Roman"/>
          <w:sz w:val="24"/>
        </w:rPr>
        <w:t xml:space="preserve"> (2021) 95 ALJR 166 at 209 [167]; 388 ALR 1 at 50.</w:t>
      </w:r>
    </w:p>
  </w:footnote>
  <w:footnote w:id="334">
    <w:p w14:paraId="50A5DBF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United Kingdom, Home Office, </w:t>
      </w:r>
      <w:r w:rsidRPr="004C6E3E">
        <w:rPr>
          <w:rFonts w:ascii="Times New Roman" w:hAnsi="Times New Roman"/>
          <w:i/>
          <w:iCs/>
          <w:sz w:val="24"/>
        </w:rPr>
        <w:t>Preventive Detention: Report of the Advisory Council on the Treatment of Offenders</w:t>
      </w:r>
      <w:r w:rsidRPr="004C6E3E">
        <w:rPr>
          <w:rFonts w:ascii="Times New Roman" w:hAnsi="Times New Roman"/>
          <w:sz w:val="24"/>
        </w:rPr>
        <w:t xml:space="preserve"> (1963) at 1 [7].</w:t>
      </w:r>
    </w:p>
  </w:footnote>
  <w:footnote w:id="335">
    <w:p w14:paraId="05F42FE2"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 xml:space="preserve">Fardon </w:t>
      </w:r>
      <w:r w:rsidRPr="004C6E3E">
        <w:rPr>
          <w:rFonts w:ascii="Times New Roman" w:eastAsia="Calibri" w:hAnsi="Times New Roman"/>
          <w:sz w:val="24"/>
        </w:rPr>
        <w:t>(2004) 223 CLR 575 at 592 [20].</w:t>
      </w:r>
    </w:p>
  </w:footnote>
  <w:footnote w:id="336">
    <w:p w14:paraId="03DD9778"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eastAsia="Calibri" w:hAnsi="Times New Roman"/>
          <w:sz w:val="24"/>
        </w:rPr>
        <w:t>(2004) 223 CLR 575 at 592 [20].</w:t>
      </w:r>
    </w:p>
  </w:footnote>
  <w:footnote w:id="337">
    <w:p w14:paraId="67088A1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Chief Executive Officer of Customs v Labrador</w:t>
      </w:r>
      <w:r w:rsidRPr="004C6E3E">
        <w:rPr>
          <w:rFonts w:ascii="Times New Roman" w:hAnsi="Times New Roman"/>
          <w:sz w:val="24"/>
        </w:rPr>
        <w:t xml:space="preserve"> </w:t>
      </w:r>
      <w:r w:rsidRPr="004C6E3E">
        <w:rPr>
          <w:rFonts w:ascii="Times New Roman" w:hAnsi="Times New Roman"/>
          <w:i/>
          <w:iCs/>
          <w:sz w:val="24"/>
        </w:rPr>
        <w:t xml:space="preserve">Liquor Wholesale Pty Ltd </w:t>
      </w:r>
      <w:r w:rsidRPr="004C6E3E">
        <w:rPr>
          <w:rFonts w:ascii="Times New Roman" w:hAnsi="Times New Roman"/>
          <w:sz w:val="24"/>
        </w:rPr>
        <w:t xml:space="preserve">(2003) 216 CLR 161 at 179 [56]. See also </w:t>
      </w:r>
      <w:r w:rsidRPr="004C6E3E">
        <w:rPr>
          <w:rFonts w:ascii="Times New Roman" w:hAnsi="Times New Roman"/>
          <w:i/>
          <w:iCs/>
          <w:sz w:val="24"/>
        </w:rPr>
        <w:t>Fardon</w:t>
      </w:r>
      <w:r w:rsidRPr="004C6E3E">
        <w:rPr>
          <w:rFonts w:ascii="Times New Roman" w:hAnsi="Times New Roman"/>
          <w:sz w:val="24"/>
        </w:rPr>
        <w:t xml:space="preserve"> (2004) 223 CLR 575 at 612 [79].</w:t>
      </w:r>
    </w:p>
  </w:footnote>
  <w:footnote w:id="338">
    <w:p w14:paraId="4DA5A636"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 xml:space="preserve">Benbrika </w:t>
      </w:r>
      <w:r w:rsidRPr="004C6E3E">
        <w:rPr>
          <w:rFonts w:ascii="Times New Roman" w:hAnsi="Times New Roman"/>
          <w:sz w:val="24"/>
        </w:rPr>
        <w:t>(2021) 95 ALJR 166 at 188 [69]; 388 ALR 1 at 24.</w:t>
      </w:r>
    </w:p>
  </w:footnote>
  <w:footnote w:id="339">
    <w:p w14:paraId="66E63F0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Vella</w:t>
      </w:r>
      <w:r w:rsidRPr="004C6E3E">
        <w:rPr>
          <w:rFonts w:ascii="Times New Roman" w:hAnsi="Times New Roman"/>
          <w:sz w:val="24"/>
        </w:rPr>
        <w:t xml:space="preserve"> (2019) 269 CLR 219 at 290-291 [180]. See also Stellios, </w:t>
      </w:r>
      <w:r w:rsidRPr="004C6E3E">
        <w:rPr>
          <w:rFonts w:ascii="Times New Roman" w:hAnsi="Times New Roman"/>
          <w:i/>
          <w:sz w:val="24"/>
        </w:rPr>
        <w:t>The Federal Judicature: Chapter III of the Constitution</w:t>
      </w:r>
      <w:r w:rsidRPr="004C6E3E">
        <w:rPr>
          <w:rFonts w:ascii="Times New Roman" w:hAnsi="Times New Roman"/>
          <w:sz w:val="24"/>
        </w:rPr>
        <w:t xml:space="preserve">, 2nd ed (2020) at 574; </w:t>
      </w:r>
      <w:r w:rsidRPr="004C6E3E">
        <w:rPr>
          <w:rFonts w:ascii="Times New Roman" w:hAnsi="Times New Roman"/>
          <w:i/>
          <w:iCs/>
          <w:sz w:val="24"/>
        </w:rPr>
        <w:t xml:space="preserve">Benbrika </w:t>
      </w:r>
      <w:r w:rsidRPr="004C6E3E">
        <w:rPr>
          <w:rFonts w:ascii="Times New Roman" w:hAnsi="Times New Roman"/>
          <w:sz w:val="24"/>
        </w:rPr>
        <w:t>(2021) 95 ALJR 166 at 194 [97]; 388 ALR 1 at 31.</w:t>
      </w:r>
    </w:p>
  </w:footnote>
  <w:footnote w:id="340">
    <w:p w14:paraId="2A0BFDF4"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Kable</w:t>
      </w:r>
      <w:r w:rsidRPr="004C6E3E">
        <w:rPr>
          <w:rFonts w:ascii="Times New Roman" w:hAnsi="Times New Roman"/>
          <w:sz w:val="24"/>
        </w:rPr>
        <w:t xml:space="preserve"> (1996) 189 CLR 51 at 103; see also 115, 127-128; cf 82. See also </w:t>
      </w:r>
      <w:r w:rsidRPr="004C6E3E">
        <w:rPr>
          <w:rFonts w:ascii="Times New Roman" w:hAnsi="Times New Roman"/>
          <w:i/>
          <w:iCs/>
          <w:sz w:val="24"/>
        </w:rPr>
        <w:t>Fardon</w:t>
      </w:r>
      <w:r w:rsidRPr="004C6E3E">
        <w:rPr>
          <w:rFonts w:ascii="Times New Roman" w:hAnsi="Times New Roman"/>
          <w:sz w:val="24"/>
        </w:rPr>
        <w:t xml:space="preserve"> (2004) 223 CLR 575 at 617 [101]; </w:t>
      </w:r>
      <w:r w:rsidRPr="004C6E3E">
        <w:rPr>
          <w:rFonts w:ascii="Times New Roman" w:hAnsi="Times New Roman"/>
          <w:i/>
          <w:iCs/>
          <w:sz w:val="24"/>
        </w:rPr>
        <w:t xml:space="preserve">Wainohu </w:t>
      </w:r>
      <w:r w:rsidRPr="004C6E3E">
        <w:rPr>
          <w:rFonts w:ascii="Times New Roman" w:hAnsi="Times New Roman"/>
          <w:sz w:val="24"/>
        </w:rPr>
        <w:t>(2011) 243 CLR 181 at 209 [45], 228</w:t>
      </w:r>
      <w:r>
        <w:rPr>
          <w:rFonts w:ascii="Times New Roman" w:hAnsi="Times New Roman"/>
          <w:sz w:val="24"/>
        </w:rPr>
        <w:noBreakHyphen/>
      </w:r>
      <w:r w:rsidRPr="004C6E3E">
        <w:rPr>
          <w:rFonts w:ascii="Times New Roman" w:hAnsi="Times New Roman"/>
          <w:sz w:val="24"/>
        </w:rPr>
        <w:t xml:space="preserve">229 [105], 247 [171]; </w:t>
      </w:r>
      <w:r w:rsidRPr="004C6E3E">
        <w:rPr>
          <w:rFonts w:ascii="Times New Roman" w:hAnsi="Times New Roman"/>
          <w:i/>
          <w:iCs/>
          <w:sz w:val="24"/>
        </w:rPr>
        <w:t xml:space="preserve">Pompano </w:t>
      </w:r>
      <w:r w:rsidRPr="004C6E3E">
        <w:rPr>
          <w:rFonts w:ascii="Times New Roman" w:hAnsi="Times New Roman"/>
          <w:sz w:val="24"/>
        </w:rPr>
        <w:t xml:space="preserve">(2013) 252 CLR 38 at 89 [123]; </w:t>
      </w:r>
      <w:r w:rsidRPr="004C6E3E">
        <w:rPr>
          <w:rFonts w:ascii="Times New Roman" w:hAnsi="Times New Roman"/>
          <w:i/>
          <w:sz w:val="24"/>
        </w:rPr>
        <w:t>Vella</w:t>
      </w:r>
      <w:r w:rsidRPr="004C6E3E">
        <w:rPr>
          <w:rFonts w:ascii="Times New Roman" w:hAnsi="Times New Roman"/>
          <w:sz w:val="24"/>
        </w:rPr>
        <w:t xml:space="preserve"> (2019) 269 CLR 219 at 278 [147]; </w:t>
      </w:r>
      <w:r w:rsidRPr="004C6E3E">
        <w:rPr>
          <w:rFonts w:ascii="Times New Roman" w:hAnsi="Times New Roman"/>
          <w:i/>
          <w:iCs/>
          <w:sz w:val="24"/>
        </w:rPr>
        <w:t>Benbrika</w:t>
      </w:r>
      <w:r w:rsidRPr="004C6E3E">
        <w:rPr>
          <w:rFonts w:ascii="Times New Roman" w:hAnsi="Times New Roman"/>
          <w:sz w:val="24"/>
        </w:rPr>
        <w:t xml:space="preserve"> (2021) 95 ALJR 166 at 178 [20]; 388 ALR 1 at 10.</w:t>
      </w:r>
    </w:p>
  </w:footnote>
  <w:footnote w:id="341">
    <w:p w14:paraId="291A4565"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See </w:t>
      </w:r>
      <w:r w:rsidRPr="004C6E3E">
        <w:rPr>
          <w:rFonts w:ascii="Times New Roman" w:hAnsi="Times New Roman"/>
          <w:i/>
          <w:iCs/>
          <w:sz w:val="24"/>
        </w:rPr>
        <w:t>Kable</w:t>
      </w:r>
      <w:r w:rsidRPr="004C6E3E">
        <w:rPr>
          <w:rFonts w:ascii="Times New Roman" w:hAnsi="Times New Roman"/>
          <w:sz w:val="24"/>
        </w:rPr>
        <w:t xml:space="preserve"> (1996) 189 CLR 51 at 96-98, 106-107, 121-122, 131-134. See also Dyer, "</w:t>
      </w:r>
      <w:r w:rsidRPr="004C6E3E">
        <w:rPr>
          <w:rFonts w:ascii="Times New Roman" w:hAnsi="Times New Roman"/>
          <w:i/>
          <w:sz w:val="24"/>
        </w:rPr>
        <w:t>Minister for Home Affairs v Benbrika</w:t>
      </w:r>
      <w:r w:rsidRPr="004C6E3E">
        <w:rPr>
          <w:rFonts w:ascii="Times New Roman" w:hAnsi="Times New Roman"/>
          <w:sz w:val="24"/>
        </w:rPr>
        <w:t xml:space="preserve"> and the Capacity of Chapter III of the </w:t>
      </w:r>
      <w:r w:rsidRPr="004C6E3E">
        <w:rPr>
          <w:rFonts w:ascii="Times New Roman" w:hAnsi="Times New Roman"/>
          <w:i/>
          <w:sz w:val="24"/>
        </w:rPr>
        <w:t xml:space="preserve">Commonwealth Constitution </w:t>
      </w:r>
      <w:r w:rsidRPr="004C6E3E">
        <w:rPr>
          <w:rFonts w:ascii="Times New Roman" w:hAnsi="Times New Roman"/>
          <w:sz w:val="24"/>
        </w:rPr>
        <w:t xml:space="preserve">to Protect Prisoners' Rights" (2022) 45 </w:t>
      </w:r>
      <w:r w:rsidRPr="004C6E3E">
        <w:rPr>
          <w:rFonts w:ascii="Times New Roman" w:hAnsi="Times New Roman"/>
          <w:i/>
          <w:sz w:val="24"/>
        </w:rPr>
        <w:t>University of New South Wales Law Journal</w:t>
      </w:r>
      <w:r w:rsidRPr="004C6E3E">
        <w:rPr>
          <w:rFonts w:ascii="Times New Roman" w:hAnsi="Times New Roman"/>
          <w:sz w:val="24"/>
        </w:rPr>
        <w:t xml:space="preserve"> 209 at 223-224.</w:t>
      </w:r>
    </w:p>
  </w:footnote>
  <w:footnote w:id="342">
    <w:p w14:paraId="6FE4FFAB"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t xml:space="preserve">cf </w:t>
      </w:r>
      <w:r w:rsidRPr="004C6E3E">
        <w:rPr>
          <w:rFonts w:ascii="Times New Roman" w:hAnsi="Times New Roman"/>
          <w:i/>
          <w:iCs/>
          <w:sz w:val="24"/>
        </w:rPr>
        <w:t>New South Wales v The Commonwealth</w:t>
      </w:r>
      <w:r w:rsidRPr="004C6E3E">
        <w:rPr>
          <w:rFonts w:ascii="Times New Roman" w:hAnsi="Times New Roman"/>
          <w:sz w:val="24"/>
        </w:rPr>
        <w:t xml:space="preserve"> (2006) 229 CLR 1 at 328 [787].</w:t>
      </w:r>
    </w:p>
  </w:footnote>
  <w:footnote w:id="343">
    <w:p w14:paraId="3F312401" w14:textId="77777777" w:rsidR="00E3198A" w:rsidRPr="004C6E3E" w:rsidRDefault="00E3198A" w:rsidP="004C6E3E">
      <w:pPr>
        <w:pStyle w:val="FootnoteText"/>
        <w:spacing w:line="280" w:lineRule="exact"/>
        <w:ind w:right="0"/>
        <w:jc w:val="both"/>
        <w:rPr>
          <w:rFonts w:ascii="Times New Roman" w:hAnsi="Times New Roman"/>
          <w:sz w:val="24"/>
        </w:rPr>
      </w:pPr>
      <w:r w:rsidRPr="004C6E3E">
        <w:rPr>
          <w:rStyle w:val="FootnoteReference"/>
          <w:rFonts w:ascii="Times New Roman" w:hAnsi="Times New Roman"/>
          <w:sz w:val="22"/>
          <w:vertAlign w:val="baseline"/>
        </w:rPr>
        <w:footnoteRef/>
      </w:r>
      <w:r w:rsidRPr="004C6E3E">
        <w:rPr>
          <w:rFonts w:ascii="Times New Roman" w:hAnsi="Times New Roman"/>
          <w:sz w:val="24"/>
        </w:rPr>
        <w:t xml:space="preserve"> </w:t>
      </w:r>
      <w:r w:rsidRPr="004C6E3E">
        <w:rPr>
          <w:rFonts w:ascii="Times New Roman" w:hAnsi="Times New Roman"/>
          <w:sz w:val="24"/>
        </w:rPr>
        <w:tab/>
      </w:r>
      <w:r w:rsidRPr="004C6E3E">
        <w:rPr>
          <w:rFonts w:ascii="Times New Roman" w:hAnsi="Times New Roman"/>
          <w:i/>
          <w:iCs/>
          <w:sz w:val="24"/>
        </w:rPr>
        <w:t>Western Australia v Garlett</w:t>
      </w:r>
      <w:r w:rsidRPr="004C6E3E">
        <w:rPr>
          <w:rFonts w:ascii="Times New Roman" w:hAnsi="Times New Roman"/>
          <w:sz w:val="24"/>
        </w:rPr>
        <w:t xml:space="preserve"> [2019] WASCSR 74 at [4], [12], [50].</w:t>
      </w:r>
    </w:p>
  </w:footnote>
  <w:footnote w:id="344">
    <w:p w14:paraId="5312BCF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Ashworth and Zedner, </w:t>
      </w:r>
      <w:r w:rsidRPr="000309F2">
        <w:rPr>
          <w:rFonts w:ascii="Times New Roman" w:hAnsi="Times New Roman"/>
          <w:i/>
          <w:sz w:val="24"/>
        </w:rPr>
        <w:t xml:space="preserve">Preventive Justice </w:t>
      </w:r>
      <w:r w:rsidRPr="000309F2">
        <w:rPr>
          <w:rFonts w:ascii="Times New Roman" w:hAnsi="Times New Roman"/>
          <w:sz w:val="24"/>
        </w:rPr>
        <w:t>(2014) at 16.</w:t>
      </w:r>
    </w:p>
  </w:footnote>
  <w:footnote w:id="345">
    <w:p w14:paraId="10E7F11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Ashworth and Zedner, </w:t>
      </w:r>
      <w:r w:rsidRPr="000309F2">
        <w:rPr>
          <w:rFonts w:ascii="Times New Roman" w:hAnsi="Times New Roman"/>
          <w:i/>
          <w:sz w:val="24"/>
        </w:rPr>
        <w:t xml:space="preserve">Preventive Justice </w:t>
      </w:r>
      <w:r w:rsidRPr="000309F2">
        <w:rPr>
          <w:rFonts w:ascii="Times New Roman" w:hAnsi="Times New Roman"/>
          <w:sz w:val="24"/>
        </w:rPr>
        <w:t xml:space="preserve">(2014) at 19. See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222 [222]; 388 ALR 1 at 67</w:t>
      </w:r>
      <w:r w:rsidRPr="000309F2">
        <w:rPr>
          <w:rFonts w:ascii="Times New Roman" w:hAnsi="Times New Roman"/>
          <w:sz w:val="24"/>
        </w:rPr>
        <w:noBreakHyphen/>
        <w:t>68.</w:t>
      </w:r>
    </w:p>
  </w:footnote>
  <w:footnote w:id="346">
    <w:p w14:paraId="2D18393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Fardon</w:t>
      </w:r>
      <w:r w:rsidRPr="000309F2">
        <w:rPr>
          <w:rFonts w:ascii="Times New Roman" w:hAnsi="Times New Roman"/>
          <w:sz w:val="24"/>
        </w:rPr>
        <w:t xml:space="preserve"> </w:t>
      </w:r>
      <w:r w:rsidRPr="000309F2">
        <w:rPr>
          <w:rFonts w:ascii="Times New Roman" w:hAnsi="Times New Roman"/>
          <w:i/>
          <w:sz w:val="24"/>
        </w:rPr>
        <w:t>v Attorney</w:t>
      </w:r>
      <w:r w:rsidRPr="000309F2">
        <w:rPr>
          <w:rFonts w:ascii="Times New Roman" w:hAnsi="Times New Roman"/>
          <w:i/>
          <w:sz w:val="24"/>
        </w:rPr>
        <w:noBreakHyphen/>
        <w:t>General (Qld)</w:t>
      </w:r>
      <w:r w:rsidRPr="000309F2">
        <w:rPr>
          <w:rFonts w:ascii="Times New Roman" w:hAnsi="Times New Roman"/>
          <w:i/>
          <w:iCs/>
          <w:sz w:val="24"/>
        </w:rPr>
        <w:t xml:space="preserve"> </w:t>
      </w:r>
      <w:r w:rsidRPr="000309F2">
        <w:rPr>
          <w:rFonts w:ascii="Times New Roman" w:hAnsi="Times New Roman"/>
          <w:sz w:val="24"/>
        </w:rPr>
        <w:t>(2004) 223 CLR 575.</w:t>
      </w:r>
    </w:p>
  </w:footnote>
  <w:footnote w:id="347">
    <w:p w14:paraId="155818F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Minister for Home Affairs v Benbrika</w:t>
      </w:r>
      <w:r w:rsidRPr="000309F2">
        <w:rPr>
          <w:rFonts w:ascii="Times New Roman" w:hAnsi="Times New Roman"/>
          <w:sz w:val="24"/>
        </w:rPr>
        <w:t xml:space="preserve"> (2021) 95 ALJR 166; 388 ALR 1.</w:t>
      </w:r>
    </w:p>
  </w:footnote>
  <w:footnote w:id="348">
    <w:p w14:paraId="6FC1E29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eg, HRSO Act, Sch 1, Div 1, Subdiv 3, Item 32 read with </w:t>
      </w:r>
      <w:r w:rsidRPr="000309F2">
        <w:rPr>
          <w:rFonts w:ascii="Times New Roman" w:hAnsi="Times New Roman"/>
          <w:i/>
          <w:sz w:val="24"/>
        </w:rPr>
        <w:t>Criminal Code </w:t>
      </w:r>
      <w:r w:rsidRPr="000309F2">
        <w:rPr>
          <w:rFonts w:ascii="Times New Roman" w:hAnsi="Times New Roman"/>
          <w:sz w:val="24"/>
        </w:rPr>
        <w:t>(WA), s 338</w:t>
      </w:r>
      <w:proofErr w:type="gramStart"/>
      <w:r w:rsidRPr="000309F2">
        <w:rPr>
          <w:rFonts w:ascii="Times New Roman" w:hAnsi="Times New Roman"/>
          <w:sz w:val="24"/>
        </w:rPr>
        <w:t>E(</w:t>
      </w:r>
      <w:proofErr w:type="gramEnd"/>
      <w:r w:rsidRPr="000309F2">
        <w:rPr>
          <w:rFonts w:ascii="Times New Roman" w:hAnsi="Times New Roman"/>
          <w:sz w:val="24"/>
        </w:rPr>
        <w:t>2).</w:t>
      </w:r>
    </w:p>
  </w:footnote>
  <w:footnote w:id="349">
    <w:p w14:paraId="7C1DA8AB"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Western Australia, Legislative Assembly, </w:t>
      </w:r>
      <w:r w:rsidRPr="000309F2">
        <w:rPr>
          <w:rFonts w:ascii="Times New Roman" w:hAnsi="Times New Roman"/>
          <w:i/>
          <w:sz w:val="24"/>
        </w:rPr>
        <w:t>Parliamentary Debates</w:t>
      </w:r>
      <w:r w:rsidRPr="000309F2">
        <w:rPr>
          <w:rFonts w:ascii="Times New Roman" w:hAnsi="Times New Roman"/>
          <w:sz w:val="24"/>
        </w:rPr>
        <w:t xml:space="preserve"> (Hansard), 8 August 2019 at 5250.</w:t>
      </w:r>
    </w:p>
  </w:footnote>
  <w:footnote w:id="350">
    <w:p w14:paraId="18DC99C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Western Australia v Garlett </w:t>
      </w:r>
      <w:r w:rsidRPr="000309F2">
        <w:rPr>
          <w:rFonts w:ascii="Times New Roman" w:hAnsi="Times New Roman"/>
          <w:sz w:val="24"/>
        </w:rPr>
        <w:t>(2021) 362 FLR 284 at 287</w:t>
      </w:r>
      <w:r w:rsidRPr="000309F2">
        <w:rPr>
          <w:rFonts w:ascii="Times New Roman" w:hAnsi="Times New Roman"/>
          <w:sz w:val="24"/>
        </w:rPr>
        <w:noBreakHyphen/>
        <w:t>288 [</w:t>
      </w:r>
      <w:proofErr w:type="gramStart"/>
      <w:r w:rsidRPr="000309F2">
        <w:rPr>
          <w:rFonts w:ascii="Times New Roman" w:hAnsi="Times New Roman"/>
          <w:sz w:val="24"/>
        </w:rPr>
        <w:t>1]</w:t>
      </w:r>
      <w:r w:rsidRPr="000309F2">
        <w:rPr>
          <w:rFonts w:ascii="Times New Roman" w:hAnsi="Times New Roman"/>
          <w:sz w:val="24"/>
        </w:rPr>
        <w:noBreakHyphen/>
      </w:r>
      <w:proofErr w:type="gramEnd"/>
      <w:r w:rsidRPr="000309F2">
        <w:rPr>
          <w:rFonts w:ascii="Times New Roman" w:hAnsi="Times New Roman"/>
          <w:sz w:val="24"/>
        </w:rPr>
        <w:t>[4], 342 [232].</w:t>
      </w:r>
    </w:p>
  </w:footnote>
  <w:footnote w:id="351">
    <w:p w14:paraId="6204A2F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Western Australia v Garlett </w:t>
      </w:r>
      <w:r w:rsidRPr="000309F2">
        <w:rPr>
          <w:rFonts w:ascii="Times New Roman" w:hAnsi="Times New Roman"/>
          <w:sz w:val="24"/>
        </w:rPr>
        <w:t>(2021) 362 FLR 284 at 345 [</w:t>
      </w:r>
      <w:proofErr w:type="gramStart"/>
      <w:r w:rsidRPr="000309F2">
        <w:rPr>
          <w:rFonts w:ascii="Times New Roman" w:hAnsi="Times New Roman"/>
          <w:sz w:val="24"/>
        </w:rPr>
        <w:t>248]</w:t>
      </w:r>
      <w:r w:rsidRPr="000309F2">
        <w:rPr>
          <w:rFonts w:ascii="Times New Roman" w:hAnsi="Times New Roman"/>
          <w:sz w:val="24"/>
        </w:rPr>
        <w:noBreakHyphen/>
      </w:r>
      <w:proofErr w:type="gramEnd"/>
      <w:r w:rsidRPr="000309F2">
        <w:rPr>
          <w:rFonts w:ascii="Times New Roman" w:hAnsi="Times New Roman"/>
          <w:sz w:val="24"/>
        </w:rPr>
        <w:t>[249], 347 [259], [263]; HRSO Act, s 46(2)(c)(i).</w:t>
      </w:r>
    </w:p>
  </w:footnote>
  <w:footnote w:id="352">
    <w:p w14:paraId="66ED9E1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(2019) 269 CLR 219.</w:t>
      </w:r>
    </w:p>
  </w:footnote>
  <w:footnote w:id="353">
    <w:p w14:paraId="44D7FFC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(2019) 269 CLR 219 at 236</w:t>
      </w:r>
      <w:r w:rsidRPr="000309F2">
        <w:rPr>
          <w:rFonts w:ascii="Times New Roman" w:hAnsi="Times New Roman"/>
          <w:sz w:val="24"/>
        </w:rPr>
        <w:noBreakHyphen/>
        <w:t>237 [29].</w:t>
      </w:r>
    </w:p>
  </w:footnote>
  <w:footnote w:id="354">
    <w:p w14:paraId="2D7C3A1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32 &amp; 33 Vict c 99. See also </w:t>
      </w:r>
      <w:r w:rsidRPr="000309F2">
        <w:rPr>
          <w:rFonts w:ascii="Times New Roman" w:hAnsi="Times New Roman"/>
          <w:i/>
          <w:iCs/>
          <w:sz w:val="24"/>
        </w:rPr>
        <w:t>Vella v Commissioner of Police</w:t>
      </w:r>
      <w:r w:rsidRPr="000309F2">
        <w:rPr>
          <w:rFonts w:ascii="Times New Roman" w:hAnsi="Times New Roman"/>
          <w:i/>
          <w:sz w:val="24"/>
        </w:rPr>
        <w:t> (</w:t>
      </w:r>
      <w:r w:rsidRPr="000309F2">
        <w:rPr>
          <w:rFonts w:ascii="Times New Roman" w:hAnsi="Times New Roman"/>
          <w:i/>
          <w:iCs/>
          <w:sz w:val="24"/>
        </w:rPr>
        <w:t>NSW)</w:t>
      </w:r>
      <w:r w:rsidRPr="000309F2">
        <w:rPr>
          <w:rFonts w:ascii="Times New Roman" w:hAnsi="Times New Roman"/>
          <w:sz w:val="24"/>
        </w:rPr>
        <w:t xml:space="preserve"> (2019) 269 CLR 219 at 237</w:t>
      </w:r>
      <w:r w:rsidRPr="000309F2">
        <w:rPr>
          <w:rFonts w:ascii="Times New Roman" w:hAnsi="Times New Roman"/>
          <w:sz w:val="24"/>
        </w:rPr>
        <w:noBreakHyphen/>
        <w:t>238 [31].</w:t>
      </w:r>
    </w:p>
  </w:footnote>
  <w:footnote w:id="355">
    <w:p w14:paraId="11CCE15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Habitual Criminals Act 1869 </w:t>
      </w:r>
      <w:r w:rsidRPr="000309F2">
        <w:rPr>
          <w:rFonts w:ascii="Times New Roman" w:hAnsi="Times New Roman"/>
          <w:sz w:val="24"/>
        </w:rPr>
        <w:t>(32 &amp; 33 Vict c 99), ss 3, 8.</w:t>
      </w:r>
    </w:p>
  </w:footnote>
  <w:footnote w:id="356">
    <w:p w14:paraId="7BEE8D4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Radzinowicz and Hood, </w:t>
      </w:r>
      <w:r w:rsidRPr="000309F2">
        <w:rPr>
          <w:rFonts w:ascii="Times New Roman" w:hAnsi="Times New Roman"/>
          <w:i/>
          <w:iCs/>
          <w:sz w:val="24"/>
        </w:rPr>
        <w:t xml:space="preserve">A History of English Criminal </w:t>
      </w:r>
      <w:proofErr w:type="gramStart"/>
      <w:r w:rsidRPr="000309F2">
        <w:rPr>
          <w:rFonts w:ascii="Times New Roman" w:hAnsi="Times New Roman"/>
          <w:i/>
          <w:iCs/>
          <w:sz w:val="24"/>
        </w:rPr>
        <w:t>Law</w:t>
      </w:r>
      <w:proofErr w:type="gramEnd"/>
      <w:r w:rsidRPr="000309F2">
        <w:rPr>
          <w:rFonts w:ascii="Times New Roman" w:hAnsi="Times New Roman"/>
          <w:i/>
          <w:iCs/>
          <w:sz w:val="24"/>
        </w:rPr>
        <w:t xml:space="preserve"> and its Administration from 1750</w:t>
      </w:r>
      <w:r w:rsidRPr="000309F2">
        <w:rPr>
          <w:rFonts w:ascii="Times New Roman" w:hAnsi="Times New Roman"/>
          <w:sz w:val="24"/>
        </w:rPr>
        <w:t xml:space="preserve"> (1986), vol 5 at 255.</w:t>
      </w:r>
    </w:p>
  </w:footnote>
  <w:footnote w:id="357">
    <w:p w14:paraId="09AF4E4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Including the </w:t>
      </w:r>
      <w:r w:rsidRPr="000309F2">
        <w:rPr>
          <w:rFonts w:ascii="Times New Roman" w:hAnsi="Times New Roman"/>
          <w:i/>
          <w:sz w:val="24"/>
        </w:rPr>
        <w:t xml:space="preserve">Prevention of Crimes Act 1871 </w:t>
      </w:r>
      <w:r w:rsidRPr="000309F2">
        <w:rPr>
          <w:rFonts w:ascii="Times New Roman" w:hAnsi="Times New Roman"/>
          <w:sz w:val="24"/>
        </w:rPr>
        <w:t>(34 &amp; 35 Vict c 112).</w:t>
      </w:r>
    </w:p>
  </w:footnote>
  <w:footnote w:id="358">
    <w:p w14:paraId="255B30D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See s 10.</w:t>
      </w:r>
    </w:p>
  </w:footnote>
  <w:footnote w:id="359">
    <w:p w14:paraId="366D9EA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Criminal Justice Act 1948</w:t>
      </w:r>
      <w:r w:rsidRPr="000309F2">
        <w:rPr>
          <w:rFonts w:ascii="Times New Roman" w:hAnsi="Times New Roman"/>
          <w:sz w:val="24"/>
        </w:rPr>
        <w:t> (UK), s 83(3), Sch 10.</w:t>
      </w:r>
    </w:p>
  </w:footnote>
  <w:footnote w:id="360">
    <w:p w14:paraId="266BE10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29 November 1938, vol 342, col 278.</w:t>
      </w:r>
    </w:p>
  </w:footnote>
  <w:footnote w:id="361">
    <w:p w14:paraId="13A5AA0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Criminal Justice Act 1948 </w:t>
      </w:r>
      <w:r w:rsidRPr="000309F2">
        <w:rPr>
          <w:rFonts w:ascii="Times New Roman" w:hAnsi="Times New Roman"/>
          <w:sz w:val="24"/>
        </w:rPr>
        <w:t>(UK), s 21.</w:t>
      </w:r>
    </w:p>
  </w:footnote>
  <w:footnote w:id="362">
    <w:p w14:paraId="5577D2FC" w14:textId="77777777" w:rsidR="00E3198A" w:rsidRPr="000309F2" w:rsidRDefault="00E3198A" w:rsidP="000309F2">
      <w:pPr>
        <w:pStyle w:val="FootnoteText"/>
        <w:spacing w:line="280" w:lineRule="exact"/>
        <w:ind w:right="0"/>
        <w:jc w:val="both"/>
        <w:rPr>
          <w:rFonts w:ascii="Times New Roman" w:hAnsi="Times New Roman"/>
          <w:i/>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Home Office, </w:t>
      </w:r>
      <w:r w:rsidRPr="000309F2">
        <w:rPr>
          <w:rFonts w:ascii="Times New Roman" w:hAnsi="Times New Roman"/>
          <w:i/>
          <w:sz w:val="24"/>
        </w:rPr>
        <w:t>Preventive Detention: Report of the Advisory Council on the Treatment of Offenders</w:t>
      </w:r>
      <w:r w:rsidRPr="000309F2">
        <w:rPr>
          <w:rFonts w:ascii="Times New Roman" w:hAnsi="Times New Roman"/>
          <w:sz w:val="24"/>
        </w:rPr>
        <w:t xml:space="preserve"> (1963) at 23 [58].</w:t>
      </w:r>
    </w:p>
  </w:footnote>
  <w:footnote w:id="363">
    <w:p w14:paraId="70E5F99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bookmarkStart w:id="4" w:name="_Hlk102481409"/>
      <w:r w:rsidRPr="000309F2">
        <w:rPr>
          <w:rFonts w:ascii="Times New Roman" w:hAnsi="Times New Roman"/>
          <w:i/>
          <w:sz w:val="24"/>
        </w:rPr>
        <w:t>Criminal Justice Act 1967</w:t>
      </w:r>
      <w:r w:rsidRPr="000309F2">
        <w:rPr>
          <w:rFonts w:ascii="Times New Roman" w:hAnsi="Times New Roman"/>
          <w:sz w:val="24"/>
        </w:rPr>
        <w:t> (UK)</w:t>
      </w:r>
      <w:bookmarkEnd w:id="4"/>
      <w:r w:rsidRPr="000309F2">
        <w:rPr>
          <w:rFonts w:ascii="Times New Roman" w:hAnsi="Times New Roman"/>
          <w:sz w:val="24"/>
        </w:rPr>
        <w:t xml:space="preserve">, ss 37, 103(2), Sch 7; </w:t>
      </w:r>
      <w:r w:rsidRPr="000309F2">
        <w:rPr>
          <w:rFonts w:ascii="Times New Roman" w:hAnsi="Times New Roman"/>
          <w:i/>
          <w:iCs/>
          <w:sz w:val="24"/>
        </w:rPr>
        <w:t>Powers of Criminal Courts Act 1973</w:t>
      </w:r>
      <w:r w:rsidRPr="000309F2">
        <w:rPr>
          <w:rFonts w:ascii="Times New Roman" w:hAnsi="Times New Roman"/>
          <w:sz w:val="24"/>
        </w:rPr>
        <w:t xml:space="preserve"> (UK), ss 28, 56(2), Sch 6.</w:t>
      </w:r>
    </w:p>
  </w:footnote>
  <w:footnote w:id="364">
    <w:p w14:paraId="41A5133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12 December 1966, vol 738, col 64.</w:t>
      </w:r>
    </w:p>
  </w:footnote>
  <w:footnote w:id="365">
    <w:p w14:paraId="74DED41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12 December 1966, vol 738, col 121.</w:t>
      </w:r>
    </w:p>
  </w:footnote>
  <w:footnote w:id="366">
    <w:p w14:paraId="237C19A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Lords, </w:t>
      </w:r>
      <w:r w:rsidRPr="000309F2">
        <w:rPr>
          <w:rFonts w:ascii="Times New Roman" w:hAnsi="Times New Roman"/>
          <w:i/>
          <w:sz w:val="24"/>
        </w:rPr>
        <w:t>Parliamentary Debates</w:t>
      </w:r>
      <w:r w:rsidRPr="000309F2">
        <w:rPr>
          <w:rFonts w:ascii="Times New Roman" w:hAnsi="Times New Roman"/>
          <w:sz w:val="24"/>
        </w:rPr>
        <w:t>, 10 May 1967, vol 282, col 1434.</w:t>
      </w:r>
    </w:p>
  </w:footnote>
  <w:footnote w:id="367">
    <w:p w14:paraId="6AF1E41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Lords, </w:t>
      </w:r>
      <w:r w:rsidRPr="000309F2">
        <w:rPr>
          <w:rFonts w:ascii="Times New Roman" w:hAnsi="Times New Roman"/>
          <w:i/>
          <w:sz w:val="24"/>
        </w:rPr>
        <w:t>Parliamentary Debates</w:t>
      </w:r>
      <w:r w:rsidRPr="000309F2">
        <w:rPr>
          <w:rFonts w:ascii="Times New Roman" w:hAnsi="Times New Roman"/>
          <w:sz w:val="24"/>
        </w:rPr>
        <w:t>, 10 May 1967, vol 282, col 1446.</w:t>
      </w:r>
    </w:p>
  </w:footnote>
  <w:footnote w:id="368">
    <w:p w14:paraId="5CC7B22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Criminal Justice Act 1991 </w:t>
      </w:r>
      <w:r w:rsidRPr="000309F2">
        <w:rPr>
          <w:rFonts w:ascii="Times New Roman" w:hAnsi="Times New Roman"/>
          <w:sz w:val="24"/>
        </w:rPr>
        <w:t>(UK), s 101(2), Sch 13.</w:t>
      </w:r>
    </w:p>
  </w:footnote>
  <w:footnote w:id="369">
    <w:p w14:paraId="74094DF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Crime and Disorder Act 1998 </w:t>
      </w:r>
      <w:r w:rsidRPr="000309F2">
        <w:rPr>
          <w:rFonts w:ascii="Times New Roman" w:hAnsi="Times New Roman"/>
          <w:sz w:val="24"/>
        </w:rPr>
        <w:t>(UK), ss 58</w:t>
      </w:r>
      <w:r w:rsidRPr="000309F2">
        <w:rPr>
          <w:rFonts w:ascii="Times New Roman" w:hAnsi="Times New Roman"/>
          <w:sz w:val="24"/>
        </w:rPr>
        <w:noBreakHyphen/>
        <w:t>60.</w:t>
      </w:r>
    </w:p>
  </w:footnote>
  <w:footnote w:id="370">
    <w:p w14:paraId="2400DC7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20 November 1990, vol 181, col 171.</w:t>
      </w:r>
    </w:p>
  </w:footnote>
  <w:footnote w:id="371">
    <w:p w14:paraId="501786A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Criminal Justice Act 2003</w:t>
      </w:r>
      <w:r w:rsidRPr="000309F2">
        <w:rPr>
          <w:rFonts w:ascii="Times New Roman" w:hAnsi="Times New Roman"/>
          <w:sz w:val="24"/>
        </w:rPr>
        <w:t> (UK), s 224, Sch 15.</w:t>
      </w:r>
    </w:p>
  </w:footnote>
  <w:footnote w:id="372">
    <w:p w14:paraId="31953C9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Bettinson and Dingwall, </w:t>
      </w:r>
      <w:r w:rsidRPr="000309F2">
        <w:rPr>
          <w:rFonts w:ascii="Times New Roman" w:hAnsi="Times New Roman"/>
          <w:i/>
          <w:sz w:val="24"/>
        </w:rPr>
        <w:t xml:space="preserve">Challenging the Ongoing Injustice of Imprisonment for Public Protection: James, Wells and Lee v The United Kingdom </w:t>
      </w:r>
      <w:r w:rsidRPr="000309F2">
        <w:rPr>
          <w:rFonts w:ascii="Times New Roman" w:hAnsi="Times New Roman"/>
          <w:sz w:val="24"/>
        </w:rPr>
        <w:t xml:space="preserve">(2013) 76 </w:t>
      </w:r>
      <w:r w:rsidRPr="000309F2">
        <w:rPr>
          <w:rFonts w:ascii="Times New Roman" w:hAnsi="Times New Roman"/>
          <w:i/>
          <w:sz w:val="24"/>
        </w:rPr>
        <w:t xml:space="preserve">Modern Law Review </w:t>
      </w:r>
      <w:r w:rsidRPr="000309F2">
        <w:rPr>
          <w:rFonts w:ascii="Times New Roman" w:hAnsi="Times New Roman"/>
          <w:sz w:val="24"/>
        </w:rPr>
        <w:t>1094 at 1094.</w:t>
      </w:r>
    </w:p>
  </w:footnote>
  <w:footnote w:id="373">
    <w:p w14:paraId="4543104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United Kingdom, House of Commons Standing Committee B, 23rd sitting, 11 February 2003, col 917.</w:t>
      </w:r>
    </w:p>
  </w:footnote>
  <w:footnote w:id="374">
    <w:p w14:paraId="38D3507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Lords, </w:t>
      </w:r>
      <w:r w:rsidRPr="000309F2">
        <w:rPr>
          <w:rFonts w:ascii="Times New Roman" w:hAnsi="Times New Roman"/>
          <w:i/>
          <w:sz w:val="24"/>
        </w:rPr>
        <w:t>Parliamentary Debates</w:t>
      </w:r>
      <w:r w:rsidRPr="000309F2">
        <w:rPr>
          <w:rFonts w:ascii="Times New Roman" w:hAnsi="Times New Roman"/>
          <w:sz w:val="24"/>
        </w:rPr>
        <w:t>, 21 November 2011, vol 732, col 825.</w:t>
      </w:r>
    </w:p>
  </w:footnote>
  <w:footnote w:id="375">
    <w:p w14:paraId="1DC2268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sz w:val="24"/>
        </w:rPr>
        <w:t>Criminal Justice and Immigration Act 2008 </w:t>
      </w:r>
      <w:r w:rsidRPr="000309F2">
        <w:rPr>
          <w:rFonts w:ascii="Times New Roman" w:hAnsi="Times New Roman"/>
          <w:sz w:val="24"/>
        </w:rPr>
        <w:t>(UK), s 13.</w:t>
      </w:r>
    </w:p>
  </w:footnote>
  <w:footnote w:id="376">
    <w:p w14:paraId="3C4C6E8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Legal Aid, Sentencing and Punishment of Offenders Act 2012 </w:t>
      </w:r>
      <w:r w:rsidRPr="000309F2">
        <w:rPr>
          <w:rFonts w:ascii="Times New Roman" w:hAnsi="Times New Roman"/>
          <w:sz w:val="24"/>
        </w:rPr>
        <w:t>(UK), s 123.</w:t>
      </w:r>
    </w:p>
  </w:footnote>
  <w:footnote w:id="377">
    <w:p w14:paraId="5B38B29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29 June 2011, vol 530, col 989.</w:t>
      </w:r>
    </w:p>
  </w:footnote>
  <w:footnote w:id="378">
    <w:p w14:paraId="29292A1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Lords, </w:t>
      </w:r>
      <w:r w:rsidRPr="000309F2">
        <w:rPr>
          <w:rFonts w:ascii="Times New Roman" w:hAnsi="Times New Roman"/>
          <w:i/>
          <w:sz w:val="24"/>
        </w:rPr>
        <w:t>Parliamentary Debates</w:t>
      </w:r>
      <w:r w:rsidRPr="000309F2">
        <w:rPr>
          <w:rFonts w:ascii="Times New Roman" w:hAnsi="Times New Roman"/>
          <w:sz w:val="24"/>
        </w:rPr>
        <w:t>, 21 November 2011, vol 732, col 825.</w:t>
      </w:r>
    </w:p>
  </w:footnote>
  <w:footnote w:id="379">
    <w:p w14:paraId="2B41AF1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United Kingdom, House of Commons, </w:t>
      </w:r>
      <w:r w:rsidRPr="000309F2">
        <w:rPr>
          <w:rFonts w:ascii="Times New Roman" w:hAnsi="Times New Roman"/>
          <w:i/>
          <w:sz w:val="24"/>
        </w:rPr>
        <w:t>Parliamentary Debates</w:t>
      </w:r>
      <w:r w:rsidRPr="000309F2">
        <w:rPr>
          <w:rFonts w:ascii="Times New Roman" w:hAnsi="Times New Roman"/>
          <w:sz w:val="24"/>
        </w:rPr>
        <w:t>, 1 November 2011, vol 534, col 787.</w:t>
      </w:r>
    </w:p>
  </w:footnote>
  <w:footnote w:id="380">
    <w:p w14:paraId="11E7F32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(2019) 269 CLR 219 at 237</w:t>
      </w:r>
      <w:r w:rsidRPr="000309F2">
        <w:rPr>
          <w:rFonts w:ascii="Times New Roman" w:hAnsi="Times New Roman"/>
          <w:sz w:val="24"/>
        </w:rPr>
        <w:noBreakHyphen/>
        <w:t>238 [31].</w:t>
      </w:r>
    </w:p>
  </w:footnote>
  <w:footnote w:id="381">
    <w:p w14:paraId="0A68168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Replaced by the </w:t>
      </w:r>
      <w:r w:rsidRPr="000309F2">
        <w:rPr>
          <w:rFonts w:ascii="Times New Roman" w:hAnsi="Times New Roman"/>
          <w:i/>
          <w:sz w:val="24"/>
        </w:rPr>
        <w:t>Habitual Criminals Act 1957 </w:t>
      </w:r>
      <w:r w:rsidRPr="000309F2">
        <w:rPr>
          <w:rFonts w:ascii="Times New Roman" w:hAnsi="Times New Roman"/>
          <w:sz w:val="24"/>
        </w:rPr>
        <w:t>(NSW).</w:t>
      </w:r>
    </w:p>
  </w:footnote>
  <w:footnote w:id="382">
    <w:p w14:paraId="56352071"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Radzinowicz and Hood, </w:t>
      </w:r>
      <w:r w:rsidRPr="000309F2">
        <w:rPr>
          <w:rFonts w:ascii="Times New Roman" w:hAnsi="Times New Roman"/>
          <w:i/>
          <w:iCs/>
          <w:sz w:val="24"/>
        </w:rPr>
        <w:t xml:space="preserve">A History of English Criminal </w:t>
      </w:r>
      <w:proofErr w:type="gramStart"/>
      <w:r w:rsidRPr="000309F2">
        <w:rPr>
          <w:rFonts w:ascii="Times New Roman" w:hAnsi="Times New Roman"/>
          <w:i/>
          <w:iCs/>
          <w:sz w:val="24"/>
        </w:rPr>
        <w:t>Law</w:t>
      </w:r>
      <w:proofErr w:type="gramEnd"/>
      <w:r w:rsidRPr="000309F2">
        <w:rPr>
          <w:rFonts w:ascii="Times New Roman" w:hAnsi="Times New Roman"/>
          <w:i/>
          <w:iCs/>
          <w:sz w:val="24"/>
        </w:rPr>
        <w:t xml:space="preserve"> and its Administration from 1750</w:t>
      </w:r>
      <w:r w:rsidRPr="000309F2">
        <w:rPr>
          <w:rFonts w:ascii="Times New Roman" w:hAnsi="Times New Roman"/>
          <w:sz w:val="24"/>
        </w:rPr>
        <w:t xml:space="preserve"> (1986), vol 5 at 273.</w:t>
      </w:r>
    </w:p>
  </w:footnote>
  <w:footnote w:id="383">
    <w:p w14:paraId="4F2A825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Habitual Criminals Act 1905 </w:t>
      </w:r>
      <w:r w:rsidRPr="000309F2">
        <w:rPr>
          <w:rFonts w:ascii="Times New Roman" w:hAnsi="Times New Roman"/>
          <w:sz w:val="24"/>
        </w:rPr>
        <w:t>(NSW), s 3(b), read with the Schedule.</w:t>
      </w:r>
    </w:p>
  </w:footnote>
  <w:footnote w:id="384">
    <w:p w14:paraId="2CD8188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Habitual Criminals Act 1905 </w:t>
      </w:r>
      <w:r w:rsidRPr="000309F2">
        <w:rPr>
          <w:rFonts w:ascii="Times New Roman" w:hAnsi="Times New Roman"/>
          <w:sz w:val="24"/>
        </w:rPr>
        <w:t>(NSW), s 7.</w:t>
      </w:r>
    </w:p>
  </w:footnote>
  <w:footnote w:id="385">
    <w:p w14:paraId="7931DEB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(2019) 269 CLR 219 at 240</w:t>
      </w:r>
      <w:r w:rsidRPr="000309F2">
        <w:rPr>
          <w:rFonts w:ascii="Times New Roman" w:hAnsi="Times New Roman"/>
          <w:sz w:val="24"/>
        </w:rPr>
        <w:noBreakHyphen/>
        <w:t>245 [</w:t>
      </w:r>
      <w:proofErr w:type="gramStart"/>
      <w:r w:rsidRPr="000309F2">
        <w:rPr>
          <w:rFonts w:ascii="Times New Roman" w:hAnsi="Times New Roman"/>
          <w:sz w:val="24"/>
        </w:rPr>
        <w:t>39]</w:t>
      </w:r>
      <w:r w:rsidRPr="000309F2">
        <w:rPr>
          <w:rFonts w:ascii="Times New Roman" w:hAnsi="Times New Roman"/>
          <w:sz w:val="24"/>
        </w:rPr>
        <w:noBreakHyphen/>
      </w:r>
      <w:proofErr w:type="gramEnd"/>
      <w:r w:rsidRPr="000309F2">
        <w:rPr>
          <w:rFonts w:ascii="Times New Roman" w:hAnsi="Times New Roman"/>
          <w:sz w:val="24"/>
        </w:rPr>
        <w:t>[54].</w:t>
      </w:r>
    </w:p>
  </w:footnote>
  <w:footnote w:id="386">
    <w:p w14:paraId="0939ECF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sz w:val="24"/>
        </w:rPr>
        <w:t xml:space="preserve">Bell v Tasmania </w:t>
      </w:r>
      <w:r w:rsidRPr="000309F2">
        <w:rPr>
          <w:rFonts w:ascii="Times New Roman" w:hAnsi="Times New Roman"/>
          <w:sz w:val="24"/>
        </w:rPr>
        <w:t>(2021) 96 ALJR 22 at 41 [100]; 395 ALR 589 at 613.</w:t>
      </w:r>
    </w:p>
  </w:footnote>
  <w:footnote w:id="387">
    <w:p w14:paraId="0E45B64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Vella v Commissioner of Police </w:t>
      </w:r>
      <w:r w:rsidRPr="000309F2">
        <w:rPr>
          <w:rFonts w:ascii="Times New Roman" w:hAnsi="Times New Roman"/>
          <w:i/>
          <w:sz w:val="24"/>
        </w:rPr>
        <w:t>(</w:t>
      </w:r>
      <w:r w:rsidRPr="000309F2">
        <w:rPr>
          <w:rFonts w:ascii="Times New Roman" w:hAnsi="Times New Roman"/>
          <w:i/>
          <w:iCs/>
          <w:sz w:val="24"/>
        </w:rPr>
        <w:t xml:space="preserve">NSW) </w:t>
      </w:r>
      <w:r w:rsidRPr="000309F2">
        <w:rPr>
          <w:rFonts w:ascii="Times New Roman" w:hAnsi="Times New Roman"/>
          <w:sz w:val="24"/>
        </w:rPr>
        <w:t>(2019) 269 CLR 219 at 249 [62].</w:t>
      </w:r>
    </w:p>
  </w:footnote>
  <w:footnote w:id="388">
    <w:p w14:paraId="236F5C4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Compare </w:t>
      </w:r>
      <w:r w:rsidRPr="000309F2">
        <w:rPr>
          <w:rFonts w:ascii="Times New Roman" w:hAnsi="Times New Roman"/>
          <w:i/>
          <w:iCs/>
          <w:sz w:val="24"/>
        </w:rPr>
        <w:t>Evidence Act 1906 </w:t>
      </w:r>
      <w:r w:rsidRPr="000309F2">
        <w:rPr>
          <w:rFonts w:ascii="Times New Roman" w:hAnsi="Times New Roman"/>
          <w:sz w:val="24"/>
        </w:rPr>
        <w:t xml:space="preserve">(WA), s 31A. See </w:t>
      </w:r>
      <w:r w:rsidRPr="000309F2">
        <w:rPr>
          <w:rFonts w:ascii="Times New Roman" w:hAnsi="Times New Roman"/>
          <w:iCs/>
          <w:sz w:val="24"/>
        </w:rPr>
        <w:t>HRSO Act</w:t>
      </w:r>
      <w:r w:rsidRPr="000309F2">
        <w:rPr>
          <w:rFonts w:ascii="Times New Roman" w:hAnsi="Times New Roman"/>
          <w:sz w:val="24"/>
        </w:rPr>
        <w:t>, s 82.</w:t>
      </w:r>
    </w:p>
  </w:footnote>
  <w:footnote w:id="389">
    <w:p w14:paraId="0233BB0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ss 7(3)(c), 7(3)(d).</w:t>
      </w:r>
    </w:p>
  </w:footnote>
  <w:footnote w:id="390">
    <w:p w14:paraId="159ACDF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Read with HRSO Act, s 46(2)(a).</w:t>
      </w:r>
    </w:p>
  </w:footnote>
  <w:footnote w:id="391">
    <w:p w14:paraId="6EDC4F1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Tonry, </w:t>
      </w:r>
      <w:r w:rsidRPr="000309F2">
        <w:rPr>
          <w:rFonts w:ascii="Times New Roman" w:hAnsi="Times New Roman"/>
          <w:i/>
          <w:sz w:val="24"/>
        </w:rPr>
        <w:t xml:space="preserve">Punishment and Politics: Evidence and Emulation in the Making of English Crime Control Policy </w:t>
      </w:r>
      <w:r w:rsidRPr="000309F2">
        <w:rPr>
          <w:rFonts w:ascii="Times New Roman" w:hAnsi="Times New Roman"/>
          <w:sz w:val="24"/>
        </w:rPr>
        <w:t>(2004) at 142.</w:t>
      </w:r>
    </w:p>
  </w:footnote>
  <w:footnote w:id="392">
    <w:p w14:paraId="14D294A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eg, </w:t>
      </w:r>
      <w:r w:rsidRPr="000309F2">
        <w:rPr>
          <w:rFonts w:ascii="Times New Roman" w:hAnsi="Times New Roman"/>
          <w:i/>
          <w:sz w:val="24"/>
        </w:rPr>
        <w:t xml:space="preserve">Veen v The Queen </w:t>
      </w:r>
      <w:r w:rsidRPr="000309F2">
        <w:rPr>
          <w:rFonts w:ascii="Times New Roman" w:hAnsi="Times New Roman"/>
          <w:sz w:val="24"/>
        </w:rPr>
        <w:t xml:space="preserve">(1979) 143 CLR 458 at 464; </w:t>
      </w:r>
      <w:r w:rsidRPr="000309F2">
        <w:rPr>
          <w:rFonts w:ascii="Times New Roman" w:hAnsi="Times New Roman"/>
          <w:i/>
          <w:iCs/>
          <w:sz w:val="24"/>
        </w:rPr>
        <w:t xml:space="preserve">Kable v Director of Public Prosecutions (NSW) </w:t>
      </w:r>
      <w:r w:rsidRPr="000309F2">
        <w:rPr>
          <w:rFonts w:ascii="Times New Roman" w:hAnsi="Times New Roman"/>
          <w:sz w:val="24"/>
        </w:rPr>
        <w:t xml:space="preserve">(1996) 189 CLR 51 at 123; </w:t>
      </w:r>
      <w:r w:rsidRPr="000309F2">
        <w:rPr>
          <w:rFonts w:ascii="Times New Roman" w:hAnsi="Times New Roman"/>
          <w:i/>
          <w:sz w:val="24"/>
        </w:rPr>
        <w:t xml:space="preserve">McGarry v The Queen </w:t>
      </w:r>
      <w:r w:rsidRPr="000309F2">
        <w:rPr>
          <w:rFonts w:ascii="Times New Roman" w:hAnsi="Times New Roman"/>
          <w:sz w:val="24"/>
        </w:rPr>
        <w:t>(2001) 207 CLR 121 at 142 [61].</w:t>
      </w:r>
    </w:p>
  </w:footnote>
  <w:footnote w:id="393">
    <w:p w14:paraId="6D9D6AC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Fardon v Attorney</w:t>
      </w:r>
      <w:r w:rsidRPr="000309F2">
        <w:rPr>
          <w:rFonts w:ascii="Times New Roman" w:hAnsi="Times New Roman"/>
          <w:i/>
          <w:iCs/>
          <w:sz w:val="24"/>
        </w:rPr>
        <w:noBreakHyphen/>
        <w:t>General (Qld)</w:t>
      </w:r>
      <w:r w:rsidRPr="000309F2">
        <w:rPr>
          <w:rFonts w:ascii="Times New Roman" w:hAnsi="Times New Roman"/>
          <w:sz w:val="24"/>
        </w:rPr>
        <w:t xml:space="preserve"> (2004) 223 CLR 575 at 623 [124], quoting Warner, "Sentencing review 2002</w:t>
      </w:r>
      <w:r w:rsidRPr="000309F2">
        <w:rPr>
          <w:rFonts w:ascii="Times New Roman" w:hAnsi="Times New Roman"/>
          <w:sz w:val="24"/>
        </w:rPr>
        <w:noBreakHyphen/>
        <w:t xml:space="preserve">2003" (2003) 27 </w:t>
      </w:r>
      <w:r w:rsidRPr="000309F2">
        <w:rPr>
          <w:rFonts w:ascii="Times New Roman" w:hAnsi="Times New Roman"/>
          <w:i/>
          <w:sz w:val="24"/>
        </w:rPr>
        <w:t xml:space="preserve">Criminal Law Journal </w:t>
      </w:r>
      <w:r w:rsidRPr="000309F2">
        <w:rPr>
          <w:rFonts w:ascii="Times New Roman" w:hAnsi="Times New Roman"/>
          <w:sz w:val="24"/>
        </w:rPr>
        <w:t>325 at 338.</w:t>
      </w:r>
    </w:p>
  </w:footnote>
  <w:footnote w:id="394">
    <w:p w14:paraId="4B17847B"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84(3)(b).</w:t>
      </w:r>
    </w:p>
  </w:footnote>
  <w:footnote w:id="395">
    <w:p w14:paraId="6042312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7(4).</w:t>
      </w:r>
    </w:p>
  </w:footnote>
  <w:footnote w:id="396">
    <w:p w14:paraId="6663C60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4.</w:t>
      </w:r>
    </w:p>
  </w:footnote>
  <w:footnote w:id="397">
    <w:p w14:paraId="1CB020B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Cs/>
          <w:sz w:val="24"/>
        </w:rPr>
        <w:t>HRSO Act,</w:t>
      </w:r>
      <w:r w:rsidRPr="000309F2">
        <w:rPr>
          <w:rFonts w:ascii="Times New Roman" w:hAnsi="Times New Roman"/>
          <w:sz w:val="24"/>
        </w:rPr>
        <w:t xml:space="preserve"> s 30(2).</w:t>
      </w:r>
    </w:p>
  </w:footnote>
  <w:footnote w:id="398">
    <w:p w14:paraId="2BE37B6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iCs/>
          <w:sz w:val="24"/>
        </w:rPr>
        <w:t>Vella v Commissioner of Police </w:t>
      </w:r>
      <w:r w:rsidRPr="000309F2">
        <w:rPr>
          <w:rFonts w:ascii="Times New Roman" w:hAnsi="Times New Roman"/>
          <w:i/>
          <w:sz w:val="24"/>
        </w:rPr>
        <w:t>(NSW)</w:t>
      </w:r>
      <w:r w:rsidRPr="000309F2">
        <w:rPr>
          <w:rFonts w:ascii="Times New Roman" w:hAnsi="Times New Roman"/>
          <w:i/>
          <w:iCs/>
          <w:sz w:val="24"/>
        </w:rPr>
        <w:t xml:space="preserve"> </w:t>
      </w:r>
      <w:r w:rsidRPr="000309F2">
        <w:rPr>
          <w:rFonts w:ascii="Times New Roman" w:hAnsi="Times New Roman"/>
          <w:sz w:val="24"/>
        </w:rPr>
        <w:t xml:space="preserve">(2019) 269 CLR 219 at 260 [88]. See also </w:t>
      </w:r>
      <w:r w:rsidRPr="000309F2">
        <w:rPr>
          <w:rFonts w:ascii="Times New Roman" w:hAnsi="Times New Roman"/>
          <w:i/>
          <w:iCs/>
          <w:sz w:val="24"/>
        </w:rPr>
        <w:t xml:space="preserve">Director of Public Prosecutions (WA) v Williams </w:t>
      </w:r>
      <w:r w:rsidRPr="000309F2">
        <w:rPr>
          <w:rFonts w:ascii="Times New Roman" w:hAnsi="Times New Roman"/>
          <w:sz w:val="24"/>
        </w:rPr>
        <w:t>(2007) 35 WAR 297 at 312</w:t>
      </w:r>
      <w:r w:rsidRPr="000309F2">
        <w:rPr>
          <w:rFonts w:ascii="Times New Roman" w:hAnsi="Times New Roman"/>
          <w:sz w:val="24"/>
        </w:rPr>
        <w:noBreakHyphen/>
        <w:t>313 [</w:t>
      </w:r>
      <w:proofErr w:type="gramStart"/>
      <w:r w:rsidRPr="000309F2">
        <w:rPr>
          <w:rFonts w:ascii="Times New Roman" w:hAnsi="Times New Roman"/>
          <w:sz w:val="24"/>
        </w:rPr>
        <w:t>63]</w:t>
      </w:r>
      <w:r w:rsidRPr="000309F2">
        <w:rPr>
          <w:rFonts w:ascii="Times New Roman" w:hAnsi="Times New Roman"/>
          <w:sz w:val="24"/>
        </w:rPr>
        <w:noBreakHyphen/>
      </w:r>
      <w:proofErr w:type="gramEnd"/>
      <w:r w:rsidRPr="000309F2">
        <w:rPr>
          <w:rFonts w:ascii="Times New Roman" w:hAnsi="Times New Roman"/>
          <w:sz w:val="24"/>
        </w:rPr>
        <w:t xml:space="preserve">[65]; </w:t>
      </w:r>
      <w:r w:rsidRPr="000309F2">
        <w:rPr>
          <w:rFonts w:ascii="Times New Roman" w:hAnsi="Times New Roman"/>
          <w:i/>
          <w:iCs/>
          <w:sz w:val="24"/>
        </w:rPr>
        <w:t xml:space="preserve">Italiano v Western Australia </w:t>
      </w:r>
      <w:r w:rsidRPr="000309F2">
        <w:rPr>
          <w:rFonts w:ascii="Times New Roman" w:hAnsi="Times New Roman"/>
          <w:sz w:val="24"/>
        </w:rPr>
        <w:t>[2009] WASCA 116 at [4], [46].</w:t>
      </w:r>
    </w:p>
  </w:footnote>
  <w:footnote w:id="399">
    <w:p w14:paraId="5101C20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Western Australia v Garlett </w:t>
      </w:r>
      <w:r w:rsidRPr="000309F2">
        <w:rPr>
          <w:rFonts w:ascii="Times New Roman" w:hAnsi="Times New Roman"/>
          <w:sz w:val="24"/>
        </w:rPr>
        <w:t>(2021) 362 FLR 284 at 345 [249].</w:t>
      </w:r>
    </w:p>
  </w:footnote>
  <w:footnote w:id="400">
    <w:p w14:paraId="4B7CAB4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Cs/>
          <w:sz w:val="24"/>
        </w:rPr>
        <w:t xml:space="preserve">See </w:t>
      </w:r>
      <w:r w:rsidRPr="000309F2">
        <w:rPr>
          <w:rFonts w:ascii="Times New Roman" w:hAnsi="Times New Roman"/>
          <w:i/>
          <w:iCs/>
          <w:sz w:val="24"/>
        </w:rPr>
        <w:t xml:space="preserve">Western Australia v Amoore </w:t>
      </w:r>
      <w:r w:rsidRPr="000309F2">
        <w:rPr>
          <w:rFonts w:ascii="Times New Roman" w:hAnsi="Times New Roman"/>
          <w:sz w:val="24"/>
        </w:rPr>
        <w:t xml:space="preserve">(2008) 182 A Crim R 165 at 176 [50]; </w:t>
      </w:r>
      <w:r w:rsidRPr="000309F2">
        <w:rPr>
          <w:rFonts w:ascii="Times New Roman" w:hAnsi="Times New Roman"/>
          <w:i/>
          <w:iCs/>
          <w:sz w:val="24"/>
        </w:rPr>
        <w:t xml:space="preserve">Schischka v Western Australia </w:t>
      </w:r>
      <w:r w:rsidRPr="000309F2">
        <w:rPr>
          <w:rFonts w:ascii="Times New Roman" w:hAnsi="Times New Roman"/>
          <w:sz w:val="24"/>
        </w:rPr>
        <w:t>[2015] WASCA 15 at [33].</w:t>
      </w:r>
    </w:p>
  </w:footnote>
  <w:footnote w:id="401">
    <w:p w14:paraId="08C3B9D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Western Australia v D'Rozario [No 3] </w:t>
      </w:r>
      <w:r w:rsidRPr="000309F2">
        <w:rPr>
          <w:rFonts w:ascii="Times New Roman" w:hAnsi="Times New Roman"/>
          <w:sz w:val="24"/>
        </w:rPr>
        <w:t>[2021] WASC 412 at [21].</w:t>
      </w:r>
    </w:p>
  </w:footnote>
  <w:footnote w:id="402">
    <w:p w14:paraId="57BDD21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Dinsdale v The Queen </w:t>
      </w:r>
      <w:r w:rsidRPr="000309F2">
        <w:rPr>
          <w:rFonts w:ascii="Times New Roman" w:hAnsi="Times New Roman"/>
          <w:sz w:val="24"/>
        </w:rPr>
        <w:t>(2000) 202 CLR 321 at 328 [14].</w:t>
      </w:r>
    </w:p>
  </w:footnote>
  <w:footnote w:id="403">
    <w:p w14:paraId="2831736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27(1).</w:t>
      </w:r>
    </w:p>
  </w:footnote>
  <w:footnote w:id="404">
    <w:p w14:paraId="0C2609D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48(2).</w:t>
      </w:r>
    </w:p>
  </w:footnote>
  <w:footnote w:id="405">
    <w:p w14:paraId="2A5476D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iCs/>
          <w:sz w:val="24"/>
        </w:rPr>
        <w:t>Vella v Commissioner of Police </w:t>
      </w:r>
      <w:r w:rsidRPr="000309F2">
        <w:rPr>
          <w:rFonts w:ascii="Times New Roman" w:hAnsi="Times New Roman"/>
          <w:i/>
          <w:sz w:val="24"/>
        </w:rPr>
        <w:t>(NSW)</w:t>
      </w:r>
      <w:r w:rsidRPr="000309F2">
        <w:rPr>
          <w:rFonts w:ascii="Times New Roman" w:hAnsi="Times New Roman"/>
          <w:i/>
          <w:iCs/>
          <w:sz w:val="24"/>
        </w:rPr>
        <w:t xml:space="preserve"> </w:t>
      </w:r>
      <w:r w:rsidRPr="000309F2">
        <w:rPr>
          <w:rFonts w:ascii="Times New Roman" w:hAnsi="Times New Roman"/>
          <w:sz w:val="24"/>
        </w:rPr>
        <w:t>(2019) 269 CLR 219 at 243</w:t>
      </w:r>
      <w:r w:rsidRPr="000309F2">
        <w:rPr>
          <w:rFonts w:ascii="Times New Roman" w:hAnsi="Times New Roman"/>
          <w:sz w:val="24"/>
        </w:rPr>
        <w:noBreakHyphen/>
        <w:t>244 [</w:t>
      </w:r>
      <w:proofErr w:type="gramStart"/>
      <w:r w:rsidRPr="000309F2">
        <w:rPr>
          <w:rFonts w:ascii="Times New Roman" w:hAnsi="Times New Roman"/>
          <w:sz w:val="24"/>
        </w:rPr>
        <w:t>50]</w:t>
      </w:r>
      <w:r w:rsidRPr="000309F2">
        <w:rPr>
          <w:rFonts w:ascii="Times New Roman" w:hAnsi="Times New Roman"/>
          <w:sz w:val="24"/>
        </w:rPr>
        <w:noBreakHyphen/>
      </w:r>
      <w:proofErr w:type="gramEnd"/>
      <w:r w:rsidRPr="000309F2">
        <w:rPr>
          <w:rFonts w:ascii="Times New Roman" w:hAnsi="Times New Roman"/>
          <w:sz w:val="24"/>
        </w:rPr>
        <w:t>[51].</w:t>
      </w:r>
    </w:p>
  </w:footnote>
  <w:footnote w:id="406">
    <w:p w14:paraId="0560DC7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sz w:val="24"/>
        </w:rPr>
        <w:t xml:space="preserve">Bell v Tasmania </w:t>
      </w:r>
      <w:r w:rsidRPr="000309F2">
        <w:rPr>
          <w:rFonts w:ascii="Times New Roman" w:hAnsi="Times New Roman"/>
          <w:sz w:val="24"/>
        </w:rPr>
        <w:t>(2021) 96 ALJR 22 at 41 [100]; 395 ALR 589 at 613.</w:t>
      </w:r>
    </w:p>
  </w:footnote>
  <w:footnote w:id="407">
    <w:p w14:paraId="6FF7B04D" w14:textId="77777777" w:rsidR="00E3198A" w:rsidRPr="000309F2" w:rsidRDefault="00E3198A" w:rsidP="000309F2">
      <w:pPr>
        <w:pStyle w:val="FootnoteText"/>
        <w:spacing w:line="280" w:lineRule="exact"/>
        <w:ind w:right="0"/>
        <w:jc w:val="both"/>
        <w:rPr>
          <w:rFonts w:ascii="Times New Roman" w:hAnsi="Times New Roman"/>
          <w:i/>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Compare, however,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214</w:t>
      </w:r>
      <w:r w:rsidRPr="000309F2">
        <w:rPr>
          <w:rFonts w:ascii="Times New Roman" w:hAnsi="Times New Roman"/>
          <w:sz w:val="24"/>
        </w:rPr>
        <w:noBreakHyphen/>
        <w:t>215 [195]; 388 ALR 1 at 57</w:t>
      </w:r>
      <w:r w:rsidRPr="000309F2">
        <w:rPr>
          <w:rFonts w:ascii="Times New Roman" w:hAnsi="Times New Roman"/>
          <w:sz w:val="24"/>
        </w:rPr>
        <w:noBreakHyphen/>
        <w:t>58.</w:t>
      </w:r>
    </w:p>
  </w:footnote>
  <w:footnote w:id="408">
    <w:p w14:paraId="0C3374B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(2021) 95 ALJR 166 at 214 [194]; 388 ALR 1 at 57. See, in detail, </w:t>
      </w:r>
      <w:r w:rsidRPr="000309F2">
        <w:rPr>
          <w:rFonts w:ascii="Times New Roman" w:hAnsi="Times New Roman"/>
          <w:i/>
          <w:sz w:val="24"/>
        </w:rPr>
        <w:t xml:space="preserve">Lee v Benbrika </w:t>
      </w:r>
      <w:r w:rsidRPr="000309F2">
        <w:rPr>
          <w:rFonts w:ascii="Times New Roman" w:hAnsi="Times New Roman"/>
          <w:sz w:val="24"/>
        </w:rPr>
        <w:t>[2020] FCA 1723, Annexure A.</w:t>
      </w:r>
    </w:p>
  </w:footnote>
  <w:footnote w:id="409">
    <w:p w14:paraId="2D110B9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64.</w:t>
      </w:r>
    </w:p>
  </w:footnote>
  <w:footnote w:id="410">
    <w:p w14:paraId="01F740E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65.</w:t>
      </w:r>
    </w:p>
  </w:footnote>
  <w:footnote w:id="411">
    <w:p w14:paraId="0582BB7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7(2).</w:t>
      </w:r>
    </w:p>
  </w:footnote>
  <w:footnote w:id="412">
    <w:p w14:paraId="035E5EE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w:t>
      </w:r>
    </w:p>
  </w:footnote>
  <w:footnote w:id="413">
    <w:p w14:paraId="566BCE3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96.</w:t>
      </w:r>
    </w:p>
  </w:footnote>
  <w:footnote w:id="414">
    <w:p w14:paraId="00D35D7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Compare the broader view of ratio decidendi: Goodhart, "Determining the Ratio Decidendi of a Case" (1930) 40 </w:t>
      </w:r>
      <w:r w:rsidRPr="000309F2">
        <w:rPr>
          <w:rFonts w:ascii="Times New Roman" w:hAnsi="Times New Roman"/>
          <w:i/>
          <w:iCs/>
          <w:sz w:val="24"/>
        </w:rPr>
        <w:t xml:space="preserve">Yale Law Journal </w:t>
      </w:r>
      <w:r w:rsidRPr="000309F2">
        <w:rPr>
          <w:rFonts w:ascii="Times New Roman" w:hAnsi="Times New Roman"/>
          <w:sz w:val="24"/>
        </w:rPr>
        <w:t xml:space="preserve">161 at 168; Mason, "The Use and Abuse of Precedent" (1988) 4 </w:t>
      </w:r>
      <w:r w:rsidRPr="000309F2">
        <w:rPr>
          <w:rFonts w:ascii="Times New Roman" w:hAnsi="Times New Roman"/>
          <w:i/>
          <w:iCs/>
          <w:sz w:val="24"/>
        </w:rPr>
        <w:t xml:space="preserve">Australian Bar Review </w:t>
      </w:r>
      <w:r w:rsidRPr="000309F2">
        <w:rPr>
          <w:rFonts w:ascii="Times New Roman" w:hAnsi="Times New Roman"/>
          <w:sz w:val="24"/>
        </w:rPr>
        <w:t>93 at 104.</w:t>
      </w:r>
    </w:p>
  </w:footnote>
  <w:footnote w:id="415">
    <w:p w14:paraId="47B6763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[1932] AC 562.</w:t>
      </w:r>
    </w:p>
  </w:footnote>
  <w:footnote w:id="416">
    <w:p w14:paraId="3DE2658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Blackshield, "Ratio decidendi</w:t>
      </w:r>
      <w:r w:rsidRPr="000309F2">
        <w:rPr>
          <w:rFonts w:ascii="Times New Roman" w:hAnsi="Times New Roman"/>
          <w:iCs/>
          <w:sz w:val="24"/>
        </w:rPr>
        <w:t>",</w:t>
      </w:r>
      <w:r w:rsidRPr="000309F2">
        <w:rPr>
          <w:rFonts w:ascii="Times New Roman" w:hAnsi="Times New Roman"/>
          <w:sz w:val="24"/>
        </w:rPr>
        <w:t xml:space="preserve"> in Blackshield, Coper and Williams (eds), </w:t>
      </w:r>
      <w:r w:rsidRPr="000309F2">
        <w:rPr>
          <w:rFonts w:ascii="Times New Roman" w:hAnsi="Times New Roman"/>
          <w:i/>
          <w:sz w:val="24"/>
        </w:rPr>
        <w:t xml:space="preserve">The Oxford Companion to the High Court of Australia </w:t>
      </w:r>
      <w:r w:rsidRPr="000309F2">
        <w:rPr>
          <w:rFonts w:ascii="Times New Roman" w:hAnsi="Times New Roman"/>
          <w:sz w:val="24"/>
        </w:rPr>
        <w:t xml:space="preserve">(2001) 579 at 579. See also Montrose, "The Ratio Decidendi of a Case" (1957) 20 </w:t>
      </w:r>
      <w:r w:rsidRPr="000309F2">
        <w:rPr>
          <w:rFonts w:ascii="Times New Roman" w:hAnsi="Times New Roman"/>
          <w:i/>
          <w:sz w:val="24"/>
        </w:rPr>
        <w:t>Modern Law Review</w:t>
      </w:r>
      <w:r w:rsidRPr="000309F2">
        <w:rPr>
          <w:rFonts w:ascii="Times New Roman" w:hAnsi="Times New Roman"/>
          <w:sz w:val="24"/>
        </w:rPr>
        <w:t xml:space="preserve"> 587 at 591; Lücke, "Ratio Decidendi: Adjudicative Rationale and Source of Law" (1989) 1 </w:t>
      </w:r>
      <w:r w:rsidRPr="000309F2">
        <w:rPr>
          <w:rFonts w:ascii="Times New Roman" w:hAnsi="Times New Roman"/>
          <w:i/>
          <w:sz w:val="24"/>
        </w:rPr>
        <w:t>Bond Law Review</w:t>
      </w:r>
      <w:r w:rsidRPr="000309F2">
        <w:rPr>
          <w:rFonts w:ascii="Times New Roman" w:hAnsi="Times New Roman"/>
          <w:sz w:val="24"/>
        </w:rPr>
        <w:t xml:space="preserve"> 36 at 44.</w:t>
      </w:r>
    </w:p>
  </w:footnote>
  <w:footnote w:id="417">
    <w:p w14:paraId="315E359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Re Tyler; Ex parte Foley</w:t>
      </w:r>
      <w:r w:rsidRPr="000309F2">
        <w:rPr>
          <w:rFonts w:ascii="Times New Roman" w:hAnsi="Times New Roman"/>
          <w:sz w:val="24"/>
        </w:rPr>
        <w:t xml:space="preserve"> (1994) 181 CLR 18 at 37, referring to </w:t>
      </w:r>
      <w:r w:rsidRPr="000309F2">
        <w:rPr>
          <w:rFonts w:ascii="Times New Roman" w:hAnsi="Times New Roman"/>
          <w:i/>
          <w:sz w:val="24"/>
        </w:rPr>
        <w:t>Scruttons Ltd v Midland Silicones Ltd</w:t>
      </w:r>
      <w:r w:rsidRPr="000309F2">
        <w:rPr>
          <w:rFonts w:ascii="Times New Roman" w:hAnsi="Times New Roman"/>
          <w:sz w:val="24"/>
        </w:rPr>
        <w:t xml:space="preserve"> [1962] AC 446 at 479; </w:t>
      </w:r>
      <w:r w:rsidRPr="000309F2">
        <w:rPr>
          <w:rFonts w:ascii="Times New Roman" w:hAnsi="Times New Roman"/>
          <w:i/>
          <w:sz w:val="24"/>
        </w:rPr>
        <w:t>D'Orta</w:t>
      </w:r>
      <w:r w:rsidRPr="000309F2">
        <w:rPr>
          <w:rFonts w:ascii="Times New Roman" w:hAnsi="Times New Roman"/>
          <w:i/>
          <w:sz w:val="24"/>
        </w:rPr>
        <w:noBreakHyphen/>
        <w:t xml:space="preserve">Ekenaike v Victoria Legal Aid </w:t>
      </w:r>
      <w:r w:rsidRPr="000309F2">
        <w:rPr>
          <w:rFonts w:ascii="Times New Roman" w:hAnsi="Times New Roman"/>
          <w:sz w:val="24"/>
        </w:rPr>
        <w:t>(2005) 223 CLR 1 at 46</w:t>
      </w:r>
      <w:r w:rsidRPr="000309F2">
        <w:rPr>
          <w:rFonts w:ascii="Times New Roman" w:hAnsi="Times New Roman"/>
          <w:sz w:val="24"/>
        </w:rPr>
        <w:noBreakHyphen/>
        <w:t xml:space="preserve">47 [133]. See also Oliphant, "A Return to Stare Decisis" (1928) 14 </w:t>
      </w:r>
      <w:r w:rsidRPr="000309F2">
        <w:rPr>
          <w:rFonts w:ascii="Times New Roman" w:hAnsi="Times New Roman"/>
          <w:i/>
          <w:sz w:val="24"/>
        </w:rPr>
        <w:t xml:space="preserve">American Bar Association Journal </w:t>
      </w:r>
      <w:r w:rsidRPr="000309F2">
        <w:rPr>
          <w:rFonts w:ascii="Times New Roman" w:hAnsi="Times New Roman"/>
          <w:sz w:val="24"/>
        </w:rPr>
        <w:t>71 at 72</w:t>
      </w:r>
      <w:r w:rsidRPr="000309F2">
        <w:rPr>
          <w:rFonts w:ascii="Times New Roman" w:hAnsi="Times New Roman"/>
          <w:sz w:val="24"/>
        </w:rPr>
        <w:noBreakHyphen/>
        <w:t xml:space="preserve">73. See further </w:t>
      </w:r>
      <w:r w:rsidRPr="000309F2">
        <w:rPr>
          <w:rFonts w:ascii="Times New Roman" w:hAnsi="Times New Roman"/>
          <w:i/>
          <w:sz w:val="24"/>
        </w:rPr>
        <w:t xml:space="preserve">Farah Constructions Pty Ltd v Say-Dee Pty Ltd </w:t>
      </w:r>
      <w:r w:rsidRPr="000309F2">
        <w:rPr>
          <w:rFonts w:ascii="Times New Roman" w:hAnsi="Times New Roman"/>
          <w:sz w:val="24"/>
        </w:rPr>
        <w:t>(2007) 230 CLR 89 at 150</w:t>
      </w:r>
      <w:r w:rsidRPr="000309F2">
        <w:rPr>
          <w:rFonts w:ascii="Times New Roman" w:hAnsi="Times New Roman"/>
          <w:sz w:val="24"/>
        </w:rPr>
        <w:noBreakHyphen/>
        <w:t>151 [134].</w:t>
      </w:r>
    </w:p>
  </w:footnote>
  <w:footnote w:id="418">
    <w:p w14:paraId="063B1FF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also </w:t>
      </w:r>
      <w:r w:rsidRPr="000309F2">
        <w:rPr>
          <w:rFonts w:ascii="Times New Roman" w:hAnsi="Times New Roman"/>
          <w:i/>
          <w:iCs/>
          <w:sz w:val="24"/>
        </w:rPr>
        <w:t>Evda Nominees Pty Ltd v Victoria</w:t>
      </w:r>
      <w:r w:rsidRPr="000309F2">
        <w:rPr>
          <w:rFonts w:ascii="Times New Roman" w:hAnsi="Times New Roman"/>
          <w:sz w:val="24"/>
        </w:rPr>
        <w:t xml:space="preserve"> (1984) 154 CLR 311 at 316.</w:t>
      </w:r>
    </w:p>
  </w:footnote>
  <w:footnote w:id="419">
    <w:p w14:paraId="2545804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127.</w:t>
      </w:r>
    </w:p>
  </w:footnote>
  <w:footnote w:id="420">
    <w:p w14:paraId="7657C75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591 [15], 593 [23], 598</w:t>
      </w:r>
      <w:r w:rsidRPr="000309F2">
        <w:rPr>
          <w:rFonts w:ascii="Times New Roman" w:hAnsi="Times New Roman"/>
          <w:sz w:val="24"/>
        </w:rPr>
        <w:noBreakHyphen/>
        <w:t>599 [37], 648 [198], 655</w:t>
      </w:r>
      <w:r w:rsidRPr="000309F2">
        <w:rPr>
          <w:rFonts w:ascii="Times New Roman" w:hAnsi="Times New Roman"/>
          <w:sz w:val="24"/>
        </w:rPr>
        <w:noBreakHyphen/>
        <w:t xml:space="preserve">656 [219]; </w:t>
      </w:r>
      <w:r w:rsidRPr="000309F2">
        <w:rPr>
          <w:rFonts w:ascii="Times New Roman" w:hAnsi="Times New Roman"/>
          <w:i/>
          <w:iCs/>
          <w:sz w:val="24"/>
        </w:rPr>
        <w:t xml:space="preserve">Condon v Pompano Pty Ltd </w:t>
      </w:r>
      <w:r w:rsidRPr="000309F2">
        <w:rPr>
          <w:rFonts w:ascii="Times New Roman" w:hAnsi="Times New Roman"/>
          <w:sz w:val="24"/>
        </w:rPr>
        <w:t>(2013) 252 CLR 38 at 88</w:t>
      </w:r>
      <w:r w:rsidRPr="000309F2">
        <w:rPr>
          <w:rFonts w:ascii="Times New Roman" w:hAnsi="Times New Roman"/>
          <w:sz w:val="24"/>
        </w:rPr>
        <w:noBreakHyphen/>
        <w:t xml:space="preserve">89 [123]; </w:t>
      </w:r>
      <w:r w:rsidRPr="000309F2">
        <w:rPr>
          <w:rFonts w:ascii="Times New Roman" w:hAnsi="Times New Roman"/>
          <w:i/>
          <w:iCs/>
          <w:sz w:val="24"/>
        </w:rPr>
        <w:t>Attorney</w:t>
      </w:r>
      <w:r w:rsidRPr="000309F2">
        <w:rPr>
          <w:rFonts w:ascii="Times New Roman" w:hAnsi="Times New Roman"/>
          <w:i/>
          <w:iCs/>
          <w:sz w:val="24"/>
        </w:rPr>
        <w:noBreakHyphen/>
        <w:t xml:space="preserve">General (NT) v Emmerson </w:t>
      </w:r>
      <w:r w:rsidRPr="000309F2">
        <w:rPr>
          <w:rFonts w:ascii="Times New Roman" w:hAnsi="Times New Roman"/>
          <w:sz w:val="24"/>
        </w:rPr>
        <w:t xml:space="preserve">(2014) 253 CLR 393 at 424 [40]. See also </w:t>
      </w:r>
      <w:r w:rsidRPr="000309F2">
        <w:rPr>
          <w:rFonts w:ascii="Times New Roman" w:hAnsi="Times New Roman"/>
          <w:i/>
          <w:iCs/>
          <w:sz w:val="24"/>
        </w:rPr>
        <w:t xml:space="preserve">Kuczborski v Queensland </w:t>
      </w:r>
      <w:r w:rsidRPr="000309F2">
        <w:rPr>
          <w:rFonts w:ascii="Times New Roman" w:hAnsi="Times New Roman"/>
          <w:sz w:val="24"/>
        </w:rPr>
        <w:t xml:space="preserve">(2014) 254 CLR 51 at 98 [139]; </w:t>
      </w:r>
      <w:r w:rsidRPr="000309F2">
        <w:rPr>
          <w:rFonts w:ascii="Times New Roman" w:hAnsi="Times New Roman"/>
          <w:i/>
          <w:iCs/>
          <w:sz w:val="24"/>
        </w:rPr>
        <w:t>Vella v Commissioner of Police </w:t>
      </w:r>
      <w:r w:rsidRPr="000309F2">
        <w:rPr>
          <w:rFonts w:ascii="Times New Roman" w:hAnsi="Times New Roman"/>
          <w:i/>
          <w:sz w:val="24"/>
        </w:rPr>
        <w:t>(</w:t>
      </w:r>
      <w:r w:rsidRPr="000309F2">
        <w:rPr>
          <w:rFonts w:ascii="Times New Roman" w:hAnsi="Times New Roman"/>
          <w:i/>
          <w:iCs/>
          <w:sz w:val="24"/>
        </w:rPr>
        <w:t>NSW)</w:t>
      </w:r>
      <w:r w:rsidRPr="000309F2">
        <w:rPr>
          <w:rFonts w:ascii="Times New Roman" w:hAnsi="Times New Roman"/>
          <w:sz w:val="24"/>
        </w:rPr>
        <w:t xml:space="preserve"> (2019) 269 CLR 219 at 245</w:t>
      </w:r>
      <w:r w:rsidRPr="000309F2">
        <w:rPr>
          <w:rFonts w:ascii="Times New Roman" w:hAnsi="Times New Roman"/>
          <w:sz w:val="24"/>
        </w:rPr>
        <w:noBreakHyphen/>
        <w:t>246 [55].</w:t>
      </w:r>
    </w:p>
  </w:footnote>
  <w:footnote w:id="421">
    <w:p w14:paraId="20872561"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Condon v Pompano Pty Ltd </w:t>
      </w:r>
      <w:r w:rsidRPr="000309F2">
        <w:rPr>
          <w:rFonts w:ascii="Times New Roman" w:hAnsi="Times New Roman"/>
          <w:sz w:val="24"/>
        </w:rPr>
        <w:t>(2013) 252 CLR 38 at 89 [124].</w:t>
      </w:r>
    </w:p>
  </w:footnote>
  <w:footnote w:id="422">
    <w:p w14:paraId="7BB1CCE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Kable v Director of Public Prosecutions (NSW) </w:t>
      </w:r>
      <w:r w:rsidRPr="000309F2">
        <w:rPr>
          <w:rFonts w:ascii="Times New Roman" w:hAnsi="Times New Roman"/>
          <w:sz w:val="24"/>
        </w:rPr>
        <w:t>(1996) 189 CLR 51 at 132.</w:t>
      </w:r>
    </w:p>
  </w:footnote>
  <w:footnote w:id="423">
    <w:p w14:paraId="6F0DE15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South Australia v Totani </w:t>
      </w:r>
      <w:r w:rsidRPr="000309F2">
        <w:rPr>
          <w:rFonts w:ascii="Times New Roman" w:hAnsi="Times New Roman"/>
          <w:sz w:val="24"/>
        </w:rPr>
        <w:t>(2010) 242 CLR 1</w:t>
      </w:r>
      <w:r w:rsidRPr="000309F2">
        <w:rPr>
          <w:rFonts w:ascii="Times New Roman" w:hAnsi="Times New Roman"/>
          <w:i/>
          <w:iCs/>
          <w:sz w:val="24"/>
        </w:rPr>
        <w:t xml:space="preserve"> </w:t>
      </w:r>
      <w:r w:rsidRPr="000309F2">
        <w:rPr>
          <w:rFonts w:ascii="Times New Roman" w:hAnsi="Times New Roman"/>
          <w:sz w:val="24"/>
        </w:rPr>
        <w:t>at 43 [62].</w:t>
      </w:r>
    </w:p>
  </w:footnote>
  <w:footnote w:id="424">
    <w:p w14:paraId="028B1F3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Kable v Director of Public Prosecutions (NSW) </w:t>
      </w:r>
      <w:r w:rsidRPr="000309F2">
        <w:rPr>
          <w:rFonts w:ascii="Times New Roman" w:hAnsi="Times New Roman"/>
          <w:sz w:val="24"/>
        </w:rPr>
        <w:t xml:space="preserve">(1996) 189 CLR 51 at 116; </w:t>
      </w:r>
      <w:r w:rsidRPr="000309F2">
        <w:rPr>
          <w:rFonts w:ascii="Times New Roman" w:hAnsi="Times New Roman"/>
          <w:i/>
          <w:sz w:val="24"/>
        </w:rPr>
        <w:t xml:space="preserve">North Australian Aboriginal Legal Aid Service Inc v Bradley </w:t>
      </w:r>
      <w:r w:rsidRPr="000309F2">
        <w:rPr>
          <w:rFonts w:ascii="Times New Roman" w:hAnsi="Times New Roman"/>
          <w:sz w:val="24"/>
        </w:rPr>
        <w:t>(2004) 218 CLR 146</w:t>
      </w:r>
      <w:r w:rsidRPr="000309F2">
        <w:rPr>
          <w:rFonts w:ascii="Times New Roman" w:hAnsi="Times New Roman"/>
          <w:i/>
          <w:sz w:val="24"/>
        </w:rPr>
        <w:t xml:space="preserve"> </w:t>
      </w:r>
      <w:r w:rsidRPr="000309F2">
        <w:rPr>
          <w:rFonts w:ascii="Times New Roman" w:hAnsi="Times New Roman"/>
          <w:sz w:val="24"/>
        </w:rPr>
        <w:t xml:space="preserve">at 163 [29]; </w:t>
      </w:r>
      <w:r w:rsidRPr="000309F2">
        <w:rPr>
          <w:rFonts w:ascii="Times New Roman" w:hAnsi="Times New Roman"/>
          <w:i/>
          <w:iCs/>
          <w:sz w:val="24"/>
        </w:rPr>
        <w:t>Attorney</w:t>
      </w:r>
      <w:r w:rsidRPr="000309F2">
        <w:rPr>
          <w:rFonts w:ascii="Times New Roman" w:hAnsi="Times New Roman"/>
          <w:i/>
          <w:iCs/>
          <w:sz w:val="24"/>
        </w:rPr>
        <w:noBreakHyphen/>
        <w:t xml:space="preserve">General (NT) v Emmerson </w:t>
      </w:r>
      <w:r w:rsidRPr="000309F2">
        <w:rPr>
          <w:rFonts w:ascii="Times New Roman" w:hAnsi="Times New Roman"/>
          <w:sz w:val="24"/>
        </w:rPr>
        <w:t>(2014) 253 CLR 393 at 425 [41].</w:t>
      </w:r>
    </w:p>
  </w:footnote>
  <w:footnote w:id="425">
    <w:p w14:paraId="2E39AC5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Leeth v The Commonwealth </w:t>
      </w:r>
      <w:r w:rsidRPr="000309F2">
        <w:rPr>
          <w:rFonts w:ascii="Times New Roman" w:hAnsi="Times New Roman"/>
          <w:sz w:val="24"/>
        </w:rPr>
        <w:t xml:space="preserve">(1992) 174 CLR 455 at 470; </w:t>
      </w:r>
      <w:r w:rsidRPr="000309F2">
        <w:rPr>
          <w:rFonts w:ascii="Times New Roman" w:hAnsi="Times New Roman"/>
          <w:i/>
          <w:sz w:val="24"/>
        </w:rPr>
        <w:t xml:space="preserve">International Finance Trust Co Ltd v New South Wales Crime Commission </w:t>
      </w:r>
      <w:r w:rsidRPr="000309F2">
        <w:rPr>
          <w:rFonts w:ascii="Times New Roman" w:hAnsi="Times New Roman"/>
          <w:sz w:val="24"/>
        </w:rPr>
        <w:t>(2009) 240 CLR 319 at 354</w:t>
      </w:r>
      <w:r w:rsidRPr="000309F2">
        <w:rPr>
          <w:rFonts w:ascii="Times New Roman" w:hAnsi="Times New Roman"/>
          <w:sz w:val="24"/>
        </w:rPr>
        <w:noBreakHyphen/>
        <w:t>355 [54]</w:t>
      </w:r>
      <w:r w:rsidRPr="000309F2">
        <w:rPr>
          <w:rFonts w:ascii="Times New Roman" w:hAnsi="Times New Roman"/>
          <w:sz w:val="24"/>
        </w:rPr>
        <w:noBreakHyphen/>
        <w:t>[56], 379</w:t>
      </w:r>
      <w:r w:rsidRPr="000309F2">
        <w:rPr>
          <w:rFonts w:ascii="Times New Roman" w:hAnsi="Times New Roman"/>
          <w:sz w:val="24"/>
        </w:rPr>
        <w:noBreakHyphen/>
        <w:t>380 [140]</w:t>
      </w:r>
      <w:r w:rsidRPr="000309F2">
        <w:rPr>
          <w:rFonts w:ascii="Times New Roman" w:hAnsi="Times New Roman"/>
          <w:sz w:val="24"/>
        </w:rPr>
        <w:noBreakHyphen/>
        <w:t xml:space="preserve">[141]; </w:t>
      </w:r>
      <w:r w:rsidRPr="000309F2">
        <w:rPr>
          <w:rFonts w:ascii="Times New Roman" w:hAnsi="Times New Roman"/>
          <w:i/>
          <w:sz w:val="24"/>
        </w:rPr>
        <w:t xml:space="preserve">Wainohu v New South Wales </w:t>
      </w:r>
      <w:r w:rsidRPr="000309F2">
        <w:rPr>
          <w:rFonts w:ascii="Times New Roman" w:hAnsi="Times New Roman"/>
          <w:sz w:val="24"/>
        </w:rPr>
        <w:t>(2011) 243 CLR 181 at 208</w:t>
      </w:r>
      <w:r w:rsidRPr="000309F2">
        <w:rPr>
          <w:rFonts w:ascii="Times New Roman" w:hAnsi="Times New Roman"/>
          <w:sz w:val="24"/>
        </w:rPr>
        <w:noBreakHyphen/>
        <w:t>209 [44];</w:t>
      </w:r>
      <w:r w:rsidRPr="000309F2">
        <w:rPr>
          <w:rFonts w:ascii="Times New Roman" w:hAnsi="Times New Roman"/>
          <w:i/>
          <w:sz w:val="24"/>
        </w:rPr>
        <w:t xml:space="preserve"> TCL Air Conditioner (Zhongshan) Co Ltd v Judges of Federal Court of Australia</w:t>
      </w:r>
      <w:r w:rsidRPr="000309F2" w:rsidDel="00052F20">
        <w:rPr>
          <w:rFonts w:ascii="Times New Roman" w:hAnsi="Times New Roman"/>
          <w:i/>
          <w:sz w:val="24"/>
        </w:rPr>
        <w:t xml:space="preserve"> </w:t>
      </w:r>
      <w:r w:rsidRPr="000309F2">
        <w:rPr>
          <w:rFonts w:ascii="Times New Roman" w:hAnsi="Times New Roman"/>
          <w:sz w:val="24"/>
        </w:rPr>
        <w:t>(2013) 251 CLR 533 at 553 [26]</w:t>
      </w:r>
      <w:r w:rsidRPr="000309F2">
        <w:rPr>
          <w:rFonts w:ascii="Times New Roman" w:hAnsi="Times New Roman"/>
          <w:sz w:val="24"/>
        </w:rPr>
        <w:noBreakHyphen/>
        <w:t xml:space="preserve">[27]; </w:t>
      </w:r>
      <w:r w:rsidRPr="000309F2">
        <w:rPr>
          <w:rFonts w:ascii="Times New Roman" w:hAnsi="Times New Roman"/>
          <w:i/>
          <w:sz w:val="24"/>
        </w:rPr>
        <w:t xml:space="preserve">Condon v Pompano Pty Ltd </w:t>
      </w:r>
      <w:r w:rsidRPr="000309F2">
        <w:rPr>
          <w:rFonts w:ascii="Times New Roman" w:hAnsi="Times New Roman"/>
          <w:sz w:val="24"/>
        </w:rPr>
        <w:t>(2013) 252 CLR 38 at 72 [68], 99 [156], 106</w:t>
      </w:r>
      <w:r w:rsidRPr="000309F2">
        <w:rPr>
          <w:rFonts w:ascii="Times New Roman" w:hAnsi="Times New Roman"/>
          <w:sz w:val="24"/>
        </w:rPr>
        <w:noBreakHyphen/>
        <w:t>108 [181]</w:t>
      </w:r>
      <w:r w:rsidRPr="000309F2">
        <w:rPr>
          <w:rFonts w:ascii="Times New Roman" w:hAnsi="Times New Roman"/>
          <w:sz w:val="24"/>
        </w:rPr>
        <w:noBreakHyphen/>
        <w:t xml:space="preserve">[188]; </w:t>
      </w:r>
      <w:r w:rsidRPr="000309F2">
        <w:rPr>
          <w:rFonts w:ascii="Times New Roman" w:hAnsi="Times New Roman"/>
          <w:i/>
          <w:iCs/>
          <w:sz w:val="24"/>
        </w:rPr>
        <w:t xml:space="preserve">North Australian Aboriginal Justice Agency Ltd v Northern Territory </w:t>
      </w:r>
      <w:r w:rsidRPr="000309F2">
        <w:rPr>
          <w:rFonts w:ascii="Times New Roman" w:hAnsi="Times New Roman"/>
          <w:sz w:val="24"/>
        </w:rPr>
        <w:t xml:space="preserve">(2015) 256 CLR 569 at 594 [39];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222</w:t>
      </w:r>
      <w:r w:rsidRPr="000309F2">
        <w:rPr>
          <w:rFonts w:ascii="Times New Roman" w:hAnsi="Times New Roman"/>
          <w:sz w:val="24"/>
        </w:rPr>
        <w:noBreakHyphen/>
        <w:t>223 [223]; 388 ALR 1 at 68.</w:t>
      </w:r>
    </w:p>
  </w:footnote>
  <w:footnote w:id="426">
    <w:p w14:paraId="75956F41" w14:textId="77777777" w:rsidR="00E3198A" w:rsidRPr="000309F2" w:rsidRDefault="00E3198A" w:rsidP="000309F2">
      <w:pPr>
        <w:pStyle w:val="FootnoteText"/>
        <w:spacing w:line="280" w:lineRule="exact"/>
        <w:ind w:right="0"/>
        <w:jc w:val="both"/>
        <w:rPr>
          <w:rFonts w:ascii="Times New Roman" w:hAnsi="Times New Roman"/>
          <w:i/>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Wainohu v New South Wales </w:t>
      </w:r>
      <w:r w:rsidRPr="000309F2">
        <w:rPr>
          <w:rFonts w:ascii="Times New Roman" w:hAnsi="Times New Roman"/>
          <w:sz w:val="24"/>
        </w:rPr>
        <w:t>(2011) 243 CLR 181 at 213</w:t>
      </w:r>
      <w:r w:rsidRPr="000309F2">
        <w:rPr>
          <w:rFonts w:ascii="Times New Roman" w:hAnsi="Times New Roman"/>
          <w:sz w:val="24"/>
        </w:rPr>
        <w:noBreakHyphen/>
        <w:t>215 [</w:t>
      </w:r>
      <w:proofErr w:type="gramStart"/>
      <w:r w:rsidRPr="000309F2">
        <w:rPr>
          <w:rFonts w:ascii="Times New Roman" w:hAnsi="Times New Roman"/>
          <w:sz w:val="24"/>
        </w:rPr>
        <w:t>54]</w:t>
      </w:r>
      <w:r w:rsidRPr="000309F2">
        <w:rPr>
          <w:rFonts w:ascii="Times New Roman" w:hAnsi="Times New Roman"/>
          <w:sz w:val="24"/>
        </w:rPr>
        <w:noBreakHyphen/>
      </w:r>
      <w:proofErr w:type="gramEnd"/>
      <w:r w:rsidRPr="000309F2">
        <w:rPr>
          <w:rFonts w:ascii="Times New Roman" w:hAnsi="Times New Roman"/>
          <w:sz w:val="24"/>
        </w:rPr>
        <w:t xml:space="preserve">[58], 228 [104]; </w:t>
      </w:r>
      <w:r w:rsidRPr="000309F2">
        <w:rPr>
          <w:rFonts w:ascii="Times New Roman" w:hAnsi="Times New Roman"/>
          <w:i/>
          <w:iCs/>
          <w:sz w:val="24"/>
        </w:rPr>
        <w:t xml:space="preserve">North Australian Aboriginal Justice Agency Ltd v Northern Territory </w:t>
      </w:r>
      <w:r w:rsidRPr="000309F2">
        <w:rPr>
          <w:rFonts w:ascii="Times New Roman" w:hAnsi="Times New Roman"/>
          <w:sz w:val="24"/>
        </w:rPr>
        <w:t>(2015) 256 CLR 569 at 594 [39].</w:t>
      </w:r>
    </w:p>
  </w:footnote>
  <w:footnote w:id="427">
    <w:p w14:paraId="00DA05CE"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South Australia v Totani </w:t>
      </w:r>
      <w:r w:rsidRPr="000309F2">
        <w:rPr>
          <w:rFonts w:ascii="Times New Roman" w:hAnsi="Times New Roman"/>
          <w:sz w:val="24"/>
        </w:rPr>
        <w:t>(2010) 242 CLR 1</w:t>
      </w:r>
      <w:r w:rsidRPr="000309F2">
        <w:rPr>
          <w:rFonts w:ascii="Times New Roman" w:hAnsi="Times New Roman"/>
          <w:i/>
          <w:iCs/>
          <w:sz w:val="24"/>
        </w:rPr>
        <w:t xml:space="preserve"> </w:t>
      </w:r>
      <w:r w:rsidRPr="000309F2">
        <w:rPr>
          <w:rFonts w:ascii="Times New Roman" w:hAnsi="Times New Roman"/>
          <w:sz w:val="24"/>
        </w:rPr>
        <w:t>at 52 [82], 66 [142], 67 [149], 92</w:t>
      </w:r>
      <w:r w:rsidRPr="000309F2">
        <w:rPr>
          <w:rFonts w:ascii="Times New Roman" w:hAnsi="Times New Roman"/>
          <w:sz w:val="24"/>
        </w:rPr>
        <w:noBreakHyphen/>
        <w:t>93 [236], 160 [436], 173 [481].</w:t>
      </w:r>
    </w:p>
  </w:footnote>
  <w:footnote w:id="428">
    <w:p w14:paraId="471D669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121, 125. See also at 89.</w:t>
      </w:r>
    </w:p>
  </w:footnote>
  <w:footnote w:id="429">
    <w:p w14:paraId="4DF6400B"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124, 134.</w:t>
      </w:r>
    </w:p>
  </w:footnote>
  <w:footnote w:id="430">
    <w:p w14:paraId="7B03D55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97.</w:t>
      </w:r>
    </w:p>
  </w:footnote>
  <w:footnote w:id="431">
    <w:p w14:paraId="5D1C414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107.</w:t>
      </w:r>
    </w:p>
  </w:footnote>
  <w:footnote w:id="432">
    <w:p w14:paraId="2001E09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120.</w:t>
      </w:r>
    </w:p>
  </w:footnote>
  <w:footnote w:id="433">
    <w:p w14:paraId="0311F4D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(1996) 189 CLR 51 at 132.</w:t>
      </w:r>
      <w:r w:rsidRPr="000309F2">
        <w:rPr>
          <w:rFonts w:ascii="Times New Roman" w:hAnsi="Times New Roman"/>
          <w:sz w:val="24"/>
        </w:rPr>
        <w:tab/>
      </w:r>
    </w:p>
  </w:footnote>
  <w:footnote w:id="434">
    <w:p w14:paraId="62EAE33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Fardon v Attorney</w:t>
      </w:r>
      <w:r w:rsidRPr="000309F2">
        <w:rPr>
          <w:rFonts w:ascii="Times New Roman" w:hAnsi="Times New Roman"/>
          <w:i/>
          <w:iCs/>
          <w:sz w:val="24"/>
        </w:rPr>
        <w:noBreakHyphen/>
        <w:t>General (Qld)</w:t>
      </w:r>
      <w:r w:rsidRPr="000309F2">
        <w:rPr>
          <w:rFonts w:ascii="Times New Roman" w:hAnsi="Times New Roman"/>
          <w:sz w:val="24"/>
        </w:rPr>
        <w:t xml:space="preserve"> (2004) 223 CLR 575 at 614 [86].</w:t>
      </w:r>
    </w:p>
  </w:footnote>
  <w:footnote w:id="435">
    <w:p w14:paraId="681B087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(1992) 176 CLR 1.</w:t>
      </w:r>
    </w:p>
  </w:footnote>
  <w:footnote w:id="436">
    <w:p w14:paraId="7020FED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Minister for Home Affairs v Benbrika </w:t>
      </w:r>
      <w:r w:rsidRPr="000309F2">
        <w:rPr>
          <w:rFonts w:ascii="Times New Roman" w:hAnsi="Times New Roman"/>
          <w:sz w:val="24"/>
        </w:rPr>
        <w:t>(2021) 95 ALJR 166 at 211 [181]; 388 ALR 1 at 53.</w:t>
      </w:r>
    </w:p>
  </w:footnote>
  <w:footnote w:id="437">
    <w:p w14:paraId="3CDD8C1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(1992) 176 CLR 1 at 27.</w:t>
      </w:r>
    </w:p>
  </w:footnote>
  <w:footnote w:id="438">
    <w:p w14:paraId="1A5456A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also </w:t>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654 [</w:t>
      </w:r>
      <w:proofErr w:type="gramStart"/>
      <w:r w:rsidRPr="000309F2">
        <w:rPr>
          <w:rFonts w:ascii="Times New Roman" w:hAnsi="Times New Roman"/>
          <w:sz w:val="24"/>
        </w:rPr>
        <w:t>216]</w:t>
      </w:r>
      <w:r w:rsidRPr="000309F2">
        <w:rPr>
          <w:rFonts w:ascii="Times New Roman" w:hAnsi="Times New Roman"/>
          <w:sz w:val="24"/>
        </w:rPr>
        <w:noBreakHyphen/>
      </w:r>
      <w:proofErr w:type="gramEnd"/>
      <w:r w:rsidRPr="000309F2">
        <w:rPr>
          <w:rFonts w:ascii="Times New Roman" w:hAnsi="Times New Roman"/>
          <w:sz w:val="24"/>
        </w:rPr>
        <w:t>[217].</w:t>
      </w:r>
    </w:p>
  </w:footnote>
  <w:footnote w:id="439">
    <w:p w14:paraId="308D07A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bookmarkStart w:id="5" w:name="_Hlk108022974"/>
      <w:r w:rsidRPr="000309F2">
        <w:rPr>
          <w:rFonts w:ascii="Times New Roman" w:hAnsi="Times New Roman"/>
          <w:i/>
          <w:sz w:val="24"/>
        </w:rPr>
        <w:t xml:space="preserve">Minister for Home Affairs v Benbrika </w:t>
      </w:r>
      <w:r w:rsidRPr="000309F2">
        <w:rPr>
          <w:rFonts w:ascii="Times New Roman" w:hAnsi="Times New Roman"/>
          <w:sz w:val="24"/>
        </w:rPr>
        <w:t>(2021) 95 ALJR 166 at 182</w:t>
      </w:r>
      <w:r w:rsidRPr="000309F2">
        <w:rPr>
          <w:rFonts w:ascii="Times New Roman" w:hAnsi="Times New Roman"/>
          <w:sz w:val="24"/>
        </w:rPr>
        <w:noBreakHyphen/>
        <w:t>183 [</w:t>
      </w:r>
      <w:proofErr w:type="gramStart"/>
      <w:r w:rsidRPr="000309F2">
        <w:rPr>
          <w:rFonts w:ascii="Times New Roman" w:hAnsi="Times New Roman"/>
          <w:sz w:val="24"/>
        </w:rPr>
        <w:t>38]</w:t>
      </w:r>
      <w:r w:rsidRPr="000309F2">
        <w:rPr>
          <w:rFonts w:ascii="Times New Roman" w:hAnsi="Times New Roman"/>
          <w:sz w:val="24"/>
        </w:rPr>
        <w:noBreakHyphen/>
      </w:r>
      <w:proofErr w:type="gramEnd"/>
      <w:r w:rsidRPr="000309F2">
        <w:rPr>
          <w:rFonts w:ascii="Times New Roman" w:hAnsi="Times New Roman"/>
          <w:sz w:val="24"/>
        </w:rPr>
        <w:t>[41]; 388 ALR 1 at 15</w:t>
      </w:r>
      <w:r w:rsidRPr="000309F2">
        <w:rPr>
          <w:rFonts w:ascii="Times New Roman" w:hAnsi="Times New Roman"/>
          <w:sz w:val="24"/>
        </w:rPr>
        <w:noBreakHyphen/>
        <w:t>16.</w:t>
      </w:r>
    </w:p>
    <w:bookmarkEnd w:id="5"/>
  </w:footnote>
  <w:footnote w:id="440">
    <w:p w14:paraId="2D6B7A5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eg, </w:t>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654 [217].</w:t>
      </w:r>
    </w:p>
  </w:footnote>
  <w:footnote w:id="441">
    <w:p w14:paraId="0F41524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eg,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180 [32]; 388 ALR 1 at 13.</w:t>
      </w:r>
    </w:p>
  </w:footnote>
  <w:footnote w:id="442">
    <w:p w14:paraId="57FED64B"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Minister for Home Affairs v Benbrika </w:t>
      </w:r>
      <w:r w:rsidRPr="000309F2">
        <w:rPr>
          <w:rFonts w:ascii="Times New Roman" w:hAnsi="Times New Roman"/>
          <w:sz w:val="24"/>
        </w:rPr>
        <w:t>(2021) 95 ALJR 166 at 182</w:t>
      </w:r>
      <w:r w:rsidRPr="000309F2">
        <w:rPr>
          <w:rFonts w:ascii="Times New Roman" w:hAnsi="Times New Roman"/>
          <w:sz w:val="24"/>
        </w:rPr>
        <w:noBreakHyphen/>
        <w:t>183 [</w:t>
      </w:r>
      <w:proofErr w:type="gramStart"/>
      <w:r w:rsidRPr="000309F2">
        <w:rPr>
          <w:rFonts w:ascii="Times New Roman" w:hAnsi="Times New Roman"/>
          <w:sz w:val="24"/>
        </w:rPr>
        <w:t>40]</w:t>
      </w:r>
      <w:r w:rsidRPr="000309F2">
        <w:rPr>
          <w:rFonts w:ascii="Times New Roman" w:hAnsi="Times New Roman"/>
          <w:sz w:val="24"/>
        </w:rPr>
        <w:noBreakHyphen/>
      </w:r>
      <w:proofErr w:type="gramEnd"/>
      <w:r w:rsidRPr="000309F2">
        <w:rPr>
          <w:rFonts w:ascii="Times New Roman" w:hAnsi="Times New Roman"/>
          <w:sz w:val="24"/>
        </w:rPr>
        <w:t>[41]; 388 ALR 1 at 16.</w:t>
      </w:r>
    </w:p>
  </w:footnote>
  <w:footnote w:id="443">
    <w:p w14:paraId="666FED4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Dyer, "</w:t>
      </w:r>
      <w:r w:rsidRPr="000309F2">
        <w:rPr>
          <w:rFonts w:ascii="Times New Roman" w:hAnsi="Times New Roman"/>
          <w:i/>
          <w:sz w:val="24"/>
        </w:rPr>
        <w:t>Minister for Home Affairs v Benbrika</w:t>
      </w:r>
      <w:r w:rsidRPr="000309F2">
        <w:rPr>
          <w:rFonts w:ascii="Times New Roman" w:hAnsi="Times New Roman"/>
          <w:sz w:val="24"/>
        </w:rPr>
        <w:t xml:space="preserve"> and the Capacity of Chapter III of the </w:t>
      </w:r>
      <w:r w:rsidRPr="000309F2">
        <w:rPr>
          <w:rFonts w:ascii="Times New Roman" w:hAnsi="Times New Roman"/>
          <w:i/>
          <w:sz w:val="24"/>
        </w:rPr>
        <w:t>Commonwealth Constitution</w:t>
      </w:r>
      <w:r w:rsidRPr="000309F2">
        <w:rPr>
          <w:rFonts w:ascii="Times New Roman" w:hAnsi="Times New Roman"/>
          <w:sz w:val="24"/>
        </w:rPr>
        <w:t xml:space="preserve"> to Protect Prisoners' Rights" (2022) 45 </w:t>
      </w:r>
      <w:r w:rsidRPr="000309F2">
        <w:rPr>
          <w:rFonts w:ascii="Times New Roman" w:hAnsi="Times New Roman"/>
          <w:i/>
          <w:iCs/>
          <w:sz w:val="24"/>
        </w:rPr>
        <w:t xml:space="preserve">University of New South Wales Law Journal </w:t>
      </w:r>
      <w:r w:rsidRPr="000309F2">
        <w:rPr>
          <w:rFonts w:ascii="Times New Roman" w:hAnsi="Times New Roman"/>
          <w:sz w:val="24"/>
        </w:rPr>
        <w:t xml:space="preserve">209 at 238. See also </w:t>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589 [11], 612</w:t>
      </w:r>
      <w:r w:rsidRPr="000309F2">
        <w:rPr>
          <w:rFonts w:ascii="Times New Roman" w:hAnsi="Times New Roman"/>
          <w:sz w:val="24"/>
        </w:rPr>
        <w:noBreakHyphen/>
        <w:t>613 [</w:t>
      </w:r>
      <w:proofErr w:type="gramStart"/>
      <w:r w:rsidRPr="000309F2">
        <w:rPr>
          <w:rFonts w:ascii="Times New Roman" w:hAnsi="Times New Roman"/>
          <w:sz w:val="24"/>
        </w:rPr>
        <w:t>81]</w:t>
      </w:r>
      <w:r w:rsidRPr="000309F2">
        <w:rPr>
          <w:rFonts w:ascii="Times New Roman" w:hAnsi="Times New Roman"/>
          <w:sz w:val="24"/>
        </w:rPr>
        <w:noBreakHyphen/>
      </w:r>
      <w:proofErr w:type="gramEnd"/>
      <w:r w:rsidRPr="000309F2">
        <w:rPr>
          <w:rFonts w:ascii="Times New Roman" w:hAnsi="Times New Roman"/>
          <w:sz w:val="24"/>
        </w:rPr>
        <w:t xml:space="preserve">[82];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219</w:t>
      </w:r>
      <w:r w:rsidRPr="000309F2">
        <w:rPr>
          <w:rFonts w:ascii="Times New Roman" w:hAnsi="Times New Roman"/>
          <w:sz w:val="24"/>
        </w:rPr>
        <w:noBreakHyphen/>
        <w:t>220 [212]</w:t>
      </w:r>
      <w:r w:rsidRPr="000309F2">
        <w:rPr>
          <w:rFonts w:ascii="Times New Roman" w:hAnsi="Times New Roman"/>
          <w:sz w:val="24"/>
        </w:rPr>
        <w:noBreakHyphen/>
        <w:t>[214]; 388 ALR 1 at 63</w:t>
      </w:r>
      <w:r w:rsidRPr="000309F2">
        <w:rPr>
          <w:rFonts w:ascii="Times New Roman" w:hAnsi="Times New Roman"/>
          <w:sz w:val="24"/>
        </w:rPr>
        <w:noBreakHyphen/>
        <w:t>65.</w:t>
      </w:r>
    </w:p>
  </w:footnote>
  <w:footnote w:id="444">
    <w:p w14:paraId="6EEEF4E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also </w:t>
      </w:r>
      <w:r w:rsidRPr="000309F2">
        <w:rPr>
          <w:rFonts w:ascii="Times New Roman" w:hAnsi="Times New Roman"/>
          <w:i/>
          <w:iCs/>
          <w:sz w:val="24"/>
        </w:rPr>
        <w:t>Vella v Commissioner of Police </w:t>
      </w:r>
      <w:r w:rsidRPr="000309F2">
        <w:rPr>
          <w:rFonts w:ascii="Times New Roman" w:hAnsi="Times New Roman"/>
          <w:i/>
          <w:sz w:val="24"/>
        </w:rPr>
        <w:t>(</w:t>
      </w:r>
      <w:r w:rsidRPr="000309F2">
        <w:rPr>
          <w:rFonts w:ascii="Times New Roman" w:hAnsi="Times New Roman"/>
          <w:i/>
          <w:iCs/>
          <w:sz w:val="24"/>
        </w:rPr>
        <w:t xml:space="preserve">NSW) </w:t>
      </w:r>
      <w:r w:rsidRPr="000309F2">
        <w:rPr>
          <w:rFonts w:ascii="Times New Roman" w:hAnsi="Times New Roman"/>
          <w:sz w:val="24"/>
        </w:rPr>
        <w:t>(2019) 269 CLR 219 at 254</w:t>
      </w:r>
      <w:r w:rsidRPr="000309F2">
        <w:rPr>
          <w:rFonts w:ascii="Times New Roman" w:hAnsi="Times New Roman"/>
          <w:sz w:val="24"/>
        </w:rPr>
        <w:noBreakHyphen/>
        <w:t xml:space="preserve">255 [78];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219 [212]; 388 ALR 1 at 63</w:t>
      </w:r>
      <w:r w:rsidRPr="000309F2">
        <w:rPr>
          <w:rFonts w:ascii="Times New Roman" w:hAnsi="Times New Roman"/>
          <w:sz w:val="24"/>
        </w:rPr>
        <w:noBreakHyphen/>
        <w:t>64.</w:t>
      </w:r>
    </w:p>
  </w:footnote>
  <w:footnote w:id="445">
    <w:p w14:paraId="6035B3D4"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Witham v Holloway</w:t>
      </w:r>
      <w:r w:rsidRPr="000309F2">
        <w:rPr>
          <w:rFonts w:ascii="Times New Roman" w:hAnsi="Times New Roman"/>
          <w:sz w:val="24"/>
        </w:rPr>
        <w:t xml:space="preserve"> (1995) 183 CLR 525 at 534.</w:t>
      </w:r>
    </w:p>
  </w:footnote>
  <w:footnote w:id="446">
    <w:p w14:paraId="0740C68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iCs/>
          <w:sz w:val="24"/>
        </w:rPr>
        <w:t xml:space="preserve">Alexander v Minister for Home Affairs </w:t>
      </w:r>
      <w:r w:rsidRPr="000309F2">
        <w:rPr>
          <w:rFonts w:ascii="Times New Roman" w:hAnsi="Times New Roman"/>
          <w:sz w:val="24"/>
        </w:rPr>
        <w:t>(2022) 96 ALJR 560</w:t>
      </w:r>
      <w:r w:rsidRPr="000309F2">
        <w:rPr>
          <w:rFonts w:ascii="Times New Roman" w:hAnsi="Times New Roman"/>
          <w:i/>
          <w:iCs/>
          <w:sz w:val="24"/>
        </w:rPr>
        <w:t xml:space="preserve"> </w:t>
      </w:r>
      <w:r w:rsidRPr="000309F2">
        <w:rPr>
          <w:rFonts w:ascii="Times New Roman" w:hAnsi="Times New Roman"/>
          <w:sz w:val="24"/>
        </w:rPr>
        <w:t>at 612</w:t>
      </w:r>
      <w:r w:rsidRPr="000309F2">
        <w:rPr>
          <w:rFonts w:ascii="Times New Roman" w:hAnsi="Times New Roman"/>
          <w:sz w:val="24"/>
        </w:rPr>
        <w:noBreakHyphen/>
        <w:t>613 [</w:t>
      </w:r>
      <w:proofErr w:type="gramStart"/>
      <w:r w:rsidRPr="000309F2">
        <w:rPr>
          <w:rFonts w:ascii="Times New Roman" w:hAnsi="Times New Roman"/>
          <w:sz w:val="24"/>
        </w:rPr>
        <w:t>241]</w:t>
      </w:r>
      <w:r w:rsidRPr="000309F2">
        <w:rPr>
          <w:rFonts w:ascii="Times New Roman" w:hAnsi="Times New Roman"/>
          <w:sz w:val="24"/>
        </w:rPr>
        <w:noBreakHyphen/>
      </w:r>
      <w:proofErr w:type="gramEnd"/>
      <w:r w:rsidRPr="000309F2">
        <w:rPr>
          <w:rFonts w:ascii="Times New Roman" w:hAnsi="Times New Roman"/>
          <w:sz w:val="24"/>
        </w:rPr>
        <w:t>[246]; 401 ALR 438 at 498</w:t>
      </w:r>
      <w:r w:rsidRPr="000309F2">
        <w:rPr>
          <w:rFonts w:ascii="Times New Roman" w:hAnsi="Times New Roman"/>
          <w:sz w:val="24"/>
        </w:rPr>
        <w:noBreakHyphen/>
        <w:t>500.</w:t>
      </w:r>
    </w:p>
  </w:footnote>
  <w:footnote w:id="447">
    <w:p w14:paraId="5B0CDBD8" w14:textId="77777777" w:rsidR="00E3198A" w:rsidRPr="000309F2" w:rsidRDefault="00E3198A" w:rsidP="000309F2">
      <w:pPr>
        <w:pStyle w:val="FootnoteText"/>
        <w:spacing w:line="280" w:lineRule="exact"/>
        <w:ind w:right="0"/>
        <w:jc w:val="both"/>
        <w:rPr>
          <w:rFonts w:ascii="Times New Roman" w:hAnsi="Times New Roman"/>
          <w:b/>
          <w:bCs/>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Minister for Home Affairs v Benbrika </w:t>
      </w:r>
      <w:r w:rsidRPr="000309F2">
        <w:rPr>
          <w:rFonts w:ascii="Times New Roman" w:hAnsi="Times New Roman"/>
          <w:sz w:val="24"/>
        </w:rPr>
        <w:t>(2021) 95 ALJR 166 at 216</w:t>
      </w:r>
      <w:r w:rsidRPr="000309F2">
        <w:rPr>
          <w:rFonts w:ascii="Times New Roman" w:hAnsi="Times New Roman"/>
          <w:sz w:val="24"/>
        </w:rPr>
        <w:noBreakHyphen/>
        <w:t>217 [202]; 388 ALR 1 at 60.</w:t>
      </w:r>
    </w:p>
  </w:footnote>
  <w:footnote w:id="448">
    <w:p w14:paraId="175ACD2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(1992) 176 CLR 1 at 27, 53.</w:t>
      </w:r>
    </w:p>
  </w:footnote>
  <w:footnote w:id="449">
    <w:p w14:paraId="117D294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(1988) 165 CLR 611 at 618</w:t>
      </w:r>
      <w:r w:rsidRPr="000309F2">
        <w:rPr>
          <w:rFonts w:ascii="Times New Roman" w:hAnsi="Times New Roman"/>
          <w:sz w:val="24"/>
        </w:rPr>
        <w:noBreakHyphen/>
        <w:t xml:space="preserve">619. See also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217 [203]; 388 ALR 1 at 60</w:t>
      </w:r>
      <w:r w:rsidRPr="000309F2">
        <w:rPr>
          <w:rFonts w:ascii="Times New Roman" w:hAnsi="Times New Roman"/>
          <w:sz w:val="24"/>
        </w:rPr>
        <w:noBreakHyphen/>
        <w:t>61.</w:t>
      </w:r>
    </w:p>
  </w:footnote>
  <w:footnote w:id="450">
    <w:p w14:paraId="09A5A06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(2004) 223 CLR 575. See the discussion in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219</w:t>
      </w:r>
      <w:r w:rsidRPr="000309F2">
        <w:rPr>
          <w:rFonts w:ascii="Times New Roman" w:hAnsi="Times New Roman"/>
          <w:sz w:val="24"/>
        </w:rPr>
        <w:noBreakHyphen/>
        <w:t>220 [214]; 388 ALR 1 at 64</w:t>
      </w:r>
      <w:r w:rsidRPr="000309F2">
        <w:rPr>
          <w:rFonts w:ascii="Times New Roman" w:hAnsi="Times New Roman"/>
          <w:sz w:val="24"/>
        </w:rPr>
        <w:noBreakHyphen/>
        <w:t xml:space="preserve">65, referring to </w:t>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589 [11], 596</w:t>
      </w:r>
      <w:r w:rsidRPr="000309F2">
        <w:rPr>
          <w:rFonts w:ascii="Times New Roman" w:hAnsi="Times New Roman"/>
          <w:sz w:val="24"/>
        </w:rPr>
        <w:noBreakHyphen/>
        <w:t>597 [34], 610 [74], 611 [77], 612</w:t>
      </w:r>
      <w:r w:rsidRPr="000309F2">
        <w:rPr>
          <w:rFonts w:ascii="Times New Roman" w:hAnsi="Times New Roman"/>
          <w:sz w:val="24"/>
        </w:rPr>
        <w:noBreakHyphen/>
        <w:t>613 [</w:t>
      </w:r>
      <w:proofErr w:type="gramStart"/>
      <w:r w:rsidRPr="000309F2">
        <w:rPr>
          <w:rFonts w:ascii="Times New Roman" w:hAnsi="Times New Roman"/>
          <w:sz w:val="24"/>
        </w:rPr>
        <w:t>81]</w:t>
      </w:r>
      <w:r w:rsidRPr="000309F2">
        <w:rPr>
          <w:rFonts w:ascii="Times New Roman" w:hAnsi="Times New Roman"/>
          <w:sz w:val="24"/>
        </w:rPr>
        <w:noBreakHyphen/>
      </w:r>
      <w:proofErr w:type="gramEnd"/>
      <w:r w:rsidRPr="000309F2">
        <w:rPr>
          <w:rFonts w:ascii="Times New Roman" w:hAnsi="Times New Roman"/>
          <w:sz w:val="24"/>
        </w:rPr>
        <w:t>[82], 631 [147], 644 [185], 647</w:t>
      </w:r>
      <w:r w:rsidRPr="000309F2">
        <w:rPr>
          <w:rFonts w:ascii="Times New Roman" w:hAnsi="Times New Roman"/>
          <w:sz w:val="24"/>
        </w:rPr>
        <w:noBreakHyphen/>
        <w:t>648 [196].</w:t>
      </w:r>
    </w:p>
  </w:footnote>
  <w:footnote w:id="451">
    <w:p w14:paraId="320647F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United Nations Human Rights Committee, Communication No 1629/2007 (</w:t>
      </w:r>
      <w:r w:rsidRPr="000309F2">
        <w:rPr>
          <w:rFonts w:ascii="Times New Roman" w:hAnsi="Times New Roman"/>
          <w:i/>
          <w:sz w:val="24"/>
        </w:rPr>
        <w:t>Fardon v Australia</w:t>
      </w:r>
      <w:r w:rsidRPr="000309F2">
        <w:rPr>
          <w:rFonts w:ascii="Times New Roman" w:hAnsi="Times New Roman"/>
          <w:sz w:val="24"/>
        </w:rPr>
        <w:t>), UN Doc CCPR/C/98/D/1629/2007 (2010).</w:t>
      </w:r>
    </w:p>
  </w:footnote>
  <w:footnote w:id="452">
    <w:p w14:paraId="36036DF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Radzinowicz, "The Persistent Offender" (1939) 7 </w:t>
      </w:r>
      <w:r w:rsidRPr="000309F2">
        <w:rPr>
          <w:rFonts w:ascii="Times New Roman" w:hAnsi="Times New Roman"/>
          <w:i/>
          <w:sz w:val="24"/>
        </w:rPr>
        <w:t xml:space="preserve">Cambridge Law Journal </w:t>
      </w:r>
      <w:r w:rsidRPr="000309F2">
        <w:rPr>
          <w:rFonts w:ascii="Times New Roman" w:hAnsi="Times New Roman"/>
          <w:sz w:val="24"/>
        </w:rPr>
        <w:t>68 at 72.</w:t>
      </w:r>
    </w:p>
  </w:footnote>
  <w:footnote w:id="453">
    <w:p w14:paraId="3C9EDFD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Radzinowicz, "The Persistent Offender" (1939) 7 </w:t>
      </w:r>
      <w:r w:rsidRPr="000309F2">
        <w:rPr>
          <w:rFonts w:ascii="Times New Roman" w:hAnsi="Times New Roman"/>
          <w:i/>
          <w:sz w:val="24"/>
        </w:rPr>
        <w:t xml:space="preserve">Cambridge Law Journal </w:t>
      </w:r>
      <w:r w:rsidRPr="000309F2">
        <w:rPr>
          <w:rFonts w:ascii="Times New Roman" w:hAnsi="Times New Roman"/>
          <w:sz w:val="24"/>
        </w:rPr>
        <w:t>68 at 68.</w:t>
      </w:r>
    </w:p>
  </w:footnote>
  <w:footnote w:id="454">
    <w:p w14:paraId="35FE3B0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Radzinowicz and Hood, </w:t>
      </w:r>
      <w:r w:rsidRPr="000309F2">
        <w:rPr>
          <w:rFonts w:ascii="Times New Roman" w:hAnsi="Times New Roman"/>
          <w:i/>
          <w:iCs/>
          <w:sz w:val="24"/>
        </w:rPr>
        <w:t xml:space="preserve">A History of English Criminal </w:t>
      </w:r>
      <w:proofErr w:type="gramStart"/>
      <w:r w:rsidRPr="000309F2">
        <w:rPr>
          <w:rFonts w:ascii="Times New Roman" w:hAnsi="Times New Roman"/>
          <w:i/>
          <w:iCs/>
          <w:sz w:val="24"/>
        </w:rPr>
        <w:t>Law</w:t>
      </w:r>
      <w:proofErr w:type="gramEnd"/>
      <w:r w:rsidRPr="000309F2">
        <w:rPr>
          <w:rFonts w:ascii="Times New Roman" w:hAnsi="Times New Roman"/>
          <w:i/>
          <w:iCs/>
          <w:sz w:val="24"/>
        </w:rPr>
        <w:t xml:space="preserve"> and its Administration from 1750</w:t>
      </w:r>
      <w:r w:rsidRPr="000309F2">
        <w:rPr>
          <w:rFonts w:ascii="Times New Roman" w:hAnsi="Times New Roman"/>
          <w:sz w:val="24"/>
        </w:rPr>
        <w:t xml:space="preserve"> (1986), vol 5 at 279.</w:t>
      </w:r>
    </w:p>
  </w:footnote>
  <w:footnote w:id="455">
    <w:p w14:paraId="752A97E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Minister for Home Affairs v Benbrika </w:t>
      </w:r>
      <w:r w:rsidRPr="000309F2">
        <w:rPr>
          <w:rFonts w:ascii="Times New Roman" w:hAnsi="Times New Roman"/>
          <w:sz w:val="24"/>
        </w:rPr>
        <w:t>(2021) 95 ALJR 166 at 216 [198]; 388 ALR 1 at 59.</w:t>
      </w:r>
    </w:p>
  </w:footnote>
  <w:footnote w:id="456">
    <w:p w14:paraId="7E11C956"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(2004) 223 CLR 575.</w:t>
      </w:r>
    </w:p>
  </w:footnote>
  <w:footnote w:id="457">
    <w:p w14:paraId="0B65DB6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388 ALR 1.</w:t>
      </w:r>
    </w:p>
  </w:footnote>
  <w:footnote w:id="458">
    <w:p w14:paraId="5D9F05A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at 180 [32]; 388 ALR 1 at 13.</w:t>
      </w:r>
    </w:p>
  </w:footnote>
  <w:footnote w:id="459">
    <w:p w14:paraId="38A91F4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at 223</w:t>
      </w:r>
      <w:r w:rsidRPr="000309F2">
        <w:rPr>
          <w:rFonts w:ascii="Times New Roman" w:hAnsi="Times New Roman"/>
          <w:sz w:val="24"/>
        </w:rPr>
        <w:noBreakHyphen/>
        <w:t>224 [</w:t>
      </w:r>
      <w:proofErr w:type="gramStart"/>
      <w:r w:rsidRPr="000309F2">
        <w:rPr>
          <w:rFonts w:ascii="Times New Roman" w:hAnsi="Times New Roman"/>
          <w:sz w:val="24"/>
        </w:rPr>
        <w:t>226]</w:t>
      </w:r>
      <w:r w:rsidRPr="000309F2">
        <w:rPr>
          <w:rFonts w:ascii="Times New Roman" w:hAnsi="Times New Roman"/>
          <w:sz w:val="24"/>
        </w:rPr>
        <w:noBreakHyphen/>
      </w:r>
      <w:proofErr w:type="gramEnd"/>
      <w:r w:rsidRPr="000309F2">
        <w:rPr>
          <w:rFonts w:ascii="Times New Roman" w:hAnsi="Times New Roman"/>
          <w:sz w:val="24"/>
        </w:rPr>
        <w:t>[227]; 388 ALR 1 at 69.</w:t>
      </w:r>
    </w:p>
  </w:footnote>
  <w:footnote w:id="460">
    <w:p w14:paraId="4B21BC7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(2004) 223 CLR 575 at 592 [19].</w:t>
      </w:r>
    </w:p>
  </w:footnote>
  <w:footnote w:id="461">
    <w:p w14:paraId="6846DFC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at 226 [234]; 388 ALR 1 at 72.</w:t>
      </w:r>
    </w:p>
  </w:footnote>
  <w:footnote w:id="462">
    <w:p w14:paraId="02033C3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8.</w:t>
      </w:r>
    </w:p>
  </w:footnote>
  <w:footnote w:id="463">
    <w:p w14:paraId="5129036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84(3)(b).</w:t>
      </w:r>
    </w:p>
  </w:footnote>
  <w:footnote w:id="464">
    <w:p w14:paraId="2D74A44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82(1).</w:t>
      </w:r>
    </w:p>
  </w:footnote>
  <w:footnote w:id="465">
    <w:p w14:paraId="6ECFB739"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84(4).</w:t>
      </w:r>
    </w:p>
  </w:footnote>
  <w:footnote w:id="466">
    <w:p w14:paraId="31B4E7B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 28.</w:t>
      </w:r>
    </w:p>
  </w:footnote>
  <w:footnote w:id="467">
    <w:p w14:paraId="042A217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at 224 [229]; 388 ALR 1 at 70.</w:t>
      </w:r>
    </w:p>
  </w:footnote>
  <w:footnote w:id="468">
    <w:p w14:paraId="5F5183E0"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at 181 [36]; 388 ALR 1 at 14.</w:t>
      </w:r>
    </w:p>
  </w:footnote>
  <w:footnote w:id="469">
    <w:p w14:paraId="553D1F6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w:t>
      </w:r>
      <w:r w:rsidRPr="000309F2">
        <w:rPr>
          <w:rFonts w:ascii="Times New Roman" w:hAnsi="Times New Roman"/>
          <w:i/>
          <w:sz w:val="24"/>
        </w:rPr>
        <w:t xml:space="preserve">Minister for Home Affairs v Benbrika </w:t>
      </w:r>
      <w:r w:rsidRPr="000309F2">
        <w:rPr>
          <w:rFonts w:ascii="Times New Roman" w:hAnsi="Times New Roman"/>
          <w:sz w:val="24"/>
        </w:rPr>
        <w:t xml:space="preserve">(2021) 95 ALJR 166 at 225 [231]; 388 ALR 1 at 71. Compare (2021) 95 ALJR 166 at 191 [79]; 388 ALR 1 at 27. </w:t>
      </w:r>
      <w:proofErr w:type="gramStart"/>
      <w:r w:rsidRPr="000309F2">
        <w:rPr>
          <w:rFonts w:ascii="Times New Roman" w:hAnsi="Times New Roman"/>
          <w:sz w:val="24"/>
        </w:rPr>
        <w:t>Compare also</w:t>
      </w:r>
      <w:proofErr w:type="gramEnd"/>
      <w:r w:rsidRPr="000309F2">
        <w:rPr>
          <w:rFonts w:ascii="Times New Roman" w:hAnsi="Times New Roman"/>
          <w:sz w:val="24"/>
        </w:rPr>
        <w:t xml:space="preserve"> Blackstone, </w:t>
      </w:r>
      <w:r w:rsidRPr="000309F2">
        <w:rPr>
          <w:rFonts w:ascii="Times New Roman" w:hAnsi="Times New Roman"/>
          <w:i/>
          <w:iCs/>
          <w:sz w:val="24"/>
        </w:rPr>
        <w:t xml:space="preserve">Commentaries on the Laws of England </w:t>
      </w:r>
      <w:r w:rsidRPr="000309F2">
        <w:rPr>
          <w:rFonts w:ascii="Times New Roman" w:hAnsi="Times New Roman"/>
          <w:sz w:val="24"/>
        </w:rPr>
        <w:t>(1769), bk 4, ch 1 at 9.</w:t>
      </w:r>
    </w:p>
  </w:footnote>
  <w:footnote w:id="470">
    <w:p w14:paraId="24EBD73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Compare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195 [101]; 388 ALR 1 at 32.</w:t>
      </w:r>
    </w:p>
  </w:footnote>
  <w:footnote w:id="471">
    <w:p w14:paraId="06AC366B" w14:textId="77777777" w:rsidR="00E3198A" w:rsidRPr="000309F2" w:rsidRDefault="00E3198A" w:rsidP="000309F2">
      <w:pPr>
        <w:pStyle w:val="FootnoteText"/>
        <w:spacing w:line="280" w:lineRule="exact"/>
        <w:ind w:right="0"/>
        <w:jc w:val="both"/>
        <w:rPr>
          <w:rFonts w:ascii="Times New Roman" w:hAnsi="Times New Roman"/>
          <w:i/>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Chester v The Queen </w:t>
      </w:r>
      <w:r w:rsidRPr="000309F2">
        <w:rPr>
          <w:rFonts w:ascii="Times New Roman" w:hAnsi="Times New Roman"/>
          <w:sz w:val="24"/>
        </w:rPr>
        <w:t>(1988) 165 CLR 611 at 618.</w:t>
      </w:r>
    </w:p>
  </w:footnote>
  <w:footnote w:id="472">
    <w:p w14:paraId="17B06DC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Dangerous Prisoners (Sexual Offenders) Act 2003 </w:t>
      </w:r>
      <w:r w:rsidRPr="000309F2">
        <w:rPr>
          <w:rFonts w:ascii="Times New Roman" w:hAnsi="Times New Roman"/>
          <w:sz w:val="24"/>
        </w:rPr>
        <w:t>(Qld)</w:t>
      </w:r>
      <w:r w:rsidRPr="000309F2">
        <w:rPr>
          <w:rFonts w:ascii="Times New Roman" w:hAnsi="Times New Roman"/>
          <w:iCs/>
          <w:sz w:val="24"/>
        </w:rPr>
        <w:t>,</w:t>
      </w:r>
      <w:r w:rsidRPr="000309F2">
        <w:rPr>
          <w:rFonts w:ascii="Times New Roman" w:hAnsi="Times New Roman"/>
          <w:sz w:val="24"/>
        </w:rPr>
        <w:t xml:space="preserve"> s 13(5) (emphasis added). See </w:t>
      </w:r>
      <w:r w:rsidRPr="000309F2">
        <w:rPr>
          <w:rFonts w:ascii="Times New Roman" w:hAnsi="Times New Roman"/>
          <w:i/>
          <w:iCs/>
          <w:sz w:val="24"/>
        </w:rPr>
        <w:t>Fardon v Attorney</w:t>
      </w:r>
      <w:r w:rsidRPr="000309F2">
        <w:rPr>
          <w:rFonts w:ascii="Times New Roman" w:hAnsi="Times New Roman"/>
          <w:i/>
          <w:iCs/>
          <w:sz w:val="24"/>
        </w:rPr>
        <w:noBreakHyphen/>
        <w:t xml:space="preserve">General (Qld) </w:t>
      </w:r>
      <w:r w:rsidRPr="000309F2">
        <w:rPr>
          <w:rFonts w:ascii="Times New Roman" w:hAnsi="Times New Roman"/>
          <w:sz w:val="24"/>
        </w:rPr>
        <w:t>(2004) 223 CLR 575 at 592 [19], 597 [34], 602 [44]. Compare at 619 [109].</w:t>
      </w:r>
    </w:p>
  </w:footnote>
  <w:footnote w:id="473">
    <w:p w14:paraId="666F5882"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sz w:val="24"/>
        </w:rPr>
        <w:t xml:space="preserve">Criminal Code </w:t>
      </w:r>
      <w:r w:rsidRPr="000309F2">
        <w:rPr>
          <w:rFonts w:ascii="Times New Roman" w:hAnsi="Times New Roman"/>
          <w:sz w:val="24"/>
        </w:rPr>
        <w:t xml:space="preserve">(Cth), s 105A.7(1) (emphasis added). See </w:t>
      </w:r>
      <w:r w:rsidRPr="000309F2">
        <w:rPr>
          <w:rFonts w:ascii="Times New Roman" w:hAnsi="Times New Roman"/>
          <w:i/>
          <w:sz w:val="24"/>
        </w:rPr>
        <w:t xml:space="preserve">Minister for Home Affairs v Benbrika </w:t>
      </w:r>
      <w:r w:rsidRPr="000309F2">
        <w:rPr>
          <w:rFonts w:ascii="Times New Roman" w:hAnsi="Times New Roman"/>
          <w:sz w:val="24"/>
        </w:rPr>
        <w:t>(2021) 95 ALJR 166 at 175 [11], 186</w:t>
      </w:r>
      <w:r w:rsidRPr="000309F2">
        <w:rPr>
          <w:rFonts w:ascii="Times New Roman" w:hAnsi="Times New Roman"/>
          <w:sz w:val="24"/>
        </w:rPr>
        <w:noBreakHyphen/>
        <w:t>187 [58], 199 [123], 213 [189]; 388 ALR 1 at 6</w:t>
      </w:r>
      <w:r w:rsidRPr="000309F2">
        <w:rPr>
          <w:rFonts w:ascii="Times New Roman" w:hAnsi="Times New Roman"/>
          <w:sz w:val="24"/>
        </w:rPr>
        <w:noBreakHyphen/>
        <w:t>7, 21, 37</w:t>
      </w:r>
      <w:r w:rsidRPr="000309F2">
        <w:rPr>
          <w:rFonts w:ascii="Times New Roman" w:hAnsi="Times New Roman"/>
          <w:sz w:val="24"/>
        </w:rPr>
        <w:noBreakHyphen/>
        <w:t xml:space="preserve">38, 55. See also </w:t>
      </w:r>
      <w:r w:rsidRPr="000309F2">
        <w:rPr>
          <w:rFonts w:ascii="Times New Roman" w:hAnsi="Times New Roman"/>
          <w:i/>
          <w:iCs/>
          <w:sz w:val="24"/>
        </w:rPr>
        <w:t>Vella v Commissioner of Police </w:t>
      </w:r>
      <w:r w:rsidRPr="000309F2">
        <w:rPr>
          <w:rFonts w:ascii="Times New Roman" w:hAnsi="Times New Roman"/>
          <w:i/>
          <w:sz w:val="24"/>
        </w:rPr>
        <w:t>(</w:t>
      </w:r>
      <w:r w:rsidRPr="000309F2">
        <w:rPr>
          <w:rFonts w:ascii="Times New Roman" w:hAnsi="Times New Roman"/>
          <w:i/>
          <w:iCs/>
          <w:sz w:val="24"/>
        </w:rPr>
        <w:t>NSW)</w:t>
      </w:r>
      <w:r w:rsidRPr="000309F2">
        <w:rPr>
          <w:rFonts w:ascii="Times New Roman" w:hAnsi="Times New Roman"/>
          <w:sz w:val="24"/>
        </w:rPr>
        <w:t xml:space="preserve"> (2019) 269 CLR 219 at 245 [54].</w:t>
      </w:r>
    </w:p>
  </w:footnote>
  <w:footnote w:id="474">
    <w:p w14:paraId="58A3536F"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Western Australia v Rao </w:t>
      </w:r>
      <w:r w:rsidRPr="000309F2">
        <w:rPr>
          <w:rFonts w:ascii="Times New Roman" w:hAnsi="Times New Roman"/>
          <w:sz w:val="24"/>
        </w:rPr>
        <w:t>[2019] WASC 93 at [</w:t>
      </w:r>
      <w:proofErr w:type="gramStart"/>
      <w:r w:rsidRPr="000309F2">
        <w:rPr>
          <w:rFonts w:ascii="Times New Roman" w:hAnsi="Times New Roman"/>
          <w:sz w:val="24"/>
        </w:rPr>
        <w:t>135]</w:t>
      </w:r>
      <w:r w:rsidRPr="000309F2">
        <w:rPr>
          <w:rFonts w:ascii="Times New Roman" w:hAnsi="Times New Roman"/>
          <w:sz w:val="24"/>
        </w:rPr>
        <w:noBreakHyphen/>
      </w:r>
      <w:proofErr w:type="gramEnd"/>
      <w:r w:rsidRPr="000309F2">
        <w:rPr>
          <w:rFonts w:ascii="Times New Roman" w:hAnsi="Times New Roman"/>
          <w:sz w:val="24"/>
        </w:rPr>
        <w:t>[136].</w:t>
      </w:r>
    </w:p>
  </w:footnote>
  <w:footnote w:id="475">
    <w:p w14:paraId="0CC4ABD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 xml:space="preserve">Western Australia v Rao </w:t>
      </w:r>
      <w:r w:rsidRPr="000309F2">
        <w:rPr>
          <w:rFonts w:ascii="Times New Roman" w:hAnsi="Times New Roman"/>
          <w:sz w:val="24"/>
        </w:rPr>
        <w:t>[2019] WASC 93 at [137] (emphasis in original).</w:t>
      </w:r>
    </w:p>
  </w:footnote>
  <w:footnote w:id="476">
    <w:p w14:paraId="7001C4E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r>
      <w:r w:rsidRPr="000309F2">
        <w:rPr>
          <w:rFonts w:ascii="Times New Roman" w:hAnsi="Times New Roman"/>
          <w:i/>
          <w:iCs/>
          <w:sz w:val="24"/>
        </w:rPr>
        <w:t>Western Australia v ACW [No 2]</w:t>
      </w:r>
      <w:r w:rsidRPr="000309F2">
        <w:rPr>
          <w:rFonts w:ascii="Times New Roman" w:hAnsi="Times New Roman"/>
          <w:sz w:val="24"/>
        </w:rPr>
        <w:t xml:space="preserve"> [2020] WASC 480 at [</w:t>
      </w:r>
      <w:proofErr w:type="gramStart"/>
      <w:r w:rsidRPr="000309F2">
        <w:rPr>
          <w:rFonts w:ascii="Times New Roman" w:hAnsi="Times New Roman"/>
          <w:sz w:val="24"/>
        </w:rPr>
        <w:t>136]</w:t>
      </w:r>
      <w:r w:rsidRPr="000309F2">
        <w:rPr>
          <w:rFonts w:ascii="Times New Roman" w:hAnsi="Times New Roman"/>
          <w:sz w:val="24"/>
        </w:rPr>
        <w:noBreakHyphen/>
      </w:r>
      <w:proofErr w:type="gramEnd"/>
      <w:r w:rsidRPr="000309F2">
        <w:rPr>
          <w:rFonts w:ascii="Times New Roman" w:hAnsi="Times New Roman"/>
          <w:sz w:val="24"/>
        </w:rPr>
        <w:t xml:space="preserve">[137]; </w:t>
      </w:r>
      <w:r w:rsidRPr="000309F2">
        <w:rPr>
          <w:rFonts w:ascii="Times New Roman" w:hAnsi="Times New Roman"/>
          <w:i/>
          <w:iCs/>
          <w:sz w:val="24"/>
        </w:rPr>
        <w:t>Western Australia v Mackay [No 2]</w:t>
      </w:r>
      <w:r w:rsidRPr="000309F2">
        <w:rPr>
          <w:rFonts w:ascii="Times New Roman" w:hAnsi="Times New Roman"/>
          <w:sz w:val="24"/>
        </w:rPr>
        <w:t xml:space="preserve"> [2020] WASC 474 at [122]; </w:t>
      </w:r>
      <w:r w:rsidRPr="000309F2">
        <w:rPr>
          <w:rFonts w:ascii="Times New Roman" w:hAnsi="Times New Roman"/>
          <w:i/>
          <w:iCs/>
          <w:sz w:val="24"/>
        </w:rPr>
        <w:t>Western Australia v ACJ</w:t>
      </w:r>
      <w:r w:rsidRPr="000309F2">
        <w:rPr>
          <w:rFonts w:ascii="Times New Roman" w:hAnsi="Times New Roman"/>
          <w:sz w:val="24"/>
        </w:rPr>
        <w:t xml:space="preserve"> [2021] WASC 219 at [268]</w:t>
      </w:r>
      <w:r w:rsidRPr="000309F2">
        <w:rPr>
          <w:rFonts w:ascii="Times New Roman" w:hAnsi="Times New Roman"/>
          <w:sz w:val="24"/>
        </w:rPr>
        <w:noBreakHyphen/>
        <w:t>[270].</w:t>
      </w:r>
    </w:p>
  </w:footnote>
  <w:footnote w:id="477">
    <w:p w14:paraId="0EECA62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Australian Law Reform Commission, </w:t>
      </w:r>
      <w:r w:rsidRPr="000309F2">
        <w:rPr>
          <w:rFonts w:ascii="Times New Roman" w:hAnsi="Times New Roman"/>
          <w:i/>
          <w:iCs/>
          <w:sz w:val="24"/>
        </w:rPr>
        <w:t xml:space="preserve">Pathways to Justice </w:t>
      </w:r>
      <w:r w:rsidRPr="000309F2">
        <w:rPr>
          <w:rFonts w:ascii="Times New Roman" w:hAnsi="Times New Roman"/>
          <w:i/>
          <w:sz w:val="24"/>
        </w:rPr>
        <w:t>– An Inquiry into the Incarceration Rate of Aboriginal and Torres Strait Islander Peoples</w:t>
      </w:r>
      <w:r w:rsidRPr="000309F2">
        <w:rPr>
          <w:rFonts w:ascii="Times New Roman" w:hAnsi="Times New Roman"/>
          <w:iCs/>
          <w:sz w:val="24"/>
        </w:rPr>
        <w:t>,</w:t>
      </w:r>
      <w:r w:rsidRPr="000309F2">
        <w:rPr>
          <w:rFonts w:ascii="Times New Roman" w:hAnsi="Times New Roman"/>
          <w:sz w:val="24"/>
        </w:rPr>
        <w:t xml:space="preserve"> Report </w:t>
      </w:r>
      <w:r w:rsidRPr="000309F2">
        <w:rPr>
          <w:rFonts w:ascii="Times New Roman" w:hAnsi="Times New Roman"/>
          <w:iCs/>
          <w:sz w:val="24"/>
        </w:rPr>
        <w:t xml:space="preserve">No </w:t>
      </w:r>
      <w:r w:rsidRPr="000309F2">
        <w:rPr>
          <w:rFonts w:ascii="Times New Roman" w:hAnsi="Times New Roman"/>
          <w:sz w:val="24"/>
        </w:rPr>
        <w:t>133</w:t>
      </w:r>
      <w:r w:rsidRPr="000309F2">
        <w:rPr>
          <w:rFonts w:ascii="Times New Roman" w:hAnsi="Times New Roman"/>
          <w:i/>
          <w:iCs/>
          <w:sz w:val="24"/>
        </w:rPr>
        <w:t xml:space="preserve"> </w:t>
      </w:r>
      <w:r w:rsidRPr="000309F2">
        <w:rPr>
          <w:rFonts w:ascii="Times New Roman" w:hAnsi="Times New Roman"/>
          <w:sz w:val="24"/>
        </w:rPr>
        <w:t>(2017) at 71 [2.61].</w:t>
      </w:r>
    </w:p>
  </w:footnote>
  <w:footnote w:id="478">
    <w:p w14:paraId="27AF9305"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also </w:t>
      </w:r>
      <w:r w:rsidRPr="000309F2">
        <w:rPr>
          <w:rFonts w:ascii="Times New Roman" w:hAnsi="Times New Roman"/>
          <w:i/>
          <w:iCs/>
          <w:sz w:val="24"/>
        </w:rPr>
        <w:t>Western Australia v ACW [No 2]</w:t>
      </w:r>
      <w:r w:rsidRPr="000309F2">
        <w:rPr>
          <w:rFonts w:ascii="Times New Roman" w:hAnsi="Times New Roman"/>
          <w:sz w:val="24"/>
        </w:rPr>
        <w:t xml:space="preserve"> [2020] WASC 480 at [</w:t>
      </w:r>
      <w:proofErr w:type="gramStart"/>
      <w:r w:rsidRPr="000309F2">
        <w:rPr>
          <w:rFonts w:ascii="Times New Roman" w:hAnsi="Times New Roman"/>
          <w:sz w:val="24"/>
        </w:rPr>
        <w:t>132]</w:t>
      </w:r>
      <w:r w:rsidRPr="000309F2">
        <w:rPr>
          <w:rFonts w:ascii="Times New Roman" w:hAnsi="Times New Roman"/>
          <w:sz w:val="24"/>
        </w:rPr>
        <w:noBreakHyphen/>
      </w:r>
      <w:proofErr w:type="gramEnd"/>
      <w:r w:rsidRPr="000309F2">
        <w:rPr>
          <w:rFonts w:ascii="Times New Roman" w:hAnsi="Times New Roman"/>
          <w:sz w:val="24"/>
        </w:rPr>
        <w:t>[133].</w:t>
      </w:r>
    </w:p>
  </w:footnote>
  <w:footnote w:id="479">
    <w:p w14:paraId="15A7E0AA"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HRSO Act, ss 7(3)(a), 7(3)(b), 46(2)(a). Above at [223].</w:t>
      </w:r>
    </w:p>
  </w:footnote>
  <w:footnote w:id="480">
    <w:p w14:paraId="646295E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Allan et al, "Assessing the Risk of Australian Indigenous Sexual Offenders Reoffending: A Review of the Research Literature and Court Decisions" (2019) 26 </w:t>
      </w:r>
      <w:r w:rsidRPr="000309F2">
        <w:rPr>
          <w:rFonts w:ascii="Times New Roman" w:hAnsi="Times New Roman"/>
          <w:i/>
          <w:iCs/>
          <w:sz w:val="24"/>
        </w:rPr>
        <w:t>Psychiatry, Psychology and Law</w:t>
      </w:r>
      <w:r w:rsidRPr="000309F2">
        <w:rPr>
          <w:rFonts w:ascii="Times New Roman" w:hAnsi="Times New Roman"/>
          <w:sz w:val="24"/>
        </w:rPr>
        <w:t xml:space="preserve"> 274 at 275 (</w:t>
      </w:r>
      <w:r w:rsidRPr="000309F2" w:rsidDel="00203359">
        <w:rPr>
          <w:rFonts w:ascii="Times New Roman" w:hAnsi="Times New Roman"/>
          <w:sz w:val="24"/>
        </w:rPr>
        <w:t xml:space="preserve">footnotes </w:t>
      </w:r>
      <w:r w:rsidRPr="000309F2">
        <w:rPr>
          <w:rFonts w:ascii="Times New Roman" w:hAnsi="Times New Roman"/>
          <w:sz w:val="24"/>
        </w:rPr>
        <w:t>and in</w:t>
      </w:r>
      <w:r w:rsidRPr="000309F2">
        <w:rPr>
          <w:rFonts w:ascii="Times New Roman" w:hAnsi="Times New Roman"/>
          <w:sz w:val="24"/>
        </w:rPr>
        <w:noBreakHyphen/>
        <w:t>text citations omitted).</w:t>
      </w:r>
    </w:p>
  </w:footnote>
  <w:footnote w:id="481">
    <w:p w14:paraId="351E7978"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Queensland, Legislative Assembly, </w:t>
      </w:r>
      <w:r w:rsidRPr="000309F2">
        <w:rPr>
          <w:rFonts w:ascii="Times New Roman" w:hAnsi="Times New Roman"/>
          <w:i/>
          <w:sz w:val="24"/>
        </w:rPr>
        <w:t xml:space="preserve">Parliamentary Debates </w:t>
      </w:r>
      <w:r w:rsidRPr="000309F2">
        <w:rPr>
          <w:rFonts w:ascii="Times New Roman" w:hAnsi="Times New Roman"/>
          <w:sz w:val="24"/>
        </w:rPr>
        <w:t>(Hansard), 4 June 2003 at 2581.</w:t>
      </w:r>
    </w:p>
  </w:footnote>
  <w:footnote w:id="482">
    <w:p w14:paraId="6D26B84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QSC 227 at [17].</w:t>
      </w:r>
    </w:p>
  </w:footnote>
  <w:footnote w:id="483">
    <w:p w14:paraId="0179354C"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Western Australia, Legislative Assembly, </w:t>
      </w:r>
      <w:r w:rsidRPr="000309F2">
        <w:rPr>
          <w:rFonts w:ascii="Times New Roman" w:hAnsi="Times New Roman"/>
          <w:i/>
          <w:iCs/>
          <w:sz w:val="24"/>
        </w:rPr>
        <w:t xml:space="preserve">Parliamentary Debates </w:t>
      </w:r>
      <w:r w:rsidRPr="000309F2">
        <w:rPr>
          <w:rFonts w:ascii="Times New Roman" w:hAnsi="Times New Roman"/>
          <w:sz w:val="24"/>
        </w:rPr>
        <w:t>(Hansard), 25 June 2020 at 4482.</w:t>
      </w:r>
    </w:p>
  </w:footnote>
  <w:footnote w:id="484">
    <w:p w14:paraId="21FE577D"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(2004) 223 CLR 575.</w:t>
      </w:r>
    </w:p>
  </w:footnote>
  <w:footnote w:id="485">
    <w:p w14:paraId="356F16B3"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(2021) 95 ALJR 166; 388 ALR 1.</w:t>
      </w:r>
    </w:p>
  </w:footnote>
  <w:footnote w:id="486">
    <w:p w14:paraId="01C6B087" w14:textId="77777777" w:rsidR="00E3198A" w:rsidRPr="000309F2" w:rsidRDefault="00E3198A" w:rsidP="000309F2">
      <w:pPr>
        <w:pStyle w:val="FootnoteText"/>
        <w:spacing w:line="280" w:lineRule="exact"/>
        <w:ind w:right="0"/>
        <w:jc w:val="both"/>
        <w:rPr>
          <w:rFonts w:ascii="Times New Roman" w:hAnsi="Times New Roman"/>
          <w:sz w:val="24"/>
        </w:rPr>
      </w:pPr>
      <w:r w:rsidRPr="000309F2">
        <w:rPr>
          <w:rStyle w:val="FootnoteReference"/>
          <w:rFonts w:ascii="Times New Roman" w:hAnsi="Times New Roman"/>
          <w:sz w:val="22"/>
          <w:vertAlign w:val="baseline"/>
        </w:rPr>
        <w:footnoteRef/>
      </w:r>
      <w:r w:rsidRPr="000309F2">
        <w:rPr>
          <w:rFonts w:ascii="Times New Roman" w:hAnsi="Times New Roman"/>
          <w:sz w:val="24"/>
        </w:rPr>
        <w:t xml:space="preserve"> </w:t>
      </w:r>
      <w:r w:rsidRPr="000309F2">
        <w:rPr>
          <w:rFonts w:ascii="Times New Roman" w:hAnsi="Times New Roman"/>
          <w:sz w:val="24"/>
        </w:rPr>
        <w:tab/>
        <w:t xml:space="preserve">See, eg, </w:t>
      </w:r>
      <w:r w:rsidRPr="000309F2">
        <w:rPr>
          <w:rFonts w:ascii="Times New Roman" w:hAnsi="Times New Roman"/>
          <w:i/>
          <w:iCs/>
          <w:sz w:val="24"/>
        </w:rPr>
        <w:t xml:space="preserve">Western Australia v Hussian </w:t>
      </w:r>
      <w:r w:rsidRPr="000309F2">
        <w:rPr>
          <w:rFonts w:ascii="Times New Roman" w:hAnsi="Times New Roman"/>
          <w:sz w:val="24"/>
        </w:rPr>
        <w:t>[2020] WASCA 186.</w:t>
      </w:r>
    </w:p>
  </w:footnote>
  <w:footnote w:id="487">
    <w:p w14:paraId="319E377E"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(2004) 223 CLR 575.</w:t>
      </w:r>
    </w:p>
  </w:footnote>
  <w:footnote w:id="488">
    <w:p w14:paraId="1DC3B0C5"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Cs/>
          <w:sz w:val="24"/>
        </w:rPr>
        <w:t>(2014) 253 CLR 629.</w:t>
      </w:r>
    </w:p>
  </w:footnote>
  <w:footnote w:id="489">
    <w:p w14:paraId="776140CB"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(2021) 95 ALJR 166; 388 ALR 1. </w:t>
      </w:r>
    </w:p>
  </w:footnote>
  <w:footnote w:id="490">
    <w:p w14:paraId="68FF93AB"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(1996) 189 CLR 51. In </w:t>
      </w:r>
      <w:r w:rsidRPr="006F101C">
        <w:rPr>
          <w:rFonts w:ascii="Times New Roman" w:hAnsi="Times New Roman"/>
          <w:i/>
          <w:iCs/>
          <w:sz w:val="24"/>
        </w:rPr>
        <w:t xml:space="preserve">Kable, </w:t>
      </w:r>
      <w:r w:rsidRPr="006F101C">
        <w:rPr>
          <w:rFonts w:ascii="Times New Roman" w:hAnsi="Times New Roman"/>
          <w:sz w:val="24"/>
        </w:rPr>
        <w:t xml:space="preserve">legislation of that general kind, but which had the exceptional feature of being </w:t>
      </w:r>
      <w:r w:rsidRPr="006F101C">
        <w:rPr>
          <w:rFonts w:ascii="Times New Roman" w:hAnsi="Times New Roman"/>
          <w:i/>
          <w:iCs/>
          <w:sz w:val="24"/>
        </w:rPr>
        <w:t>ad hominem</w:t>
      </w:r>
      <w:r w:rsidRPr="006F101C">
        <w:rPr>
          <w:rFonts w:ascii="Times New Roman" w:hAnsi="Times New Roman"/>
          <w:sz w:val="24"/>
        </w:rPr>
        <w:t>, was held invalid.</w:t>
      </w:r>
    </w:p>
  </w:footnote>
  <w:footnote w:id="491">
    <w:p w14:paraId="2FD104E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Attorney-General (NT) v Emmerson </w:t>
      </w:r>
      <w:r w:rsidRPr="006F101C">
        <w:rPr>
          <w:rFonts w:ascii="Times New Roman" w:hAnsi="Times New Roman"/>
          <w:sz w:val="24"/>
        </w:rPr>
        <w:t>(2014) 253 CLR 393</w:t>
      </w:r>
      <w:r w:rsidRPr="006F101C" w:rsidDel="00474DF5">
        <w:rPr>
          <w:rFonts w:ascii="Times New Roman" w:hAnsi="Times New Roman"/>
          <w:sz w:val="24"/>
        </w:rPr>
        <w:t xml:space="preserve"> </w:t>
      </w:r>
      <w:r w:rsidRPr="006F101C">
        <w:rPr>
          <w:rFonts w:ascii="Times New Roman" w:hAnsi="Times New Roman"/>
          <w:sz w:val="24"/>
        </w:rPr>
        <w:t>at 425 [42].</w:t>
      </w:r>
    </w:p>
  </w:footnote>
  <w:footnote w:id="492">
    <w:p w14:paraId="00B6D0F8"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Vella v Commissioner of Police (NSW) </w:t>
      </w:r>
      <w:r w:rsidRPr="006F101C">
        <w:rPr>
          <w:rFonts w:ascii="Times New Roman" w:hAnsi="Times New Roman"/>
          <w:sz w:val="24"/>
        </w:rPr>
        <w:t xml:space="preserve">(2019) 269 CLR 219 at 246 [55] (quoting </w:t>
      </w:r>
      <w:r w:rsidRPr="006F101C">
        <w:rPr>
          <w:rFonts w:ascii="Times New Roman" w:hAnsi="Times New Roman"/>
          <w:i/>
          <w:iCs/>
          <w:sz w:val="24"/>
        </w:rPr>
        <w:t xml:space="preserve">Emmerson </w:t>
      </w:r>
      <w:r w:rsidRPr="006F101C">
        <w:rPr>
          <w:rFonts w:ascii="Times New Roman" w:hAnsi="Times New Roman"/>
          <w:sz w:val="24"/>
        </w:rPr>
        <w:t>(2014) 253 CLR 393 at 424 [40]), 274-275 [138].</w:t>
      </w:r>
    </w:p>
  </w:footnote>
  <w:footnote w:id="493">
    <w:p w14:paraId="007B578B"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sz w:val="24"/>
        </w:rPr>
        <w:t>R v Kirby; Ex parte Boilermakers' Society of Australia</w:t>
      </w:r>
      <w:r w:rsidRPr="006F101C">
        <w:rPr>
          <w:rFonts w:ascii="Times New Roman" w:hAnsi="Times New Roman"/>
          <w:sz w:val="24"/>
        </w:rPr>
        <w:t xml:space="preserve"> (1956) 94 CLR 254 at 269-270.</w:t>
      </w:r>
    </w:p>
  </w:footnote>
  <w:footnote w:id="494">
    <w:p w14:paraId="16DA31B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(2004) 223 CLR 575 at 586 [3], 592 [20]. In </w:t>
      </w:r>
      <w:r w:rsidRPr="006F101C">
        <w:rPr>
          <w:rFonts w:ascii="Times New Roman" w:hAnsi="Times New Roman"/>
          <w:i/>
          <w:iCs/>
          <w:sz w:val="24"/>
        </w:rPr>
        <w:t>Fardon v Australia</w:t>
      </w:r>
      <w:r w:rsidRPr="006F101C">
        <w:rPr>
          <w:rFonts w:ascii="Times New Roman" w:hAnsi="Times New Roman"/>
          <w:sz w:val="24"/>
        </w:rPr>
        <w:t xml:space="preserve">, the United Nations Human Rights Committee found that the DPSO Act violated Mr Fardon's rights under Art 9 para 1 of the </w:t>
      </w:r>
      <w:r w:rsidRPr="006F101C">
        <w:rPr>
          <w:rFonts w:ascii="Times New Roman" w:hAnsi="Times New Roman"/>
          <w:sz w:val="24"/>
          <w:shd w:val="clear" w:color="auto" w:fill="FFFFFF"/>
        </w:rPr>
        <w:t>International Covenant on Civil and Political Rights:</w:t>
      </w:r>
      <w:r w:rsidRPr="006F101C">
        <w:rPr>
          <w:rFonts w:ascii="Times New Roman" w:hAnsi="Times New Roman"/>
          <w:sz w:val="24"/>
        </w:rPr>
        <w:t xml:space="preserve"> Communication No 1629/2007, UN Doc CCPR/C/98/D/1629/2007 (2010) at [7.4].</w:t>
      </w:r>
    </w:p>
  </w:footnote>
  <w:footnote w:id="495">
    <w:p w14:paraId="4BB2CE27"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As provided for in ss 3 and 26(1) of the HRSO Act, a continuing detention order is "an order that the offender be detained in custody for an indefinite term for control, care, or treatment".</w:t>
      </w:r>
    </w:p>
  </w:footnote>
  <w:footnote w:id="496">
    <w:p w14:paraId="259B78FC"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As provided for in ss 3 and 27(1) of the HRSO Act, a supervision order is "an order that the offender, when not in custody, is to be subject to stated conditions that the court considers appropriate", where the imposition of those conditions is governed by s 30.</w:t>
      </w:r>
    </w:p>
  </w:footnote>
  <w:footnote w:id="497">
    <w:p w14:paraId="587D305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See </w:t>
      </w:r>
      <w:r w:rsidRPr="006F101C">
        <w:rPr>
          <w:rFonts w:ascii="Times New Roman" w:hAnsi="Times New Roman"/>
          <w:i/>
          <w:iCs/>
          <w:sz w:val="24"/>
        </w:rPr>
        <w:t xml:space="preserve">Kable v Director of Public Prosecutions (NSW) </w:t>
      </w:r>
      <w:r w:rsidRPr="006F101C">
        <w:rPr>
          <w:rFonts w:ascii="Times New Roman" w:hAnsi="Times New Roman"/>
          <w:sz w:val="24"/>
        </w:rPr>
        <w:t>(1996) 189 CLR 51 at 133.</w:t>
      </w:r>
    </w:p>
  </w:footnote>
  <w:footnote w:id="498">
    <w:p w14:paraId="55B5514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Kruger v The Commonwealth</w:t>
      </w:r>
      <w:r w:rsidRPr="006F101C">
        <w:rPr>
          <w:rFonts w:ascii="Times New Roman" w:hAnsi="Times New Roman"/>
          <w:sz w:val="24"/>
        </w:rPr>
        <w:t xml:space="preserve"> (1997) 190 CLR 1 at 109-110; </w:t>
      </w:r>
      <w:r w:rsidRPr="006F101C">
        <w:rPr>
          <w:rFonts w:ascii="Times New Roman" w:hAnsi="Times New Roman"/>
          <w:i/>
          <w:iCs/>
          <w:sz w:val="24"/>
        </w:rPr>
        <w:t xml:space="preserve">Re Woolley; Ex parte Applicants M276/2003 </w:t>
      </w:r>
      <w:r w:rsidRPr="006F101C">
        <w:rPr>
          <w:rFonts w:ascii="Times New Roman" w:hAnsi="Times New Roman"/>
          <w:sz w:val="24"/>
        </w:rPr>
        <w:t xml:space="preserve">(2004) 225 CLR 1 at 24 [57]; </w:t>
      </w:r>
      <w:r w:rsidRPr="006F101C">
        <w:rPr>
          <w:rFonts w:ascii="Times New Roman" w:hAnsi="Times New Roman"/>
          <w:i/>
          <w:iCs/>
          <w:sz w:val="24"/>
        </w:rPr>
        <w:t xml:space="preserve">Al-Kateb v Godwin </w:t>
      </w:r>
      <w:r w:rsidRPr="006F101C">
        <w:rPr>
          <w:rFonts w:ascii="Times New Roman" w:hAnsi="Times New Roman"/>
          <w:sz w:val="24"/>
        </w:rPr>
        <w:t>(2004) 219 CLR 562 at 648-649 [258].</w:t>
      </w:r>
    </w:p>
  </w:footnote>
  <w:footnote w:id="499">
    <w:p w14:paraId="27FCD7EF"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(2021) 95 ALJR 166 at 177 [15]; 388 ALR 1 at 8-9.</w:t>
      </w:r>
    </w:p>
  </w:footnote>
  <w:footnote w:id="500">
    <w:p w14:paraId="29F4A0F3"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Reasons of Gageler J at [</w:t>
      </w:r>
      <w:r>
        <w:rPr>
          <w:rFonts w:ascii="Times New Roman" w:hAnsi="Times New Roman"/>
          <w:sz w:val="24"/>
        </w:rPr>
        <w:t>110</w:t>
      </w:r>
      <w:r w:rsidRPr="006F101C">
        <w:rPr>
          <w:rFonts w:ascii="Times New Roman" w:hAnsi="Times New Roman"/>
          <w:sz w:val="24"/>
        </w:rPr>
        <w:t>]</w:t>
      </w:r>
      <w:r>
        <w:rPr>
          <w:rFonts w:ascii="Times New Roman" w:hAnsi="Times New Roman"/>
          <w:sz w:val="24"/>
        </w:rPr>
        <w:t>-[111]</w:t>
      </w:r>
      <w:r w:rsidRPr="006F101C">
        <w:rPr>
          <w:rFonts w:ascii="Times New Roman" w:hAnsi="Times New Roman"/>
          <w:sz w:val="24"/>
        </w:rPr>
        <w:t>.</w:t>
      </w:r>
    </w:p>
  </w:footnote>
  <w:footnote w:id="501">
    <w:p w14:paraId="28CF5BC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Chu Kheng Lim v Minister for Immigration</w:t>
      </w:r>
      <w:r w:rsidRPr="006F101C">
        <w:rPr>
          <w:rFonts w:ascii="Times New Roman" w:hAnsi="Times New Roman"/>
          <w:sz w:val="24"/>
        </w:rPr>
        <w:t xml:space="preserve"> (1992) 176 CLR 1 at 27.</w:t>
      </w:r>
    </w:p>
  </w:footnote>
  <w:footnote w:id="502">
    <w:p w14:paraId="360192E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 xml:space="preserve">(2021) 95 ALJR 166 at 177-178 [19], 187-188 [65], 200-201 [134], 211 [181], 212 [185]; 388 ALR 1 at 10, 22, 39-40, 53, 54; </w:t>
      </w:r>
      <w:r w:rsidRPr="006F101C">
        <w:rPr>
          <w:rFonts w:ascii="Times New Roman" w:hAnsi="Times New Roman"/>
          <w:i/>
          <w:iCs/>
          <w:sz w:val="24"/>
        </w:rPr>
        <w:t>The Commonwealth v AJL20</w:t>
      </w:r>
      <w:r w:rsidRPr="006F101C">
        <w:rPr>
          <w:rFonts w:ascii="Times New Roman" w:hAnsi="Times New Roman"/>
          <w:sz w:val="24"/>
        </w:rPr>
        <w:t xml:space="preserve"> (2021) 95 ALJR 567 at 576 [22]-[23], 587 [78], 599 [128]; 391 ALR 562 at 569-570, 584, 598.</w:t>
      </w:r>
    </w:p>
  </w:footnote>
  <w:footnote w:id="503">
    <w:p w14:paraId="756E6490"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(2021) 95 ALJR 166 at 181 [36], 185 [47], 185-186 [53]; 388 ALR 1 at 14, 19, 20.</w:t>
      </w:r>
    </w:p>
  </w:footnote>
  <w:footnote w:id="504">
    <w:p w14:paraId="2714D9AE"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(2021) 95 ALJR 166 at 181 [36]; 388 ALR 1 at 14.</w:t>
      </w:r>
    </w:p>
  </w:footnote>
  <w:footnote w:id="505">
    <w:p w14:paraId="65EFBB4E"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In the sense of that phrase as used in </w:t>
      </w:r>
      <w:r w:rsidRPr="006F101C">
        <w:rPr>
          <w:rFonts w:ascii="Times New Roman" w:hAnsi="Times New Roman"/>
          <w:i/>
          <w:iCs/>
          <w:sz w:val="24"/>
        </w:rPr>
        <w:t>Lim</w:t>
      </w:r>
      <w:r w:rsidRPr="006F101C">
        <w:rPr>
          <w:rFonts w:ascii="Times New Roman" w:hAnsi="Times New Roman"/>
          <w:sz w:val="24"/>
        </w:rPr>
        <w:t xml:space="preserve"> (1992) 176 CLR 1 at 27.</w:t>
      </w:r>
    </w:p>
  </w:footnote>
  <w:footnote w:id="506">
    <w:p w14:paraId="38F18A09"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i/>
          <w:iCs/>
          <w:sz w:val="24"/>
        </w:rPr>
        <w:tab/>
        <w:t>Lim</w:t>
      </w:r>
      <w:r w:rsidRPr="006F101C">
        <w:rPr>
          <w:rFonts w:ascii="Times New Roman" w:hAnsi="Times New Roman"/>
          <w:sz w:val="24"/>
        </w:rPr>
        <w:t xml:space="preserve"> (1992) 176 CLR 1 at 27-29.</w:t>
      </w:r>
    </w:p>
  </w:footnote>
  <w:footnote w:id="507">
    <w:p w14:paraId="254947EC"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578, 580.</w:t>
      </w:r>
    </w:p>
  </w:footnote>
  <w:footnote w:id="508">
    <w:p w14:paraId="0758FB9C"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Condon v Pompano Pty Ltd</w:t>
      </w:r>
      <w:r w:rsidRPr="006F101C">
        <w:rPr>
          <w:rFonts w:ascii="Times New Roman" w:hAnsi="Times New Roman"/>
          <w:sz w:val="24"/>
        </w:rPr>
        <w:t xml:space="preserve"> (2013) 252 CLR 38 at 53 [22], 90 [125]; </w:t>
      </w:r>
      <w:r w:rsidRPr="006F101C">
        <w:rPr>
          <w:rFonts w:ascii="Times New Roman" w:hAnsi="Times New Roman"/>
          <w:i/>
          <w:iCs/>
          <w:sz w:val="24"/>
        </w:rPr>
        <w:t>K-Generation Pty Ltd v Liquor Licensing Court</w:t>
      </w:r>
      <w:r w:rsidRPr="006F101C">
        <w:rPr>
          <w:rFonts w:ascii="Times New Roman" w:hAnsi="Times New Roman"/>
          <w:sz w:val="24"/>
        </w:rPr>
        <w:t xml:space="preserve"> (2009) 237 CLR 501 at 529 [84]; </w:t>
      </w:r>
      <w:r w:rsidRPr="006F101C">
        <w:rPr>
          <w:rFonts w:ascii="Times New Roman" w:hAnsi="Times New Roman"/>
          <w:i/>
          <w:iCs/>
          <w:sz w:val="24"/>
        </w:rPr>
        <w:t xml:space="preserve">Fardon </w:t>
      </w:r>
      <w:r w:rsidRPr="006F101C">
        <w:rPr>
          <w:rFonts w:ascii="Times New Roman" w:hAnsi="Times New Roman"/>
          <w:sz w:val="24"/>
        </w:rPr>
        <w:t>(2004) 223 CLR 575 at 598 [36], 614 [86], 655-656 [219].</w:t>
      </w:r>
    </w:p>
  </w:footnote>
  <w:footnote w:id="509">
    <w:p w14:paraId="7BB93F19"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592 [19], 593 [22], 597 [34], 657 [225].</w:t>
      </w:r>
    </w:p>
  </w:footnote>
  <w:footnote w:id="510">
    <w:p w14:paraId="0CB6A177"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cf </w:t>
      </w:r>
      <w:r w:rsidRPr="006F101C">
        <w:rPr>
          <w:rFonts w:ascii="Times New Roman" w:hAnsi="Times New Roman"/>
          <w:i/>
          <w:iCs/>
          <w:sz w:val="24"/>
        </w:rPr>
        <w:t xml:space="preserve">Vella </w:t>
      </w:r>
      <w:r w:rsidRPr="006F101C">
        <w:rPr>
          <w:rFonts w:ascii="Times New Roman" w:hAnsi="Times New Roman"/>
          <w:sz w:val="24"/>
        </w:rPr>
        <w:t>(2019) 269 CLR 219 at 277 [145].</w:t>
      </w:r>
    </w:p>
  </w:footnote>
  <w:footnote w:id="511">
    <w:p w14:paraId="555CFD9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cf </w:t>
      </w:r>
      <w:r w:rsidRPr="006F101C">
        <w:rPr>
          <w:rFonts w:ascii="Times New Roman" w:hAnsi="Times New Roman"/>
          <w:i/>
          <w:iCs/>
          <w:sz w:val="24"/>
        </w:rPr>
        <w:t xml:space="preserve">Vella </w:t>
      </w:r>
      <w:r w:rsidRPr="006F101C">
        <w:rPr>
          <w:rFonts w:ascii="Times New Roman" w:hAnsi="Times New Roman"/>
          <w:sz w:val="24"/>
        </w:rPr>
        <w:t>(2019) 269 CLR 219 at 290-291 [180].</w:t>
      </w:r>
    </w:p>
  </w:footnote>
  <w:footnote w:id="512">
    <w:p w14:paraId="6B7A5064"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589 [12], 590 [14].</w:t>
      </w:r>
    </w:p>
  </w:footnote>
  <w:footnote w:id="513">
    <w:p w14:paraId="4E6AFCCC"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 xml:space="preserve">(2004) 223 CLR 575 at 588 [9], quoting </w:t>
      </w:r>
      <w:r w:rsidRPr="006F101C">
        <w:rPr>
          <w:rFonts w:ascii="Times New Roman" w:hAnsi="Times New Roman"/>
          <w:i/>
          <w:iCs/>
          <w:sz w:val="24"/>
        </w:rPr>
        <w:t>Veen v The Queen [No 2]</w:t>
      </w:r>
      <w:r w:rsidRPr="006F101C">
        <w:rPr>
          <w:rFonts w:ascii="Times New Roman" w:hAnsi="Times New Roman"/>
          <w:sz w:val="24"/>
        </w:rPr>
        <w:t xml:space="preserve"> (1988) 164 CLR 465 at 495.</w:t>
      </w:r>
    </w:p>
  </w:footnote>
  <w:footnote w:id="514">
    <w:p w14:paraId="7970EA4F"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592 [19].</w:t>
      </w:r>
    </w:p>
  </w:footnote>
  <w:footnote w:id="515">
    <w:p w14:paraId="7BD9CE7C"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592 [20].</w:t>
      </w:r>
    </w:p>
  </w:footnote>
  <w:footnote w:id="516">
    <w:p w14:paraId="6DD35990"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596 [34].</w:t>
      </w:r>
    </w:p>
  </w:footnote>
  <w:footnote w:id="517">
    <w:p w14:paraId="601FE684"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598 [37].</w:t>
      </w:r>
    </w:p>
  </w:footnote>
  <w:footnote w:id="518">
    <w:p w14:paraId="42DB43E0"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599 [37].</w:t>
      </w:r>
    </w:p>
  </w:footnote>
  <w:footnote w:id="519">
    <w:p w14:paraId="70C7ADC2"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600 [40].</w:t>
      </w:r>
    </w:p>
  </w:footnote>
  <w:footnote w:id="520">
    <w:p w14:paraId="3761CCF6"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600-601 [41].</w:t>
      </w:r>
    </w:p>
  </w:footnote>
  <w:footnote w:id="521">
    <w:p w14:paraId="3E00B8FB"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612 [80].</w:t>
      </w:r>
    </w:p>
  </w:footnote>
  <w:footnote w:id="522">
    <w:p w14:paraId="3CC55731"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614 [85].</w:t>
      </w:r>
    </w:p>
  </w:footnote>
  <w:footnote w:id="523">
    <w:p w14:paraId="79AEBCC0"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614 [90].</w:t>
      </w:r>
    </w:p>
  </w:footnote>
  <w:footnote w:id="524">
    <w:p w14:paraId="3F8C1CAB"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621 [114]-[117].</w:t>
      </w:r>
    </w:p>
  </w:footnote>
  <w:footnote w:id="525">
    <w:p w14:paraId="7D349CF7"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647 [196].</w:t>
      </w:r>
    </w:p>
  </w:footnote>
  <w:footnote w:id="526">
    <w:p w14:paraId="6676AF8E"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648 [197].</w:t>
      </w:r>
    </w:p>
  </w:footnote>
  <w:footnote w:id="527">
    <w:p w14:paraId="7239D64A"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648 [197].</w:t>
      </w:r>
    </w:p>
  </w:footnote>
  <w:footnote w:id="528">
    <w:p w14:paraId="2FDED0D1"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656 [219].</w:t>
      </w:r>
    </w:p>
  </w:footnote>
  <w:footnote w:id="529">
    <w:p w14:paraId="11FDA630"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611 [77].</w:t>
      </w:r>
    </w:p>
  </w:footnote>
  <w:footnote w:id="530">
    <w:p w14:paraId="4ADD451F"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Kable </w:t>
      </w:r>
      <w:r w:rsidRPr="006F101C">
        <w:rPr>
          <w:rFonts w:ascii="Times New Roman" w:hAnsi="Times New Roman"/>
          <w:sz w:val="24"/>
        </w:rPr>
        <w:t>(1996) 189 CLR 51 at 134.</w:t>
      </w:r>
    </w:p>
  </w:footnote>
  <w:footnote w:id="531">
    <w:p w14:paraId="25B18D41"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 xml:space="preserve">Compare </w:t>
      </w:r>
      <w:r w:rsidRPr="006F101C">
        <w:rPr>
          <w:rFonts w:ascii="Times New Roman" w:hAnsi="Times New Roman"/>
          <w:i/>
          <w:iCs/>
          <w:sz w:val="24"/>
        </w:rPr>
        <w:t xml:space="preserve">Kable </w:t>
      </w:r>
      <w:r w:rsidRPr="006F101C">
        <w:rPr>
          <w:rFonts w:ascii="Times New Roman" w:hAnsi="Times New Roman"/>
          <w:sz w:val="24"/>
        </w:rPr>
        <w:t>(1996) 189 CLR 51 at 106-107, 121-122.</w:t>
      </w:r>
    </w:p>
  </w:footnote>
  <w:footnote w:id="532">
    <w:p w14:paraId="2784CC09"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Kable </w:t>
      </w:r>
      <w:r w:rsidRPr="006F101C">
        <w:rPr>
          <w:rFonts w:ascii="Times New Roman" w:hAnsi="Times New Roman"/>
          <w:sz w:val="24"/>
        </w:rPr>
        <w:t>(1996) 189 CLR 51 at 98.</w:t>
      </w:r>
    </w:p>
  </w:footnote>
  <w:footnote w:id="533">
    <w:p w14:paraId="2C942B72"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611 [77].</w:t>
      </w:r>
    </w:p>
  </w:footnote>
  <w:footnote w:id="534">
    <w:p w14:paraId="4B537467"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Kable </w:t>
      </w:r>
      <w:r w:rsidRPr="006F101C">
        <w:rPr>
          <w:rFonts w:ascii="Times New Roman" w:hAnsi="Times New Roman"/>
          <w:sz w:val="24"/>
        </w:rPr>
        <w:t>(1996) 189 CLR 51 at 106.</w:t>
      </w:r>
    </w:p>
  </w:footnote>
  <w:footnote w:id="535">
    <w:p w14:paraId="5BA571E7"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Kable </w:t>
      </w:r>
      <w:r w:rsidRPr="006F101C">
        <w:rPr>
          <w:rFonts w:ascii="Times New Roman" w:hAnsi="Times New Roman"/>
          <w:sz w:val="24"/>
        </w:rPr>
        <w:t>(1996) 189 CLR 51 at 107.</w:t>
      </w:r>
    </w:p>
  </w:footnote>
  <w:footnote w:id="536">
    <w:p w14:paraId="750F86A1"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Kable </w:t>
      </w:r>
      <w:r w:rsidRPr="006F101C">
        <w:rPr>
          <w:rFonts w:ascii="Times New Roman" w:hAnsi="Times New Roman"/>
          <w:sz w:val="24"/>
        </w:rPr>
        <w:t>(1996) 189 CLR 51 at 121.</w:t>
      </w:r>
    </w:p>
  </w:footnote>
  <w:footnote w:id="537">
    <w:p w14:paraId="6FACB4EA"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601 [42].</w:t>
      </w:r>
    </w:p>
  </w:footnote>
  <w:footnote w:id="538">
    <w:p w14:paraId="4FA55A89"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Fardon </w:t>
      </w:r>
      <w:r w:rsidRPr="006F101C">
        <w:rPr>
          <w:rFonts w:ascii="Times New Roman" w:hAnsi="Times New Roman"/>
          <w:sz w:val="24"/>
        </w:rPr>
        <w:t>(2004) 223 CLR 575 at 601 [41].</w:t>
      </w:r>
    </w:p>
  </w:footnote>
  <w:footnote w:id="539">
    <w:p w14:paraId="158F1868"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t>HRSO Act, s 7(1).</w:t>
      </w:r>
    </w:p>
  </w:footnote>
  <w:footnote w:id="540">
    <w:p w14:paraId="2DA81111"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(2021) 95 ALJR 166 at 180-181 [32]-[33]; 388 ALR 1 at 13-14.</w:t>
      </w:r>
    </w:p>
  </w:footnote>
  <w:footnote w:id="541">
    <w:p w14:paraId="23A3975D" w14:textId="77777777" w:rsidR="00E3198A" w:rsidRPr="006F101C" w:rsidRDefault="00E3198A" w:rsidP="006F101C">
      <w:pPr>
        <w:pStyle w:val="FootnoteText"/>
        <w:spacing w:line="280" w:lineRule="exact"/>
        <w:ind w:right="0"/>
        <w:jc w:val="both"/>
        <w:rPr>
          <w:rFonts w:ascii="Times New Roman" w:hAnsi="Times New Roman"/>
          <w:sz w:val="24"/>
        </w:rPr>
      </w:pPr>
      <w:r w:rsidRPr="006F101C">
        <w:rPr>
          <w:rStyle w:val="FootnoteReference"/>
          <w:rFonts w:ascii="Times New Roman" w:hAnsi="Times New Roman"/>
          <w:sz w:val="22"/>
          <w:vertAlign w:val="baseline"/>
        </w:rPr>
        <w:footnoteRef/>
      </w:r>
      <w:r w:rsidRPr="006F101C">
        <w:rPr>
          <w:rFonts w:ascii="Times New Roman" w:hAnsi="Times New Roman"/>
          <w:sz w:val="24"/>
        </w:rPr>
        <w:t xml:space="preserve"> </w:t>
      </w:r>
      <w:r w:rsidRPr="006F101C">
        <w:rPr>
          <w:rFonts w:ascii="Times New Roman" w:hAnsi="Times New Roman"/>
          <w:sz w:val="24"/>
        </w:rPr>
        <w:tab/>
      </w:r>
      <w:r w:rsidRPr="006F101C">
        <w:rPr>
          <w:rFonts w:ascii="Times New Roman" w:hAnsi="Times New Roman"/>
          <w:i/>
          <w:iCs/>
          <w:sz w:val="24"/>
        </w:rPr>
        <w:t xml:space="preserve">Benbrika </w:t>
      </w:r>
      <w:r w:rsidRPr="006F101C">
        <w:rPr>
          <w:rFonts w:ascii="Times New Roman" w:hAnsi="Times New Roman"/>
          <w:sz w:val="24"/>
        </w:rPr>
        <w:t xml:space="preserve">(2021) 95 ALJR 166 at 180 [32]; 388 ALR 1 at 13; see also </w:t>
      </w:r>
      <w:r w:rsidRPr="006F101C">
        <w:rPr>
          <w:rFonts w:ascii="Times New Roman" w:hAnsi="Times New Roman"/>
          <w:i/>
          <w:iCs/>
          <w:sz w:val="24"/>
        </w:rPr>
        <w:t xml:space="preserve">Kruger </w:t>
      </w:r>
      <w:r w:rsidRPr="006F101C">
        <w:rPr>
          <w:rFonts w:ascii="Times New Roman" w:hAnsi="Times New Roman"/>
          <w:sz w:val="24"/>
        </w:rPr>
        <w:t xml:space="preserve">(1997) 190 CLR 1 at 110.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E592" w14:textId="77777777" w:rsidR="00C06B3A" w:rsidRPr="00F77E33" w:rsidRDefault="00C06B3A" w:rsidP="00F77E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0EF5" w14:textId="77777777" w:rsidR="004C6E3E" w:rsidRDefault="00E3198A" w:rsidP="004C6E3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1D2DA99E" w14:textId="77777777" w:rsidR="004C6E3E" w:rsidRDefault="00115BF5" w:rsidP="004C6E3E">
    <w:pPr>
      <w:pStyle w:val="Header"/>
      <w:tabs>
        <w:tab w:val="clear" w:pos="4153"/>
        <w:tab w:val="clear" w:pos="8306"/>
        <w:tab w:val="right" w:pos="1304"/>
      </w:tabs>
      <w:spacing w:line="280" w:lineRule="exact"/>
      <w:ind w:firstLine="0"/>
      <w:rPr>
        <w:rFonts w:ascii="Times New Roman" w:hAnsi="Times New Roman"/>
        <w:i/>
        <w:sz w:val="22"/>
      </w:rPr>
    </w:pPr>
  </w:p>
  <w:p w14:paraId="7BD0D95A" w14:textId="77777777" w:rsidR="004C6E3E" w:rsidRDefault="00E3198A" w:rsidP="004C6E3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62F526D" w14:textId="77777777" w:rsidR="004C6E3E" w:rsidRPr="004C6E3E" w:rsidRDefault="00115BF5" w:rsidP="004C6E3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4D6F" w14:textId="77777777" w:rsidR="004C6E3E" w:rsidRDefault="00E3198A" w:rsidP="004C6E3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94A8A4A" w14:textId="77777777" w:rsidR="004C6E3E" w:rsidRDefault="00115BF5" w:rsidP="004C6E3E">
    <w:pPr>
      <w:pStyle w:val="Header"/>
      <w:tabs>
        <w:tab w:val="clear" w:pos="4153"/>
        <w:tab w:val="clear" w:pos="8306"/>
        <w:tab w:val="left" w:pos="7200"/>
        <w:tab w:val="right" w:pos="8504"/>
      </w:tabs>
      <w:spacing w:line="280" w:lineRule="exact"/>
      <w:jc w:val="right"/>
      <w:rPr>
        <w:rFonts w:ascii="Times New Roman" w:hAnsi="Times New Roman"/>
        <w:i/>
        <w:sz w:val="22"/>
      </w:rPr>
    </w:pPr>
  </w:p>
  <w:p w14:paraId="3BA83976" w14:textId="77777777" w:rsidR="004C6E3E" w:rsidRDefault="00E3198A" w:rsidP="004C6E3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FB13205" w14:textId="77777777" w:rsidR="004C6E3E" w:rsidRPr="004C6E3E" w:rsidRDefault="00115BF5" w:rsidP="004C6E3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A0C" w14:textId="77777777" w:rsidR="004C6E3E" w:rsidRDefault="00115BF5" w:rsidP="004C6E3E">
    <w:pPr>
      <w:pStyle w:val="Header"/>
      <w:tabs>
        <w:tab w:val="clear" w:pos="4153"/>
        <w:tab w:val="clear" w:pos="8306"/>
        <w:tab w:val="center" w:pos="1134"/>
      </w:tabs>
      <w:spacing w:line="280" w:lineRule="exact"/>
      <w:ind w:firstLine="0"/>
      <w:rPr>
        <w:rFonts w:ascii="Times New Roman" w:hAnsi="Times New Roman"/>
        <w:i/>
        <w:sz w:val="22"/>
      </w:rPr>
    </w:pPr>
  </w:p>
  <w:p w14:paraId="6286F880" w14:textId="77777777" w:rsidR="004C6E3E" w:rsidRDefault="00115BF5" w:rsidP="004C6E3E">
    <w:pPr>
      <w:pStyle w:val="Header"/>
      <w:tabs>
        <w:tab w:val="clear" w:pos="4153"/>
        <w:tab w:val="clear" w:pos="8306"/>
        <w:tab w:val="center" w:pos="1134"/>
      </w:tabs>
      <w:spacing w:line="280" w:lineRule="exact"/>
      <w:ind w:firstLine="0"/>
      <w:rPr>
        <w:rFonts w:ascii="Times New Roman" w:hAnsi="Times New Roman"/>
        <w:i/>
        <w:sz w:val="22"/>
      </w:rPr>
    </w:pPr>
  </w:p>
  <w:p w14:paraId="6EF844E7" w14:textId="77777777" w:rsidR="004C6E3E" w:rsidRDefault="00115BF5" w:rsidP="004C6E3E">
    <w:pPr>
      <w:pStyle w:val="Header"/>
      <w:tabs>
        <w:tab w:val="clear" w:pos="4153"/>
        <w:tab w:val="clear" w:pos="8306"/>
        <w:tab w:val="center" w:pos="1134"/>
      </w:tabs>
      <w:spacing w:line="280" w:lineRule="exact"/>
      <w:ind w:firstLine="0"/>
      <w:rPr>
        <w:rFonts w:ascii="Times New Roman" w:hAnsi="Times New Roman"/>
        <w:i/>
        <w:sz w:val="22"/>
      </w:rPr>
    </w:pPr>
  </w:p>
  <w:p w14:paraId="45783C2B" w14:textId="77777777" w:rsidR="002F55CA" w:rsidRPr="004C6E3E" w:rsidRDefault="00115BF5" w:rsidP="004C6E3E">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DE98" w14:textId="77777777" w:rsidR="000309F2" w:rsidRDefault="00E3198A" w:rsidP="000309F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3E5E45DD" w14:textId="77777777" w:rsidR="000309F2" w:rsidRDefault="00115BF5" w:rsidP="000309F2">
    <w:pPr>
      <w:pStyle w:val="Header"/>
      <w:tabs>
        <w:tab w:val="clear" w:pos="4153"/>
        <w:tab w:val="clear" w:pos="8306"/>
        <w:tab w:val="right" w:pos="1304"/>
      </w:tabs>
      <w:spacing w:line="280" w:lineRule="exact"/>
      <w:ind w:firstLine="0"/>
      <w:rPr>
        <w:rFonts w:ascii="Times New Roman" w:hAnsi="Times New Roman"/>
        <w:i/>
        <w:sz w:val="22"/>
      </w:rPr>
    </w:pPr>
  </w:p>
  <w:p w14:paraId="41AAF532" w14:textId="77777777" w:rsidR="000309F2" w:rsidRDefault="00E3198A" w:rsidP="000309F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68D44B2" w14:textId="77777777" w:rsidR="000309F2" w:rsidRPr="000309F2" w:rsidRDefault="00115BF5" w:rsidP="000309F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134A" w14:textId="77777777" w:rsidR="000309F2" w:rsidRDefault="00E3198A" w:rsidP="000309F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5E82D9AB" w14:textId="77777777" w:rsidR="000309F2" w:rsidRDefault="00115BF5" w:rsidP="000309F2">
    <w:pPr>
      <w:pStyle w:val="Header"/>
      <w:tabs>
        <w:tab w:val="clear" w:pos="4153"/>
        <w:tab w:val="clear" w:pos="8306"/>
        <w:tab w:val="left" w:pos="7200"/>
        <w:tab w:val="right" w:pos="8504"/>
      </w:tabs>
      <w:spacing w:line="280" w:lineRule="exact"/>
      <w:jc w:val="right"/>
      <w:rPr>
        <w:rFonts w:ascii="Times New Roman" w:hAnsi="Times New Roman"/>
        <w:i/>
        <w:sz w:val="22"/>
      </w:rPr>
    </w:pPr>
  </w:p>
  <w:p w14:paraId="5CE56284" w14:textId="77777777" w:rsidR="000309F2" w:rsidRDefault="00E3198A" w:rsidP="000309F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7014348" w14:textId="77777777" w:rsidR="000309F2" w:rsidRPr="000309F2" w:rsidRDefault="00115BF5" w:rsidP="000309F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BB54" w14:textId="77777777" w:rsidR="000309F2" w:rsidRDefault="00115BF5" w:rsidP="000309F2">
    <w:pPr>
      <w:pStyle w:val="Header"/>
      <w:tabs>
        <w:tab w:val="clear" w:pos="4153"/>
        <w:tab w:val="clear" w:pos="8306"/>
        <w:tab w:val="center" w:pos="1134"/>
      </w:tabs>
      <w:spacing w:line="280" w:lineRule="exact"/>
      <w:ind w:firstLine="0"/>
      <w:rPr>
        <w:rFonts w:ascii="Times New Roman" w:hAnsi="Times New Roman"/>
        <w:i/>
        <w:sz w:val="22"/>
      </w:rPr>
    </w:pPr>
  </w:p>
  <w:p w14:paraId="660A52D7" w14:textId="77777777" w:rsidR="000309F2" w:rsidRDefault="00115BF5" w:rsidP="000309F2">
    <w:pPr>
      <w:pStyle w:val="Header"/>
      <w:tabs>
        <w:tab w:val="clear" w:pos="4153"/>
        <w:tab w:val="clear" w:pos="8306"/>
        <w:tab w:val="center" w:pos="1134"/>
      </w:tabs>
      <w:spacing w:line="280" w:lineRule="exact"/>
      <w:ind w:firstLine="0"/>
      <w:rPr>
        <w:rFonts w:ascii="Times New Roman" w:hAnsi="Times New Roman"/>
        <w:i/>
        <w:sz w:val="22"/>
      </w:rPr>
    </w:pPr>
  </w:p>
  <w:p w14:paraId="3518ED54" w14:textId="77777777" w:rsidR="000309F2" w:rsidRDefault="00115BF5" w:rsidP="000309F2">
    <w:pPr>
      <w:pStyle w:val="Header"/>
      <w:tabs>
        <w:tab w:val="clear" w:pos="4153"/>
        <w:tab w:val="clear" w:pos="8306"/>
        <w:tab w:val="center" w:pos="1134"/>
      </w:tabs>
      <w:spacing w:line="280" w:lineRule="exact"/>
      <w:ind w:firstLine="0"/>
      <w:rPr>
        <w:rFonts w:ascii="Times New Roman" w:hAnsi="Times New Roman"/>
        <w:i/>
        <w:sz w:val="22"/>
      </w:rPr>
    </w:pPr>
  </w:p>
  <w:p w14:paraId="18558696" w14:textId="77777777" w:rsidR="001557E6" w:rsidRPr="000309F2" w:rsidRDefault="00115BF5" w:rsidP="000309F2">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8AA0" w14:textId="77777777" w:rsidR="006F101C" w:rsidRDefault="00E3198A" w:rsidP="006F101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54BCECAC" w14:textId="77777777" w:rsidR="006F101C" w:rsidRDefault="00115BF5" w:rsidP="006F101C">
    <w:pPr>
      <w:pStyle w:val="Header"/>
      <w:tabs>
        <w:tab w:val="clear" w:pos="4153"/>
        <w:tab w:val="clear" w:pos="8306"/>
        <w:tab w:val="right" w:pos="1304"/>
      </w:tabs>
      <w:spacing w:line="280" w:lineRule="exact"/>
      <w:ind w:firstLine="0"/>
      <w:rPr>
        <w:rFonts w:ascii="Times New Roman" w:hAnsi="Times New Roman"/>
        <w:i/>
        <w:sz w:val="22"/>
      </w:rPr>
    </w:pPr>
  </w:p>
  <w:p w14:paraId="6ED06670" w14:textId="77777777" w:rsidR="006F101C" w:rsidRDefault="00E3198A" w:rsidP="006F101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F6BC5D" w14:textId="77777777" w:rsidR="006F101C" w:rsidRPr="006F101C" w:rsidRDefault="00115BF5" w:rsidP="006F101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0C78" w14:textId="77777777" w:rsidR="006F101C" w:rsidRDefault="00E3198A" w:rsidP="006F101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568D102A" w14:textId="77777777" w:rsidR="006F101C" w:rsidRDefault="00115BF5" w:rsidP="006F101C">
    <w:pPr>
      <w:pStyle w:val="Header"/>
      <w:tabs>
        <w:tab w:val="clear" w:pos="4153"/>
        <w:tab w:val="clear" w:pos="8306"/>
        <w:tab w:val="left" w:pos="7200"/>
        <w:tab w:val="right" w:pos="8504"/>
      </w:tabs>
      <w:spacing w:line="280" w:lineRule="exact"/>
      <w:jc w:val="right"/>
      <w:rPr>
        <w:rFonts w:ascii="Times New Roman" w:hAnsi="Times New Roman"/>
        <w:i/>
        <w:sz w:val="22"/>
      </w:rPr>
    </w:pPr>
  </w:p>
  <w:p w14:paraId="7CB1FA6A" w14:textId="77777777" w:rsidR="006F101C" w:rsidRDefault="00E3198A" w:rsidP="006F101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2E0BF93" w14:textId="77777777" w:rsidR="006F101C" w:rsidRPr="006F101C" w:rsidRDefault="00115BF5" w:rsidP="006F101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C7EC" w14:textId="77777777" w:rsidR="006F101C" w:rsidRDefault="00115BF5" w:rsidP="006F101C">
    <w:pPr>
      <w:pStyle w:val="Header"/>
      <w:tabs>
        <w:tab w:val="clear" w:pos="4153"/>
        <w:tab w:val="clear" w:pos="8306"/>
        <w:tab w:val="center" w:pos="1134"/>
      </w:tabs>
      <w:spacing w:line="280" w:lineRule="exact"/>
      <w:ind w:firstLine="0"/>
      <w:rPr>
        <w:rFonts w:ascii="Times New Roman" w:hAnsi="Times New Roman"/>
        <w:i/>
        <w:sz w:val="22"/>
      </w:rPr>
    </w:pPr>
  </w:p>
  <w:p w14:paraId="59FA608E" w14:textId="77777777" w:rsidR="006F101C" w:rsidRDefault="00115BF5" w:rsidP="006F101C">
    <w:pPr>
      <w:pStyle w:val="Header"/>
      <w:tabs>
        <w:tab w:val="clear" w:pos="4153"/>
        <w:tab w:val="clear" w:pos="8306"/>
        <w:tab w:val="center" w:pos="1134"/>
      </w:tabs>
      <w:spacing w:line="280" w:lineRule="exact"/>
      <w:ind w:firstLine="0"/>
      <w:rPr>
        <w:rFonts w:ascii="Times New Roman" w:hAnsi="Times New Roman"/>
        <w:i/>
        <w:sz w:val="22"/>
      </w:rPr>
    </w:pPr>
  </w:p>
  <w:p w14:paraId="75570DC9" w14:textId="77777777" w:rsidR="006F101C" w:rsidRDefault="00115BF5" w:rsidP="006F101C">
    <w:pPr>
      <w:pStyle w:val="Header"/>
      <w:tabs>
        <w:tab w:val="clear" w:pos="4153"/>
        <w:tab w:val="clear" w:pos="8306"/>
        <w:tab w:val="center" w:pos="1134"/>
      </w:tabs>
      <w:spacing w:line="280" w:lineRule="exact"/>
      <w:ind w:firstLine="0"/>
      <w:rPr>
        <w:rFonts w:ascii="Times New Roman" w:hAnsi="Times New Roman"/>
        <w:i/>
        <w:sz w:val="22"/>
      </w:rPr>
    </w:pPr>
  </w:p>
  <w:p w14:paraId="27B8CEEF" w14:textId="77777777" w:rsidR="0050213D" w:rsidRPr="006F101C" w:rsidRDefault="00115BF5" w:rsidP="006F101C">
    <w:pPr>
      <w:pStyle w:val="Header"/>
      <w:tabs>
        <w:tab w:val="clear" w:pos="4153"/>
        <w:tab w:val="clear" w:pos="8306"/>
        <w:tab w:val="center" w:pos="1134"/>
      </w:tabs>
      <w:spacing w:line="280" w:lineRule="exact"/>
      <w:ind w:firstLine="0"/>
      <w:rPr>
        <w:rFonts w:ascii="Times New Roman" w:hAnsi="Times New Roman"/>
        <w:i/>
        <w:sz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5C5A" w14:textId="77777777" w:rsidR="00E3198A" w:rsidRPr="00E3198A" w:rsidRDefault="00E3198A" w:rsidP="00E31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85C5" w14:textId="04FA1FA4" w:rsidR="00C06B3A" w:rsidRPr="00F77E33" w:rsidRDefault="00F77E33" w:rsidP="00F77E33">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756377">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756377">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BDA3" w14:textId="0CF1FFFB" w:rsidR="00FE53EE" w:rsidRPr="00F77E33" w:rsidRDefault="00FE53EE" w:rsidP="00F77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6073" w14:textId="77777777" w:rsidR="00F77E33" w:rsidRPr="00C06B3A" w:rsidRDefault="00F77E33" w:rsidP="00C06B3A">
    <w:pPr>
      <w:pStyle w:val="Header"/>
      <w:tabs>
        <w:tab w:val="clear" w:pos="4153"/>
        <w:tab w:val="clear" w:pos="8306"/>
        <w:tab w:val="right" w:pos="1304"/>
      </w:tabs>
      <w:spacing w:line="280" w:lineRule="exact"/>
      <w:ind w:firstLine="0"/>
      <w:rPr>
        <w:rFonts w:ascii="Times New Roman" w:hAnsi="Times New Roman"/>
        <w:i/>
        <w:sz w:val="22"/>
      </w:rPr>
    </w:pPr>
    <w:r w:rsidRPr="00C06B3A">
      <w:rPr>
        <w:rFonts w:ascii="Times New Roman" w:hAnsi="Times New Roman"/>
        <w:i/>
        <w:sz w:val="22"/>
      </w:rPr>
      <w:t>Kiefel</w:t>
    </w:r>
    <w:r w:rsidRPr="00C06B3A">
      <w:rPr>
        <w:rFonts w:ascii="Times New Roman" w:hAnsi="Times New Roman"/>
        <w:i/>
        <w:sz w:val="22"/>
      </w:rPr>
      <w:tab/>
      <w:t>CJ</w:t>
    </w:r>
  </w:p>
  <w:p w14:paraId="082E1F81" w14:textId="77777777" w:rsidR="00F77E33" w:rsidRPr="00C06B3A" w:rsidRDefault="00F77E33" w:rsidP="00C06B3A">
    <w:pPr>
      <w:pStyle w:val="Header"/>
      <w:tabs>
        <w:tab w:val="clear" w:pos="4153"/>
        <w:tab w:val="clear" w:pos="8306"/>
        <w:tab w:val="right" w:pos="1304"/>
      </w:tabs>
      <w:spacing w:line="280" w:lineRule="exact"/>
      <w:ind w:firstLine="0"/>
      <w:rPr>
        <w:rFonts w:ascii="Times New Roman" w:hAnsi="Times New Roman"/>
        <w:i/>
        <w:sz w:val="22"/>
      </w:rPr>
    </w:pPr>
    <w:r w:rsidRPr="00C06B3A">
      <w:rPr>
        <w:rFonts w:ascii="Times New Roman" w:hAnsi="Times New Roman"/>
        <w:i/>
        <w:sz w:val="22"/>
      </w:rPr>
      <w:t>Keane</w:t>
    </w:r>
    <w:r w:rsidRPr="00C06B3A">
      <w:rPr>
        <w:rFonts w:ascii="Times New Roman" w:hAnsi="Times New Roman"/>
        <w:i/>
        <w:sz w:val="22"/>
      </w:rPr>
      <w:tab/>
      <w:t>J</w:t>
    </w:r>
  </w:p>
  <w:p w14:paraId="6C7B57ED" w14:textId="77777777" w:rsidR="00F77E33" w:rsidRDefault="00F77E33" w:rsidP="00C06B3A">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52E9048D" w14:textId="77777777" w:rsidR="00F77E33" w:rsidRDefault="00F77E33" w:rsidP="00C06B3A">
    <w:pPr>
      <w:pStyle w:val="Header"/>
      <w:tabs>
        <w:tab w:val="clear" w:pos="4153"/>
        <w:tab w:val="clear" w:pos="8306"/>
        <w:tab w:val="right" w:pos="1304"/>
      </w:tabs>
      <w:spacing w:line="280" w:lineRule="exact"/>
      <w:ind w:firstLine="0"/>
      <w:rPr>
        <w:rFonts w:ascii="Times New Roman" w:hAnsi="Times New Roman"/>
        <w:i/>
        <w:sz w:val="22"/>
      </w:rPr>
    </w:pPr>
  </w:p>
  <w:p w14:paraId="50606CF7" w14:textId="77777777" w:rsidR="00F77E33" w:rsidRDefault="00F77E33" w:rsidP="00C06B3A">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410E1C" w14:textId="77777777" w:rsidR="00F77E33" w:rsidRPr="00C06B3A" w:rsidRDefault="00F77E33" w:rsidP="00C06B3A">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B22D" w14:textId="77777777" w:rsidR="00F77E33" w:rsidRPr="00C06B3A" w:rsidRDefault="00F77E33" w:rsidP="00C06B3A">
    <w:pPr>
      <w:pStyle w:val="Header"/>
      <w:tabs>
        <w:tab w:val="clear" w:pos="4153"/>
        <w:tab w:val="clear" w:pos="8306"/>
        <w:tab w:val="left" w:pos="7200"/>
        <w:tab w:val="right" w:pos="8504"/>
      </w:tabs>
      <w:spacing w:line="280" w:lineRule="exact"/>
      <w:jc w:val="right"/>
      <w:rPr>
        <w:rFonts w:ascii="Times New Roman" w:hAnsi="Times New Roman"/>
        <w:i/>
        <w:sz w:val="22"/>
      </w:rPr>
    </w:pPr>
    <w:r w:rsidRPr="00C06B3A">
      <w:rPr>
        <w:rFonts w:ascii="Times New Roman" w:hAnsi="Times New Roman"/>
        <w:i/>
        <w:sz w:val="22"/>
      </w:rPr>
      <w:tab/>
      <w:t>Kiefel</w:t>
    </w:r>
    <w:r w:rsidRPr="00C06B3A">
      <w:rPr>
        <w:rFonts w:ascii="Times New Roman" w:hAnsi="Times New Roman"/>
        <w:i/>
        <w:sz w:val="22"/>
      </w:rPr>
      <w:tab/>
      <w:t>CJ</w:t>
    </w:r>
  </w:p>
  <w:p w14:paraId="757F4C39" w14:textId="77777777" w:rsidR="00F77E33" w:rsidRPr="00C06B3A" w:rsidRDefault="00F77E33" w:rsidP="00C06B3A">
    <w:pPr>
      <w:pStyle w:val="Header"/>
      <w:tabs>
        <w:tab w:val="clear" w:pos="4153"/>
        <w:tab w:val="clear" w:pos="8306"/>
        <w:tab w:val="left" w:pos="7200"/>
        <w:tab w:val="right" w:pos="8504"/>
      </w:tabs>
      <w:spacing w:line="280" w:lineRule="exact"/>
      <w:jc w:val="right"/>
      <w:rPr>
        <w:rFonts w:ascii="Times New Roman" w:hAnsi="Times New Roman"/>
        <w:i/>
        <w:sz w:val="22"/>
      </w:rPr>
    </w:pPr>
    <w:r w:rsidRPr="00C06B3A">
      <w:rPr>
        <w:rFonts w:ascii="Times New Roman" w:hAnsi="Times New Roman"/>
        <w:i/>
        <w:sz w:val="22"/>
      </w:rPr>
      <w:tab/>
      <w:t>Keane</w:t>
    </w:r>
    <w:r w:rsidRPr="00C06B3A">
      <w:rPr>
        <w:rFonts w:ascii="Times New Roman" w:hAnsi="Times New Roman"/>
        <w:i/>
        <w:sz w:val="22"/>
      </w:rPr>
      <w:tab/>
      <w:t>J</w:t>
    </w:r>
  </w:p>
  <w:p w14:paraId="2F9C2BC8" w14:textId="77777777" w:rsidR="00F77E33" w:rsidRDefault="00F77E33" w:rsidP="00C06B3A">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54861EA" w14:textId="77777777" w:rsidR="00F77E33" w:rsidRDefault="00F77E33" w:rsidP="00C06B3A">
    <w:pPr>
      <w:pStyle w:val="Header"/>
      <w:tabs>
        <w:tab w:val="clear" w:pos="4153"/>
        <w:tab w:val="clear" w:pos="8306"/>
        <w:tab w:val="left" w:pos="7200"/>
        <w:tab w:val="right" w:pos="8504"/>
      </w:tabs>
      <w:spacing w:line="280" w:lineRule="exact"/>
      <w:jc w:val="right"/>
      <w:rPr>
        <w:rFonts w:ascii="Times New Roman" w:hAnsi="Times New Roman"/>
        <w:i/>
        <w:sz w:val="22"/>
      </w:rPr>
    </w:pPr>
  </w:p>
  <w:p w14:paraId="14E101B6" w14:textId="77777777" w:rsidR="00F77E33" w:rsidRDefault="00F77E33" w:rsidP="00C06B3A">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70B6355" w14:textId="77777777" w:rsidR="00F77E33" w:rsidRPr="00C06B3A" w:rsidRDefault="00F77E33" w:rsidP="00C06B3A">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3CD" w14:textId="77777777" w:rsidR="00F77E33"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p w14:paraId="7C956574" w14:textId="77777777" w:rsidR="00F77E33"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p w14:paraId="0A620602" w14:textId="77777777" w:rsidR="00F77E33"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p w14:paraId="6D8D3FBC" w14:textId="77777777" w:rsidR="00F77E33"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p w14:paraId="5ED2F44C" w14:textId="77777777" w:rsidR="00F77E33"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p w14:paraId="5DF3021E" w14:textId="77777777" w:rsidR="00F77E33" w:rsidRPr="00C06B3A" w:rsidRDefault="00F77E33" w:rsidP="00C06B3A">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B36F" w14:textId="77777777" w:rsidR="00E61F4C" w:rsidRDefault="00E3198A" w:rsidP="00E61F4C">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777B8449" w14:textId="77777777" w:rsidR="00E61F4C" w:rsidRDefault="00115BF5" w:rsidP="00E61F4C">
    <w:pPr>
      <w:pStyle w:val="Header"/>
      <w:tabs>
        <w:tab w:val="clear" w:pos="4153"/>
        <w:tab w:val="clear" w:pos="8306"/>
        <w:tab w:val="right" w:pos="1304"/>
      </w:tabs>
      <w:spacing w:line="280" w:lineRule="exact"/>
      <w:ind w:firstLine="0"/>
      <w:rPr>
        <w:rFonts w:ascii="Times New Roman" w:hAnsi="Times New Roman"/>
        <w:i/>
        <w:sz w:val="22"/>
      </w:rPr>
    </w:pPr>
  </w:p>
  <w:p w14:paraId="588ED1FD" w14:textId="77777777" w:rsidR="00E61F4C" w:rsidRDefault="00E3198A" w:rsidP="00E61F4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7A1ABF48" w14:textId="77777777" w:rsidR="00E61F4C" w:rsidRPr="00E61F4C" w:rsidRDefault="00115BF5" w:rsidP="00E61F4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526A" w14:textId="77777777" w:rsidR="00E61F4C" w:rsidRDefault="00E3198A" w:rsidP="00E61F4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40DD76C3" w14:textId="77777777" w:rsidR="00E61F4C" w:rsidRDefault="00115BF5" w:rsidP="00E61F4C">
    <w:pPr>
      <w:pStyle w:val="Header"/>
      <w:tabs>
        <w:tab w:val="clear" w:pos="4153"/>
        <w:tab w:val="clear" w:pos="8306"/>
        <w:tab w:val="left" w:pos="7200"/>
        <w:tab w:val="right" w:pos="8504"/>
      </w:tabs>
      <w:spacing w:line="280" w:lineRule="exact"/>
      <w:jc w:val="right"/>
      <w:rPr>
        <w:rFonts w:ascii="Times New Roman" w:hAnsi="Times New Roman"/>
        <w:i/>
        <w:sz w:val="22"/>
      </w:rPr>
    </w:pPr>
  </w:p>
  <w:p w14:paraId="0B21F0E8" w14:textId="77777777" w:rsidR="00E61F4C" w:rsidRDefault="00E3198A" w:rsidP="00E61F4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3023B47F" w14:textId="77777777" w:rsidR="00E61F4C" w:rsidRPr="00E61F4C" w:rsidRDefault="00115BF5" w:rsidP="00E61F4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CF9C" w14:textId="77777777" w:rsidR="00E61F4C" w:rsidRDefault="00115BF5" w:rsidP="00E61F4C">
    <w:pPr>
      <w:pStyle w:val="Header"/>
      <w:tabs>
        <w:tab w:val="clear" w:pos="4153"/>
        <w:tab w:val="clear" w:pos="8306"/>
        <w:tab w:val="center" w:pos="1134"/>
      </w:tabs>
      <w:spacing w:line="280" w:lineRule="exact"/>
      <w:ind w:firstLine="0"/>
      <w:rPr>
        <w:rFonts w:ascii="Times New Roman" w:hAnsi="Times New Roman"/>
        <w:i/>
        <w:sz w:val="22"/>
      </w:rPr>
    </w:pPr>
  </w:p>
  <w:p w14:paraId="2F8254DC" w14:textId="77777777" w:rsidR="00E61F4C" w:rsidRDefault="00115BF5" w:rsidP="00E61F4C">
    <w:pPr>
      <w:pStyle w:val="Header"/>
      <w:tabs>
        <w:tab w:val="clear" w:pos="4153"/>
        <w:tab w:val="clear" w:pos="8306"/>
        <w:tab w:val="center" w:pos="1134"/>
      </w:tabs>
      <w:spacing w:line="280" w:lineRule="exact"/>
      <w:ind w:firstLine="0"/>
      <w:rPr>
        <w:rFonts w:ascii="Times New Roman" w:hAnsi="Times New Roman"/>
        <w:i/>
        <w:sz w:val="22"/>
      </w:rPr>
    </w:pPr>
  </w:p>
  <w:p w14:paraId="35FE56D0" w14:textId="77777777" w:rsidR="00E61F4C" w:rsidRDefault="00115BF5" w:rsidP="00E61F4C">
    <w:pPr>
      <w:pStyle w:val="Header"/>
      <w:tabs>
        <w:tab w:val="clear" w:pos="4153"/>
        <w:tab w:val="clear" w:pos="8306"/>
        <w:tab w:val="center" w:pos="1134"/>
      </w:tabs>
      <w:spacing w:line="280" w:lineRule="exact"/>
      <w:ind w:firstLine="0"/>
      <w:rPr>
        <w:rFonts w:ascii="Times New Roman" w:hAnsi="Times New Roman"/>
        <w:i/>
        <w:sz w:val="22"/>
      </w:rPr>
    </w:pPr>
  </w:p>
  <w:p w14:paraId="795529B3" w14:textId="77777777" w:rsidR="00CE6BBA" w:rsidRPr="00E61F4C" w:rsidRDefault="00115BF5" w:rsidP="00E61F4C">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573D34"/>
    <w:multiLevelType w:val="multilevel"/>
    <w:tmpl w:val="5FAE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5561BD"/>
    <w:multiLevelType w:val="hybridMultilevel"/>
    <w:tmpl w:val="09EE6574"/>
    <w:lvl w:ilvl="0" w:tplc="A07675D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C457F09"/>
    <w:multiLevelType w:val="multilevel"/>
    <w:tmpl w:val="30384948"/>
    <w:lvl w:ilvl="0">
      <w:start w:val="1"/>
      <w:numFmt w:val="upperLetter"/>
      <w:lvlText w:val="%1"/>
      <w:lvlJc w:val="left"/>
      <w:pPr>
        <w:ind w:left="720"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0"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20"/>
  </w:num>
  <w:num w:numId="4">
    <w:abstractNumId w:val="13"/>
  </w:num>
  <w:num w:numId="5">
    <w:abstractNumId w:val="18"/>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1"/>
  </w:num>
  <w:num w:numId="20">
    <w:abstractNumId w:val="14"/>
    <w:lvlOverride w:ilvl="0">
      <w:startOverride w:val="72"/>
    </w:lvlOverride>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26"/>
    <w:rsid w:val="000006B7"/>
    <w:rsid w:val="00000BCE"/>
    <w:rsid w:val="00000D93"/>
    <w:rsid w:val="0000106E"/>
    <w:rsid w:val="00002069"/>
    <w:rsid w:val="00002CE6"/>
    <w:rsid w:val="00002E16"/>
    <w:rsid w:val="0000316A"/>
    <w:rsid w:val="00003FCF"/>
    <w:rsid w:val="000041CC"/>
    <w:rsid w:val="000049B7"/>
    <w:rsid w:val="00004C36"/>
    <w:rsid w:val="00004D98"/>
    <w:rsid w:val="00005C36"/>
    <w:rsid w:val="00005FA7"/>
    <w:rsid w:val="00006ADC"/>
    <w:rsid w:val="00007690"/>
    <w:rsid w:val="0000794D"/>
    <w:rsid w:val="00010C93"/>
    <w:rsid w:val="00010DF9"/>
    <w:rsid w:val="00010E5B"/>
    <w:rsid w:val="00011E74"/>
    <w:rsid w:val="00011FA5"/>
    <w:rsid w:val="00013080"/>
    <w:rsid w:val="00013F41"/>
    <w:rsid w:val="00014B34"/>
    <w:rsid w:val="000151B1"/>
    <w:rsid w:val="00015C7D"/>
    <w:rsid w:val="000168C9"/>
    <w:rsid w:val="00016A7A"/>
    <w:rsid w:val="00016C20"/>
    <w:rsid w:val="00016DBB"/>
    <w:rsid w:val="00017144"/>
    <w:rsid w:val="0001727D"/>
    <w:rsid w:val="00017EFC"/>
    <w:rsid w:val="0002197D"/>
    <w:rsid w:val="0002274E"/>
    <w:rsid w:val="00022AD1"/>
    <w:rsid w:val="0002374A"/>
    <w:rsid w:val="00024EB1"/>
    <w:rsid w:val="000250AF"/>
    <w:rsid w:val="000250E7"/>
    <w:rsid w:val="00025490"/>
    <w:rsid w:val="0002561E"/>
    <w:rsid w:val="000256EA"/>
    <w:rsid w:val="00025A10"/>
    <w:rsid w:val="00025B8F"/>
    <w:rsid w:val="000263EF"/>
    <w:rsid w:val="000268E1"/>
    <w:rsid w:val="00027513"/>
    <w:rsid w:val="0003102A"/>
    <w:rsid w:val="0003196A"/>
    <w:rsid w:val="000321E9"/>
    <w:rsid w:val="0003235C"/>
    <w:rsid w:val="00032D78"/>
    <w:rsid w:val="0003436C"/>
    <w:rsid w:val="00034D49"/>
    <w:rsid w:val="0003575A"/>
    <w:rsid w:val="00035BAC"/>
    <w:rsid w:val="000360EB"/>
    <w:rsid w:val="000371D8"/>
    <w:rsid w:val="0003733E"/>
    <w:rsid w:val="00037A5F"/>
    <w:rsid w:val="00037D87"/>
    <w:rsid w:val="00040CB1"/>
    <w:rsid w:val="00040CDD"/>
    <w:rsid w:val="000420A4"/>
    <w:rsid w:val="00042198"/>
    <w:rsid w:val="00042B44"/>
    <w:rsid w:val="00043D2C"/>
    <w:rsid w:val="00043E2D"/>
    <w:rsid w:val="00043F61"/>
    <w:rsid w:val="00043F7F"/>
    <w:rsid w:val="000453E9"/>
    <w:rsid w:val="000454BE"/>
    <w:rsid w:val="00046812"/>
    <w:rsid w:val="000468CC"/>
    <w:rsid w:val="000471B0"/>
    <w:rsid w:val="00047854"/>
    <w:rsid w:val="0005007A"/>
    <w:rsid w:val="00050378"/>
    <w:rsid w:val="000504F7"/>
    <w:rsid w:val="00051840"/>
    <w:rsid w:val="00051DB3"/>
    <w:rsid w:val="000526A4"/>
    <w:rsid w:val="000528FC"/>
    <w:rsid w:val="00053A94"/>
    <w:rsid w:val="0005472E"/>
    <w:rsid w:val="00055ACD"/>
    <w:rsid w:val="00055C66"/>
    <w:rsid w:val="00055DB1"/>
    <w:rsid w:val="00055F5F"/>
    <w:rsid w:val="000561A8"/>
    <w:rsid w:val="00056777"/>
    <w:rsid w:val="00056F27"/>
    <w:rsid w:val="000573AF"/>
    <w:rsid w:val="00057452"/>
    <w:rsid w:val="00060562"/>
    <w:rsid w:val="00061215"/>
    <w:rsid w:val="0006124B"/>
    <w:rsid w:val="00061380"/>
    <w:rsid w:val="0006169E"/>
    <w:rsid w:val="000626FD"/>
    <w:rsid w:val="0006384C"/>
    <w:rsid w:val="00063CBE"/>
    <w:rsid w:val="0006432B"/>
    <w:rsid w:val="00064FBE"/>
    <w:rsid w:val="000653D4"/>
    <w:rsid w:val="0006640D"/>
    <w:rsid w:val="000667E1"/>
    <w:rsid w:val="00066B63"/>
    <w:rsid w:val="00066CA2"/>
    <w:rsid w:val="000674C0"/>
    <w:rsid w:val="00067716"/>
    <w:rsid w:val="0007051B"/>
    <w:rsid w:val="000711C8"/>
    <w:rsid w:val="0007143B"/>
    <w:rsid w:val="000715BF"/>
    <w:rsid w:val="0007189F"/>
    <w:rsid w:val="00071C35"/>
    <w:rsid w:val="00071E22"/>
    <w:rsid w:val="00071FCD"/>
    <w:rsid w:val="00071FDB"/>
    <w:rsid w:val="00072152"/>
    <w:rsid w:val="0007234C"/>
    <w:rsid w:val="0007262B"/>
    <w:rsid w:val="00072934"/>
    <w:rsid w:val="000730A3"/>
    <w:rsid w:val="0007342E"/>
    <w:rsid w:val="00073C41"/>
    <w:rsid w:val="000756AC"/>
    <w:rsid w:val="00075F50"/>
    <w:rsid w:val="00076D2B"/>
    <w:rsid w:val="00077735"/>
    <w:rsid w:val="00077D6C"/>
    <w:rsid w:val="000806C4"/>
    <w:rsid w:val="000807B2"/>
    <w:rsid w:val="00080D77"/>
    <w:rsid w:val="00081120"/>
    <w:rsid w:val="000811E7"/>
    <w:rsid w:val="000828B1"/>
    <w:rsid w:val="00082D99"/>
    <w:rsid w:val="00083481"/>
    <w:rsid w:val="00083B97"/>
    <w:rsid w:val="0008435D"/>
    <w:rsid w:val="000846CA"/>
    <w:rsid w:val="00084ABF"/>
    <w:rsid w:val="0008558C"/>
    <w:rsid w:val="00085640"/>
    <w:rsid w:val="0008586A"/>
    <w:rsid w:val="00085F13"/>
    <w:rsid w:val="00085FE5"/>
    <w:rsid w:val="00086A1A"/>
    <w:rsid w:val="00086EFF"/>
    <w:rsid w:val="00090BD4"/>
    <w:rsid w:val="000917C9"/>
    <w:rsid w:val="00092230"/>
    <w:rsid w:val="00092504"/>
    <w:rsid w:val="00093007"/>
    <w:rsid w:val="0009318E"/>
    <w:rsid w:val="000932B7"/>
    <w:rsid w:val="000943CA"/>
    <w:rsid w:val="00095BCD"/>
    <w:rsid w:val="0009614B"/>
    <w:rsid w:val="00096E0F"/>
    <w:rsid w:val="000972AB"/>
    <w:rsid w:val="000A1E44"/>
    <w:rsid w:val="000A28D4"/>
    <w:rsid w:val="000A28D6"/>
    <w:rsid w:val="000A2BE8"/>
    <w:rsid w:val="000A2EB4"/>
    <w:rsid w:val="000A307D"/>
    <w:rsid w:val="000A33CF"/>
    <w:rsid w:val="000A343E"/>
    <w:rsid w:val="000A3543"/>
    <w:rsid w:val="000A3796"/>
    <w:rsid w:val="000A3DA3"/>
    <w:rsid w:val="000A403B"/>
    <w:rsid w:val="000A4124"/>
    <w:rsid w:val="000A4485"/>
    <w:rsid w:val="000A5C04"/>
    <w:rsid w:val="000A63C6"/>
    <w:rsid w:val="000A69C6"/>
    <w:rsid w:val="000A6E78"/>
    <w:rsid w:val="000A7105"/>
    <w:rsid w:val="000A7512"/>
    <w:rsid w:val="000B15D8"/>
    <w:rsid w:val="000B172E"/>
    <w:rsid w:val="000B178B"/>
    <w:rsid w:val="000B253E"/>
    <w:rsid w:val="000B26A4"/>
    <w:rsid w:val="000B271E"/>
    <w:rsid w:val="000B2E1D"/>
    <w:rsid w:val="000B3901"/>
    <w:rsid w:val="000B4630"/>
    <w:rsid w:val="000B497F"/>
    <w:rsid w:val="000B4B98"/>
    <w:rsid w:val="000B545A"/>
    <w:rsid w:val="000B5641"/>
    <w:rsid w:val="000B5ADD"/>
    <w:rsid w:val="000B65BD"/>
    <w:rsid w:val="000B6AC1"/>
    <w:rsid w:val="000B6D57"/>
    <w:rsid w:val="000B6FFC"/>
    <w:rsid w:val="000B710D"/>
    <w:rsid w:val="000B7558"/>
    <w:rsid w:val="000C04DC"/>
    <w:rsid w:val="000C0CCC"/>
    <w:rsid w:val="000C0D98"/>
    <w:rsid w:val="000C1A08"/>
    <w:rsid w:val="000C219A"/>
    <w:rsid w:val="000C5C36"/>
    <w:rsid w:val="000C6079"/>
    <w:rsid w:val="000C6448"/>
    <w:rsid w:val="000C7CC2"/>
    <w:rsid w:val="000D03D1"/>
    <w:rsid w:val="000D0D7D"/>
    <w:rsid w:val="000D16C9"/>
    <w:rsid w:val="000D1C3D"/>
    <w:rsid w:val="000D1DD8"/>
    <w:rsid w:val="000D2381"/>
    <w:rsid w:val="000D25E6"/>
    <w:rsid w:val="000D2BD6"/>
    <w:rsid w:val="000D326E"/>
    <w:rsid w:val="000D34A1"/>
    <w:rsid w:val="000D3500"/>
    <w:rsid w:val="000D3A5B"/>
    <w:rsid w:val="000D4482"/>
    <w:rsid w:val="000D50F1"/>
    <w:rsid w:val="000D51DD"/>
    <w:rsid w:val="000D57D2"/>
    <w:rsid w:val="000D612E"/>
    <w:rsid w:val="000D6A16"/>
    <w:rsid w:val="000D6AB6"/>
    <w:rsid w:val="000E0387"/>
    <w:rsid w:val="000E08AD"/>
    <w:rsid w:val="000E0A46"/>
    <w:rsid w:val="000E1030"/>
    <w:rsid w:val="000E195D"/>
    <w:rsid w:val="000E1B0E"/>
    <w:rsid w:val="000E2C16"/>
    <w:rsid w:val="000E3964"/>
    <w:rsid w:val="000E3FA0"/>
    <w:rsid w:val="000E40D1"/>
    <w:rsid w:val="000E435C"/>
    <w:rsid w:val="000E5220"/>
    <w:rsid w:val="000E529E"/>
    <w:rsid w:val="000E629B"/>
    <w:rsid w:val="000E6486"/>
    <w:rsid w:val="000E65F7"/>
    <w:rsid w:val="000E71E6"/>
    <w:rsid w:val="000E79E1"/>
    <w:rsid w:val="000F040C"/>
    <w:rsid w:val="000F0CBA"/>
    <w:rsid w:val="000F1345"/>
    <w:rsid w:val="000F13FE"/>
    <w:rsid w:val="000F258C"/>
    <w:rsid w:val="000F3168"/>
    <w:rsid w:val="000F3B45"/>
    <w:rsid w:val="000F424A"/>
    <w:rsid w:val="000F4390"/>
    <w:rsid w:val="000F49EF"/>
    <w:rsid w:val="000F4F1D"/>
    <w:rsid w:val="000F55F1"/>
    <w:rsid w:val="000F6759"/>
    <w:rsid w:val="000F6AE1"/>
    <w:rsid w:val="000F79BC"/>
    <w:rsid w:val="000F7B37"/>
    <w:rsid w:val="001001B9"/>
    <w:rsid w:val="001005A9"/>
    <w:rsid w:val="001007FD"/>
    <w:rsid w:val="00100BEB"/>
    <w:rsid w:val="00100CA8"/>
    <w:rsid w:val="00100CC9"/>
    <w:rsid w:val="001018C1"/>
    <w:rsid w:val="00101F66"/>
    <w:rsid w:val="00102254"/>
    <w:rsid w:val="00102E66"/>
    <w:rsid w:val="00102EA6"/>
    <w:rsid w:val="00103566"/>
    <w:rsid w:val="00103757"/>
    <w:rsid w:val="00104A67"/>
    <w:rsid w:val="00104BBD"/>
    <w:rsid w:val="001055A0"/>
    <w:rsid w:val="001059CD"/>
    <w:rsid w:val="00105CDD"/>
    <w:rsid w:val="00106E7D"/>
    <w:rsid w:val="00106EC5"/>
    <w:rsid w:val="0010702C"/>
    <w:rsid w:val="00110970"/>
    <w:rsid w:val="001112D0"/>
    <w:rsid w:val="00111568"/>
    <w:rsid w:val="001120C0"/>
    <w:rsid w:val="00112CD7"/>
    <w:rsid w:val="00112F69"/>
    <w:rsid w:val="001130C9"/>
    <w:rsid w:val="00113559"/>
    <w:rsid w:val="00114362"/>
    <w:rsid w:val="0011449D"/>
    <w:rsid w:val="00114A20"/>
    <w:rsid w:val="00114D05"/>
    <w:rsid w:val="001150BF"/>
    <w:rsid w:val="001156F9"/>
    <w:rsid w:val="00115BF5"/>
    <w:rsid w:val="00115EB0"/>
    <w:rsid w:val="001168F2"/>
    <w:rsid w:val="00116E7E"/>
    <w:rsid w:val="00117C33"/>
    <w:rsid w:val="00120207"/>
    <w:rsid w:val="0012034D"/>
    <w:rsid w:val="001209DA"/>
    <w:rsid w:val="00120A0B"/>
    <w:rsid w:val="001210A6"/>
    <w:rsid w:val="00121934"/>
    <w:rsid w:val="001223D7"/>
    <w:rsid w:val="00122D85"/>
    <w:rsid w:val="00122DFE"/>
    <w:rsid w:val="00123235"/>
    <w:rsid w:val="00123C1B"/>
    <w:rsid w:val="00124851"/>
    <w:rsid w:val="00125562"/>
    <w:rsid w:val="00125678"/>
    <w:rsid w:val="00125BE6"/>
    <w:rsid w:val="00125E3C"/>
    <w:rsid w:val="00125EF1"/>
    <w:rsid w:val="0012601E"/>
    <w:rsid w:val="001306FD"/>
    <w:rsid w:val="00131D90"/>
    <w:rsid w:val="00131FCB"/>
    <w:rsid w:val="00132146"/>
    <w:rsid w:val="00132449"/>
    <w:rsid w:val="001328AD"/>
    <w:rsid w:val="00132C0E"/>
    <w:rsid w:val="00133276"/>
    <w:rsid w:val="0013338A"/>
    <w:rsid w:val="00133E7E"/>
    <w:rsid w:val="0013456F"/>
    <w:rsid w:val="00134EFA"/>
    <w:rsid w:val="00135AE4"/>
    <w:rsid w:val="001363AC"/>
    <w:rsid w:val="0013773C"/>
    <w:rsid w:val="00137C71"/>
    <w:rsid w:val="001411C9"/>
    <w:rsid w:val="00141FAE"/>
    <w:rsid w:val="00142072"/>
    <w:rsid w:val="001426C1"/>
    <w:rsid w:val="00142E24"/>
    <w:rsid w:val="00143018"/>
    <w:rsid w:val="001433F4"/>
    <w:rsid w:val="00143713"/>
    <w:rsid w:val="0014398F"/>
    <w:rsid w:val="00143FCB"/>
    <w:rsid w:val="00144138"/>
    <w:rsid w:val="001454CF"/>
    <w:rsid w:val="00145627"/>
    <w:rsid w:val="0014603A"/>
    <w:rsid w:val="00146236"/>
    <w:rsid w:val="00146A41"/>
    <w:rsid w:val="00146E9F"/>
    <w:rsid w:val="001471D2"/>
    <w:rsid w:val="0014787C"/>
    <w:rsid w:val="0015047C"/>
    <w:rsid w:val="00151679"/>
    <w:rsid w:val="001517F0"/>
    <w:rsid w:val="00151E3A"/>
    <w:rsid w:val="0015318E"/>
    <w:rsid w:val="00153906"/>
    <w:rsid w:val="00154385"/>
    <w:rsid w:val="00154778"/>
    <w:rsid w:val="00154A5F"/>
    <w:rsid w:val="00154AFB"/>
    <w:rsid w:val="00154BBF"/>
    <w:rsid w:val="00160C43"/>
    <w:rsid w:val="00163B5D"/>
    <w:rsid w:val="00163D92"/>
    <w:rsid w:val="00164144"/>
    <w:rsid w:val="001658C5"/>
    <w:rsid w:val="00165DE0"/>
    <w:rsid w:val="00165DE6"/>
    <w:rsid w:val="00166162"/>
    <w:rsid w:val="00166289"/>
    <w:rsid w:val="00170183"/>
    <w:rsid w:val="00170A1E"/>
    <w:rsid w:val="0017150A"/>
    <w:rsid w:val="00171A58"/>
    <w:rsid w:val="00171C72"/>
    <w:rsid w:val="00171F7B"/>
    <w:rsid w:val="00172350"/>
    <w:rsid w:val="00172757"/>
    <w:rsid w:val="00172ADE"/>
    <w:rsid w:val="00173674"/>
    <w:rsid w:val="00173AD0"/>
    <w:rsid w:val="001740F7"/>
    <w:rsid w:val="00174265"/>
    <w:rsid w:val="001755AE"/>
    <w:rsid w:val="00175703"/>
    <w:rsid w:val="001758DE"/>
    <w:rsid w:val="00175E40"/>
    <w:rsid w:val="00176D06"/>
    <w:rsid w:val="00176D25"/>
    <w:rsid w:val="00177CBB"/>
    <w:rsid w:val="001814DB"/>
    <w:rsid w:val="001814EF"/>
    <w:rsid w:val="001816EF"/>
    <w:rsid w:val="001817E5"/>
    <w:rsid w:val="001823DA"/>
    <w:rsid w:val="00182980"/>
    <w:rsid w:val="001833AD"/>
    <w:rsid w:val="0018342E"/>
    <w:rsid w:val="00183447"/>
    <w:rsid w:val="001836B8"/>
    <w:rsid w:val="00183D90"/>
    <w:rsid w:val="00183FBD"/>
    <w:rsid w:val="001840C2"/>
    <w:rsid w:val="00184B46"/>
    <w:rsid w:val="001856FC"/>
    <w:rsid w:val="0018587B"/>
    <w:rsid w:val="00185939"/>
    <w:rsid w:val="00185A39"/>
    <w:rsid w:val="0018666C"/>
    <w:rsid w:val="00186E74"/>
    <w:rsid w:val="00186F1B"/>
    <w:rsid w:val="001876F6"/>
    <w:rsid w:val="0019041B"/>
    <w:rsid w:val="0019081B"/>
    <w:rsid w:val="001912D0"/>
    <w:rsid w:val="001915C1"/>
    <w:rsid w:val="0019165F"/>
    <w:rsid w:val="00191C2E"/>
    <w:rsid w:val="00191E23"/>
    <w:rsid w:val="00192267"/>
    <w:rsid w:val="001928E1"/>
    <w:rsid w:val="00192E08"/>
    <w:rsid w:val="00193B9B"/>
    <w:rsid w:val="00193E08"/>
    <w:rsid w:val="00194208"/>
    <w:rsid w:val="001953B1"/>
    <w:rsid w:val="001963C0"/>
    <w:rsid w:val="001968B9"/>
    <w:rsid w:val="00197050"/>
    <w:rsid w:val="00197956"/>
    <w:rsid w:val="001A0186"/>
    <w:rsid w:val="001A0975"/>
    <w:rsid w:val="001A0B22"/>
    <w:rsid w:val="001A0BF3"/>
    <w:rsid w:val="001A184F"/>
    <w:rsid w:val="001A1BEB"/>
    <w:rsid w:val="001A3755"/>
    <w:rsid w:val="001A3F71"/>
    <w:rsid w:val="001A41F4"/>
    <w:rsid w:val="001A446E"/>
    <w:rsid w:val="001A4577"/>
    <w:rsid w:val="001A4F5E"/>
    <w:rsid w:val="001A52B1"/>
    <w:rsid w:val="001A53E7"/>
    <w:rsid w:val="001A6A07"/>
    <w:rsid w:val="001A6F71"/>
    <w:rsid w:val="001A7A21"/>
    <w:rsid w:val="001A7F5B"/>
    <w:rsid w:val="001B10FC"/>
    <w:rsid w:val="001B1710"/>
    <w:rsid w:val="001B17A8"/>
    <w:rsid w:val="001B191A"/>
    <w:rsid w:val="001B2981"/>
    <w:rsid w:val="001B36E0"/>
    <w:rsid w:val="001B3F4A"/>
    <w:rsid w:val="001B4728"/>
    <w:rsid w:val="001B477D"/>
    <w:rsid w:val="001B4B93"/>
    <w:rsid w:val="001B63C6"/>
    <w:rsid w:val="001B7081"/>
    <w:rsid w:val="001B756D"/>
    <w:rsid w:val="001B7D51"/>
    <w:rsid w:val="001C0D9D"/>
    <w:rsid w:val="001C0F9F"/>
    <w:rsid w:val="001C18D2"/>
    <w:rsid w:val="001C1C71"/>
    <w:rsid w:val="001C22BE"/>
    <w:rsid w:val="001C248D"/>
    <w:rsid w:val="001C25F7"/>
    <w:rsid w:val="001C2EFE"/>
    <w:rsid w:val="001C35DE"/>
    <w:rsid w:val="001C44E3"/>
    <w:rsid w:val="001C48D4"/>
    <w:rsid w:val="001C4BD9"/>
    <w:rsid w:val="001C5177"/>
    <w:rsid w:val="001C622A"/>
    <w:rsid w:val="001C6513"/>
    <w:rsid w:val="001C65D1"/>
    <w:rsid w:val="001C690F"/>
    <w:rsid w:val="001C6C6A"/>
    <w:rsid w:val="001C7710"/>
    <w:rsid w:val="001C797B"/>
    <w:rsid w:val="001C79F8"/>
    <w:rsid w:val="001C7C93"/>
    <w:rsid w:val="001D0994"/>
    <w:rsid w:val="001D104F"/>
    <w:rsid w:val="001D12EA"/>
    <w:rsid w:val="001D1A57"/>
    <w:rsid w:val="001D2D67"/>
    <w:rsid w:val="001D36CD"/>
    <w:rsid w:val="001D3902"/>
    <w:rsid w:val="001D3F69"/>
    <w:rsid w:val="001D4BCB"/>
    <w:rsid w:val="001D4F49"/>
    <w:rsid w:val="001D6A78"/>
    <w:rsid w:val="001D7982"/>
    <w:rsid w:val="001E0687"/>
    <w:rsid w:val="001E06C5"/>
    <w:rsid w:val="001E074E"/>
    <w:rsid w:val="001E1053"/>
    <w:rsid w:val="001E15FC"/>
    <w:rsid w:val="001E1C0E"/>
    <w:rsid w:val="001E1D3D"/>
    <w:rsid w:val="001E2B90"/>
    <w:rsid w:val="001E3631"/>
    <w:rsid w:val="001E47D1"/>
    <w:rsid w:val="001E5022"/>
    <w:rsid w:val="001E51ED"/>
    <w:rsid w:val="001E5658"/>
    <w:rsid w:val="001E6A64"/>
    <w:rsid w:val="001E75C5"/>
    <w:rsid w:val="001E7F17"/>
    <w:rsid w:val="001F07FE"/>
    <w:rsid w:val="001F0956"/>
    <w:rsid w:val="001F122B"/>
    <w:rsid w:val="001F2DF5"/>
    <w:rsid w:val="001F3F2A"/>
    <w:rsid w:val="001F5BA8"/>
    <w:rsid w:val="001F670D"/>
    <w:rsid w:val="001F69C2"/>
    <w:rsid w:val="001F717B"/>
    <w:rsid w:val="001F753C"/>
    <w:rsid w:val="002003AC"/>
    <w:rsid w:val="00201235"/>
    <w:rsid w:val="002012D5"/>
    <w:rsid w:val="0020222D"/>
    <w:rsid w:val="00202399"/>
    <w:rsid w:val="00202480"/>
    <w:rsid w:val="00202520"/>
    <w:rsid w:val="0020269C"/>
    <w:rsid w:val="00202C51"/>
    <w:rsid w:val="00202DF6"/>
    <w:rsid w:val="00202F35"/>
    <w:rsid w:val="0020355F"/>
    <w:rsid w:val="002036A1"/>
    <w:rsid w:val="00203787"/>
    <w:rsid w:val="00203E74"/>
    <w:rsid w:val="002044A8"/>
    <w:rsid w:val="002048D1"/>
    <w:rsid w:val="00204EB3"/>
    <w:rsid w:val="00205239"/>
    <w:rsid w:val="00205A03"/>
    <w:rsid w:val="00206F2B"/>
    <w:rsid w:val="002079CB"/>
    <w:rsid w:val="0021096E"/>
    <w:rsid w:val="00210DE8"/>
    <w:rsid w:val="00211939"/>
    <w:rsid w:val="00211986"/>
    <w:rsid w:val="00211D73"/>
    <w:rsid w:val="00212174"/>
    <w:rsid w:val="00212A3E"/>
    <w:rsid w:val="00212E1C"/>
    <w:rsid w:val="002137E6"/>
    <w:rsid w:val="00213998"/>
    <w:rsid w:val="002147AB"/>
    <w:rsid w:val="00214A5E"/>
    <w:rsid w:val="00214BF2"/>
    <w:rsid w:val="00214F07"/>
    <w:rsid w:val="00215A7F"/>
    <w:rsid w:val="00215F84"/>
    <w:rsid w:val="0021633E"/>
    <w:rsid w:val="00216522"/>
    <w:rsid w:val="00216863"/>
    <w:rsid w:val="00216884"/>
    <w:rsid w:val="00216BCD"/>
    <w:rsid w:val="00217206"/>
    <w:rsid w:val="00220348"/>
    <w:rsid w:val="00221D19"/>
    <w:rsid w:val="00223986"/>
    <w:rsid w:val="0022666B"/>
    <w:rsid w:val="0022734D"/>
    <w:rsid w:val="00227882"/>
    <w:rsid w:val="00230A2B"/>
    <w:rsid w:val="00230CC2"/>
    <w:rsid w:val="00230E35"/>
    <w:rsid w:val="00230FF8"/>
    <w:rsid w:val="002315F6"/>
    <w:rsid w:val="00231836"/>
    <w:rsid w:val="00231BF0"/>
    <w:rsid w:val="0023282E"/>
    <w:rsid w:val="0023359F"/>
    <w:rsid w:val="00233986"/>
    <w:rsid w:val="00233ADF"/>
    <w:rsid w:val="00234005"/>
    <w:rsid w:val="0023447F"/>
    <w:rsid w:val="002345E1"/>
    <w:rsid w:val="00234903"/>
    <w:rsid w:val="00234CEA"/>
    <w:rsid w:val="002350B3"/>
    <w:rsid w:val="00237495"/>
    <w:rsid w:val="0023798E"/>
    <w:rsid w:val="00237B4D"/>
    <w:rsid w:val="00237CB7"/>
    <w:rsid w:val="00237CC2"/>
    <w:rsid w:val="00237E6A"/>
    <w:rsid w:val="002401C0"/>
    <w:rsid w:val="00240226"/>
    <w:rsid w:val="00241026"/>
    <w:rsid w:val="00241DFC"/>
    <w:rsid w:val="0024217A"/>
    <w:rsid w:val="002424F7"/>
    <w:rsid w:val="00242C4F"/>
    <w:rsid w:val="00242EE4"/>
    <w:rsid w:val="00242F21"/>
    <w:rsid w:val="00243097"/>
    <w:rsid w:val="00243A23"/>
    <w:rsid w:val="00243C33"/>
    <w:rsid w:val="00243E47"/>
    <w:rsid w:val="0024462E"/>
    <w:rsid w:val="00245457"/>
    <w:rsid w:val="00246F70"/>
    <w:rsid w:val="0024727D"/>
    <w:rsid w:val="002474FA"/>
    <w:rsid w:val="00247B51"/>
    <w:rsid w:val="00247E6D"/>
    <w:rsid w:val="0025043D"/>
    <w:rsid w:val="00250D81"/>
    <w:rsid w:val="002510A7"/>
    <w:rsid w:val="00252AA8"/>
    <w:rsid w:val="00252C5C"/>
    <w:rsid w:val="00253493"/>
    <w:rsid w:val="002538DB"/>
    <w:rsid w:val="00253A7A"/>
    <w:rsid w:val="00254144"/>
    <w:rsid w:val="002545D5"/>
    <w:rsid w:val="00255D26"/>
    <w:rsid w:val="00256272"/>
    <w:rsid w:val="00256C0E"/>
    <w:rsid w:val="00257886"/>
    <w:rsid w:val="00257AFB"/>
    <w:rsid w:val="00257D49"/>
    <w:rsid w:val="00261254"/>
    <w:rsid w:val="0026293D"/>
    <w:rsid w:val="00262A87"/>
    <w:rsid w:val="00262B4C"/>
    <w:rsid w:val="00263595"/>
    <w:rsid w:val="00263BC2"/>
    <w:rsid w:val="002649D8"/>
    <w:rsid w:val="0026541F"/>
    <w:rsid w:val="00265982"/>
    <w:rsid w:val="00265B4A"/>
    <w:rsid w:val="00265FD4"/>
    <w:rsid w:val="002671A5"/>
    <w:rsid w:val="00267CB3"/>
    <w:rsid w:val="00270154"/>
    <w:rsid w:val="00271C04"/>
    <w:rsid w:val="00271F70"/>
    <w:rsid w:val="00273B2A"/>
    <w:rsid w:val="0027408B"/>
    <w:rsid w:val="00274130"/>
    <w:rsid w:val="00274E76"/>
    <w:rsid w:val="00275EEE"/>
    <w:rsid w:val="00276B56"/>
    <w:rsid w:val="00277089"/>
    <w:rsid w:val="002772E6"/>
    <w:rsid w:val="002779E3"/>
    <w:rsid w:val="00277EFF"/>
    <w:rsid w:val="002807D2"/>
    <w:rsid w:val="00280921"/>
    <w:rsid w:val="00280B5B"/>
    <w:rsid w:val="00280F46"/>
    <w:rsid w:val="002819FD"/>
    <w:rsid w:val="00281C60"/>
    <w:rsid w:val="00282314"/>
    <w:rsid w:val="00282566"/>
    <w:rsid w:val="002825F9"/>
    <w:rsid w:val="00282B7F"/>
    <w:rsid w:val="00282BA9"/>
    <w:rsid w:val="0028371E"/>
    <w:rsid w:val="0028514C"/>
    <w:rsid w:val="0028583A"/>
    <w:rsid w:val="00285865"/>
    <w:rsid w:val="00285EA8"/>
    <w:rsid w:val="00286161"/>
    <w:rsid w:val="00286EC9"/>
    <w:rsid w:val="00287368"/>
    <w:rsid w:val="00287873"/>
    <w:rsid w:val="002904F3"/>
    <w:rsid w:val="00290BD8"/>
    <w:rsid w:val="002916CC"/>
    <w:rsid w:val="0029241F"/>
    <w:rsid w:val="0029278C"/>
    <w:rsid w:val="00292DAC"/>
    <w:rsid w:val="00292E65"/>
    <w:rsid w:val="00294695"/>
    <w:rsid w:val="00295128"/>
    <w:rsid w:val="0029554D"/>
    <w:rsid w:val="0029678E"/>
    <w:rsid w:val="0029697C"/>
    <w:rsid w:val="00296CAC"/>
    <w:rsid w:val="002979F1"/>
    <w:rsid w:val="00297BD1"/>
    <w:rsid w:val="002A01AD"/>
    <w:rsid w:val="002A0659"/>
    <w:rsid w:val="002A13E1"/>
    <w:rsid w:val="002A17B6"/>
    <w:rsid w:val="002A19DA"/>
    <w:rsid w:val="002A1BC9"/>
    <w:rsid w:val="002A3248"/>
    <w:rsid w:val="002A51C7"/>
    <w:rsid w:val="002A5623"/>
    <w:rsid w:val="002A5852"/>
    <w:rsid w:val="002A6337"/>
    <w:rsid w:val="002A647A"/>
    <w:rsid w:val="002A6DB5"/>
    <w:rsid w:val="002A776F"/>
    <w:rsid w:val="002B0846"/>
    <w:rsid w:val="002B123E"/>
    <w:rsid w:val="002B1304"/>
    <w:rsid w:val="002B135F"/>
    <w:rsid w:val="002B1A9C"/>
    <w:rsid w:val="002B2180"/>
    <w:rsid w:val="002B285B"/>
    <w:rsid w:val="002B370F"/>
    <w:rsid w:val="002B5EF3"/>
    <w:rsid w:val="002B66A1"/>
    <w:rsid w:val="002B7C09"/>
    <w:rsid w:val="002C01ED"/>
    <w:rsid w:val="002C0386"/>
    <w:rsid w:val="002C0782"/>
    <w:rsid w:val="002C124F"/>
    <w:rsid w:val="002C1994"/>
    <w:rsid w:val="002C29AD"/>
    <w:rsid w:val="002C4175"/>
    <w:rsid w:val="002C507B"/>
    <w:rsid w:val="002C5101"/>
    <w:rsid w:val="002C5194"/>
    <w:rsid w:val="002C5981"/>
    <w:rsid w:val="002C6650"/>
    <w:rsid w:val="002D0410"/>
    <w:rsid w:val="002D0899"/>
    <w:rsid w:val="002D08CB"/>
    <w:rsid w:val="002D0E6E"/>
    <w:rsid w:val="002D1707"/>
    <w:rsid w:val="002D17E2"/>
    <w:rsid w:val="002D1822"/>
    <w:rsid w:val="002D1ECF"/>
    <w:rsid w:val="002D1F36"/>
    <w:rsid w:val="002D278E"/>
    <w:rsid w:val="002D2B61"/>
    <w:rsid w:val="002D3F5B"/>
    <w:rsid w:val="002D44FB"/>
    <w:rsid w:val="002D497B"/>
    <w:rsid w:val="002D5915"/>
    <w:rsid w:val="002D59D9"/>
    <w:rsid w:val="002D6407"/>
    <w:rsid w:val="002D66D0"/>
    <w:rsid w:val="002D6A89"/>
    <w:rsid w:val="002D7443"/>
    <w:rsid w:val="002D7482"/>
    <w:rsid w:val="002D7695"/>
    <w:rsid w:val="002D7EE6"/>
    <w:rsid w:val="002E0EC8"/>
    <w:rsid w:val="002E1B97"/>
    <w:rsid w:val="002E22CE"/>
    <w:rsid w:val="002E278F"/>
    <w:rsid w:val="002E2EB8"/>
    <w:rsid w:val="002E3661"/>
    <w:rsid w:val="002E39BF"/>
    <w:rsid w:val="002E3B4D"/>
    <w:rsid w:val="002E3FB2"/>
    <w:rsid w:val="002E41FC"/>
    <w:rsid w:val="002E43F1"/>
    <w:rsid w:val="002E45A1"/>
    <w:rsid w:val="002E554D"/>
    <w:rsid w:val="002E5C83"/>
    <w:rsid w:val="002E691A"/>
    <w:rsid w:val="002E694D"/>
    <w:rsid w:val="002E7850"/>
    <w:rsid w:val="002E7AD5"/>
    <w:rsid w:val="002F0522"/>
    <w:rsid w:val="002F0734"/>
    <w:rsid w:val="002F0AE0"/>
    <w:rsid w:val="002F0D03"/>
    <w:rsid w:val="002F1861"/>
    <w:rsid w:val="002F18ED"/>
    <w:rsid w:val="002F1ECF"/>
    <w:rsid w:val="002F2DD9"/>
    <w:rsid w:val="002F2FF8"/>
    <w:rsid w:val="002F32C6"/>
    <w:rsid w:val="002F33BB"/>
    <w:rsid w:val="002F5887"/>
    <w:rsid w:val="002F5A3E"/>
    <w:rsid w:val="002F5AE2"/>
    <w:rsid w:val="003003D2"/>
    <w:rsid w:val="00300644"/>
    <w:rsid w:val="00300F54"/>
    <w:rsid w:val="003018F6"/>
    <w:rsid w:val="00301975"/>
    <w:rsid w:val="00301AE7"/>
    <w:rsid w:val="00301DD4"/>
    <w:rsid w:val="003028FB"/>
    <w:rsid w:val="00303753"/>
    <w:rsid w:val="00303ACB"/>
    <w:rsid w:val="00303B94"/>
    <w:rsid w:val="00304DE6"/>
    <w:rsid w:val="003051D1"/>
    <w:rsid w:val="0030542C"/>
    <w:rsid w:val="00305A02"/>
    <w:rsid w:val="00305F32"/>
    <w:rsid w:val="00306328"/>
    <w:rsid w:val="0030694C"/>
    <w:rsid w:val="00306A62"/>
    <w:rsid w:val="00306CE5"/>
    <w:rsid w:val="00310418"/>
    <w:rsid w:val="00310951"/>
    <w:rsid w:val="00311647"/>
    <w:rsid w:val="003120E5"/>
    <w:rsid w:val="00312DEE"/>
    <w:rsid w:val="00312FFC"/>
    <w:rsid w:val="00313D96"/>
    <w:rsid w:val="00314705"/>
    <w:rsid w:val="00314B0E"/>
    <w:rsid w:val="00314CEE"/>
    <w:rsid w:val="003150BF"/>
    <w:rsid w:val="003150CE"/>
    <w:rsid w:val="003155D2"/>
    <w:rsid w:val="00315A10"/>
    <w:rsid w:val="00315E92"/>
    <w:rsid w:val="003161F6"/>
    <w:rsid w:val="00316988"/>
    <w:rsid w:val="00316D18"/>
    <w:rsid w:val="0032105E"/>
    <w:rsid w:val="003212CC"/>
    <w:rsid w:val="00323B9E"/>
    <w:rsid w:val="00324755"/>
    <w:rsid w:val="00324EE3"/>
    <w:rsid w:val="00325C75"/>
    <w:rsid w:val="00326A0A"/>
    <w:rsid w:val="00326CEC"/>
    <w:rsid w:val="0032700B"/>
    <w:rsid w:val="00327069"/>
    <w:rsid w:val="00327AA6"/>
    <w:rsid w:val="00330804"/>
    <w:rsid w:val="0033095C"/>
    <w:rsid w:val="00331F7C"/>
    <w:rsid w:val="0033372C"/>
    <w:rsid w:val="00334052"/>
    <w:rsid w:val="00334786"/>
    <w:rsid w:val="0033490F"/>
    <w:rsid w:val="00334A6B"/>
    <w:rsid w:val="003366B2"/>
    <w:rsid w:val="003366E6"/>
    <w:rsid w:val="00336A97"/>
    <w:rsid w:val="003371DE"/>
    <w:rsid w:val="00337663"/>
    <w:rsid w:val="00340066"/>
    <w:rsid w:val="00340690"/>
    <w:rsid w:val="00342203"/>
    <w:rsid w:val="0034288B"/>
    <w:rsid w:val="003429A7"/>
    <w:rsid w:val="0034332B"/>
    <w:rsid w:val="00343706"/>
    <w:rsid w:val="00343952"/>
    <w:rsid w:val="00344B12"/>
    <w:rsid w:val="003454B3"/>
    <w:rsid w:val="0034681C"/>
    <w:rsid w:val="00346A95"/>
    <w:rsid w:val="003505B5"/>
    <w:rsid w:val="00351044"/>
    <w:rsid w:val="00351117"/>
    <w:rsid w:val="003515A6"/>
    <w:rsid w:val="00351C10"/>
    <w:rsid w:val="00351DD5"/>
    <w:rsid w:val="0035283C"/>
    <w:rsid w:val="00355BEA"/>
    <w:rsid w:val="00355C1B"/>
    <w:rsid w:val="00357680"/>
    <w:rsid w:val="0035788C"/>
    <w:rsid w:val="003600A8"/>
    <w:rsid w:val="00360693"/>
    <w:rsid w:val="00360F35"/>
    <w:rsid w:val="003616A2"/>
    <w:rsid w:val="00362650"/>
    <w:rsid w:val="00362AC4"/>
    <w:rsid w:val="003638F1"/>
    <w:rsid w:val="00363EC6"/>
    <w:rsid w:val="00365316"/>
    <w:rsid w:val="00366379"/>
    <w:rsid w:val="003664CC"/>
    <w:rsid w:val="00366524"/>
    <w:rsid w:val="00367228"/>
    <w:rsid w:val="00367746"/>
    <w:rsid w:val="00371A9E"/>
    <w:rsid w:val="00371B20"/>
    <w:rsid w:val="00372B39"/>
    <w:rsid w:val="00372D6A"/>
    <w:rsid w:val="00373019"/>
    <w:rsid w:val="00373087"/>
    <w:rsid w:val="003733BF"/>
    <w:rsid w:val="00373633"/>
    <w:rsid w:val="003738D9"/>
    <w:rsid w:val="003738ED"/>
    <w:rsid w:val="00373E58"/>
    <w:rsid w:val="00376073"/>
    <w:rsid w:val="00377452"/>
    <w:rsid w:val="0037760E"/>
    <w:rsid w:val="00377A40"/>
    <w:rsid w:val="00377BE9"/>
    <w:rsid w:val="00380151"/>
    <w:rsid w:val="003801A9"/>
    <w:rsid w:val="0038025B"/>
    <w:rsid w:val="00380F20"/>
    <w:rsid w:val="00381223"/>
    <w:rsid w:val="003817E3"/>
    <w:rsid w:val="00381849"/>
    <w:rsid w:val="00381BE5"/>
    <w:rsid w:val="003822C7"/>
    <w:rsid w:val="003823A0"/>
    <w:rsid w:val="0038244E"/>
    <w:rsid w:val="00382827"/>
    <w:rsid w:val="00382CF2"/>
    <w:rsid w:val="00382E24"/>
    <w:rsid w:val="0038325E"/>
    <w:rsid w:val="00383288"/>
    <w:rsid w:val="00383902"/>
    <w:rsid w:val="00384F36"/>
    <w:rsid w:val="00385271"/>
    <w:rsid w:val="00385D8B"/>
    <w:rsid w:val="003863B0"/>
    <w:rsid w:val="003867D7"/>
    <w:rsid w:val="003874D9"/>
    <w:rsid w:val="0039003E"/>
    <w:rsid w:val="003900BE"/>
    <w:rsid w:val="00390361"/>
    <w:rsid w:val="00391511"/>
    <w:rsid w:val="0039165D"/>
    <w:rsid w:val="00391A67"/>
    <w:rsid w:val="0039226E"/>
    <w:rsid w:val="00392801"/>
    <w:rsid w:val="00392CC8"/>
    <w:rsid w:val="0039320A"/>
    <w:rsid w:val="00394B50"/>
    <w:rsid w:val="00394C7E"/>
    <w:rsid w:val="00396732"/>
    <w:rsid w:val="00396FC6"/>
    <w:rsid w:val="00397064"/>
    <w:rsid w:val="00397324"/>
    <w:rsid w:val="003A0029"/>
    <w:rsid w:val="003A2017"/>
    <w:rsid w:val="003A204F"/>
    <w:rsid w:val="003A23AB"/>
    <w:rsid w:val="003A3606"/>
    <w:rsid w:val="003A3E81"/>
    <w:rsid w:val="003A48CC"/>
    <w:rsid w:val="003A4C2F"/>
    <w:rsid w:val="003A523D"/>
    <w:rsid w:val="003A562F"/>
    <w:rsid w:val="003A657B"/>
    <w:rsid w:val="003A66C0"/>
    <w:rsid w:val="003A6F7F"/>
    <w:rsid w:val="003A72EF"/>
    <w:rsid w:val="003A743F"/>
    <w:rsid w:val="003B06CB"/>
    <w:rsid w:val="003B0A60"/>
    <w:rsid w:val="003B129C"/>
    <w:rsid w:val="003B2800"/>
    <w:rsid w:val="003B2DC0"/>
    <w:rsid w:val="003B4EED"/>
    <w:rsid w:val="003B565D"/>
    <w:rsid w:val="003B5FF4"/>
    <w:rsid w:val="003B6B2C"/>
    <w:rsid w:val="003B7261"/>
    <w:rsid w:val="003B7B26"/>
    <w:rsid w:val="003C08E7"/>
    <w:rsid w:val="003C10EC"/>
    <w:rsid w:val="003C1151"/>
    <w:rsid w:val="003C1D9C"/>
    <w:rsid w:val="003C2056"/>
    <w:rsid w:val="003C266A"/>
    <w:rsid w:val="003C313B"/>
    <w:rsid w:val="003C3F45"/>
    <w:rsid w:val="003C4021"/>
    <w:rsid w:val="003C444C"/>
    <w:rsid w:val="003C4BE0"/>
    <w:rsid w:val="003C5339"/>
    <w:rsid w:val="003C5364"/>
    <w:rsid w:val="003C58C7"/>
    <w:rsid w:val="003C602A"/>
    <w:rsid w:val="003C63F9"/>
    <w:rsid w:val="003D1759"/>
    <w:rsid w:val="003D1896"/>
    <w:rsid w:val="003D1A07"/>
    <w:rsid w:val="003D26D0"/>
    <w:rsid w:val="003D2B41"/>
    <w:rsid w:val="003D3B14"/>
    <w:rsid w:val="003D3F4D"/>
    <w:rsid w:val="003D444E"/>
    <w:rsid w:val="003D45E1"/>
    <w:rsid w:val="003D50C9"/>
    <w:rsid w:val="003D50DD"/>
    <w:rsid w:val="003D5AEC"/>
    <w:rsid w:val="003D5B1B"/>
    <w:rsid w:val="003D6176"/>
    <w:rsid w:val="003D62F7"/>
    <w:rsid w:val="003D6F11"/>
    <w:rsid w:val="003D71D1"/>
    <w:rsid w:val="003D7FE9"/>
    <w:rsid w:val="003E02B3"/>
    <w:rsid w:val="003E1035"/>
    <w:rsid w:val="003E1069"/>
    <w:rsid w:val="003E17F2"/>
    <w:rsid w:val="003E19F7"/>
    <w:rsid w:val="003E1EB2"/>
    <w:rsid w:val="003E1FCB"/>
    <w:rsid w:val="003E349E"/>
    <w:rsid w:val="003E34FB"/>
    <w:rsid w:val="003E38CE"/>
    <w:rsid w:val="003E3B0E"/>
    <w:rsid w:val="003E3E52"/>
    <w:rsid w:val="003E40E2"/>
    <w:rsid w:val="003E473D"/>
    <w:rsid w:val="003E492C"/>
    <w:rsid w:val="003E5300"/>
    <w:rsid w:val="003E54DA"/>
    <w:rsid w:val="003E557B"/>
    <w:rsid w:val="003E5644"/>
    <w:rsid w:val="003E5D61"/>
    <w:rsid w:val="003E6123"/>
    <w:rsid w:val="003E710D"/>
    <w:rsid w:val="003E7694"/>
    <w:rsid w:val="003E7A9C"/>
    <w:rsid w:val="003F18E9"/>
    <w:rsid w:val="003F1D2E"/>
    <w:rsid w:val="003F1E82"/>
    <w:rsid w:val="003F299D"/>
    <w:rsid w:val="003F328F"/>
    <w:rsid w:val="003F41B8"/>
    <w:rsid w:val="003F44EB"/>
    <w:rsid w:val="003F4925"/>
    <w:rsid w:val="003F51CC"/>
    <w:rsid w:val="003F5234"/>
    <w:rsid w:val="003F531A"/>
    <w:rsid w:val="003F5759"/>
    <w:rsid w:val="003F628B"/>
    <w:rsid w:val="003F6C9A"/>
    <w:rsid w:val="003F7386"/>
    <w:rsid w:val="003F7C9E"/>
    <w:rsid w:val="003F7D55"/>
    <w:rsid w:val="004007B9"/>
    <w:rsid w:val="00400CF2"/>
    <w:rsid w:val="00400E78"/>
    <w:rsid w:val="00401A99"/>
    <w:rsid w:val="0040214F"/>
    <w:rsid w:val="004025E8"/>
    <w:rsid w:val="00402768"/>
    <w:rsid w:val="0040298F"/>
    <w:rsid w:val="00402B81"/>
    <w:rsid w:val="00402D2E"/>
    <w:rsid w:val="0040313C"/>
    <w:rsid w:val="004037E6"/>
    <w:rsid w:val="00404C36"/>
    <w:rsid w:val="00406E84"/>
    <w:rsid w:val="00406F38"/>
    <w:rsid w:val="00406F4C"/>
    <w:rsid w:val="00410309"/>
    <w:rsid w:val="004104B5"/>
    <w:rsid w:val="004107CA"/>
    <w:rsid w:val="004111BC"/>
    <w:rsid w:val="004114C0"/>
    <w:rsid w:val="004114CB"/>
    <w:rsid w:val="00411C6F"/>
    <w:rsid w:val="00411D03"/>
    <w:rsid w:val="00411DB0"/>
    <w:rsid w:val="004124AA"/>
    <w:rsid w:val="004125F4"/>
    <w:rsid w:val="004126D4"/>
    <w:rsid w:val="00412C82"/>
    <w:rsid w:val="00413496"/>
    <w:rsid w:val="0041363C"/>
    <w:rsid w:val="00414703"/>
    <w:rsid w:val="00415D2B"/>
    <w:rsid w:val="0041693B"/>
    <w:rsid w:val="00416C0A"/>
    <w:rsid w:val="00417975"/>
    <w:rsid w:val="00420B59"/>
    <w:rsid w:val="00421941"/>
    <w:rsid w:val="004223FF"/>
    <w:rsid w:val="004226B0"/>
    <w:rsid w:val="00422B70"/>
    <w:rsid w:val="00422EE2"/>
    <w:rsid w:val="00423BE9"/>
    <w:rsid w:val="00423C2B"/>
    <w:rsid w:val="00424A51"/>
    <w:rsid w:val="00424DE2"/>
    <w:rsid w:val="004266B0"/>
    <w:rsid w:val="00430683"/>
    <w:rsid w:val="0043110B"/>
    <w:rsid w:val="00431375"/>
    <w:rsid w:val="00431ACC"/>
    <w:rsid w:val="00431FC1"/>
    <w:rsid w:val="004323EF"/>
    <w:rsid w:val="00432528"/>
    <w:rsid w:val="00432836"/>
    <w:rsid w:val="00432F85"/>
    <w:rsid w:val="004336FD"/>
    <w:rsid w:val="004339B9"/>
    <w:rsid w:val="004345FC"/>
    <w:rsid w:val="00434644"/>
    <w:rsid w:val="00434B59"/>
    <w:rsid w:val="00434D0F"/>
    <w:rsid w:val="00435F89"/>
    <w:rsid w:val="004373D1"/>
    <w:rsid w:val="0043778D"/>
    <w:rsid w:val="00437FCA"/>
    <w:rsid w:val="00441498"/>
    <w:rsid w:val="004417F8"/>
    <w:rsid w:val="00442209"/>
    <w:rsid w:val="004423C3"/>
    <w:rsid w:val="004428CF"/>
    <w:rsid w:val="00442EE6"/>
    <w:rsid w:val="0044317C"/>
    <w:rsid w:val="00443311"/>
    <w:rsid w:val="004437C4"/>
    <w:rsid w:val="00443C2C"/>
    <w:rsid w:val="004454C2"/>
    <w:rsid w:val="00447347"/>
    <w:rsid w:val="00447F33"/>
    <w:rsid w:val="004504E7"/>
    <w:rsid w:val="00450542"/>
    <w:rsid w:val="00450A27"/>
    <w:rsid w:val="00451EC2"/>
    <w:rsid w:val="00452487"/>
    <w:rsid w:val="00453E25"/>
    <w:rsid w:val="004541B2"/>
    <w:rsid w:val="00454580"/>
    <w:rsid w:val="00454AEC"/>
    <w:rsid w:val="00456296"/>
    <w:rsid w:val="00457459"/>
    <w:rsid w:val="00457D11"/>
    <w:rsid w:val="00457EDF"/>
    <w:rsid w:val="004602D6"/>
    <w:rsid w:val="004613EE"/>
    <w:rsid w:val="00461FC1"/>
    <w:rsid w:val="00462D25"/>
    <w:rsid w:val="00463357"/>
    <w:rsid w:val="00463489"/>
    <w:rsid w:val="00463A04"/>
    <w:rsid w:val="00464357"/>
    <w:rsid w:val="00465255"/>
    <w:rsid w:val="00466AB4"/>
    <w:rsid w:val="00467B31"/>
    <w:rsid w:val="004700F8"/>
    <w:rsid w:val="00470E53"/>
    <w:rsid w:val="00471568"/>
    <w:rsid w:val="00471818"/>
    <w:rsid w:val="004723FF"/>
    <w:rsid w:val="004725FD"/>
    <w:rsid w:val="00472ECA"/>
    <w:rsid w:val="00473718"/>
    <w:rsid w:val="00473869"/>
    <w:rsid w:val="0047410E"/>
    <w:rsid w:val="00474D60"/>
    <w:rsid w:val="00476035"/>
    <w:rsid w:val="00476281"/>
    <w:rsid w:val="00476AFC"/>
    <w:rsid w:val="00477B5C"/>
    <w:rsid w:val="0048054A"/>
    <w:rsid w:val="004807F2"/>
    <w:rsid w:val="00480CC9"/>
    <w:rsid w:val="00481779"/>
    <w:rsid w:val="004818E8"/>
    <w:rsid w:val="00481909"/>
    <w:rsid w:val="00482F67"/>
    <w:rsid w:val="00482FD9"/>
    <w:rsid w:val="00483006"/>
    <w:rsid w:val="00484009"/>
    <w:rsid w:val="00484198"/>
    <w:rsid w:val="0048451E"/>
    <w:rsid w:val="00484637"/>
    <w:rsid w:val="00484915"/>
    <w:rsid w:val="00485961"/>
    <w:rsid w:val="00485C49"/>
    <w:rsid w:val="00485DA0"/>
    <w:rsid w:val="004867F0"/>
    <w:rsid w:val="00486CE9"/>
    <w:rsid w:val="00487387"/>
    <w:rsid w:val="00487EDA"/>
    <w:rsid w:val="004906FC"/>
    <w:rsid w:val="004912B0"/>
    <w:rsid w:val="00491560"/>
    <w:rsid w:val="004919FD"/>
    <w:rsid w:val="00493E88"/>
    <w:rsid w:val="004941B1"/>
    <w:rsid w:val="004943FB"/>
    <w:rsid w:val="00494C7F"/>
    <w:rsid w:val="00495273"/>
    <w:rsid w:val="00495E17"/>
    <w:rsid w:val="00496E63"/>
    <w:rsid w:val="0049784D"/>
    <w:rsid w:val="004A05BB"/>
    <w:rsid w:val="004A132C"/>
    <w:rsid w:val="004A192D"/>
    <w:rsid w:val="004A2A7F"/>
    <w:rsid w:val="004A4B2F"/>
    <w:rsid w:val="004A67C7"/>
    <w:rsid w:val="004A7695"/>
    <w:rsid w:val="004A79C1"/>
    <w:rsid w:val="004B04C1"/>
    <w:rsid w:val="004B0555"/>
    <w:rsid w:val="004B0C8E"/>
    <w:rsid w:val="004B26D9"/>
    <w:rsid w:val="004B2C5E"/>
    <w:rsid w:val="004B2EFA"/>
    <w:rsid w:val="004B37DA"/>
    <w:rsid w:val="004B5332"/>
    <w:rsid w:val="004B5DFA"/>
    <w:rsid w:val="004B62C7"/>
    <w:rsid w:val="004B69B8"/>
    <w:rsid w:val="004B774B"/>
    <w:rsid w:val="004C0216"/>
    <w:rsid w:val="004C1339"/>
    <w:rsid w:val="004C148C"/>
    <w:rsid w:val="004C1AEC"/>
    <w:rsid w:val="004C1B6B"/>
    <w:rsid w:val="004C3593"/>
    <w:rsid w:val="004C43DB"/>
    <w:rsid w:val="004C4629"/>
    <w:rsid w:val="004C4A77"/>
    <w:rsid w:val="004C4B4D"/>
    <w:rsid w:val="004C4B71"/>
    <w:rsid w:val="004C64D3"/>
    <w:rsid w:val="004C7315"/>
    <w:rsid w:val="004D087E"/>
    <w:rsid w:val="004D0DFF"/>
    <w:rsid w:val="004D19DB"/>
    <w:rsid w:val="004D1D53"/>
    <w:rsid w:val="004D1E88"/>
    <w:rsid w:val="004D235F"/>
    <w:rsid w:val="004D275B"/>
    <w:rsid w:val="004D2938"/>
    <w:rsid w:val="004D31BB"/>
    <w:rsid w:val="004D3CD7"/>
    <w:rsid w:val="004D43CB"/>
    <w:rsid w:val="004D43F0"/>
    <w:rsid w:val="004D58DE"/>
    <w:rsid w:val="004D5C5D"/>
    <w:rsid w:val="004D63E2"/>
    <w:rsid w:val="004D662A"/>
    <w:rsid w:val="004D6986"/>
    <w:rsid w:val="004D7588"/>
    <w:rsid w:val="004E0173"/>
    <w:rsid w:val="004E095E"/>
    <w:rsid w:val="004E0D8A"/>
    <w:rsid w:val="004E0F7E"/>
    <w:rsid w:val="004E20BF"/>
    <w:rsid w:val="004E2407"/>
    <w:rsid w:val="004E2641"/>
    <w:rsid w:val="004E3982"/>
    <w:rsid w:val="004E3F30"/>
    <w:rsid w:val="004E4245"/>
    <w:rsid w:val="004E46F8"/>
    <w:rsid w:val="004E4A93"/>
    <w:rsid w:val="004E50C8"/>
    <w:rsid w:val="004E5726"/>
    <w:rsid w:val="004E5834"/>
    <w:rsid w:val="004E653E"/>
    <w:rsid w:val="004E65F5"/>
    <w:rsid w:val="004E72F8"/>
    <w:rsid w:val="004F14A1"/>
    <w:rsid w:val="004F18A0"/>
    <w:rsid w:val="004F2727"/>
    <w:rsid w:val="004F2D77"/>
    <w:rsid w:val="004F380C"/>
    <w:rsid w:val="004F3E28"/>
    <w:rsid w:val="004F4DA5"/>
    <w:rsid w:val="004F621F"/>
    <w:rsid w:val="004F7896"/>
    <w:rsid w:val="005001A2"/>
    <w:rsid w:val="00500AEF"/>
    <w:rsid w:val="0050114A"/>
    <w:rsid w:val="005013D8"/>
    <w:rsid w:val="0050240B"/>
    <w:rsid w:val="0050274C"/>
    <w:rsid w:val="00502EAE"/>
    <w:rsid w:val="00503345"/>
    <w:rsid w:val="0050367B"/>
    <w:rsid w:val="00503A1B"/>
    <w:rsid w:val="00503C50"/>
    <w:rsid w:val="00504087"/>
    <w:rsid w:val="00504507"/>
    <w:rsid w:val="005045B5"/>
    <w:rsid w:val="0050500F"/>
    <w:rsid w:val="00505279"/>
    <w:rsid w:val="00505DA2"/>
    <w:rsid w:val="005063E1"/>
    <w:rsid w:val="00506494"/>
    <w:rsid w:val="005064EA"/>
    <w:rsid w:val="00507567"/>
    <w:rsid w:val="00507CC5"/>
    <w:rsid w:val="005101F8"/>
    <w:rsid w:val="00511F13"/>
    <w:rsid w:val="00511F3A"/>
    <w:rsid w:val="0051238F"/>
    <w:rsid w:val="005127DD"/>
    <w:rsid w:val="00512E28"/>
    <w:rsid w:val="00514CDF"/>
    <w:rsid w:val="0051518D"/>
    <w:rsid w:val="005157C9"/>
    <w:rsid w:val="00515986"/>
    <w:rsid w:val="00516BBB"/>
    <w:rsid w:val="00517092"/>
    <w:rsid w:val="00520EC4"/>
    <w:rsid w:val="00522402"/>
    <w:rsid w:val="0052252A"/>
    <w:rsid w:val="00522B8D"/>
    <w:rsid w:val="00523A4E"/>
    <w:rsid w:val="00523E83"/>
    <w:rsid w:val="005248BB"/>
    <w:rsid w:val="005249E0"/>
    <w:rsid w:val="00525731"/>
    <w:rsid w:val="00525817"/>
    <w:rsid w:val="00525DEC"/>
    <w:rsid w:val="00525F2C"/>
    <w:rsid w:val="00525FE6"/>
    <w:rsid w:val="005265E0"/>
    <w:rsid w:val="005276EF"/>
    <w:rsid w:val="0052788A"/>
    <w:rsid w:val="00530157"/>
    <w:rsid w:val="005308A5"/>
    <w:rsid w:val="00531238"/>
    <w:rsid w:val="005312A3"/>
    <w:rsid w:val="005314E9"/>
    <w:rsid w:val="00531723"/>
    <w:rsid w:val="0053275E"/>
    <w:rsid w:val="00532AC3"/>
    <w:rsid w:val="00532F74"/>
    <w:rsid w:val="0053324F"/>
    <w:rsid w:val="005337C7"/>
    <w:rsid w:val="005344A3"/>
    <w:rsid w:val="0053470B"/>
    <w:rsid w:val="00535601"/>
    <w:rsid w:val="00535AF0"/>
    <w:rsid w:val="0054078A"/>
    <w:rsid w:val="00540E5B"/>
    <w:rsid w:val="00540E63"/>
    <w:rsid w:val="00541988"/>
    <w:rsid w:val="00541EF9"/>
    <w:rsid w:val="005431CF"/>
    <w:rsid w:val="00543919"/>
    <w:rsid w:val="00543D0A"/>
    <w:rsid w:val="00544230"/>
    <w:rsid w:val="005442D4"/>
    <w:rsid w:val="005449CD"/>
    <w:rsid w:val="005449D3"/>
    <w:rsid w:val="00544A84"/>
    <w:rsid w:val="0054518A"/>
    <w:rsid w:val="00545344"/>
    <w:rsid w:val="005454F3"/>
    <w:rsid w:val="005455E5"/>
    <w:rsid w:val="00545AAD"/>
    <w:rsid w:val="005460C1"/>
    <w:rsid w:val="00546481"/>
    <w:rsid w:val="005466E1"/>
    <w:rsid w:val="0054681B"/>
    <w:rsid w:val="00546D39"/>
    <w:rsid w:val="00546E21"/>
    <w:rsid w:val="0054779A"/>
    <w:rsid w:val="00547BA1"/>
    <w:rsid w:val="005503F2"/>
    <w:rsid w:val="00550E80"/>
    <w:rsid w:val="0055141E"/>
    <w:rsid w:val="005518D8"/>
    <w:rsid w:val="00551B54"/>
    <w:rsid w:val="005523FB"/>
    <w:rsid w:val="005534CD"/>
    <w:rsid w:val="00553D1E"/>
    <w:rsid w:val="005540BA"/>
    <w:rsid w:val="00554645"/>
    <w:rsid w:val="00554892"/>
    <w:rsid w:val="00555E15"/>
    <w:rsid w:val="00556101"/>
    <w:rsid w:val="00556105"/>
    <w:rsid w:val="00556C60"/>
    <w:rsid w:val="00556FA2"/>
    <w:rsid w:val="005572E3"/>
    <w:rsid w:val="00557CB1"/>
    <w:rsid w:val="00560893"/>
    <w:rsid w:val="0056091E"/>
    <w:rsid w:val="00561371"/>
    <w:rsid w:val="0056172D"/>
    <w:rsid w:val="00562A60"/>
    <w:rsid w:val="00562D22"/>
    <w:rsid w:val="00563024"/>
    <w:rsid w:val="005635F3"/>
    <w:rsid w:val="005637BA"/>
    <w:rsid w:val="005638EA"/>
    <w:rsid w:val="00563F88"/>
    <w:rsid w:val="0056411C"/>
    <w:rsid w:val="00564515"/>
    <w:rsid w:val="00564991"/>
    <w:rsid w:val="00565714"/>
    <w:rsid w:val="00565B4C"/>
    <w:rsid w:val="00565FAD"/>
    <w:rsid w:val="005663FF"/>
    <w:rsid w:val="005677E5"/>
    <w:rsid w:val="00567A24"/>
    <w:rsid w:val="00570D24"/>
    <w:rsid w:val="00570DB4"/>
    <w:rsid w:val="005716BC"/>
    <w:rsid w:val="00571DCD"/>
    <w:rsid w:val="0057266E"/>
    <w:rsid w:val="005747C1"/>
    <w:rsid w:val="00574C1A"/>
    <w:rsid w:val="005768B5"/>
    <w:rsid w:val="00576D77"/>
    <w:rsid w:val="0057726F"/>
    <w:rsid w:val="00577F2F"/>
    <w:rsid w:val="0058008C"/>
    <w:rsid w:val="00580EEB"/>
    <w:rsid w:val="00580FCF"/>
    <w:rsid w:val="005813CB"/>
    <w:rsid w:val="00581A1E"/>
    <w:rsid w:val="00582035"/>
    <w:rsid w:val="00583246"/>
    <w:rsid w:val="00583673"/>
    <w:rsid w:val="00583849"/>
    <w:rsid w:val="00583D08"/>
    <w:rsid w:val="00584019"/>
    <w:rsid w:val="0058446C"/>
    <w:rsid w:val="00584503"/>
    <w:rsid w:val="00584E71"/>
    <w:rsid w:val="0058548E"/>
    <w:rsid w:val="00587BE7"/>
    <w:rsid w:val="00587CBC"/>
    <w:rsid w:val="00590280"/>
    <w:rsid w:val="005903A7"/>
    <w:rsid w:val="005914FA"/>
    <w:rsid w:val="00591572"/>
    <w:rsid w:val="005917B9"/>
    <w:rsid w:val="00591E22"/>
    <w:rsid w:val="00592479"/>
    <w:rsid w:val="00592ED2"/>
    <w:rsid w:val="00593ADC"/>
    <w:rsid w:val="00593C61"/>
    <w:rsid w:val="005940C4"/>
    <w:rsid w:val="005940D2"/>
    <w:rsid w:val="00594BA4"/>
    <w:rsid w:val="00595DF1"/>
    <w:rsid w:val="00596524"/>
    <w:rsid w:val="005967E4"/>
    <w:rsid w:val="00596D61"/>
    <w:rsid w:val="00597D35"/>
    <w:rsid w:val="005A07A3"/>
    <w:rsid w:val="005A07C8"/>
    <w:rsid w:val="005A18B2"/>
    <w:rsid w:val="005A19F1"/>
    <w:rsid w:val="005A1C04"/>
    <w:rsid w:val="005A3484"/>
    <w:rsid w:val="005A35DF"/>
    <w:rsid w:val="005A3F0F"/>
    <w:rsid w:val="005A45E6"/>
    <w:rsid w:val="005A4A36"/>
    <w:rsid w:val="005A4B28"/>
    <w:rsid w:val="005A4B7D"/>
    <w:rsid w:val="005A57DA"/>
    <w:rsid w:val="005A6D6D"/>
    <w:rsid w:val="005A7264"/>
    <w:rsid w:val="005A7344"/>
    <w:rsid w:val="005B01C0"/>
    <w:rsid w:val="005B081C"/>
    <w:rsid w:val="005B1601"/>
    <w:rsid w:val="005B26E5"/>
    <w:rsid w:val="005B331F"/>
    <w:rsid w:val="005B3834"/>
    <w:rsid w:val="005B4CFC"/>
    <w:rsid w:val="005B4E2C"/>
    <w:rsid w:val="005B58B0"/>
    <w:rsid w:val="005B69DE"/>
    <w:rsid w:val="005B6F7A"/>
    <w:rsid w:val="005B7189"/>
    <w:rsid w:val="005B7E60"/>
    <w:rsid w:val="005C0298"/>
    <w:rsid w:val="005C0769"/>
    <w:rsid w:val="005C0D01"/>
    <w:rsid w:val="005C121C"/>
    <w:rsid w:val="005C201A"/>
    <w:rsid w:val="005C2128"/>
    <w:rsid w:val="005C2B2C"/>
    <w:rsid w:val="005C360A"/>
    <w:rsid w:val="005C3EF8"/>
    <w:rsid w:val="005C4E30"/>
    <w:rsid w:val="005C5C3D"/>
    <w:rsid w:val="005D1240"/>
    <w:rsid w:val="005D1AAB"/>
    <w:rsid w:val="005D221C"/>
    <w:rsid w:val="005D2A43"/>
    <w:rsid w:val="005D2E50"/>
    <w:rsid w:val="005D3847"/>
    <w:rsid w:val="005D3A06"/>
    <w:rsid w:val="005D46A3"/>
    <w:rsid w:val="005D4C7C"/>
    <w:rsid w:val="005D5652"/>
    <w:rsid w:val="005D594D"/>
    <w:rsid w:val="005D5ED6"/>
    <w:rsid w:val="005D5F7E"/>
    <w:rsid w:val="005D6669"/>
    <w:rsid w:val="005D6EA0"/>
    <w:rsid w:val="005D7145"/>
    <w:rsid w:val="005D72A7"/>
    <w:rsid w:val="005D7CA3"/>
    <w:rsid w:val="005D7D11"/>
    <w:rsid w:val="005E047C"/>
    <w:rsid w:val="005E05A1"/>
    <w:rsid w:val="005E0A59"/>
    <w:rsid w:val="005E1085"/>
    <w:rsid w:val="005E140E"/>
    <w:rsid w:val="005E1A81"/>
    <w:rsid w:val="005E1D30"/>
    <w:rsid w:val="005E3661"/>
    <w:rsid w:val="005E4786"/>
    <w:rsid w:val="005E4D11"/>
    <w:rsid w:val="005E68E3"/>
    <w:rsid w:val="005E7B36"/>
    <w:rsid w:val="005E7C6B"/>
    <w:rsid w:val="005F02E6"/>
    <w:rsid w:val="005F0355"/>
    <w:rsid w:val="005F03AF"/>
    <w:rsid w:val="005F05AC"/>
    <w:rsid w:val="005F0DA0"/>
    <w:rsid w:val="005F10F1"/>
    <w:rsid w:val="005F1911"/>
    <w:rsid w:val="005F217B"/>
    <w:rsid w:val="005F26AA"/>
    <w:rsid w:val="005F2CBA"/>
    <w:rsid w:val="005F3216"/>
    <w:rsid w:val="005F3B3E"/>
    <w:rsid w:val="005F4DFE"/>
    <w:rsid w:val="005F4EF9"/>
    <w:rsid w:val="005F5350"/>
    <w:rsid w:val="005F59FF"/>
    <w:rsid w:val="005F665C"/>
    <w:rsid w:val="005F6966"/>
    <w:rsid w:val="005F77E8"/>
    <w:rsid w:val="005F786B"/>
    <w:rsid w:val="00600379"/>
    <w:rsid w:val="0060058E"/>
    <w:rsid w:val="00600CA4"/>
    <w:rsid w:val="00600DB2"/>
    <w:rsid w:val="00600FDA"/>
    <w:rsid w:val="006015AE"/>
    <w:rsid w:val="006017B1"/>
    <w:rsid w:val="00601936"/>
    <w:rsid w:val="00602681"/>
    <w:rsid w:val="00604CAB"/>
    <w:rsid w:val="00604CC5"/>
    <w:rsid w:val="00605ACB"/>
    <w:rsid w:val="00605DE0"/>
    <w:rsid w:val="0060685F"/>
    <w:rsid w:val="0060699C"/>
    <w:rsid w:val="00606BA9"/>
    <w:rsid w:val="00607066"/>
    <w:rsid w:val="00607197"/>
    <w:rsid w:val="00607645"/>
    <w:rsid w:val="00607A16"/>
    <w:rsid w:val="006109F8"/>
    <w:rsid w:val="00610B4B"/>
    <w:rsid w:val="00611D58"/>
    <w:rsid w:val="00612441"/>
    <w:rsid w:val="006128CD"/>
    <w:rsid w:val="00612FCE"/>
    <w:rsid w:val="00613069"/>
    <w:rsid w:val="00613618"/>
    <w:rsid w:val="006147EA"/>
    <w:rsid w:val="006149E2"/>
    <w:rsid w:val="00614C4D"/>
    <w:rsid w:val="00615436"/>
    <w:rsid w:val="006157BA"/>
    <w:rsid w:val="00616159"/>
    <w:rsid w:val="00616FEB"/>
    <w:rsid w:val="006177E5"/>
    <w:rsid w:val="00620666"/>
    <w:rsid w:val="006208F0"/>
    <w:rsid w:val="00621738"/>
    <w:rsid w:val="006224FC"/>
    <w:rsid w:val="0062282E"/>
    <w:rsid w:val="00622C81"/>
    <w:rsid w:val="00623075"/>
    <w:rsid w:val="006236C4"/>
    <w:rsid w:val="00623910"/>
    <w:rsid w:val="00623B0D"/>
    <w:rsid w:val="00623F0F"/>
    <w:rsid w:val="00624959"/>
    <w:rsid w:val="00624A27"/>
    <w:rsid w:val="00624D5B"/>
    <w:rsid w:val="00624D74"/>
    <w:rsid w:val="006256FE"/>
    <w:rsid w:val="006261C0"/>
    <w:rsid w:val="006264D8"/>
    <w:rsid w:val="006264E5"/>
    <w:rsid w:val="0062716D"/>
    <w:rsid w:val="00627A66"/>
    <w:rsid w:val="00627AF2"/>
    <w:rsid w:val="00627B1C"/>
    <w:rsid w:val="00630931"/>
    <w:rsid w:val="00631691"/>
    <w:rsid w:val="00632877"/>
    <w:rsid w:val="00632CB0"/>
    <w:rsid w:val="00632F94"/>
    <w:rsid w:val="006333CE"/>
    <w:rsid w:val="00634F53"/>
    <w:rsid w:val="006351E7"/>
    <w:rsid w:val="006359A2"/>
    <w:rsid w:val="00635BDB"/>
    <w:rsid w:val="0063632F"/>
    <w:rsid w:val="0063741C"/>
    <w:rsid w:val="00637B8F"/>
    <w:rsid w:val="006406D6"/>
    <w:rsid w:val="0064349B"/>
    <w:rsid w:val="00643D21"/>
    <w:rsid w:val="006462E2"/>
    <w:rsid w:val="00646BC4"/>
    <w:rsid w:val="00647B5C"/>
    <w:rsid w:val="006503FD"/>
    <w:rsid w:val="00650C56"/>
    <w:rsid w:val="00650E8B"/>
    <w:rsid w:val="00650ED7"/>
    <w:rsid w:val="00650F34"/>
    <w:rsid w:val="006518D3"/>
    <w:rsid w:val="0065254C"/>
    <w:rsid w:val="006525AB"/>
    <w:rsid w:val="00652858"/>
    <w:rsid w:val="00654CE5"/>
    <w:rsid w:val="006551BB"/>
    <w:rsid w:val="006558DC"/>
    <w:rsid w:val="00655D92"/>
    <w:rsid w:val="00655F45"/>
    <w:rsid w:val="00656A83"/>
    <w:rsid w:val="00656B27"/>
    <w:rsid w:val="00657C66"/>
    <w:rsid w:val="00657F8B"/>
    <w:rsid w:val="006602BA"/>
    <w:rsid w:val="00660401"/>
    <w:rsid w:val="00660689"/>
    <w:rsid w:val="006618FC"/>
    <w:rsid w:val="00661A73"/>
    <w:rsid w:val="00661C0F"/>
    <w:rsid w:val="00661CF3"/>
    <w:rsid w:val="00661F9F"/>
    <w:rsid w:val="00663D00"/>
    <w:rsid w:val="00663E86"/>
    <w:rsid w:val="0066407B"/>
    <w:rsid w:val="0066428D"/>
    <w:rsid w:val="0066514C"/>
    <w:rsid w:val="006654AD"/>
    <w:rsid w:val="00665870"/>
    <w:rsid w:val="006661E6"/>
    <w:rsid w:val="00666488"/>
    <w:rsid w:val="0066651B"/>
    <w:rsid w:val="00670D68"/>
    <w:rsid w:val="00671B7E"/>
    <w:rsid w:val="00672565"/>
    <w:rsid w:val="00672CB1"/>
    <w:rsid w:val="006730AC"/>
    <w:rsid w:val="00674653"/>
    <w:rsid w:val="006748E2"/>
    <w:rsid w:val="006749BF"/>
    <w:rsid w:val="006756A9"/>
    <w:rsid w:val="00675DC3"/>
    <w:rsid w:val="006767BC"/>
    <w:rsid w:val="006800BE"/>
    <w:rsid w:val="00680FF9"/>
    <w:rsid w:val="00681034"/>
    <w:rsid w:val="00681393"/>
    <w:rsid w:val="0068177A"/>
    <w:rsid w:val="006818AF"/>
    <w:rsid w:val="00681D75"/>
    <w:rsid w:val="0068242E"/>
    <w:rsid w:val="0068285E"/>
    <w:rsid w:val="0068305A"/>
    <w:rsid w:val="00684BAF"/>
    <w:rsid w:val="00684CDA"/>
    <w:rsid w:val="00687F72"/>
    <w:rsid w:val="00690845"/>
    <w:rsid w:val="006914C4"/>
    <w:rsid w:val="0069172A"/>
    <w:rsid w:val="006925CF"/>
    <w:rsid w:val="006936F3"/>
    <w:rsid w:val="006949CE"/>
    <w:rsid w:val="006950CB"/>
    <w:rsid w:val="006954D1"/>
    <w:rsid w:val="006956A3"/>
    <w:rsid w:val="00695ACE"/>
    <w:rsid w:val="006968BB"/>
    <w:rsid w:val="00696EBB"/>
    <w:rsid w:val="006979B3"/>
    <w:rsid w:val="006A075A"/>
    <w:rsid w:val="006A0D4F"/>
    <w:rsid w:val="006A1967"/>
    <w:rsid w:val="006A1F10"/>
    <w:rsid w:val="006A424A"/>
    <w:rsid w:val="006A4385"/>
    <w:rsid w:val="006A4B18"/>
    <w:rsid w:val="006A4D4E"/>
    <w:rsid w:val="006A533C"/>
    <w:rsid w:val="006A56D3"/>
    <w:rsid w:val="006A5DC7"/>
    <w:rsid w:val="006A5F65"/>
    <w:rsid w:val="006A697C"/>
    <w:rsid w:val="006A6B53"/>
    <w:rsid w:val="006A6F12"/>
    <w:rsid w:val="006A7DDE"/>
    <w:rsid w:val="006B1065"/>
    <w:rsid w:val="006B2F9C"/>
    <w:rsid w:val="006B30BF"/>
    <w:rsid w:val="006B30F9"/>
    <w:rsid w:val="006B3D12"/>
    <w:rsid w:val="006B44B7"/>
    <w:rsid w:val="006B469C"/>
    <w:rsid w:val="006B5597"/>
    <w:rsid w:val="006B5643"/>
    <w:rsid w:val="006B5F4F"/>
    <w:rsid w:val="006B5F69"/>
    <w:rsid w:val="006B61FD"/>
    <w:rsid w:val="006B630A"/>
    <w:rsid w:val="006B6782"/>
    <w:rsid w:val="006B69A5"/>
    <w:rsid w:val="006B6F29"/>
    <w:rsid w:val="006B7004"/>
    <w:rsid w:val="006C03C0"/>
    <w:rsid w:val="006C09E9"/>
    <w:rsid w:val="006C1577"/>
    <w:rsid w:val="006C22C8"/>
    <w:rsid w:val="006C4082"/>
    <w:rsid w:val="006C4B49"/>
    <w:rsid w:val="006C4D12"/>
    <w:rsid w:val="006C58CB"/>
    <w:rsid w:val="006C5ACD"/>
    <w:rsid w:val="006C6300"/>
    <w:rsid w:val="006C63AD"/>
    <w:rsid w:val="006C7271"/>
    <w:rsid w:val="006C72D7"/>
    <w:rsid w:val="006C7A11"/>
    <w:rsid w:val="006C7F29"/>
    <w:rsid w:val="006D0CB8"/>
    <w:rsid w:val="006D1195"/>
    <w:rsid w:val="006D1544"/>
    <w:rsid w:val="006D1A38"/>
    <w:rsid w:val="006D2279"/>
    <w:rsid w:val="006D2390"/>
    <w:rsid w:val="006D28B6"/>
    <w:rsid w:val="006D368F"/>
    <w:rsid w:val="006D36B7"/>
    <w:rsid w:val="006D38D9"/>
    <w:rsid w:val="006D3A49"/>
    <w:rsid w:val="006D689B"/>
    <w:rsid w:val="006E0093"/>
    <w:rsid w:val="006E157F"/>
    <w:rsid w:val="006E16F1"/>
    <w:rsid w:val="006E3227"/>
    <w:rsid w:val="006E3266"/>
    <w:rsid w:val="006E359B"/>
    <w:rsid w:val="006E3E0A"/>
    <w:rsid w:val="006E40BC"/>
    <w:rsid w:val="006E4AE9"/>
    <w:rsid w:val="006E676A"/>
    <w:rsid w:val="006E71C2"/>
    <w:rsid w:val="006E71D2"/>
    <w:rsid w:val="006E75BF"/>
    <w:rsid w:val="006F09B5"/>
    <w:rsid w:val="006F1349"/>
    <w:rsid w:val="006F1431"/>
    <w:rsid w:val="006F1BCC"/>
    <w:rsid w:val="006F201F"/>
    <w:rsid w:val="006F2C03"/>
    <w:rsid w:val="006F35B6"/>
    <w:rsid w:val="006F48B3"/>
    <w:rsid w:val="006F48B8"/>
    <w:rsid w:val="006F553C"/>
    <w:rsid w:val="006F5924"/>
    <w:rsid w:val="006F60A2"/>
    <w:rsid w:val="006F622C"/>
    <w:rsid w:val="006F6258"/>
    <w:rsid w:val="006F62DF"/>
    <w:rsid w:val="006F65E1"/>
    <w:rsid w:val="006F6E57"/>
    <w:rsid w:val="006F7D97"/>
    <w:rsid w:val="006F7F8E"/>
    <w:rsid w:val="00700555"/>
    <w:rsid w:val="00701133"/>
    <w:rsid w:val="007013F2"/>
    <w:rsid w:val="00701552"/>
    <w:rsid w:val="00701BEC"/>
    <w:rsid w:val="00703C88"/>
    <w:rsid w:val="007040EA"/>
    <w:rsid w:val="00704D31"/>
    <w:rsid w:val="00704FDE"/>
    <w:rsid w:val="00705024"/>
    <w:rsid w:val="007051A1"/>
    <w:rsid w:val="00705448"/>
    <w:rsid w:val="0070581D"/>
    <w:rsid w:val="00706613"/>
    <w:rsid w:val="00706BF8"/>
    <w:rsid w:val="007070E1"/>
    <w:rsid w:val="00710426"/>
    <w:rsid w:val="00710D6B"/>
    <w:rsid w:val="00712058"/>
    <w:rsid w:val="007122EC"/>
    <w:rsid w:val="00712814"/>
    <w:rsid w:val="0071303B"/>
    <w:rsid w:val="007138E6"/>
    <w:rsid w:val="00713AFC"/>
    <w:rsid w:val="00713E93"/>
    <w:rsid w:val="00714001"/>
    <w:rsid w:val="00714504"/>
    <w:rsid w:val="00714BCC"/>
    <w:rsid w:val="00714CF8"/>
    <w:rsid w:val="00714D78"/>
    <w:rsid w:val="00715D5F"/>
    <w:rsid w:val="00715E5D"/>
    <w:rsid w:val="0071742A"/>
    <w:rsid w:val="00717568"/>
    <w:rsid w:val="0071759F"/>
    <w:rsid w:val="00717678"/>
    <w:rsid w:val="00717B72"/>
    <w:rsid w:val="007209C7"/>
    <w:rsid w:val="00721CC1"/>
    <w:rsid w:val="00722FBE"/>
    <w:rsid w:val="0072302C"/>
    <w:rsid w:val="007240D5"/>
    <w:rsid w:val="00724B03"/>
    <w:rsid w:val="00724D35"/>
    <w:rsid w:val="007258F6"/>
    <w:rsid w:val="00726A2C"/>
    <w:rsid w:val="007271F2"/>
    <w:rsid w:val="007302BF"/>
    <w:rsid w:val="007303D0"/>
    <w:rsid w:val="00730E8F"/>
    <w:rsid w:val="00731667"/>
    <w:rsid w:val="00731D48"/>
    <w:rsid w:val="00732734"/>
    <w:rsid w:val="00733F6B"/>
    <w:rsid w:val="00734484"/>
    <w:rsid w:val="00735010"/>
    <w:rsid w:val="00737D5E"/>
    <w:rsid w:val="00740CF3"/>
    <w:rsid w:val="00741535"/>
    <w:rsid w:val="00741A2A"/>
    <w:rsid w:val="00742076"/>
    <w:rsid w:val="007420BF"/>
    <w:rsid w:val="00742184"/>
    <w:rsid w:val="0074288F"/>
    <w:rsid w:val="00742A41"/>
    <w:rsid w:val="00745136"/>
    <w:rsid w:val="007455EB"/>
    <w:rsid w:val="00745A15"/>
    <w:rsid w:val="00745DD2"/>
    <w:rsid w:val="00751354"/>
    <w:rsid w:val="00751ABD"/>
    <w:rsid w:val="007523BE"/>
    <w:rsid w:val="007527A9"/>
    <w:rsid w:val="00752EC6"/>
    <w:rsid w:val="00753076"/>
    <w:rsid w:val="007530EF"/>
    <w:rsid w:val="00753252"/>
    <w:rsid w:val="007537EF"/>
    <w:rsid w:val="00753904"/>
    <w:rsid w:val="00754B7C"/>
    <w:rsid w:val="00756377"/>
    <w:rsid w:val="0075641C"/>
    <w:rsid w:val="00756909"/>
    <w:rsid w:val="00756DF6"/>
    <w:rsid w:val="00756F92"/>
    <w:rsid w:val="0075703B"/>
    <w:rsid w:val="0075713D"/>
    <w:rsid w:val="0075774E"/>
    <w:rsid w:val="00757A87"/>
    <w:rsid w:val="00757EF5"/>
    <w:rsid w:val="00760D10"/>
    <w:rsid w:val="00762108"/>
    <w:rsid w:val="00762432"/>
    <w:rsid w:val="00762B02"/>
    <w:rsid w:val="00763922"/>
    <w:rsid w:val="0076396C"/>
    <w:rsid w:val="00763B83"/>
    <w:rsid w:val="00764524"/>
    <w:rsid w:val="00764D10"/>
    <w:rsid w:val="007656B7"/>
    <w:rsid w:val="00766563"/>
    <w:rsid w:val="00766C8C"/>
    <w:rsid w:val="00767C5A"/>
    <w:rsid w:val="00770539"/>
    <w:rsid w:val="007705E8"/>
    <w:rsid w:val="00770DAE"/>
    <w:rsid w:val="00770E38"/>
    <w:rsid w:val="00771302"/>
    <w:rsid w:val="00772FC5"/>
    <w:rsid w:val="007739AB"/>
    <w:rsid w:val="00773B6C"/>
    <w:rsid w:val="00774355"/>
    <w:rsid w:val="007743B1"/>
    <w:rsid w:val="007751DE"/>
    <w:rsid w:val="00775F61"/>
    <w:rsid w:val="00777B81"/>
    <w:rsid w:val="00780556"/>
    <w:rsid w:val="00780F7A"/>
    <w:rsid w:val="0078133D"/>
    <w:rsid w:val="007814F6"/>
    <w:rsid w:val="007817B8"/>
    <w:rsid w:val="00781E34"/>
    <w:rsid w:val="00782299"/>
    <w:rsid w:val="0078358B"/>
    <w:rsid w:val="007842E6"/>
    <w:rsid w:val="00784BEC"/>
    <w:rsid w:val="00784D56"/>
    <w:rsid w:val="007852EC"/>
    <w:rsid w:val="007853C5"/>
    <w:rsid w:val="007854FD"/>
    <w:rsid w:val="00785785"/>
    <w:rsid w:val="007859A5"/>
    <w:rsid w:val="00785B15"/>
    <w:rsid w:val="007878EE"/>
    <w:rsid w:val="00790808"/>
    <w:rsid w:val="00790E1D"/>
    <w:rsid w:val="007912F8"/>
    <w:rsid w:val="007918D1"/>
    <w:rsid w:val="00791C93"/>
    <w:rsid w:val="00791DED"/>
    <w:rsid w:val="00791F1C"/>
    <w:rsid w:val="007924AC"/>
    <w:rsid w:val="00792AA8"/>
    <w:rsid w:val="007930DB"/>
    <w:rsid w:val="0079346A"/>
    <w:rsid w:val="007935C8"/>
    <w:rsid w:val="00793AAE"/>
    <w:rsid w:val="00794972"/>
    <w:rsid w:val="007956F5"/>
    <w:rsid w:val="00796725"/>
    <w:rsid w:val="00796BCC"/>
    <w:rsid w:val="00796EE7"/>
    <w:rsid w:val="00797022"/>
    <w:rsid w:val="007A180D"/>
    <w:rsid w:val="007A18A9"/>
    <w:rsid w:val="007A34EE"/>
    <w:rsid w:val="007A37EB"/>
    <w:rsid w:val="007A3ABE"/>
    <w:rsid w:val="007A4CB0"/>
    <w:rsid w:val="007A5B52"/>
    <w:rsid w:val="007A5E36"/>
    <w:rsid w:val="007A62C3"/>
    <w:rsid w:val="007A6572"/>
    <w:rsid w:val="007A674E"/>
    <w:rsid w:val="007A6D91"/>
    <w:rsid w:val="007A78EC"/>
    <w:rsid w:val="007B00B3"/>
    <w:rsid w:val="007B0DA4"/>
    <w:rsid w:val="007B10BD"/>
    <w:rsid w:val="007B2964"/>
    <w:rsid w:val="007B29CA"/>
    <w:rsid w:val="007B31C5"/>
    <w:rsid w:val="007B3599"/>
    <w:rsid w:val="007B3654"/>
    <w:rsid w:val="007B36E5"/>
    <w:rsid w:val="007B3A16"/>
    <w:rsid w:val="007B4102"/>
    <w:rsid w:val="007B4CA9"/>
    <w:rsid w:val="007B508E"/>
    <w:rsid w:val="007B52DC"/>
    <w:rsid w:val="007B5CA4"/>
    <w:rsid w:val="007B5F96"/>
    <w:rsid w:val="007B651A"/>
    <w:rsid w:val="007B6648"/>
    <w:rsid w:val="007B6669"/>
    <w:rsid w:val="007B74C8"/>
    <w:rsid w:val="007B7DDF"/>
    <w:rsid w:val="007B7E90"/>
    <w:rsid w:val="007C0F35"/>
    <w:rsid w:val="007C1C09"/>
    <w:rsid w:val="007C2F0A"/>
    <w:rsid w:val="007C311B"/>
    <w:rsid w:val="007C3203"/>
    <w:rsid w:val="007C37E8"/>
    <w:rsid w:val="007C3D01"/>
    <w:rsid w:val="007C471E"/>
    <w:rsid w:val="007C47A0"/>
    <w:rsid w:val="007C49E4"/>
    <w:rsid w:val="007C4A74"/>
    <w:rsid w:val="007C4E0D"/>
    <w:rsid w:val="007C506B"/>
    <w:rsid w:val="007C54BA"/>
    <w:rsid w:val="007C5675"/>
    <w:rsid w:val="007C5D43"/>
    <w:rsid w:val="007C6DD6"/>
    <w:rsid w:val="007C7037"/>
    <w:rsid w:val="007C7415"/>
    <w:rsid w:val="007C744D"/>
    <w:rsid w:val="007C7BA7"/>
    <w:rsid w:val="007C7E97"/>
    <w:rsid w:val="007D02DE"/>
    <w:rsid w:val="007D0986"/>
    <w:rsid w:val="007D2107"/>
    <w:rsid w:val="007D223E"/>
    <w:rsid w:val="007D3627"/>
    <w:rsid w:val="007D40BB"/>
    <w:rsid w:val="007D4750"/>
    <w:rsid w:val="007D4FB1"/>
    <w:rsid w:val="007D54A4"/>
    <w:rsid w:val="007D59A7"/>
    <w:rsid w:val="007D5AC0"/>
    <w:rsid w:val="007D5F15"/>
    <w:rsid w:val="007D698B"/>
    <w:rsid w:val="007D6EAA"/>
    <w:rsid w:val="007D7BB6"/>
    <w:rsid w:val="007E0A90"/>
    <w:rsid w:val="007E20C7"/>
    <w:rsid w:val="007E4387"/>
    <w:rsid w:val="007E4D2E"/>
    <w:rsid w:val="007E4FFC"/>
    <w:rsid w:val="007E59D5"/>
    <w:rsid w:val="007E5D35"/>
    <w:rsid w:val="007E6018"/>
    <w:rsid w:val="007F075C"/>
    <w:rsid w:val="007F0811"/>
    <w:rsid w:val="007F0C64"/>
    <w:rsid w:val="007F1610"/>
    <w:rsid w:val="007F2705"/>
    <w:rsid w:val="007F2F32"/>
    <w:rsid w:val="007F421F"/>
    <w:rsid w:val="007F52A6"/>
    <w:rsid w:val="007F5789"/>
    <w:rsid w:val="007F5FDA"/>
    <w:rsid w:val="007F6019"/>
    <w:rsid w:val="007F614B"/>
    <w:rsid w:val="007F68DA"/>
    <w:rsid w:val="007F718D"/>
    <w:rsid w:val="007F77ED"/>
    <w:rsid w:val="0080031A"/>
    <w:rsid w:val="008004E7"/>
    <w:rsid w:val="00800639"/>
    <w:rsid w:val="00800E93"/>
    <w:rsid w:val="00801D59"/>
    <w:rsid w:val="00802640"/>
    <w:rsid w:val="0080276C"/>
    <w:rsid w:val="00803F68"/>
    <w:rsid w:val="00804C52"/>
    <w:rsid w:val="0080599B"/>
    <w:rsid w:val="00805A69"/>
    <w:rsid w:val="00805A83"/>
    <w:rsid w:val="00805C5D"/>
    <w:rsid w:val="008060C8"/>
    <w:rsid w:val="0080636B"/>
    <w:rsid w:val="00806634"/>
    <w:rsid w:val="0080797E"/>
    <w:rsid w:val="008079E5"/>
    <w:rsid w:val="00810072"/>
    <w:rsid w:val="008101F9"/>
    <w:rsid w:val="00810900"/>
    <w:rsid w:val="00810F5C"/>
    <w:rsid w:val="00811A82"/>
    <w:rsid w:val="00811B3D"/>
    <w:rsid w:val="00811F4B"/>
    <w:rsid w:val="00812723"/>
    <w:rsid w:val="008128F2"/>
    <w:rsid w:val="00813259"/>
    <w:rsid w:val="008148CE"/>
    <w:rsid w:val="00814A6A"/>
    <w:rsid w:val="00814ED4"/>
    <w:rsid w:val="008152E3"/>
    <w:rsid w:val="0081557C"/>
    <w:rsid w:val="00815638"/>
    <w:rsid w:val="008159B1"/>
    <w:rsid w:val="00816A6C"/>
    <w:rsid w:val="00817CF9"/>
    <w:rsid w:val="00820282"/>
    <w:rsid w:val="008209C0"/>
    <w:rsid w:val="0082117F"/>
    <w:rsid w:val="008216D3"/>
    <w:rsid w:val="008218EA"/>
    <w:rsid w:val="00822415"/>
    <w:rsid w:val="0082339B"/>
    <w:rsid w:val="00825F82"/>
    <w:rsid w:val="00825FB8"/>
    <w:rsid w:val="0082619C"/>
    <w:rsid w:val="0082635E"/>
    <w:rsid w:val="008274D1"/>
    <w:rsid w:val="00827CF7"/>
    <w:rsid w:val="00830966"/>
    <w:rsid w:val="0083115B"/>
    <w:rsid w:val="0083174E"/>
    <w:rsid w:val="00831A0D"/>
    <w:rsid w:val="00832CF2"/>
    <w:rsid w:val="0083538E"/>
    <w:rsid w:val="00836640"/>
    <w:rsid w:val="008368A2"/>
    <w:rsid w:val="00836AD2"/>
    <w:rsid w:val="008372C3"/>
    <w:rsid w:val="008375CC"/>
    <w:rsid w:val="008377EB"/>
    <w:rsid w:val="008415CC"/>
    <w:rsid w:val="008417E4"/>
    <w:rsid w:val="00841D85"/>
    <w:rsid w:val="00842862"/>
    <w:rsid w:val="0084372D"/>
    <w:rsid w:val="00844B92"/>
    <w:rsid w:val="00845199"/>
    <w:rsid w:val="00845704"/>
    <w:rsid w:val="008459B2"/>
    <w:rsid w:val="00846D25"/>
    <w:rsid w:val="008478D4"/>
    <w:rsid w:val="00847DFE"/>
    <w:rsid w:val="008500BA"/>
    <w:rsid w:val="00850367"/>
    <w:rsid w:val="00851111"/>
    <w:rsid w:val="00851347"/>
    <w:rsid w:val="00851721"/>
    <w:rsid w:val="008517A5"/>
    <w:rsid w:val="00851A41"/>
    <w:rsid w:val="008525CF"/>
    <w:rsid w:val="008532A7"/>
    <w:rsid w:val="008542CC"/>
    <w:rsid w:val="00854C67"/>
    <w:rsid w:val="00854E36"/>
    <w:rsid w:val="008555DA"/>
    <w:rsid w:val="0085596C"/>
    <w:rsid w:val="008564B0"/>
    <w:rsid w:val="00856EA9"/>
    <w:rsid w:val="0086022E"/>
    <w:rsid w:val="0086086A"/>
    <w:rsid w:val="00860973"/>
    <w:rsid w:val="00860B77"/>
    <w:rsid w:val="00861383"/>
    <w:rsid w:val="0086183E"/>
    <w:rsid w:val="00861FEE"/>
    <w:rsid w:val="008632B7"/>
    <w:rsid w:val="00863CC4"/>
    <w:rsid w:val="008648B5"/>
    <w:rsid w:val="00864980"/>
    <w:rsid w:val="0086641A"/>
    <w:rsid w:val="008668D3"/>
    <w:rsid w:val="00866C42"/>
    <w:rsid w:val="008670A2"/>
    <w:rsid w:val="00867263"/>
    <w:rsid w:val="008677AE"/>
    <w:rsid w:val="008677DB"/>
    <w:rsid w:val="00867F68"/>
    <w:rsid w:val="00871579"/>
    <w:rsid w:val="008724B9"/>
    <w:rsid w:val="00872C3E"/>
    <w:rsid w:val="00872CC6"/>
    <w:rsid w:val="00872F84"/>
    <w:rsid w:val="008737D3"/>
    <w:rsid w:val="00873997"/>
    <w:rsid w:val="00873B68"/>
    <w:rsid w:val="008740FF"/>
    <w:rsid w:val="00874C2D"/>
    <w:rsid w:val="00874FB7"/>
    <w:rsid w:val="0087568E"/>
    <w:rsid w:val="0087570C"/>
    <w:rsid w:val="00875ADA"/>
    <w:rsid w:val="008770A8"/>
    <w:rsid w:val="0087739C"/>
    <w:rsid w:val="00877621"/>
    <w:rsid w:val="00877CBF"/>
    <w:rsid w:val="0088046A"/>
    <w:rsid w:val="00880542"/>
    <w:rsid w:val="00881DF5"/>
    <w:rsid w:val="00882045"/>
    <w:rsid w:val="00882D53"/>
    <w:rsid w:val="0088315A"/>
    <w:rsid w:val="00883437"/>
    <w:rsid w:val="008834C5"/>
    <w:rsid w:val="00883BAD"/>
    <w:rsid w:val="00883C24"/>
    <w:rsid w:val="0088523B"/>
    <w:rsid w:val="008853F8"/>
    <w:rsid w:val="0088554C"/>
    <w:rsid w:val="00886A70"/>
    <w:rsid w:val="00887CB9"/>
    <w:rsid w:val="00887D41"/>
    <w:rsid w:val="00890402"/>
    <w:rsid w:val="00893057"/>
    <w:rsid w:val="00893797"/>
    <w:rsid w:val="00894DBF"/>
    <w:rsid w:val="008953BD"/>
    <w:rsid w:val="0089634A"/>
    <w:rsid w:val="008A1BF5"/>
    <w:rsid w:val="008A23B6"/>
    <w:rsid w:val="008A255F"/>
    <w:rsid w:val="008A2560"/>
    <w:rsid w:val="008A2E65"/>
    <w:rsid w:val="008A4628"/>
    <w:rsid w:val="008A69CC"/>
    <w:rsid w:val="008A7BD1"/>
    <w:rsid w:val="008B02F3"/>
    <w:rsid w:val="008B0553"/>
    <w:rsid w:val="008B1DF6"/>
    <w:rsid w:val="008B1EEA"/>
    <w:rsid w:val="008B27A4"/>
    <w:rsid w:val="008B4221"/>
    <w:rsid w:val="008B47CB"/>
    <w:rsid w:val="008B488F"/>
    <w:rsid w:val="008B4CD9"/>
    <w:rsid w:val="008B4DCF"/>
    <w:rsid w:val="008B50C4"/>
    <w:rsid w:val="008B5AE0"/>
    <w:rsid w:val="008B6A6C"/>
    <w:rsid w:val="008B6D1A"/>
    <w:rsid w:val="008C02CA"/>
    <w:rsid w:val="008C0DF3"/>
    <w:rsid w:val="008C143A"/>
    <w:rsid w:val="008C14E7"/>
    <w:rsid w:val="008C15BB"/>
    <w:rsid w:val="008C253C"/>
    <w:rsid w:val="008C28E5"/>
    <w:rsid w:val="008C3750"/>
    <w:rsid w:val="008C3A98"/>
    <w:rsid w:val="008C3A99"/>
    <w:rsid w:val="008C447B"/>
    <w:rsid w:val="008C45E2"/>
    <w:rsid w:val="008C4BFE"/>
    <w:rsid w:val="008C4E5F"/>
    <w:rsid w:val="008C5945"/>
    <w:rsid w:val="008C596F"/>
    <w:rsid w:val="008C642C"/>
    <w:rsid w:val="008C6C5F"/>
    <w:rsid w:val="008C6C82"/>
    <w:rsid w:val="008C7379"/>
    <w:rsid w:val="008C75E2"/>
    <w:rsid w:val="008C7AB3"/>
    <w:rsid w:val="008D0D12"/>
    <w:rsid w:val="008D15F7"/>
    <w:rsid w:val="008D1FDE"/>
    <w:rsid w:val="008D255C"/>
    <w:rsid w:val="008D2B07"/>
    <w:rsid w:val="008D351D"/>
    <w:rsid w:val="008D35D8"/>
    <w:rsid w:val="008D3727"/>
    <w:rsid w:val="008D3A73"/>
    <w:rsid w:val="008D4756"/>
    <w:rsid w:val="008D5E11"/>
    <w:rsid w:val="008D645F"/>
    <w:rsid w:val="008D64DB"/>
    <w:rsid w:val="008D6FBD"/>
    <w:rsid w:val="008E0252"/>
    <w:rsid w:val="008E0505"/>
    <w:rsid w:val="008E12EF"/>
    <w:rsid w:val="008E1C45"/>
    <w:rsid w:val="008E242E"/>
    <w:rsid w:val="008E24BF"/>
    <w:rsid w:val="008E2EC6"/>
    <w:rsid w:val="008E3955"/>
    <w:rsid w:val="008E5501"/>
    <w:rsid w:val="008E647B"/>
    <w:rsid w:val="008E6714"/>
    <w:rsid w:val="008E7B42"/>
    <w:rsid w:val="008E7B61"/>
    <w:rsid w:val="008E7C3A"/>
    <w:rsid w:val="008F0242"/>
    <w:rsid w:val="008F0A9F"/>
    <w:rsid w:val="008F0CC8"/>
    <w:rsid w:val="008F1E40"/>
    <w:rsid w:val="008F227D"/>
    <w:rsid w:val="008F2B90"/>
    <w:rsid w:val="008F3AE2"/>
    <w:rsid w:val="008F526B"/>
    <w:rsid w:val="008F5431"/>
    <w:rsid w:val="008F61DB"/>
    <w:rsid w:val="008F6221"/>
    <w:rsid w:val="008F674C"/>
    <w:rsid w:val="008F722B"/>
    <w:rsid w:val="008F75DB"/>
    <w:rsid w:val="008F777B"/>
    <w:rsid w:val="008F7CCE"/>
    <w:rsid w:val="0090055A"/>
    <w:rsid w:val="00900E06"/>
    <w:rsid w:val="00901CEE"/>
    <w:rsid w:val="00902183"/>
    <w:rsid w:val="00903282"/>
    <w:rsid w:val="00903BAA"/>
    <w:rsid w:val="0090418C"/>
    <w:rsid w:val="0090461F"/>
    <w:rsid w:val="00904AAC"/>
    <w:rsid w:val="009064E2"/>
    <w:rsid w:val="009077C7"/>
    <w:rsid w:val="009078AD"/>
    <w:rsid w:val="00907FB7"/>
    <w:rsid w:val="00911145"/>
    <w:rsid w:val="0091155E"/>
    <w:rsid w:val="0091170A"/>
    <w:rsid w:val="00911799"/>
    <w:rsid w:val="00911B05"/>
    <w:rsid w:val="0091208A"/>
    <w:rsid w:val="0091220E"/>
    <w:rsid w:val="009129EF"/>
    <w:rsid w:val="009129FC"/>
    <w:rsid w:val="00912F99"/>
    <w:rsid w:val="009133B8"/>
    <w:rsid w:val="009143CD"/>
    <w:rsid w:val="0091465A"/>
    <w:rsid w:val="009151E6"/>
    <w:rsid w:val="009153FC"/>
    <w:rsid w:val="00915485"/>
    <w:rsid w:val="00915851"/>
    <w:rsid w:val="00915AF9"/>
    <w:rsid w:val="00916551"/>
    <w:rsid w:val="00916FBB"/>
    <w:rsid w:val="00920216"/>
    <w:rsid w:val="00920463"/>
    <w:rsid w:val="00920772"/>
    <w:rsid w:val="00921072"/>
    <w:rsid w:val="00921505"/>
    <w:rsid w:val="00921F7D"/>
    <w:rsid w:val="00922102"/>
    <w:rsid w:val="0092287C"/>
    <w:rsid w:val="009231E5"/>
    <w:rsid w:val="009238C7"/>
    <w:rsid w:val="00923D68"/>
    <w:rsid w:val="009245CA"/>
    <w:rsid w:val="009247B2"/>
    <w:rsid w:val="00924B14"/>
    <w:rsid w:val="00925056"/>
    <w:rsid w:val="00925E55"/>
    <w:rsid w:val="00926833"/>
    <w:rsid w:val="00926E4D"/>
    <w:rsid w:val="009273C3"/>
    <w:rsid w:val="00927AD7"/>
    <w:rsid w:val="00927AEA"/>
    <w:rsid w:val="00927FF5"/>
    <w:rsid w:val="00931E27"/>
    <w:rsid w:val="0093243E"/>
    <w:rsid w:val="00932AA7"/>
    <w:rsid w:val="00932DBF"/>
    <w:rsid w:val="0093352D"/>
    <w:rsid w:val="00933EB2"/>
    <w:rsid w:val="00934A34"/>
    <w:rsid w:val="00936035"/>
    <w:rsid w:val="00936654"/>
    <w:rsid w:val="00936734"/>
    <w:rsid w:val="0093695E"/>
    <w:rsid w:val="009376FF"/>
    <w:rsid w:val="00937DDB"/>
    <w:rsid w:val="00940185"/>
    <w:rsid w:val="00940480"/>
    <w:rsid w:val="00940BCD"/>
    <w:rsid w:val="009410D1"/>
    <w:rsid w:val="00941279"/>
    <w:rsid w:val="0094166F"/>
    <w:rsid w:val="00941A25"/>
    <w:rsid w:val="00942A45"/>
    <w:rsid w:val="009430BD"/>
    <w:rsid w:val="009431B8"/>
    <w:rsid w:val="009440A6"/>
    <w:rsid w:val="00944103"/>
    <w:rsid w:val="009452AC"/>
    <w:rsid w:val="0094542C"/>
    <w:rsid w:val="00945761"/>
    <w:rsid w:val="009462D5"/>
    <w:rsid w:val="0095003C"/>
    <w:rsid w:val="00951779"/>
    <w:rsid w:val="00951824"/>
    <w:rsid w:val="009535B4"/>
    <w:rsid w:val="00953778"/>
    <w:rsid w:val="0095456C"/>
    <w:rsid w:val="00954766"/>
    <w:rsid w:val="009547B3"/>
    <w:rsid w:val="00954DB0"/>
    <w:rsid w:val="00954F9A"/>
    <w:rsid w:val="00955651"/>
    <w:rsid w:val="00955A1F"/>
    <w:rsid w:val="00955C23"/>
    <w:rsid w:val="009566D4"/>
    <w:rsid w:val="00956905"/>
    <w:rsid w:val="00956B37"/>
    <w:rsid w:val="00956FF6"/>
    <w:rsid w:val="00960202"/>
    <w:rsid w:val="00961404"/>
    <w:rsid w:val="009614C6"/>
    <w:rsid w:val="0096162B"/>
    <w:rsid w:val="009621DD"/>
    <w:rsid w:val="00962BFB"/>
    <w:rsid w:val="00962E1C"/>
    <w:rsid w:val="00962ED7"/>
    <w:rsid w:val="0096349D"/>
    <w:rsid w:val="00963B1C"/>
    <w:rsid w:val="00963C7F"/>
    <w:rsid w:val="00963F58"/>
    <w:rsid w:val="00963FC6"/>
    <w:rsid w:val="00964954"/>
    <w:rsid w:val="00965411"/>
    <w:rsid w:val="0096541D"/>
    <w:rsid w:val="00966DEC"/>
    <w:rsid w:val="00967958"/>
    <w:rsid w:val="009679BE"/>
    <w:rsid w:val="00970913"/>
    <w:rsid w:val="00970C00"/>
    <w:rsid w:val="00970C1A"/>
    <w:rsid w:val="009718E4"/>
    <w:rsid w:val="00973291"/>
    <w:rsid w:val="00973AC4"/>
    <w:rsid w:val="00974BD5"/>
    <w:rsid w:val="0097574C"/>
    <w:rsid w:val="00975E98"/>
    <w:rsid w:val="0097673B"/>
    <w:rsid w:val="00977096"/>
    <w:rsid w:val="009772BD"/>
    <w:rsid w:val="00977C56"/>
    <w:rsid w:val="00977F11"/>
    <w:rsid w:val="00980630"/>
    <w:rsid w:val="00980936"/>
    <w:rsid w:val="00980CF6"/>
    <w:rsid w:val="00980D89"/>
    <w:rsid w:val="00980E2F"/>
    <w:rsid w:val="00980FB1"/>
    <w:rsid w:val="009817E1"/>
    <w:rsid w:val="00981D19"/>
    <w:rsid w:val="009824FA"/>
    <w:rsid w:val="00983BE9"/>
    <w:rsid w:val="00984187"/>
    <w:rsid w:val="009842F2"/>
    <w:rsid w:val="009851FB"/>
    <w:rsid w:val="009853C7"/>
    <w:rsid w:val="00985858"/>
    <w:rsid w:val="00987C7D"/>
    <w:rsid w:val="00990380"/>
    <w:rsid w:val="00991187"/>
    <w:rsid w:val="00991A78"/>
    <w:rsid w:val="00991D50"/>
    <w:rsid w:val="009921DB"/>
    <w:rsid w:val="009940EF"/>
    <w:rsid w:val="0099436F"/>
    <w:rsid w:val="00994A8D"/>
    <w:rsid w:val="00994C84"/>
    <w:rsid w:val="00994D06"/>
    <w:rsid w:val="0099600D"/>
    <w:rsid w:val="0099775A"/>
    <w:rsid w:val="00997CF0"/>
    <w:rsid w:val="00997E84"/>
    <w:rsid w:val="009A0867"/>
    <w:rsid w:val="009A0BBC"/>
    <w:rsid w:val="009A11AA"/>
    <w:rsid w:val="009A1E5D"/>
    <w:rsid w:val="009A25B0"/>
    <w:rsid w:val="009A2F9B"/>
    <w:rsid w:val="009A2FE7"/>
    <w:rsid w:val="009A41D9"/>
    <w:rsid w:val="009A4AED"/>
    <w:rsid w:val="009A51CA"/>
    <w:rsid w:val="009A5AFD"/>
    <w:rsid w:val="009A6DC9"/>
    <w:rsid w:val="009A6EFD"/>
    <w:rsid w:val="009A74DB"/>
    <w:rsid w:val="009A7918"/>
    <w:rsid w:val="009A7B68"/>
    <w:rsid w:val="009B0126"/>
    <w:rsid w:val="009B0FE1"/>
    <w:rsid w:val="009B162F"/>
    <w:rsid w:val="009B1AAF"/>
    <w:rsid w:val="009B3418"/>
    <w:rsid w:val="009B39DC"/>
    <w:rsid w:val="009B3A00"/>
    <w:rsid w:val="009B3B63"/>
    <w:rsid w:val="009B46AF"/>
    <w:rsid w:val="009B486E"/>
    <w:rsid w:val="009B5603"/>
    <w:rsid w:val="009B61E7"/>
    <w:rsid w:val="009B711B"/>
    <w:rsid w:val="009C0D2C"/>
    <w:rsid w:val="009C1F27"/>
    <w:rsid w:val="009C2644"/>
    <w:rsid w:val="009C2911"/>
    <w:rsid w:val="009C36EE"/>
    <w:rsid w:val="009C423C"/>
    <w:rsid w:val="009C60D3"/>
    <w:rsid w:val="009C6E72"/>
    <w:rsid w:val="009D079B"/>
    <w:rsid w:val="009D20BA"/>
    <w:rsid w:val="009D3AEC"/>
    <w:rsid w:val="009D3C3F"/>
    <w:rsid w:val="009D3D33"/>
    <w:rsid w:val="009D4296"/>
    <w:rsid w:val="009D45D5"/>
    <w:rsid w:val="009D4CCE"/>
    <w:rsid w:val="009D4D67"/>
    <w:rsid w:val="009D53F1"/>
    <w:rsid w:val="009D5B25"/>
    <w:rsid w:val="009D6234"/>
    <w:rsid w:val="009D626F"/>
    <w:rsid w:val="009D635B"/>
    <w:rsid w:val="009D66DC"/>
    <w:rsid w:val="009D6B2A"/>
    <w:rsid w:val="009D7F6F"/>
    <w:rsid w:val="009E0393"/>
    <w:rsid w:val="009E045A"/>
    <w:rsid w:val="009E05FF"/>
    <w:rsid w:val="009E07D3"/>
    <w:rsid w:val="009E1767"/>
    <w:rsid w:val="009E216A"/>
    <w:rsid w:val="009E2684"/>
    <w:rsid w:val="009E31F3"/>
    <w:rsid w:val="009E406B"/>
    <w:rsid w:val="009E7D42"/>
    <w:rsid w:val="009F06F2"/>
    <w:rsid w:val="009F0C10"/>
    <w:rsid w:val="009F236C"/>
    <w:rsid w:val="009F3769"/>
    <w:rsid w:val="009F3EB9"/>
    <w:rsid w:val="009F4DF7"/>
    <w:rsid w:val="009F5503"/>
    <w:rsid w:val="009F5842"/>
    <w:rsid w:val="009F635E"/>
    <w:rsid w:val="009F6682"/>
    <w:rsid w:val="009F6B51"/>
    <w:rsid w:val="009F7173"/>
    <w:rsid w:val="009F7B01"/>
    <w:rsid w:val="009F7E41"/>
    <w:rsid w:val="00A00A3B"/>
    <w:rsid w:val="00A01131"/>
    <w:rsid w:val="00A025E4"/>
    <w:rsid w:val="00A02B2B"/>
    <w:rsid w:val="00A02C5D"/>
    <w:rsid w:val="00A03165"/>
    <w:rsid w:val="00A03571"/>
    <w:rsid w:val="00A03F94"/>
    <w:rsid w:val="00A04809"/>
    <w:rsid w:val="00A0677A"/>
    <w:rsid w:val="00A070F5"/>
    <w:rsid w:val="00A07D45"/>
    <w:rsid w:val="00A07D7E"/>
    <w:rsid w:val="00A1097E"/>
    <w:rsid w:val="00A122D9"/>
    <w:rsid w:val="00A13B12"/>
    <w:rsid w:val="00A14091"/>
    <w:rsid w:val="00A140D3"/>
    <w:rsid w:val="00A1446B"/>
    <w:rsid w:val="00A1460C"/>
    <w:rsid w:val="00A15016"/>
    <w:rsid w:val="00A154F2"/>
    <w:rsid w:val="00A165A2"/>
    <w:rsid w:val="00A167F2"/>
    <w:rsid w:val="00A17EFE"/>
    <w:rsid w:val="00A2015A"/>
    <w:rsid w:val="00A20C78"/>
    <w:rsid w:val="00A21295"/>
    <w:rsid w:val="00A213B9"/>
    <w:rsid w:val="00A2141F"/>
    <w:rsid w:val="00A217A9"/>
    <w:rsid w:val="00A21F81"/>
    <w:rsid w:val="00A2312E"/>
    <w:rsid w:val="00A24323"/>
    <w:rsid w:val="00A24564"/>
    <w:rsid w:val="00A24A14"/>
    <w:rsid w:val="00A2512C"/>
    <w:rsid w:val="00A2515B"/>
    <w:rsid w:val="00A253B4"/>
    <w:rsid w:val="00A2588E"/>
    <w:rsid w:val="00A25D1E"/>
    <w:rsid w:val="00A25D6A"/>
    <w:rsid w:val="00A26B66"/>
    <w:rsid w:val="00A26EDF"/>
    <w:rsid w:val="00A27D63"/>
    <w:rsid w:val="00A308E7"/>
    <w:rsid w:val="00A30E4B"/>
    <w:rsid w:val="00A31172"/>
    <w:rsid w:val="00A31E65"/>
    <w:rsid w:val="00A321B9"/>
    <w:rsid w:val="00A322E0"/>
    <w:rsid w:val="00A333C4"/>
    <w:rsid w:val="00A33423"/>
    <w:rsid w:val="00A339CC"/>
    <w:rsid w:val="00A33AFA"/>
    <w:rsid w:val="00A34789"/>
    <w:rsid w:val="00A3630E"/>
    <w:rsid w:val="00A3641A"/>
    <w:rsid w:val="00A37B68"/>
    <w:rsid w:val="00A37BB8"/>
    <w:rsid w:val="00A40A9C"/>
    <w:rsid w:val="00A41FF8"/>
    <w:rsid w:val="00A42219"/>
    <w:rsid w:val="00A424FE"/>
    <w:rsid w:val="00A42743"/>
    <w:rsid w:val="00A42D87"/>
    <w:rsid w:val="00A441D4"/>
    <w:rsid w:val="00A44566"/>
    <w:rsid w:val="00A44BD3"/>
    <w:rsid w:val="00A4521D"/>
    <w:rsid w:val="00A45B2B"/>
    <w:rsid w:val="00A46D6F"/>
    <w:rsid w:val="00A46D7A"/>
    <w:rsid w:val="00A472E7"/>
    <w:rsid w:val="00A47612"/>
    <w:rsid w:val="00A50332"/>
    <w:rsid w:val="00A50D6A"/>
    <w:rsid w:val="00A5116C"/>
    <w:rsid w:val="00A51F0A"/>
    <w:rsid w:val="00A54AE2"/>
    <w:rsid w:val="00A54EF2"/>
    <w:rsid w:val="00A556A9"/>
    <w:rsid w:val="00A55D48"/>
    <w:rsid w:val="00A55E40"/>
    <w:rsid w:val="00A55EDE"/>
    <w:rsid w:val="00A579EB"/>
    <w:rsid w:val="00A57BEB"/>
    <w:rsid w:val="00A61673"/>
    <w:rsid w:val="00A616D0"/>
    <w:rsid w:val="00A6243A"/>
    <w:rsid w:val="00A62C4E"/>
    <w:rsid w:val="00A63ACC"/>
    <w:rsid w:val="00A64926"/>
    <w:rsid w:val="00A64B33"/>
    <w:rsid w:val="00A66241"/>
    <w:rsid w:val="00A663C4"/>
    <w:rsid w:val="00A6646C"/>
    <w:rsid w:val="00A665CF"/>
    <w:rsid w:val="00A66F4D"/>
    <w:rsid w:val="00A6738E"/>
    <w:rsid w:val="00A67CA7"/>
    <w:rsid w:val="00A67F38"/>
    <w:rsid w:val="00A716F8"/>
    <w:rsid w:val="00A71BCA"/>
    <w:rsid w:val="00A71E66"/>
    <w:rsid w:val="00A73989"/>
    <w:rsid w:val="00A74346"/>
    <w:rsid w:val="00A75A6C"/>
    <w:rsid w:val="00A7752F"/>
    <w:rsid w:val="00A77E4B"/>
    <w:rsid w:val="00A80007"/>
    <w:rsid w:val="00A81020"/>
    <w:rsid w:val="00A814C1"/>
    <w:rsid w:val="00A81607"/>
    <w:rsid w:val="00A81CD5"/>
    <w:rsid w:val="00A824C4"/>
    <w:rsid w:val="00A8348A"/>
    <w:rsid w:val="00A8348B"/>
    <w:rsid w:val="00A83762"/>
    <w:rsid w:val="00A83955"/>
    <w:rsid w:val="00A83B02"/>
    <w:rsid w:val="00A84CE5"/>
    <w:rsid w:val="00A85B79"/>
    <w:rsid w:val="00A85C35"/>
    <w:rsid w:val="00A85DBB"/>
    <w:rsid w:val="00A861BA"/>
    <w:rsid w:val="00A8651E"/>
    <w:rsid w:val="00A8734C"/>
    <w:rsid w:val="00A878AA"/>
    <w:rsid w:val="00A87AED"/>
    <w:rsid w:val="00A90E55"/>
    <w:rsid w:val="00A913A3"/>
    <w:rsid w:val="00A92061"/>
    <w:rsid w:val="00A929FA"/>
    <w:rsid w:val="00A9311F"/>
    <w:rsid w:val="00A934A1"/>
    <w:rsid w:val="00A939B4"/>
    <w:rsid w:val="00A94249"/>
    <w:rsid w:val="00A94BC9"/>
    <w:rsid w:val="00A95291"/>
    <w:rsid w:val="00A959BC"/>
    <w:rsid w:val="00A96632"/>
    <w:rsid w:val="00A969DA"/>
    <w:rsid w:val="00A96C7B"/>
    <w:rsid w:val="00A97541"/>
    <w:rsid w:val="00A97E71"/>
    <w:rsid w:val="00AA0A77"/>
    <w:rsid w:val="00AA1F3E"/>
    <w:rsid w:val="00AA237A"/>
    <w:rsid w:val="00AA3C60"/>
    <w:rsid w:val="00AA3CB7"/>
    <w:rsid w:val="00AA40D3"/>
    <w:rsid w:val="00AA4E6B"/>
    <w:rsid w:val="00AA5339"/>
    <w:rsid w:val="00AA62EB"/>
    <w:rsid w:val="00AA65D8"/>
    <w:rsid w:val="00AA70AB"/>
    <w:rsid w:val="00AA7695"/>
    <w:rsid w:val="00AB02A2"/>
    <w:rsid w:val="00AB07AA"/>
    <w:rsid w:val="00AB0873"/>
    <w:rsid w:val="00AB0D35"/>
    <w:rsid w:val="00AB1193"/>
    <w:rsid w:val="00AB199A"/>
    <w:rsid w:val="00AB1B91"/>
    <w:rsid w:val="00AB1BE8"/>
    <w:rsid w:val="00AB2008"/>
    <w:rsid w:val="00AB22DC"/>
    <w:rsid w:val="00AB2B23"/>
    <w:rsid w:val="00AB2FF4"/>
    <w:rsid w:val="00AB3BD1"/>
    <w:rsid w:val="00AB463E"/>
    <w:rsid w:val="00AB4A64"/>
    <w:rsid w:val="00AB50DC"/>
    <w:rsid w:val="00AB53A6"/>
    <w:rsid w:val="00AB55D2"/>
    <w:rsid w:val="00AB5D91"/>
    <w:rsid w:val="00AB5F9C"/>
    <w:rsid w:val="00AB67EF"/>
    <w:rsid w:val="00AB7B83"/>
    <w:rsid w:val="00AC0E82"/>
    <w:rsid w:val="00AC0FF9"/>
    <w:rsid w:val="00AC16C0"/>
    <w:rsid w:val="00AC1AD6"/>
    <w:rsid w:val="00AC213F"/>
    <w:rsid w:val="00AC2C9D"/>
    <w:rsid w:val="00AC315D"/>
    <w:rsid w:val="00AC5101"/>
    <w:rsid w:val="00AD072D"/>
    <w:rsid w:val="00AD072F"/>
    <w:rsid w:val="00AD0BFD"/>
    <w:rsid w:val="00AD150F"/>
    <w:rsid w:val="00AD1C83"/>
    <w:rsid w:val="00AD2453"/>
    <w:rsid w:val="00AD26F8"/>
    <w:rsid w:val="00AD2D58"/>
    <w:rsid w:val="00AD2EB3"/>
    <w:rsid w:val="00AD3E18"/>
    <w:rsid w:val="00AD40F4"/>
    <w:rsid w:val="00AD43D1"/>
    <w:rsid w:val="00AD466C"/>
    <w:rsid w:val="00AD53A3"/>
    <w:rsid w:val="00AD5F68"/>
    <w:rsid w:val="00AD608F"/>
    <w:rsid w:val="00AD64DF"/>
    <w:rsid w:val="00AD70B5"/>
    <w:rsid w:val="00AE0DF6"/>
    <w:rsid w:val="00AE1025"/>
    <w:rsid w:val="00AE1817"/>
    <w:rsid w:val="00AE3445"/>
    <w:rsid w:val="00AE3825"/>
    <w:rsid w:val="00AE3F03"/>
    <w:rsid w:val="00AE64F0"/>
    <w:rsid w:val="00AE6E39"/>
    <w:rsid w:val="00AE7136"/>
    <w:rsid w:val="00AF02A4"/>
    <w:rsid w:val="00AF0A05"/>
    <w:rsid w:val="00AF1C1B"/>
    <w:rsid w:val="00AF2140"/>
    <w:rsid w:val="00AF23C8"/>
    <w:rsid w:val="00AF2AD1"/>
    <w:rsid w:val="00AF2AE2"/>
    <w:rsid w:val="00AF3746"/>
    <w:rsid w:val="00AF4219"/>
    <w:rsid w:val="00AF4AA6"/>
    <w:rsid w:val="00AF5033"/>
    <w:rsid w:val="00AF5957"/>
    <w:rsid w:val="00AF5960"/>
    <w:rsid w:val="00AF5E14"/>
    <w:rsid w:val="00B00936"/>
    <w:rsid w:val="00B00E0C"/>
    <w:rsid w:val="00B024FE"/>
    <w:rsid w:val="00B030F3"/>
    <w:rsid w:val="00B0332B"/>
    <w:rsid w:val="00B0377E"/>
    <w:rsid w:val="00B05EDE"/>
    <w:rsid w:val="00B07BA9"/>
    <w:rsid w:val="00B10055"/>
    <w:rsid w:val="00B10D76"/>
    <w:rsid w:val="00B10E4B"/>
    <w:rsid w:val="00B1141E"/>
    <w:rsid w:val="00B1278B"/>
    <w:rsid w:val="00B12B02"/>
    <w:rsid w:val="00B12F0B"/>
    <w:rsid w:val="00B12F7F"/>
    <w:rsid w:val="00B13866"/>
    <w:rsid w:val="00B1391F"/>
    <w:rsid w:val="00B13F16"/>
    <w:rsid w:val="00B15E54"/>
    <w:rsid w:val="00B16205"/>
    <w:rsid w:val="00B16536"/>
    <w:rsid w:val="00B17209"/>
    <w:rsid w:val="00B17295"/>
    <w:rsid w:val="00B201A1"/>
    <w:rsid w:val="00B20395"/>
    <w:rsid w:val="00B21518"/>
    <w:rsid w:val="00B215F5"/>
    <w:rsid w:val="00B24AB0"/>
    <w:rsid w:val="00B25D05"/>
    <w:rsid w:val="00B2652B"/>
    <w:rsid w:val="00B27807"/>
    <w:rsid w:val="00B27A54"/>
    <w:rsid w:val="00B27D65"/>
    <w:rsid w:val="00B30783"/>
    <w:rsid w:val="00B309D0"/>
    <w:rsid w:val="00B30B9B"/>
    <w:rsid w:val="00B30C32"/>
    <w:rsid w:val="00B30F93"/>
    <w:rsid w:val="00B321DE"/>
    <w:rsid w:val="00B33AF6"/>
    <w:rsid w:val="00B352A6"/>
    <w:rsid w:val="00B356D1"/>
    <w:rsid w:val="00B35ADC"/>
    <w:rsid w:val="00B37098"/>
    <w:rsid w:val="00B370A4"/>
    <w:rsid w:val="00B40A6F"/>
    <w:rsid w:val="00B4112D"/>
    <w:rsid w:val="00B41624"/>
    <w:rsid w:val="00B41F0F"/>
    <w:rsid w:val="00B42304"/>
    <w:rsid w:val="00B42365"/>
    <w:rsid w:val="00B42560"/>
    <w:rsid w:val="00B42E8A"/>
    <w:rsid w:val="00B42F30"/>
    <w:rsid w:val="00B43B98"/>
    <w:rsid w:val="00B45040"/>
    <w:rsid w:val="00B455AA"/>
    <w:rsid w:val="00B45778"/>
    <w:rsid w:val="00B457A1"/>
    <w:rsid w:val="00B45D45"/>
    <w:rsid w:val="00B4630F"/>
    <w:rsid w:val="00B464B1"/>
    <w:rsid w:val="00B46510"/>
    <w:rsid w:val="00B47413"/>
    <w:rsid w:val="00B47453"/>
    <w:rsid w:val="00B47559"/>
    <w:rsid w:val="00B4756C"/>
    <w:rsid w:val="00B47A4A"/>
    <w:rsid w:val="00B47B99"/>
    <w:rsid w:val="00B506F2"/>
    <w:rsid w:val="00B50CDB"/>
    <w:rsid w:val="00B510E3"/>
    <w:rsid w:val="00B5150A"/>
    <w:rsid w:val="00B51C80"/>
    <w:rsid w:val="00B521AC"/>
    <w:rsid w:val="00B52702"/>
    <w:rsid w:val="00B53ED7"/>
    <w:rsid w:val="00B5457E"/>
    <w:rsid w:val="00B5498D"/>
    <w:rsid w:val="00B54AFA"/>
    <w:rsid w:val="00B5501D"/>
    <w:rsid w:val="00B56212"/>
    <w:rsid w:val="00B56A89"/>
    <w:rsid w:val="00B56E78"/>
    <w:rsid w:val="00B5705F"/>
    <w:rsid w:val="00B60AFB"/>
    <w:rsid w:val="00B611D1"/>
    <w:rsid w:val="00B6151E"/>
    <w:rsid w:val="00B61614"/>
    <w:rsid w:val="00B62C03"/>
    <w:rsid w:val="00B6312B"/>
    <w:rsid w:val="00B63569"/>
    <w:rsid w:val="00B64962"/>
    <w:rsid w:val="00B64E23"/>
    <w:rsid w:val="00B66305"/>
    <w:rsid w:val="00B6649C"/>
    <w:rsid w:val="00B66863"/>
    <w:rsid w:val="00B676EC"/>
    <w:rsid w:val="00B7016C"/>
    <w:rsid w:val="00B7016F"/>
    <w:rsid w:val="00B7039B"/>
    <w:rsid w:val="00B70A57"/>
    <w:rsid w:val="00B70F72"/>
    <w:rsid w:val="00B7124A"/>
    <w:rsid w:val="00B72033"/>
    <w:rsid w:val="00B72BFF"/>
    <w:rsid w:val="00B734E3"/>
    <w:rsid w:val="00B73F43"/>
    <w:rsid w:val="00B74653"/>
    <w:rsid w:val="00B74BB5"/>
    <w:rsid w:val="00B74BE7"/>
    <w:rsid w:val="00B74D1E"/>
    <w:rsid w:val="00B74F67"/>
    <w:rsid w:val="00B75064"/>
    <w:rsid w:val="00B76353"/>
    <w:rsid w:val="00B76730"/>
    <w:rsid w:val="00B76A18"/>
    <w:rsid w:val="00B77D0B"/>
    <w:rsid w:val="00B80703"/>
    <w:rsid w:val="00B8081C"/>
    <w:rsid w:val="00B815A9"/>
    <w:rsid w:val="00B82074"/>
    <w:rsid w:val="00B82859"/>
    <w:rsid w:val="00B8306F"/>
    <w:rsid w:val="00B8480B"/>
    <w:rsid w:val="00B84C6C"/>
    <w:rsid w:val="00B850D7"/>
    <w:rsid w:val="00B8512D"/>
    <w:rsid w:val="00B8560F"/>
    <w:rsid w:val="00B85680"/>
    <w:rsid w:val="00B85697"/>
    <w:rsid w:val="00B86E28"/>
    <w:rsid w:val="00B86FAD"/>
    <w:rsid w:val="00B87227"/>
    <w:rsid w:val="00B9064B"/>
    <w:rsid w:val="00B90CE0"/>
    <w:rsid w:val="00B90E14"/>
    <w:rsid w:val="00B91208"/>
    <w:rsid w:val="00B91275"/>
    <w:rsid w:val="00B91482"/>
    <w:rsid w:val="00B92687"/>
    <w:rsid w:val="00B93537"/>
    <w:rsid w:val="00B937B1"/>
    <w:rsid w:val="00B93945"/>
    <w:rsid w:val="00B94034"/>
    <w:rsid w:val="00B94248"/>
    <w:rsid w:val="00B942A1"/>
    <w:rsid w:val="00B9480A"/>
    <w:rsid w:val="00B94B4F"/>
    <w:rsid w:val="00B9524C"/>
    <w:rsid w:val="00B95DF7"/>
    <w:rsid w:val="00B96196"/>
    <w:rsid w:val="00B9688C"/>
    <w:rsid w:val="00B97070"/>
    <w:rsid w:val="00B976F6"/>
    <w:rsid w:val="00B97C30"/>
    <w:rsid w:val="00B97E02"/>
    <w:rsid w:val="00B97E19"/>
    <w:rsid w:val="00B97F7C"/>
    <w:rsid w:val="00BA011E"/>
    <w:rsid w:val="00BA238A"/>
    <w:rsid w:val="00BA48F8"/>
    <w:rsid w:val="00BA4FCE"/>
    <w:rsid w:val="00BA5064"/>
    <w:rsid w:val="00BA5F41"/>
    <w:rsid w:val="00BA6399"/>
    <w:rsid w:val="00BA6DCB"/>
    <w:rsid w:val="00BA7385"/>
    <w:rsid w:val="00BA7F3D"/>
    <w:rsid w:val="00BB102D"/>
    <w:rsid w:val="00BB173E"/>
    <w:rsid w:val="00BB185F"/>
    <w:rsid w:val="00BB187C"/>
    <w:rsid w:val="00BB296B"/>
    <w:rsid w:val="00BB2C6A"/>
    <w:rsid w:val="00BB30D6"/>
    <w:rsid w:val="00BB3622"/>
    <w:rsid w:val="00BB3834"/>
    <w:rsid w:val="00BB384D"/>
    <w:rsid w:val="00BB3FC1"/>
    <w:rsid w:val="00BB4947"/>
    <w:rsid w:val="00BB682C"/>
    <w:rsid w:val="00BB75C8"/>
    <w:rsid w:val="00BB79D8"/>
    <w:rsid w:val="00BB7CA9"/>
    <w:rsid w:val="00BC019D"/>
    <w:rsid w:val="00BC1CAC"/>
    <w:rsid w:val="00BC21DF"/>
    <w:rsid w:val="00BC236B"/>
    <w:rsid w:val="00BC2B98"/>
    <w:rsid w:val="00BC2BB4"/>
    <w:rsid w:val="00BC2D05"/>
    <w:rsid w:val="00BC40C6"/>
    <w:rsid w:val="00BC4A0B"/>
    <w:rsid w:val="00BC503C"/>
    <w:rsid w:val="00BC5DA4"/>
    <w:rsid w:val="00BC6100"/>
    <w:rsid w:val="00BC6333"/>
    <w:rsid w:val="00BC6437"/>
    <w:rsid w:val="00BC65D9"/>
    <w:rsid w:val="00BC7C52"/>
    <w:rsid w:val="00BD0057"/>
    <w:rsid w:val="00BD025A"/>
    <w:rsid w:val="00BD0A38"/>
    <w:rsid w:val="00BD0CF6"/>
    <w:rsid w:val="00BD1471"/>
    <w:rsid w:val="00BD14C5"/>
    <w:rsid w:val="00BD1851"/>
    <w:rsid w:val="00BD196A"/>
    <w:rsid w:val="00BD2081"/>
    <w:rsid w:val="00BD2311"/>
    <w:rsid w:val="00BD2706"/>
    <w:rsid w:val="00BD2E93"/>
    <w:rsid w:val="00BD4641"/>
    <w:rsid w:val="00BD6262"/>
    <w:rsid w:val="00BD6520"/>
    <w:rsid w:val="00BD6A79"/>
    <w:rsid w:val="00BD725E"/>
    <w:rsid w:val="00BD7FA0"/>
    <w:rsid w:val="00BE0453"/>
    <w:rsid w:val="00BE1257"/>
    <w:rsid w:val="00BE20AD"/>
    <w:rsid w:val="00BE303A"/>
    <w:rsid w:val="00BE3E6C"/>
    <w:rsid w:val="00BE44C3"/>
    <w:rsid w:val="00BE472C"/>
    <w:rsid w:val="00BE4C48"/>
    <w:rsid w:val="00BE61C1"/>
    <w:rsid w:val="00BE64AF"/>
    <w:rsid w:val="00BE655D"/>
    <w:rsid w:val="00BE6717"/>
    <w:rsid w:val="00BF0381"/>
    <w:rsid w:val="00BF0E77"/>
    <w:rsid w:val="00BF1963"/>
    <w:rsid w:val="00BF1CE9"/>
    <w:rsid w:val="00BF213A"/>
    <w:rsid w:val="00BF2748"/>
    <w:rsid w:val="00BF37DC"/>
    <w:rsid w:val="00BF4090"/>
    <w:rsid w:val="00BF50EA"/>
    <w:rsid w:val="00BF54AF"/>
    <w:rsid w:val="00BF5AA4"/>
    <w:rsid w:val="00BF6669"/>
    <w:rsid w:val="00BF68D9"/>
    <w:rsid w:val="00BF6E7B"/>
    <w:rsid w:val="00BF76EB"/>
    <w:rsid w:val="00BF7807"/>
    <w:rsid w:val="00BF7B04"/>
    <w:rsid w:val="00C00AB0"/>
    <w:rsid w:val="00C00B9A"/>
    <w:rsid w:val="00C00BF5"/>
    <w:rsid w:val="00C01021"/>
    <w:rsid w:val="00C010C0"/>
    <w:rsid w:val="00C0141F"/>
    <w:rsid w:val="00C0281F"/>
    <w:rsid w:val="00C02CFA"/>
    <w:rsid w:val="00C0362F"/>
    <w:rsid w:val="00C04017"/>
    <w:rsid w:val="00C048AF"/>
    <w:rsid w:val="00C04E41"/>
    <w:rsid w:val="00C0614B"/>
    <w:rsid w:val="00C06B3A"/>
    <w:rsid w:val="00C077E0"/>
    <w:rsid w:val="00C07DE6"/>
    <w:rsid w:val="00C07E99"/>
    <w:rsid w:val="00C07F82"/>
    <w:rsid w:val="00C113CE"/>
    <w:rsid w:val="00C1218B"/>
    <w:rsid w:val="00C129C4"/>
    <w:rsid w:val="00C1468A"/>
    <w:rsid w:val="00C14830"/>
    <w:rsid w:val="00C154B5"/>
    <w:rsid w:val="00C15550"/>
    <w:rsid w:val="00C1645A"/>
    <w:rsid w:val="00C16AE4"/>
    <w:rsid w:val="00C172A9"/>
    <w:rsid w:val="00C175E4"/>
    <w:rsid w:val="00C17872"/>
    <w:rsid w:val="00C17D21"/>
    <w:rsid w:val="00C205E9"/>
    <w:rsid w:val="00C20BC1"/>
    <w:rsid w:val="00C212FC"/>
    <w:rsid w:val="00C22D8B"/>
    <w:rsid w:val="00C23DEC"/>
    <w:rsid w:val="00C23F48"/>
    <w:rsid w:val="00C243A0"/>
    <w:rsid w:val="00C2508F"/>
    <w:rsid w:val="00C25D20"/>
    <w:rsid w:val="00C262BD"/>
    <w:rsid w:val="00C263EF"/>
    <w:rsid w:val="00C26621"/>
    <w:rsid w:val="00C26699"/>
    <w:rsid w:val="00C26EEF"/>
    <w:rsid w:val="00C272FF"/>
    <w:rsid w:val="00C2758F"/>
    <w:rsid w:val="00C27775"/>
    <w:rsid w:val="00C30880"/>
    <w:rsid w:val="00C310C2"/>
    <w:rsid w:val="00C33686"/>
    <w:rsid w:val="00C35899"/>
    <w:rsid w:val="00C35CDE"/>
    <w:rsid w:val="00C36525"/>
    <w:rsid w:val="00C36955"/>
    <w:rsid w:val="00C36A49"/>
    <w:rsid w:val="00C36DC8"/>
    <w:rsid w:val="00C36F37"/>
    <w:rsid w:val="00C37AFC"/>
    <w:rsid w:val="00C409D6"/>
    <w:rsid w:val="00C40EB3"/>
    <w:rsid w:val="00C41BD9"/>
    <w:rsid w:val="00C42039"/>
    <w:rsid w:val="00C42508"/>
    <w:rsid w:val="00C42C04"/>
    <w:rsid w:val="00C43407"/>
    <w:rsid w:val="00C43409"/>
    <w:rsid w:val="00C434FD"/>
    <w:rsid w:val="00C43887"/>
    <w:rsid w:val="00C45414"/>
    <w:rsid w:val="00C467D8"/>
    <w:rsid w:val="00C46F30"/>
    <w:rsid w:val="00C472B2"/>
    <w:rsid w:val="00C4736E"/>
    <w:rsid w:val="00C47AC7"/>
    <w:rsid w:val="00C50736"/>
    <w:rsid w:val="00C508E3"/>
    <w:rsid w:val="00C510C4"/>
    <w:rsid w:val="00C5192E"/>
    <w:rsid w:val="00C51E3F"/>
    <w:rsid w:val="00C522FA"/>
    <w:rsid w:val="00C52B23"/>
    <w:rsid w:val="00C52DE6"/>
    <w:rsid w:val="00C5301F"/>
    <w:rsid w:val="00C56162"/>
    <w:rsid w:val="00C562F3"/>
    <w:rsid w:val="00C56698"/>
    <w:rsid w:val="00C569FF"/>
    <w:rsid w:val="00C57058"/>
    <w:rsid w:val="00C57D27"/>
    <w:rsid w:val="00C57FBD"/>
    <w:rsid w:val="00C6016B"/>
    <w:rsid w:val="00C610A6"/>
    <w:rsid w:val="00C625A2"/>
    <w:rsid w:val="00C628A2"/>
    <w:rsid w:val="00C631B7"/>
    <w:rsid w:val="00C63398"/>
    <w:rsid w:val="00C634A7"/>
    <w:rsid w:val="00C635B0"/>
    <w:rsid w:val="00C638D7"/>
    <w:rsid w:val="00C638DF"/>
    <w:rsid w:val="00C63B29"/>
    <w:rsid w:val="00C64720"/>
    <w:rsid w:val="00C64961"/>
    <w:rsid w:val="00C64AF6"/>
    <w:rsid w:val="00C6517F"/>
    <w:rsid w:val="00C66817"/>
    <w:rsid w:val="00C67653"/>
    <w:rsid w:val="00C67BA6"/>
    <w:rsid w:val="00C67FDA"/>
    <w:rsid w:val="00C70316"/>
    <w:rsid w:val="00C70DA3"/>
    <w:rsid w:val="00C70FB4"/>
    <w:rsid w:val="00C71920"/>
    <w:rsid w:val="00C7213F"/>
    <w:rsid w:val="00C726DD"/>
    <w:rsid w:val="00C7289A"/>
    <w:rsid w:val="00C729E5"/>
    <w:rsid w:val="00C72A63"/>
    <w:rsid w:val="00C73A4E"/>
    <w:rsid w:val="00C74742"/>
    <w:rsid w:val="00C747D5"/>
    <w:rsid w:val="00C74A89"/>
    <w:rsid w:val="00C74D48"/>
    <w:rsid w:val="00C759C3"/>
    <w:rsid w:val="00C76C54"/>
    <w:rsid w:val="00C809A7"/>
    <w:rsid w:val="00C809B9"/>
    <w:rsid w:val="00C80AE4"/>
    <w:rsid w:val="00C81D7E"/>
    <w:rsid w:val="00C83106"/>
    <w:rsid w:val="00C835D1"/>
    <w:rsid w:val="00C857F1"/>
    <w:rsid w:val="00C8663A"/>
    <w:rsid w:val="00C871C4"/>
    <w:rsid w:val="00C90A18"/>
    <w:rsid w:val="00C90D56"/>
    <w:rsid w:val="00C91742"/>
    <w:rsid w:val="00C91974"/>
    <w:rsid w:val="00C91D0F"/>
    <w:rsid w:val="00C91DBA"/>
    <w:rsid w:val="00C9248D"/>
    <w:rsid w:val="00C924E2"/>
    <w:rsid w:val="00C92C99"/>
    <w:rsid w:val="00C9465B"/>
    <w:rsid w:val="00C95810"/>
    <w:rsid w:val="00C960EC"/>
    <w:rsid w:val="00C96E28"/>
    <w:rsid w:val="00C97926"/>
    <w:rsid w:val="00C97B66"/>
    <w:rsid w:val="00CA1130"/>
    <w:rsid w:val="00CA1788"/>
    <w:rsid w:val="00CA20F5"/>
    <w:rsid w:val="00CA2630"/>
    <w:rsid w:val="00CA3610"/>
    <w:rsid w:val="00CA3D46"/>
    <w:rsid w:val="00CA415F"/>
    <w:rsid w:val="00CA4A0B"/>
    <w:rsid w:val="00CA4CEF"/>
    <w:rsid w:val="00CA5EA7"/>
    <w:rsid w:val="00CA6835"/>
    <w:rsid w:val="00CA6D41"/>
    <w:rsid w:val="00CA7432"/>
    <w:rsid w:val="00CA74C9"/>
    <w:rsid w:val="00CA75E2"/>
    <w:rsid w:val="00CA7EC0"/>
    <w:rsid w:val="00CB026C"/>
    <w:rsid w:val="00CB0AD2"/>
    <w:rsid w:val="00CB0B95"/>
    <w:rsid w:val="00CB1119"/>
    <w:rsid w:val="00CB1843"/>
    <w:rsid w:val="00CB1920"/>
    <w:rsid w:val="00CB21F8"/>
    <w:rsid w:val="00CB243F"/>
    <w:rsid w:val="00CB2C14"/>
    <w:rsid w:val="00CB3A9B"/>
    <w:rsid w:val="00CB473D"/>
    <w:rsid w:val="00CB4BFD"/>
    <w:rsid w:val="00CB4EC6"/>
    <w:rsid w:val="00CB509D"/>
    <w:rsid w:val="00CB5A49"/>
    <w:rsid w:val="00CB5C15"/>
    <w:rsid w:val="00CB6164"/>
    <w:rsid w:val="00CB678B"/>
    <w:rsid w:val="00CB6B72"/>
    <w:rsid w:val="00CB7143"/>
    <w:rsid w:val="00CB7A6F"/>
    <w:rsid w:val="00CC03ED"/>
    <w:rsid w:val="00CC1228"/>
    <w:rsid w:val="00CC192C"/>
    <w:rsid w:val="00CC1A21"/>
    <w:rsid w:val="00CC2501"/>
    <w:rsid w:val="00CC2BF4"/>
    <w:rsid w:val="00CC3D20"/>
    <w:rsid w:val="00CC4702"/>
    <w:rsid w:val="00CC4994"/>
    <w:rsid w:val="00CC66DE"/>
    <w:rsid w:val="00CC7C0C"/>
    <w:rsid w:val="00CC7DD1"/>
    <w:rsid w:val="00CD0C06"/>
    <w:rsid w:val="00CD1B6D"/>
    <w:rsid w:val="00CD379D"/>
    <w:rsid w:val="00CD4680"/>
    <w:rsid w:val="00CD4B0A"/>
    <w:rsid w:val="00CD5C1C"/>
    <w:rsid w:val="00CD75E3"/>
    <w:rsid w:val="00CE017C"/>
    <w:rsid w:val="00CE1A24"/>
    <w:rsid w:val="00CE1AF1"/>
    <w:rsid w:val="00CE1E89"/>
    <w:rsid w:val="00CE20B5"/>
    <w:rsid w:val="00CE2627"/>
    <w:rsid w:val="00CE2E1D"/>
    <w:rsid w:val="00CE2EB2"/>
    <w:rsid w:val="00CE525D"/>
    <w:rsid w:val="00CE575F"/>
    <w:rsid w:val="00CE5B4C"/>
    <w:rsid w:val="00CE5C99"/>
    <w:rsid w:val="00CE5C9D"/>
    <w:rsid w:val="00CE5E62"/>
    <w:rsid w:val="00CE753E"/>
    <w:rsid w:val="00CF011B"/>
    <w:rsid w:val="00CF0E38"/>
    <w:rsid w:val="00CF13F6"/>
    <w:rsid w:val="00CF1F35"/>
    <w:rsid w:val="00CF210D"/>
    <w:rsid w:val="00CF23EE"/>
    <w:rsid w:val="00CF26AB"/>
    <w:rsid w:val="00CF2CFA"/>
    <w:rsid w:val="00CF2E59"/>
    <w:rsid w:val="00CF32BD"/>
    <w:rsid w:val="00CF3A50"/>
    <w:rsid w:val="00CF3D9C"/>
    <w:rsid w:val="00CF4B9D"/>
    <w:rsid w:val="00CF53DA"/>
    <w:rsid w:val="00D005CE"/>
    <w:rsid w:val="00D00C8F"/>
    <w:rsid w:val="00D00DFE"/>
    <w:rsid w:val="00D00F83"/>
    <w:rsid w:val="00D023A8"/>
    <w:rsid w:val="00D0399E"/>
    <w:rsid w:val="00D03D0C"/>
    <w:rsid w:val="00D04B18"/>
    <w:rsid w:val="00D04BFF"/>
    <w:rsid w:val="00D055EF"/>
    <w:rsid w:val="00D06CBB"/>
    <w:rsid w:val="00D0734F"/>
    <w:rsid w:val="00D103CF"/>
    <w:rsid w:val="00D10BE6"/>
    <w:rsid w:val="00D10C79"/>
    <w:rsid w:val="00D11357"/>
    <w:rsid w:val="00D11795"/>
    <w:rsid w:val="00D1188B"/>
    <w:rsid w:val="00D11904"/>
    <w:rsid w:val="00D1200C"/>
    <w:rsid w:val="00D126F7"/>
    <w:rsid w:val="00D129F5"/>
    <w:rsid w:val="00D12ED9"/>
    <w:rsid w:val="00D141DD"/>
    <w:rsid w:val="00D142F4"/>
    <w:rsid w:val="00D1494A"/>
    <w:rsid w:val="00D14F60"/>
    <w:rsid w:val="00D1503A"/>
    <w:rsid w:val="00D17D0A"/>
    <w:rsid w:val="00D17ED0"/>
    <w:rsid w:val="00D207ED"/>
    <w:rsid w:val="00D20EE8"/>
    <w:rsid w:val="00D21106"/>
    <w:rsid w:val="00D211CB"/>
    <w:rsid w:val="00D21734"/>
    <w:rsid w:val="00D21887"/>
    <w:rsid w:val="00D218F6"/>
    <w:rsid w:val="00D21BDD"/>
    <w:rsid w:val="00D2237E"/>
    <w:rsid w:val="00D225DA"/>
    <w:rsid w:val="00D2454A"/>
    <w:rsid w:val="00D25A41"/>
    <w:rsid w:val="00D265C3"/>
    <w:rsid w:val="00D266DE"/>
    <w:rsid w:val="00D26F9D"/>
    <w:rsid w:val="00D27BEE"/>
    <w:rsid w:val="00D27FBC"/>
    <w:rsid w:val="00D30146"/>
    <w:rsid w:val="00D307E9"/>
    <w:rsid w:val="00D31689"/>
    <w:rsid w:val="00D318FB"/>
    <w:rsid w:val="00D327C6"/>
    <w:rsid w:val="00D33744"/>
    <w:rsid w:val="00D33DB4"/>
    <w:rsid w:val="00D355E8"/>
    <w:rsid w:val="00D37D41"/>
    <w:rsid w:val="00D40E29"/>
    <w:rsid w:val="00D42393"/>
    <w:rsid w:val="00D43DD6"/>
    <w:rsid w:val="00D440CE"/>
    <w:rsid w:val="00D4441E"/>
    <w:rsid w:val="00D4551F"/>
    <w:rsid w:val="00D45D64"/>
    <w:rsid w:val="00D46EFF"/>
    <w:rsid w:val="00D471DB"/>
    <w:rsid w:val="00D5070E"/>
    <w:rsid w:val="00D50893"/>
    <w:rsid w:val="00D50D3A"/>
    <w:rsid w:val="00D5105C"/>
    <w:rsid w:val="00D514DB"/>
    <w:rsid w:val="00D519E9"/>
    <w:rsid w:val="00D51A04"/>
    <w:rsid w:val="00D51A5D"/>
    <w:rsid w:val="00D51C2C"/>
    <w:rsid w:val="00D52398"/>
    <w:rsid w:val="00D533FA"/>
    <w:rsid w:val="00D538BF"/>
    <w:rsid w:val="00D54230"/>
    <w:rsid w:val="00D54627"/>
    <w:rsid w:val="00D550C2"/>
    <w:rsid w:val="00D55A36"/>
    <w:rsid w:val="00D564E4"/>
    <w:rsid w:val="00D5689A"/>
    <w:rsid w:val="00D56E85"/>
    <w:rsid w:val="00D57072"/>
    <w:rsid w:val="00D61249"/>
    <w:rsid w:val="00D618C4"/>
    <w:rsid w:val="00D61AE5"/>
    <w:rsid w:val="00D63084"/>
    <w:rsid w:val="00D63111"/>
    <w:rsid w:val="00D63514"/>
    <w:rsid w:val="00D63D55"/>
    <w:rsid w:val="00D64636"/>
    <w:rsid w:val="00D65858"/>
    <w:rsid w:val="00D659FF"/>
    <w:rsid w:val="00D66830"/>
    <w:rsid w:val="00D668E4"/>
    <w:rsid w:val="00D66FD1"/>
    <w:rsid w:val="00D67466"/>
    <w:rsid w:val="00D7047B"/>
    <w:rsid w:val="00D71106"/>
    <w:rsid w:val="00D718EB"/>
    <w:rsid w:val="00D71EB2"/>
    <w:rsid w:val="00D728C4"/>
    <w:rsid w:val="00D729A9"/>
    <w:rsid w:val="00D733EA"/>
    <w:rsid w:val="00D734FE"/>
    <w:rsid w:val="00D741F4"/>
    <w:rsid w:val="00D74FEC"/>
    <w:rsid w:val="00D75424"/>
    <w:rsid w:val="00D75505"/>
    <w:rsid w:val="00D755D4"/>
    <w:rsid w:val="00D76695"/>
    <w:rsid w:val="00D771A8"/>
    <w:rsid w:val="00D77A38"/>
    <w:rsid w:val="00D77DAB"/>
    <w:rsid w:val="00D80874"/>
    <w:rsid w:val="00D8101A"/>
    <w:rsid w:val="00D8228F"/>
    <w:rsid w:val="00D82409"/>
    <w:rsid w:val="00D83CB1"/>
    <w:rsid w:val="00D83E47"/>
    <w:rsid w:val="00D84FCD"/>
    <w:rsid w:val="00D85ECB"/>
    <w:rsid w:val="00D861A1"/>
    <w:rsid w:val="00D862DA"/>
    <w:rsid w:val="00D8640C"/>
    <w:rsid w:val="00D86456"/>
    <w:rsid w:val="00D8693B"/>
    <w:rsid w:val="00D86E0B"/>
    <w:rsid w:val="00D870BD"/>
    <w:rsid w:val="00D87462"/>
    <w:rsid w:val="00D87870"/>
    <w:rsid w:val="00D90291"/>
    <w:rsid w:val="00D90BE0"/>
    <w:rsid w:val="00D90ED8"/>
    <w:rsid w:val="00D91219"/>
    <w:rsid w:val="00D920FC"/>
    <w:rsid w:val="00D926DA"/>
    <w:rsid w:val="00D928AB"/>
    <w:rsid w:val="00D9327E"/>
    <w:rsid w:val="00D9378C"/>
    <w:rsid w:val="00D94AFE"/>
    <w:rsid w:val="00D94CD6"/>
    <w:rsid w:val="00D962E9"/>
    <w:rsid w:val="00D9701F"/>
    <w:rsid w:val="00D97634"/>
    <w:rsid w:val="00DA1FFE"/>
    <w:rsid w:val="00DA2BD7"/>
    <w:rsid w:val="00DA2C46"/>
    <w:rsid w:val="00DA2F51"/>
    <w:rsid w:val="00DA35A9"/>
    <w:rsid w:val="00DA37D0"/>
    <w:rsid w:val="00DA3D7B"/>
    <w:rsid w:val="00DA490C"/>
    <w:rsid w:val="00DA5C3D"/>
    <w:rsid w:val="00DA6619"/>
    <w:rsid w:val="00DA6721"/>
    <w:rsid w:val="00DA7189"/>
    <w:rsid w:val="00DA7370"/>
    <w:rsid w:val="00DB0BD3"/>
    <w:rsid w:val="00DB1190"/>
    <w:rsid w:val="00DB14D2"/>
    <w:rsid w:val="00DB1F7B"/>
    <w:rsid w:val="00DB2FF6"/>
    <w:rsid w:val="00DB4594"/>
    <w:rsid w:val="00DB4AA3"/>
    <w:rsid w:val="00DB501E"/>
    <w:rsid w:val="00DB53C8"/>
    <w:rsid w:val="00DB574D"/>
    <w:rsid w:val="00DB6476"/>
    <w:rsid w:val="00DB68FF"/>
    <w:rsid w:val="00DB6E27"/>
    <w:rsid w:val="00DB7230"/>
    <w:rsid w:val="00DB7508"/>
    <w:rsid w:val="00DB783E"/>
    <w:rsid w:val="00DC02BF"/>
    <w:rsid w:val="00DC037C"/>
    <w:rsid w:val="00DC0697"/>
    <w:rsid w:val="00DC0E37"/>
    <w:rsid w:val="00DC1CFB"/>
    <w:rsid w:val="00DC1FBA"/>
    <w:rsid w:val="00DC29B1"/>
    <w:rsid w:val="00DC2CCB"/>
    <w:rsid w:val="00DC32BA"/>
    <w:rsid w:val="00DC392A"/>
    <w:rsid w:val="00DC4510"/>
    <w:rsid w:val="00DC47EC"/>
    <w:rsid w:val="00DC483E"/>
    <w:rsid w:val="00DC54EF"/>
    <w:rsid w:val="00DC5534"/>
    <w:rsid w:val="00DC5FD8"/>
    <w:rsid w:val="00DC62EB"/>
    <w:rsid w:val="00DC6619"/>
    <w:rsid w:val="00DC76BD"/>
    <w:rsid w:val="00DD0C6B"/>
    <w:rsid w:val="00DD121C"/>
    <w:rsid w:val="00DD1CB2"/>
    <w:rsid w:val="00DD5255"/>
    <w:rsid w:val="00DD5A6A"/>
    <w:rsid w:val="00DD5AEA"/>
    <w:rsid w:val="00DD6537"/>
    <w:rsid w:val="00DD6667"/>
    <w:rsid w:val="00DD74A2"/>
    <w:rsid w:val="00DE0605"/>
    <w:rsid w:val="00DE108E"/>
    <w:rsid w:val="00DE17EF"/>
    <w:rsid w:val="00DE2BF9"/>
    <w:rsid w:val="00DE3134"/>
    <w:rsid w:val="00DE383B"/>
    <w:rsid w:val="00DE49BE"/>
    <w:rsid w:val="00DE4F37"/>
    <w:rsid w:val="00DE5996"/>
    <w:rsid w:val="00DE64C9"/>
    <w:rsid w:val="00DE64CE"/>
    <w:rsid w:val="00DE6576"/>
    <w:rsid w:val="00DE6FD4"/>
    <w:rsid w:val="00DE741B"/>
    <w:rsid w:val="00DE770B"/>
    <w:rsid w:val="00DF015A"/>
    <w:rsid w:val="00DF0698"/>
    <w:rsid w:val="00DF2277"/>
    <w:rsid w:val="00DF2ABA"/>
    <w:rsid w:val="00DF4614"/>
    <w:rsid w:val="00DF5C94"/>
    <w:rsid w:val="00DF6D10"/>
    <w:rsid w:val="00DF77BF"/>
    <w:rsid w:val="00DF7B25"/>
    <w:rsid w:val="00E00134"/>
    <w:rsid w:val="00E002A3"/>
    <w:rsid w:val="00E00B67"/>
    <w:rsid w:val="00E01766"/>
    <w:rsid w:val="00E02487"/>
    <w:rsid w:val="00E02FB1"/>
    <w:rsid w:val="00E051FD"/>
    <w:rsid w:val="00E06529"/>
    <w:rsid w:val="00E065DC"/>
    <w:rsid w:val="00E067D7"/>
    <w:rsid w:val="00E06D00"/>
    <w:rsid w:val="00E06FEB"/>
    <w:rsid w:val="00E07127"/>
    <w:rsid w:val="00E075B2"/>
    <w:rsid w:val="00E07733"/>
    <w:rsid w:val="00E104DF"/>
    <w:rsid w:val="00E10714"/>
    <w:rsid w:val="00E10CC0"/>
    <w:rsid w:val="00E10FB9"/>
    <w:rsid w:val="00E116ED"/>
    <w:rsid w:val="00E11B9F"/>
    <w:rsid w:val="00E12D75"/>
    <w:rsid w:val="00E12E57"/>
    <w:rsid w:val="00E13104"/>
    <w:rsid w:val="00E132C7"/>
    <w:rsid w:val="00E135A1"/>
    <w:rsid w:val="00E13A79"/>
    <w:rsid w:val="00E1496E"/>
    <w:rsid w:val="00E14ABE"/>
    <w:rsid w:val="00E166F8"/>
    <w:rsid w:val="00E16EF1"/>
    <w:rsid w:val="00E177A0"/>
    <w:rsid w:val="00E177E0"/>
    <w:rsid w:val="00E178B9"/>
    <w:rsid w:val="00E17F63"/>
    <w:rsid w:val="00E20B35"/>
    <w:rsid w:val="00E20C49"/>
    <w:rsid w:val="00E21269"/>
    <w:rsid w:val="00E21E4F"/>
    <w:rsid w:val="00E226B2"/>
    <w:rsid w:val="00E23461"/>
    <w:rsid w:val="00E241A1"/>
    <w:rsid w:val="00E24DB4"/>
    <w:rsid w:val="00E252DF"/>
    <w:rsid w:val="00E266C4"/>
    <w:rsid w:val="00E27273"/>
    <w:rsid w:val="00E2759C"/>
    <w:rsid w:val="00E27A3C"/>
    <w:rsid w:val="00E30211"/>
    <w:rsid w:val="00E3198A"/>
    <w:rsid w:val="00E32824"/>
    <w:rsid w:val="00E352CF"/>
    <w:rsid w:val="00E3546C"/>
    <w:rsid w:val="00E36DE5"/>
    <w:rsid w:val="00E371AD"/>
    <w:rsid w:val="00E37C9E"/>
    <w:rsid w:val="00E4065A"/>
    <w:rsid w:val="00E408CB"/>
    <w:rsid w:val="00E422AA"/>
    <w:rsid w:val="00E42930"/>
    <w:rsid w:val="00E4338F"/>
    <w:rsid w:val="00E43C06"/>
    <w:rsid w:val="00E441FA"/>
    <w:rsid w:val="00E44332"/>
    <w:rsid w:val="00E449B1"/>
    <w:rsid w:val="00E44EA9"/>
    <w:rsid w:val="00E4500A"/>
    <w:rsid w:val="00E45DD3"/>
    <w:rsid w:val="00E46396"/>
    <w:rsid w:val="00E46453"/>
    <w:rsid w:val="00E46AF5"/>
    <w:rsid w:val="00E4760F"/>
    <w:rsid w:val="00E47686"/>
    <w:rsid w:val="00E47B31"/>
    <w:rsid w:val="00E501F7"/>
    <w:rsid w:val="00E50536"/>
    <w:rsid w:val="00E5056F"/>
    <w:rsid w:val="00E5082D"/>
    <w:rsid w:val="00E524DA"/>
    <w:rsid w:val="00E52E89"/>
    <w:rsid w:val="00E54A37"/>
    <w:rsid w:val="00E54DDD"/>
    <w:rsid w:val="00E560D4"/>
    <w:rsid w:val="00E56B72"/>
    <w:rsid w:val="00E56C02"/>
    <w:rsid w:val="00E56C18"/>
    <w:rsid w:val="00E574A9"/>
    <w:rsid w:val="00E574F7"/>
    <w:rsid w:val="00E61355"/>
    <w:rsid w:val="00E613BC"/>
    <w:rsid w:val="00E61B5E"/>
    <w:rsid w:val="00E61F1E"/>
    <w:rsid w:val="00E626CF"/>
    <w:rsid w:val="00E637E2"/>
    <w:rsid w:val="00E63FFB"/>
    <w:rsid w:val="00E64822"/>
    <w:rsid w:val="00E649C8"/>
    <w:rsid w:val="00E66861"/>
    <w:rsid w:val="00E669E0"/>
    <w:rsid w:val="00E66E21"/>
    <w:rsid w:val="00E67063"/>
    <w:rsid w:val="00E6714D"/>
    <w:rsid w:val="00E67734"/>
    <w:rsid w:val="00E67D5A"/>
    <w:rsid w:val="00E70642"/>
    <w:rsid w:val="00E706AB"/>
    <w:rsid w:val="00E70C37"/>
    <w:rsid w:val="00E70F38"/>
    <w:rsid w:val="00E710FC"/>
    <w:rsid w:val="00E71915"/>
    <w:rsid w:val="00E7389F"/>
    <w:rsid w:val="00E73CF4"/>
    <w:rsid w:val="00E73E95"/>
    <w:rsid w:val="00E74D9A"/>
    <w:rsid w:val="00E7514A"/>
    <w:rsid w:val="00E75453"/>
    <w:rsid w:val="00E76A1C"/>
    <w:rsid w:val="00E76BE6"/>
    <w:rsid w:val="00E77EAA"/>
    <w:rsid w:val="00E804D0"/>
    <w:rsid w:val="00E80916"/>
    <w:rsid w:val="00E823C8"/>
    <w:rsid w:val="00E82ABB"/>
    <w:rsid w:val="00E840DF"/>
    <w:rsid w:val="00E8473F"/>
    <w:rsid w:val="00E84791"/>
    <w:rsid w:val="00E84D20"/>
    <w:rsid w:val="00E84EA2"/>
    <w:rsid w:val="00E8543B"/>
    <w:rsid w:val="00E8560F"/>
    <w:rsid w:val="00E864C1"/>
    <w:rsid w:val="00E87355"/>
    <w:rsid w:val="00E8780A"/>
    <w:rsid w:val="00E905C8"/>
    <w:rsid w:val="00E90CE0"/>
    <w:rsid w:val="00E922B3"/>
    <w:rsid w:val="00E93E5D"/>
    <w:rsid w:val="00E94425"/>
    <w:rsid w:val="00E94C45"/>
    <w:rsid w:val="00E94F03"/>
    <w:rsid w:val="00E957FC"/>
    <w:rsid w:val="00E97D37"/>
    <w:rsid w:val="00EA0289"/>
    <w:rsid w:val="00EA0C52"/>
    <w:rsid w:val="00EA2385"/>
    <w:rsid w:val="00EA25BD"/>
    <w:rsid w:val="00EA29F3"/>
    <w:rsid w:val="00EA2A62"/>
    <w:rsid w:val="00EA36DE"/>
    <w:rsid w:val="00EA4132"/>
    <w:rsid w:val="00EA4143"/>
    <w:rsid w:val="00EA4341"/>
    <w:rsid w:val="00EA4E3F"/>
    <w:rsid w:val="00EA6192"/>
    <w:rsid w:val="00EB1087"/>
    <w:rsid w:val="00EB11B4"/>
    <w:rsid w:val="00EB11D1"/>
    <w:rsid w:val="00EB181B"/>
    <w:rsid w:val="00EB1A4C"/>
    <w:rsid w:val="00EB1CA4"/>
    <w:rsid w:val="00EB2352"/>
    <w:rsid w:val="00EB2DEA"/>
    <w:rsid w:val="00EB339E"/>
    <w:rsid w:val="00EB4D1E"/>
    <w:rsid w:val="00EB5FE4"/>
    <w:rsid w:val="00EB6975"/>
    <w:rsid w:val="00EB6977"/>
    <w:rsid w:val="00EC0251"/>
    <w:rsid w:val="00EC0F25"/>
    <w:rsid w:val="00EC20EF"/>
    <w:rsid w:val="00EC341C"/>
    <w:rsid w:val="00EC3504"/>
    <w:rsid w:val="00EC4848"/>
    <w:rsid w:val="00EC4C7F"/>
    <w:rsid w:val="00EC4E3B"/>
    <w:rsid w:val="00EC75B7"/>
    <w:rsid w:val="00ED000F"/>
    <w:rsid w:val="00ED1657"/>
    <w:rsid w:val="00ED17BF"/>
    <w:rsid w:val="00ED3131"/>
    <w:rsid w:val="00ED3652"/>
    <w:rsid w:val="00ED3FF1"/>
    <w:rsid w:val="00ED44DE"/>
    <w:rsid w:val="00ED53F2"/>
    <w:rsid w:val="00ED5637"/>
    <w:rsid w:val="00ED5C6C"/>
    <w:rsid w:val="00ED653F"/>
    <w:rsid w:val="00ED6618"/>
    <w:rsid w:val="00ED69DD"/>
    <w:rsid w:val="00ED760E"/>
    <w:rsid w:val="00EE0313"/>
    <w:rsid w:val="00EE068E"/>
    <w:rsid w:val="00EE0F11"/>
    <w:rsid w:val="00EE0F24"/>
    <w:rsid w:val="00EE28B3"/>
    <w:rsid w:val="00EE4EB9"/>
    <w:rsid w:val="00EE4EFD"/>
    <w:rsid w:val="00EE5B01"/>
    <w:rsid w:val="00EE613E"/>
    <w:rsid w:val="00EE672B"/>
    <w:rsid w:val="00EE714A"/>
    <w:rsid w:val="00EE71C9"/>
    <w:rsid w:val="00EE75E8"/>
    <w:rsid w:val="00EE7736"/>
    <w:rsid w:val="00EF0B00"/>
    <w:rsid w:val="00EF2401"/>
    <w:rsid w:val="00EF33AA"/>
    <w:rsid w:val="00EF3454"/>
    <w:rsid w:val="00EF352D"/>
    <w:rsid w:val="00EF40F2"/>
    <w:rsid w:val="00EF4662"/>
    <w:rsid w:val="00EF494B"/>
    <w:rsid w:val="00EF498F"/>
    <w:rsid w:val="00EF4AEE"/>
    <w:rsid w:val="00EF5172"/>
    <w:rsid w:val="00EF54C7"/>
    <w:rsid w:val="00EF6C2E"/>
    <w:rsid w:val="00EF6E41"/>
    <w:rsid w:val="00F00310"/>
    <w:rsid w:val="00F018E8"/>
    <w:rsid w:val="00F02B43"/>
    <w:rsid w:val="00F02D57"/>
    <w:rsid w:val="00F031D3"/>
    <w:rsid w:val="00F03F3B"/>
    <w:rsid w:val="00F06055"/>
    <w:rsid w:val="00F063C7"/>
    <w:rsid w:val="00F06CCA"/>
    <w:rsid w:val="00F06F64"/>
    <w:rsid w:val="00F07468"/>
    <w:rsid w:val="00F07AE1"/>
    <w:rsid w:val="00F10030"/>
    <w:rsid w:val="00F1055E"/>
    <w:rsid w:val="00F10676"/>
    <w:rsid w:val="00F11DDC"/>
    <w:rsid w:val="00F1302B"/>
    <w:rsid w:val="00F137E0"/>
    <w:rsid w:val="00F13F76"/>
    <w:rsid w:val="00F14EB1"/>
    <w:rsid w:val="00F15389"/>
    <w:rsid w:val="00F161A8"/>
    <w:rsid w:val="00F177CD"/>
    <w:rsid w:val="00F20E72"/>
    <w:rsid w:val="00F2176B"/>
    <w:rsid w:val="00F221B2"/>
    <w:rsid w:val="00F22A26"/>
    <w:rsid w:val="00F22D82"/>
    <w:rsid w:val="00F238D2"/>
    <w:rsid w:val="00F23A8E"/>
    <w:rsid w:val="00F24F94"/>
    <w:rsid w:val="00F2527A"/>
    <w:rsid w:val="00F25FAA"/>
    <w:rsid w:val="00F2602E"/>
    <w:rsid w:val="00F26398"/>
    <w:rsid w:val="00F26627"/>
    <w:rsid w:val="00F26674"/>
    <w:rsid w:val="00F26D40"/>
    <w:rsid w:val="00F272AA"/>
    <w:rsid w:val="00F27566"/>
    <w:rsid w:val="00F303BD"/>
    <w:rsid w:val="00F30E2A"/>
    <w:rsid w:val="00F319D0"/>
    <w:rsid w:val="00F327B4"/>
    <w:rsid w:val="00F33F45"/>
    <w:rsid w:val="00F340B6"/>
    <w:rsid w:val="00F361B7"/>
    <w:rsid w:val="00F363AF"/>
    <w:rsid w:val="00F40BAE"/>
    <w:rsid w:val="00F41F8D"/>
    <w:rsid w:val="00F42607"/>
    <w:rsid w:val="00F42A92"/>
    <w:rsid w:val="00F43A0A"/>
    <w:rsid w:val="00F43BE4"/>
    <w:rsid w:val="00F43DE5"/>
    <w:rsid w:val="00F44B17"/>
    <w:rsid w:val="00F4503D"/>
    <w:rsid w:val="00F45785"/>
    <w:rsid w:val="00F4597C"/>
    <w:rsid w:val="00F46739"/>
    <w:rsid w:val="00F475D1"/>
    <w:rsid w:val="00F52449"/>
    <w:rsid w:val="00F52F93"/>
    <w:rsid w:val="00F530A8"/>
    <w:rsid w:val="00F531ED"/>
    <w:rsid w:val="00F53BF9"/>
    <w:rsid w:val="00F53E91"/>
    <w:rsid w:val="00F53FF0"/>
    <w:rsid w:val="00F54608"/>
    <w:rsid w:val="00F54732"/>
    <w:rsid w:val="00F552F2"/>
    <w:rsid w:val="00F553FC"/>
    <w:rsid w:val="00F555EF"/>
    <w:rsid w:val="00F55E52"/>
    <w:rsid w:val="00F561CB"/>
    <w:rsid w:val="00F57EF0"/>
    <w:rsid w:val="00F60E0A"/>
    <w:rsid w:val="00F60EFD"/>
    <w:rsid w:val="00F6105A"/>
    <w:rsid w:val="00F615BE"/>
    <w:rsid w:val="00F618E0"/>
    <w:rsid w:val="00F61AE5"/>
    <w:rsid w:val="00F627E2"/>
    <w:rsid w:val="00F63E6E"/>
    <w:rsid w:val="00F642D2"/>
    <w:rsid w:val="00F64E90"/>
    <w:rsid w:val="00F65259"/>
    <w:rsid w:val="00F65620"/>
    <w:rsid w:val="00F66DFC"/>
    <w:rsid w:val="00F67B98"/>
    <w:rsid w:val="00F67E14"/>
    <w:rsid w:val="00F70EF6"/>
    <w:rsid w:val="00F71520"/>
    <w:rsid w:val="00F7327A"/>
    <w:rsid w:val="00F7342A"/>
    <w:rsid w:val="00F74B41"/>
    <w:rsid w:val="00F74FA5"/>
    <w:rsid w:val="00F7590F"/>
    <w:rsid w:val="00F75FE2"/>
    <w:rsid w:val="00F763C3"/>
    <w:rsid w:val="00F765CE"/>
    <w:rsid w:val="00F76AA2"/>
    <w:rsid w:val="00F770FA"/>
    <w:rsid w:val="00F772CC"/>
    <w:rsid w:val="00F77E33"/>
    <w:rsid w:val="00F806D3"/>
    <w:rsid w:val="00F80B3F"/>
    <w:rsid w:val="00F80BCC"/>
    <w:rsid w:val="00F82DFE"/>
    <w:rsid w:val="00F82F62"/>
    <w:rsid w:val="00F834BD"/>
    <w:rsid w:val="00F84326"/>
    <w:rsid w:val="00F84F27"/>
    <w:rsid w:val="00F8569E"/>
    <w:rsid w:val="00F85A14"/>
    <w:rsid w:val="00F85B23"/>
    <w:rsid w:val="00F85B2A"/>
    <w:rsid w:val="00F878D7"/>
    <w:rsid w:val="00F9042D"/>
    <w:rsid w:val="00F90611"/>
    <w:rsid w:val="00F90EB0"/>
    <w:rsid w:val="00F90FCB"/>
    <w:rsid w:val="00F913C6"/>
    <w:rsid w:val="00F914D5"/>
    <w:rsid w:val="00F914D9"/>
    <w:rsid w:val="00F91F79"/>
    <w:rsid w:val="00F91F84"/>
    <w:rsid w:val="00F932DA"/>
    <w:rsid w:val="00F9331F"/>
    <w:rsid w:val="00F933E5"/>
    <w:rsid w:val="00F93696"/>
    <w:rsid w:val="00F93ED8"/>
    <w:rsid w:val="00F94864"/>
    <w:rsid w:val="00F94BAD"/>
    <w:rsid w:val="00F94DE9"/>
    <w:rsid w:val="00F94EB4"/>
    <w:rsid w:val="00F95BDD"/>
    <w:rsid w:val="00F96118"/>
    <w:rsid w:val="00F96242"/>
    <w:rsid w:val="00F96796"/>
    <w:rsid w:val="00F968D9"/>
    <w:rsid w:val="00F96AD4"/>
    <w:rsid w:val="00F97965"/>
    <w:rsid w:val="00F97D2C"/>
    <w:rsid w:val="00F97D47"/>
    <w:rsid w:val="00F97EE1"/>
    <w:rsid w:val="00F97FB9"/>
    <w:rsid w:val="00FA02EE"/>
    <w:rsid w:val="00FA0782"/>
    <w:rsid w:val="00FA0C1B"/>
    <w:rsid w:val="00FA2230"/>
    <w:rsid w:val="00FA33A6"/>
    <w:rsid w:val="00FA37D9"/>
    <w:rsid w:val="00FA5B49"/>
    <w:rsid w:val="00FA6E16"/>
    <w:rsid w:val="00FA7251"/>
    <w:rsid w:val="00FA7B80"/>
    <w:rsid w:val="00FB0B18"/>
    <w:rsid w:val="00FB0EE1"/>
    <w:rsid w:val="00FB12C1"/>
    <w:rsid w:val="00FB1B90"/>
    <w:rsid w:val="00FB1FE5"/>
    <w:rsid w:val="00FB237C"/>
    <w:rsid w:val="00FB2947"/>
    <w:rsid w:val="00FB2ACA"/>
    <w:rsid w:val="00FB32BF"/>
    <w:rsid w:val="00FB3310"/>
    <w:rsid w:val="00FB3750"/>
    <w:rsid w:val="00FB4236"/>
    <w:rsid w:val="00FB48BD"/>
    <w:rsid w:val="00FB4A82"/>
    <w:rsid w:val="00FB4C64"/>
    <w:rsid w:val="00FB673E"/>
    <w:rsid w:val="00FB6901"/>
    <w:rsid w:val="00FB6F0C"/>
    <w:rsid w:val="00FB73FF"/>
    <w:rsid w:val="00FB753B"/>
    <w:rsid w:val="00FC0096"/>
    <w:rsid w:val="00FC1049"/>
    <w:rsid w:val="00FC172D"/>
    <w:rsid w:val="00FC2684"/>
    <w:rsid w:val="00FC3225"/>
    <w:rsid w:val="00FC340E"/>
    <w:rsid w:val="00FC35BE"/>
    <w:rsid w:val="00FC3B72"/>
    <w:rsid w:val="00FC3D57"/>
    <w:rsid w:val="00FC3E20"/>
    <w:rsid w:val="00FC3EB4"/>
    <w:rsid w:val="00FC4215"/>
    <w:rsid w:val="00FC51B8"/>
    <w:rsid w:val="00FC5727"/>
    <w:rsid w:val="00FC5D1A"/>
    <w:rsid w:val="00FC5FD1"/>
    <w:rsid w:val="00FC6C2D"/>
    <w:rsid w:val="00FD076C"/>
    <w:rsid w:val="00FD0E5C"/>
    <w:rsid w:val="00FD1510"/>
    <w:rsid w:val="00FD16AB"/>
    <w:rsid w:val="00FD232F"/>
    <w:rsid w:val="00FD2D05"/>
    <w:rsid w:val="00FD2E3A"/>
    <w:rsid w:val="00FD3553"/>
    <w:rsid w:val="00FD38DC"/>
    <w:rsid w:val="00FD3F73"/>
    <w:rsid w:val="00FD4734"/>
    <w:rsid w:val="00FD4ECB"/>
    <w:rsid w:val="00FD558A"/>
    <w:rsid w:val="00FD6457"/>
    <w:rsid w:val="00FD654E"/>
    <w:rsid w:val="00FD66D0"/>
    <w:rsid w:val="00FD755E"/>
    <w:rsid w:val="00FD77E0"/>
    <w:rsid w:val="00FD7CD3"/>
    <w:rsid w:val="00FE0241"/>
    <w:rsid w:val="00FE1F7E"/>
    <w:rsid w:val="00FE2535"/>
    <w:rsid w:val="00FE330E"/>
    <w:rsid w:val="00FE333D"/>
    <w:rsid w:val="00FE341F"/>
    <w:rsid w:val="00FE3643"/>
    <w:rsid w:val="00FE3B65"/>
    <w:rsid w:val="00FE43A2"/>
    <w:rsid w:val="00FE44C5"/>
    <w:rsid w:val="00FE4BEA"/>
    <w:rsid w:val="00FE4D29"/>
    <w:rsid w:val="00FE53EE"/>
    <w:rsid w:val="00FE5602"/>
    <w:rsid w:val="00FF004F"/>
    <w:rsid w:val="00FF025D"/>
    <w:rsid w:val="00FF070C"/>
    <w:rsid w:val="00FF1021"/>
    <w:rsid w:val="00FF103C"/>
    <w:rsid w:val="00FF10F9"/>
    <w:rsid w:val="00FF141F"/>
    <w:rsid w:val="00FF14E3"/>
    <w:rsid w:val="00FF3329"/>
    <w:rsid w:val="00FF39E6"/>
    <w:rsid w:val="00FF406D"/>
    <w:rsid w:val="00FF4196"/>
    <w:rsid w:val="00FF4890"/>
    <w:rsid w:val="00FF5A6F"/>
    <w:rsid w:val="00FF5CE3"/>
    <w:rsid w:val="00FF630C"/>
    <w:rsid w:val="00FF6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4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qFormat/>
    <w:locked/>
    <w:pPr>
      <w:spacing w:after="240" w:line="240" w:lineRule="exact"/>
      <w:ind w:left="510" w:hanging="510"/>
    </w:pPr>
  </w:style>
  <w:style w:type="character" w:styleId="FootnoteReference">
    <w:name w:val="footnote reference"/>
    <w:uiPriority w:val="51"/>
    <w:qFormat/>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402B81"/>
    <w:rPr>
      <w:color w:val="0000FF" w:themeColor="hyperlink"/>
      <w:u w:val="single"/>
    </w:rPr>
  </w:style>
  <w:style w:type="character" w:styleId="UnresolvedMention">
    <w:name w:val="Unresolved Mention"/>
    <w:basedOn w:val="DefaultParagraphFont"/>
    <w:uiPriority w:val="99"/>
    <w:semiHidden/>
    <w:unhideWhenUsed/>
    <w:rsid w:val="00402B81"/>
    <w:rPr>
      <w:color w:val="605E5C"/>
      <w:shd w:val="clear" w:color="auto" w:fill="E1DFDD"/>
    </w:rPr>
  </w:style>
  <w:style w:type="character" w:customStyle="1" w:styleId="FootnoteTextChar">
    <w:name w:val="Footnote Text Char"/>
    <w:aliases w:val="ft Char,Footnote Text Char Char Char Char Char Char"/>
    <w:basedOn w:val="DefaultParagraphFont"/>
    <w:link w:val="FootnoteText"/>
    <w:uiPriority w:val="99"/>
    <w:rsid w:val="009151E6"/>
  </w:style>
  <w:style w:type="paragraph" w:styleId="Revision">
    <w:name w:val="Revision"/>
    <w:hidden/>
    <w:uiPriority w:val="99"/>
    <w:semiHidden/>
    <w:rsid w:val="0084372D"/>
  </w:style>
  <w:style w:type="character" w:styleId="CommentReference">
    <w:name w:val="annotation reference"/>
    <w:basedOn w:val="DefaultParagraphFont"/>
    <w:uiPriority w:val="99"/>
    <w:semiHidden/>
    <w:unhideWhenUsed/>
    <w:locked/>
    <w:rsid w:val="00866C42"/>
    <w:rPr>
      <w:sz w:val="16"/>
      <w:szCs w:val="16"/>
    </w:rPr>
  </w:style>
  <w:style w:type="paragraph" w:styleId="CommentText">
    <w:name w:val="annotation text"/>
    <w:basedOn w:val="Normal"/>
    <w:link w:val="CommentTextChar"/>
    <w:uiPriority w:val="99"/>
    <w:unhideWhenUsed/>
    <w:locked/>
    <w:rsid w:val="00866C42"/>
    <w:pPr>
      <w:spacing w:line="240" w:lineRule="auto"/>
    </w:pPr>
    <w:rPr>
      <w:sz w:val="20"/>
      <w:szCs w:val="20"/>
    </w:rPr>
  </w:style>
  <w:style w:type="character" w:customStyle="1" w:styleId="CommentTextChar">
    <w:name w:val="Comment Text Char"/>
    <w:basedOn w:val="DefaultParagraphFont"/>
    <w:link w:val="CommentText"/>
    <w:uiPriority w:val="99"/>
    <w:rsid w:val="00866C42"/>
    <w:rPr>
      <w:sz w:val="20"/>
      <w:szCs w:val="20"/>
    </w:rPr>
  </w:style>
  <w:style w:type="paragraph" w:styleId="CommentSubject">
    <w:name w:val="annotation subject"/>
    <w:basedOn w:val="CommentText"/>
    <w:next w:val="CommentText"/>
    <w:link w:val="CommentSubjectChar"/>
    <w:uiPriority w:val="99"/>
    <w:semiHidden/>
    <w:unhideWhenUsed/>
    <w:locked/>
    <w:rsid w:val="00866C42"/>
    <w:rPr>
      <w:b/>
      <w:bCs/>
    </w:rPr>
  </w:style>
  <w:style w:type="character" w:customStyle="1" w:styleId="CommentSubjectChar">
    <w:name w:val="Comment Subject Char"/>
    <w:basedOn w:val="CommentTextChar"/>
    <w:link w:val="CommentSubject"/>
    <w:uiPriority w:val="99"/>
    <w:semiHidden/>
    <w:rsid w:val="00866C42"/>
    <w:rPr>
      <w:b/>
      <w:bCs/>
      <w:sz w:val="20"/>
      <w:szCs w:val="20"/>
    </w:rPr>
  </w:style>
  <w:style w:type="paragraph" w:customStyle="1" w:styleId="NoNorm">
    <w:name w:val="No Norm"/>
    <w:basedOn w:val="Normal"/>
    <w:qFormat/>
    <w:rsid w:val="00E3198A"/>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E3198A"/>
    <w:pPr>
      <w:tabs>
        <w:tab w:val="clear" w:pos="2160"/>
        <w:tab w:val="left" w:pos="1418"/>
      </w:tabs>
      <w:ind w:left="1418" w:hanging="709"/>
    </w:pPr>
  </w:style>
  <w:style w:type="paragraph" w:customStyle="1" w:styleId="Indentlista">
    <w:name w:val="Indent list a)"/>
    <w:basedOn w:val="Noindentnormal"/>
    <w:qFormat/>
    <w:rsid w:val="00E3198A"/>
    <w:pPr>
      <w:tabs>
        <w:tab w:val="left" w:pos="2268"/>
      </w:tabs>
      <w:spacing w:before="60"/>
      <w:ind w:left="2268" w:hanging="567"/>
    </w:pPr>
  </w:style>
  <w:style w:type="paragraph" w:styleId="EndnoteText">
    <w:name w:val="endnote text"/>
    <w:basedOn w:val="Normal"/>
    <w:link w:val="EndnoteTextChar"/>
    <w:uiPriority w:val="99"/>
    <w:semiHidden/>
    <w:unhideWhenUsed/>
    <w:locked/>
    <w:rsid w:val="00E3198A"/>
    <w:pPr>
      <w:spacing w:line="240" w:lineRule="auto"/>
    </w:pPr>
    <w:rPr>
      <w:sz w:val="20"/>
      <w:szCs w:val="20"/>
    </w:rPr>
  </w:style>
  <w:style w:type="character" w:customStyle="1" w:styleId="EndnoteTextChar">
    <w:name w:val="Endnote Text Char"/>
    <w:basedOn w:val="DefaultParagraphFont"/>
    <w:link w:val="EndnoteText"/>
    <w:uiPriority w:val="99"/>
    <w:semiHidden/>
    <w:rsid w:val="00E3198A"/>
    <w:rPr>
      <w:sz w:val="20"/>
      <w:szCs w:val="20"/>
    </w:rPr>
  </w:style>
  <w:style w:type="character" w:styleId="EndnoteReference">
    <w:name w:val="endnote reference"/>
    <w:basedOn w:val="DefaultParagraphFont"/>
    <w:uiPriority w:val="99"/>
    <w:semiHidden/>
    <w:unhideWhenUsed/>
    <w:locked/>
    <w:rsid w:val="00E3198A"/>
    <w:rPr>
      <w:vertAlign w:val="superscript"/>
    </w:rPr>
  </w:style>
  <w:style w:type="paragraph" w:customStyle="1" w:styleId="Default">
    <w:name w:val="Default"/>
    <w:rsid w:val="00E3198A"/>
    <w:pPr>
      <w:autoSpaceDE w:val="0"/>
      <w:autoSpaceDN w:val="0"/>
      <w:adjustRightInd w:val="0"/>
    </w:pPr>
    <w:rPr>
      <w:rFonts w:cs="Univers"/>
      <w:color w:val="000000"/>
      <w:sz w:val="24"/>
      <w:szCs w:val="24"/>
    </w:rPr>
  </w:style>
  <w:style w:type="paragraph" w:styleId="PlainText">
    <w:name w:val="Plain Text"/>
    <w:basedOn w:val="Normal"/>
    <w:link w:val="PlainTextChar"/>
    <w:uiPriority w:val="99"/>
    <w:semiHidden/>
    <w:unhideWhenUsed/>
    <w:locked/>
    <w:rsid w:val="00E3198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3198A"/>
    <w:rPr>
      <w:rFonts w:ascii="Calibri" w:eastAsiaTheme="minorHAnsi" w:hAnsi="Calibri" w:cstheme="minorBidi"/>
      <w:sz w:val="22"/>
      <w:szCs w:val="21"/>
      <w:lang w:eastAsia="en-US"/>
    </w:rPr>
  </w:style>
  <w:style w:type="paragraph" w:styleId="ListParagraph">
    <w:name w:val="List Paragraph"/>
    <w:basedOn w:val="Normal"/>
    <w:uiPriority w:val="34"/>
    <w:qFormat/>
    <w:locked/>
    <w:rsid w:val="00E3198A"/>
    <w:pPr>
      <w:tabs>
        <w:tab w:val="clear" w:pos="720"/>
        <w:tab w:val="clear" w:pos="1440"/>
        <w:tab w:val="clear" w:pos="2160"/>
        <w:tab w:val="clear" w:pos="2880"/>
        <w:tab w:val="clear" w:pos="3600"/>
        <w:tab w:val="clear" w:pos="4320"/>
        <w:tab w:val="clear" w:pos="5040"/>
        <w:tab w:val="clear" w:pos="5760"/>
        <w:tab w:val="clear" w:pos="6480"/>
        <w:tab w:val="clear" w:pos="7200"/>
      </w:tabs>
      <w:spacing w:after="160" w:line="259" w:lineRule="auto"/>
      <w:ind w:left="720" w:right="0" w:firstLine="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locked/>
    <w:rsid w:val="00E3198A"/>
    <w:rPr>
      <w:color w:val="800080" w:themeColor="followedHyperlink"/>
      <w:u w:val="single"/>
    </w:rPr>
  </w:style>
  <w:style w:type="paragraph" w:customStyle="1" w:styleId="Body">
    <w:name w:val="Body"/>
    <w:basedOn w:val="Normal"/>
    <w:qFormat/>
    <w:rsid w:val="00F77E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F77E33"/>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F77E33"/>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F77E33"/>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F77E33"/>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F77E33"/>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7D6E8254-3DC3-4423-836F-2CB3A5B77538}">
  <ds:schemaRefs>
    <ds:schemaRef ds:uri="http://schemas.openxmlformats.org/officeDocument/2006/bibliography"/>
  </ds:schemaRefs>
</ds:datastoreItem>
</file>

<file path=customXml/itemProps4.xml><?xml version="1.0" encoding="utf-8"?>
<ds:datastoreItem xmlns:ds="http://schemas.openxmlformats.org/officeDocument/2006/customXml" ds:itemID="{23792A86-0658-4C44-9635-6355D18AE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121</Pages>
  <Words>32855</Words>
  <Characters>187276</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2022-09-05T05:20:00Z</dcterms:created>
  <dcterms:modified xsi:type="dcterms:W3CDTF">2022-09-06T03:09:00Z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