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8BC5" w14:textId="77777777" w:rsidR="00FA37F7" w:rsidRPr="00704FF8" w:rsidRDefault="00FA37F7" w:rsidP="00704FF8">
      <w:pPr>
        <w:pStyle w:val="OrdersTopLine"/>
      </w:pPr>
      <w:r w:rsidRPr="00704FF8">
        <w:t>HIGH COURT OF AUSTRALIA</w:t>
      </w:r>
    </w:p>
    <w:p w14:paraId="4B65D351" w14:textId="77777777" w:rsidR="00FA37F7" w:rsidRPr="00704FF8" w:rsidRDefault="00FA37F7" w:rsidP="00704FF8">
      <w:pPr>
        <w:pStyle w:val="OrderCentre"/>
      </w:pPr>
    </w:p>
    <w:p w14:paraId="1C68A099" w14:textId="77777777" w:rsidR="00FA37F7" w:rsidRPr="00704FF8" w:rsidRDefault="00FA37F7" w:rsidP="00704FF8">
      <w:pPr>
        <w:pStyle w:val="OrderCentre"/>
      </w:pPr>
      <w:r w:rsidRPr="00704FF8">
        <w:t>KIEFEL CJ</w:t>
      </w:r>
      <w:r>
        <w:t>,</w:t>
      </w:r>
    </w:p>
    <w:p w14:paraId="74E5BCB6" w14:textId="77777777" w:rsidR="00FA37F7" w:rsidRPr="00704FF8" w:rsidRDefault="00FA37F7" w:rsidP="00704FF8">
      <w:pPr>
        <w:pStyle w:val="OrderCentre"/>
      </w:pPr>
      <w:r w:rsidRPr="00704FF8">
        <w:t>GAGELER, GORDON</w:t>
      </w:r>
      <w:r>
        <w:t xml:space="preserve">, </w:t>
      </w:r>
      <w:r w:rsidRPr="00704FF8">
        <w:t xml:space="preserve">EDELMAN AND </w:t>
      </w:r>
      <w:r w:rsidRPr="004C496B">
        <w:t xml:space="preserve">STEWARD </w:t>
      </w:r>
      <w:r w:rsidRPr="00704FF8">
        <w:t>JJ</w:t>
      </w:r>
    </w:p>
    <w:p w14:paraId="2C8575A0" w14:textId="77777777" w:rsidR="00FA37F7" w:rsidRPr="00427F3A" w:rsidRDefault="00FA37F7" w:rsidP="00EE5374">
      <w:pPr>
        <w:pStyle w:val="Centre"/>
        <w:rPr>
          <w:lang w:val="en-AU"/>
        </w:rPr>
      </w:pPr>
    </w:p>
    <w:p w14:paraId="16FE36FF" w14:textId="77777777" w:rsidR="00FA37F7" w:rsidRPr="00704FF8" w:rsidRDefault="00FA37F7" w:rsidP="00704FF8">
      <w:pPr>
        <w:pStyle w:val="OrdersCenteredBorder"/>
      </w:pPr>
    </w:p>
    <w:p w14:paraId="31908D22" w14:textId="77777777" w:rsidR="00FA37F7" w:rsidRPr="00704FF8" w:rsidRDefault="00FA37F7" w:rsidP="0032341F">
      <w:pPr>
        <w:pStyle w:val="OrdersBodyHeading"/>
      </w:pPr>
    </w:p>
    <w:p w14:paraId="1183298C" w14:textId="77777777" w:rsidR="00FA37F7" w:rsidRPr="0032341F" w:rsidRDefault="00FA37F7" w:rsidP="009362E8">
      <w:pPr>
        <w:pStyle w:val="OrdersPartyName"/>
        <w:ind w:right="-1"/>
      </w:pPr>
      <w:r w:rsidRPr="007C33D8">
        <w:t>BHP GROUP LIMITED</w:t>
      </w:r>
      <w:r w:rsidRPr="0032341F">
        <w:tab/>
        <w:t>APPELLANT</w:t>
      </w:r>
    </w:p>
    <w:p w14:paraId="6FDD8B51" w14:textId="77777777" w:rsidR="00FA37F7" w:rsidRPr="0032341F" w:rsidRDefault="00FA37F7" w:rsidP="009362E8">
      <w:pPr>
        <w:pStyle w:val="OrdersPartyName"/>
        <w:ind w:right="-1"/>
      </w:pPr>
    </w:p>
    <w:p w14:paraId="213689C1" w14:textId="77777777" w:rsidR="00FA37F7" w:rsidRPr="0032341F" w:rsidRDefault="00FA37F7" w:rsidP="009362E8">
      <w:pPr>
        <w:pStyle w:val="OrdersPartyName"/>
        <w:ind w:right="-1"/>
      </w:pPr>
      <w:r w:rsidRPr="0032341F">
        <w:t>AND</w:t>
      </w:r>
    </w:p>
    <w:p w14:paraId="444F772C" w14:textId="77777777" w:rsidR="00FA37F7" w:rsidRPr="0032341F" w:rsidRDefault="00FA37F7" w:rsidP="009362E8">
      <w:pPr>
        <w:pStyle w:val="OrdersPartyName"/>
        <w:ind w:right="-1"/>
      </w:pPr>
    </w:p>
    <w:p w14:paraId="379BA675" w14:textId="77777777" w:rsidR="00FA37F7" w:rsidRPr="0032341F" w:rsidRDefault="00FA37F7" w:rsidP="009362E8">
      <w:pPr>
        <w:pStyle w:val="OrdersPartyName"/>
        <w:ind w:right="-1"/>
      </w:pPr>
      <w:r w:rsidRPr="007C33D8">
        <w:t>VINCE IMPIOMBATO &amp; ANOR</w:t>
      </w:r>
      <w:r w:rsidRPr="0032341F">
        <w:tab/>
        <w:t>RESPONDENT</w:t>
      </w:r>
      <w:r>
        <w:t>S</w:t>
      </w:r>
    </w:p>
    <w:p w14:paraId="694D9751" w14:textId="77777777" w:rsidR="00FA37F7" w:rsidRPr="00427F3A" w:rsidRDefault="00FA37F7" w:rsidP="00AF0A5E">
      <w:pPr>
        <w:pStyle w:val="BodyHeading"/>
      </w:pPr>
    </w:p>
    <w:p w14:paraId="60B2DCD5" w14:textId="77777777" w:rsidR="00FA37F7" w:rsidRPr="00427F3A" w:rsidRDefault="00FA37F7" w:rsidP="00BE0A6C">
      <w:pPr>
        <w:pStyle w:val="BodyHeading"/>
      </w:pPr>
    </w:p>
    <w:p w14:paraId="48CED27C" w14:textId="77777777" w:rsidR="00FA37F7" w:rsidRPr="00427F3A" w:rsidRDefault="00FA37F7" w:rsidP="00EE5374">
      <w:pPr>
        <w:pStyle w:val="CentreItalics"/>
      </w:pPr>
      <w:r w:rsidRPr="007C33D8">
        <w:t>BHP Group Limited v Impiombato</w:t>
      </w:r>
    </w:p>
    <w:p w14:paraId="416DC998" w14:textId="77777777" w:rsidR="00FA37F7" w:rsidRPr="00427F3A" w:rsidRDefault="00FA37F7" w:rsidP="00E90E4F">
      <w:pPr>
        <w:pStyle w:val="OrdersCentre"/>
      </w:pPr>
      <w:r>
        <w:t>[2022</w:t>
      </w:r>
      <w:r w:rsidRPr="00427F3A">
        <w:t xml:space="preserve">] HCA </w:t>
      </w:r>
      <w:r>
        <w:t>33</w:t>
      </w:r>
    </w:p>
    <w:p w14:paraId="2BDBB14C" w14:textId="77777777" w:rsidR="00FA37F7" w:rsidRDefault="00FA37F7" w:rsidP="00E90E4F">
      <w:pPr>
        <w:pStyle w:val="OrdersCentreItalics"/>
      </w:pPr>
      <w:r>
        <w:t xml:space="preserve">Date of Hearing: </w:t>
      </w:r>
      <w:r w:rsidRPr="007C33D8">
        <w:t>9 August 2022</w:t>
      </w:r>
    </w:p>
    <w:p w14:paraId="262D8BB9" w14:textId="77777777" w:rsidR="00FA37F7" w:rsidRPr="00427F3A" w:rsidRDefault="00FA37F7" w:rsidP="00E90E4F">
      <w:pPr>
        <w:pStyle w:val="OrdersCentreItalics"/>
      </w:pPr>
      <w:r>
        <w:t>Date of Judgment: 12 October 2022</w:t>
      </w:r>
    </w:p>
    <w:p w14:paraId="3C560D40" w14:textId="77777777" w:rsidR="00FA37F7" w:rsidRDefault="00FA37F7" w:rsidP="00E90E4F">
      <w:pPr>
        <w:pStyle w:val="OrdersCentre"/>
      </w:pPr>
      <w:r w:rsidRPr="007C33D8">
        <w:t>M12/2022</w:t>
      </w:r>
    </w:p>
    <w:p w14:paraId="4C47304F" w14:textId="77777777" w:rsidR="00FA37F7" w:rsidRPr="00427F3A" w:rsidRDefault="00FA37F7" w:rsidP="00E90E4F">
      <w:pPr>
        <w:pStyle w:val="OrdersCentre"/>
      </w:pPr>
    </w:p>
    <w:p w14:paraId="62151B4B" w14:textId="77777777" w:rsidR="00FA37F7" w:rsidRPr="00BE0A6C" w:rsidRDefault="00FA37F7" w:rsidP="00E90E4F">
      <w:pPr>
        <w:pStyle w:val="OrderCentreBold"/>
      </w:pPr>
      <w:r w:rsidRPr="00BE0A6C">
        <w:t>ORDER</w:t>
      </w:r>
    </w:p>
    <w:p w14:paraId="5EC4E8DB" w14:textId="77777777" w:rsidR="00FA37F7" w:rsidRPr="00427F3A" w:rsidRDefault="00FA37F7" w:rsidP="00736C52">
      <w:pPr>
        <w:pStyle w:val="Centre"/>
        <w:rPr>
          <w:lang w:val="en-AU"/>
        </w:rPr>
      </w:pPr>
    </w:p>
    <w:p w14:paraId="432606E1" w14:textId="77777777" w:rsidR="00FA37F7" w:rsidRPr="00CB0B1F" w:rsidRDefault="00FA37F7" w:rsidP="00CB0B1F">
      <w:pPr>
        <w:pStyle w:val="OrdersText"/>
      </w:pPr>
      <w:r w:rsidRPr="00CB0B1F">
        <w:t>Appeal dismissed with costs.</w:t>
      </w:r>
    </w:p>
    <w:p w14:paraId="24E2C01B" w14:textId="77777777" w:rsidR="00FA37F7" w:rsidRDefault="00FA37F7" w:rsidP="00EE5374">
      <w:pPr>
        <w:pStyle w:val="Body"/>
      </w:pPr>
    </w:p>
    <w:p w14:paraId="29F08189" w14:textId="77777777" w:rsidR="00FA37F7" w:rsidRPr="00427F3A" w:rsidRDefault="00FA37F7" w:rsidP="00EE5374">
      <w:pPr>
        <w:pStyle w:val="Body"/>
      </w:pPr>
    </w:p>
    <w:p w14:paraId="0AA62151" w14:textId="77777777" w:rsidR="00FA37F7" w:rsidRPr="00427F3A" w:rsidRDefault="00FA37F7" w:rsidP="0032341F">
      <w:pPr>
        <w:pStyle w:val="OrdersBody"/>
      </w:pPr>
      <w:r w:rsidRPr="00427F3A">
        <w:t xml:space="preserve">On appeal from the </w:t>
      </w:r>
      <w:r w:rsidRPr="007C33D8">
        <w:t>Federal Court of Australia</w:t>
      </w:r>
    </w:p>
    <w:p w14:paraId="2258CAEA" w14:textId="77777777" w:rsidR="00FA37F7" w:rsidRDefault="00FA37F7" w:rsidP="00EE5374">
      <w:pPr>
        <w:pStyle w:val="Body"/>
      </w:pPr>
    </w:p>
    <w:p w14:paraId="436D261C" w14:textId="77777777" w:rsidR="00FA37F7" w:rsidRPr="00427F3A" w:rsidRDefault="00FA37F7" w:rsidP="00EE5374">
      <w:pPr>
        <w:pStyle w:val="Body"/>
      </w:pPr>
    </w:p>
    <w:p w14:paraId="4D5BD55D" w14:textId="77777777" w:rsidR="00FA37F7" w:rsidRPr="00427F3A" w:rsidRDefault="00FA37F7" w:rsidP="00E90E4F">
      <w:pPr>
        <w:pStyle w:val="OrdersBodyHeading"/>
      </w:pPr>
      <w:r w:rsidRPr="00427F3A">
        <w:t>Representation</w:t>
      </w:r>
    </w:p>
    <w:p w14:paraId="57153EC7" w14:textId="77777777" w:rsidR="00FA37F7" w:rsidRDefault="00FA37F7" w:rsidP="00EE5374">
      <w:pPr>
        <w:pStyle w:val="Body"/>
      </w:pPr>
    </w:p>
    <w:p w14:paraId="65164B02" w14:textId="77777777" w:rsidR="00FA37F7" w:rsidRPr="007C33D8" w:rsidRDefault="00FA37F7" w:rsidP="00E90E4F">
      <w:pPr>
        <w:pStyle w:val="OrdersBody"/>
      </w:pPr>
      <w:r w:rsidRPr="007C33D8">
        <w:t xml:space="preserve">W A Harris </w:t>
      </w:r>
      <w:r>
        <w:t>Q</w:t>
      </w:r>
      <w:r w:rsidRPr="007C33D8">
        <w:t>C with J E Moir for the appellant (instructed by Herbert Smith Freehills)</w:t>
      </w:r>
    </w:p>
    <w:p w14:paraId="23486917" w14:textId="77777777" w:rsidR="00FA37F7" w:rsidRPr="007C33D8" w:rsidRDefault="00FA37F7" w:rsidP="001B3C97">
      <w:pPr>
        <w:pStyle w:val="Body"/>
      </w:pPr>
    </w:p>
    <w:p w14:paraId="2BF45745" w14:textId="77777777" w:rsidR="00FA37F7" w:rsidRPr="007C33D8" w:rsidRDefault="00FA37F7" w:rsidP="00E90E4F">
      <w:pPr>
        <w:pStyle w:val="OrdersBody"/>
      </w:pPr>
      <w:r w:rsidRPr="007C33D8">
        <w:t>J T Gleeson SC with A D Pound SC and E Levine for the respondents (instructed by Phi Finney McDonald and Maurice Blackburn Lawyers)</w:t>
      </w:r>
    </w:p>
    <w:p w14:paraId="57C4C995" w14:textId="77777777" w:rsidR="00FA37F7" w:rsidRDefault="00FA37F7" w:rsidP="00A01277">
      <w:pPr>
        <w:pStyle w:val="Body"/>
      </w:pPr>
    </w:p>
    <w:p w14:paraId="337638F7" w14:textId="77777777" w:rsidR="00FA37F7" w:rsidRDefault="00FA37F7" w:rsidP="00EE5374">
      <w:pPr>
        <w:pStyle w:val="Body"/>
      </w:pPr>
    </w:p>
    <w:p w14:paraId="59741B6B" w14:textId="77777777" w:rsidR="00FA37F7" w:rsidRPr="00427F3A" w:rsidRDefault="00FA37F7" w:rsidP="00EE5374">
      <w:pPr>
        <w:pStyle w:val="Body"/>
      </w:pPr>
    </w:p>
    <w:p w14:paraId="564CC0D8" w14:textId="77777777" w:rsidR="00FA37F7" w:rsidRPr="00427F3A" w:rsidRDefault="00FA37F7" w:rsidP="00F9713B">
      <w:pPr>
        <w:pStyle w:val="Notice"/>
        <w:rPr>
          <w:lang w:val="en-AU"/>
        </w:rPr>
      </w:pPr>
      <w:r w:rsidRPr="00427F3A">
        <w:rPr>
          <w:lang w:val="en-AU"/>
        </w:rPr>
        <w:t>Notice:  This copy of the Court's Reasons for Judgment is subject to formal revision prior to publication in the Commonwealth Law Reports.</w:t>
      </w:r>
    </w:p>
    <w:p w14:paraId="5A35E8A6" w14:textId="598F0AAA" w:rsidR="00FA37F7" w:rsidRDefault="00FA37F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5CB6B0B" w14:textId="77777777" w:rsidR="00FA37F7" w:rsidRDefault="00FA37F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FA37F7" w:rsidSect="00FA37F7">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79FA5DD1" w14:textId="77777777" w:rsidR="00FA37F7" w:rsidRPr="00054C14" w:rsidRDefault="00FA37F7" w:rsidP="00FA37F7">
      <w:pPr>
        <w:pStyle w:val="CatchwordsBold"/>
      </w:pPr>
      <w:r w:rsidRPr="00054C14">
        <w:lastRenderedPageBreak/>
        <w:t>CATCHWORDS</w:t>
      </w:r>
    </w:p>
    <w:p w14:paraId="14EE1A62" w14:textId="77777777" w:rsidR="00FA37F7" w:rsidRPr="00054C14" w:rsidRDefault="00FA37F7" w:rsidP="00FA37F7">
      <w:pPr>
        <w:pStyle w:val="CatchwordsBold"/>
      </w:pPr>
    </w:p>
    <w:p w14:paraId="0D76D408" w14:textId="77777777" w:rsidR="00FA37F7" w:rsidRDefault="00FA37F7" w:rsidP="00FA37F7">
      <w:pPr>
        <w:pStyle w:val="CatchwordsBold"/>
      </w:pPr>
      <w:r>
        <w:t xml:space="preserve">BHP Group Ltd v Impiombato </w:t>
      </w:r>
    </w:p>
    <w:p w14:paraId="22B0F3C0" w14:textId="77777777" w:rsidR="00FA37F7" w:rsidRDefault="00FA37F7" w:rsidP="00FA37F7">
      <w:pPr>
        <w:spacing w:line="240" w:lineRule="auto"/>
        <w:ind w:right="0" w:firstLine="0"/>
        <w:jc w:val="both"/>
        <w:rPr>
          <w:rFonts w:ascii="Times New Roman" w:hAnsi="Times New Roman"/>
        </w:rPr>
      </w:pPr>
    </w:p>
    <w:p w14:paraId="7983D31B" w14:textId="33713D8C" w:rsidR="00FA37F7" w:rsidRPr="00774AD1" w:rsidRDefault="00FA37F7" w:rsidP="00FA37F7">
      <w:pPr>
        <w:pStyle w:val="CatchwordsText"/>
      </w:pPr>
      <w:r w:rsidRPr="00FD56DF">
        <w:t>Statutes</w:t>
      </w:r>
      <w:r w:rsidRPr="007318A6">
        <w:t xml:space="preserve"> –</w:t>
      </w:r>
      <w:r>
        <w:t xml:space="preserve"> Interpretation </w:t>
      </w:r>
      <w:r w:rsidRPr="007318A6">
        <w:t>–</w:t>
      </w:r>
      <w:r>
        <w:t xml:space="preserve"> Territorial operation – Presumption against extraterritoriality – </w:t>
      </w:r>
      <w:r w:rsidRPr="0092522F">
        <w:rPr>
          <w:i/>
          <w:iCs/>
        </w:rPr>
        <w:t xml:space="preserve">Acts Interpretation Act 1901 </w:t>
      </w:r>
      <w:r w:rsidRPr="00F47494">
        <w:t>(Cth)</w:t>
      </w:r>
      <w:r w:rsidRPr="00493E74">
        <w:t>,</w:t>
      </w:r>
      <w:r>
        <w:t xml:space="preserve"> s 21(1)(b) – Where Pt IVA of the </w:t>
      </w:r>
      <w:r w:rsidRPr="0092522F">
        <w:rPr>
          <w:i/>
          <w:iCs/>
        </w:rPr>
        <w:t xml:space="preserve">Federal Court of Australia Act 1976 </w:t>
      </w:r>
      <w:r w:rsidRPr="00F47494">
        <w:t>(Cth)</w:t>
      </w:r>
      <w:r>
        <w:t xml:space="preserve"> permitted a person to commence a representative proceeding in the Federal Court of Australia on behalf of other persons ("group members") where certain statutory criteria were met – Where Pt</w:t>
      </w:r>
      <w:r w:rsidR="00EC0971">
        <w:t> </w:t>
      </w:r>
      <w:r>
        <w:t>IVA did not contain any express geographic or territorial restriction on the identity of persons who could be group members – Whether Pt IVA allowed claims to be brought on behalf of group members not resident in Australia</w:t>
      </w:r>
      <w:r w:rsidR="00EC0971">
        <w:t>.</w:t>
      </w:r>
      <w:r>
        <w:t xml:space="preserve"> </w:t>
      </w:r>
    </w:p>
    <w:p w14:paraId="5146A227" w14:textId="77777777" w:rsidR="00FA37F7" w:rsidRDefault="00FA37F7" w:rsidP="00FA37F7">
      <w:pPr>
        <w:pStyle w:val="CatchwordsText"/>
      </w:pPr>
    </w:p>
    <w:p w14:paraId="1DC78903" w14:textId="77777777" w:rsidR="00FA37F7" w:rsidRDefault="00FA37F7" w:rsidP="00FA37F7">
      <w:pPr>
        <w:pStyle w:val="CatchwordsText"/>
      </w:pPr>
      <w:r w:rsidRPr="00294DEA">
        <w:t>Words and phrases –</w:t>
      </w:r>
      <w:r>
        <w:t xml:space="preserve"> "central focus", "claims", "class action", "federal jurisdiction", "hinge", "in and of the Commonwealth", "matter", "object of legislative concern", "personal jurisdiction", "presumption", "presumption against extraterritoriality", "representative proceedings", "statutory construction", "statutory interpretation", "statutory presumption", "subject matter jurisdiction", "territorial connection", "territorial jurisdiction", "territorial restriction".  </w:t>
      </w:r>
    </w:p>
    <w:p w14:paraId="0ADFFF93" w14:textId="77777777" w:rsidR="00FA37F7" w:rsidRDefault="00FA37F7" w:rsidP="00FA37F7">
      <w:pPr>
        <w:pStyle w:val="CatchwordsText"/>
        <w:rPr>
          <w:i/>
        </w:rPr>
      </w:pPr>
    </w:p>
    <w:p w14:paraId="4E5C68D1" w14:textId="77777777" w:rsidR="00FA37F7" w:rsidRPr="009C36AA" w:rsidRDefault="00FA37F7" w:rsidP="00FA37F7">
      <w:pPr>
        <w:pStyle w:val="CatchwordsText"/>
        <w:rPr>
          <w:i/>
        </w:rPr>
      </w:pPr>
      <w:r w:rsidRPr="009C36AA">
        <w:rPr>
          <w:i/>
        </w:rPr>
        <w:t xml:space="preserve">Constitution, </w:t>
      </w:r>
      <w:r w:rsidRPr="009C36AA">
        <w:rPr>
          <w:iCs/>
        </w:rPr>
        <w:t>s 77(i).</w:t>
      </w:r>
    </w:p>
    <w:p w14:paraId="4A2DFF87" w14:textId="77777777" w:rsidR="00FA37F7" w:rsidRPr="009C36AA" w:rsidRDefault="00FA37F7" w:rsidP="00FA37F7">
      <w:pPr>
        <w:pStyle w:val="CatchwordsText"/>
        <w:rPr>
          <w:i/>
        </w:rPr>
      </w:pPr>
      <w:r>
        <w:rPr>
          <w:i/>
        </w:rPr>
        <w:t>Acts</w:t>
      </w:r>
      <w:r w:rsidRPr="00212A5E">
        <w:rPr>
          <w:i/>
        </w:rPr>
        <w:t xml:space="preserve"> </w:t>
      </w:r>
      <w:r>
        <w:rPr>
          <w:i/>
        </w:rPr>
        <w:t>Interpretation</w:t>
      </w:r>
      <w:r w:rsidRPr="00212A5E">
        <w:rPr>
          <w:i/>
        </w:rPr>
        <w:t xml:space="preserve"> Act </w:t>
      </w:r>
      <w:r>
        <w:rPr>
          <w:i/>
        </w:rPr>
        <w:t>1901</w:t>
      </w:r>
      <w:r w:rsidRPr="00212A5E">
        <w:rPr>
          <w:i/>
        </w:rPr>
        <w:t xml:space="preserve"> </w:t>
      </w:r>
      <w:r w:rsidRPr="009C36AA">
        <w:rPr>
          <w:i/>
        </w:rPr>
        <w:t xml:space="preserve">(Cth), </w:t>
      </w:r>
      <w:r w:rsidRPr="009C36AA">
        <w:rPr>
          <w:iCs/>
        </w:rPr>
        <w:t>s 21(1)(b).</w:t>
      </w:r>
    </w:p>
    <w:p w14:paraId="61B0C392" w14:textId="77777777" w:rsidR="00FA37F7" w:rsidRDefault="00FA37F7" w:rsidP="00FA37F7">
      <w:pPr>
        <w:pStyle w:val="CatchwordsText"/>
        <w:rPr>
          <w:i/>
        </w:rPr>
      </w:pPr>
      <w:r>
        <w:rPr>
          <w:i/>
        </w:rPr>
        <w:t>Federal Court of Australia Act 1976</w:t>
      </w:r>
      <w:r w:rsidRPr="002E4B1A">
        <w:rPr>
          <w:i/>
        </w:rPr>
        <w:t xml:space="preserve"> </w:t>
      </w:r>
      <w:r w:rsidRPr="002E4B1A">
        <w:t>(</w:t>
      </w:r>
      <w:r>
        <w:t>Cth</w:t>
      </w:r>
      <w:r w:rsidRPr="002E4B1A">
        <w:t>)</w:t>
      </w:r>
      <w:r>
        <w:t>, Pt IVA; ss 19, 33A, 33C, 33D, 33ZB.</w:t>
      </w:r>
    </w:p>
    <w:p w14:paraId="5F9900AF" w14:textId="54705DCD" w:rsidR="00FA37F7" w:rsidRDefault="00FA37F7" w:rsidP="00FA37F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4D1B8ED2" w14:textId="554B9699" w:rsidR="00FA37F7" w:rsidRDefault="00FA37F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FDD4E43" w14:textId="781042A5" w:rsidR="00FA37F7" w:rsidRDefault="00FA37F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2D999C5" w14:textId="77777777" w:rsidR="00FA37F7" w:rsidRDefault="00FA37F7" w:rsidP="007954B9">
      <w:pPr>
        <w:pStyle w:val="FixListStyle"/>
        <w:tabs>
          <w:tab w:val="clear" w:pos="720"/>
          <w:tab w:val="left" w:pos="0"/>
        </w:tabs>
        <w:spacing w:after="260" w:line="280" w:lineRule="exact"/>
        <w:ind w:right="0"/>
        <w:jc w:val="both"/>
        <w:rPr>
          <w:rFonts w:ascii="Times New Roman" w:hAnsi="Times New Roman"/>
        </w:rPr>
        <w:sectPr w:rsidR="00FA37F7" w:rsidSect="00FA37F7">
          <w:pgSz w:w="11907" w:h="16839" w:code="9"/>
          <w:pgMar w:top="1440" w:right="1701" w:bottom="1984" w:left="1701" w:header="720" w:footer="720" w:gutter="0"/>
          <w:pgNumType w:start="1"/>
          <w:cols w:space="720"/>
          <w:titlePg/>
          <w:docGrid w:linePitch="354"/>
        </w:sectPr>
      </w:pPr>
    </w:p>
    <w:p w14:paraId="5C45A196" w14:textId="3B6CDBB8" w:rsidR="00910143" w:rsidRPr="007954B9" w:rsidRDefault="007954B9" w:rsidP="007954B9">
      <w:pPr>
        <w:pStyle w:val="FixListStyle"/>
        <w:tabs>
          <w:tab w:val="clear" w:pos="720"/>
          <w:tab w:val="left" w:pos="0"/>
        </w:tabs>
        <w:spacing w:after="260" w:line="280" w:lineRule="exact"/>
        <w:ind w:right="0"/>
        <w:jc w:val="both"/>
        <w:rPr>
          <w:rFonts w:ascii="Times New Roman" w:hAnsi="Times New Roman"/>
        </w:rPr>
      </w:pPr>
      <w:r w:rsidRPr="007954B9">
        <w:rPr>
          <w:rFonts w:ascii="Times New Roman" w:hAnsi="Times New Roman"/>
        </w:rPr>
        <w:lastRenderedPageBreak/>
        <w:t xml:space="preserve">KIEFEL CJ AND GAGELER J.   </w:t>
      </w:r>
      <w:r w:rsidR="00910143" w:rsidRPr="007954B9">
        <w:rPr>
          <w:rFonts w:ascii="Times New Roman" w:hAnsi="Times New Roman"/>
        </w:rPr>
        <w:t xml:space="preserve">The question </w:t>
      </w:r>
      <w:r w:rsidR="002F7117" w:rsidRPr="007954B9">
        <w:rPr>
          <w:rFonts w:ascii="Times New Roman" w:hAnsi="Times New Roman"/>
        </w:rPr>
        <w:t xml:space="preserve">in this appeal </w:t>
      </w:r>
      <w:r w:rsidR="00D563E3" w:rsidRPr="007954B9">
        <w:rPr>
          <w:rFonts w:ascii="Times New Roman" w:hAnsi="Times New Roman"/>
        </w:rPr>
        <w:t>is w</w:t>
      </w:r>
      <w:r w:rsidR="00B95478" w:rsidRPr="007954B9">
        <w:rPr>
          <w:rFonts w:ascii="Times New Roman" w:hAnsi="Times New Roman"/>
        </w:rPr>
        <w:t>hether</w:t>
      </w:r>
      <w:r w:rsidR="00D563E3" w:rsidRPr="007954B9">
        <w:rPr>
          <w:rFonts w:ascii="Times New Roman" w:hAnsi="Times New Roman"/>
        </w:rPr>
        <w:t xml:space="preserve"> </w:t>
      </w:r>
      <w:r w:rsidR="00B95478" w:rsidRPr="007954B9">
        <w:rPr>
          <w:rFonts w:ascii="Times New Roman" w:hAnsi="Times New Roman"/>
        </w:rPr>
        <w:t xml:space="preserve">Pt IVA </w:t>
      </w:r>
      <w:r w:rsidR="00D563E3" w:rsidRPr="007954B9">
        <w:rPr>
          <w:rFonts w:ascii="Times New Roman" w:hAnsi="Times New Roman"/>
        </w:rPr>
        <w:t xml:space="preserve">of the </w:t>
      </w:r>
      <w:r w:rsidR="00B95478" w:rsidRPr="007954B9">
        <w:rPr>
          <w:rFonts w:ascii="Times New Roman" w:hAnsi="Times New Roman"/>
          <w:i/>
          <w:iCs/>
        </w:rPr>
        <w:t>F</w:t>
      </w:r>
      <w:r w:rsidR="00D563E3" w:rsidRPr="007954B9">
        <w:rPr>
          <w:rFonts w:ascii="Times New Roman" w:hAnsi="Times New Roman"/>
          <w:i/>
          <w:iCs/>
        </w:rPr>
        <w:t xml:space="preserve">ederal </w:t>
      </w:r>
      <w:r w:rsidR="00B95478" w:rsidRPr="007954B9">
        <w:rPr>
          <w:rFonts w:ascii="Times New Roman" w:hAnsi="Times New Roman"/>
          <w:i/>
          <w:iCs/>
        </w:rPr>
        <w:t>C</w:t>
      </w:r>
      <w:r w:rsidR="00D563E3" w:rsidRPr="007954B9">
        <w:rPr>
          <w:rFonts w:ascii="Times New Roman" w:hAnsi="Times New Roman"/>
          <w:i/>
          <w:iCs/>
        </w:rPr>
        <w:t xml:space="preserve">ourt of Australia </w:t>
      </w:r>
      <w:r w:rsidR="00B95478" w:rsidRPr="007954B9">
        <w:rPr>
          <w:rFonts w:ascii="Times New Roman" w:hAnsi="Times New Roman"/>
          <w:i/>
          <w:iCs/>
        </w:rPr>
        <w:t>A</w:t>
      </w:r>
      <w:r w:rsidR="00D563E3" w:rsidRPr="007954B9">
        <w:rPr>
          <w:rFonts w:ascii="Times New Roman" w:hAnsi="Times New Roman"/>
          <w:i/>
          <w:iCs/>
        </w:rPr>
        <w:t>ct</w:t>
      </w:r>
      <w:r w:rsidR="00A21BDF" w:rsidRPr="007954B9">
        <w:rPr>
          <w:rFonts w:ascii="Times New Roman" w:hAnsi="Times New Roman"/>
          <w:i/>
          <w:iCs/>
        </w:rPr>
        <w:t xml:space="preserve"> </w:t>
      </w:r>
      <w:r w:rsidR="005B3316" w:rsidRPr="007954B9">
        <w:rPr>
          <w:rFonts w:ascii="Times New Roman" w:hAnsi="Times New Roman"/>
          <w:i/>
          <w:iCs/>
        </w:rPr>
        <w:t>1976</w:t>
      </w:r>
      <w:r w:rsidR="005B3316" w:rsidRPr="007954B9">
        <w:rPr>
          <w:rFonts w:ascii="Times New Roman" w:hAnsi="Times New Roman"/>
        </w:rPr>
        <w:t xml:space="preserve"> (Cth)</w:t>
      </w:r>
      <w:r w:rsidR="00A21BDF" w:rsidRPr="007954B9">
        <w:rPr>
          <w:rFonts w:ascii="Times New Roman" w:hAnsi="Times New Roman"/>
        </w:rPr>
        <w:t xml:space="preserve"> </w:t>
      </w:r>
      <w:r w:rsidR="003B11FE" w:rsidRPr="007954B9">
        <w:rPr>
          <w:rFonts w:ascii="Times New Roman" w:hAnsi="Times New Roman"/>
        </w:rPr>
        <w:t xml:space="preserve">("the Act") </w:t>
      </w:r>
      <w:r w:rsidR="005B3316" w:rsidRPr="007954B9">
        <w:rPr>
          <w:rFonts w:ascii="Times New Roman" w:hAnsi="Times New Roman"/>
        </w:rPr>
        <w:t xml:space="preserve">permits </w:t>
      </w:r>
      <w:r w:rsidR="00C17DA4" w:rsidRPr="007954B9">
        <w:rPr>
          <w:rFonts w:ascii="Times New Roman" w:hAnsi="Times New Roman"/>
        </w:rPr>
        <w:t>representative proceedings</w:t>
      </w:r>
      <w:r w:rsidR="00A21BDF" w:rsidRPr="007954B9">
        <w:rPr>
          <w:rFonts w:ascii="Times New Roman" w:hAnsi="Times New Roman"/>
        </w:rPr>
        <w:t xml:space="preserve"> </w:t>
      </w:r>
      <w:r w:rsidR="003B11FE" w:rsidRPr="007954B9">
        <w:rPr>
          <w:rFonts w:ascii="Times New Roman" w:hAnsi="Times New Roman"/>
        </w:rPr>
        <w:t>to be brought in the Federal Court</w:t>
      </w:r>
      <w:r w:rsidR="006D75A2" w:rsidRPr="007954B9">
        <w:rPr>
          <w:rFonts w:ascii="Times New Roman" w:hAnsi="Times New Roman"/>
        </w:rPr>
        <w:t xml:space="preserve"> of Australia</w:t>
      </w:r>
      <w:r w:rsidR="003B11FE" w:rsidRPr="007954B9">
        <w:rPr>
          <w:rFonts w:ascii="Times New Roman" w:hAnsi="Times New Roman"/>
        </w:rPr>
        <w:t xml:space="preserve"> </w:t>
      </w:r>
      <w:r w:rsidR="00A21BDF" w:rsidRPr="007954B9">
        <w:rPr>
          <w:rFonts w:ascii="Times New Roman" w:hAnsi="Times New Roman"/>
        </w:rPr>
        <w:t xml:space="preserve">on behalf of group members who are not resident in Australia. </w:t>
      </w:r>
      <w:r w:rsidR="00744B6D" w:rsidRPr="007954B9">
        <w:rPr>
          <w:rFonts w:ascii="Times New Roman" w:hAnsi="Times New Roman"/>
        </w:rPr>
        <w:t xml:space="preserve">The question </w:t>
      </w:r>
      <w:r w:rsidR="00147CA6" w:rsidRPr="007954B9">
        <w:rPr>
          <w:rFonts w:ascii="Times New Roman" w:hAnsi="Times New Roman"/>
        </w:rPr>
        <w:t xml:space="preserve">is </w:t>
      </w:r>
      <w:r w:rsidR="002F7117" w:rsidRPr="007954B9">
        <w:rPr>
          <w:rFonts w:ascii="Times New Roman" w:hAnsi="Times New Roman"/>
        </w:rPr>
        <w:t xml:space="preserve">entirely </w:t>
      </w:r>
      <w:r w:rsidR="00147CA6" w:rsidRPr="007954B9">
        <w:rPr>
          <w:rFonts w:ascii="Times New Roman" w:hAnsi="Times New Roman"/>
        </w:rPr>
        <w:t>one of statutory construction.</w:t>
      </w:r>
    </w:p>
    <w:p w14:paraId="500B29F0" w14:textId="6684D1F9" w:rsidR="00A73989" w:rsidRPr="007954B9" w:rsidRDefault="00910143"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B95478" w:rsidRPr="007954B9">
        <w:rPr>
          <w:rFonts w:ascii="Times New Roman" w:hAnsi="Times New Roman"/>
        </w:rPr>
        <w:t>T</w:t>
      </w:r>
      <w:r w:rsidR="00A21BDF" w:rsidRPr="007954B9">
        <w:rPr>
          <w:rFonts w:ascii="Times New Roman" w:hAnsi="Times New Roman"/>
        </w:rPr>
        <w:t>he question has arisen</w:t>
      </w:r>
      <w:r w:rsidR="00B95478" w:rsidRPr="007954B9">
        <w:rPr>
          <w:rFonts w:ascii="Times New Roman" w:hAnsi="Times New Roman"/>
        </w:rPr>
        <w:t xml:space="preserve"> at an interlocutory stage</w:t>
      </w:r>
      <w:r w:rsidR="00733E91" w:rsidRPr="007954B9">
        <w:rPr>
          <w:rFonts w:ascii="Times New Roman" w:hAnsi="Times New Roman"/>
        </w:rPr>
        <w:t xml:space="preserve"> of a </w:t>
      </w:r>
      <w:r w:rsidR="00454501" w:rsidRPr="007954B9">
        <w:rPr>
          <w:rFonts w:ascii="Times New Roman" w:hAnsi="Times New Roman"/>
        </w:rPr>
        <w:t>representative proceeding</w:t>
      </w:r>
      <w:r w:rsidR="00522849" w:rsidRPr="007954B9">
        <w:rPr>
          <w:rFonts w:ascii="Times New Roman" w:hAnsi="Times New Roman"/>
        </w:rPr>
        <w:t xml:space="preserve"> </w:t>
      </w:r>
      <w:r w:rsidR="004E52B4" w:rsidRPr="007954B9">
        <w:rPr>
          <w:rFonts w:ascii="Times New Roman" w:hAnsi="Times New Roman"/>
        </w:rPr>
        <w:t>brought</w:t>
      </w:r>
      <w:r w:rsidR="00EB16F4" w:rsidRPr="007954B9">
        <w:rPr>
          <w:rFonts w:ascii="Times New Roman" w:hAnsi="Times New Roman"/>
        </w:rPr>
        <w:t xml:space="preserve"> by </w:t>
      </w:r>
      <w:r w:rsidR="00AE7791" w:rsidRPr="007954B9">
        <w:rPr>
          <w:rFonts w:ascii="Times New Roman" w:hAnsi="Times New Roman"/>
        </w:rPr>
        <w:t>the resp</w:t>
      </w:r>
      <w:r w:rsidR="00DE1F6A" w:rsidRPr="007954B9">
        <w:rPr>
          <w:rFonts w:ascii="Times New Roman" w:hAnsi="Times New Roman"/>
        </w:rPr>
        <w:t xml:space="preserve">ondents </w:t>
      </w:r>
      <w:r w:rsidR="00EB16F4" w:rsidRPr="007954B9">
        <w:rPr>
          <w:rFonts w:ascii="Times New Roman" w:hAnsi="Times New Roman"/>
        </w:rPr>
        <w:t>against the appellant, BHP Group Ltd ("BHP")</w:t>
      </w:r>
      <w:r w:rsidR="00870727" w:rsidRPr="007954B9">
        <w:rPr>
          <w:rFonts w:ascii="Times New Roman" w:hAnsi="Times New Roman"/>
        </w:rPr>
        <w:t xml:space="preserve">. </w:t>
      </w:r>
      <w:r w:rsidR="00EE2486" w:rsidRPr="007954B9">
        <w:rPr>
          <w:rFonts w:ascii="Times New Roman" w:hAnsi="Times New Roman"/>
        </w:rPr>
        <w:t xml:space="preserve">The proceeding </w:t>
      </w:r>
      <w:r w:rsidR="00617B53" w:rsidRPr="007954B9">
        <w:rPr>
          <w:rFonts w:ascii="Times New Roman" w:hAnsi="Times New Roman"/>
        </w:rPr>
        <w:t xml:space="preserve">is brought </w:t>
      </w:r>
      <w:r w:rsidR="00785CF2" w:rsidRPr="007954B9">
        <w:rPr>
          <w:rFonts w:ascii="Times New Roman" w:hAnsi="Times New Roman"/>
        </w:rPr>
        <w:t xml:space="preserve">on behalf of </w:t>
      </w:r>
      <w:r w:rsidR="00347EEA" w:rsidRPr="007954B9">
        <w:rPr>
          <w:rFonts w:ascii="Times New Roman" w:hAnsi="Times New Roman"/>
        </w:rPr>
        <w:t xml:space="preserve">group members </w:t>
      </w:r>
      <w:r w:rsidR="00C519E6" w:rsidRPr="007954B9">
        <w:rPr>
          <w:rFonts w:ascii="Times New Roman" w:hAnsi="Times New Roman"/>
        </w:rPr>
        <w:t xml:space="preserve">identified as </w:t>
      </w:r>
      <w:r w:rsidR="00785CF2" w:rsidRPr="007954B9">
        <w:rPr>
          <w:rFonts w:ascii="Times New Roman" w:hAnsi="Times New Roman"/>
        </w:rPr>
        <w:t xml:space="preserve">persons who </w:t>
      </w:r>
      <w:r w:rsidR="00826BF5" w:rsidRPr="007954B9">
        <w:rPr>
          <w:rFonts w:ascii="Times New Roman" w:hAnsi="Times New Roman"/>
        </w:rPr>
        <w:t>purchased shares in</w:t>
      </w:r>
      <w:r w:rsidR="00AB3CF3" w:rsidRPr="007954B9">
        <w:rPr>
          <w:rFonts w:ascii="Times New Roman" w:hAnsi="Times New Roman"/>
        </w:rPr>
        <w:t xml:space="preserve"> </w:t>
      </w:r>
      <w:r w:rsidR="00826BF5" w:rsidRPr="007954B9">
        <w:rPr>
          <w:rFonts w:ascii="Times New Roman" w:hAnsi="Times New Roman"/>
        </w:rPr>
        <w:t>BHP</w:t>
      </w:r>
      <w:r w:rsidR="001C126F" w:rsidRPr="007954B9">
        <w:rPr>
          <w:rFonts w:ascii="Times New Roman" w:hAnsi="Times New Roman"/>
        </w:rPr>
        <w:t xml:space="preserve"> </w:t>
      </w:r>
      <w:r w:rsidR="00BD39EF" w:rsidRPr="007954B9">
        <w:rPr>
          <w:rFonts w:ascii="Times New Roman" w:hAnsi="Times New Roman"/>
        </w:rPr>
        <w:t xml:space="preserve">or in </w:t>
      </w:r>
      <w:r w:rsidR="001C126F" w:rsidRPr="007954B9">
        <w:rPr>
          <w:rFonts w:ascii="Times New Roman" w:hAnsi="Times New Roman"/>
        </w:rPr>
        <w:t>BHP Group Plc</w:t>
      </w:r>
      <w:r w:rsidR="00BD39EF" w:rsidRPr="007954B9">
        <w:rPr>
          <w:rFonts w:ascii="Times New Roman" w:hAnsi="Times New Roman"/>
        </w:rPr>
        <w:t xml:space="preserve"> </w:t>
      </w:r>
      <w:r w:rsidR="00DD284D" w:rsidRPr="007954B9">
        <w:rPr>
          <w:rFonts w:ascii="Times New Roman" w:hAnsi="Times New Roman"/>
        </w:rPr>
        <w:t xml:space="preserve">during a defined period </w:t>
      </w:r>
      <w:r w:rsidR="00EC61AF" w:rsidRPr="007954B9">
        <w:rPr>
          <w:rFonts w:ascii="Times New Roman" w:hAnsi="Times New Roman"/>
        </w:rPr>
        <w:t xml:space="preserve">and who are alleged to have suffered loss </w:t>
      </w:r>
      <w:r w:rsidR="00E82B6B" w:rsidRPr="007954B9">
        <w:rPr>
          <w:rFonts w:ascii="Times New Roman" w:hAnsi="Times New Roman"/>
        </w:rPr>
        <w:t>result</w:t>
      </w:r>
      <w:r w:rsidR="00454501" w:rsidRPr="007954B9">
        <w:rPr>
          <w:rFonts w:ascii="Times New Roman" w:hAnsi="Times New Roman"/>
        </w:rPr>
        <w:t>ing from</w:t>
      </w:r>
      <w:r w:rsidR="00E82B6B" w:rsidRPr="007954B9">
        <w:rPr>
          <w:rFonts w:ascii="Times New Roman" w:hAnsi="Times New Roman"/>
        </w:rPr>
        <w:t xml:space="preserve"> </w:t>
      </w:r>
      <w:r w:rsidR="008473AE" w:rsidRPr="007954B9">
        <w:rPr>
          <w:rFonts w:ascii="Times New Roman" w:hAnsi="Times New Roman"/>
        </w:rPr>
        <w:t>conduct</w:t>
      </w:r>
      <w:r w:rsidR="00E82B6B" w:rsidRPr="007954B9">
        <w:rPr>
          <w:rFonts w:ascii="Times New Roman" w:hAnsi="Times New Roman"/>
        </w:rPr>
        <w:t xml:space="preserve"> </w:t>
      </w:r>
      <w:r w:rsidR="008473AE" w:rsidRPr="007954B9">
        <w:rPr>
          <w:rFonts w:ascii="Times New Roman" w:hAnsi="Times New Roman"/>
        </w:rPr>
        <w:t>of</w:t>
      </w:r>
      <w:r w:rsidR="00E82B6B" w:rsidRPr="007954B9">
        <w:rPr>
          <w:rFonts w:ascii="Times New Roman" w:hAnsi="Times New Roman"/>
        </w:rPr>
        <w:t xml:space="preserve"> BHP </w:t>
      </w:r>
      <w:r w:rsidR="008473AE" w:rsidRPr="007954B9">
        <w:rPr>
          <w:rFonts w:ascii="Times New Roman" w:hAnsi="Times New Roman"/>
        </w:rPr>
        <w:t xml:space="preserve">in </w:t>
      </w:r>
      <w:r w:rsidR="00454501" w:rsidRPr="007954B9">
        <w:rPr>
          <w:rFonts w:ascii="Times New Roman" w:hAnsi="Times New Roman"/>
        </w:rPr>
        <w:t>contravention</w:t>
      </w:r>
      <w:r w:rsidR="008473AE" w:rsidRPr="007954B9">
        <w:rPr>
          <w:rFonts w:ascii="Times New Roman" w:hAnsi="Times New Roman"/>
        </w:rPr>
        <w:t xml:space="preserve"> of </w:t>
      </w:r>
      <w:r w:rsidR="000B7FD9" w:rsidRPr="007954B9">
        <w:rPr>
          <w:rFonts w:ascii="Times New Roman" w:hAnsi="Times New Roman"/>
        </w:rPr>
        <w:t>ss 674(2) and 1041H</w:t>
      </w:r>
      <w:r w:rsidR="00334E04" w:rsidRPr="007954B9">
        <w:rPr>
          <w:rFonts w:ascii="Times New Roman" w:hAnsi="Times New Roman"/>
        </w:rPr>
        <w:t>(1)</w:t>
      </w:r>
      <w:r w:rsidR="000B7FD9" w:rsidRPr="007954B9">
        <w:rPr>
          <w:rFonts w:ascii="Times New Roman" w:hAnsi="Times New Roman"/>
        </w:rPr>
        <w:t xml:space="preserve"> </w:t>
      </w:r>
      <w:r w:rsidR="00864957" w:rsidRPr="007954B9">
        <w:rPr>
          <w:rFonts w:ascii="Times New Roman" w:hAnsi="Times New Roman"/>
        </w:rPr>
        <w:t xml:space="preserve">of the </w:t>
      </w:r>
      <w:r w:rsidR="00BA47F5" w:rsidRPr="007954B9">
        <w:rPr>
          <w:rFonts w:ascii="Times New Roman" w:hAnsi="Times New Roman"/>
          <w:i/>
          <w:iCs/>
        </w:rPr>
        <w:t>Corporations Act 2001</w:t>
      </w:r>
      <w:r w:rsidR="00BA47F5" w:rsidRPr="007954B9">
        <w:rPr>
          <w:rFonts w:ascii="Times New Roman" w:hAnsi="Times New Roman"/>
        </w:rPr>
        <w:t xml:space="preserve"> (Cth) and </w:t>
      </w:r>
      <w:r w:rsidR="000B7FD9" w:rsidRPr="007954B9">
        <w:rPr>
          <w:rFonts w:ascii="Times New Roman" w:hAnsi="Times New Roman"/>
        </w:rPr>
        <w:t>s 12DA</w:t>
      </w:r>
      <w:r w:rsidR="00334E04" w:rsidRPr="007954B9">
        <w:rPr>
          <w:rFonts w:ascii="Times New Roman" w:hAnsi="Times New Roman"/>
        </w:rPr>
        <w:t>(1)</w:t>
      </w:r>
      <w:r w:rsidR="000B7FD9" w:rsidRPr="007954B9">
        <w:rPr>
          <w:rFonts w:ascii="Times New Roman" w:hAnsi="Times New Roman"/>
        </w:rPr>
        <w:t xml:space="preserve"> </w:t>
      </w:r>
      <w:r w:rsidR="009E53D2" w:rsidRPr="007954B9">
        <w:rPr>
          <w:rFonts w:ascii="Times New Roman" w:hAnsi="Times New Roman"/>
        </w:rPr>
        <w:t xml:space="preserve">of </w:t>
      </w:r>
      <w:r w:rsidR="00BA47F5" w:rsidRPr="007954B9">
        <w:rPr>
          <w:rFonts w:ascii="Times New Roman" w:hAnsi="Times New Roman"/>
        </w:rPr>
        <w:t xml:space="preserve">the </w:t>
      </w:r>
      <w:r w:rsidR="00C04CCF" w:rsidRPr="007954B9">
        <w:rPr>
          <w:rFonts w:ascii="Times New Roman" w:hAnsi="Times New Roman"/>
          <w:i/>
          <w:iCs/>
        </w:rPr>
        <w:t>Australian Securities and Investments Commission Act 2001</w:t>
      </w:r>
      <w:r w:rsidR="00C04CCF" w:rsidRPr="007954B9">
        <w:rPr>
          <w:rFonts w:ascii="Times New Roman" w:hAnsi="Times New Roman"/>
        </w:rPr>
        <w:t xml:space="preserve"> (Cth)</w:t>
      </w:r>
      <w:r w:rsidR="003C35B4" w:rsidRPr="007954B9">
        <w:rPr>
          <w:rFonts w:ascii="Times New Roman" w:hAnsi="Times New Roman"/>
        </w:rPr>
        <w:t>.</w:t>
      </w:r>
      <w:r w:rsidR="00A96C9A" w:rsidRPr="007954B9">
        <w:rPr>
          <w:rFonts w:ascii="Times New Roman" w:hAnsi="Times New Roman"/>
          <w:b/>
          <w:bCs/>
        </w:rPr>
        <w:t xml:space="preserve"> </w:t>
      </w:r>
      <w:r w:rsidR="003C35B4" w:rsidRPr="007954B9">
        <w:rPr>
          <w:rFonts w:ascii="Times New Roman" w:hAnsi="Times New Roman"/>
        </w:rPr>
        <w:t>The proceeding is within</w:t>
      </w:r>
      <w:r w:rsidR="000B7FD9" w:rsidRPr="007954B9">
        <w:rPr>
          <w:rFonts w:ascii="Times New Roman" w:hAnsi="Times New Roman"/>
        </w:rPr>
        <w:t xml:space="preserve"> the</w:t>
      </w:r>
      <w:r w:rsidR="003C35B4" w:rsidRPr="007954B9">
        <w:rPr>
          <w:rFonts w:ascii="Times New Roman" w:hAnsi="Times New Roman"/>
        </w:rPr>
        <w:t xml:space="preserve"> </w:t>
      </w:r>
      <w:r w:rsidR="00F035E2" w:rsidRPr="007954B9">
        <w:rPr>
          <w:rFonts w:ascii="Times New Roman" w:hAnsi="Times New Roman"/>
        </w:rPr>
        <w:t xml:space="preserve">original </w:t>
      </w:r>
      <w:r w:rsidR="00FC1CD6" w:rsidRPr="007954B9">
        <w:rPr>
          <w:rFonts w:ascii="Times New Roman" w:hAnsi="Times New Roman"/>
        </w:rPr>
        <w:t xml:space="preserve">jurisdiction conferred </w:t>
      </w:r>
      <w:r w:rsidR="006D75A2" w:rsidRPr="007954B9">
        <w:rPr>
          <w:rFonts w:ascii="Times New Roman" w:hAnsi="Times New Roman"/>
        </w:rPr>
        <w:t xml:space="preserve">on the </w:t>
      </w:r>
      <w:r w:rsidR="00D936B4" w:rsidRPr="007954B9">
        <w:rPr>
          <w:rFonts w:ascii="Times New Roman" w:hAnsi="Times New Roman"/>
        </w:rPr>
        <w:t xml:space="preserve">Federal Court </w:t>
      </w:r>
      <w:r w:rsidR="00A801BE" w:rsidRPr="007954B9">
        <w:rPr>
          <w:rFonts w:ascii="Times New Roman" w:hAnsi="Times New Roman"/>
        </w:rPr>
        <w:t>by</w:t>
      </w:r>
      <w:r w:rsidR="00946B78" w:rsidRPr="007954B9">
        <w:rPr>
          <w:rFonts w:ascii="Times New Roman" w:hAnsi="Times New Roman"/>
        </w:rPr>
        <w:t xml:space="preserve"> s </w:t>
      </w:r>
      <w:r w:rsidR="002F1897" w:rsidRPr="007954B9">
        <w:rPr>
          <w:rFonts w:ascii="Times New Roman" w:hAnsi="Times New Roman"/>
        </w:rPr>
        <w:t>1337B</w:t>
      </w:r>
      <w:r w:rsidR="004849AC" w:rsidRPr="007954B9">
        <w:rPr>
          <w:rFonts w:ascii="Times New Roman" w:hAnsi="Times New Roman"/>
        </w:rPr>
        <w:t>(1)</w:t>
      </w:r>
      <w:r w:rsidR="002F1897" w:rsidRPr="007954B9">
        <w:rPr>
          <w:rFonts w:ascii="Times New Roman" w:hAnsi="Times New Roman"/>
        </w:rPr>
        <w:t xml:space="preserve"> of the </w:t>
      </w:r>
      <w:r w:rsidR="002F1897" w:rsidRPr="007954B9">
        <w:rPr>
          <w:rFonts w:ascii="Times New Roman" w:hAnsi="Times New Roman"/>
          <w:i/>
          <w:iCs/>
        </w:rPr>
        <w:t>Corporations Act</w:t>
      </w:r>
      <w:r w:rsidR="002F1897" w:rsidRPr="007954B9">
        <w:rPr>
          <w:rFonts w:ascii="Times New Roman" w:hAnsi="Times New Roman"/>
        </w:rPr>
        <w:t xml:space="preserve"> </w:t>
      </w:r>
      <w:r w:rsidR="00DF0031" w:rsidRPr="007954B9">
        <w:rPr>
          <w:rFonts w:ascii="Times New Roman" w:hAnsi="Times New Roman"/>
        </w:rPr>
        <w:t>a</w:t>
      </w:r>
      <w:r w:rsidR="00C61653" w:rsidRPr="007954B9">
        <w:rPr>
          <w:rFonts w:ascii="Times New Roman" w:hAnsi="Times New Roman"/>
        </w:rPr>
        <w:t>nd</w:t>
      </w:r>
      <w:r w:rsidR="00DF0031" w:rsidRPr="007954B9">
        <w:rPr>
          <w:rFonts w:ascii="Times New Roman" w:hAnsi="Times New Roman"/>
        </w:rPr>
        <w:t xml:space="preserve"> </w:t>
      </w:r>
      <w:r w:rsidR="002F1897" w:rsidRPr="007954B9">
        <w:rPr>
          <w:rFonts w:ascii="Times New Roman" w:hAnsi="Times New Roman"/>
        </w:rPr>
        <w:t>by</w:t>
      </w:r>
      <w:r w:rsidR="00946B78" w:rsidRPr="007954B9">
        <w:rPr>
          <w:rFonts w:ascii="Times New Roman" w:hAnsi="Times New Roman"/>
        </w:rPr>
        <w:t xml:space="preserve"> s </w:t>
      </w:r>
      <w:r w:rsidR="002F1897" w:rsidRPr="007954B9">
        <w:rPr>
          <w:rFonts w:ascii="Times New Roman" w:hAnsi="Times New Roman"/>
        </w:rPr>
        <w:t>39B</w:t>
      </w:r>
      <w:r w:rsidR="004849AC" w:rsidRPr="007954B9">
        <w:rPr>
          <w:rFonts w:ascii="Times New Roman" w:hAnsi="Times New Roman"/>
        </w:rPr>
        <w:t>(1</w:t>
      </w:r>
      <w:r w:rsidR="002F1897" w:rsidRPr="007954B9">
        <w:rPr>
          <w:rFonts w:ascii="Times New Roman" w:hAnsi="Times New Roman"/>
        </w:rPr>
        <w:t xml:space="preserve">A)(c) of </w:t>
      </w:r>
      <w:r w:rsidR="00DF0031" w:rsidRPr="007954B9">
        <w:rPr>
          <w:rFonts w:ascii="Times New Roman" w:hAnsi="Times New Roman"/>
        </w:rPr>
        <w:t xml:space="preserve">the </w:t>
      </w:r>
      <w:r w:rsidR="000A2449" w:rsidRPr="007954B9">
        <w:rPr>
          <w:rFonts w:ascii="Times New Roman" w:hAnsi="Times New Roman"/>
          <w:i/>
          <w:iCs/>
        </w:rPr>
        <w:t>Judiciary Act 1903</w:t>
      </w:r>
      <w:r w:rsidR="000A2449" w:rsidRPr="007954B9">
        <w:rPr>
          <w:rFonts w:ascii="Times New Roman" w:hAnsi="Times New Roman"/>
        </w:rPr>
        <w:t xml:space="preserve"> (Cth)</w:t>
      </w:r>
      <w:r w:rsidR="00C61653" w:rsidRPr="007954B9">
        <w:rPr>
          <w:rFonts w:ascii="Times New Roman" w:hAnsi="Times New Roman"/>
        </w:rPr>
        <w:t>.</w:t>
      </w:r>
    </w:p>
    <w:p w14:paraId="047A7303" w14:textId="2BC378C0" w:rsidR="008D1410" w:rsidRPr="007954B9" w:rsidRDefault="00171CEE"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AA0FE5" w:rsidRPr="007954B9">
        <w:rPr>
          <w:rFonts w:ascii="Times New Roman" w:hAnsi="Times New Roman"/>
        </w:rPr>
        <w:t>The primary judge (Moshinsky</w:t>
      </w:r>
      <w:r w:rsidR="00197D20" w:rsidRPr="007954B9">
        <w:rPr>
          <w:rFonts w:ascii="Times New Roman" w:hAnsi="Times New Roman"/>
        </w:rPr>
        <w:t> </w:t>
      </w:r>
      <w:r w:rsidR="00AA0FE5" w:rsidRPr="007954B9">
        <w:rPr>
          <w:rFonts w:ascii="Times New Roman" w:hAnsi="Times New Roman"/>
        </w:rPr>
        <w:t>J)</w:t>
      </w:r>
      <w:r w:rsidR="001E6B16" w:rsidRPr="007954B9">
        <w:rPr>
          <w:rStyle w:val="FootnoteReference"/>
          <w:rFonts w:ascii="Times New Roman" w:hAnsi="Times New Roman"/>
          <w:sz w:val="24"/>
        </w:rPr>
        <w:footnoteReference w:id="2"/>
      </w:r>
      <w:r w:rsidR="00AA0FE5" w:rsidRPr="007954B9">
        <w:rPr>
          <w:rFonts w:ascii="Times New Roman" w:hAnsi="Times New Roman"/>
        </w:rPr>
        <w:t xml:space="preserve"> and</w:t>
      </w:r>
      <w:r w:rsidR="0073092D" w:rsidRPr="007954B9">
        <w:rPr>
          <w:rFonts w:ascii="Times New Roman" w:hAnsi="Times New Roman"/>
        </w:rPr>
        <w:t xml:space="preserve">, on </w:t>
      </w:r>
      <w:r w:rsidR="00B555A7" w:rsidRPr="007954B9">
        <w:rPr>
          <w:rFonts w:ascii="Times New Roman" w:hAnsi="Times New Roman"/>
        </w:rPr>
        <w:t>appeal by leave,</w:t>
      </w:r>
      <w:r w:rsidR="00AA0FE5" w:rsidRPr="007954B9">
        <w:rPr>
          <w:rFonts w:ascii="Times New Roman" w:hAnsi="Times New Roman"/>
        </w:rPr>
        <w:t xml:space="preserve"> the Full Court</w:t>
      </w:r>
      <w:r w:rsidR="00116317" w:rsidRPr="007954B9">
        <w:rPr>
          <w:rFonts w:ascii="Times New Roman" w:hAnsi="Times New Roman"/>
        </w:rPr>
        <w:t xml:space="preserve"> of</w:t>
      </w:r>
      <w:r w:rsidR="00AA0FE5" w:rsidRPr="007954B9">
        <w:rPr>
          <w:rFonts w:ascii="Times New Roman" w:hAnsi="Times New Roman"/>
        </w:rPr>
        <w:t xml:space="preserve"> </w:t>
      </w:r>
      <w:r w:rsidR="00D256A0" w:rsidRPr="007954B9">
        <w:rPr>
          <w:rFonts w:ascii="Times New Roman" w:hAnsi="Times New Roman"/>
        </w:rPr>
        <w:t>the Federal Court</w:t>
      </w:r>
      <w:r w:rsidR="001E6B16" w:rsidRPr="007954B9">
        <w:rPr>
          <w:rFonts w:ascii="Times New Roman" w:hAnsi="Times New Roman"/>
        </w:rPr>
        <w:t xml:space="preserve"> (Middleton, McKerracher and Lee</w:t>
      </w:r>
      <w:r w:rsidR="00197D20" w:rsidRPr="007954B9">
        <w:rPr>
          <w:rFonts w:ascii="Times New Roman" w:hAnsi="Times New Roman"/>
        </w:rPr>
        <w:t> </w:t>
      </w:r>
      <w:r w:rsidR="001E6B16" w:rsidRPr="007954B9">
        <w:rPr>
          <w:rFonts w:ascii="Times New Roman" w:hAnsi="Times New Roman"/>
        </w:rPr>
        <w:t>JJ)</w:t>
      </w:r>
      <w:r w:rsidR="001E6B16" w:rsidRPr="007954B9">
        <w:rPr>
          <w:rStyle w:val="FootnoteReference"/>
          <w:rFonts w:ascii="Times New Roman" w:hAnsi="Times New Roman"/>
          <w:sz w:val="24"/>
        </w:rPr>
        <w:footnoteReference w:id="3"/>
      </w:r>
      <w:r w:rsidR="001E6B16" w:rsidRPr="007954B9">
        <w:rPr>
          <w:rFonts w:ascii="Times New Roman" w:hAnsi="Times New Roman"/>
        </w:rPr>
        <w:t xml:space="preserve"> </w:t>
      </w:r>
      <w:r w:rsidR="00714597" w:rsidRPr="007954B9">
        <w:rPr>
          <w:rFonts w:ascii="Times New Roman" w:hAnsi="Times New Roman"/>
        </w:rPr>
        <w:t xml:space="preserve">rejected </w:t>
      </w:r>
      <w:r w:rsidR="001948F6" w:rsidRPr="007954B9">
        <w:rPr>
          <w:rFonts w:ascii="Times New Roman" w:hAnsi="Times New Roman"/>
        </w:rPr>
        <w:t>an</w:t>
      </w:r>
      <w:r w:rsidR="00714597" w:rsidRPr="007954B9">
        <w:rPr>
          <w:rFonts w:ascii="Times New Roman" w:hAnsi="Times New Roman"/>
        </w:rPr>
        <w:t xml:space="preserve"> argument </w:t>
      </w:r>
      <w:r w:rsidR="00AC33D0" w:rsidRPr="007954B9">
        <w:rPr>
          <w:rFonts w:ascii="Times New Roman" w:hAnsi="Times New Roman"/>
        </w:rPr>
        <w:t xml:space="preserve">by </w:t>
      </w:r>
      <w:r w:rsidR="008102F7" w:rsidRPr="007954B9">
        <w:rPr>
          <w:rFonts w:ascii="Times New Roman" w:hAnsi="Times New Roman"/>
        </w:rPr>
        <w:t xml:space="preserve">BHP </w:t>
      </w:r>
      <w:r w:rsidR="00714597" w:rsidRPr="007954B9">
        <w:rPr>
          <w:rFonts w:ascii="Times New Roman" w:hAnsi="Times New Roman"/>
        </w:rPr>
        <w:t xml:space="preserve">that </w:t>
      </w:r>
      <w:r w:rsidR="007A0EA2" w:rsidRPr="007954B9">
        <w:rPr>
          <w:rFonts w:ascii="Times New Roman" w:hAnsi="Times New Roman"/>
        </w:rPr>
        <w:t xml:space="preserve">Pt IVA </w:t>
      </w:r>
      <w:r w:rsidR="008A16F8" w:rsidRPr="007954B9">
        <w:rPr>
          <w:rFonts w:ascii="Times New Roman" w:hAnsi="Times New Roman"/>
        </w:rPr>
        <w:t xml:space="preserve">of the Act </w:t>
      </w:r>
      <w:r w:rsidR="0057581A" w:rsidRPr="007954B9">
        <w:rPr>
          <w:rFonts w:ascii="Times New Roman" w:hAnsi="Times New Roman"/>
        </w:rPr>
        <w:t>does not permit</w:t>
      </w:r>
      <w:r w:rsidR="00BE6153" w:rsidRPr="007954B9">
        <w:rPr>
          <w:rFonts w:ascii="Times New Roman" w:hAnsi="Times New Roman"/>
        </w:rPr>
        <w:t xml:space="preserve"> group members</w:t>
      </w:r>
      <w:r w:rsidR="00822C47" w:rsidRPr="007954B9">
        <w:rPr>
          <w:rFonts w:ascii="Times New Roman" w:hAnsi="Times New Roman"/>
        </w:rPr>
        <w:t xml:space="preserve"> to include persons</w:t>
      </w:r>
      <w:r w:rsidR="0011140C" w:rsidRPr="007954B9">
        <w:rPr>
          <w:rFonts w:ascii="Times New Roman" w:hAnsi="Times New Roman"/>
        </w:rPr>
        <w:t xml:space="preserve"> who</w:t>
      </w:r>
      <w:r w:rsidR="00BE6153" w:rsidRPr="007954B9">
        <w:rPr>
          <w:rFonts w:ascii="Times New Roman" w:hAnsi="Times New Roman"/>
        </w:rPr>
        <w:t xml:space="preserve"> are not resident in Australia</w:t>
      </w:r>
      <w:r w:rsidR="0011140C" w:rsidRPr="007954B9">
        <w:rPr>
          <w:rFonts w:ascii="Times New Roman" w:hAnsi="Times New Roman"/>
        </w:rPr>
        <w:t xml:space="preserve">. </w:t>
      </w:r>
    </w:p>
    <w:p w14:paraId="7E722230" w14:textId="474D0951" w:rsidR="00171CEE" w:rsidRPr="007954B9" w:rsidRDefault="008D1410"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91385C" w:rsidRPr="007954B9">
        <w:rPr>
          <w:rFonts w:ascii="Times New Roman" w:hAnsi="Times New Roman"/>
        </w:rPr>
        <w:t>H</w:t>
      </w:r>
      <w:r w:rsidR="00441C2F" w:rsidRPr="007954B9">
        <w:rPr>
          <w:rFonts w:ascii="Times New Roman" w:hAnsi="Times New Roman"/>
        </w:rPr>
        <w:t xml:space="preserve">aving </w:t>
      </w:r>
      <w:r w:rsidR="00615CF5" w:rsidRPr="007954B9">
        <w:rPr>
          <w:rFonts w:ascii="Times New Roman" w:hAnsi="Times New Roman"/>
        </w:rPr>
        <w:t>been granted special leave to appeal</w:t>
      </w:r>
      <w:r w:rsidR="00B3573E" w:rsidRPr="007954B9">
        <w:rPr>
          <w:rFonts w:ascii="Times New Roman" w:hAnsi="Times New Roman"/>
        </w:rPr>
        <w:t xml:space="preserve"> </w:t>
      </w:r>
      <w:r w:rsidR="00CD43DF" w:rsidRPr="007954B9">
        <w:rPr>
          <w:rFonts w:ascii="Times New Roman" w:hAnsi="Times New Roman"/>
        </w:rPr>
        <w:t>to thi</w:t>
      </w:r>
      <w:r w:rsidR="00B3573E" w:rsidRPr="007954B9">
        <w:rPr>
          <w:rFonts w:ascii="Times New Roman" w:hAnsi="Times New Roman"/>
        </w:rPr>
        <w:t>s</w:t>
      </w:r>
      <w:r w:rsidR="00CD43DF" w:rsidRPr="007954B9">
        <w:rPr>
          <w:rFonts w:ascii="Times New Roman" w:hAnsi="Times New Roman"/>
        </w:rPr>
        <w:t xml:space="preserve"> Court</w:t>
      </w:r>
      <w:r w:rsidR="0091385C" w:rsidRPr="007954B9">
        <w:rPr>
          <w:rStyle w:val="FootnoteReference"/>
          <w:rFonts w:ascii="Times New Roman" w:hAnsi="Times New Roman"/>
          <w:sz w:val="24"/>
        </w:rPr>
        <w:footnoteReference w:id="4"/>
      </w:r>
      <w:r w:rsidRPr="007954B9">
        <w:rPr>
          <w:rFonts w:ascii="Times New Roman" w:hAnsi="Times New Roman"/>
        </w:rPr>
        <w:t xml:space="preserve">, </w:t>
      </w:r>
      <w:r w:rsidR="00597FC2" w:rsidRPr="007954B9">
        <w:rPr>
          <w:rFonts w:ascii="Times New Roman" w:hAnsi="Times New Roman"/>
        </w:rPr>
        <w:t xml:space="preserve">BHP </w:t>
      </w:r>
      <w:r w:rsidR="008A16F8" w:rsidRPr="007954B9">
        <w:rPr>
          <w:rFonts w:ascii="Times New Roman" w:hAnsi="Times New Roman"/>
        </w:rPr>
        <w:t xml:space="preserve">repeats </w:t>
      </w:r>
      <w:r w:rsidR="00B3573E" w:rsidRPr="007954B9">
        <w:rPr>
          <w:rFonts w:ascii="Times New Roman" w:hAnsi="Times New Roman"/>
        </w:rPr>
        <w:t xml:space="preserve">in the appeal </w:t>
      </w:r>
      <w:r w:rsidR="0092172F" w:rsidRPr="007954B9">
        <w:rPr>
          <w:rFonts w:ascii="Times New Roman" w:hAnsi="Times New Roman"/>
        </w:rPr>
        <w:t>its</w:t>
      </w:r>
      <w:r w:rsidR="008A16F8" w:rsidRPr="007954B9">
        <w:rPr>
          <w:rFonts w:ascii="Times New Roman" w:hAnsi="Times New Roman"/>
        </w:rPr>
        <w:t xml:space="preserve"> argument </w:t>
      </w:r>
      <w:r w:rsidR="007B4C17" w:rsidRPr="007954B9">
        <w:rPr>
          <w:rFonts w:ascii="Times New Roman" w:hAnsi="Times New Roman"/>
        </w:rPr>
        <w:t>unanimously rejected in the Federal Court</w:t>
      </w:r>
      <w:r w:rsidR="008A16F8" w:rsidRPr="007954B9">
        <w:rPr>
          <w:rFonts w:ascii="Times New Roman" w:hAnsi="Times New Roman"/>
        </w:rPr>
        <w:t xml:space="preserve">. </w:t>
      </w:r>
      <w:r w:rsidR="0091385C" w:rsidRPr="007954B9">
        <w:rPr>
          <w:rFonts w:ascii="Times New Roman" w:hAnsi="Times New Roman"/>
        </w:rPr>
        <w:t xml:space="preserve">For reasons which follow, </w:t>
      </w:r>
      <w:r w:rsidR="009A4E52" w:rsidRPr="007954B9">
        <w:rPr>
          <w:rFonts w:ascii="Times New Roman" w:hAnsi="Times New Roman"/>
        </w:rPr>
        <w:t>the argument must again be rejected</w:t>
      </w:r>
      <w:r w:rsidR="000E35C6" w:rsidRPr="007954B9">
        <w:rPr>
          <w:rFonts w:ascii="Times New Roman" w:hAnsi="Times New Roman"/>
        </w:rPr>
        <w:t xml:space="preserve">, </w:t>
      </w:r>
      <w:r w:rsidR="009A4E52" w:rsidRPr="007954B9">
        <w:rPr>
          <w:rFonts w:ascii="Times New Roman" w:hAnsi="Times New Roman"/>
        </w:rPr>
        <w:t>and the appeal must fail.</w:t>
      </w:r>
    </w:p>
    <w:p w14:paraId="0693988C" w14:textId="4738FD3D" w:rsidR="000E35C6" w:rsidRPr="007954B9" w:rsidRDefault="00F13028" w:rsidP="007954B9">
      <w:pPr>
        <w:pStyle w:val="HeadingL1"/>
        <w:spacing w:after="260" w:line="280" w:lineRule="exact"/>
        <w:ind w:right="0"/>
        <w:jc w:val="both"/>
        <w:rPr>
          <w:rFonts w:ascii="Times New Roman" w:hAnsi="Times New Roman"/>
        </w:rPr>
      </w:pPr>
      <w:r w:rsidRPr="007954B9">
        <w:rPr>
          <w:rFonts w:ascii="Times New Roman" w:hAnsi="Times New Roman"/>
        </w:rPr>
        <w:t>Part IVA</w:t>
      </w:r>
      <w:r w:rsidR="000E35C6" w:rsidRPr="007954B9">
        <w:rPr>
          <w:rFonts w:ascii="Times New Roman" w:hAnsi="Times New Roman"/>
        </w:rPr>
        <w:t xml:space="preserve"> of the Act</w:t>
      </w:r>
    </w:p>
    <w:p w14:paraId="5BDD6965" w14:textId="372D85D5" w:rsidR="007D73B5" w:rsidRPr="007954B9" w:rsidRDefault="00A22E37"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F13028" w:rsidRPr="007954B9">
        <w:rPr>
          <w:rFonts w:ascii="Times New Roman" w:hAnsi="Times New Roman"/>
        </w:rPr>
        <w:t>Part IVA</w:t>
      </w:r>
      <w:r w:rsidR="00691B3D" w:rsidRPr="007954B9">
        <w:rPr>
          <w:rFonts w:ascii="Times New Roman" w:hAnsi="Times New Roman"/>
        </w:rPr>
        <w:t xml:space="preserve"> </w:t>
      </w:r>
      <w:r w:rsidR="00FF3FD3" w:rsidRPr="007954B9">
        <w:rPr>
          <w:rFonts w:ascii="Times New Roman" w:hAnsi="Times New Roman"/>
        </w:rPr>
        <w:t xml:space="preserve">was </w:t>
      </w:r>
      <w:r w:rsidR="00D4045A" w:rsidRPr="007954B9">
        <w:rPr>
          <w:rFonts w:ascii="Times New Roman" w:hAnsi="Times New Roman"/>
        </w:rPr>
        <w:t xml:space="preserve">inserted </w:t>
      </w:r>
      <w:r w:rsidR="00FF3FD3" w:rsidRPr="007954B9">
        <w:rPr>
          <w:rFonts w:ascii="Times New Roman" w:hAnsi="Times New Roman"/>
        </w:rPr>
        <w:t>into the Act in 199</w:t>
      </w:r>
      <w:r w:rsidR="00C9047E" w:rsidRPr="007954B9">
        <w:rPr>
          <w:rFonts w:ascii="Times New Roman" w:hAnsi="Times New Roman"/>
        </w:rPr>
        <w:t>2</w:t>
      </w:r>
      <w:r w:rsidR="00682C71" w:rsidRPr="007954B9">
        <w:rPr>
          <w:rStyle w:val="FootnoteReference"/>
          <w:rFonts w:ascii="Times New Roman" w:hAnsi="Times New Roman"/>
          <w:sz w:val="24"/>
        </w:rPr>
        <w:footnoteReference w:id="5"/>
      </w:r>
      <w:r w:rsidR="001A0A33" w:rsidRPr="007954B9">
        <w:rPr>
          <w:rFonts w:ascii="Times New Roman" w:hAnsi="Times New Roman"/>
        </w:rPr>
        <w:t xml:space="preserve">. </w:t>
      </w:r>
      <w:r w:rsidR="00A03EB4" w:rsidRPr="007954B9">
        <w:rPr>
          <w:rFonts w:ascii="Times New Roman" w:hAnsi="Times New Roman"/>
        </w:rPr>
        <w:t>The Part</w:t>
      </w:r>
      <w:r w:rsidR="00FF3FD3" w:rsidRPr="007954B9">
        <w:rPr>
          <w:rFonts w:ascii="Times New Roman" w:hAnsi="Times New Roman"/>
        </w:rPr>
        <w:t xml:space="preserve"> </w:t>
      </w:r>
      <w:r w:rsidR="0065652F" w:rsidRPr="007954B9">
        <w:rPr>
          <w:rFonts w:ascii="Times New Roman" w:hAnsi="Times New Roman"/>
        </w:rPr>
        <w:t xml:space="preserve">has </w:t>
      </w:r>
      <w:r w:rsidR="00824F1C" w:rsidRPr="007954B9">
        <w:rPr>
          <w:rFonts w:ascii="Times New Roman" w:hAnsi="Times New Roman"/>
        </w:rPr>
        <w:t xml:space="preserve">now </w:t>
      </w:r>
      <w:r w:rsidR="0065652F" w:rsidRPr="007954B9">
        <w:rPr>
          <w:rFonts w:ascii="Times New Roman" w:hAnsi="Times New Roman"/>
        </w:rPr>
        <w:t xml:space="preserve">been </w:t>
      </w:r>
      <w:r w:rsidR="00FF3FD3" w:rsidRPr="007954B9">
        <w:rPr>
          <w:rFonts w:ascii="Times New Roman" w:hAnsi="Times New Roman"/>
        </w:rPr>
        <w:t>in operation</w:t>
      </w:r>
      <w:r w:rsidR="00AD3B05" w:rsidRPr="007954B9">
        <w:rPr>
          <w:rFonts w:ascii="Times New Roman" w:hAnsi="Times New Roman"/>
        </w:rPr>
        <w:t xml:space="preserve"> </w:t>
      </w:r>
      <w:r w:rsidR="0065652F" w:rsidRPr="007954B9">
        <w:rPr>
          <w:rFonts w:ascii="Times New Roman" w:hAnsi="Times New Roman"/>
        </w:rPr>
        <w:t xml:space="preserve">for more than </w:t>
      </w:r>
      <w:r w:rsidR="00C9047E" w:rsidRPr="007954B9">
        <w:rPr>
          <w:rFonts w:ascii="Times New Roman" w:hAnsi="Times New Roman"/>
        </w:rPr>
        <w:t>3</w:t>
      </w:r>
      <w:r w:rsidR="0065652F" w:rsidRPr="007954B9">
        <w:rPr>
          <w:rFonts w:ascii="Times New Roman" w:hAnsi="Times New Roman"/>
        </w:rPr>
        <w:t xml:space="preserve">0 years. </w:t>
      </w:r>
      <w:r w:rsidR="00E94E34" w:rsidRPr="007954B9">
        <w:rPr>
          <w:rFonts w:ascii="Times New Roman" w:hAnsi="Times New Roman"/>
        </w:rPr>
        <w:t xml:space="preserve">During that period, </w:t>
      </w:r>
      <w:r w:rsidR="00AA2796" w:rsidRPr="007954B9">
        <w:rPr>
          <w:rFonts w:ascii="Times New Roman" w:hAnsi="Times New Roman"/>
        </w:rPr>
        <w:t>i</w:t>
      </w:r>
      <w:r w:rsidR="00A03EB4" w:rsidRPr="007954B9">
        <w:rPr>
          <w:rFonts w:ascii="Times New Roman" w:hAnsi="Times New Roman"/>
        </w:rPr>
        <w:t xml:space="preserve">t </w:t>
      </w:r>
      <w:r w:rsidR="0065652F" w:rsidRPr="007954B9">
        <w:rPr>
          <w:rFonts w:ascii="Times New Roman" w:hAnsi="Times New Roman"/>
        </w:rPr>
        <w:t xml:space="preserve">and </w:t>
      </w:r>
      <w:r w:rsidR="002A1F9C" w:rsidRPr="007954B9">
        <w:rPr>
          <w:rFonts w:ascii="Times New Roman" w:hAnsi="Times New Roman"/>
        </w:rPr>
        <w:t xml:space="preserve">some of </w:t>
      </w:r>
      <w:r w:rsidR="0065652F" w:rsidRPr="007954B9">
        <w:rPr>
          <w:rFonts w:ascii="Times New Roman" w:hAnsi="Times New Roman"/>
        </w:rPr>
        <w:t xml:space="preserve">its more recent State </w:t>
      </w:r>
      <w:r w:rsidR="00A6702E" w:rsidRPr="007954B9">
        <w:rPr>
          <w:rFonts w:ascii="Times New Roman" w:hAnsi="Times New Roman"/>
        </w:rPr>
        <w:t>counterparts</w:t>
      </w:r>
      <w:r w:rsidR="0065652F" w:rsidRPr="007954B9">
        <w:rPr>
          <w:rFonts w:ascii="Times New Roman" w:hAnsi="Times New Roman"/>
        </w:rPr>
        <w:t xml:space="preserve"> have been considered by this </w:t>
      </w:r>
      <w:r w:rsidR="00241145" w:rsidRPr="007954B9">
        <w:rPr>
          <w:rFonts w:ascii="Times New Roman" w:hAnsi="Times New Roman"/>
        </w:rPr>
        <w:t xml:space="preserve">Court on </w:t>
      </w:r>
      <w:r w:rsidR="007D73B5" w:rsidRPr="007954B9">
        <w:rPr>
          <w:rFonts w:ascii="Times New Roman" w:hAnsi="Times New Roman"/>
        </w:rPr>
        <w:t>multiple occasions</w:t>
      </w:r>
      <w:r w:rsidR="000E379D" w:rsidRPr="007954B9">
        <w:rPr>
          <w:rStyle w:val="FootnoteReference"/>
          <w:rFonts w:ascii="Times New Roman" w:hAnsi="Times New Roman"/>
          <w:sz w:val="24"/>
        </w:rPr>
        <w:footnoteReference w:id="6"/>
      </w:r>
      <w:r w:rsidR="007D73B5" w:rsidRPr="007954B9">
        <w:rPr>
          <w:rFonts w:ascii="Times New Roman" w:hAnsi="Times New Roman"/>
        </w:rPr>
        <w:t xml:space="preserve">. </w:t>
      </w:r>
      <w:r w:rsidR="00964905" w:rsidRPr="007954B9">
        <w:rPr>
          <w:rFonts w:ascii="Times New Roman" w:hAnsi="Times New Roman"/>
        </w:rPr>
        <w:lastRenderedPageBreak/>
        <w:t xml:space="preserve">There is no need to traverse the detail </w:t>
      </w:r>
      <w:r w:rsidR="00793B85" w:rsidRPr="007954B9">
        <w:rPr>
          <w:rFonts w:ascii="Times New Roman" w:hAnsi="Times New Roman"/>
        </w:rPr>
        <w:t>of the Part.</w:t>
      </w:r>
      <w:r w:rsidR="000E379D" w:rsidRPr="007954B9">
        <w:rPr>
          <w:rFonts w:ascii="Times New Roman" w:hAnsi="Times New Roman"/>
        </w:rPr>
        <w:t xml:space="preserve"> </w:t>
      </w:r>
      <w:r w:rsidR="00793B85" w:rsidRPr="007954B9">
        <w:rPr>
          <w:rFonts w:ascii="Times New Roman" w:hAnsi="Times New Roman"/>
        </w:rPr>
        <w:t xml:space="preserve">Enough for </w:t>
      </w:r>
      <w:r w:rsidR="00E372C5" w:rsidRPr="007954B9">
        <w:rPr>
          <w:rFonts w:ascii="Times New Roman" w:hAnsi="Times New Roman"/>
        </w:rPr>
        <w:t>present</w:t>
      </w:r>
      <w:r w:rsidR="0046502E" w:rsidRPr="007954B9">
        <w:rPr>
          <w:rFonts w:ascii="Times New Roman" w:hAnsi="Times New Roman"/>
        </w:rPr>
        <w:t xml:space="preserve"> </w:t>
      </w:r>
      <w:r w:rsidR="000E379D" w:rsidRPr="007954B9">
        <w:rPr>
          <w:rFonts w:ascii="Times New Roman" w:hAnsi="Times New Roman"/>
        </w:rPr>
        <w:t>purposes</w:t>
      </w:r>
      <w:r w:rsidR="0046502E" w:rsidRPr="007954B9">
        <w:rPr>
          <w:rFonts w:ascii="Times New Roman" w:hAnsi="Times New Roman"/>
        </w:rPr>
        <w:t xml:space="preserve"> </w:t>
      </w:r>
      <w:r w:rsidR="0008744F" w:rsidRPr="007954B9">
        <w:rPr>
          <w:rFonts w:ascii="Times New Roman" w:hAnsi="Times New Roman"/>
        </w:rPr>
        <w:t xml:space="preserve">is to recall </w:t>
      </w:r>
      <w:r w:rsidR="00907AEC" w:rsidRPr="007954B9">
        <w:rPr>
          <w:rFonts w:ascii="Times New Roman" w:hAnsi="Times New Roman"/>
        </w:rPr>
        <w:t>some</w:t>
      </w:r>
      <w:r w:rsidR="0008744F" w:rsidRPr="007954B9">
        <w:rPr>
          <w:rFonts w:ascii="Times New Roman" w:hAnsi="Times New Roman"/>
        </w:rPr>
        <w:t xml:space="preserve"> </w:t>
      </w:r>
      <w:r w:rsidR="002D1B91" w:rsidRPr="007954B9">
        <w:rPr>
          <w:rFonts w:ascii="Times New Roman" w:hAnsi="Times New Roman"/>
        </w:rPr>
        <w:t>broad</w:t>
      </w:r>
      <w:r w:rsidR="0008744F" w:rsidRPr="007954B9">
        <w:rPr>
          <w:rFonts w:ascii="Times New Roman" w:hAnsi="Times New Roman"/>
        </w:rPr>
        <w:t xml:space="preserve"> features of </w:t>
      </w:r>
      <w:r w:rsidR="00C9047E" w:rsidRPr="007954B9">
        <w:rPr>
          <w:rFonts w:ascii="Times New Roman" w:hAnsi="Times New Roman"/>
        </w:rPr>
        <w:t xml:space="preserve">its </w:t>
      </w:r>
      <w:r w:rsidR="0008744F" w:rsidRPr="007954B9">
        <w:rPr>
          <w:rFonts w:ascii="Times New Roman" w:hAnsi="Times New Roman"/>
        </w:rPr>
        <w:t>operation</w:t>
      </w:r>
      <w:r w:rsidR="002D1B91" w:rsidRPr="007954B9">
        <w:rPr>
          <w:rFonts w:ascii="Times New Roman" w:hAnsi="Times New Roman"/>
        </w:rPr>
        <w:t>.</w:t>
      </w:r>
    </w:p>
    <w:p w14:paraId="641B06CF" w14:textId="2E2B1685" w:rsidR="00227EA9" w:rsidRPr="007954B9" w:rsidRDefault="002D1B91"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F13028" w:rsidRPr="007954B9">
        <w:rPr>
          <w:rFonts w:ascii="Times New Roman" w:hAnsi="Times New Roman"/>
        </w:rPr>
        <w:t>Part IVA</w:t>
      </w:r>
      <w:r w:rsidR="00064CB7" w:rsidRPr="007954B9">
        <w:rPr>
          <w:rFonts w:ascii="Times New Roman" w:hAnsi="Times New Roman"/>
        </w:rPr>
        <w:t>, as was</w:t>
      </w:r>
      <w:r w:rsidR="007301EF" w:rsidRPr="007954B9">
        <w:rPr>
          <w:rFonts w:ascii="Times New Roman" w:hAnsi="Times New Roman"/>
        </w:rPr>
        <w:t xml:space="preserve"> </w:t>
      </w:r>
      <w:r w:rsidR="00F370F5" w:rsidRPr="007954B9">
        <w:rPr>
          <w:rFonts w:ascii="Times New Roman" w:hAnsi="Times New Roman"/>
        </w:rPr>
        <w:t>expla</w:t>
      </w:r>
      <w:r w:rsidR="00D4650C" w:rsidRPr="007954B9">
        <w:rPr>
          <w:rFonts w:ascii="Times New Roman" w:hAnsi="Times New Roman"/>
        </w:rPr>
        <w:t>ined</w:t>
      </w:r>
      <w:r w:rsidR="00684ABE" w:rsidRPr="007954B9">
        <w:rPr>
          <w:rFonts w:ascii="Times New Roman" w:hAnsi="Times New Roman"/>
        </w:rPr>
        <w:t xml:space="preserve"> soon after </w:t>
      </w:r>
      <w:r w:rsidR="0046502E" w:rsidRPr="007954B9">
        <w:rPr>
          <w:rFonts w:ascii="Times New Roman" w:hAnsi="Times New Roman"/>
        </w:rPr>
        <w:t>its</w:t>
      </w:r>
      <w:r w:rsidR="00684ABE" w:rsidRPr="007954B9">
        <w:rPr>
          <w:rFonts w:ascii="Times New Roman" w:hAnsi="Times New Roman"/>
        </w:rPr>
        <w:t xml:space="preserve"> insertion</w:t>
      </w:r>
      <w:r w:rsidR="001D0DE2" w:rsidRPr="007954B9">
        <w:rPr>
          <w:rFonts w:ascii="Times New Roman" w:hAnsi="Times New Roman"/>
        </w:rPr>
        <w:t>,</w:t>
      </w:r>
      <w:r w:rsidR="001C3A93" w:rsidRPr="007954B9">
        <w:rPr>
          <w:rFonts w:ascii="Times New Roman" w:hAnsi="Times New Roman"/>
        </w:rPr>
        <w:t xml:space="preserve"> "assumes</w:t>
      </w:r>
      <w:r w:rsidR="00824F1C" w:rsidRPr="007954B9">
        <w:rPr>
          <w:rFonts w:ascii="Times New Roman" w:hAnsi="Times New Roman"/>
        </w:rPr>
        <w:t xml:space="preserve"> </w:t>
      </w:r>
      <w:r w:rsidR="00F70782" w:rsidRPr="007954B9">
        <w:rPr>
          <w:rFonts w:ascii="Times New Roman" w:hAnsi="Times New Roman"/>
        </w:rPr>
        <w:t>the investment</w:t>
      </w:r>
      <w:r w:rsidR="00824F1C" w:rsidRPr="007954B9">
        <w:rPr>
          <w:rFonts w:ascii="Times New Roman" w:hAnsi="Times New Roman"/>
        </w:rPr>
        <w:t xml:space="preserve"> </w:t>
      </w:r>
      <w:r w:rsidR="00A02FBB" w:rsidRPr="007954B9">
        <w:rPr>
          <w:rFonts w:ascii="Times New Roman" w:hAnsi="Times New Roman"/>
        </w:rPr>
        <w:t xml:space="preserve">by another law of </w:t>
      </w:r>
      <w:r w:rsidR="00923B2D" w:rsidRPr="007954B9">
        <w:rPr>
          <w:rFonts w:ascii="Times New Roman" w:hAnsi="Times New Roman"/>
        </w:rPr>
        <w:t>the Parliam</w:t>
      </w:r>
      <w:r w:rsidR="004C4E65" w:rsidRPr="007954B9">
        <w:rPr>
          <w:rFonts w:ascii="Times New Roman" w:hAnsi="Times New Roman"/>
        </w:rPr>
        <w:t>ent</w:t>
      </w:r>
      <w:r w:rsidR="00824F1C" w:rsidRPr="007954B9">
        <w:rPr>
          <w:rFonts w:ascii="Times New Roman" w:hAnsi="Times New Roman"/>
        </w:rPr>
        <w:t xml:space="preserve"> </w:t>
      </w:r>
      <w:r w:rsidR="00850C32" w:rsidRPr="007954B9">
        <w:rPr>
          <w:rFonts w:ascii="Times New Roman" w:hAnsi="Times New Roman"/>
        </w:rPr>
        <w:t>of [</w:t>
      </w:r>
      <w:r w:rsidR="000D47BB" w:rsidRPr="007954B9">
        <w:rPr>
          <w:rFonts w:ascii="Times New Roman" w:hAnsi="Times New Roman"/>
        </w:rPr>
        <w:t>the Federal Court]</w:t>
      </w:r>
      <w:r w:rsidR="00824F1C" w:rsidRPr="007954B9">
        <w:rPr>
          <w:rFonts w:ascii="Times New Roman" w:hAnsi="Times New Roman"/>
        </w:rPr>
        <w:t xml:space="preserve"> </w:t>
      </w:r>
      <w:r w:rsidR="00121938" w:rsidRPr="007954B9">
        <w:rPr>
          <w:rFonts w:ascii="Times New Roman" w:hAnsi="Times New Roman"/>
        </w:rPr>
        <w:t>with jurisdiction to enter</w:t>
      </w:r>
      <w:r w:rsidR="00C20FCD" w:rsidRPr="007954B9">
        <w:rPr>
          <w:rFonts w:ascii="Times New Roman" w:hAnsi="Times New Roman"/>
        </w:rPr>
        <w:t>tain the subject matter</w:t>
      </w:r>
      <w:r w:rsidR="00824F1C" w:rsidRPr="007954B9">
        <w:rPr>
          <w:rFonts w:ascii="Times New Roman" w:hAnsi="Times New Roman"/>
        </w:rPr>
        <w:t xml:space="preserve"> </w:t>
      </w:r>
      <w:r w:rsidR="00730D88" w:rsidRPr="007954B9">
        <w:rPr>
          <w:rFonts w:ascii="Times New Roman" w:hAnsi="Times New Roman"/>
        </w:rPr>
        <w:t>of the representative proceeding</w:t>
      </w:r>
      <w:r w:rsidR="00D46BD1" w:rsidRPr="007954B9">
        <w:rPr>
          <w:rFonts w:ascii="Times New Roman" w:hAnsi="Times New Roman"/>
        </w:rPr>
        <w:t>"</w:t>
      </w:r>
      <w:r w:rsidR="001133E4" w:rsidRPr="007954B9">
        <w:rPr>
          <w:rFonts w:ascii="Times New Roman" w:hAnsi="Times New Roman"/>
        </w:rPr>
        <w:t xml:space="preserve"> and</w:t>
      </w:r>
      <w:r w:rsidR="007E1DF2" w:rsidRPr="007954B9">
        <w:rPr>
          <w:rFonts w:ascii="Times New Roman" w:hAnsi="Times New Roman"/>
        </w:rPr>
        <w:t xml:space="preserve"> </w:t>
      </w:r>
      <w:r w:rsidR="001838EE" w:rsidRPr="007954B9">
        <w:rPr>
          <w:rFonts w:ascii="Times New Roman" w:hAnsi="Times New Roman"/>
        </w:rPr>
        <w:t>"creates new</w:t>
      </w:r>
      <w:r w:rsidR="00CA0ACA" w:rsidRPr="007954B9">
        <w:rPr>
          <w:rFonts w:ascii="Times New Roman" w:hAnsi="Times New Roman"/>
        </w:rPr>
        <w:t xml:space="preserve"> procedures and gives the </w:t>
      </w:r>
      <w:r w:rsidR="00B911D3" w:rsidRPr="007954B9">
        <w:rPr>
          <w:rFonts w:ascii="Times New Roman" w:hAnsi="Times New Roman"/>
        </w:rPr>
        <w:t>c</w:t>
      </w:r>
      <w:r w:rsidR="00CA0ACA" w:rsidRPr="007954B9">
        <w:rPr>
          <w:rFonts w:ascii="Times New Roman" w:hAnsi="Times New Roman"/>
        </w:rPr>
        <w:t xml:space="preserve">ourt </w:t>
      </w:r>
      <w:r w:rsidR="00B911D3" w:rsidRPr="007954B9">
        <w:rPr>
          <w:rFonts w:ascii="Times New Roman" w:hAnsi="Times New Roman"/>
        </w:rPr>
        <w:t>new powers, in relation to</w:t>
      </w:r>
      <w:r w:rsidR="00CA0ACA" w:rsidRPr="007954B9">
        <w:rPr>
          <w:rFonts w:ascii="Times New Roman" w:hAnsi="Times New Roman"/>
        </w:rPr>
        <w:t xml:space="preserve"> </w:t>
      </w:r>
      <w:r w:rsidR="00BA53B1" w:rsidRPr="007954B9">
        <w:rPr>
          <w:rFonts w:ascii="Times New Roman" w:hAnsi="Times New Roman"/>
        </w:rPr>
        <w:t>the partic</w:t>
      </w:r>
      <w:r w:rsidR="00252E68" w:rsidRPr="007954B9">
        <w:rPr>
          <w:rFonts w:ascii="Times New Roman" w:hAnsi="Times New Roman"/>
        </w:rPr>
        <w:t>ular</w:t>
      </w:r>
      <w:r w:rsidR="00BA53B1" w:rsidRPr="007954B9">
        <w:rPr>
          <w:rFonts w:ascii="Times New Roman" w:hAnsi="Times New Roman"/>
        </w:rPr>
        <w:t xml:space="preserve"> exercise of that</w:t>
      </w:r>
      <w:r w:rsidR="00653249" w:rsidRPr="007954B9">
        <w:rPr>
          <w:rFonts w:ascii="Times New Roman" w:hAnsi="Times New Roman"/>
        </w:rPr>
        <w:t xml:space="preserve"> jurisdiction"</w:t>
      </w:r>
      <w:r w:rsidR="001F7338" w:rsidRPr="007954B9">
        <w:rPr>
          <w:rStyle w:val="FootnoteReference"/>
          <w:rFonts w:ascii="Times New Roman" w:hAnsi="Times New Roman"/>
          <w:sz w:val="24"/>
        </w:rPr>
        <w:footnoteReference w:id="7"/>
      </w:r>
      <w:r w:rsidR="00E70809" w:rsidRPr="007954B9">
        <w:rPr>
          <w:rFonts w:ascii="Times New Roman" w:hAnsi="Times New Roman"/>
        </w:rPr>
        <w:t>.</w:t>
      </w:r>
      <w:r w:rsidR="00B632CD" w:rsidRPr="007954B9">
        <w:rPr>
          <w:rFonts w:ascii="Times New Roman" w:hAnsi="Times New Roman"/>
        </w:rPr>
        <w:t xml:space="preserve"> </w:t>
      </w:r>
      <w:r w:rsidR="00B95555" w:rsidRPr="007954B9">
        <w:rPr>
          <w:rFonts w:ascii="Times New Roman" w:hAnsi="Times New Roman"/>
        </w:rPr>
        <w:t>T</w:t>
      </w:r>
      <w:r w:rsidR="00F50565" w:rsidRPr="007954B9">
        <w:rPr>
          <w:rFonts w:ascii="Times New Roman" w:hAnsi="Times New Roman"/>
        </w:rPr>
        <w:t>he</w:t>
      </w:r>
      <w:r w:rsidR="001E553E" w:rsidRPr="007954B9">
        <w:rPr>
          <w:rFonts w:ascii="Times New Roman" w:hAnsi="Times New Roman"/>
        </w:rPr>
        <w:t xml:space="preserve"> distinction between </w:t>
      </w:r>
      <w:r w:rsidR="00A6702E" w:rsidRPr="007954B9">
        <w:rPr>
          <w:rFonts w:ascii="Times New Roman" w:hAnsi="Times New Roman"/>
        </w:rPr>
        <w:t xml:space="preserve">the </w:t>
      </w:r>
      <w:r w:rsidR="001E553E" w:rsidRPr="007954B9">
        <w:rPr>
          <w:rFonts w:ascii="Times New Roman" w:hAnsi="Times New Roman"/>
        </w:rPr>
        <w:t>jurisdiction</w:t>
      </w:r>
      <w:r w:rsidR="00A6702E" w:rsidRPr="007954B9">
        <w:rPr>
          <w:rFonts w:ascii="Times New Roman" w:hAnsi="Times New Roman"/>
        </w:rPr>
        <w:t xml:space="preserve"> of the Federal Court</w:t>
      </w:r>
      <w:r w:rsidR="00F90E2C" w:rsidRPr="007954B9">
        <w:rPr>
          <w:rFonts w:ascii="Times New Roman" w:hAnsi="Times New Roman"/>
        </w:rPr>
        <w:t xml:space="preserve">, assumed by </w:t>
      </w:r>
      <w:r w:rsidR="00E327B2" w:rsidRPr="007954B9">
        <w:rPr>
          <w:rFonts w:ascii="Times New Roman" w:hAnsi="Times New Roman"/>
        </w:rPr>
        <w:t>Pt</w:t>
      </w:r>
      <w:r w:rsidR="00273D37" w:rsidRPr="007954B9">
        <w:rPr>
          <w:rFonts w:ascii="Times New Roman" w:hAnsi="Times New Roman"/>
        </w:rPr>
        <w:t> </w:t>
      </w:r>
      <w:r w:rsidR="00E327B2" w:rsidRPr="007954B9">
        <w:rPr>
          <w:rFonts w:ascii="Times New Roman" w:hAnsi="Times New Roman"/>
        </w:rPr>
        <w:t>IVA</w:t>
      </w:r>
      <w:r w:rsidR="00F90E2C" w:rsidRPr="007954B9">
        <w:rPr>
          <w:rFonts w:ascii="Times New Roman" w:hAnsi="Times New Roman"/>
        </w:rPr>
        <w:t>,</w:t>
      </w:r>
      <w:r w:rsidR="008C390B" w:rsidRPr="007954B9">
        <w:rPr>
          <w:rFonts w:ascii="Times New Roman" w:hAnsi="Times New Roman"/>
        </w:rPr>
        <w:t xml:space="preserve"> </w:t>
      </w:r>
      <w:r w:rsidR="001E553E" w:rsidRPr="007954B9">
        <w:rPr>
          <w:rFonts w:ascii="Times New Roman" w:hAnsi="Times New Roman"/>
        </w:rPr>
        <w:t>and</w:t>
      </w:r>
      <w:r w:rsidR="00D034FA" w:rsidRPr="007954B9">
        <w:rPr>
          <w:rFonts w:ascii="Times New Roman" w:hAnsi="Times New Roman"/>
        </w:rPr>
        <w:t xml:space="preserve"> </w:t>
      </w:r>
      <w:r w:rsidR="00457C91" w:rsidRPr="007954B9">
        <w:rPr>
          <w:rFonts w:ascii="Times New Roman" w:hAnsi="Times New Roman"/>
        </w:rPr>
        <w:t>procedures and power</w:t>
      </w:r>
      <w:r w:rsidR="008C390B" w:rsidRPr="007954B9">
        <w:rPr>
          <w:rFonts w:ascii="Times New Roman" w:hAnsi="Times New Roman"/>
        </w:rPr>
        <w:t xml:space="preserve">s </w:t>
      </w:r>
      <w:r w:rsidR="00F47730" w:rsidRPr="007954B9">
        <w:rPr>
          <w:rFonts w:ascii="Times New Roman" w:hAnsi="Times New Roman"/>
        </w:rPr>
        <w:t xml:space="preserve">of the Federal Court </w:t>
      </w:r>
      <w:r w:rsidR="008C390B" w:rsidRPr="007954B9">
        <w:rPr>
          <w:rFonts w:ascii="Times New Roman" w:hAnsi="Times New Roman"/>
        </w:rPr>
        <w:t xml:space="preserve">relating to the </w:t>
      </w:r>
      <w:r w:rsidR="003008A7" w:rsidRPr="007954B9">
        <w:rPr>
          <w:rFonts w:ascii="Times New Roman" w:hAnsi="Times New Roman"/>
        </w:rPr>
        <w:t xml:space="preserve">particular </w:t>
      </w:r>
      <w:r w:rsidR="008C390B" w:rsidRPr="007954B9">
        <w:rPr>
          <w:rFonts w:ascii="Times New Roman" w:hAnsi="Times New Roman"/>
        </w:rPr>
        <w:t xml:space="preserve">exercise of </w:t>
      </w:r>
      <w:r w:rsidR="00D034FA" w:rsidRPr="007954B9">
        <w:rPr>
          <w:rFonts w:ascii="Times New Roman" w:hAnsi="Times New Roman"/>
        </w:rPr>
        <w:t xml:space="preserve">that </w:t>
      </w:r>
      <w:r w:rsidR="008C390B" w:rsidRPr="007954B9">
        <w:rPr>
          <w:rFonts w:ascii="Times New Roman" w:hAnsi="Times New Roman"/>
        </w:rPr>
        <w:t>jurisdiction</w:t>
      </w:r>
      <w:r w:rsidR="00760983" w:rsidRPr="007954B9">
        <w:rPr>
          <w:rFonts w:ascii="Times New Roman" w:hAnsi="Times New Roman"/>
        </w:rPr>
        <w:t xml:space="preserve">, </w:t>
      </w:r>
      <w:r w:rsidR="00F90E2C" w:rsidRPr="007954B9">
        <w:rPr>
          <w:rFonts w:ascii="Times New Roman" w:hAnsi="Times New Roman"/>
        </w:rPr>
        <w:t>created by</w:t>
      </w:r>
      <w:r w:rsidR="003766F4" w:rsidRPr="007954B9">
        <w:rPr>
          <w:rFonts w:ascii="Times New Roman" w:hAnsi="Times New Roman"/>
        </w:rPr>
        <w:t xml:space="preserve"> Pt</w:t>
      </w:r>
      <w:r w:rsidR="004F1409" w:rsidRPr="007954B9">
        <w:rPr>
          <w:rFonts w:ascii="Times New Roman" w:hAnsi="Times New Roman"/>
        </w:rPr>
        <w:t> </w:t>
      </w:r>
      <w:r w:rsidR="003766F4" w:rsidRPr="007954B9">
        <w:rPr>
          <w:rFonts w:ascii="Times New Roman" w:hAnsi="Times New Roman"/>
        </w:rPr>
        <w:t>IVA</w:t>
      </w:r>
      <w:r w:rsidR="00760983" w:rsidRPr="007954B9">
        <w:rPr>
          <w:rFonts w:ascii="Times New Roman" w:hAnsi="Times New Roman"/>
        </w:rPr>
        <w:t xml:space="preserve">, </w:t>
      </w:r>
      <w:r w:rsidR="00B95555" w:rsidRPr="007954B9">
        <w:rPr>
          <w:rFonts w:ascii="Times New Roman" w:hAnsi="Times New Roman"/>
        </w:rPr>
        <w:t>needs to be borne</w:t>
      </w:r>
      <w:r w:rsidR="00843597" w:rsidRPr="007954B9">
        <w:rPr>
          <w:rFonts w:ascii="Times New Roman" w:hAnsi="Times New Roman"/>
        </w:rPr>
        <w:t xml:space="preserve"> </w:t>
      </w:r>
      <w:r w:rsidR="002B7956" w:rsidRPr="007954B9">
        <w:rPr>
          <w:rFonts w:ascii="Times New Roman" w:hAnsi="Times New Roman"/>
        </w:rPr>
        <w:t>firmly</w:t>
      </w:r>
      <w:r w:rsidR="00843597" w:rsidRPr="007954B9">
        <w:rPr>
          <w:rFonts w:ascii="Times New Roman" w:hAnsi="Times New Roman"/>
        </w:rPr>
        <w:t xml:space="preserve"> </w:t>
      </w:r>
      <w:r w:rsidR="00451D34" w:rsidRPr="007954B9">
        <w:rPr>
          <w:rFonts w:ascii="Times New Roman" w:hAnsi="Times New Roman"/>
        </w:rPr>
        <w:t>in</w:t>
      </w:r>
      <w:r w:rsidR="00B95555" w:rsidRPr="007954B9">
        <w:rPr>
          <w:rFonts w:ascii="Times New Roman" w:hAnsi="Times New Roman"/>
        </w:rPr>
        <w:t xml:space="preserve"> mind </w:t>
      </w:r>
      <w:r w:rsidR="00601AC5" w:rsidRPr="007954B9">
        <w:rPr>
          <w:rFonts w:ascii="Times New Roman" w:hAnsi="Times New Roman"/>
        </w:rPr>
        <w:t>when considering</w:t>
      </w:r>
      <w:r w:rsidR="00843597" w:rsidRPr="007954B9">
        <w:rPr>
          <w:rFonts w:ascii="Times New Roman" w:hAnsi="Times New Roman"/>
        </w:rPr>
        <w:t xml:space="preserve"> </w:t>
      </w:r>
      <w:r w:rsidR="00B95555" w:rsidRPr="007954B9">
        <w:rPr>
          <w:rFonts w:ascii="Times New Roman" w:hAnsi="Times New Roman"/>
        </w:rPr>
        <w:t>BHP's</w:t>
      </w:r>
      <w:r w:rsidR="00457C91" w:rsidRPr="007954B9">
        <w:rPr>
          <w:rFonts w:ascii="Times New Roman" w:hAnsi="Times New Roman"/>
        </w:rPr>
        <w:t xml:space="preserve"> </w:t>
      </w:r>
      <w:r w:rsidR="00601AC5" w:rsidRPr="007954B9">
        <w:rPr>
          <w:rFonts w:ascii="Times New Roman" w:hAnsi="Times New Roman"/>
        </w:rPr>
        <w:t xml:space="preserve">argument </w:t>
      </w:r>
      <w:r w:rsidR="00DA0B5E" w:rsidRPr="007954B9">
        <w:rPr>
          <w:rFonts w:ascii="Times New Roman" w:hAnsi="Times New Roman"/>
        </w:rPr>
        <w:t>about the construction of Pt</w:t>
      </w:r>
      <w:r w:rsidR="00273D37" w:rsidRPr="007954B9">
        <w:rPr>
          <w:rFonts w:ascii="Times New Roman" w:hAnsi="Times New Roman"/>
        </w:rPr>
        <w:t> </w:t>
      </w:r>
      <w:r w:rsidR="00DA0B5E" w:rsidRPr="007954B9">
        <w:rPr>
          <w:rFonts w:ascii="Times New Roman" w:hAnsi="Times New Roman"/>
        </w:rPr>
        <w:t>IVA.</w:t>
      </w:r>
    </w:p>
    <w:p w14:paraId="5E028246" w14:textId="6EA5C4C1" w:rsidR="009A4E52" w:rsidRPr="007954B9" w:rsidRDefault="00227EA9"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B632CD" w:rsidRPr="007954B9">
        <w:rPr>
          <w:rFonts w:ascii="Times New Roman" w:hAnsi="Times New Roman"/>
        </w:rPr>
        <w:t xml:space="preserve">The </w:t>
      </w:r>
      <w:r w:rsidR="00064CB7" w:rsidRPr="007954B9">
        <w:rPr>
          <w:rFonts w:ascii="Times New Roman" w:hAnsi="Times New Roman"/>
        </w:rPr>
        <w:t xml:space="preserve">procedures </w:t>
      </w:r>
      <w:r w:rsidR="00DA0B5E" w:rsidRPr="007954B9">
        <w:rPr>
          <w:rFonts w:ascii="Times New Roman" w:hAnsi="Times New Roman"/>
        </w:rPr>
        <w:t xml:space="preserve">which </w:t>
      </w:r>
      <w:r w:rsidRPr="007954B9">
        <w:rPr>
          <w:rFonts w:ascii="Times New Roman" w:hAnsi="Times New Roman"/>
        </w:rPr>
        <w:t>Pt IVA</w:t>
      </w:r>
      <w:r w:rsidR="00EA0CE5" w:rsidRPr="007954B9">
        <w:rPr>
          <w:rFonts w:ascii="Times New Roman" w:hAnsi="Times New Roman"/>
        </w:rPr>
        <w:t xml:space="preserve"> creates</w:t>
      </w:r>
      <w:r w:rsidR="00965BAD" w:rsidRPr="007954B9">
        <w:rPr>
          <w:rFonts w:ascii="Times New Roman" w:hAnsi="Times New Roman"/>
        </w:rPr>
        <w:t>,</w:t>
      </w:r>
      <w:r w:rsidR="00EA0CE5" w:rsidRPr="007954B9">
        <w:rPr>
          <w:rFonts w:ascii="Times New Roman" w:hAnsi="Times New Roman"/>
        </w:rPr>
        <w:t xml:space="preserve"> and </w:t>
      </w:r>
      <w:r w:rsidR="00252E68" w:rsidRPr="007954B9">
        <w:rPr>
          <w:rFonts w:ascii="Times New Roman" w:hAnsi="Times New Roman"/>
        </w:rPr>
        <w:t xml:space="preserve">the </w:t>
      </w:r>
      <w:r w:rsidR="00EA0CE5" w:rsidRPr="007954B9">
        <w:rPr>
          <w:rFonts w:ascii="Times New Roman" w:hAnsi="Times New Roman"/>
        </w:rPr>
        <w:t xml:space="preserve">powers </w:t>
      </w:r>
      <w:r w:rsidR="00DA0B5E" w:rsidRPr="007954B9">
        <w:rPr>
          <w:rFonts w:ascii="Times New Roman" w:hAnsi="Times New Roman"/>
        </w:rPr>
        <w:t xml:space="preserve">which </w:t>
      </w:r>
      <w:r w:rsidR="00EA0CE5" w:rsidRPr="007954B9">
        <w:rPr>
          <w:rFonts w:ascii="Times New Roman" w:hAnsi="Times New Roman"/>
        </w:rPr>
        <w:t xml:space="preserve">it gives </w:t>
      </w:r>
      <w:r w:rsidR="00ED4AF0" w:rsidRPr="007954B9">
        <w:rPr>
          <w:rFonts w:ascii="Times New Roman" w:hAnsi="Times New Roman"/>
        </w:rPr>
        <w:t>to the Federal Court</w:t>
      </w:r>
      <w:r w:rsidR="004473BC" w:rsidRPr="007954B9">
        <w:rPr>
          <w:rFonts w:ascii="Times New Roman" w:hAnsi="Times New Roman"/>
        </w:rPr>
        <w:t>,</w:t>
      </w:r>
      <w:r w:rsidR="00EA0CE5" w:rsidRPr="007954B9">
        <w:rPr>
          <w:rFonts w:ascii="Times New Roman" w:hAnsi="Times New Roman"/>
        </w:rPr>
        <w:t xml:space="preserve"> do not stand alone. </w:t>
      </w:r>
      <w:r w:rsidR="00F13028" w:rsidRPr="007954B9">
        <w:rPr>
          <w:rFonts w:ascii="Times New Roman" w:hAnsi="Times New Roman"/>
        </w:rPr>
        <w:t>Part IVA</w:t>
      </w:r>
      <w:r w:rsidR="00104CCB" w:rsidRPr="007954B9">
        <w:rPr>
          <w:rFonts w:ascii="Times New Roman" w:hAnsi="Times New Roman"/>
        </w:rPr>
        <w:t xml:space="preserve"> is</w:t>
      </w:r>
      <w:r w:rsidR="00B27825" w:rsidRPr="007954B9">
        <w:rPr>
          <w:rFonts w:ascii="Times New Roman" w:hAnsi="Times New Roman"/>
        </w:rPr>
        <w:t xml:space="preserve"> framed on the </w:t>
      </w:r>
      <w:r w:rsidR="00252E68" w:rsidRPr="007954B9">
        <w:rPr>
          <w:rFonts w:ascii="Times New Roman" w:hAnsi="Times New Roman"/>
        </w:rPr>
        <w:t>assum</w:t>
      </w:r>
      <w:r w:rsidR="00B27825" w:rsidRPr="007954B9">
        <w:rPr>
          <w:rFonts w:ascii="Times New Roman" w:hAnsi="Times New Roman"/>
        </w:rPr>
        <w:t xml:space="preserve">ption </w:t>
      </w:r>
      <w:r w:rsidR="003E1950" w:rsidRPr="007954B9">
        <w:rPr>
          <w:rFonts w:ascii="Times New Roman" w:hAnsi="Times New Roman"/>
        </w:rPr>
        <w:t xml:space="preserve">that </w:t>
      </w:r>
      <w:r w:rsidR="00104CCB" w:rsidRPr="007954B9">
        <w:rPr>
          <w:rFonts w:ascii="Times New Roman" w:hAnsi="Times New Roman"/>
        </w:rPr>
        <w:t>it</w:t>
      </w:r>
      <w:r w:rsidR="003E1950" w:rsidRPr="007954B9">
        <w:rPr>
          <w:rFonts w:ascii="Times New Roman" w:hAnsi="Times New Roman"/>
        </w:rPr>
        <w:t xml:space="preserve"> will operate</w:t>
      </w:r>
      <w:r w:rsidR="00252E68" w:rsidRPr="007954B9">
        <w:rPr>
          <w:rFonts w:ascii="Times New Roman" w:hAnsi="Times New Roman"/>
        </w:rPr>
        <w:t xml:space="preserve"> </w:t>
      </w:r>
      <w:r w:rsidR="009F5263" w:rsidRPr="007954B9">
        <w:rPr>
          <w:rFonts w:ascii="Times New Roman" w:hAnsi="Times New Roman"/>
        </w:rPr>
        <w:t>concurrent</w:t>
      </w:r>
      <w:r w:rsidR="003E1950" w:rsidRPr="007954B9">
        <w:rPr>
          <w:rFonts w:ascii="Times New Roman" w:hAnsi="Times New Roman"/>
        </w:rPr>
        <w:t>ly with</w:t>
      </w:r>
      <w:r w:rsidR="005D3088" w:rsidRPr="007954B9">
        <w:rPr>
          <w:rFonts w:ascii="Times New Roman" w:hAnsi="Times New Roman"/>
        </w:rPr>
        <w:t xml:space="preserve"> th</w:t>
      </w:r>
      <w:r w:rsidR="00987B62" w:rsidRPr="007954B9">
        <w:rPr>
          <w:rFonts w:ascii="Times New Roman" w:hAnsi="Times New Roman"/>
        </w:rPr>
        <w:t>e</w:t>
      </w:r>
      <w:r w:rsidR="005D3088" w:rsidRPr="007954B9">
        <w:rPr>
          <w:rFonts w:ascii="Times New Roman" w:hAnsi="Times New Roman"/>
        </w:rPr>
        <w:t xml:space="preserve"> </w:t>
      </w:r>
      <w:r w:rsidR="00B26280" w:rsidRPr="007954B9">
        <w:rPr>
          <w:rFonts w:ascii="Times New Roman" w:hAnsi="Times New Roman"/>
        </w:rPr>
        <w:t xml:space="preserve">procedures </w:t>
      </w:r>
      <w:r w:rsidR="008D7CFE" w:rsidRPr="007954B9">
        <w:rPr>
          <w:rFonts w:ascii="Times New Roman" w:hAnsi="Times New Roman"/>
        </w:rPr>
        <w:t xml:space="preserve">and powers </w:t>
      </w:r>
      <w:r w:rsidR="00B26280" w:rsidRPr="007954B9">
        <w:rPr>
          <w:rFonts w:ascii="Times New Roman" w:hAnsi="Times New Roman"/>
        </w:rPr>
        <w:t xml:space="preserve">of the Federal Court </w:t>
      </w:r>
      <w:r w:rsidR="00987B62" w:rsidRPr="007954B9">
        <w:rPr>
          <w:rFonts w:ascii="Times New Roman" w:hAnsi="Times New Roman"/>
        </w:rPr>
        <w:t xml:space="preserve">which </w:t>
      </w:r>
      <w:r w:rsidR="006669E0" w:rsidRPr="007954B9">
        <w:rPr>
          <w:rFonts w:ascii="Times New Roman" w:hAnsi="Times New Roman"/>
        </w:rPr>
        <w:t>relat</w:t>
      </w:r>
      <w:r w:rsidR="00104CCB" w:rsidRPr="007954B9">
        <w:rPr>
          <w:rFonts w:ascii="Times New Roman" w:hAnsi="Times New Roman"/>
        </w:rPr>
        <w:t>e</w:t>
      </w:r>
      <w:r w:rsidR="008D7CFE" w:rsidRPr="007954B9">
        <w:rPr>
          <w:rFonts w:ascii="Times New Roman" w:hAnsi="Times New Roman"/>
        </w:rPr>
        <w:t xml:space="preserve"> </w:t>
      </w:r>
      <w:r w:rsidR="00987B62" w:rsidRPr="007954B9">
        <w:rPr>
          <w:rFonts w:ascii="Times New Roman" w:hAnsi="Times New Roman"/>
        </w:rPr>
        <w:t xml:space="preserve">generally </w:t>
      </w:r>
      <w:r w:rsidR="008D7CFE" w:rsidRPr="007954B9">
        <w:rPr>
          <w:rFonts w:ascii="Times New Roman" w:hAnsi="Times New Roman"/>
        </w:rPr>
        <w:t xml:space="preserve">to the </w:t>
      </w:r>
      <w:r w:rsidR="00096E88" w:rsidRPr="007954B9">
        <w:rPr>
          <w:rFonts w:ascii="Times New Roman" w:hAnsi="Times New Roman"/>
        </w:rPr>
        <w:t>exercise of</w:t>
      </w:r>
      <w:r w:rsidR="008D7CFE" w:rsidRPr="007954B9">
        <w:rPr>
          <w:rFonts w:ascii="Times New Roman" w:hAnsi="Times New Roman"/>
        </w:rPr>
        <w:t xml:space="preserve"> jurisdiction</w:t>
      </w:r>
      <w:r w:rsidR="00096E88" w:rsidRPr="007954B9">
        <w:rPr>
          <w:rFonts w:ascii="Times New Roman" w:hAnsi="Times New Roman"/>
        </w:rPr>
        <w:t xml:space="preserve"> conferred on it</w:t>
      </w:r>
      <w:r w:rsidR="00E673D4" w:rsidRPr="007954B9">
        <w:rPr>
          <w:rFonts w:ascii="Times New Roman" w:hAnsi="Times New Roman"/>
        </w:rPr>
        <w:t xml:space="preserve">. </w:t>
      </w:r>
      <w:r w:rsidR="00C47179" w:rsidRPr="007954B9">
        <w:rPr>
          <w:rFonts w:ascii="Times New Roman" w:hAnsi="Times New Roman"/>
        </w:rPr>
        <w:t>Important a</w:t>
      </w:r>
      <w:r w:rsidR="00005CE8" w:rsidRPr="007954B9">
        <w:rPr>
          <w:rFonts w:ascii="Times New Roman" w:hAnsi="Times New Roman"/>
        </w:rPr>
        <w:t>mongst the</w:t>
      </w:r>
      <w:r w:rsidR="00E673D4" w:rsidRPr="007954B9">
        <w:rPr>
          <w:rFonts w:ascii="Times New Roman" w:hAnsi="Times New Roman"/>
        </w:rPr>
        <w:t xml:space="preserve"> procedures </w:t>
      </w:r>
      <w:r w:rsidR="00851ABB" w:rsidRPr="007954B9">
        <w:rPr>
          <w:rFonts w:ascii="Times New Roman" w:hAnsi="Times New Roman"/>
        </w:rPr>
        <w:t>assumed</w:t>
      </w:r>
      <w:r w:rsidR="009C53E8" w:rsidRPr="007954B9">
        <w:rPr>
          <w:rFonts w:ascii="Times New Roman" w:hAnsi="Times New Roman"/>
        </w:rPr>
        <w:t xml:space="preserve"> by Pt</w:t>
      </w:r>
      <w:r w:rsidR="00CD600E" w:rsidRPr="007954B9">
        <w:rPr>
          <w:rFonts w:ascii="Times New Roman" w:hAnsi="Times New Roman"/>
        </w:rPr>
        <w:t> </w:t>
      </w:r>
      <w:r w:rsidR="009C53E8" w:rsidRPr="007954B9">
        <w:rPr>
          <w:rFonts w:ascii="Times New Roman" w:hAnsi="Times New Roman"/>
        </w:rPr>
        <w:t>IVA</w:t>
      </w:r>
      <w:r w:rsidR="00B26280" w:rsidRPr="007954B9">
        <w:rPr>
          <w:rFonts w:ascii="Times New Roman" w:hAnsi="Times New Roman"/>
        </w:rPr>
        <w:t xml:space="preserve"> </w:t>
      </w:r>
      <w:r w:rsidR="00C21F97" w:rsidRPr="007954B9">
        <w:rPr>
          <w:rFonts w:ascii="Times New Roman" w:hAnsi="Times New Roman"/>
        </w:rPr>
        <w:t xml:space="preserve">are </w:t>
      </w:r>
      <w:r w:rsidR="00DB16FC" w:rsidRPr="007954B9">
        <w:rPr>
          <w:rFonts w:ascii="Times New Roman" w:hAnsi="Times New Roman"/>
        </w:rPr>
        <w:t>rules of practice and procedure</w:t>
      </w:r>
      <w:r w:rsidR="005872D4" w:rsidRPr="007954B9">
        <w:rPr>
          <w:rStyle w:val="FootnoteReference"/>
          <w:rFonts w:ascii="Times New Roman" w:hAnsi="Times New Roman"/>
          <w:sz w:val="24"/>
        </w:rPr>
        <w:footnoteReference w:id="8"/>
      </w:r>
      <w:r w:rsidR="006C157E" w:rsidRPr="007954B9">
        <w:rPr>
          <w:rFonts w:ascii="Times New Roman" w:hAnsi="Times New Roman"/>
        </w:rPr>
        <w:t xml:space="preserve"> </w:t>
      </w:r>
      <w:r w:rsidR="00753593" w:rsidRPr="007954B9">
        <w:rPr>
          <w:rFonts w:ascii="Times New Roman" w:hAnsi="Times New Roman"/>
        </w:rPr>
        <w:t xml:space="preserve">which </w:t>
      </w:r>
      <w:r w:rsidR="000B043F" w:rsidRPr="007954B9">
        <w:rPr>
          <w:rFonts w:ascii="Times New Roman" w:hAnsi="Times New Roman"/>
        </w:rPr>
        <w:t>mak</w:t>
      </w:r>
      <w:r w:rsidR="00753593" w:rsidRPr="007954B9">
        <w:rPr>
          <w:rFonts w:ascii="Times New Roman" w:hAnsi="Times New Roman"/>
        </w:rPr>
        <w:t>e</w:t>
      </w:r>
      <w:r w:rsidR="000B6C4C" w:rsidRPr="007954B9">
        <w:rPr>
          <w:rFonts w:ascii="Times New Roman" w:hAnsi="Times New Roman"/>
        </w:rPr>
        <w:t xml:space="preserve"> </w:t>
      </w:r>
      <w:r w:rsidR="005872D4" w:rsidRPr="007954B9">
        <w:rPr>
          <w:rFonts w:ascii="Times New Roman" w:hAnsi="Times New Roman"/>
        </w:rPr>
        <w:t>provi</w:t>
      </w:r>
      <w:r w:rsidR="000B043F" w:rsidRPr="007954B9">
        <w:rPr>
          <w:rFonts w:ascii="Times New Roman" w:hAnsi="Times New Roman"/>
        </w:rPr>
        <w:t>sion</w:t>
      </w:r>
      <w:r w:rsidR="0085154E" w:rsidRPr="007954B9">
        <w:rPr>
          <w:rFonts w:ascii="Times New Roman" w:hAnsi="Times New Roman"/>
        </w:rPr>
        <w:t xml:space="preserve"> </w:t>
      </w:r>
      <w:r w:rsidR="00164B92" w:rsidRPr="007954B9">
        <w:rPr>
          <w:rFonts w:ascii="Times New Roman" w:hAnsi="Times New Roman"/>
        </w:rPr>
        <w:t>for</w:t>
      </w:r>
      <w:r w:rsidR="00B26280" w:rsidRPr="007954B9">
        <w:rPr>
          <w:rFonts w:ascii="Times New Roman" w:hAnsi="Times New Roman"/>
        </w:rPr>
        <w:t xml:space="preserve"> </w:t>
      </w:r>
      <w:r w:rsidR="00AC41E1" w:rsidRPr="007954B9">
        <w:rPr>
          <w:rFonts w:ascii="Times New Roman" w:hAnsi="Times New Roman"/>
        </w:rPr>
        <w:t>a proceeding</w:t>
      </w:r>
      <w:r w:rsidR="00461D92" w:rsidRPr="007954B9">
        <w:rPr>
          <w:rFonts w:ascii="Times New Roman" w:hAnsi="Times New Roman"/>
        </w:rPr>
        <w:t xml:space="preserve"> </w:t>
      </w:r>
      <w:r w:rsidR="00E673D4" w:rsidRPr="007954B9">
        <w:rPr>
          <w:rFonts w:ascii="Times New Roman" w:hAnsi="Times New Roman"/>
        </w:rPr>
        <w:t xml:space="preserve">to </w:t>
      </w:r>
      <w:r w:rsidR="005E7783" w:rsidRPr="007954B9">
        <w:rPr>
          <w:rFonts w:ascii="Times New Roman" w:hAnsi="Times New Roman"/>
        </w:rPr>
        <w:t>commence</w:t>
      </w:r>
      <w:r w:rsidR="00E673D4" w:rsidRPr="007954B9">
        <w:rPr>
          <w:rFonts w:ascii="Times New Roman" w:hAnsi="Times New Roman"/>
        </w:rPr>
        <w:t xml:space="preserve"> </w:t>
      </w:r>
      <w:r w:rsidR="00461D92" w:rsidRPr="007954B9">
        <w:rPr>
          <w:rFonts w:ascii="Times New Roman" w:hAnsi="Times New Roman"/>
        </w:rPr>
        <w:t xml:space="preserve">by </w:t>
      </w:r>
      <w:r w:rsidR="005330E7" w:rsidRPr="007954B9">
        <w:rPr>
          <w:rFonts w:ascii="Times New Roman" w:hAnsi="Times New Roman"/>
        </w:rPr>
        <w:t>an applicant</w:t>
      </w:r>
      <w:r w:rsidR="00461D92" w:rsidRPr="007954B9">
        <w:rPr>
          <w:rFonts w:ascii="Times New Roman" w:hAnsi="Times New Roman"/>
        </w:rPr>
        <w:t xml:space="preserve"> filing an </w:t>
      </w:r>
      <w:r w:rsidR="00EB217B" w:rsidRPr="007954B9">
        <w:rPr>
          <w:rFonts w:ascii="Times New Roman" w:hAnsi="Times New Roman"/>
        </w:rPr>
        <w:t>originating application</w:t>
      </w:r>
      <w:r w:rsidR="005A0991" w:rsidRPr="007954B9">
        <w:rPr>
          <w:rStyle w:val="FootnoteReference"/>
          <w:rFonts w:ascii="Times New Roman" w:hAnsi="Times New Roman"/>
          <w:sz w:val="24"/>
        </w:rPr>
        <w:footnoteReference w:id="9"/>
      </w:r>
      <w:r w:rsidR="009A7D43" w:rsidRPr="007954B9">
        <w:rPr>
          <w:rFonts w:ascii="Times New Roman" w:hAnsi="Times New Roman"/>
        </w:rPr>
        <w:t xml:space="preserve"> and </w:t>
      </w:r>
      <w:r w:rsidR="00164B92" w:rsidRPr="007954B9">
        <w:rPr>
          <w:rFonts w:ascii="Times New Roman" w:hAnsi="Times New Roman"/>
        </w:rPr>
        <w:t>for</w:t>
      </w:r>
      <w:r w:rsidR="009A7D43" w:rsidRPr="007954B9">
        <w:rPr>
          <w:rFonts w:ascii="Times New Roman" w:hAnsi="Times New Roman"/>
        </w:rPr>
        <w:t xml:space="preserve"> the service of </w:t>
      </w:r>
      <w:r w:rsidR="00697E86" w:rsidRPr="007954B9">
        <w:rPr>
          <w:rFonts w:ascii="Times New Roman" w:hAnsi="Times New Roman"/>
        </w:rPr>
        <w:t>that</w:t>
      </w:r>
      <w:r w:rsidR="009A7D43" w:rsidRPr="007954B9">
        <w:rPr>
          <w:rFonts w:ascii="Times New Roman" w:hAnsi="Times New Roman"/>
        </w:rPr>
        <w:t xml:space="preserve"> </w:t>
      </w:r>
      <w:r w:rsidR="00F26A22" w:rsidRPr="007954B9">
        <w:rPr>
          <w:rFonts w:ascii="Times New Roman" w:hAnsi="Times New Roman"/>
        </w:rPr>
        <w:t xml:space="preserve">originating application </w:t>
      </w:r>
      <w:r w:rsidR="00F752AE" w:rsidRPr="007954B9">
        <w:rPr>
          <w:rFonts w:ascii="Times New Roman" w:hAnsi="Times New Roman"/>
        </w:rPr>
        <w:t>on a respondent</w:t>
      </w:r>
      <w:r w:rsidR="005A0991" w:rsidRPr="007954B9">
        <w:rPr>
          <w:rStyle w:val="FootnoteReference"/>
          <w:rFonts w:ascii="Times New Roman" w:hAnsi="Times New Roman"/>
          <w:sz w:val="24"/>
        </w:rPr>
        <w:footnoteReference w:id="10"/>
      </w:r>
      <w:r w:rsidR="00250559" w:rsidRPr="007954B9">
        <w:rPr>
          <w:rFonts w:ascii="Times New Roman" w:hAnsi="Times New Roman"/>
        </w:rPr>
        <w:t>.</w:t>
      </w:r>
      <w:r w:rsidR="0006545C" w:rsidRPr="007954B9">
        <w:rPr>
          <w:rFonts w:ascii="Times New Roman" w:hAnsi="Times New Roman"/>
        </w:rPr>
        <w:t xml:space="preserve"> </w:t>
      </w:r>
      <w:r w:rsidR="00ED4CB3" w:rsidRPr="007954B9">
        <w:rPr>
          <w:rFonts w:ascii="Times New Roman" w:hAnsi="Times New Roman"/>
        </w:rPr>
        <w:t xml:space="preserve">Those rules of practice and procedure </w:t>
      </w:r>
      <w:r w:rsidR="00F05EC7" w:rsidRPr="007954B9">
        <w:rPr>
          <w:rFonts w:ascii="Times New Roman" w:hAnsi="Times New Roman"/>
        </w:rPr>
        <w:t xml:space="preserve">are </w:t>
      </w:r>
      <w:r w:rsidR="004F10CF" w:rsidRPr="007954B9">
        <w:rPr>
          <w:rFonts w:ascii="Times New Roman" w:hAnsi="Times New Roman"/>
        </w:rPr>
        <w:t>in turn</w:t>
      </w:r>
      <w:r w:rsidR="00ED4CB3" w:rsidRPr="007954B9">
        <w:rPr>
          <w:rFonts w:ascii="Times New Roman" w:hAnsi="Times New Roman"/>
        </w:rPr>
        <w:t xml:space="preserve"> framed against the </w:t>
      </w:r>
      <w:r w:rsidR="005B752C" w:rsidRPr="007954B9">
        <w:rPr>
          <w:rFonts w:ascii="Times New Roman" w:hAnsi="Times New Roman"/>
        </w:rPr>
        <w:t xml:space="preserve">background </w:t>
      </w:r>
      <w:r w:rsidR="00873209" w:rsidRPr="007954B9">
        <w:rPr>
          <w:rFonts w:ascii="Times New Roman" w:hAnsi="Times New Roman"/>
        </w:rPr>
        <w:t xml:space="preserve">of </w:t>
      </w:r>
      <w:r w:rsidR="00A12C3C" w:rsidRPr="007954B9">
        <w:rPr>
          <w:rFonts w:ascii="Times New Roman" w:hAnsi="Times New Roman"/>
        </w:rPr>
        <w:t xml:space="preserve">certain precepts of the </w:t>
      </w:r>
      <w:r w:rsidR="00873209" w:rsidRPr="007954B9">
        <w:rPr>
          <w:rFonts w:ascii="Times New Roman" w:hAnsi="Times New Roman"/>
        </w:rPr>
        <w:t>common law</w:t>
      </w:r>
      <w:r w:rsidR="00A12C3C" w:rsidRPr="007954B9">
        <w:rPr>
          <w:rFonts w:ascii="Times New Roman" w:hAnsi="Times New Roman"/>
        </w:rPr>
        <w:t xml:space="preserve">. </w:t>
      </w:r>
      <w:r w:rsidR="00BF3855" w:rsidRPr="007954B9">
        <w:rPr>
          <w:rFonts w:ascii="Times New Roman" w:hAnsi="Times New Roman"/>
        </w:rPr>
        <w:t>O</w:t>
      </w:r>
      <w:r w:rsidR="001A17B2" w:rsidRPr="007954B9">
        <w:rPr>
          <w:rFonts w:ascii="Times New Roman" w:hAnsi="Times New Roman"/>
        </w:rPr>
        <w:t xml:space="preserve">ne </w:t>
      </w:r>
      <w:r w:rsidR="008D7944" w:rsidRPr="007954B9">
        <w:rPr>
          <w:rFonts w:ascii="Times New Roman" w:hAnsi="Times New Roman"/>
        </w:rPr>
        <w:t>of those precepts is that</w:t>
      </w:r>
      <w:r w:rsidR="00480D01" w:rsidRPr="007954B9">
        <w:rPr>
          <w:rFonts w:ascii="Times New Roman" w:hAnsi="Times New Roman"/>
        </w:rPr>
        <w:t xml:space="preserve"> </w:t>
      </w:r>
      <w:r w:rsidR="001002D6" w:rsidRPr="007954B9">
        <w:rPr>
          <w:rFonts w:ascii="Times New Roman" w:hAnsi="Times New Roman"/>
        </w:rPr>
        <w:t xml:space="preserve">(enemy aliens apart) </w:t>
      </w:r>
      <w:r w:rsidR="00515801" w:rsidRPr="007954B9">
        <w:rPr>
          <w:rFonts w:ascii="Times New Roman" w:hAnsi="Times New Roman"/>
        </w:rPr>
        <w:t xml:space="preserve">any </w:t>
      </w:r>
      <w:r w:rsidR="00F671A4" w:rsidRPr="007954B9">
        <w:rPr>
          <w:rFonts w:ascii="Times New Roman" w:hAnsi="Times New Roman"/>
        </w:rPr>
        <w:t>person</w:t>
      </w:r>
      <w:r w:rsidR="00515801" w:rsidRPr="007954B9">
        <w:rPr>
          <w:rFonts w:ascii="Times New Roman" w:hAnsi="Times New Roman"/>
        </w:rPr>
        <w:t xml:space="preserve"> </w:t>
      </w:r>
      <w:r w:rsidR="00E543A6" w:rsidRPr="007954B9">
        <w:rPr>
          <w:rFonts w:ascii="Times New Roman" w:hAnsi="Times New Roman"/>
        </w:rPr>
        <w:t>w</w:t>
      </w:r>
      <w:r w:rsidR="00F7604C" w:rsidRPr="007954B9">
        <w:rPr>
          <w:rFonts w:ascii="Times New Roman" w:hAnsi="Times New Roman"/>
        </w:rPr>
        <w:t>ho has</w:t>
      </w:r>
      <w:r w:rsidR="00E543A6" w:rsidRPr="007954B9">
        <w:rPr>
          <w:rFonts w:ascii="Times New Roman" w:hAnsi="Times New Roman"/>
        </w:rPr>
        <w:t xml:space="preserve"> </w:t>
      </w:r>
      <w:r w:rsidR="008D7944" w:rsidRPr="007954B9">
        <w:rPr>
          <w:rFonts w:ascii="Times New Roman" w:hAnsi="Times New Roman"/>
        </w:rPr>
        <w:t>standing to</w:t>
      </w:r>
      <w:r w:rsidR="009B370D" w:rsidRPr="007954B9">
        <w:rPr>
          <w:rFonts w:ascii="Times New Roman" w:hAnsi="Times New Roman"/>
        </w:rPr>
        <w:t xml:space="preserve"> </w:t>
      </w:r>
      <w:r w:rsidR="00D472F2" w:rsidRPr="007954B9">
        <w:rPr>
          <w:rFonts w:ascii="Times New Roman" w:hAnsi="Times New Roman"/>
        </w:rPr>
        <w:t xml:space="preserve">assert a </w:t>
      </w:r>
      <w:r w:rsidR="006D4AA1" w:rsidRPr="007954B9">
        <w:rPr>
          <w:rFonts w:ascii="Times New Roman" w:hAnsi="Times New Roman"/>
        </w:rPr>
        <w:t>claim</w:t>
      </w:r>
      <w:r w:rsidR="00D472F2" w:rsidRPr="007954B9">
        <w:rPr>
          <w:rFonts w:ascii="Times New Roman" w:hAnsi="Times New Roman"/>
        </w:rPr>
        <w:t xml:space="preserve"> within</w:t>
      </w:r>
      <w:r w:rsidR="00F00368" w:rsidRPr="007954B9">
        <w:rPr>
          <w:rFonts w:ascii="Times New Roman" w:hAnsi="Times New Roman"/>
        </w:rPr>
        <w:t xml:space="preserve"> </w:t>
      </w:r>
      <w:r w:rsidR="00A95BCF" w:rsidRPr="007954B9">
        <w:rPr>
          <w:rFonts w:ascii="Times New Roman" w:hAnsi="Times New Roman"/>
        </w:rPr>
        <w:t xml:space="preserve">the </w:t>
      </w:r>
      <w:r w:rsidR="004268DC" w:rsidRPr="007954B9">
        <w:rPr>
          <w:rFonts w:ascii="Times New Roman" w:hAnsi="Times New Roman"/>
        </w:rPr>
        <w:t>jurisdiction</w:t>
      </w:r>
      <w:r w:rsidR="00D472F2" w:rsidRPr="007954B9">
        <w:rPr>
          <w:rFonts w:ascii="Times New Roman" w:hAnsi="Times New Roman"/>
        </w:rPr>
        <w:t xml:space="preserve"> </w:t>
      </w:r>
      <w:r w:rsidR="00A95BCF" w:rsidRPr="007954B9">
        <w:rPr>
          <w:rFonts w:ascii="Times New Roman" w:hAnsi="Times New Roman"/>
        </w:rPr>
        <w:t xml:space="preserve">of </w:t>
      </w:r>
      <w:r w:rsidR="002C0388" w:rsidRPr="007954B9">
        <w:rPr>
          <w:rFonts w:ascii="Times New Roman" w:hAnsi="Times New Roman"/>
        </w:rPr>
        <w:t>a</w:t>
      </w:r>
      <w:r w:rsidR="00A95BCF" w:rsidRPr="007954B9">
        <w:rPr>
          <w:rFonts w:ascii="Times New Roman" w:hAnsi="Times New Roman"/>
        </w:rPr>
        <w:t xml:space="preserve"> court </w:t>
      </w:r>
      <w:r w:rsidR="00C05978" w:rsidRPr="007954B9">
        <w:rPr>
          <w:rFonts w:ascii="Times New Roman" w:hAnsi="Times New Roman"/>
        </w:rPr>
        <w:t xml:space="preserve">has </w:t>
      </w:r>
      <w:r w:rsidR="00D53491" w:rsidRPr="007954B9">
        <w:rPr>
          <w:rFonts w:ascii="Times New Roman" w:hAnsi="Times New Roman"/>
        </w:rPr>
        <w:t>a</w:t>
      </w:r>
      <w:r w:rsidR="00C05978" w:rsidRPr="007954B9">
        <w:rPr>
          <w:rFonts w:ascii="Times New Roman" w:hAnsi="Times New Roman"/>
        </w:rPr>
        <w:t xml:space="preserve"> right to</w:t>
      </w:r>
      <w:r w:rsidR="006A7291" w:rsidRPr="007954B9">
        <w:rPr>
          <w:rFonts w:ascii="Times New Roman" w:hAnsi="Times New Roman"/>
        </w:rPr>
        <w:t xml:space="preserve"> </w:t>
      </w:r>
      <w:r w:rsidR="002C0388" w:rsidRPr="007954B9">
        <w:rPr>
          <w:rFonts w:ascii="Times New Roman" w:hAnsi="Times New Roman"/>
        </w:rPr>
        <w:t>commence a proceeding in the court</w:t>
      </w:r>
      <w:r w:rsidR="005655B5" w:rsidRPr="007954B9">
        <w:rPr>
          <w:rFonts w:ascii="Times New Roman" w:hAnsi="Times New Roman"/>
        </w:rPr>
        <w:t xml:space="preserve"> </w:t>
      </w:r>
      <w:r w:rsidR="00691498" w:rsidRPr="007954B9">
        <w:rPr>
          <w:rFonts w:ascii="Times New Roman" w:hAnsi="Times New Roman"/>
        </w:rPr>
        <w:t xml:space="preserve">by filing </w:t>
      </w:r>
      <w:r w:rsidR="000E1E17" w:rsidRPr="007954B9">
        <w:rPr>
          <w:rFonts w:ascii="Times New Roman" w:hAnsi="Times New Roman"/>
        </w:rPr>
        <w:t>an initiating process</w:t>
      </w:r>
      <w:r w:rsidR="00613377" w:rsidRPr="007954B9">
        <w:rPr>
          <w:rFonts w:ascii="Times New Roman" w:hAnsi="Times New Roman"/>
        </w:rPr>
        <w:t>,</w:t>
      </w:r>
      <w:r w:rsidR="000E1E17" w:rsidRPr="007954B9">
        <w:rPr>
          <w:rFonts w:ascii="Times New Roman" w:hAnsi="Times New Roman"/>
        </w:rPr>
        <w:t xml:space="preserve"> </w:t>
      </w:r>
      <w:r w:rsidR="005655B5" w:rsidRPr="007954B9">
        <w:rPr>
          <w:rFonts w:ascii="Times New Roman" w:hAnsi="Times New Roman"/>
        </w:rPr>
        <w:t xml:space="preserve">irrespective of </w:t>
      </w:r>
      <w:r w:rsidR="00A95BCF" w:rsidRPr="007954B9">
        <w:rPr>
          <w:rFonts w:ascii="Times New Roman" w:hAnsi="Times New Roman"/>
        </w:rPr>
        <w:t xml:space="preserve">that person's </w:t>
      </w:r>
      <w:r w:rsidR="005655B5" w:rsidRPr="007954B9">
        <w:rPr>
          <w:rFonts w:ascii="Times New Roman" w:hAnsi="Times New Roman"/>
        </w:rPr>
        <w:t>nationality or place of residence</w:t>
      </w:r>
      <w:r w:rsidR="00C21D4F" w:rsidRPr="007954B9">
        <w:rPr>
          <w:rStyle w:val="FootnoteReference"/>
          <w:rFonts w:ascii="Times New Roman" w:hAnsi="Times New Roman"/>
          <w:sz w:val="24"/>
        </w:rPr>
        <w:footnoteReference w:id="11"/>
      </w:r>
      <w:r w:rsidR="00A95BCF" w:rsidRPr="007954B9">
        <w:rPr>
          <w:rFonts w:ascii="Times New Roman" w:hAnsi="Times New Roman"/>
        </w:rPr>
        <w:t xml:space="preserve">. </w:t>
      </w:r>
      <w:r w:rsidR="00052566" w:rsidRPr="007954B9">
        <w:rPr>
          <w:rFonts w:ascii="Times New Roman" w:hAnsi="Times New Roman"/>
        </w:rPr>
        <w:t>Another is that</w:t>
      </w:r>
      <w:r w:rsidR="00AF653F" w:rsidRPr="007954B9">
        <w:rPr>
          <w:rFonts w:ascii="Times New Roman" w:hAnsi="Times New Roman"/>
        </w:rPr>
        <w:t xml:space="preserve"> </w:t>
      </w:r>
      <w:r w:rsidR="00621520" w:rsidRPr="007954B9">
        <w:rPr>
          <w:rFonts w:ascii="Times New Roman" w:hAnsi="Times New Roman"/>
        </w:rPr>
        <w:t>(</w:t>
      </w:r>
      <w:r w:rsidR="00797CB0" w:rsidRPr="007954B9">
        <w:rPr>
          <w:rFonts w:ascii="Times New Roman" w:hAnsi="Times New Roman"/>
        </w:rPr>
        <w:t xml:space="preserve">voluntary submission apart) service </w:t>
      </w:r>
      <w:r w:rsidR="00AF653F" w:rsidRPr="007954B9">
        <w:rPr>
          <w:rFonts w:ascii="Times New Roman" w:hAnsi="Times New Roman"/>
        </w:rPr>
        <w:t xml:space="preserve">of </w:t>
      </w:r>
      <w:r w:rsidR="00673847" w:rsidRPr="007954B9">
        <w:rPr>
          <w:rFonts w:ascii="Times New Roman" w:hAnsi="Times New Roman"/>
        </w:rPr>
        <w:t xml:space="preserve">initiating process </w:t>
      </w:r>
      <w:r w:rsidR="00B5229E" w:rsidRPr="007954B9">
        <w:rPr>
          <w:rFonts w:ascii="Times New Roman" w:hAnsi="Times New Roman"/>
        </w:rPr>
        <w:t xml:space="preserve">on a </w:t>
      </w:r>
      <w:r w:rsidR="0056412D" w:rsidRPr="007954B9">
        <w:rPr>
          <w:rFonts w:ascii="Times New Roman" w:hAnsi="Times New Roman"/>
        </w:rPr>
        <w:t>person</w:t>
      </w:r>
      <w:r w:rsidR="00365CCC" w:rsidRPr="007954B9">
        <w:rPr>
          <w:rFonts w:ascii="Times New Roman" w:hAnsi="Times New Roman"/>
        </w:rPr>
        <w:t xml:space="preserve"> </w:t>
      </w:r>
      <w:r w:rsidR="0085539A" w:rsidRPr="007954B9">
        <w:rPr>
          <w:rFonts w:ascii="Times New Roman" w:hAnsi="Times New Roman"/>
        </w:rPr>
        <w:t xml:space="preserve">against whom the claim is </w:t>
      </w:r>
      <w:r w:rsidR="00D91FB7" w:rsidRPr="007954B9">
        <w:rPr>
          <w:rFonts w:ascii="Times New Roman" w:hAnsi="Times New Roman"/>
        </w:rPr>
        <w:t>asserted</w:t>
      </w:r>
      <w:r w:rsidR="00B5229E" w:rsidRPr="007954B9">
        <w:rPr>
          <w:rFonts w:ascii="Times New Roman" w:hAnsi="Times New Roman"/>
        </w:rPr>
        <w:t xml:space="preserve"> </w:t>
      </w:r>
      <w:r w:rsidR="00AF3CBB" w:rsidRPr="007954B9">
        <w:rPr>
          <w:rFonts w:ascii="Times New Roman" w:hAnsi="Times New Roman"/>
        </w:rPr>
        <w:t>is</w:t>
      </w:r>
      <w:r w:rsidR="008277CB" w:rsidRPr="007954B9">
        <w:rPr>
          <w:rFonts w:ascii="Times New Roman" w:hAnsi="Times New Roman"/>
        </w:rPr>
        <w:t xml:space="preserve"> </w:t>
      </w:r>
      <w:r w:rsidR="008F5D91" w:rsidRPr="007954B9">
        <w:rPr>
          <w:rFonts w:ascii="Times New Roman" w:hAnsi="Times New Roman"/>
        </w:rPr>
        <w:t xml:space="preserve">a </w:t>
      </w:r>
      <w:r w:rsidR="00FC7851" w:rsidRPr="007954B9">
        <w:rPr>
          <w:rFonts w:ascii="Times New Roman" w:hAnsi="Times New Roman"/>
        </w:rPr>
        <w:t xml:space="preserve">necessary </w:t>
      </w:r>
      <w:r w:rsidR="00F7604C" w:rsidRPr="007954B9">
        <w:rPr>
          <w:rFonts w:ascii="Times New Roman" w:hAnsi="Times New Roman"/>
        </w:rPr>
        <w:t xml:space="preserve">foundation </w:t>
      </w:r>
      <w:r w:rsidR="00F7604C" w:rsidRPr="007954B9">
        <w:rPr>
          <w:rFonts w:ascii="Times New Roman" w:hAnsi="Times New Roman"/>
        </w:rPr>
        <w:lastRenderedPageBreak/>
        <w:t>for</w:t>
      </w:r>
      <w:r w:rsidR="00C601ED" w:rsidRPr="007954B9">
        <w:rPr>
          <w:rFonts w:ascii="Times New Roman" w:hAnsi="Times New Roman"/>
        </w:rPr>
        <w:t xml:space="preserve"> the exercise of</w:t>
      </w:r>
      <w:r w:rsidR="00DD365B" w:rsidRPr="007954B9">
        <w:rPr>
          <w:rFonts w:ascii="Times New Roman" w:hAnsi="Times New Roman"/>
        </w:rPr>
        <w:t xml:space="preserve"> </w:t>
      </w:r>
      <w:r w:rsidR="007C1C38" w:rsidRPr="007954B9">
        <w:rPr>
          <w:rFonts w:ascii="Times New Roman" w:hAnsi="Times New Roman"/>
        </w:rPr>
        <w:t xml:space="preserve">jurisdiction </w:t>
      </w:r>
      <w:r w:rsidR="0085539A" w:rsidRPr="007954B9">
        <w:rPr>
          <w:rFonts w:ascii="Times New Roman" w:hAnsi="Times New Roman"/>
        </w:rPr>
        <w:t xml:space="preserve">by the court </w:t>
      </w:r>
      <w:r w:rsidR="002604FE" w:rsidRPr="007954B9">
        <w:rPr>
          <w:rFonts w:ascii="Times New Roman" w:hAnsi="Times New Roman"/>
        </w:rPr>
        <w:t xml:space="preserve">to determine </w:t>
      </w:r>
      <w:r w:rsidR="009362D6" w:rsidRPr="007954B9">
        <w:rPr>
          <w:rFonts w:ascii="Times New Roman" w:hAnsi="Times New Roman"/>
        </w:rPr>
        <w:t>th</w:t>
      </w:r>
      <w:r w:rsidR="00365CCC" w:rsidRPr="007954B9">
        <w:rPr>
          <w:rFonts w:ascii="Times New Roman" w:hAnsi="Times New Roman"/>
        </w:rPr>
        <w:t>at</w:t>
      </w:r>
      <w:r w:rsidR="00BB12E2" w:rsidRPr="007954B9">
        <w:rPr>
          <w:rFonts w:ascii="Times New Roman" w:hAnsi="Times New Roman"/>
        </w:rPr>
        <w:t xml:space="preserve"> </w:t>
      </w:r>
      <w:r w:rsidR="002604FE" w:rsidRPr="007954B9">
        <w:rPr>
          <w:rFonts w:ascii="Times New Roman" w:hAnsi="Times New Roman"/>
        </w:rPr>
        <w:t>claim</w:t>
      </w:r>
      <w:r w:rsidR="00202FE5" w:rsidRPr="007954B9">
        <w:rPr>
          <w:rFonts w:ascii="Times New Roman" w:hAnsi="Times New Roman"/>
        </w:rPr>
        <w:t xml:space="preserve"> against that person</w:t>
      </w:r>
      <w:r w:rsidR="007C1C38" w:rsidRPr="007954B9">
        <w:rPr>
          <w:rStyle w:val="FootnoteReference"/>
          <w:rFonts w:ascii="Times New Roman" w:hAnsi="Times New Roman"/>
          <w:sz w:val="24"/>
        </w:rPr>
        <w:footnoteReference w:id="12"/>
      </w:r>
      <w:r w:rsidR="00250559" w:rsidRPr="007954B9">
        <w:rPr>
          <w:rFonts w:ascii="Times New Roman" w:hAnsi="Times New Roman"/>
        </w:rPr>
        <w:t>.</w:t>
      </w:r>
      <w:r w:rsidR="00202FE5" w:rsidRPr="007954B9">
        <w:rPr>
          <w:rFonts w:ascii="Times New Roman" w:hAnsi="Times New Roman"/>
        </w:rPr>
        <w:t xml:space="preserve"> </w:t>
      </w:r>
    </w:p>
    <w:p w14:paraId="501A6C50" w14:textId="2544B84F" w:rsidR="00AB0F45" w:rsidRPr="007954B9" w:rsidRDefault="00AB0F45"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F977C7" w:rsidRPr="007954B9">
        <w:rPr>
          <w:rFonts w:ascii="Times New Roman" w:hAnsi="Times New Roman"/>
        </w:rPr>
        <w:t>Pivotal to the operation of Pt IVA is</w:t>
      </w:r>
      <w:r w:rsidR="00946B78" w:rsidRPr="007954B9">
        <w:rPr>
          <w:rFonts w:ascii="Times New Roman" w:hAnsi="Times New Roman"/>
        </w:rPr>
        <w:t xml:space="preserve"> s </w:t>
      </w:r>
      <w:r w:rsidR="007D52E0" w:rsidRPr="007954B9">
        <w:rPr>
          <w:rFonts w:ascii="Times New Roman" w:hAnsi="Times New Roman"/>
        </w:rPr>
        <w:t>33C</w:t>
      </w:r>
      <w:r w:rsidR="00272B85" w:rsidRPr="007954B9">
        <w:rPr>
          <w:rFonts w:ascii="Times New Roman" w:hAnsi="Times New Roman"/>
        </w:rPr>
        <w:t xml:space="preserve"> of the Act</w:t>
      </w:r>
      <w:r w:rsidR="00E35F4C" w:rsidRPr="007954B9">
        <w:rPr>
          <w:rFonts w:ascii="Times New Roman" w:hAnsi="Times New Roman"/>
        </w:rPr>
        <w:t>, which is</w:t>
      </w:r>
      <w:r w:rsidR="00A6293E" w:rsidRPr="007954B9">
        <w:rPr>
          <w:rFonts w:ascii="Times New Roman" w:hAnsi="Times New Roman"/>
        </w:rPr>
        <w:t xml:space="preserve"> </w:t>
      </w:r>
      <w:r w:rsidR="00E35F4C" w:rsidRPr="007954B9">
        <w:rPr>
          <w:rFonts w:ascii="Times New Roman" w:hAnsi="Times New Roman"/>
        </w:rPr>
        <w:t>h</w:t>
      </w:r>
      <w:r w:rsidR="00912303" w:rsidRPr="007954B9">
        <w:rPr>
          <w:rFonts w:ascii="Times New Roman" w:hAnsi="Times New Roman"/>
        </w:rPr>
        <w:t>eaded "Commencement of proceeding"</w:t>
      </w:r>
      <w:r w:rsidR="00E35F4C" w:rsidRPr="007954B9">
        <w:rPr>
          <w:rFonts w:ascii="Times New Roman" w:hAnsi="Times New Roman"/>
        </w:rPr>
        <w:t>. Section 33C(1)</w:t>
      </w:r>
      <w:r w:rsidR="003A7DBF" w:rsidRPr="007954B9">
        <w:rPr>
          <w:rFonts w:ascii="Times New Roman" w:hAnsi="Times New Roman"/>
        </w:rPr>
        <w:t xml:space="preserve"> </w:t>
      </w:r>
      <w:r w:rsidR="007D52E0" w:rsidRPr="007954B9">
        <w:rPr>
          <w:rFonts w:ascii="Times New Roman" w:hAnsi="Times New Roman"/>
        </w:rPr>
        <w:t>provides:</w:t>
      </w:r>
    </w:p>
    <w:p w14:paraId="209CCCC0" w14:textId="441EC93A" w:rsidR="00711C0F" w:rsidRPr="007954B9" w:rsidRDefault="00711C0F" w:rsidP="007954B9">
      <w:pPr>
        <w:pStyle w:val="leftright"/>
        <w:spacing w:before="0" w:after="260" w:line="280" w:lineRule="exact"/>
        <w:ind w:right="0"/>
        <w:jc w:val="both"/>
        <w:rPr>
          <w:rFonts w:ascii="Times New Roman" w:hAnsi="Times New Roman"/>
        </w:rPr>
      </w:pPr>
      <w:r w:rsidRPr="007954B9">
        <w:rPr>
          <w:rFonts w:ascii="Times New Roman" w:hAnsi="Times New Roman"/>
        </w:rPr>
        <w:t>"</w:t>
      </w:r>
      <w:r w:rsidR="00163252" w:rsidRPr="007954B9">
        <w:rPr>
          <w:rFonts w:ascii="Times New Roman" w:hAnsi="Times New Roman"/>
        </w:rPr>
        <w:t xml:space="preserve">Subject </w:t>
      </w:r>
      <w:r w:rsidR="00D94189" w:rsidRPr="007954B9">
        <w:rPr>
          <w:rFonts w:ascii="Times New Roman" w:hAnsi="Times New Roman"/>
        </w:rPr>
        <w:t>to this Part, where:</w:t>
      </w:r>
    </w:p>
    <w:p w14:paraId="09F7A564" w14:textId="1F3E0777" w:rsidR="00D94189" w:rsidRPr="007954B9" w:rsidRDefault="00D94189" w:rsidP="007954B9">
      <w:pPr>
        <w:pStyle w:val="leftright"/>
        <w:spacing w:before="0" w:after="260" w:line="280" w:lineRule="exact"/>
        <w:ind w:left="1440" w:right="0" w:hanging="720"/>
        <w:jc w:val="both"/>
        <w:rPr>
          <w:rFonts w:ascii="Times New Roman" w:hAnsi="Times New Roman"/>
        </w:rPr>
      </w:pPr>
      <w:r w:rsidRPr="007954B9">
        <w:rPr>
          <w:rFonts w:ascii="Times New Roman" w:hAnsi="Times New Roman"/>
        </w:rPr>
        <w:t>(a)</w:t>
      </w:r>
      <w:r w:rsidR="00F6601A" w:rsidRPr="007954B9">
        <w:rPr>
          <w:rFonts w:ascii="Times New Roman" w:hAnsi="Times New Roman"/>
        </w:rPr>
        <w:tab/>
      </w:r>
      <w:r w:rsidR="00453CE6" w:rsidRPr="007954B9">
        <w:rPr>
          <w:rFonts w:ascii="Times New Roman" w:hAnsi="Times New Roman"/>
        </w:rPr>
        <w:t>7 or more persons have claims against the same person; and</w:t>
      </w:r>
    </w:p>
    <w:p w14:paraId="7A004459" w14:textId="585F8670" w:rsidR="00453CE6" w:rsidRPr="007954B9" w:rsidRDefault="00453CE6" w:rsidP="007954B9">
      <w:pPr>
        <w:pStyle w:val="leftright"/>
        <w:spacing w:before="0" w:after="260" w:line="280" w:lineRule="exact"/>
        <w:ind w:left="1440" w:right="0" w:hanging="720"/>
        <w:jc w:val="both"/>
        <w:rPr>
          <w:rFonts w:ascii="Times New Roman" w:hAnsi="Times New Roman"/>
        </w:rPr>
      </w:pPr>
      <w:r w:rsidRPr="007954B9">
        <w:rPr>
          <w:rFonts w:ascii="Times New Roman" w:hAnsi="Times New Roman"/>
        </w:rPr>
        <w:t>(b</w:t>
      </w:r>
      <w:r w:rsidR="00704D15" w:rsidRPr="007954B9">
        <w:rPr>
          <w:rFonts w:ascii="Times New Roman" w:hAnsi="Times New Roman"/>
        </w:rPr>
        <w:t>)</w:t>
      </w:r>
      <w:r w:rsidR="00F6601A" w:rsidRPr="007954B9">
        <w:rPr>
          <w:rFonts w:ascii="Times New Roman" w:hAnsi="Times New Roman"/>
        </w:rPr>
        <w:tab/>
      </w:r>
      <w:r w:rsidR="00704D15" w:rsidRPr="007954B9">
        <w:rPr>
          <w:rFonts w:ascii="Times New Roman" w:hAnsi="Times New Roman"/>
        </w:rPr>
        <w:t xml:space="preserve">the claims of all those persons are in respect of, or arise </w:t>
      </w:r>
      <w:r w:rsidR="002765F3" w:rsidRPr="007954B9">
        <w:rPr>
          <w:rFonts w:ascii="Times New Roman" w:hAnsi="Times New Roman"/>
        </w:rPr>
        <w:t xml:space="preserve">out </w:t>
      </w:r>
      <w:r w:rsidR="00704D15" w:rsidRPr="007954B9">
        <w:rPr>
          <w:rFonts w:ascii="Times New Roman" w:hAnsi="Times New Roman"/>
        </w:rPr>
        <w:t xml:space="preserve">of, </w:t>
      </w:r>
      <w:r w:rsidR="008B675B" w:rsidRPr="007954B9">
        <w:rPr>
          <w:rFonts w:ascii="Times New Roman" w:hAnsi="Times New Roman"/>
        </w:rPr>
        <w:t xml:space="preserve">the </w:t>
      </w:r>
      <w:r w:rsidR="00704D15" w:rsidRPr="007954B9">
        <w:rPr>
          <w:rFonts w:ascii="Times New Roman" w:hAnsi="Times New Roman"/>
        </w:rPr>
        <w:t xml:space="preserve">same, similar </w:t>
      </w:r>
      <w:r w:rsidR="008B675B" w:rsidRPr="007954B9">
        <w:rPr>
          <w:rFonts w:ascii="Times New Roman" w:hAnsi="Times New Roman"/>
        </w:rPr>
        <w:t xml:space="preserve">or </w:t>
      </w:r>
      <w:r w:rsidR="00704D15" w:rsidRPr="007954B9">
        <w:rPr>
          <w:rFonts w:ascii="Times New Roman" w:hAnsi="Times New Roman"/>
        </w:rPr>
        <w:t>related circumstances; and</w:t>
      </w:r>
    </w:p>
    <w:p w14:paraId="1364ADE4" w14:textId="3531F420" w:rsidR="00704D15" w:rsidRPr="007954B9" w:rsidRDefault="00704D15" w:rsidP="007954B9">
      <w:pPr>
        <w:pStyle w:val="leftright"/>
        <w:spacing w:before="0" w:after="260" w:line="280" w:lineRule="exact"/>
        <w:ind w:left="1440" w:right="0" w:hanging="720"/>
        <w:jc w:val="both"/>
        <w:rPr>
          <w:rFonts w:ascii="Times New Roman" w:hAnsi="Times New Roman"/>
        </w:rPr>
      </w:pPr>
      <w:r w:rsidRPr="007954B9">
        <w:rPr>
          <w:rFonts w:ascii="Times New Roman" w:hAnsi="Times New Roman"/>
        </w:rPr>
        <w:t>(c)</w:t>
      </w:r>
      <w:r w:rsidR="00F6601A" w:rsidRPr="007954B9">
        <w:rPr>
          <w:rFonts w:ascii="Times New Roman" w:hAnsi="Times New Roman"/>
        </w:rPr>
        <w:tab/>
      </w:r>
      <w:r w:rsidR="006F418E" w:rsidRPr="007954B9">
        <w:rPr>
          <w:rFonts w:ascii="Times New Roman" w:hAnsi="Times New Roman"/>
        </w:rPr>
        <w:t>the claims of all those persons give rise to a substantial common</w:t>
      </w:r>
      <w:r w:rsidR="00EF68A7" w:rsidRPr="007954B9">
        <w:rPr>
          <w:rFonts w:ascii="Times New Roman" w:hAnsi="Times New Roman"/>
        </w:rPr>
        <w:t xml:space="preserve"> issue</w:t>
      </w:r>
      <w:r w:rsidR="006F418E" w:rsidRPr="007954B9">
        <w:rPr>
          <w:rFonts w:ascii="Times New Roman" w:hAnsi="Times New Roman"/>
        </w:rPr>
        <w:t xml:space="preserve"> of law </w:t>
      </w:r>
      <w:r w:rsidR="00BF2237" w:rsidRPr="007954B9">
        <w:rPr>
          <w:rFonts w:ascii="Times New Roman" w:hAnsi="Times New Roman"/>
        </w:rPr>
        <w:t xml:space="preserve">or </w:t>
      </w:r>
      <w:r w:rsidR="006F418E" w:rsidRPr="007954B9">
        <w:rPr>
          <w:rFonts w:ascii="Times New Roman" w:hAnsi="Times New Roman"/>
        </w:rPr>
        <w:t>fact;</w:t>
      </w:r>
    </w:p>
    <w:p w14:paraId="4170E2A2" w14:textId="77777777" w:rsidR="007954B9" w:rsidRDefault="00641E43" w:rsidP="007954B9">
      <w:pPr>
        <w:pStyle w:val="leftright"/>
        <w:spacing w:before="0" w:after="260" w:line="280" w:lineRule="exact"/>
        <w:ind w:right="0"/>
        <w:jc w:val="both"/>
        <w:rPr>
          <w:rFonts w:ascii="Times New Roman" w:hAnsi="Times New Roman"/>
        </w:rPr>
      </w:pPr>
      <w:r w:rsidRPr="007954B9">
        <w:rPr>
          <w:rFonts w:ascii="Times New Roman" w:hAnsi="Times New Roman"/>
        </w:rPr>
        <w:t>a proceeding may be commenced by one or more of those persons</w:t>
      </w:r>
      <w:r w:rsidR="00F6601A" w:rsidRPr="007954B9">
        <w:rPr>
          <w:rFonts w:ascii="Times New Roman" w:hAnsi="Times New Roman"/>
        </w:rPr>
        <w:t xml:space="preserve"> as </w:t>
      </w:r>
      <w:r w:rsidRPr="007954B9">
        <w:rPr>
          <w:rFonts w:ascii="Times New Roman" w:hAnsi="Times New Roman"/>
        </w:rPr>
        <w:t>representing some or all of them.</w:t>
      </w:r>
      <w:r w:rsidR="00F6601A" w:rsidRPr="007954B9">
        <w:rPr>
          <w:rFonts w:ascii="Times New Roman" w:hAnsi="Times New Roman"/>
        </w:rPr>
        <w:t>"</w:t>
      </w:r>
    </w:p>
    <w:p w14:paraId="6F0DD9E9" w14:textId="0B6F21D0" w:rsidR="00B57891" w:rsidRPr="007954B9" w:rsidRDefault="00A66A93" w:rsidP="007954B9">
      <w:pPr>
        <w:pStyle w:val="NormalBody"/>
        <w:spacing w:after="260" w:line="280" w:lineRule="exact"/>
        <w:ind w:right="0"/>
        <w:jc w:val="both"/>
        <w:rPr>
          <w:rFonts w:ascii="Times New Roman" w:hAnsi="Times New Roman"/>
        </w:rPr>
      </w:pPr>
      <w:r w:rsidRPr="007954B9">
        <w:rPr>
          <w:rFonts w:ascii="Times New Roman" w:hAnsi="Times New Roman"/>
        </w:rPr>
        <w:t>In that provision</w:t>
      </w:r>
      <w:r w:rsidR="004307AF" w:rsidRPr="007954B9">
        <w:rPr>
          <w:rFonts w:ascii="Times New Roman" w:hAnsi="Times New Roman"/>
        </w:rPr>
        <w:t>,</w:t>
      </w:r>
      <w:r w:rsidRPr="007954B9">
        <w:rPr>
          <w:rFonts w:ascii="Times New Roman" w:hAnsi="Times New Roman"/>
        </w:rPr>
        <w:t xml:space="preserve"> and throughout the Act, t</w:t>
      </w:r>
      <w:r w:rsidR="00540A59" w:rsidRPr="007954B9">
        <w:rPr>
          <w:rFonts w:ascii="Times New Roman" w:hAnsi="Times New Roman"/>
        </w:rPr>
        <w:t>he word "person"</w:t>
      </w:r>
      <w:r w:rsidRPr="007954B9">
        <w:rPr>
          <w:rFonts w:ascii="Times New Roman" w:hAnsi="Times New Roman"/>
        </w:rPr>
        <w:t xml:space="preserve"> </w:t>
      </w:r>
      <w:r w:rsidR="004903B0" w:rsidRPr="007954B9">
        <w:rPr>
          <w:rFonts w:ascii="Times New Roman" w:hAnsi="Times New Roman"/>
        </w:rPr>
        <w:t>include</w:t>
      </w:r>
      <w:r w:rsidR="00705616" w:rsidRPr="007954B9">
        <w:rPr>
          <w:rFonts w:ascii="Times New Roman" w:hAnsi="Times New Roman"/>
        </w:rPr>
        <w:t>s</w:t>
      </w:r>
      <w:r w:rsidR="004903B0" w:rsidRPr="007954B9">
        <w:rPr>
          <w:rFonts w:ascii="Times New Roman" w:hAnsi="Times New Roman"/>
        </w:rPr>
        <w:t xml:space="preserve"> </w:t>
      </w:r>
      <w:r w:rsidR="00207719" w:rsidRPr="007954B9">
        <w:rPr>
          <w:rFonts w:ascii="Times New Roman" w:hAnsi="Times New Roman"/>
        </w:rPr>
        <w:t>a body politic or corporate as well as an individual</w:t>
      </w:r>
      <w:r w:rsidR="00B10A8C" w:rsidRPr="007954B9">
        <w:rPr>
          <w:rStyle w:val="FootnoteReference"/>
          <w:rFonts w:ascii="Times New Roman" w:hAnsi="Times New Roman"/>
          <w:sz w:val="24"/>
        </w:rPr>
        <w:footnoteReference w:id="13"/>
      </w:r>
      <w:r w:rsidR="00DC66DF" w:rsidRPr="007954B9">
        <w:rPr>
          <w:rFonts w:ascii="Times New Roman" w:hAnsi="Times New Roman"/>
        </w:rPr>
        <w:t xml:space="preserve"> and the </w:t>
      </w:r>
      <w:r w:rsidR="00811F2E" w:rsidRPr="007954B9">
        <w:rPr>
          <w:rFonts w:ascii="Times New Roman" w:hAnsi="Times New Roman"/>
        </w:rPr>
        <w:t xml:space="preserve">word </w:t>
      </w:r>
      <w:r w:rsidR="00055E3E" w:rsidRPr="007954B9">
        <w:rPr>
          <w:rFonts w:ascii="Times New Roman" w:hAnsi="Times New Roman"/>
        </w:rPr>
        <w:t xml:space="preserve">"persons" </w:t>
      </w:r>
      <w:r w:rsidR="007E00CB" w:rsidRPr="007954B9">
        <w:rPr>
          <w:rFonts w:ascii="Times New Roman" w:hAnsi="Times New Roman"/>
        </w:rPr>
        <w:t>needs to</w:t>
      </w:r>
      <w:r w:rsidR="00055E3E" w:rsidRPr="007954B9">
        <w:rPr>
          <w:rFonts w:ascii="Times New Roman" w:hAnsi="Times New Roman"/>
        </w:rPr>
        <w:t xml:space="preserve"> be read correspondingly</w:t>
      </w:r>
      <w:r w:rsidR="00055E3E" w:rsidRPr="007954B9">
        <w:rPr>
          <w:rStyle w:val="FootnoteReference"/>
          <w:rFonts w:ascii="Times New Roman" w:hAnsi="Times New Roman"/>
          <w:sz w:val="24"/>
        </w:rPr>
        <w:footnoteReference w:id="14"/>
      </w:r>
      <w:r w:rsidR="00055E3E" w:rsidRPr="007954B9">
        <w:rPr>
          <w:rFonts w:ascii="Times New Roman" w:hAnsi="Times New Roman"/>
        </w:rPr>
        <w:t>.</w:t>
      </w:r>
    </w:p>
    <w:p w14:paraId="7CF574E3" w14:textId="4100877F" w:rsidR="00B57891" w:rsidRPr="007954B9" w:rsidRDefault="007546CB"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4307AF" w:rsidRPr="007954B9">
        <w:rPr>
          <w:rFonts w:ascii="Times New Roman" w:hAnsi="Times New Roman"/>
        </w:rPr>
        <w:t xml:space="preserve">Section 33D </w:t>
      </w:r>
      <w:r w:rsidR="005442B9" w:rsidRPr="007954B9">
        <w:rPr>
          <w:rFonts w:ascii="Times New Roman" w:hAnsi="Times New Roman"/>
        </w:rPr>
        <w:t>complements</w:t>
      </w:r>
      <w:r w:rsidR="001F590D" w:rsidRPr="007954B9">
        <w:rPr>
          <w:rFonts w:ascii="Times New Roman" w:hAnsi="Times New Roman"/>
        </w:rPr>
        <w:t xml:space="preserve"> the </w:t>
      </w:r>
      <w:r w:rsidR="005442B9" w:rsidRPr="007954B9">
        <w:rPr>
          <w:rFonts w:ascii="Times New Roman" w:hAnsi="Times New Roman"/>
        </w:rPr>
        <w:t xml:space="preserve">permissive </w:t>
      </w:r>
      <w:r w:rsidR="004307AF" w:rsidRPr="007954B9">
        <w:rPr>
          <w:rFonts w:ascii="Times New Roman" w:hAnsi="Times New Roman"/>
        </w:rPr>
        <w:t>concluding words of</w:t>
      </w:r>
      <w:r w:rsidR="00946B78" w:rsidRPr="007954B9">
        <w:rPr>
          <w:rFonts w:ascii="Times New Roman" w:hAnsi="Times New Roman"/>
        </w:rPr>
        <w:t xml:space="preserve"> s </w:t>
      </w:r>
      <w:r w:rsidR="004307AF" w:rsidRPr="007954B9">
        <w:rPr>
          <w:rFonts w:ascii="Times New Roman" w:hAnsi="Times New Roman"/>
        </w:rPr>
        <w:t>33</w:t>
      </w:r>
      <w:r w:rsidR="003A3BE3" w:rsidRPr="007954B9">
        <w:rPr>
          <w:rFonts w:ascii="Times New Roman" w:hAnsi="Times New Roman"/>
        </w:rPr>
        <w:t>C</w:t>
      </w:r>
      <w:r w:rsidR="004307AF" w:rsidRPr="007954B9">
        <w:rPr>
          <w:rFonts w:ascii="Times New Roman" w:hAnsi="Times New Roman"/>
        </w:rPr>
        <w:t>(1)</w:t>
      </w:r>
      <w:r w:rsidR="003A3BE3" w:rsidRPr="007954B9">
        <w:rPr>
          <w:rFonts w:ascii="Times New Roman" w:hAnsi="Times New Roman"/>
        </w:rPr>
        <w:t xml:space="preserve">. </w:t>
      </w:r>
      <w:r w:rsidR="00001635" w:rsidRPr="007954B9">
        <w:rPr>
          <w:rFonts w:ascii="Times New Roman" w:hAnsi="Times New Roman"/>
        </w:rPr>
        <w:t>By operation of</w:t>
      </w:r>
      <w:r w:rsidR="00946B78" w:rsidRPr="007954B9">
        <w:rPr>
          <w:rFonts w:ascii="Times New Roman" w:hAnsi="Times New Roman"/>
        </w:rPr>
        <w:t xml:space="preserve"> s </w:t>
      </w:r>
      <w:r w:rsidR="00001635" w:rsidRPr="007954B9">
        <w:rPr>
          <w:rFonts w:ascii="Times New Roman" w:hAnsi="Times New Roman"/>
        </w:rPr>
        <w:t xml:space="preserve">33D, a </w:t>
      </w:r>
      <w:r w:rsidR="00F637A1" w:rsidRPr="007954B9">
        <w:rPr>
          <w:rFonts w:ascii="Times New Roman" w:hAnsi="Times New Roman"/>
        </w:rPr>
        <w:t>"person" referred to in</w:t>
      </w:r>
      <w:r w:rsidR="00946B78" w:rsidRPr="007954B9">
        <w:rPr>
          <w:rFonts w:ascii="Times New Roman" w:hAnsi="Times New Roman"/>
        </w:rPr>
        <w:t xml:space="preserve"> s </w:t>
      </w:r>
      <w:r w:rsidR="00673DD9" w:rsidRPr="007954B9">
        <w:rPr>
          <w:rFonts w:ascii="Times New Roman" w:hAnsi="Times New Roman"/>
        </w:rPr>
        <w:t xml:space="preserve">33C(1)(a) </w:t>
      </w:r>
      <w:r w:rsidR="00F77443" w:rsidRPr="007954B9">
        <w:rPr>
          <w:rFonts w:ascii="Times New Roman" w:hAnsi="Times New Roman"/>
        </w:rPr>
        <w:t>who has</w:t>
      </w:r>
      <w:r w:rsidR="00122EF7" w:rsidRPr="007954B9">
        <w:rPr>
          <w:rFonts w:ascii="Times New Roman" w:hAnsi="Times New Roman"/>
        </w:rPr>
        <w:t xml:space="preserve"> a sufficient interest to </w:t>
      </w:r>
      <w:r w:rsidR="00811F2E" w:rsidRPr="007954B9">
        <w:rPr>
          <w:rFonts w:ascii="Times New Roman" w:hAnsi="Times New Roman"/>
        </w:rPr>
        <w:t xml:space="preserve">have standing to </w:t>
      </w:r>
      <w:r w:rsidR="00122EF7" w:rsidRPr="007954B9">
        <w:rPr>
          <w:rFonts w:ascii="Times New Roman" w:hAnsi="Times New Roman"/>
        </w:rPr>
        <w:t xml:space="preserve">commence a proceeding on </w:t>
      </w:r>
      <w:r w:rsidR="0067122F" w:rsidRPr="007954B9">
        <w:rPr>
          <w:rFonts w:ascii="Times New Roman" w:hAnsi="Times New Roman"/>
        </w:rPr>
        <w:t>that person's</w:t>
      </w:r>
      <w:r w:rsidR="00122EF7" w:rsidRPr="007954B9">
        <w:rPr>
          <w:rFonts w:ascii="Times New Roman" w:hAnsi="Times New Roman"/>
        </w:rPr>
        <w:t xml:space="preserve"> own behalf against </w:t>
      </w:r>
      <w:r w:rsidR="00650F89" w:rsidRPr="007954B9">
        <w:rPr>
          <w:rFonts w:ascii="Times New Roman" w:hAnsi="Times New Roman"/>
        </w:rPr>
        <w:t>"</w:t>
      </w:r>
      <w:r w:rsidR="00122EF7" w:rsidRPr="007954B9">
        <w:rPr>
          <w:rFonts w:ascii="Times New Roman" w:hAnsi="Times New Roman"/>
        </w:rPr>
        <w:t>another person</w:t>
      </w:r>
      <w:r w:rsidR="00650F89" w:rsidRPr="007954B9">
        <w:rPr>
          <w:rFonts w:ascii="Times New Roman" w:hAnsi="Times New Roman"/>
        </w:rPr>
        <w:t>"</w:t>
      </w:r>
      <w:r w:rsidR="003852D0" w:rsidRPr="007954B9">
        <w:rPr>
          <w:rFonts w:ascii="Times New Roman" w:hAnsi="Times New Roman"/>
        </w:rPr>
        <w:t xml:space="preserve"> </w:t>
      </w:r>
      <w:r w:rsidR="002865F7" w:rsidRPr="007954B9">
        <w:rPr>
          <w:rFonts w:ascii="Times New Roman" w:hAnsi="Times New Roman"/>
        </w:rPr>
        <w:t>is taken to have</w:t>
      </w:r>
      <w:r w:rsidR="003852D0" w:rsidRPr="007954B9">
        <w:rPr>
          <w:rFonts w:ascii="Times New Roman" w:hAnsi="Times New Roman"/>
        </w:rPr>
        <w:t xml:space="preserve"> a sufficient interest to commence a representative proceeding against </w:t>
      </w:r>
      <w:r w:rsidR="006E2D04" w:rsidRPr="007954B9">
        <w:rPr>
          <w:rFonts w:ascii="Times New Roman" w:hAnsi="Times New Roman"/>
        </w:rPr>
        <w:t>"</w:t>
      </w:r>
      <w:r w:rsidR="003852D0" w:rsidRPr="007954B9">
        <w:rPr>
          <w:rFonts w:ascii="Times New Roman" w:hAnsi="Times New Roman"/>
        </w:rPr>
        <w:t>that other person</w:t>
      </w:r>
      <w:r w:rsidR="006E2D04" w:rsidRPr="007954B9">
        <w:rPr>
          <w:rFonts w:ascii="Times New Roman" w:hAnsi="Times New Roman"/>
        </w:rPr>
        <w:t>"</w:t>
      </w:r>
      <w:r w:rsidR="003852D0" w:rsidRPr="007954B9">
        <w:rPr>
          <w:rFonts w:ascii="Times New Roman" w:hAnsi="Times New Roman"/>
        </w:rPr>
        <w:t xml:space="preserve"> on behalf of </w:t>
      </w:r>
      <w:r w:rsidR="008315B1" w:rsidRPr="007954B9">
        <w:rPr>
          <w:rFonts w:ascii="Times New Roman" w:hAnsi="Times New Roman"/>
        </w:rPr>
        <w:t xml:space="preserve">"other </w:t>
      </w:r>
      <w:r w:rsidR="003852D0" w:rsidRPr="007954B9">
        <w:rPr>
          <w:rFonts w:ascii="Times New Roman" w:hAnsi="Times New Roman"/>
        </w:rPr>
        <w:t>persons</w:t>
      </w:r>
      <w:r w:rsidR="008315B1" w:rsidRPr="007954B9">
        <w:rPr>
          <w:rFonts w:ascii="Times New Roman" w:hAnsi="Times New Roman"/>
        </w:rPr>
        <w:t>" referred to in</w:t>
      </w:r>
      <w:r w:rsidR="00946B78" w:rsidRPr="007954B9">
        <w:rPr>
          <w:rFonts w:ascii="Times New Roman" w:hAnsi="Times New Roman"/>
        </w:rPr>
        <w:t xml:space="preserve"> s </w:t>
      </w:r>
      <w:r w:rsidR="00650F89" w:rsidRPr="007954B9">
        <w:rPr>
          <w:rFonts w:ascii="Times New Roman" w:hAnsi="Times New Roman"/>
        </w:rPr>
        <w:t>33C(1)(a).</w:t>
      </w:r>
    </w:p>
    <w:p w14:paraId="159791D4" w14:textId="5D75FD8F" w:rsidR="00BE6FE9" w:rsidRPr="007954B9" w:rsidRDefault="0037402D"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FB7B54" w:rsidRPr="007954B9">
        <w:rPr>
          <w:rFonts w:ascii="Times New Roman" w:hAnsi="Times New Roman"/>
        </w:rPr>
        <w:t>Section</w:t>
      </w:r>
      <w:r w:rsidR="002857ED" w:rsidRPr="007954B9">
        <w:rPr>
          <w:rFonts w:ascii="Times New Roman" w:hAnsi="Times New Roman"/>
        </w:rPr>
        <w:t xml:space="preserve"> 33A </w:t>
      </w:r>
      <w:r w:rsidR="00696CF9" w:rsidRPr="007954B9">
        <w:rPr>
          <w:rFonts w:ascii="Times New Roman" w:hAnsi="Times New Roman"/>
        </w:rPr>
        <w:t>sets out</w:t>
      </w:r>
      <w:r w:rsidR="00961636" w:rsidRPr="007954B9">
        <w:rPr>
          <w:rFonts w:ascii="Times New Roman" w:hAnsi="Times New Roman"/>
        </w:rPr>
        <w:t xml:space="preserve"> definitions </w:t>
      </w:r>
      <w:r w:rsidR="00017BF4" w:rsidRPr="007954B9">
        <w:rPr>
          <w:rFonts w:ascii="Times New Roman" w:hAnsi="Times New Roman"/>
        </w:rPr>
        <w:t xml:space="preserve">which </w:t>
      </w:r>
      <w:r w:rsidR="00696CF9" w:rsidRPr="007954B9">
        <w:rPr>
          <w:rFonts w:ascii="Times New Roman" w:hAnsi="Times New Roman"/>
        </w:rPr>
        <w:t>can only be understood having regard to</w:t>
      </w:r>
      <w:r w:rsidR="00017BF4" w:rsidRPr="007954B9">
        <w:rPr>
          <w:rFonts w:ascii="Times New Roman" w:hAnsi="Times New Roman"/>
        </w:rPr>
        <w:t xml:space="preserve"> s</w:t>
      </w:r>
      <w:r w:rsidR="00FE7DD8" w:rsidRPr="007954B9">
        <w:rPr>
          <w:rFonts w:ascii="Times New Roman" w:hAnsi="Times New Roman"/>
        </w:rPr>
        <w:t>s</w:t>
      </w:r>
      <w:r w:rsidR="007B521E" w:rsidRPr="007954B9">
        <w:rPr>
          <w:rFonts w:ascii="Times New Roman" w:hAnsi="Times New Roman"/>
        </w:rPr>
        <w:t> </w:t>
      </w:r>
      <w:r w:rsidR="00017BF4" w:rsidRPr="007954B9">
        <w:rPr>
          <w:rFonts w:ascii="Times New Roman" w:hAnsi="Times New Roman"/>
        </w:rPr>
        <w:t xml:space="preserve">33C(1) and 33D. </w:t>
      </w:r>
      <w:r w:rsidR="00FE7DD8" w:rsidRPr="007954B9">
        <w:rPr>
          <w:rFonts w:ascii="Times New Roman" w:hAnsi="Times New Roman"/>
        </w:rPr>
        <w:t>Section</w:t>
      </w:r>
      <w:r w:rsidR="007D599E" w:rsidRPr="007954B9">
        <w:rPr>
          <w:rFonts w:ascii="Times New Roman" w:hAnsi="Times New Roman"/>
        </w:rPr>
        <w:t> </w:t>
      </w:r>
      <w:r w:rsidR="00FE7DD8" w:rsidRPr="007954B9">
        <w:rPr>
          <w:rFonts w:ascii="Times New Roman" w:hAnsi="Times New Roman"/>
        </w:rPr>
        <w:t>33A</w:t>
      </w:r>
      <w:r w:rsidR="00E3289C" w:rsidRPr="007954B9">
        <w:rPr>
          <w:rFonts w:ascii="Times New Roman" w:hAnsi="Times New Roman"/>
        </w:rPr>
        <w:t xml:space="preserve"> </w:t>
      </w:r>
      <w:r w:rsidR="002857ED" w:rsidRPr="007954B9">
        <w:rPr>
          <w:rFonts w:ascii="Times New Roman" w:hAnsi="Times New Roman"/>
        </w:rPr>
        <w:t xml:space="preserve">defines </w:t>
      </w:r>
      <w:r w:rsidR="00A26BF7" w:rsidRPr="007954B9">
        <w:rPr>
          <w:rFonts w:ascii="Times New Roman" w:hAnsi="Times New Roman"/>
        </w:rPr>
        <w:t>"</w:t>
      </w:r>
      <w:r w:rsidR="00040BAA" w:rsidRPr="007954B9">
        <w:rPr>
          <w:rFonts w:ascii="Times New Roman" w:hAnsi="Times New Roman"/>
        </w:rPr>
        <w:t>representative party</w:t>
      </w:r>
      <w:r w:rsidR="00A26BF7" w:rsidRPr="007954B9">
        <w:rPr>
          <w:rFonts w:ascii="Times New Roman" w:hAnsi="Times New Roman"/>
        </w:rPr>
        <w:t>"</w:t>
      </w:r>
      <w:r w:rsidR="00040BAA" w:rsidRPr="007954B9">
        <w:rPr>
          <w:rFonts w:ascii="Times New Roman" w:hAnsi="Times New Roman"/>
        </w:rPr>
        <w:t xml:space="preserve"> to mean </w:t>
      </w:r>
      <w:r w:rsidR="00A26BF7" w:rsidRPr="007954B9">
        <w:rPr>
          <w:rFonts w:ascii="Times New Roman" w:hAnsi="Times New Roman"/>
        </w:rPr>
        <w:t>"</w:t>
      </w:r>
      <w:r w:rsidR="00040BAA" w:rsidRPr="007954B9">
        <w:rPr>
          <w:rFonts w:ascii="Times New Roman" w:hAnsi="Times New Roman"/>
        </w:rPr>
        <w:t>a person who commences a representative proceeding</w:t>
      </w:r>
      <w:r w:rsidR="00A26BF7" w:rsidRPr="007954B9">
        <w:rPr>
          <w:rFonts w:ascii="Times New Roman" w:hAnsi="Times New Roman"/>
        </w:rPr>
        <w:t>"</w:t>
      </w:r>
      <w:r w:rsidR="00696CF9" w:rsidRPr="007954B9">
        <w:rPr>
          <w:rFonts w:ascii="Times New Roman" w:hAnsi="Times New Roman"/>
        </w:rPr>
        <w:t xml:space="preserve">. Importantly to BHP's </w:t>
      </w:r>
      <w:r w:rsidR="00696CF9" w:rsidRPr="007954B9">
        <w:rPr>
          <w:rFonts w:ascii="Times New Roman" w:hAnsi="Times New Roman"/>
        </w:rPr>
        <w:lastRenderedPageBreak/>
        <w:t xml:space="preserve">argument, it </w:t>
      </w:r>
      <w:r w:rsidR="00040BAA" w:rsidRPr="007954B9">
        <w:rPr>
          <w:rFonts w:ascii="Times New Roman" w:hAnsi="Times New Roman"/>
        </w:rPr>
        <w:t xml:space="preserve">defines </w:t>
      </w:r>
      <w:r w:rsidR="003B6AD0" w:rsidRPr="007954B9">
        <w:rPr>
          <w:rFonts w:ascii="Times New Roman" w:hAnsi="Times New Roman"/>
        </w:rPr>
        <w:t>"group member"</w:t>
      </w:r>
      <w:r w:rsidR="00040BAA" w:rsidRPr="007954B9">
        <w:rPr>
          <w:rFonts w:ascii="Times New Roman" w:hAnsi="Times New Roman"/>
        </w:rPr>
        <w:t xml:space="preserve"> to mean </w:t>
      </w:r>
      <w:r w:rsidR="003B6AD0" w:rsidRPr="007954B9">
        <w:rPr>
          <w:rFonts w:ascii="Times New Roman" w:hAnsi="Times New Roman"/>
        </w:rPr>
        <w:t>"</w:t>
      </w:r>
      <w:r w:rsidR="00040BAA" w:rsidRPr="007954B9">
        <w:rPr>
          <w:rFonts w:ascii="Times New Roman" w:hAnsi="Times New Roman"/>
        </w:rPr>
        <w:t>a member of a group of persons on whose behalf a representative p</w:t>
      </w:r>
      <w:r w:rsidR="00A26BF7" w:rsidRPr="007954B9">
        <w:rPr>
          <w:rFonts w:ascii="Times New Roman" w:hAnsi="Times New Roman"/>
        </w:rPr>
        <w:t>roceeding has been commenced</w:t>
      </w:r>
      <w:r w:rsidR="003B6AD0" w:rsidRPr="007954B9">
        <w:rPr>
          <w:rFonts w:ascii="Times New Roman" w:hAnsi="Times New Roman"/>
        </w:rPr>
        <w:t>".</w:t>
      </w:r>
    </w:p>
    <w:p w14:paraId="3A70ED36" w14:textId="5134495A" w:rsidR="000C5A0A" w:rsidRPr="007954B9" w:rsidRDefault="00BE6FE9" w:rsidP="007954B9">
      <w:pPr>
        <w:pStyle w:val="FixListStyle"/>
        <w:spacing w:after="260" w:line="280" w:lineRule="exact"/>
        <w:ind w:right="0"/>
        <w:jc w:val="both"/>
        <w:rPr>
          <w:rFonts w:ascii="Times New Roman" w:hAnsi="Times New Roman"/>
        </w:rPr>
      </w:pPr>
      <w:r w:rsidRPr="007954B9">
        <w:rPr>
          <w:rFonts w:ascii="Times New Roman" w:hAnsi="Times New Roman"/>
        </w:rPr>
        <w:tab/>
        <w:t xml:space="preserve">Section 33E </w:t>
      </w:r>
      <w:r w:rsidR="00AC374F" w:rsidRPr="007954B9">
        <w:rPr>
          <w:rFonts w:ascii="Times New Roman" w:hAnsi="Times New Roman"/>
        </w:rPr>
        <w:t>specifies</w:t>
      </w:r>
      <w:r w:rsidRPr="007954B9">
        <w:rPr>
          <w:rFonts w:ascii="Times New Roman" w:hAnsi="Times New Roman"/>
        </w:rPr>
        <w:t xml:space="preserve"> that </w:t>
      </w:r>
      <w:r w:rsidR="00E15178" w:rsidRPr="007954B9">
        <w:rPr>
          <w:rFonts w:ascii="Times New Roman" w:hAnsi="Times New Roman"/>
        </w:rPr>
        <w:t xml:space="preserve">(exceptional cases aside) </w:t>
      </w:r>
      <w:r w:rsidRPr="007954B9">
        <w:rPr>
          <w:rFonts w:ascii="Times New Roman" w:hAnsi="Times New Roman"/>
        </w:rPr>
        <w:t xml:space="preserve">a </w:t>
      </w:r>
      <w:r w:rsidR="00C25C43" w:rsidRPr="007954B9">
        <w:rPr>
          <w:rFonts w:ascii="Times New Roman" w:hAnsi="Times New Roman"/>
        </w:rPr>
        <w:t>representative party</w:t>
      </w:r>
      <w:r w:rsidR="000438EF" w:rsidRPr="007954B9">
        <w:rPr>
          <w:rFonts w:ascii="Times New Roman" w:hAnsi="Times New Roman"/>
        </w:rPr>
        <w:t xml:space="preserve"> </w:t>
      </w:r>
      <w:r w:rsidR="00C25C43" w:rsidRPr="007954B9">
        <w:rPr>
          <w:rFonts w:ascii="Times New Roman" w:hAnsi="Times New Roman"/>
        </w:rPr>
        <w:t xml:space="preserve">need </w:t>
      </w:r>
      <w:r w:rsidR="00F01526" w:rsidRPr="007954B9">
        <w:rPr>
          <w:rFonts w:ascii="Times New Roman" w:hAnsi="Times New Roman"/>
        </w:rPr>
        <w:t xml:space="preserve">not have </w:t>
      </w:r>
      <w:r w:rsidR="000438EF" w:rsidRPr="007954B9">
        <w:rPr>
          <w:rFonts w:ascii="Times New Roman" w:hAnsi="Times New Roman"/>
        </w:rPr>
        <w:t xml:space="preserve">the consent of a group member </w:t>
      </w:r>
      <w:r w:rsidR="003A54D3" w:rsidRPr="007954B9">
        <w:rPr>
          <w:rFonts w:ascii="Times New Roman" w:hAnsi="Times New Roman"/>
        </w:rPr>
        <w:t xml:space="preserve">in order to commence a </w:t>
      </w:r>
      <w:r w:rsidR="000438EF" w:rsidRPr="007954B9">
        <w:rPr>
          <w:rFonts w:ascii="Times New Roman" w:hAnsi="Times New Roman"/>
        </w:rPr>
        <w:t xml:space="preserve">representative proceeding </w:t>
      </w:r>
      <w:r w:rsidR="00257D92" w:rsidRPr="007954B9">
        <w:rPr>
          <w:rFonts w:ascii="Times New Roman" w:hAnsi="Times New Roman"/>
        </w:rPr>
        <w:t>on th</w:t>
      </w:r>
      <w:r w:rsidR="00B43CA5" w:rsidRPr="007954B9">
        <w:rPr>
          <w:rFonts w:ascii="Times New Roman" w:hAnsi="Times New Roman"/>
        </w:rPr>
        <w:t>at</w:t>
      </w:r>
      <w:r w:rsidR="00257D92" w:rsidRPr="007954B9">
        <w:rPr>
          <w:rFonts w:ascii="Times New Roman" w:hAnsi="Times New Roman"/>
        </w:rPr>
        <w:t xml:space="preserve"> group member's behalf. </w:t>
      </w:r>
    </w:p>
    <w:p w14:paraId="546A51A7" w14:textId="37E28122" w:rsidR="00C20439" w:rsidRPr="007954B9" w:rsidRDefault="000C5A0A"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E15178" w:rsidRPr="007954B9">
        <w:rPr>
          <w:rFonts w:ascii="Times New Roman" w:hAnsi="Times New Roman"/>
        </w:rPr>
        <w:t>Section</w:t>
      </w:r>
      <w:r w:rsidR="002E040E" w:rsidRPr="007954B9">
        <w:rPr>
          <w:rFonts w:ascii="Times New Roman" w:hAnsi="Times New Roman"/>
        </w:rPr>
        <w:t xml:space="preserve"> 33J confers on </w:t>
      </w:r>
      <w:r w:rsidR="007C1D63" w:rsidRPr="007954B9">
        <w:rPr>
          <w:rFonts w:ascii="Times New Roman" w:hAnsi="Times New Roman"/>
        </w:rPr>
        <w:t>each</w:t>
      </w:r>
      <w:r w:rsidR="002E040E" w:rsidRPr="007954B9">
        <w:rPr>
          <w:rFonts w:ascii="Times New Roman" w:hAnsi="Times New Roman"/>
        </w:rPr>
        <w:t xml:space="preserve"> group member a right </w:t>
      </w:r>
      <w:r w:rsidR="00670816" w:rsidRPr="007954B9">
        <w:rPr>
          <w:rFonts w:ascii="Times New Roman" w:hAnsi="Times New Roman"/>
        </w:rPr>
        <w:t>to opt out of the representative proceeding</w:t>
      </w:r>
      <w:r w:rsidR="008E1E98" w:rsidRPr="007954B9">
        <w:rPr>
          <w:rFonts w:ascii="Times New Roman" w:hAnsi="Times New Roman"/>
        </w:rPr>
        <w:t xml:space="preserve"> by </w:t>
      </w:r>
      <w:r w:rsidR="003960E7" w:rsidRPr="007954B9">
        <w:rPr>
          <w:rFonts w:ascii="Times New Roman" w:hAnsi="Times New Roman"/>
        </w:rPr>
        <w:t xml:space="preserve">giving written </w:t>
      </w:r>
      <w:r w:rsidR="008E1E98" w:rsidRPr="007954B9">
        <w:rPr>
          <w:rFonts w:ascii="Times New Roman" w:hAnsi="Times New Roman"/>
        </w:rPr>
        <w:t xml:space="preserve">notice </w:t>
      </w:r>
      <w:r w:rsidR="00021C24" w:rsidRPr="007954B9">
        <w:rPr>
          <w:rFonts w:ascii="Times New Roman" w:hAnsi="Times New Roman"/>
        </w:rPr>
        <w:t>within a time fixed by the Federal Court</w:t>
      </w:r>
      <w:r w:rsidR="00311188" w:rsidRPr="007954B9">
        <w:rPr>
          <w:rFonts w:ascii="Times New Roman" w:hAnsi="Times New Roman"/>
        </w:rPr>
        <w:t>.</w:t>
      </w:r>
      <w:r w:rsidR="00F87F66" w:rsidRPr="007954B9">
        <w:rPr>
          <w:rFonts w:ascii="Times New Roman" w:hAnsi="Times New Roman"/>
        </w:rPr>
        <w:t xml:space="preserve"> </w:t>
      </w:r>
      <w:r w:rsidR="00311188" w:rsidRPr="007954B9">
        <w:rPr>
          <w:rFonts w:ascii="Times New Roman" w:hAnsi="Times New Roman"/>
        </w:rPr>
        <w:t>Section</w:t>
      </w:r>
      <w:r w:rsidR="00AD7D79" w:rsidRPr="007954B9">
        <w:rPr>
          <w:rFonts w:ascii="Times New Roman" w:hAnsi="Times New Roman"/>
        </w:rPr>
        <w:t> </w:t>
      </w:r>
      <w:r w:rsidR="00832A2C" w:rsidRPr="007954B9">
        <w:rPr>
          <w:rFonts w:ascii="Times New Roman" w:hAnsi="Times New Roman"/>
        </w:rPr>
        <w:t>33X</w:t>
      </w:r>
      <w:r w:rsidR="00830373" w:rsidRPr="007954B9">
        <w:rPr>
          <w:rFonts w:ascii="Times New Roman" w:hAnsi="Times New Roman"/>
        </w:rPr>
        <w:t xml:space="preserve"> </w:t>
      </w:r>
      <w:r w:rsidR="000119A1" w:rsidRPr="007954B9">
        <w:rPr>
          <w:rFonts w:ascii="Times New Roman" w:hAnsi="Times New Roman"/>
        </w:rPr>
        <w:t xml:space="preserve">ordinarily </w:t>
      </w:r>
      <w:r w:rsidR="00832A2C" w:rsidRPr="007954B9">
        <w:rPr>
          <w:rFonts w:ascii="Times New Roman" w:hAnsi="Times New Roman"/>
        </w:rPr>
        <w:t xml:space="preserve">requires </w:t>
      </w:r>
      <w:r w:rsidR="001F3539" w:rsidRPr="007954B9">
        <w:rPr>
          <w:rFonts w:ascii="Times New Roman" w:hAnsi="Times New Roman"/>
        </w:rPr>
        <w:t>notice</w:t>
      </w:r>
      <w:r w:rsidR="00830373" w:rsidRPr="007954B9">
        <w:rPr>
          <w:rFonts w:ascii="Times New Roman" w:hAnsi="Times New Roman"/>
        </w:rPr>
        <w:t xml:space="preserve"> </w:t>
      </w:r>
      <w:r w:rsidR="00021C24" w:rsidRPr="007954B9">
        <w:rPr>
          <w:rFonts w:ascii="Times New Roman" w:hAnsi="Times New Roman"/>
        </w:rPr>
        <w:t>to</w:t>
      </w:r>
      <w:r w:rsidR="00830373" w:rsidRPr="007954B9">
        <w:rPr>
          <w:rFonts w:ascii="Times New Roman" w:hAnsi="Times New Roman"/>
        </w:rPr>
        <w:t xml:space="preserve"> </w:t>
      </w:r>
      <w:r w:rsidR="00832A2C" w:rsidRPr="007954B9">
        <w:rPr>
          <w:rFonts w:ascii="Times New Roman" w:hAnsi="Times New Roman"/>
        </w:rPr>
        <w:t xml:space="preserve">be given to group members </w:t>
      </w:r>
      <w:r w:rsidR="00D52265" w:rsidRPr="007954B9">
        <w:rPr>
          <w:rFonts w:ascii="Times New Roman" w:hAnsi="Times New Roman"/>
        </w:rPr>
        <w:t xml:space="preserve">both </w:t>
      </w:r>
      <w:r w:rsidR="008E4FC9" w:rsidRPr="007954B9">
        <w:rPr>
          <w:rFonts w:ascii="Times New Roman" w:hAnsi="Times New Roman"/>
        </w:rPr>
        <w:t xml:space="preserve">of the </w:t>
      </w:r>
      <w:r w:rsidR="00013A01" w:rsidRPr="007954B9">
        <w:rPr>
          <w:rFonts w:ascii="Times New Roman" w:hAnsi="Times New Roman"/>
        </w:rPr>
        <w:t xml:space="preserve">commencement of the </w:t>
      </w:r>
      <w:r w:rsidR="008E4FC9" w:rsidRPr="007954B9">
        <w:rPr>
          <w:rFonts w:ascii="Times New Roman" w:hAnsi="Times New Roman"/>
        </w:rPr>
        <w:t xml:space="preserve">proceeding and </w:t>
      </w:r>
      <w:r w:rsidR="00D52265" w:rsidRPr="007954B9">
        <w:rPr>
          <w:rFonts w:ascii="Times New Roman" w:hAnsi="Times New Roman"/>
        </w:rPr>
        <w:t>of the</w:t>
      </w:r>
      <w:r w:rsidR="00323B77" w:rsidRPr="007954B9">
        <w:rPr>
          <w:rFonts w:ascii="Times New Roman" w:hAnsi="Times New Roman"/>
        </w:rPr>
        <w:t>ir</w:t>
      </w:r>
      <w:r w:rsidR="00D52265" w:rsidRPr="007954B9">
        <w:rPr>
          <w:rFonts w:ascii="Times New Roman" w:hAnsi="Times New Roman"/>
        </w:rPr>
        <w:t xml:space="preserve"> right to </w:t>
      </w:r>
      <w:r w:rsidR="00013A01" w:rsidRPr="007954B9">
        <w:rPr>
          <w:rFonts w:ascii="Times New Roman" w:hAnsi="Times New Roman"/>
        </w:rPr>
        <w:t>opt out.</w:t>
      </w:r>
      <w:r w:rsidR="00AB6086" w:rsidRPr="007954B9">
        <w:rPr>
          <w:rFonts w:ascii="Times New Roman" w:hAnsi="Times New Roman"/>
        </w:rPr>
        <w:t xml:space="preserve"> </w:t>
      </w:r>
      <w:r w:rsidR="00A43BE3" w:rsidRPr="007954B9">
        <w:rPr>
          <w:rFonts w:ascii="Times New Roman" w:hAnsi="Times New Roman"/>
        </w:rPr>
        <w:t>Section</w:t>
      </w:r>
      <w:r w:rsidR="00C72DEC" w:rsidRPr="007954B9">
        <w:rPr>
          <w:rFonts w:ascii="Times New Roman" w:hAnsi="Times New Roman"/>
        </w:rPr>
        <w:t> </w:t>
      </w:r>
      <w:r w:rsidR="00864F2C" w:rsidRPr="007954B9">
        <w:rPr>
          <w:rFonts w:ascii="Times New Roman" w:hAnsi="Times New Roman"/>
        </w:rPr>
        <w:t>33Y</w:t>
      </w:r>
      <w:r w:rsidR="00B80D02" w:rsidRPr="007954B9">
        <w:rPr>
          <w:rFonts w:ascii="Times New Roman" w:hAnsi="Times New Roman"/>
        </w:rPr>
        <w:t xml:space="preserve"> </w:t>
      </w:r>
      <w:r w:rsidR="00CD50A5" w:rsidRPr="007954B9">
        <w:rPr>
          <w:rFonts w:ascii="Times New Roman" w:hAnsi="Times New Roman"/>
        </w:rPr>
        <w:t>indicates</w:t>
      </w:r>
      <w:r w:rsidR="008D1046" w:rsidRPr="007954B9">
        <w:rPr>
          <w:rFonts w:ascii="Times New Roman" w:hAnsi="Times New Roman"/>
        </w:rPr>
        <w:t xml:space="preserve"> that </w:t>
      </w:r>
      <w:r w:rsidR="00F62DF2" w:rsidRPr="007954B9">
        <w:rPr>
          <w:rFonts w:ascii="Times New Roman" w:hAnsi="Times New Roman"/>
        </w:rPr>
        <w:t xml:space="preserve">the </w:t>
      </w:r>
      <w:r w:rsidR="009574EB" w:rsidRPr="007954B9">
        <w:rPr>
          <w:rFonts w:ascii="Times New Roman" w:hAnsi="Times New Roman"/>
        </w:rPr>
        <w:t>notice</w:t>
      </w:r>
      <w:r w:rsidR="000B3005" w:rsidRPr="007954B9">
        <w:rPr>
          <w:rFonts w:ascii="Times New Roman" w:hAnsi="Times New Roman"/>
        </w:rPr>
        <w:t xml:space="preserve"> </w:t>
      </w:r>
      <w:r w:rsidR="000B7FA7" w:rsidRPr="007954B9">
        <w:rPr>
          <w:rFonts w:ascii="Times New Roman" w:hAnsi="Times New Roman"/>
        </w:rPr>
        <w:t>need</w:t>
      </w:r>
      <w:r w:rsidR="009574EB" w:rsidRPr="007954B9">
        <w:rPr>
          <w:rFonts w:ascii="Times New Roman" w:hAnsi="Times New Roman"/>
        </w:rPr>
        <w:t xml:space="preserve"> not be given to group members personally </w:t>
      </w:r>
      <w:r w:rsidR="00B52044" w:rsidRPr="007954B9">
        <w:rPr>
          <w:rFonts w:ascii="Times New Roman" w:hAnsi="Times New Roman"/>
        </w:rPr>
        <w:t xml:space="preserve">and </w:t>
      </w:r>
      <w:r w:rsidR="009E4E26" w:rsidRPr="007954B9">
        <w:rPr>
          <w:rFonts w:ascii="Times New Roman" w:hAnsi="Times New Roman"/>
        </w:rPr>
        <w:t xml:space="preserve">might well </w:t>
      </w:r>
      <w:r w:rsidR="00B52044" w:rsidRPr="007954B9">
        <w:rPr>
          <w:rFonts w:ascii="Times New Roman" w:hAnsi="Times New Roman"/>
        </w:rPr>
        <w:t xml:space="preserve">be </w:t>
      </w:r>
      <w:r w:rsidR="003D0930" w:rsidRPr="007954B9">
        <w:rPr>
          <w:rFonts w:ascii="Times New Roman" w:hAnsi="Times New Roman"/>
        </w:rPr>
        <w:t xml:space="preserve">given </w:t>
      </w:r>
      <w:r w:rsidR="00B52044" w:rsidRPr="007954B9">
        <w:rPr>
          <w:rFonts w:ascii="Times New Roman" w:hAnsi="Times New Roman"/>
        </w:rPr>
        <w:t xml:space="preserve">by </w:t>
      </w:r>
      <w:r w:rsidR="00F62DF2" w:rsidRPr="007954B9">
        <w:rPr>
          <w:rFonts w:ascii="Times New Roman" w:hAnsi="Times New Roman"/>
        </w:rPr>
        <w:t xml:space="preserve">means of </w:t>
      </w:r>
      <w:r w:rsidR="0077312B" w:rsidRPr="007954B9">
        <w:rPr>
          <w:rFonts w:ascii="Times New Roman" w:hAnsi="Times New Roman"/>
        </w:rPr>
        <w:t xml:space="preserve">a </w:t>
      </w:r>
      <w:r w:rsidR="00B52044" w:rsidRPr="007954B9">
        <w:rPr>
          <w:rFonts w:ascii="Times New Roman" w:hAnsi="Times New Roman"/>
        </w:rPr>
        <w:t xml:space="preserve">press </w:t>
      </w:r>
      <w:r w:rsidR="006150F7" w:rsidRPr="007954B9">
        <w:rPr>
          <w:rFonts w:ascii="Times New Roman" w:hAnsi="Times New Roman"/>
        </w:rPr>
        <w:t xml:space="preserve">advertisement </w:t>
      </w:r>
      <w:r w:rsidR="008913F0" w:rsidRPr="007954B9">
        <w:rPr>
          <w:rFonts w:ascii="Times New Roman" w:hAnsi="Times New Roman"/>
        </w:rPr>
        <w:t xml:space="preserve">or </w:t>
      </w:r>
      <w:r w:rsidR="0077312B" w:rsidRPr="007954B9">
        <w:rPr>
          <w:rFonts w:ascii="Times New Roman" w:hAnsi="Times New Roman"/>
        </w:rPr>
        <w:t xml:space="preserve">a </w:t>
      </w:r>
      <w:r w:rsidR="008913F0" w:rsidRPr="007954B9">
        <w:rPr>
          <w:rFonts w:ascii="Times New Roman" w:hAnsi="Times New Roman"/>
        </w:rPr>
        <w:t xml:space="preserve">radio or television broadcast. </w:t>
      </w:r>
      <w:r w:rsidR="0056131F" w:rsidRPr="007954B9">
        <w:rPr>
          <w:rFonts w:ascii="Times New Roman" w:hAnsi="Times New Roman"/>
        </w:rPr>
        <w:t xml:space="preserve">There </w:t>
      </w:r>
      <w:r w:rsidR="00821814" w:rsidRPr="007954B9">
        <w:rPr>
          <w:rFonts w:ascii="Times New Roman" w:hAnsi="Times New Roman"/>
        </w:rPr>
        <w:t xml:space="preserve">is </w:t>
      </w:r>
      <w:r w:rsidR="0056131F" w:rsidRPr="007954B9">
        <w:rPr>
          <w:rFonts w:ascii="Times New Roman" w:hAnsi="Times New Roman"/>
        </w:rPr>
        <w:t>accordingly</w:t>
      </w:r>
      <w:r w:rsidR="00917EA2" w:rsidRPr="007954B9">
        <w:rPr>
          <w:rFonts w:ascii="Times New Roman" w:hAnsi="Times New Roman"/>
        </w:rPr>
        <w:t xml:space="preserve"> </w:t>
      </w:r>
      <w:r w:rsidR="0056131F" w:rsidRPr="007954B9">
        <w:rPr>
          <w:rFonts w:ascii="Times New Roman" w:hAnsi="Times New Roman"/>
        </w:rPr>
        <w:t>a "real possibility"</w:t>
      </w:r>
      <w:r w:rsidR="00C16BBB" w:rsidRPr="007954B9">
        <w:rPr>
          <w:rStyle w:val="FootnoteReference"/>
          <w:rFonts w:ascii="Times New Roman" w:hAnsi="Times New Roman"/>
          <w:sz w:val="24"/>
        </w:rPr>
        <w:footnoteReference w:id="15"/>
      </w:r>
      <w:r w:rsidR="0056131F" w:rsidRPr="007954B9">
        <w:rPr>
          <w:rFonts w:ascii="Times New Roman" w:hAnsi="Times New Roman"/>
        </w:rPr>
        <w:t xml:space="preserve"> </w:t>
      </w:r>
      <w:r w:rsidR="00CA2B1C" w:rsidRPr="007954B9">
        <w:rPr>
          <w:rFonts w:ascii="Times New Roman" w:hAnsi="Times New Roman"/>
        </w:rPr>
        <w:t xml:space="preserve">that a group member </w:t>
      </w:r>
      <w:r w:rsidR="008A4620" w:rsidRPr="007954B9">
        <w:rPr>
          <w:rFonts w:ascii="Times New Roman" w:hAnsi="Times New Roman"/>
        </w:rPr>
        <w:t xml:space="preserve">will </w:t>
      </w:r>
      <w:r w:rsidR="00C90BE2" w:rsidRPr="007954B9">
        <w:rPr>
          <w:rFonts w:ascii="Times New Roman" w:hAnsi="Times New Roman"/>
        </w:rPr>
        <w:t>be</w:t>
      </w:r>
      <w:r w:rsidR="008A4620" w:rsidRPr="007954B9">
        <w:rPr>
          <w:rFonts w:ascii="Times New Roman" w:hAnsi="Times New Roman"/>
        </w:rPr>
        <w:t xml:space="preserve"> unaware of the proceeding and of </w:t>
      </w:r>
      <w:r w:rsidR="00D326AB" w:rsidRPr="007954B9">
        <w:rPr>
          <w:rFonts w:ascii="Times New Roman" w:hAnsi="Times New Roman"/>
        </w:rPr>
        <w:t>the</w:t>
      </w:r>
      <w:r w:rsidR="00917EA2" w:rsidRPr="007954B9">
        <w:rPr>
          <w:rFonts w:ascii="Times New Roman" w:hAnsi="Times New Roman"/>
        </w:rPr>
        <w:t>ir</w:t>
      </w:r>
      <w:r w:rsidR="008A4620" w:rsidRPr="007954B9">
        <w:rPr>
          <w:rFonts w:ascii="Times New Roman" w:hAnsi="Times New Roman"/>
        </w:rPr>
        <w:t xml:space="preserve"> right to opt out</w:t>
      </w:r>
      <w:r w:rsidR="00C16BBB" w:rsidRPr="007954B9">
        <w:rPr>
          <w:rFonts w:ascii="Times New Roman" w:hAnsi="Times New Roman"/>
        </w:rPr>
        <w:t xml:space="preserve">. </w:t>
      </w:r>
      <w:r w:rsidR="00A9554A" w:rsidRPr="007954B9">
        <w:rPr>
          <w:rFonts w:ascii="Times New Roman" w:hAnsi="Times New Roman"/>
        </w:rPr>
        <w:t>The reality of that possibility is specifically acknowledged in s</w:t>
      </w:r>
      <w:r w:rsidR="007A48CE" w:rsidRPr="007954B9">
        <w:rPr>
          <w:rFonts w:ascii="Times New Roman" w:hAnsi="Times New Roman"/>
        </w:rPr>
        <w:t> </w:t>
      </w:r>
      <w:r w:rsidR="00A9554A" w:rsidRPr="007954B9">
        <w:rPr>
          <w:rFonts w:ascii="Times New Roman" w:hAnsi="Times New Roman"/>
        </w:rPr>
        <w:t>33Y(8), which provides that failure of a group member to receive or respond to a notice does not affect a step taken, an order made, or a judgment given, in a proceeding.</w:t>
      </w:r>
    </w:p>
    <w:p w14:paraId="5E56A142" w14:textId="660C1442" w:rsidR="008B513A" w:rsidRPr="007954B9" w:rsidRDefault="00C90BE2"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B201BE" w:rsidRPr="007954B9">
        <w:rPr>
          <w:rFonts w:ascii="Times New Roman" w:hAnsi="Times New Roman"/>
        </w:rPr>
        <w:t>Notwithstanding th</w:t>
      </w:r>
      <w:r w:rsidR="00331565" w:rsidRPr="007954B9">
        <w:rPr>
          <w:rFonts w:ascii="Times New Roman" w:hAnsi="Times New Roman"/>
        </w:rPr>
        <w:t>e</w:t>
      </w:r>
      <w:r w:rsidR="007B4399" w:rsidRPr="007954B9">
        <w:rPr>
          <w:rFonts w:ascii="Times New Roman" w:hAnsi="Times New Roman"/>
        </w:rPr>
        <w:t xml:space="preserve"> possibility</w:t>
      </w:r>
      <w:r w:rsidR="00372FF3" w:rsidRPr="007954B9">
        <w:rPr>
          <w:rFonts w:ascii="Times New Roman" w:hAnsi="Times New Roman"/>
        </w:rPr>
        <w:t xml:space="preserve"> </w:t>
      </w:r>
      <w:r w:rsidR="002228F6" w:rsidRPr="007954B9">
        <w:rPr>
          <w:rFonts w:ascii="Times New Roman" w:hAnsi="Times New Roman"/>
        </w:rPr>
        <w:t>of</w:t>
      </w:r>
      <w:r w:rsidR="00372FF3" w:rsidRPr="007954B9">
        <w:rPr>
          <w:rFonts w:ascii="Times New Roman" w:hAnsi="Times New Roman"/>
        </w:rPr>
        <w:t xml:space="preserve"> a group member remain</w:t>
      </w:r>
      <w:r w:rsidR="002228F6" w:rsidRPr="007954B9">
        <w:rPr>
          <w:rFonts w:ascii="Times New Roman" w:hAnsi="Times New Roman"/>
        </w:rPr>
        <w:t>ing</w:t>
      </w:r>
      <w:r w:rsidR="00372FF3" w:rsidRPr="007954B9">
        <w:rPr>
          <w:rFonts w:ascii="Times New Roman" w:hAnsi="Times New Roman"/>
        </w:rPr>
        <w:t xml:space="preserve"> unaware </w:t>
      </w:r>
      <w:r w:rsidR="00B704EB" w:rsidRPr="007954B9">
        <w:rPr>
          <w:rFonts w:ascii="Times New Roman" w:hAnsi="Times New Roman"/>
        </w:rPr>
        <w:t xml:space="preserve">either </w:t>
      </w:r>
      <w:r w:rsidR="00372FF3" w:rsidRPr="007954B9">
        <w:rPr>
          <w:rFonts w:ascii="Times New Roman" w:hAnsi="Times New Roman"/>
        </w:rPr>
        <w:t xml:space="preserve">of the proceeding </w:t>
      </w:r>
      <w:r w:rsidR="00B704EB" w:rsidRPr="007954B9">
        <w:rPr>
          <w:rFonts w:ascii="Times New Roman" w:hAnsi="Times New Roman"/>
        </w:rPr>
        <w:t>or</w:t>
      </w:r>
      <w:r w:rsidR="00372FF3" w:rsidRPr="007954B9">
        <w:rPr>
          <w:rFonts w:ascii="Times New Roman" w:hAnsi="Times New Roman"/>
        </w:rPr>
        <w:t xml:space="preserve"> of the</w:t>
      </w:r>
      <w:r w:rsidR="002228F6" w:rsidRPr="007954B9">
        <w:rPr>
          <w:rFonts w:ascii="Times New Roman" w:hAnsi="Times New Roman"/>
        </w:rPr>
        <w:t>ir</w:t>
      </w:r>
      <w:r w:rsidR="00372FF3" w:rsidRPr="007954B9">
        <w:rPr>
          <w:rFonts w:ascii="Times New Roman" w:hAnsi="Times New Roman"/>
        </w:rPr>
        <w:t xml:space="preserve"> right to opt out</w:t>
      </w:r>
      <w:r w:rsidR="007B4399" w:rsidRPr="007954B9">
        <w:rPr>
          <w:rFonts w:ascii="Times New Roman" w:hAnsi="Times New Roman"/>
        </w:rPr>
        <w:t>,</w:t>
      </w:r>
      <w:r w:rsidR="00946B78" w:rsidRPr="007954B9">
        <w:rPr>
          <w:rFonts w:ascii="Times New Roman" w:hAnsi="Times New Roman"/>
        </w:rPr>
        <w:t xml:space="preserve"> s </w:t>
      </w:r>
      <w:r w:rsidR="002F42EB" w:rsidRPr="007954B9">
        <w:rPr>
          <w:rFonts w:ascii="Times New Roman" w:hAnsi="Times New Roman"/>
        </w:rPr>
        <w:t xml:space="preserve">33Z </w:t>
      </w:r>
      <w:r w:rsidR="001567C1" w:rsidRPr="007954B9">
        <w:rPr>
          <w:rFonts w:ascii="Times New Roman" w:hAnsi="Times New Roman"/>
        </w:rPr>
        <w:t xml:space="preserve">empowers </w:t>
      </w:r>
      <w:r w:rsidR="000F0A34" w:rsidRPr="007954B9">
        <w:rPr>
          <w:rFonts w:ascii="Times New Roman" w:hAnsi="Times New Roman"/>
        </w:rPr>
        <w:t>the Federal Court</w:t>
      </w:r>
      <w:r w:rsidR="00B46F27" w:rsidRPr="007954B9">
        <w:rPr>
          <w:rFonts w:ascii="Times New Roman" w:hAnsi="Times New Roman"/>
        </w:rPr>
        <w:t xml:space="preserve">, in </w:t>
      </w:r>
      <w:r w:rsidR="0080497D" w:rsidRPr="007954B9">
        <w:rPr>
          <w:rFonts w:ascii="Times New Roman" w:hAnsi="Times New Roman"/>
        </w:rPr>
        <w:t>determining a matter in a representative proce</w:t>
      </w:r>
      <w:r w:rsidR="00B46F27" w:rsidRPr="007954B9">
        <w:rPr>
          <w:rFonts w:ascii="Times New Roman" w:hAnsi="Times New Roman"/>
        </w:rPr>
        <w:t xml:space="preserve">eding, </w:t>
      </w:r>
      <w:r w:rsidR="005A3ACA" w:rsidRPr="007954B9">
        <w:rPr>
          <w:rFonts w:ascii="Times New Roman" w:hAnsi="Times New Roman"/>
        </w:rPr>
        <w:t xml:space="preserve">to </w:t>
      </w:r>
      <w:r w:rsidR="000F0A34" w:rsidRPr="007954B9">
        <w:rPr>
          <w:rFonts w:ascii="Times New Roman" w:hAnsi="Times New Roman"/>
        </w:rPr>
        <w:t xml:space="preserve">give a judgment </w:t>
      </w:r>
      <w:r w:rsidR="00F305AE" w:rsidRPr="007954B9">
        <w:rPr>
          <w:rFonts w:ascii="Times New Roman" w:hAnsi="Times New Roman"/>
        </w:rPr>
        <w:t>which, b</w:t>
      </w:r>
      <w:r w:rsidR="00591009" w:rsidRPr="007954B9">
        <w:rPr>
          <w:rFonts w:ascii="Times New Roman" w:hAnsi="Times New Roman"/>
        </w:rPr>
        <w:t>y force of</w:t>
      </w:r>
      <w:r w:rsidR="00946B78" w:rsidRPr="007954B9">
        <w:rPr>
          <w:rFonts w:ascii="Times New Roman" w:hAnsi="Times New Roman"/>
        </w:rPr>
        <w:t xml:space="preserve"> s </w:t>
      </w:r>
      <w:r w:rsidR="00F66702" w:rsidRPr="007954B9">
        <w:rPr>
          <w:rFonts w:ascii="Times New Roman" w:hAnsi="Times New Roman"/>
        </w:rPr>
        <w:t>33ZB</w:t>
      </w:r>
      <w:r w:rsidR="00635A6B" w:rsidRPr="007954B9">
        <w:rPr>
          <w:rFonts w:ascii="Times New Roman" w:hAnsi="Times New Roman"/>
        </w:rPr>
        <w:t xml:space="preserve">, "binds" </w:t>
      </w:r>
      <w:r w:rsidR="00880278" w:rsidRPr="007954B9">
        <w:rPr>
          <w:rFonts w:ascii="Times New Roman" w:hAnsi="Times New Roman"/>
        </w:rPr>
        <w:t>all</w:t>
      </w:r>
      <w:r w:rsidR="00912096" w:rsidRPr="007954B9">
        <w:rPr>
          <w:rFonts w:ascii="Times New Roman" w:hAnsi="Times New Roman"/>
        </w:rPr>
        <w:t xml:space="preserve"> group members </w:t>
      </w:r>
      <w:r w:rsidR="00266737" w:rsidRPr="007954B9">
        <w:rPr>
          <w:rFonts w:ascii="Times New Roman" w:hAnsi="Times New Roman"/>
        </w:rPr>
        <w:t xml:space="preserve">which </w:t>
      </w:r>
      <w:r w:rsidR="00875EAA" w:rsidRPr="007954B9">
        <w:rPr>
          <w:rFonts w:ascii="Times New Roman" w:hAnsi="Times New Roman"/>
        </w:rPr>
        <w:t>the judgment</w:t>
      </w:r>
      <w:r w:rsidR="00266737" w:rsidRPr="007954B9">
        <w:rPr>
          <w:rFonts w:ascii="Times New Roman" w:hAnsi="Times New Roman"/>
        </w:rPr>
        <w:t xml:space="preserve"> </w:t>
      </w:r>
      <w:r w:rsidR="00912096" w:rsidRPr="007954B9">
        <w:rPr>
          <w:rFonts w:ascii="Times New Roman" w:hAnsi="Times New Roman"/>
        </w:rPr>
        <w:t>identifie</w:t>
      </w:r>
      <w:r w:rsidR="00266737" w:rsidRPr="007954B9">
        <w:rPr>
          <w:rFonts w:ascii="Times New Roman" w:hAnsi="Times New Roman"/>
        </w:rPr>
        <w:t>s</w:t>
      </w:r>
      <w:r w:rsidR="00912096" w:rsidRPr="007954B9">
        <w:rPr>
          <w:rFonts w:ascii="Times New Roman" w:hAnsi="Times New Roman"/>
        </w:rPr>
        <w:t xml:space="preserve"> as affected by it</w:t>
      </w:r>
      <w:r w:rsidR="0080177F" w:rsidRPr="007954B9">
        <w:rPr>
          <w:rFonts w:ascii="Times New Roman" w:hAnsi="Times New Roman"/>
        </w:rPr>
        <w:t xml:space="preserve">, </w:t>
      </w:r>
      <w:r w:rsidR="00912096" w:rsidRPr="007954B9">
        <w:rPr>
          <w:rFonts w:ascii="Times New Roman" w:hAnsi="Times New Roman"/>
        </w:rPr>
        <w:t xml:space="preserve">other than </w:t>
      </w:r>
      <w:r w:rsidR="001A3DE6" w:rsidRPr="007954B9">
        <w:rPr>
          <w:rFonts w:ascii="Times New Roman" w:hAnsi="Times New Roman"/>
        </w:rPr>
        <w:t>group member</w:t>
      </w:r>
      <w:r w:rsidR="001A0AE9" w:rsidRPr="007954B9">
        <w:rPr>
          <w:rFonts w:ascii="Times New Roman" w:hAnsi="Times New Roman"/>
        </w:rPr>
        <w:t>s</w:t>
      </w:r>
      <w:r w:rsidR="00D6312A" w:rsidRPr="007954B9">
        <w:rPr>
          <w:rFonts w:ascii="Times New Roman" w:hAnsi="Times New Roman"/>
        </w:rPr>
        <w:t xml:space="preserve"> who h</w:t>
      </w:r>
      <w:r w:rsidR="00E326E3" w:rsidRPr="007954B9">
        <w:rPr>
          <w:rFonts w:ascii="Times New Roman" w:hAnsi="Times New Roman"/>
        </w:rPr>
        <w:t>a</w:t>
      </w:r>
      <w:r w:rsidR="001A0AE9" w:rsidRPr="007954B9">
        <w:rPr>
          <w:rFonts w:ascii="Times New Roman" w:hAnsi="Times New Roman"/>
        </w:rPr>
        <w:t>ve</w:t>
      </w:r>
      <w:r w:rsidR="00D6312A" w:rsidRPr="007954B9">
        <w:rPr>
          <w:rFonts w:ascii="Times New Roman" w:hAnsi="Times New Roman"/>
        </w:rPr>
        <w:t xml:space="preserve"> exercise</w:t>
      </w:r>
      <w:r w:rsidR="00AD57CD" w:rsidRPr="007954B9">
        <w:rPr>
          <w:rFonts w:ascii="Times New Roman" w:hAnsi="Times New Roman"/>
        </w:rPr>
        <w:t>d</w:t>
      </w:r>
      <w:r w:rsidR="00D6312A" w:rsidRPr="007954B9">
        <w:rPr>
          <w:rFonts w:ascii="Times New Roman" w:hAnsi="Times New Roman"/>
        </w:rPr>
        <w:t xml:space="preserve"> the</w:t>
      </w:r>
      <w:r w:rsidR="005F4524" w:rsidRPr="007954B9">
        <w:rPr>
          <w:rFonts w:ascii="Times New Roman" w:hAnsi="Times New Roman"/>
        </w:rPr>
        <w:t>ir</w:t>
      </w:r>
      <w:r w:rsidR="00D6312A" w:rsidRPr="007954B9">
        <w:rPr>
          <w:rFonts w:ascii="Times New Roman" w:hAnsi="Times New Roman"/>
        </w:rPr>
        <w:t xml:space="preserve"> right</w:t>
      </w:r>
      <w:r w:rsidR="00621826" w:rsidRPr="007954B9">
        <w:rPr>
          <w:rFonts w:ascii="Times New Roman" w:hAnsi="Times New Roman"/>
        </w:rPr>
        <w:t xml:space="preserve"> </w:t>
      </w:r>
      <w:r w:rsidR="00D6312A" w:rsidRPr="007954B9">
        <w:rPr>
          <w:rFonts w:ascii="Times New Roman" w:hAnsi="Times New Roman"/>
        </w:rPr>
        <w:t>to opt</w:t>
      </w:r>
      <w:r w:rsidR="00621826" w:rsidRPr="007954B9">
        <w:rPr>
          <w:rFonts w:ascii="Times New Roman" w:hAnsi="Times New Roman"/>
        </w:rPr>
        <w:t xml:space="preserve"> out</w:t>
      </w:r>
      <w:r w:rsidR="00D6312A" w:rsidRPr="007954B9">
        <w:rPr>
          <w:rFonts w:ascii="Times New Roman" w:hAnsi="Times New Roman"/>
        </w:rPr>
        <w:t xml:space="preserve">. </w:t>
      </w:r>
    </w:p>
    <w:p w14:paraId="10F4186E" w14:textId="28AC1E59" w:rsidR="00C90BE2" w:rsidRPr="007954B9" w:rsidRDefault="008B513A"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982201" w:rsidRPr="007954B9">
        <w:rPr>
          <w:rFonts w:ascii="Times New Roman" w:hAnsi="Times New Roman"/>
        </w:rPr>
        <w:t xml:space="preserve">To the extent </w:t>
      </w:r>
      <w:r w:rsidR="00844041" w:rsidRPr="007954B9">
        <w:rPr>
          <w:rFonts w:ascii="Times New Roman" w:hAnsi="Times New Roman"/>
        </w:rPr>
        <w:t>th</w:t>
      </w:r>
      <w:r w:rsidRPr="007954B9">
        <w:rPr>
          <w:rFonts w:ascii="Times New Roman" w:hAnsi="Times New Roman"/>
        </w:rPr>
        <w:t>at a</w:t>
      </w:r>
      <w:r w:rsidR="00844041" w:rsidRPr="007954B9">
        <w:rPr>
          <w:rFonts w:ascii="Times New Roman" w:hAnsi="Times New Roman"/>
        </w:rPr>
        <w:t xml:space="preserve"> judgment </w:t>
      </w:r>
      <w:r w:rsidRPr="007954B9">
        <w:rPr>
          <w:rFonts w:ascii="Times New Roman" w:hAnsi="Times New Roman"/>
        </w:rPr>
        <w:t xml:space="preserve">given </w:t>
      </w:r>
      <w:r w:rsidR="0098422E" w:rsidRPr="007954B9">
        <w:rPr>
          <w:rFonts w:ascii="Times New Roman" w:hAnsi="Times New Roman"/>
        </w:rPr>
        <w:t xml:space="preserve">by </w:t>
      </w:r>
      <w:r w:rsidR="005F4524" w:rsidRPr="007954B9">
        <w:rPr>
          <w:rFonts w:ascii="Times New Roman" w:hAnsi="Times New Roman"/>
        </w:rPr>
        <w:t xml:space="preserve">the Federal Court </w:t>
      </w:r>
      <w:r w:rsidRPr="007954B9">
        <w:rPr>
          <w:rFonts w:ascii="Times New Roman" w:hAnsi="Times New Roman"/>
        </w:rPr>
        <w:t xml:space="preserve">in a representative proceeding </w:t>
      </w:r>
      <w:r w:rsidR="00844041" w:rsidRPr="007954B9">
        <w:rPr>
          <w:rFonts w:ascii="Times New Roman" w:hAnsi="Times New Roman"/>
        </w:rPr>
        <w:t>bind</w:t>
      </w:r>
      <w:r w:rsidR="0098422E" w:rsidRPr="007954B9">
        <w:rPr>
          <w:rFonts w:ascii="Times New Roman" w:hAnsi="Times New Roman"/>
        </w:rPr>
        <w:t>s</w:t>
      </w:r>
      <w:r w:rsidR="00844041" w:rsidRPr="007954B9">
        <w:rPr>
          <w:rFonts w:ascii="Times New Roman" w:hAnsi="Times New Roman"/>
        </w:rPr>
        <w:t xml:space="preserve"> group members by force of</w:t>
      </w:r>
      <w:r w:rsidR="00946B78" w:rsidRPr="007954B9">
        <w:rPr>
          <w:rFonts w:ascii="Times New Roman" w:hAnsi="Times New Roman"/>
        </w:rPr>
        <w:t xml:space="preserve"> s </w:t>
      </w:r>
      <w:r w:rsidR="00844041" w:rsidRPr="007954B9">
        <w:rPr>
          <w:rFonts w:ascii="Times New Roman" w:hAnsi="Times New Roman"/>
        </w:rPr>
        <w:t xml:space="preserve">33ZB, </w:t>
      </w:r>
      <w:r w:rsidR="000E46EE" w:rsidRPr="007954B9">
        <w:rPr>
          <w:rFonts w:ascii="Times New Roman" w:hAnsi="Times New Roman"/>
        </w:rPr>
        <w:t>P</w:t>
      </w:r>
      <w:r w:rsidR="00982201" w:rsidRPr="007954B9">
        <w:rPr>
          <w:rFonts w:ascii="Times New Roman" w:hAnsi="Times New Roman"/>
        </w:rPr>
        <w:t>t</w:t>
      </w:r>
      <w:r w:rsidR="000E46EE" w:rsidRPr="007954B9">
        <w:rPr>
          <w:rFonts w:ascii="Times New Roman" w:hAnsi="Times New Roman"/>
        </w:rPr>
        <w:t xml:space="preserve"> IVA </w:t>
      </w:r>
      <w:r w:rsidR="00E70727" w:rsidRPr="007954B9">
        <w:rPr>
          <w:rFonts w:ascii="Times New Roman" w:hAnsi="Times New Roman"/>
        </w:rPr>
        <w:t>has been</w:t>
      </w:r>
      <w:r w:rsidR="00F409D3" w:rsidRPr="007954B9">
        <w:rPr>
          <w:rFonts w:ascii="Times New Roman" w:hAnsi="Times New Roman"/>
        </w:rPr>
        <w:t xml:space="preserve"> said to </w:t>
      </w:r>
      <w:r w:rsidR="000E46EE" w:rsidRPr="007954B9">
        <w:rPr>
          <w:rFonts w:ascii="Times New Roman" w:hAnsi="Times New Roman"/>
        </w:rPr>
        <w:t xml:space="preserve">create </w:t>
      </w:r>
      <w:r w:rsidR="008D3D74" w:rsidRPr="007954B9">
        <w:rPr>
          <w:rFonts w:ascii="Times New Roman" w:hAnsi="Times New Roman"/>
        </w:rPr>
        <w:t>"</w:t>
      </w:r>
      <w:r w:rsidR="000E46EE" w:rsidRPr="007954B9">
        <w:rPr>
          <w:rFonts w:ascii="Times New Roman" w:hAnsi="Times New Roman"/>
        </w:rPr>
        <w:t xml:space="preserve">its own </w:t>
      </w:r>
      <w:r w:rsidR="008D3D74" w:rsidRPr="007954B9">
        <w:rPr>
          <w:rFonts w:ascii="Times New Roman" w:hAnsi="Times New Roman"/>
        </w:rPr>
        <w:t xml:space="preserve">kind </w:t>
      </w:r>
      <w:r w:rsidR="000E46EE" w:rsidRPr="007954B9">
        <w:rPr>
          <w:rFonts w:ascii="Times New Roman" w:hAnsi="Times New Roman"/>
        </w:rPr>
        <w:t>of statutory estoppel"</w:t>
      </w:r>
      <w:r w:rsidR="000E46EE" w:rsidRPr="007954B9">
        <w:rPr>
          <w:rStyle w:val="FootnoteReference"/>
          <w:rFonts w:ascii="Times New Roman" w:hAnsi="Times New Roman"/>
          <w:sz w:val="24"/>
        </w:rPr>
        <w:footnoteReference w:id="16"/>
      </w:r>
      <w:r w:rsidR="000E46EE" w:rsidRPr="007954B9">
        <w:rPr>
          <w:rFonts w:ascii="Times New Roman" w:hAnsi="Times New Roman"/>
        </w:rPr>
        <w:t>.</w:t>
      </w:r>
      <w:r w:rsidR="004C34DB" w:rsidRPr="007954B9">
        <w:rPr>
          <w:rFonts w:ascii="Times New Roman" w:hAnsi="Times New Roman"/>
        </w:rPr>
        <w:t xml:space="preserve"> Needless to say, </w:t>
      </w:r>
      <w:r w:rsidR="006C53D2" w:rsidRPr="007954B9">
        <w:rPr>
          <w:rFonts w:ascii="Times New Roman" w:hAnsi="Times New Roman"/>
        </w:rPr>
        <w:t>the statutory estoppel</w:t>
      </w:r>
      <w:r w:rsidR="00405145" w:rsidRPr="007954B9">
        <w:rPr>
          <w:rFonts w:ascii="Times New Roman" w:hAnsi="Times New Roman"/>
        </w:rPr>
        <w:t xml:space="preserve"> </w:t>
      </w:r>
      <w:r w:rsidR="00054DE8" w:rsidRPr="007954B9">
        <w:rPr>
          <w:rFonts w:ascii="Times New Roman" w:hAnsi="Times New Roman"/>
        </w:rPr>
        <w:t xml:space="preserve">is </w:t>
      </w:r>
      <w:r w:rsidR="00A2270E" w:rsidRPr="007954B9">
        <w:rPr>
          <w:rFonts w:ascii="Times New Roman" w:hAnsi="Times New Roman"/>
        </w:rPr>
        <w:t>operative</w:t>
      </w:r>
      <w:r w:rsidR="006C53D2" w:rsidRPr="007954B9">
        <w:rPr>
          <w:rFonts w:ascii="Times New Roman" w:hAnsi="Times New Roman"/>
        </w:rPr>
        <w:t xml:space="preserve"> </w:t>
      </w:r>
      <w:r w:rsidR="00CC1900" w:rsidRPr="007954B9">
        <w:rPr>
          <w:rFonts w:ascii="Times New Roman" w:hAnsi="Times New Roman"/>
        </w:rPr>
        <w:t xml:space="preserve">as, and </w:t>
      </w:r>
      <w:r w:rsidR="00C00704" w:rsidRPr="007954B9">
        <w:rPr>
          <w:rFonts w:ascii="Times New Roman" w:hAnsi="Times New Roman"/>
        </w:rPr>
        <w:t xml:space="preserve">only </w:t>
      </w:r>
      <w:r w:rsidR="005A422D" w:rsidRPr="007954B9">
        <w:rPr>
          <w:rFonts w:ascii="Times New Roman" w:hAnsi="Times New Roman"/>
        </w:rPr>
        <w:t>as</w:t>
      </w:r>
      <w:r w:rsidR="00CC1900" w:rsidRPr="007954B9">
        <w:rPr>
          <w:rFonts w:ascii="Times New Roman" w:hAnsi="Times New Roman"/>
        </w:rPr>
        <w:t xml:space="preserve">, </w:t>
      </w:r>
      <w:r w:rsidR="005A422D" w:rsidRPr="007954B9">
        <w:rPr>
          <w:rFonts w:ascii="Times New Roman" w:hAnsi="Times New Roman"/>
        </w:rPr>
        <w:t xml:space="preserve">part </w:t>
      </w:r>
      <w:r w:rsidR="006C53D2" w:rsidRPr="007954B9">
        <w:rPr>
          <w:rFonts w:ascii="Times New Roman" w:hAnsi="Times New Roman"/>
        </w:rPr>
        <w:t xml:space="preserve">of </w:t>
      </w:r>
      <w:r w:rsidR="005A422D" w:rsidRPr="007954B9">
        <w:rPr>
          <w:rFonts w:ascii="Times New Roman" w:hAnsi="Times New Roman"/>
        </w:rPr>
        <w:t xml:space="preserve">the </w:t>
      </w:r>
      <w:r w:rsidR="006469A8" w:rsidRPr="007954B9">
        <w:rPr>
          <w:rFonts w:ascii="Times New Roman" w:hAnsi="Times New Roman"/>
        </w:rPr>
        <w:t xml:space="preserve">domestic </w:t>
      </w:r>
      <w:r w:rsidR="005A422D" w:rsidRPr="007954B9">
        <w:rPr>
          <w:rFonts w:ascii="Times New Roman" w:hAnsi="Times New Roman"/>
        </w:rPr>
        <w:t xml:space="preserve">law of </w:t>
      </w:r>
      <w:r w:rsidR="006C53D2" w:rsidRPr="007954B9">
        <w:rPr>
          <w:rFonts w:ascii="Times New Roman" w:hAnsi="Times New Roman"/>
        </w:rPr>
        <w:t>Australi</w:t>
      </w:r>
      <w:r w:rsidR="00A2270E" w:rsidRPr="007954B9">
        <w:rPr>
          <w:rFonts w:ascii="Times New Roman" w:hAnsi="Times New Roman"/>
        </w:rPr>
        <w:t>a</w:t>
      </w:r>
      <w:r w:rsidR="006C53D2" w:rsidRPr="007954B9">
        <w:rPr>
          <w:rFonts w:ascii="Times New Roman" w:hAnsi="Times New Roman"/>
        </w:rPr>
        <w:t>.</w:t>
      </w:r>
      <w:r w:rsidR="00F23ED1" w:rsidRPr="007954B9">
        <w:rPr>
          <w:rFonts w:ascii="Times New Roman" w:hAnsi="Times New Roman"/>
        </w:rPr>
        <w:t xml:space="preserve"> </w:t>
      </w:r>
      <w:r w:rsidR="00886F55" w:rsidRPr="007954B9">
        <w:rPr>
          <w:rFonts w:ascii="Times New Roman" w:hAnsi="Times New Roman"/>
        </w:rPr>
        <w:t>Whether</w:t>
      </w:r>
      <w:r w:rsidR="006469A8" w:rsidRPr="007954B9">
        <w:rPr>
          <w:rFonts w:ascii="Times New Roman" w:hAnsi="Times New Roman"/>
        </w:rPr>
        <w:t xml:space="preserve">, </w:t>
      </w:r>
      <w:r w:rsidR="005E0769" w:rsidRPr="007954B9">
        <w:rPr>
          <w:rFonts w:ascii="Times New Roman" w:hAnsi="Times New Roman"/>
        </w:rPr>
        <w:t>when</w:t>
      </w:r>
      <w:r w:rsidR="008D3D74" w:rsidRPr="007954B9">
        <w:rPr>
          <w:rFonts w:ascii="Times New Roman" w:hAnsi="Times New Roman"/>
        </w:rPr>
        <w:t>,</w:t>
      </w:r>
      <w:r w:rsidR="005E0769" w:rsidRPr="007954B9">
        <w:rPr>
          <w:rFonts w:ascii="Times New Roman" w:hAnsi="Times New Roman"/>
        </w:rPr>
        <w:t xml:space="preserve"> </w:t>
      </w:r>
      <w:r w:rsidR="006469A8" w:rsidRPr="007954B9">
        <w:rPr>
          <w:rFonts w:ascii="Times New Roman" w:hAnsi="Times New Roman"/>
        </w:rPr>
        <w:t xml:space="preserve">and </w:t>
      </w:r>
      <w:r w:rsidR="00E37219" w:rsidRPr="007954B9">
        <w:rPr>
          <w:rFonts w:ascii="Times New Roman" w:hAnsi="Times New Roman"/>
        </w:rPr>
        <w:t xml:space="preserve">for </w:t>
      </w:r>
      <w:r w:rsidR="00405145" w:rsidRPr="007954B9">
        <w:rPr>
          <w:rFonts w:ascii="Times New Roman" w:hAnsi="Times New Roman"/>
        </w:rPr>
        <w:t>what purposes</w:t>
      </w:r>
      <w:r w:rsidR="006469A8" w:rsidRPr="007954B9">
        <w:rPr>
          <w:rFonts w:ascii="Times New Roman" w:hAnsi="Times New Roman"/>
        </w:rPr>
        <w:t xml:space="preserve">, </w:t>
      </w:r>
      <w:r w:rsidR="00E51893" w:rsidRPr="007954B9">
        <w:rPr>
          <w:rFonts w:ascii="Times New Roman" w:hAnsi="Times New Roman"/>
        </w:rPr>
        <w:t>a judgment given</w:t>
      </w:r>
      <w:r w:rsidR="008D3D74" w:rsidRPr="007954B9">
        <w:rPr>
          <w:rFonts w:ascii="Times New Roman" w:hAnsi="Times New Roman"/>
        </w:rPr>
        <w:t xml:space="preserve"> by</w:t>
      </w:r>
      <w:r w:rsidR="00E51893" w:rsidRPr="007954B9">
        <w:rPr>
          <w:rFonts w:ascii="Times New Roman" w:hAnsi="Times New Roman"/>
        </w:rPr>
        <w:t xml:space="preserve"> the Federal Court in a representative proceeding </w:t>
      </w:r>
      <w:r w:rsidR="0057572D" w:rsidRPr="007954B9">
        <w:rPr>
          <w:rFonts w:ascii="Times New Roman" w:hAnsi="Times New Roman"/>
        </w:rPr>
        <w:t xml:space="preserve">might </w:t>
      </w:r>
      <w:r w:rsidR="00C5436B" w:rsidRPr="007954B9">
        <w:rPr>
          <w:rFonts w:ascii="Times New Roman" w:hAnsi="Times New Roman"/>
        </w:rPr>
        <w:t xml:space="preserve">be </w:t>
      </w:r>
      <w:r w:rsidR="0057572D" w:rsidRPr="007954B9">
        <w:rPr>
          <w:rFonts w:ascii="Times New Roman" w:hAnsi="Times New Roman"/>
        </w:rPr>
        <w:t xml:space="preserve">taken to </w:t>
      </w:r>
      <w:r w:rsidR="00E95B5E" w:rsidRPr="007954B9">
        <w:rPr>
          <w:rFonts w:ascii="Times New Roman" w:hAnsi="Times New Roman"/>
        </w:rPr>
        <w:t>determine the existence</w:t>
      </w:r>
      <w:r w:rsidR="009A20B9" w:rsidRPr="007954B9">
        <w:rPr>
          <w:rFonts w:ascii="Times New Roman" w:hAnsi="Times New Roman"/>
        </w:rPr>
        <w:t>,</w:t>
      </w:r>
      <w:r w:rsidR="00E95B5E" w:rsidRPr="007954B9">
        <w:rPr>
          <w:rFonts w:ascii="Times New Roman" w:hAnsi="Times New Roman"/>
        </w:rPr>
        <w:t xml:space="preserve"> or preclude </w:t>
      </w:r>
      <w:r w:rsidR="0057572D" w:rsidRPr="007954B9">
        <w:rPr>
          <w:rFonts w:ascii="Times New Roman" w:hAnsi="Times New Roman"/>
        </w:rPr>
        <w:t>the exercise</w:t>
      </w:r>
      <w:r w:rsidR="005E0769" w:rsidRPr="007954B9">
        <w:rPr>
          <w:rFonts w:ascii="Times New Roman" w:hAnsi="Times New Roman"/>
        </w:rPr>
        <w:t>,</w:t>
      </w:r>
      <w:r w:rsidR="0057572D" w:rsidRPr="007954B9">
        <w:rPr>
          <w:rFonts w:ascii="Times New Roman" w:hAnsi="Times New Roman"/>
        </w:rPr>
        <w:t xml:space="preserve"> of legal rights </w:t>
      </w:r>
      <w:r w:rsidR="000D40F7" w:rsidRPr="007954B9">
        <w:rPr>
          <w:rFonts w:ascii="Times New Roman" w:hAnsi="Times New Roman"/>
        </w:rPr>
        <w:t xml:space="preserve">under the domestic law of another country </w:t>
      </w:r>
      <w:r w:rsidR="006B7DB8" w:rsidRPr="007954B9">
        <w:rPr>
          <w:rFonts w:ascii="Times New Roman" w:hAnsi="Times New Roman"/>
        </w:rPr>
        <w:t>is</w:t>
      </w:r>
      <w:r w:rsidR="00405145" w:rsidRPr="007954B9">
        <w:rPr>
          <w:rFonts w:ascii="Times New Roman" w:hAnsi="Times New Roman"/>
        </w:rPr>
        <w:t xml:space="preserve"> a matter</w:t>
      </w:r>
      <w:r w:rsidR="006B7DB8" w:rsidRPr="007954B9">
        <w:rPr>
          <w:rFonts w:ascii="Times New Roman" w:hAnsi="Times New Roman"/>
        </w:rPr>
        <w:t xml:space="preserve"> </w:t>
      </w:r>
      <w:r w:rsidR="00405145" w:rsidRPr="007954B9">
        <w:rPr>
          <w:rFonts w:ascii="Times New Roman" w:hAnsi="Times New Roman"/>
        </w:rPr>
        <w:t>to be determined under the d</w:t>
      </w:r>
      <w:r w:rsidR="006B7DB8" w:rsidRPr="007954B9">
        <w:rPr>
          <w:rFonts w:ascii="Times New Roman" w:hAnsi="Times New Roman"/>
        </w:rPr>
        <w:t xml:space="preserve">omestic law of that country. </w:t>
      </w:r>
      <w:r w:rsidR="00C427F4" w:rsidRPr="007954B9">
        <w:rPr>
          <w:rFonts w:ascii="Times New Roman" w:hAnsi="Times New Roman"/>
        </w:rPr>
        <w:t xml:space="preserve">That is a topic </w:t>
      </w:r>
      <w:r w:rsidR="00B24102" w:rsidRPr="007954B9">
        <w:rPr>
          <w:rFonts w:ascii="Times New Roman" w:hAnsi="Times New Roman"/>
        </w:rPr>
        <w:t>on</w:t>
      </w:r>
      <w:r w:rsidR="00C427F4" w:rsidRPr="007954B9">
        <w:rPr>
          <w:rFonts w:ascii="Times New Roman" w:hAnsi="Times New Roman"/>
        </w:rPr>
        <w:t xml:space="preserve"> which </w:t>
      </w:r>
      <w:r w:rsidR="000220B4" w:rsidRPr="007954B9">
        <w:rPr>
          <w:rFonts w:ascii="Times New Roman" w:hAnsi="Times New Roman"/>
        </w:rPr>
        <w:t>Pt</w:t>
      </w:r>
      <w:r w:rsidR="002F31E5" w:rsidRPr="007954B9">
        <w:rPr>
          <w:rFonts w:ascii="Times New Roman" w:hAnsi="Times New Roman"/>
        </w:rPr>
        <w:t> </w:t>
      </w:r>
      <w:r w:rsidR="000220B4" w:rsidRPr="007954B9">
        <w:rPr>
          <w:rFonts w:ascii="Times New Roman" w:hAnsi="Times New Roman"/>
        </w:rPr>
        <w:t>IVA</w:t>
      </w:r>
      <w:r w:rsidR="00C427F4" w:rsidRPr="007954B9">
        <w:rPr>
          <w:rFonts w:ascii="Times New Roman" w:hAnsi="Times New Roman"/>
        </w:rPr>
        <w:t xml:space="preserve"> </w:t>
      </w:r>
      <w:r w:rsidR="00B24102" w:rsidRPr="007954B9">
        <w:rPr>
          <w:rFonts w:ascii="Times New Roman" w:hAnsi="Times New Roman"/>
        </w:rPr>
        <w:t>has nothing to say</w:t>
      </w:r>
      <w:r w:rsidR="000D3947" w:rsidRPr="007954B9">
        <w:rPr>
          <w:rFonts w:ascii="Times New Roman" w:hAnsi="Times New Roman"/>
        </w:rPr>
        <w:t>.</w:t>
      </w:r>
    </w:p>
    <w:p w14:paraId="1F0D11FE" w14:textId="20816306" w:rsidR="0015125E" w:rsidRPr="007954B9" w:rsidRDefault="0015125E" w:rsidP="007954B9">
      <w:pPr>
        <w:pStyle w:val="HeadingL1"/>
        <w:spacing w:after="260" w:line="280" w:lineRule="exact"/>
        <w:ind w:right="0"/>
        <w:jc w:val="both"/>
        <w:rPr>
          <w:rFonts w:ascii="Times New Roman" w:hAnsi="Times New Roman"/>
        </w:rPr>
      </w:pPr>
      <w:r w:rsidRPr="007954B9">
        <w:rPr>
          <w:rFonts w:ascii="Times New Roman" w:hAnsi="Times New Roman"/>
        </w:rPr>
        <w:lastRenderedPageBreak/>
        <w:t xml:space="preserve">BHP's argument </w:t>
      </w:r>
      <w:r w:rsidR="001C549A" w:rsidRPr="007954B9">
        <w:rPr>
          <w:rFonts w:ascii="Times New Roman" w:hAnsi="Times New Roman"/>
        </w:rPr>
        <w:t xml:space="preserve">and </w:t>
      </w:r>
      <w:r w:rsidR="00217A2C" w:rsidRPr="007954B9">
        <w:rPr>
          <w:rFonts w:ascii="Times New Roman" w:hAnsi="Times New Roman"/>
        </w:rPr>
        <w:t>the</w:t>
      </w:r>
      <w:r w:rsidR="001C549A" w:rsidRPr="007954B9">
        <w:rPr>
          <w:rFonts w:ascii="Times New Roman" w:hAnsi="Times New Roman"/>
        </w:rPr>
        <w:t xml:space="preserve"> </w:t>
      </w:r>
      <w:r w:rsidR="00AE23EE" w:rsidRPr="007954B9">
        <w:rPr>
          <w:rFonts w:ascii="Times New Roman" w:hAnsi="Times New Roman"/>
        </w:rPr>
        <w:t xml:space="preserve">ultimate </w:t>
      </w:r>
      <w:r w:rsidR="001C549A" w:rsidRPr="007954B9">
        <w:rPr>
          <w:rFonts w:ascii="Times New Roman" w:hAnsi="Times New Roman"/>
        </w:rPr>
        <w:t>answer</w:t>
      </w:r>
      <w:r w:rsidR="00217A2C" w:rsidRPr="007954B9">
        <w:rPr>
          <w:rFonts w:ascii="Times New Roman" w:hAnsi="Times New Roman"/>
        </w:rPr>
        <w:t xml:space="preserve"> to it</w:t>
      </w:r>
    </w:p>
    <w:p w14:paraId="1A2D117B" w14:textId="646C2138" w:rsidR="00B02354" w:rsidRPr="007954B9" w:rsidRDefault="00970116"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D35967" w:rsidRPr="007954B9">
        <w:rPr>
          <w:rFonts w:ascii="Times New Roman" w:hAnsi="Times New Roman"/>
        </w:rPr>
        <w:t>T</w:t>
      </w:r>
      <w:r w:rsidR="007F7A98" w:rsidRPr="007954B9">
        <w:rPr>
          <w:rFonts w:ascii="Times New Roman" w:hAnsi="Times New Roman"/>
        </w:rPr>
        <w:t>his Court</w:t>
      </w:r>
      <w:r w:rsidR="00B57A27" w:rsidRPr="007954B9">
        <w:rPr>
          <w:rFonts w:ascii="Times New Roman" w:hAnsi="Times New Roman"/>
        </w:rPr>
        <w:t xml:space="preserve"> said in </w:t>
      </w:r>
      <w:r w:rsidR="00D35967" w:rsidRPr="007954B9">
        <w:rPr>
          <w:rFonts w:ascii="Times New Roman" w:hAnsi="Times New Roman"/>
          <w:i/>
          <w:iCs/>
        </w:rPr>
        <w:t>Wong v Silkfield Pty Ltd</w:t>
      </w:r>
      <w:r w:rsidR="007F7A98" w:rsidRPr="007954B9">
        <w:rPr>
          <w:rStyle w:val="FootnoteReference"/>
          <w:rFonts w:ascii="Times New Roman" w:hAnsi="Times New Roman"/>
          <w:sz w:val="24"/>
        </w:rPr>
        <w:footnoteReference w:id="17"/>
      </w:r>
      <w:r w:rsidR="007F7A98" w:rsidRPr="007954B9">
        <w:rPr>
          <w:rFonts w:ascii="Times New Roman" w:hAnsi="Times New Roman"/>
          <w:i/>
        </w:rPr>
        <w:t xml:space="preserve"> </w:t>
      </w:r>
      <w:r w:rsidR="00E2664D" w:rsidRPr="007954B9">
        <w:rPr>
          <w:rFonts w:ascii="Times New Roman" w:hAnsi="Times New Roman"/>
        </w:rPr>
        <w:t xml:space="preserve">that </w:t>
      </w:r>
      <w:r w:rsidR="009665F0" w:rsidRPr="007954B9">
        <w:rPr>
          <w:rFonts w:ascii="Times New Roman" w:hAnsi="Times New Roman"/>
        </w:rPr>
        <w:t xml:space="preserve">"[l]ike other provisions conferring jurisdiction upon or granting powers to a court, Pt IVA is not to be read by making implications or imposing limitations not found in the words used". </w:t>
      </w:r>
    </w:p>
    <w:p w14:paraId="2FBB1ECE" w14:textId="64A6F3B6" w:rsidR="00D6312A" w:rsidRPr="007954B9" w:rsidRDefault="00B02354"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0D3947" w:rsidRPr="007954B9">
        <w:rPr>
          <w:rFonts w:ascii="Times New Roman" w:hAnsi="Times New Roman"/>
        </w:rPr>
        <w:t>BHP does not dispute th</w:t>
      </w:r>
      <w:r w:rsidR="005C5711" w:rsidRPr="007954B9">
        <w:rPr>
          <w:rFonts w:ascii="Times New Roman" w:hAnsi="Times New Roman"/>
        </w:rPr>
        <w:t>at</w:t>
      </w:r>
      <w:r w:rsidR="000D3947" w:rsidRPr="007954B9">
        <w:rPr>
          <w:rFonts w:ascii="Times New Roman" w:hAnsi="Times New Roman"/>
        </w:rPr>
        <w:t xml:space="preserve"> proposition.</w:t>
      </w:r>
      <w:r w:rsidR="008074B2" w:rsidRPr="007954B9">
        <w:rPr>
          <w:rFonts w:ascii="Times New Roman" w:hAnsi="Times New Roman"/>
        </w:rPr>
        <w:t xml:space="preserve"> </w:t>
      </w:r>
      <w:r w:rsidR="00253814" w:rsidRPr="007954B9">
        <w:rPr>
          <w:rFonts w:ascii="Times New Roman" w:hAnsi="Times New Roman"/>
        </w:rPr>
        <w:t xml:space="preserve">It does not seek to limit the scope of the references to </w:t>
      </w:r>
      <w:r w:rsidR="00223959" w:rsidRPr="007954B9">
        <w:rPr>
          <w:rFonts w:ascii="Times New Roman" w:hAnsi="Times New Roman"/>
        </w:rPr>
        <w:t xml:space="preserve">"7 or more persons" or </w:t>
      </w:r>
      <w:r w:rsidR="00253814" w:rsidRPr="007954B9">
        <w:rPr>
          <w:rFonts w:ascii="Times New Roman" w:hAnsi="Times New Roman"/>
        </w:rPr>
        <w:t>"the same person" in</w:t>
      </w:r>
      <w:r w:rsidR="00946B78" w:rsidRPr="007954B9">
        <w:rPr>
          <w:rFonts w:ascii="Times New Roman" w:hAnsi="Times New Roman"/>
        </w:rPr>
        <w:t xml:space="preserve"> s </w:t>
      </w:r>
      <w:r w:rsidR="00253814" w:rsidRPr="007954B9">
        <w:rPr>
          <w:rFonts w:ascii="Times New Roman" w:hAnsi="Times New Roman"/>
        </w:rPr>
        <w:t>33C(1)(a)</w:t>
      </w:r>
      <w:r w:rsidR="00C5436B" w:rsidRPr="007954B9">
        <w:rPr>
          <w:rFonts w:ascii="Times New Roman" w:hAnsi="Times New Roman"/>
        </w:rPr>
        <w:t>,</w:t>
      </w:r>
      <w:r w:rsidR="00253814" w:rsidRPr="007954B9">
        <w:rPr>
          <w:rFonts w:ascii="Times New Roman" w:hAnsi="Times New Roman"/>
        </w:rPr>
        <w:t xml:space="preserve"> or to </w:t>
      </w:r>
      <w:r w:rsidR="00002D97" w:rsidRPr="007954B9">
        <w:rPr>
          <w:rFonts w:ascii="Times New Roman" w:hAnsi="Times New Roman"/>
        </w:rPr>
        <w:t xml:space="preserve">a "person", </w:t>
      </w:r>
      <w:r w:rsidR="00253814" w:rsidRPr="007954B9">
        <w:rPr>
          <w:rFonts w:ascii="Times New Roman" w:hAnsi="Times New Roman"/>
        </w:rPr>
        <w:t>"another person" or "that other person" in</w:t>
      </w:r>
      <w:r w:rsidR="00946B78" w:rsidRPr="007954B9">
        <w:rPr>
          <w:rFonts w:ascii="Times New Roman" w:hAnsi="Times New Roman"/>
        </w:rPr>
        <w:t xml:space="preserve"> s </w:t>
      </w:r>
      <w:r w:rsidR="00253814" w:rsidRPr="007954B9">
        <w:rPr>
          <w:rFonts w:ascii="Times New Roman" w:hAnsi="Times New Roman"/>
        </w:rPr>
        <w:t>33D.</w:t>
      </w:r>
      <w:r w:rsidR="00A278E7" w:rsidRPr="007954B9">
        <w:rPr>
          <w:rFonts w:ascii="Times New Roman" w:hAnsi="Times New Roman"/>
        </w:rPr>
        <w:t xml:space="preserve"> </w:t>
      </w:r>
      <w:r w:rsidR="001764C7" w:rsidRPr="007954B9">
        <w:rPr>
          <w:rFonts w:ascii="Times New Roman" w:hAnsi="Times New Roman"/>
        </w:rPr>
        <w:t xml:space="preserve">It does not </w:t>
      </w:r>
      <w:r w:rsidR="00552915" w:rsidRPr="007954B9">
        <w:rPr>
          <w:rFonts w:ascii="Times New Roman" w:hAnsi="Times New Roman"/>
        </w:rPr>
        <w:t xml:space="preserve">seek to </w:t>
      </w:r>
      <w:r w:rsidRPr="007954B9">
        <w:rPr>
          <w:rFonts w:ascii="Times New Roman" w:hAnsi="Times New Roman"/>
        </w:rPr>
        <w:t xml:space="preserve">read </w:t>
      </w:r>
      <w:r w:rsidR="00F20F66" w:rsidRPr="007954B9">
        <w:rPr>
          <w:rFonts w:ascii="Times New Roman" w:hAnsi="Times New Roman"/>
        </w:rPr>
        <w:t>down</w:t>
      </w:r>
      <w:r w:rsidR="00947B30" w:rsidRPr="007954B9">
        <w:rPr>
          <w:rFonts w:ascii="Times New Roman" w:hAnsi="Times New Roman"/>
        </w:rPr>
        <w:t xml:space="preserve"> </w:t>
      </w:r>
      <w:r w:rsidR="00163D71" w:rsidRPr="007954B9">
        <w:rPr>
          <w:rFonts w:ascii="Times New Roman" w:hAnsi="Times New Roman"/>
        </w:rPr>
        <w:t xml:space="preserve">the reference to "a person" in </w:t>
      </w:r>
      <w:r w:rsidR="00165130" w:rsidRPr="007954B9">
        <w:rPr>
          <w:rFonts w:ascii="Times New Roman" w:hAnsi="Times New Roman"/>
        </w:rPr>
        <w:t xml:space="preserve">the definition of </w:t>
      </w:r>
      <w:r w:rsidR="00E6235B" w:rsidRPr="007954B9">
        <w:rPr>
          <w:rFonts w:ascii="Times New Roman" w:hAnsi="Times New Roman"/>
        </w:rPr>
        <w:t>"representative party" in</w:t>
      </w:r>
      <w:r w:rsidR="00946B78" w:rsidRPr="007954B9">
        <w:rPr>
          <w:rFonts w:ascii="Times New Roman" w:hAnsi="Times New Roman"/>
        </w:rPr>
        <w:t xml:space="preserve"> s </w:t>
      </w:r>
      <w:r w:rsidR="00E6235B" w:rsidRPr="007954B9">
        <w:rPr>
          <w:rFonts w:ascii="Times New Roman" w:hAnsi="Times New Roman"/>
        </w:rPr>
        <w:t>33A</w:t>
      </w:r>
      <w:r w:rsidR="00163D71" w:rsidRPr="007954B9">
        <w:rPr>
          <w:rFonts w:ascii="Times New Roman" w:hAnsi="Times New Roman"/>
        </w:rPr>
        <w:t xml:space="preserve">. </w:t>
      </w:r>
      <w:r w:rsidR="005943EC" w:rsidRPr="007954B9">
        <w:rPr>
          <w:rFonts w:ascii="Times New Roman" w:hAnsi="Times New Roman"/>
        </w:rPr>
        <w:t xml:space="preserve">It </w:t>
      </w:r>
      <w:r w:rsidR="009B5717" w:rsidRPr="007954B9">
        <w:rPr>
          <w:rFonts w:ascii="Times New Roman" w:hAnsi="Times New Roman"/>
        </w:rPr>
        <w:t>does not d</w:t>
      </w:r>
      <w:r w:rsidR="003B1665" w:rsidRPr="007954B9">
        <w:rPr>
          <w:rFonts w:ascii="Times New Roman" w:hAnsi="Times New Roman"/>
        </w:rPr>
        <w:t>eny</w:t>
      </w:r>
      <w:r w:rsidR="009B5717" w:rsidRPr="007954B9">
        <w:rPr>
          <w:rFonts w:ascii="Times New Roman" w:hAnsi="Times New Roman"/>
        </w:rPr>
        <w:t xml:space="preserve"> that </w:t>
      </w:r>
      <w:r w:rsidR="001F0F4C" w:rsidRPr="007954B9">
        <w:rPr>
          <w:rFonts w:ascii="Times New Roman" w:hAnsi="Times New Roman"/>
        </w:rPr>
        <w:t>a</w:t>
      </w:r>
      <w:r w:rsidR="0052746E" w:rsidRPr="007954B9">
        <w:rPr>
          <w:rFonts w:ascii="Times New Roman" w:hAnsi="Times New Roman"/>
        </w:rPr>
        <w:t xml:space="preserve"> representative proceeding </w:t>
      </w:r>
      <w:r w:rsidR="00E13B93" w:rsidRPr="007954B9">
        <w:rPr>
          <w:rFonts w:ascii="Times New Roman" w:hAnsi="Times New Roman"/>
        </w:rPr>
        <w:t>can be</w:t>
      </w:r>
      <w:r w:rsidR="00800C44" w:rsidRPr="007954B9">
        <w:rPr>
          <w:rFonts w:ascii="Times New Roman" w:hAnsi="Times New Roman"/>
        </w:rPr>
        <w:t xml:space="preserve"> commenced</w:t>
      </w:r>
      <w:r w:rsidR="00085C1C" w:rsidRPr="007954B9">
        <w:rPr>
          <w:rFonts w:ascii="Times New Roman" w:hAnsi="Times New Roman"/>
        </w:rPr>
        <w:t xml:space="preserve"> and maintained</w:t>
      </w:r>
      <w:r w:rsidR="00800C44" w:rsidRPr="007954B9">
        <w:rPr>
          <w:rFonts w:ascii="Times New Roman" w:hAnsi="Times New Roman"/>
        </w:rPr>
        <w:t xml:space="preserve"> </w:t>
      </w:r>
      <w:r w:rsidR="000E70CE" w:rsidRPr="007954B9">
        <w:rPr>
          <w:rFonts w:ascii="Times New Roman" w:hAnsi="Times New Roman"/>
        </w:rPr>
        <w:t xml:space="preserve">irrespective of the place of residence of </w:t>
      </w:r>
      <w:r w:rsidR="00085C1C" w:rsidRPr="007954B9">
        <w:rPr>
          <w:rFonts w:ascii="Times New Roman" w:hAnsi="Times New Roman"/>
        </w:rPr>
        <w:t xml:space="preserve">the representative party </w:t>
      </w:r>
      <w:r w:rsidR="00A278E7" w:rsidRPr="007954B9">
        <w:rPr>
          <w:rFonts w:ascii="Times New Roman" w:hAnsi="Times New Roman"/>
        </w:rPr>
        <w:t>and</w:t>
      </w:r>
      <w:r w:rsidR="00085C1C" w:rsidRPr="007954B9">
        <w:rPr>
          <w:rFonts w:ascii="Times New Roman" w:hAnsi="Times New Roman"/>
        </w:rPr>
        <w:t xml:space="preserve"> </w:t>
      </w:r>
      <w:r w:rsidR="00A278E7" w:rsidRPr="007954B9">
        <w:rPr>
          <w:rFonts w:ascii="Times New Roman" w:hAnsi="Times New Roman"/>
        </w:rPr>
        <w:t xml:space="preserve">(subject to the </w:t>
      </w:r>
      <w:r w:rsidR="006A1960" w:rsidRPr="007954B9">
        <w:rPr>
          <w:rFonts w:ascii="Times New Roman" w:hAnsi="Times New Roman"/>
        </w:rPr>
        <w:t>ordinary rules as to service) irrespective of the place of residence</w:t>
      </w:r>
      <w:r w:rsidR="0074779D" w:rsidRPr="007954B9">
        <w:rPr>
          <w:rFonts w:ascii="Times New Roman" w:hAnsi="Times New Roman"/>
        </w:rPr>
        <w:t xml:space="preserve"> of</w:t>
      </w:r>
      <w:r w:rsidR="006A1960" w:rsidRPr="007954B9">
        <w:rPr>
          <w:rFonts w:ascii="Times New Roman" w:hAnsi="Times New Roman"/>
        </w:rPr>
        <w:t xml:space="preserve"> </w:t>
      </w:r>
      <w:r w:rsidR="00085C1C" w:rsidRPr="007954B9">
        <w:rPr>
          <w:rFonts w:ascii="Times New Roman" w:hAnsi="Times New Roman"/>
        </w:rPr>
        <w:t>the respondent.</w:t>
      </w:r>
    </w:p>
    <w:p w14:paraId="33A2790A" w14:textId="73E07710" w:rsidR="00D613B1" w:rsidRPr="007954B9" w:rsidRDefault="00CD1BA6"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E034ED" w:rsidRPr="007954B9">
        <w:rPr>
          <w:rFonts w:ascii="Times New Roman" w:hAnsi="Times New Roman"/>
        </w:rPr>
        <w:t xml:space="preserve">BHP </w:t>
      </w:r>
      <w:r w:rsidR="00A67440" w:rsidRPr="007954B9">
        <w:rPr>
          <w:rFonts w:ascii="Times New Roman" w:hAnsi="Times New Roman"/>
        </w:rPr>
        <w:t xml:space="preserve">argues that </w:t>
      </w:r>
      <w:r w:rsidR="0027175D" w:rsidRPr="007954B9">
        <w:rPr>
          <w:rFonts w:ascii="Times New Roman" w:hAnsi="Times New Roman"/>
        </w:rPr>
        <w:t>the reference to "persons" in the definition of "</w:t>
      </w:r>
      <w:r w:rsidR="00C862D7" w:rsidRPr="007954B9">
        <w:rPr>
          <w:rFonts w:ascii="Times New Roman" w:hAnsi="Times New Roman"/>
        </w:rPr>
        <w:t>group member</w:t>
      </w:r>
      <w:r w:rsidR="0027175D" w:rsidRPr="007954B9">
        <w:rPr>
          <w:rFonts w:ascii="Times New Roman" w:hAnsi="Times New Roman"/>
        </w:rPr>
        <w:t>" in</w:t>
      </w:r>
      <w:r w:rsidR="00946B78" w:rsidRPr="007954B9">
        <w:rPr>
          <w:rFonts w:ascii="Times New Roman" w:hAnsi="Times New Roman"/>
        </w:rPr>
        <w:t xml:space="preserve"> s </w:t>
      </w:r>
      <w:r w:rsidR="0027175D" w:rsidRPr="007954B9">
        <w:rPr>
          <w:rFonts w:ascii="Times New Roman" w:hAnsi="Times New Roman"/>
        </w:rPr>
        <w:t>33A</w:t>
      </w:r>
      <w:r w:rsidR="00204E6E" w:rsidRPr="007954B9">
        <w:rPr>
          <w:rFonts w:ascii="Times New Roman" w:hAnsi="Times New Roman"/>
        </w:rPr>
        <w:t xml:space="preserve">, </w:t>
      </w:r>
      <w:r w:rsidR="00392656" w:rsidRPr="007954B9">
        <w:rPr>
          <w:rFonts w:ascii="Times New Roman" w:hAnsi="Times New Roman"/>
        </w:rPr>
        <w:t>and</w:t>
      </w:r>
      <w:r w:rsidR="00E1678D" w:rsidRPr="007954B9">
        <w:rPr>
          <w:rFonts w:ascii="Times New Roman" w:hAnsi="Times New Roman"/>
        </w:rPr>
        <w:t xml:space="preserve"> </w:t>
      </w:r>
      <w:r w:rsidR="001976E7" w:rsidRPr="007954B9">
        <w:rPr>
          <w:rFonts w:ascii="Times New Roman" w:hAnsi="Times New Roman"/>
        </w:rPr>
        <w:t>presumably</w:t>
      </w:r>
      <w:r w:rsidR="00392656" w:rsidRPr="007954B9">
        <w:rPr>
          <w:rFonts w:ascii="Times New Roman" w:hAnsi="Times New Roman"/>
        </w:rPr>
        <w:t xml:space="preserve"> </w:t>
      </w:r>
      <w:r w:rsidR="00204E6E" w:rsidRPr="007954B9">
        <w:rPr>
          <w:rFonts w:ascii="Times New Roman" w:hAnsi="Times New Roman"/>
        </w:rPr>
        <w:t xml:space="preserve">likewise the reference to </w:t>
      </w:r>
      <w:r w:rsidR="00392656" w:rsidRPr="007954B9">
        <w:rPr>
          <w:rFonts w:ascii="Times New Roman" w:hAnsi="Times New Roman"/>
        </w:rPr>
        <w:t>"other persons" in</w:t>
      </w:r>
      <w:r w:rsidR="00946B78" w:rsidRPr="007954B9">
        <w:rPr>
          <w:rFonts w:ascii="Times New Roman" w:hAnsi="Times New Roman"/>
        </w:rPr>
        <w:t xml:space="preserve"> s </w:t>
      </w:r>
      <w:r w:rsidR="00392656" w:rsidRPr="007954B9">
        <w:rPr>
          <w:rFonts w:ascii="Times New Roman" w:hAnsi="Times New Roman"/>
        </w:rPr>
        <w:t>33D</w:t>
      </w:r>
      <w:r w:rsidR="00204E6E" w:rsidRPr="007954B9">
        <w:rPr>
          <w:rFonts w:ascii="Times New Roman" w:hAnsi="Times New Roman"/>
        </w:rPr>
        <w:t>,</w:t>
      </w:r>
      <w:r w:rsidR="00392656" w:rsidRPr="007954B9">
        <w:rPr>
          <w:rFonts w:ascii="Times New Roman" w:hAnsi="Times New Roman"/>
        </w:rPr>
        <w:t xml:space="preserve"> </w:t>
      </w:r>
      <w:r w:rsidR="00C862D7" w:rsidRPr="007954B9">
        <w:rPr>
          <w:rFonts w:ascii="Times New Roman" w:hAnsi="Times New Roman"/>
        </w:rPr>
        <w:t xml:space="preserve">must </w:t>
      </w:r>
      <w:r w:rsidR="00E74DBB" w:rsidRPr="007954B9">
        <w:rPr>
          <w:rFonts w:ascii="Times New Roman" w:hAnsi="Times New Roman"/>
        </w:rPr>
        <w:t xml:space="preserve">nevertheless </w:t>
      </w:r>
      <w:r w:rsidR="00C862D7" w:rsidRPr="007954B9">
        <w:rPr>
          <w:rFonts w:ascii="Times New Roman" w:hAnsi="Times New Roman"/>
        </w:rPr>
        <w:t xml:space="preserve">be read </w:t>
      </w:r>
      <w:r w:rsidR="006A1960" w:rsidRPr="007954B9">
        <w:rPr>
          <w:rFonts w:ascii="Times New Roman" w:hAnsi="Times New Roman"/>
        </w:rPr>
        <w:t xml:space="preserve">down </w:t>
      </w:r>
      <w:r w:rsidR="00C862D7" w:rsidRPr="007954B9">
        <w:rPr>
          <w:rFonts w:ascii="Times New Roman" w:hAnsi="Times New Roman"/>
        </w:rPr>
        <w:t xml:space="preserve">to </w:t>
      </w:r>
      <w:r w:rsidR="006D39CC" w:rsidRPr="007954B9">
        <w:rPr>
          <w:rFonts w:ascii="Times New Roman" w:hAnsi="Times New Roman"/>
        </w:rPr>
        <w:t>exclude</w:t>
      </w:r>
      <w:r w:rsidR="00BB32F6" w:rsidRPr="007954B9">
        <w:rPr>
          <w:rFonts w:ascii="Times New Roman" w:hAnsi="Times New Roman"/>
        </w:rPr>
        <w:t xml:space="preserve"> </w:t>
      </w:r>
      <w:r w:rsidR="00AE0E18" w:rsidRPr="007954B9">
        <w:rPr>
          <w:rFonts w:ascii="Times New Roman" w:hAnsi="Times New Roman"/>
        </w:rPr>
        <w:t xml:space="preserve">persons who are not </w:t>
      </w:r>
      <w:r w:rsidR="008C02BC" w:rsidRPr="007954B9">
        <w:rPr>
          <w:rFonts w:ascii="Times New Roman" w:hAnsi="Times New Roman"/>
        </w:rPr>
        <w:t>"</w:t>
      </w:r>
      <w:r w:rsidR="00AE0E18" w:rsidRPr="007954B9">
        <w:rPr>
          <w:rFonts w:ascii="Times New Roman" w:hAnsi="Times New Roman"/>
        </w:rPr>
        <w:t>resident</w:t>
      </w:r>
      <w:r w:rsidR="008C02BC" w:rsidRPr="007954B9">
        <w:rPr>
          <w:rFonts w:ascii="Times New Roman" w:hAnsi="Times New Roman"/>
        </w:rPr>
        <w:t>"</w:t>
      </w:r>
      <w:r w:rsidR="00AE0E18" w:rsidRPr="007954B9">
        <w:rPr>
          <w:rFonts w:ascii="Times New Roman" w:hAnsi="Times New Roman"/>
        </w:rPr>
        <w:t xml:space="preserve"> in Australia.</w:t>
      </w:r>
      <w:r w:rsidR="002D760B" w:rsidRPr="007954B9">
        <w:rPr>
          <w:rFonts w:ascii="Times New Roman" w:hAnsi="Times New Roman"/>
        </w:rPr>
        <w:t xml:space="preserve"> </w:t>
      </w:r>
      <w:r w:rsidR="00CB5F97" w:rsidRPr="007954B9">
        <w:rPr>
          <w:rFonts w:ascii="Times New Roman" w:hAnsi="Times New Roman"/>
        </w:rPr>
        <w:t xml:space="preserve">Quite apart from </w:t>
      </w:r>
      <w:r w:rsidR="00912524" w:rsidRPr="007954B9">
        <w:rPr>
          <w:rFonts w:ascii="Times New Roman" w:hAnsi="Times New Roman"/>
        </w:rPr>
        <w:t xml:space="preserve">the </w:t>
      </w:r>
      <w:r w:rsidR="00702DC0" w:rsidRPr="007954B9">
        <w:rPr>
          <w:rFonts w:ascii="Times New Roman" w:hAnsi="Times New Roman"/>
        </w:rPr>
        <w:t>inherent imprecision</w:t>
      </w:r>
      <w:r w:rsidR="00D50250" w:rsidRPr="007954B9">
        <w:rPr>
          <w:rFonts w:ascii="Times New Roman" w:hAnsi="Times New Roman"/>
        </w:rPr>
        <w:t xml:space="preserve"> of the concept</w:t>
      </w:r>
      <w:r w:rsidR="000337DB" w:rsidRPr="007954B9">
        <w:rPr>
          <w:rFonts w:ascii="Times New Roman" w:hAnsi="Times New Roman"/>
        </w:rPr>
        <w:t xml:space="preserve"> of residence </w:t>
      </w:r>
      <w:r w:rsidR="00D50250" w:rsidRPr="007954B9">
        <w:rPr>
          <w:rFonts w:ascii="Times New Roman" w:hAnsi="Times New Roman"/>
        </w:rPr>
        <w:t xml:space="preserve">on </w:t>
      </w:r>
      <w:r w:rsidR="000337DB" w:rsidRPr="007954B9">
        <w:rPr>
          <w:rFonts w:ascii="Times New Roman" w:hAnsi="Times New Roman"/>
        </w:rPr>
        <w:t xml:space="preserve">which it </w:t>
      </w:r>
      <w:r w:rsidR="00D50250" w:rsidRPr="007954B9">
        <w:rPr>
          <w:rFonts w:ascii="Times New Roman" w:hAnsi="Times New Roman"/>
        </w:rPr>
        <w:t>hinges</w:t>
      </w:r>
      <w:r w:rsidR="00BA796D" w:rsidRPr="007954B9">
        <w:rPr>
          <w:rFonts w:ascii="Times New Roman" w:hAnsi="Times New Roman"/>
        </w:rPr>
        <w:t>, BHP's</w:t>
      </w:r>
      <w:r w:rsidR="00107560" w:rsidRPr="007954B9">
        <w:rPr>
          <w:rFonts w:ascii="Times New Roman" w:hAnsi="Times New Roman"/>
        </w:rPr>
        <w:t xml:space="preserve"> </w:t>
      </w:r>
      <w:r w:rsidR="00A35049" w:rsidRPr="007954B9">
        <w:rPr>
          <w:rFonts w:ascii="Times New Roman" w:hAnsi="Times New Roman"/>
        </w:rPr>
        <w:t>argument</w:t>
      </w:r>
      <w:r w:rsidR="00715CEA" w:rsidRPr="007954B9">
        <w:rPr>
          <w:rFonts w:ascii="Times New Roman" w:hAnsi="Times New Roman"/>
        </w:rPr>
        <w:t xml:space="preserve"> </w:t>
      </w:r>
      <w:r w:rsidR="00107560" w:rsidRPr="007954B9">
        <w:rPr>
          <w:rFonts w:ascii="Times New Roman" w:hAnsi="Times New Roman"/>
        </w:rPr>
        <w:t>encounters</w:t>
      </w:r>
      <w:r w:rsidR="00B7620F" w:rsidRPr="007954B9">
        <w:rPr>
          <w:rFonts w:ascii="Times New Roman" w:hAnsi="Times New Roman"/>
        </w:rPr>
        <w:t xml:space="preserve"> </w:t>
      </w:r>
      <w:r w:rsidR="00860CBC" w:rsidRPr="007954B9">
        <w:rPr>
          <w:rFonts w:ascii="Times New Roman" w:hAnsi="Times New Roman"/>
        </w:rPr>
        <w:t>a</w:t>
      </w:r>
      <w:r w:rsidR="009B0647" w:rsidRPr="007954B9">
        <w:rPr>
          <w:rFonts w:ascii="Times New Roman" w:hAnsi="Times New Roman"/>
        </w:rPr>
        <w:t>n immediate</w:t>
      </w:r>
      <w:r w:rsidR="00860CBC" w:rsidRPr="007954B9">
        <w:rPr>
          <w:rFonts w:ascii="Times New Roman" w:hAnsi="Times New Roman"/>
        </w:rPr>
        <w:t xml:space="preserve"> logical</w:t>
      </w:r>
      <w:r w:rsidR="00107560" w:rsidRPr="007954B9">
        <w:rPr>
          <w:rFonts w:ascii="Times New Roman" w:hAnsi="Times New Roman"/>
        </w:rPr>
        <w:t xml:space="preserve"> </w:t>
      </w:r>
      <w:r w:rsidR="00715CEA" w:rsidRPr="007954B9">
        <w:rPr>
          <w:rFonts w:ascii="Times New Roman" w:hAnsi="Times New Roman"/>
        </w:rPr>
        <w:t>hurdle</w:t>
      </w:r>
      <w:r w:rsidR="00E74DBB" w:rsidRPr="007954B9">
        <w:rPr>
          <w:rFonts w:ascii="Times New Roman" w:hAnsi="Times New Roman"/>
        </w:rPr>
        <w:t xml:space="preserve">. </w:t>
      </w:r>
      <w:r w:rsidR="006177BA" w:rsidRPr="007954B9">
        <w:rPr>
          <w:rFonts w:ascii="Times New Roman" w:hAnsi="Times New Roman"/>
        </w:rPr>
        <w:t>The concluding words of</w:t>
      </w:r>
      <w:r w:rsidR="00946B78" w:rsidRPr="007954B9">
        <w:rPr>
          <w:rFonts w:ascii="Times New Roman" w:hAnsi="Times New Roman"/>
        </w:rPr>
        <w:t xml:space="preserve"> s </w:t>
      </w:r>
      <w:r w:rsidR="00E74DBB" w:rsidRPr="007954B9">
        <w:rPr>
          <w:rFonts w:ascii="Times New Roman" w:hAnsi="Times New Roman"/>
        </w:rPr>
        <w:t>33C</w:t>
      </w:r>
      <w:r w:rsidR="00577883" w:rsidRPr="007954B9">
        <w:rPr>
          <w:rFonts w:ascii="Times New Roman" w:hAnsi="Times New Roman"/>
        </w:rPr>
        <w:t xml:space="preserve">(1) </w:t>
      </w:r>
      <w:r w:rsidR="00E74DBB" w:rsidRPr="007954B9">
        <w:rPr>
          <w:rFonts w:ascii="Times New Roman" w:hAnsi="Times New Roman"/>
        </w:rPr>
        <w:t xml:space="preserve">make clear that </w:t>
      </w:r>
      <w:r w:rsidR="00F83339" w:rsidRPr="007954B9">
        <w:rPr>
          <w:rFonts w:ascii="Times New Roman" w:hAnsi="Times New Roman"/>
        </w:rPr>
        <w:t>a</w:t>
      </w:r>
      <w:r w:rsidR="002769E2" w:rsidRPr="007954B9">
        <w:rPr>
          <w:rFonts w:ascii="Times New Roman" w:hAnsi="Times New Roman"/>
        </w:rPr>
        <w:t xml:space="preserve"> </w:t>
      </w:r>
      <w:r w:rsidR="004C6D29" w:rsidRPr="007954B9">
        <w:rPr>
          <w:rFonts w:ascii="Times New Roman" w:hAnsi="Times New Roman"/>
        </w:rPr>
        <w:t>representative part</w:t>
      </w:r>
      <w:r w:rsidR="00F83339" w:rsidRPr="007954B9">
        <w:rPr>
          <w:rFonts w:ascii="Times New Roman" w:hAnsi="Times New Roman"/>
        </w:rPr>
        <w:t>y</w:t>
      </w:r>
      <w:r w:rsidR="004C6D29" w:rsidRPr="007954B9">
        <w:rPr>
          <w:rFonts w:ascii="Times New Roman" w:hAnsi="Times New Roman"/>
        </w:rPr>
        <w:t xml:space="preserve"> and group members </w:t>
      </w:r>
      <w:r w:rsidR="008C1CA5" w:rsidRPr="007954B9">
        <w:rPr>
          <w:rFonts w:ascii="Times New Roman" w:hAnsi="Times New Roman"/>
        </w:rPr>
        <w:t xml:space="preserve">are </w:t>
      </w:r>
      <w:r w:rsidR="00F83339" w:rsidRPr="007954B9">
        <w:rPr>
          <w:rFonts w:ascii="Times New Roman" w:hAnsi="Times New Roman"/>
        </w:rPr>
        <w:t>all</w:t>
      </w:r>
      <w:r w:rsidR="00E7437A" w:rsidRPr="007954B9">
        <w:rPr>
          <w:rFonts w:ascii="Times New Roman" w:hAnsi="Times New Roman"/>
        </w:rPr>
        <w:t xml:space="preserve"> </w:t>
      </w:r>
      <w:r w:rsidR="00860CBC" w:rsidRPr="007954B9">
        <w:rPr>
          <w:rFonts w:ascii="Times New Roman" w:hAnsi="Times New Roman"/>
        </w:rPr>
        <w:t xml:space="preserve">to come </w:t>
      </w:r>
      <w:r w:rsidR="00E7437A" w:rsidRPr="007954B9">
        <w:rPr>
          <w:rFonts w:ascii="Times New Roman" w:hAnsi="Times New Roman"/>
        </w:rPr>
        <w:t xml:space="preserve">from </w:t>
      </w:r>
      <w:r w:rsidR="00860CBC" w:rsidRPr="007954B9">
        <w:rPr>
          <w:rFonts w:ascii="Times New Roman" w:hAnsi="Times New Roman"/>
        </w:rPr>
        <w:t>within</w:t>
      </w:r>
      <w:r w:rsidR="00E7437A" w:rsidRPr="007954B9">
        <w:rPr>
          <w:rFonts w:ascii="Times New Roman" w:hAnsi="Times New Roman"/>
        </w:rPr>
        <w:t xml:space="preserve"> </w:t>
      </w:r>
      <w:r w:rsidR="006A6284" w:rsidRPr="007954B9">
        <w:rPr>
          <w:rFonts w:ascii="Times New Roman" w:hAnsi="Times New Roman"/>
        </w:rPr>
        <w:t>the</w:t>
      </w:r>
      <w:r w:rsidR="00857CAD" w:rsidRPr="007954B9">
        <w:rPr>
          <w:rFonts w:ascii="Times New Roman" w:hAnsi="Times New Roman"/>
        </w:rPr>
        <w:t xml:space="preserve"> common pool</w:t>
      </w:r>
      <w:r w:rsidR="00845A5C" w:rsidRPr="007954B9">
        <w:rPr>
          <w:rFonts w:ascii="Times New Roman" w:hAnsi="Times New Roman"/>
        </w:rPr>
        <w:t xml:space="preserve"> of</w:t>
      </w:r>
      <w:r w:rsidR="00857CAD" w:rsidRPr="007954B9">
        <w:rPr>
          <w:rFonts w:ascii="Times New Roman" w:hAnsi="Times New Roman"/>
        </w:rPr>
        <w:t xml:space="preserve"> </w:t>
      </w:r>
      <w:r w:rsidR="009C7BF5" w:rsidRPr="007954B9">
        <w:rPr>
          <w:rFonts w:ascii="Times New Roman" w:hAnsi="Times New Roman"/>
        </w:rPr>
        <w:t>"7 or more persons"</w:t>
      </w:r>
      <w:r w:rsidR="00B30F92" w:rsidRPr="007954B9">
        <w:rPr>
          <w:rFonts w:ascii="Times New Roman" w:hAnsi="Times New Roman"/>
        </w:rPr>
        <w:t xml:space="preserve"> </w:t>
      </w:r>
      <w:r w:rsidR="00A73EA8" w:rsidRPr="007954B9">
        <w:rPr>
          <w:rFonts w:ascii="Times New Roman" w:hAnsi="Times New Roman"/>
        </w:rPr>
        <w:t>who have</w:t>
      </w:r>
      <w:r w:rsidR="009C7BF5" w:rsidRPr="007954B9">
        <w:rPr>
          <w:rFonts w:ascii="Times New Roman" w:hAnsi="Times New Roman"/>
        </w:rPr>
        <w:t xml:space="preserve"> claims of the nature</w:t>
      </w:r>
      <w:r w:rsidR="00946B78" w:rsidRPr="007954B9">
        <w:rPr>
          <w:rFonts w:ascii="Times New Roman" w:hAnsi="Times New Roman"/>
        </w:rPr>
        <w:t xml:space="preserve"> s </w:t>
      </w:r>
      <w:r w:rsidR="00935E67" w:rsidRPr="007954B9">
        <w:rPr>
          <w:rFonts w:ascii="Times New Roman" w:hAnsi="Times New Roman"/>
        </w:rPr>
        <w:t>33</w:t>
      </w:r>
      <w:r w:rsidR="00C34D99" w:rsidRPr="007954B9">
        <w:rPr>
          <w:rFonts w:ascii="Times New Roman" w:hAnsi="Times New Roman"/>
        </w:rPr>
        <w:t>C</w:t>
      </w:r>
      <w:r w:rsidR="00935E67" w:rsidRPr="007954B9">
        <w:rPr>
          <w:rFonts w:ascii="Times New Roman" w:hAnsi="Times New Roman"/>
        </w:rPr>
        <w:t>(1)</w:t>
      </w:r>
      <w:r w:rsidR="009C7BF5" w:rsidRPr="007954B9">
        <w:rPr>
          <w:rFonts w:ascii="Times New Roman" w:hAnsi="Times New Roman"/>
        </w:rPr>
        <w:t xml:space="preserve"> describes</w:t>
      </w:r>
      <w:r w:rsidR="003124B6" w:rsidRPr="007954B9">
        <w:rPr>
          <w:rFonts w:ascii="Times New Roman" w:hAnsi="Times New Roman"/>
        </w:rPr>
        <w:t>. Th</w:t>
      </w:r>
      <w:r w:rsidR="00267449" w:rsidRPr="007954B9">
        <w:rPr>
          <w:rFonts w:ascii="Times New Roman" w:hAnsi="Times New Roman"/>
        </w:rPr>
        <w:t>ose words</w:t>
      </w:r>
      <w:r w:rsidR="00B30F92" w:rsidRPr="007954B9">
        <w:rPr>
          <w:rFonts w:ascii="Times New Roman" w:hAnsi="Times New Roman"/>
        </w:rPr>
        <w:t xml:space="preserve"> equally</w:t>
      </w:r>
      <w:r w:rsidR="00F83339" w:rsidRPr="007954B9">
        <w:rPr>
          <w:rFonts w:ascii="Times New Roman" w:hAnsi="Times New Roman"/>
        </w:rPr>
        <w:t xml:space="preserve"> make clear </w:t>
      </w:r>
      <w:r w:rsidR="00522389" w:rsidRPr="007954B9">
        <w:rPr>
          <w:rFonts w:ascii="Times New Roman" w:hAnsi="Times New Roman"/>
        </w:rPr>
        <w:t xml:space="preserve">that any </w:t>
      </w:r>
      <w:r w:rsidR="00EA4386" w:rsidRPr="007954B9">
        <w:rPr>
          <w:rFonts w:ascii="Times New Roman" w:hAnsi="Times New Roman"/>
        </w:rPr>
        <w:t xml:space="preserve">person from within the pool </w:t>
      </w:r>
      <w:r w:rsidR="005E611B" w:rsidRPr="007954B9">
        <w:rPr>
          <w:rFonts w:ascii="Times New Roman" w:hAnsi="Times New Roman"/>
        </w:rPr>
        <w:t xml:space="preserve">who becomes a </w:t>
      </w:r>
      <w:r w:rsidR="00160ECE" w:rsidRPr="007954B9">
        <w:rPr>
          <w:rFonts w:ascii="Times New Roman" w:hAnsi="Times New Roman"/>
        </w:rPr>
        <w:t xml:space="preserve">group member could </w:t>
      </w:r>
      <w:r w:rsidR="00A73EA8" w:rsidRPr="007954B9">
        <w:rPr>
          <w:rFonts w:ascii="Times New Roman" w:hAnsi="Times New Roman"/>
        </w:rPr>
        <w:t>have chosen to</w:t>
      </w:r>
      <w:r w:rsidR="00160ECE" w:rsidRPr="007954B9">
        <w:rPr>
          <w:rFonts w:ascii="Times New Roman" w:hAnsi="Times New Roman"/>
        </w:rPr>
        <w:t xml:space="preserve"> be a representative party</w:t>
      </w:r>
      <w:r w:rsidR="00D613B1" w:rsidRPr="007954B9">
        <w:rPr>
          <w:rFonts w:ascii="Times New Roman" w:hAnsi="Times New Roman"/>
        </w:rPr>
        <w:t>.</w:t>
      </w:r>
      <w:r w:rsidR="00F83339" w:rsidRPr="007954B9">
        <w:rPr>
          <w:rFonts w:ascii="Times New Roman" w:hAnsi="Times New Roman"/>
        </w:rPr>
        <w:t xml:space="preserve"> </w:t>
      </w:r>
      <w:r w:rsidR="00925FE4" w:rsidRPr="007954B9">
        <w:rPr>
          <w:rFonts w:ascii="Times New Roman" w:hAnsi="Times New Roman"/>
        </w:rPr>
        <w:t>If a person in the pool can be</w:t>
      </w:r>
      <w:r w:rsidR="00FF6D6E" w:rsidRPr="007954B9">
        <w:rPr>
          <w:rFonts w:ascii="Times New Roman" w:hAnsi="Times New Roman"/>
        </w:rPr>
        <w:t>come</w:t>
      </w:r>
      <w:r w:rsidR="00925FE4" w:rsidRPr="007954B9">
        <w:rPr>
          <w:rFonts w:ascii="Times New Roman" w:hAnsi="Times New Roman"/>
        </w:rPr>
        <w:t xml:space="preserve"> a representative party irrespective of their place of residence, </w:t>
      </w:r>
      <w:r w:rsidR="00820813" w:rsidRPr="007954B9">
        <w:rPr>
          <w:rFonts w:ascii="Times New Roman" w:hAnsi="Times New Roman"/>
        </w:rPr>
        <w:t xml:space="preserve">as BHP accepts, </w:t>
      </w:r>
      <w:r w:rsidR="005B081A" w:rsidRPr="007954B9">
        <w:rPr>
          <w:rFonts w:ascii="Times New Roman" w:hAnsi="Times New Roman"/>
        </w:rPr>
        <w:t>why can</w:t>
      </w:r>
      <w:r w:rsidR="00380292" w:rsidRPr="007954B9">
        <w:rPr>
          <w:rFonts w:ascii="Times New Roman" w:hAnsi="Times New Roman"/>
        </w:rPr>
        <w:t xml:space="preserve"> a </w:t>
      </w:r>
      <w:r w:rsidR="005B081A" w:rsidRPr="007954B9">
        <w:rPr>
          <w:rFonts w:ascii="Times New Roman" w:hAnsi="Times New Roman"/>
        </w:rPr>
        <w:t>person in the pool be</w:t>
      </w:r>
      <w:r w:rsidR="00FF6D6E" w:rsidRPr="007954B9">
        <w:rPr>
          <w:rFonts w:ascii="Times New Roman" w:hAnsi="Times New Roman"/>
        </w:rPr>
        <w:t xml:space="preserve">come </w:t>
      </w:r>
      <w:r w:rsidR="005B081A" w:rsidRPr="007954B9">
        <w:rPr>
          <w:rFonts w:ascii="Times New Roman" w:hAnsi="Times New Roman"/>
        </w:rPr>
        <w:t xml:space="preserve">a group member only if </w:t>
      </w:r>
      <w:r w:rsidR="003D2BE7" w:rsidRPr="007954B9">
        <w:rPr>
          <w:rFonts w:ascii="Times New Roman" w:hAnsi="Times New Roman"/>
        </w:rPr>
        <w:t>resident in Australia</w:t>
      </w:r>
      <w:r w:rsidR="00820813" w:rsidRPr="007954B9">
        <w:rPr>
          <w:rFonts w:ascii="Times New Roman" w:hAnsi="Times New Roman"/>
        </w:rPr>
        <w:t>?</w:t>
      </w:r>
    </w:p>
    <w:p w14:paraId="2F93D796" w14:textId="05449AE0" w:rsidR="00085C1C" w:rsidRPr="007954B9" w:rsidRDefault="00D613B1" w:rsidP="007954B9">
      <w:pPr>
        <w:pStyle w:val="FixListStyle"/>
        <w:spacing w:after="260" w:line="280" w:lineRule="exact"/>
        <w:ind w:right="0"/>
        <w:jc w:val="both"/>
        <w:rPr>
          <w:rFonts w:ascii="Times New Roman" w:hAnsi="Times New Roman"/>
        </w:rPr>
      </w:pPr>
      <w:r w:rsidRPr="007954B9">
        <w:rPr>
          <w:rFonts w:ascii="Times New Roman" w:hAnsi="Times New Roman"/>
        </w:rPr>
        <w:tab/>
        <w:t xml:space="preserve">The </w:t>
      </w:r>
      <w:r w:rsidR="00F56965" w:rsidRPr="007954B9">
        <w:rPr>
          <w:rFonts w:ascii="Times New Roman" w:hAnsi="Times New Roman"/>
        </w:rPr>
        <w:t xml:space="preserve">reason why the </w:t>
      </w:r>
      <w:r w:rsidR="00250743" w:rsidRPr="007954B9">
        <w:rPr>
          <w:rFonts w:ascii="Times New Roman" w:hAnsi="Times New Roman"/>
        </w:rPr>
        <w:t>reference to "persons" in the definition of "group member" in</w:t>
      </w:r>
      <w:r w:rsidR="00946B78" w:rsidRPr="007954B9">
        <w:rPr>
          <w:rFonts w:ascii="Times New Roman" w:hAnsi="Times New Roman"/>
        </w:rPr>
        <w:t xml:space="preserve"> s </w:t>
      </w:r>
      <w:r w:rsidR="00250743" w:rsidRPr="007954B9">
        <w:rPr>
          <w:rFonts w:ascii="Times New Roman" w:hAnsi="Times New Roman"/>
        </w:rPr>
        <w:t>33A</w:t>
      </w:r>
      <w:r w:rsidR="001A06AD" w:rsidRPr="007954B9">
        <w:rPr>
          <w:rFonts w:ascii="Times New Roman" w:hAnsi="Times New Roman"/>
        </w:rPr>
        <w:t xml:space="preserve">, </w:t>
      </w:r>
      <w:r w:rsidR="005646A9" w:rsidRPr="007954B9">
        <w:rPr>
          <w:rFonts w:ascii="Times New Roman" w:hAnsi="Times New Roman"/>
        </w:rPr>
        <w:t xml:space="preserve">and </w:t>
      </w:r>
      <w:r w:rsidR="00CB149E" w:rsidRPr="007954B9">
        <w:rPr>
          <w:rFonts w:ascii="Times New Roman" w:hAnsi="Times New Roman"/>
        </w:rPr>
        <w:t xml:space="preserve">presumably </w:t>
      </w:r>
      <w:r w:rsidR="001A06AD" w:rsidRPr="007954B9">
        <w:rPr>
          <w:rFonts w:ascii="Times New Roman" w:hAnsi="Times New Roman"/>
        </w:rPr>
        <w:t xml:space="preserve">to </w:t>
      </w:r>
      <w:r w:rsidR="005646A9" w:rsidRPr="007954B9">
        <w:rPr>
          <w:rFonts w:ascii="Times New Roman" w:hAnsi="Times New Roman"/>
        </w:rPr>
        <w:t>"other persons" in</w:t>
      </w:r>
      <w:r w:rsidR="00946B78" w:rsidRPr="007954B9">
        <w:rPr>
          <w:rFonts w:ascii="Times New Roman" w:hAnsi="Times New Roman"/>
        </w:rPr>
        <w:t xml:space="preserve"> s </w:t>
      </w:r>
      <w:r w:rsidR="005646A9" w:rsidRPr="007954B9">
        <w:rPr>
          <w:rFonts w:ascii="Times New Roman" w:hAnsi="Times New Roman"/>
        </w:rPr>
        <w:t>33D</w:t>
      </w:r>
      <w:r w:rsidR="001A06AD" w:rsidRPr="007954B9">
        <w:rPr>
          <w:rFonts w:ascii="Times New Roman" w:hAnsi="Times New Roman"/>
        </w:rPr>
        <w:t>,</w:t>
      </w:r>
      <w:r w:rsidR="005646A9" w:rsidRPr="007954B9">
        <w:rPr>
          <w:rFonts w:ascii="Times New Roman" w:hAnsi="Times New Roman"/>
        </w:rPr>
        <w:t xml:space="preserve"> </w:t>
      </w:r>
      <w:r w:rsidR="00250743" w:rsidRPr="007954B9">
        <w:rPr>
          <w:rFonts w:ascii="Times New Roman" w:hAnsi="Times New Roman"/>
        </w:rPr>
        <w:t>must b</w:t>
      </w:r>
      <w:r w:rsidR="008747E8" w:rsidRPr="007954B9">
        <w:rPr>
          <w:rFonts w:ascii="Times New Roman" w:hAnsi="Times New Roman"/>
        </w:rPr>
        <w:t>e construed</w:t>
      </w:r>
      <w:r w:rsidR="00FB0176" w:rsidRPr="007954B9">
        <w:rPr>
          <w:rFonts w:ascii="Times New Roman" w:hAnsi="Times New Roman"/>
        </w:rPr>
        <w:t xml:space="preserve"> to exclude persons who are not resident in Australia</w:t>
      </w:r>
      <w:r w:rsidRPr="007954B9">
        <w:rPr>
          <w:rFonts w:ascii="Times New Roman" w:hAnsi="Times New Roman"/>
        </w:rPr>
        <w:t xml:space="preserve">, </w:t>
      </w:r>
      <w:r w:rsidR="008663F9" w:rsidRPr="007954B9">
        <w:rPr>
          <w:rFonts w:ascii="Times New Roman" w:hAnsi="Times New Roman"/>
        </w:rPr>
        <w:t xml:space="preserve">according to </w:t>
      </w:r>
      <w:r w:rsidRPr="007954B9">
        <w:rPr>
          <w:rFonts w:ascii="Times New Roman" w:hAnsi="Times New Roman"/>
        </w:rPr>
        <w:t xml:space="preserve">BHP, </w:t>
      </w:r>
      <w:r w:rsidR="006F11B8" w:rsidRPr="007954B9">
        <w:rPr>
          <w:rFonts w:ascii="Times New Roman" w:hAnsi="Times New Roman"/>
        </w:rPr>
        <w:t>arises</w:t>
      </w:r>
      <w:r w:rsidR="006D6056" w:rsidRPr="007954B9">
        <w:rPr>
          <w:rFonts w:ascii="Times New Roman" w:hAnsi="Times New Roman"/>
        </w:rPr>
        <w:t xml:space="preserve"> primarily</w:t>
      </w:r>
      <w:r w:rsidR="006F11B8" w:rsidRPr="007954B9">
        <w:rPr>
          <w:rFonts w:ascii="Times New Roman" w:hAnsi="Times New Roman"/>
        </w:rPr>
        <w:t xml:space="preserve"> from</w:t>
      </w:r>
      <w:r w:rsidR="00217A2C" w:rsidRPr="007954B9">
        <w:rPr>
          <w:rFonts w:ascii="Times New Roman" w:hAnsi="Times New Roman"/>
        </w:rPr>
        <w:t xml:space="preserve"> th</w:t>
      </w:r>
      <w:r w:rsidR="00DA021B" w:rsidRPr="007954B9">
        <w:rPr>
          <w:rFonts w:ascii="Times New Roman" w:hAnsi="Times New Roman"/>
        </w:rPr>
        <w:t>e potential for</w:t>
      </w:r>
      <w:r w:rsidR="00481DF4" w:rsidRPr="007954B9">
        <w:rPr>
          <w:rFonts w:ascii="Times New Roman" w:hAnsi="Times New Roman"/>
        </w:rPr>
        <w:t xml:space="preserve"> </w:t>
      </w:r>
      <w:r w:rsidR="004C31F0" w:rsidRPr="007954B9">
        <w:rPr>
          <w:rFonts w:ascii="Times New Roman" w:hAnsi="Times New Roman"/>
        </w:rPr>
        <w:t xml:space="preserve">a judgment of the Federal Court </w:t>
      </w:r>
      <w:r w:rsidR="00DA5A50" w:rsidRPr="007954B9">
        <w:rPr>
          <w:rFonts w:ascii="Times New Roman" w:hAnsi="Times New Roman"/>
        </w:rPr>
        <w:t xml:space="preserve">given in a representative proceeding to affect rights of </w:t>
      </w:r>
      <w:r w:rsidR="001F7220" w:rsidRPr="007954B9">
        <w:rPr>
          <w:rFonts w:ascii="Times New Roman" w:hAnsi="Times New Roman"/>
        </w:rPr>
        <w:t xml:space="preserve">unknowing and </w:t>
      </w:r>
      <w:r w:rsidR="00DA5A50" w:rsidRPr="007954B9">
        <w:rPr>
          <w:rFonts w:ascii="Times New Roman" w:hAnsi="Times New Roman"/>
        </w:rPr>
        <w:t>unconsenting group members by</w:t>
      </w:r>
      <w:r w:rsidR="004C31F0" w:rsidRPr="007954B9">
        <w:rPr>
          <w:rFonts w:ascii="Times New Roman" w:hAnsi="Times New Roman"/>
        </w:rPr>
        <w:t xml:space="preserve"> force of</w:t>
      </w:r>
      <w:r w:rsidR="00946B78" w:rsidRPr="007954B9">
        <w:rPr>
          <w:rFonts w:ascii="Times New Roman" w:hAnsi="Times New Roman"/>
        </w:rPr>
        <w:t xml:space="preserve"> s </w:t>
      </w:r>
      <w:r w:rsidR="004C31F0" w:rsidRPr="007954B9">
        <w:rPr>
          <w:rFonts w:ascii="Times New Roman" w:hAnsi="Times New Roman"/>
        </w:rPr>
        <w:t>33ZB</w:t>
      </w:r>
      <w:r w:rsidR="00DA5A50" w:rsidRPr="007954B9">
        <w:rPr>
          <w:rFonts w:ascii="Times New Roman" w:hAnsi="Times New Roman"/>
        </w:rPr>
        <w:t>.</w:t>
      </w:r>
      <w:r w:rsidR="004C31F0" w:rsidRPr="007954B9">
        <w:rPr>
          <w:rFonts w:ascii="Times New Roman" w:hAnsi="Times New Roman"/>
        </w:rPr>
        <w:t xml:space="preserve"> </w:t>
      </w:r>
      <w:r w:rsidR="00ED2040" w:rsidRPr="007954B9">
        <w:rPr>
          <w:rFonts w:ascii="Times New Roman" w:hAnsi="Times New Roman"/>
        </w:rPr>
        <w:t>BHP says</w:t>
      </w:r>
      <w:r w:rsidR="00B96337" w:rsidRPr="007954B9">
        <w:rPr>
          <w:rFonts w:ascii="Times New Roman" w:hAnsi="Times New Roman"/>
        </w:rPr>
        <w:t xml:space="preserve"> that </w:t>
      </w:r>
      <w:r w:rsidR="001F2DE2" w:rsidRPr="007954B9">
        <w:rPr>
          <w:rFonts w:ascii="Times New Roman" w:hAnsi="Times New Roman"/>
        </w:rPr>
        <w:t xml:space="preserve">the existence of that </w:t>
      </w:r>
      <w:r w:rsidR="00B96337" w:rsidRPr="007954B9">
        <w:rPr>
          <w:rFonts w:ascii="Times New Roman" w:hAnsi="Times New Roman"/>
        </w:rPr>
        <w:t>potential</w:t>
      </w:r>
      <w:r w:rsidR="001F2DE2" w:rsidRPr="007954B9">
        <w:rPr>
          <w:rFonts w:ascii="Times New Roman" w:hAnsi="Times New Roman"/>
        </w:rPr>
        <w:t xml:space="preserve"> means</w:t>
      </w:r>
      <w:r w:rsidR="00E23D1D" w:rsidRPr="007954B9">
        <w:rPr>
          <w:rFonts w:ascii="Times New Roman" w:hAnsi="Times New Roman"/>
        </w:rPr>
        <w:t xml:space="preserve"> that </w:t>
      </w:r>
      <w:r w:rsidR="001F61E1" w:rsidRPr="007954B9">
        <w:rPr>
          <w:rFonts w:ascii="Times New Roman" w:hAnsi="Times New Roman"/>
        </w:rPr>
        <w:t>a</w:t>
      </w:r>
      <w:r w:rsidR="00A02549" w:rsidRPr="007954B9">
        <w:rPr>
          <w:rFonts w:ascii="Times New Roman" w:hAnsi="Times New Roman"/>
        </w:rPr>
        <w:t xml:space="preserve"> </w:t>
      </w:r>
      <w:r w:rsidR="008747E8" w:rsidRPr="007954B9">
        <w:rPr>
          <w:rFonts w:ascii="Times New Roman" w:hAnsi="Times New Roman"/>
        </w:rPr>
        <w:t>construction which</w:t>
      </w:r>
      <w:r w:rsidR="001F61E1" w:rsidRPr="007954B9">
        <w:rPr>
          <w:rFonts w:ascii="Times New Roman" w:hAnsi="Times New Roman"/>
        </w:rPr>
        <w:t xml:space="preserve"> </w:t>
      </w:r>
      <w:r w:rsidR="00537D30" w:rsidRPr="007954B9">
        <w:rPr>
          <w:rFonts w:ascii="Times New Roman" w:hAnsi="Times New Roman"/>
        </w:rPr>
        <w:t>exclu</w:t>
      </w:r>
      <w:r w:rsidR="001F61E1" w:rsidRPr="007954B9">
        <w:rPr>
          <w:rFonts w:ascii="Times New Roman" w:hAnsi="Times New Roman"/>
        </w:rPr>
        <w:t>de</w:t>
      </w:r>
      <w:r w:rsidR="008747E8" w:rsidRPr="007954B9">
        <w:rPr>
          <w:rFonts w:ascii="Times New Roman" w:hAnsi="Times New Roman"/>
        </w:rPr>
        <w:t>s</w:t>
      </w:r>
      <w:r w:rsidR="001F61E1" w:rsidRPr="007954B9">
        <w:rPr>
          <w:rFonts w:ascii="Times New Roman" w:hAnsi="Times New Roman"/>
        </w:rPr>
        <w:t xml:space="preserve"> non-residents </w:t>
      </w:r>
      <w:r w:rsidR="003B5A94" w:rsidRPr="007954B9">
        <w:rPr>
          <w:rFonts w:ascii="Times New Roman" w:hAnsi="Times New Roman"/>
        </w:rPr>
        <w:t>from group members</w:t>
      </w:r>
      <w:r w:rsidR="007A15A0" w:rsidRPr="007954B9">
        <w:rPr>
          <w:rFonts w:ascii="Times New Roman" w:hAnsi="Times New Roman"/>
        </w:rPr>
        <w:t>hip</w:t>
      </w:r>
      <w:r w:rsidR="003B5A94" w:rsidRPr="007954B9">
        <w:rPr>
          <w:rFonts w:ascii="Times New Roman" w:hAnsi="Times New Roman"/>
        </w:rPr>
        <w:t xml:space="preserve"> </w:t>
      </w:r>
      <w:r w:rsidR="00217A2C" w:rsidRPr="007954B9">
        <w:rPr>
          <w:rFonts w:ascii="Times New Roman" w:hAnsi="Times New Roman"/>
        </w:rPr>
        <w:t>is necessary</w:t>
      </w:r>
      <w:r w:rsidR="00B40F2D" w:rsidRPr="007954B9">
        <w:rPr>
          <w:rFonts w:ascii="Times New Roman" w:hAnsi="Times New Roman"/>
        </w:rPr>
        <w:t xml:space="preserve"> to give effect to a </w:t>
      </w:r>
      <w:r w:rsidR="00612604" w:rsidRPr="007954B9">
        <w:rPr>
          <w:rFonts w:ascii="Times New Roman" w:hAnsi="Times New Roman"/>
        </w:rPr>
        <w:t>"</w:t>
      </w:r>
      <w:r w:rsidR="00B40F2D" w:rsidRPr="007954B9">
        <w:rPr>
          <w:rFonts w:ascii="Times New Roman" w:hAnsi="Times New Roman"/>
        </w:rPr>
        <w:t>presumption against extraterritorial operation</w:t>
      </w:r>
      <w:r w:rsidR="00612604" w:rsidRPr="007954B9">
        <w:rPr>
          <w:rFonts w:ascii="Times New Roman" w:hAnsi="Times New Roman"/>
        </w:rPr>
        <w:t>"</w:t>
      </w:r>
      <w:r w:rsidR="00D44964" w:rsidRPr="007954B9">
        <w:rPr>
          <w:rFonts w:ascii="Times New Roman" w:hAnsi="Times New Roman"/>
        </w:rPr>
        <w:t>.</w:t>
      </w:r>
      <w:r w:rsidR="00F862DC" w:rsidRPr="007954B9">
        <w:rPr>
          <w:rFonts w:ascii="Times New Roman" w:hAnsi="Times New Roman"/>
        </w:rPr>
        <w:t xml:space="preserve"> </w:t>
      </w:r>
      <w:r w:rsidR="00D44964" w:rsidRPr="007954B9">
        <w:rPr>
          <w:rFonts w:ascii="Times New Roman" w:hAnsi="Times New Roman"/>
        </w:rPr>
        <w:t>BHP says that presumption</w:t>
      </w:r>
      <w:r w:rsidR="00183FC2" w:rsidRPr="007954B9">
        <w:rPr>
          <w:rFonts w:ascii="Times New Roman" w:hAnsi="Times New Roman"/>
        </w:rPr>
        <w:t xml:space="preserve"> </w:t>
      </w:r>
      <w:r w:rsidR="00D25659" w:rsidRPr="007954B9">
        <w:rPr>
          <w:rFonts w:ascii="Times New Roman" w:hAnsi="Times New Roman"/>
        </w:rPr>
        <w:t>arises</w:t>
      </w:r>
      <w:r w:rsidR="00183FC2" w:rsidRPr="007954B9">
        <w:rPr>
          <w:rFonts w:ascii="Times New Roman" w:hAnsi="Times New Roman"/>
        </w:rPr>
        <w:t xml:space="preserve"> both</w:t>
      </w:r>
      <w:r w:rsidR="00B40F2D" w:rsidRPr="007954B9">
        <w:rPr>
          <w:rFonts w:ascii="Times New Roman" w:hAnsi="Times New Roman"/>
        </w:rPr>
        <w:t xml:space="preserve"> at common law</w:t>
      </w:r>
      <w:r w:rsidR="0083159F" w:rsidRPr="007954B9">
        <w:rPr>
          <w:rFonts w:ascii="Times New Roman" w:hAnsi="Times New Roman"/>
        </w:rPr>
        <w:t xml:space="preserve"> </w:t>
      </w:r>
      <w:r w:rsidR="00514D56" w:rsidRPr="007954B9">
        <w:rPr>
          <w:rFonts w:ascii="Times New Roman" w:hAnsi="Times New Roman"/>
        </w:rPr>
        <w:t>and</w:t>
      </w:r>
      <w:r w:rsidR="0083159F" w:rsidRPr="007954B9">
        <w:rPr>
          <w:rFonts w:ascii="Times New Roman" w:hAnsi="Times New Roman"/>
        </w:rPr>
        <w:t xml:space="preserve"> by force of</w:t>
      </w:r>
      <w:r w:rsidR="00946B78" w:rsidRPr="007954B9">
        <w:rPr>
          <w:rFonts w:ascii="Times New Roman" w:hAnsi="Times New Roman"/>
        </w:rPr>
        <w:t xml:space="preserve"> s </w:t>
      </w:r>
      <w:r w:rsidR="00251DFB" w:rsidRPr="007954B9">
        <w:rPr>
          <w:rFonts w:ascii="Times New Roman" w:hAnsi="Times New Roman"/>
        </w:rPr>
        <w:t xml:space="preserve">21(1)(b) of </w:t>
      </w:r>
      <w:r w:rsidR="0083159F" w:rsidRPr="007954B9">
        <w:rPr>
          <w:rFonts w:ascii="Times New Roman" w:hAnsi="Times New Roman"/>
        </w:rPr>
        <w:t xml:space="preserve">the </w:t>
      </w:r>
      <w:r w:rsidR="00251DFB" w:rsidRPr="007954B9">
        <w:rPr>
          <w:rFonts w:ascii="Times New Roman" w:hAnsi="Times New Roman"/>
          <w:i/>
          <w:iCs/>
        </w:rPr>
        <w:t>A</w:t>
      </w:r>
      <w:r w:rsidR="0083159F" w:rsidRPr="007954B9">
        <w:rPr>
          <w:rFonts w:ascii="Times New Roman" w:hAnsi="Times New Roman"/>
          <w:i/>
          <w:iCs/>
        </w:rPr>
        <w:t xml:space="preserve">cts </w:t>
      </w:r>
      <w:r w:rsidR="00251DFB" w:rsidRPr="007954B9">
        <w:rPr>
          <w:rFonts w:ascii="Times New Roman" w:hAnsi="Times New Roman"/>
          <w:i/>
          <w:iCs/>
        </w:rPr>
        <w:t>I</w:t>
      </w:r>
      <w:r w:rsidR="0083159F" w:rsidRPr="007954B9">
        <w:rPr>
          <w:rFonts w:ascii="Times New Roman" w:hAnsi="Times New Roman"/>
          <w:i/>
          <w:iCs/>
        </w:rPr>
        <w:t xml:space="preserve">nterpretation </w:t>
      </w:r>
      <w:r w:rsidR="00251DFB" w:rsidRPr="007954B9">
        <w:rPr>
          <w:rFonts w:ascii="Times New Roman" w:hAnsi="Times New Roman"/>
          <w:i/>
          <w:iCs/>
        </w:rPr>
        <w:t>A</w:t>
      </w:r>
      <w:r w:rsidR="0083159F" w:rsidRPr="007954B9">
        <w:rPr>
          <w:rFonts w:ascii="Times New Roman" w:hAnsi="Times New Roman"/>
          <w:i/>
          <w:iCs/>
        </w:rPr>
        <w:t>ct</w:t>
      </w:r>
      <w:r w:rsidR="00251DFB" w:rsidRPr="007954B9">
        <w:rPr>
          <w:rFonts w:ascii="Times New Roman" w:hAnsi="Times New Roman"/>
          <w:i/>
          <w:iCs/>
        </w:rPr>
        <w:t xml:space="preserve"> 1901</w:t>
      </w:r>
      <w:r w:rsidR="00251DFB" w:rsidRPr="007954B9">
        <w:rPr>
          <w:rFonts w:ascii="Times New Roman" w:hAnsi="Times New Roman"/>
        </w:rPr>
        <w:t xml:space="preserve"> (Cth).</w:t>
      </w:r>
      <w:r w:rsidR="00B04002" w:rsidRPr="007954B9">
        <w:rPr>
          <w:rFonts w:ascii="Times New Roman" w:hAnsi="Times New Roman"/>
        </w:rPr>
        <w:t xml:space="preserve"> </w:t>
      </w:r>
    </w:p>
    <w:p w14:paraId="4109AC2A" w14:textId="252C45FE" w:rsidR="00FD4920" w:rsidRPr="007954B9" w:rsidRDefault="00514D56"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8853F1" w:rsidRPr="007954B9">
        <w:rPr>
          <w:rFonts w:ascii="Times New Roman" w:hAnsi="Times New Roman"/>
        </w:rPr>
        <w:t xml:space="preserve">BHP's argument is </w:t>
      </w:r>
      <w:r w:rsidR="004D1199" w:rsidRPr="007954B9">
        <w:rPr>
          <w:rFonts w:ascii="Times New Roman" w:hAnsi="Times New Roman"/>
        </w:rPr>
        <w:t xml:space="preserve">about </w:t>
      </w:r>
      <w:r w:rsidR="001F3E0B" w:rsidRPr="007954B9">
        <w:rPr>
          <w:rFonts w:ascii="Times New Roman" w:hAnsi="Times New Roman"/>
        </w:rPr>
        <w:t xml:space="preserve">the </w:t>
      </w:r>
      <w:r w:rsidR="008853F1" w:rsidRPr="007954B9">
        <w:rPr>
          <w:rFonts w:ascii="Times New Roman" w:hAnsi="Times New Roman"/>
        </w:rPr>
        <w:t>construction</w:t>
      </w:r>
      <w:r w:rsidR="001F3E0B" w:rsidRPr="007954B9">
        <w:rPr>
          <w:rFonts w:ascii="Times New Roman" w:hAnsi="Times New Roman"/>
        </w:rPr>
        <w:t xml:space="preserve"> of a </w:t>
      </w:r>
      <w:r w:rsidR="007B3E14" w:rsidRPr="007954B9">
        <w:rPr>
          <w:rFonts w:ascii="Times New Roman" w:hAnsi="Times New Roman"/>
        </w:rPr>
        <w:t>Commonwealth statute</w:t>
      </w:r>
      <w:r w:rsidR="00600079" w:rsidRPr="007954B9">
        <w:rPr>
          <w:rFonts w:ascii="Times New Roman" w:hAnsi="Times New Roman"/>
        </w:rPr>
        <w:t xml:space="preserve">. </w:t>
      </w:r>
      <w:r w:rsidR="000F3D8B" w:rsidRPr="007954B9">
        <w:rPr>
          <w:rFonts w:ascii="Times New Roman" w:hAnsi="Times New Roman"/>
        </w:rPr>
        <w:t>The argument</w:t>
      </w:r>
      <w:r w:rsidR="00600079" w:rsidRPr="007954B9">
        <w:rPr>
          <w:rFonts w:ascii="Times New Roman" w:hAnsi="Times New Roman"/>
        </w:rPr>
        <w:t xml:space="preserve"> must</w:t>
      </w:r>
      <w:r w:rsidR="00D44A7F" w:rsidRPr="007954B9">
        <w:rPr>
          <w:rFonts w:ascii="Times New Roman" w:hAnsi="Times New Roman"/>
        </w:rPr>
        <w:t xml:space="preserve"> </w:t>
      </w:r>
      <w:r w:rsidR="00600079" w:rsidRPr="007954B9">
        <w:rPr>
          <w:rFonts w:ascii="Times New Roman" w:hAnsi="Times New Roman"/>
        </w:rPr>
        <w:t xml:space="preserve">be addressed </w:t>
      </w:r>
      <w:r w:rsidR="00D25659" w:rsidRPr="007954B9">
        <w:rPr>
          <w:rFonts w:ascii="Times New Roman" w:hAnsi="Times New Roman"/>
        </w:rPr>
        <w:t xml:space="preserve">in </w:t>
      </w:r>
      <w:r w:rsidR="009D686C" w:rsidRPr="007954B9">
        <w:rPr>
          <w:rFonts w:ascii="Times New Roman" w:hAnsi="Times New Roman"/>
        </w:rPr>
        <w:t>the</w:t>
      </w:r>
      <w:r w:rsidR="00D25659" w:rsidRPr="007954B9">
        <w:rPr>
          <w:rFonts w:ascii="Times New Roman" w:hAnsi="Times New Roman"/>
        </w:rPr>
        <w:t xml:space="preserve"> terms </w:t>
      </w:r>
      <w:r w:rsidR="009D686C" w:rsidRPr="007954B9">
        <w:rPr>
          <w:rFonts w:ascii="Times New Roman" w:hAnsi="Times New Roman"/>
        </w:rPr>
        <w:t>in which it is presented</w:t>
      </w:r>
      <w:r w:rsidR="00600079" w:rsidRPr="007954B9">
        <w:rPr>
          <w:rFonts w:ascii="Times New Roman" w:hAnsi="Times New Roman"/>
        </w:rPr>
        <w:t xml:space="preserve">. </w:t>
      </w:r>
    </w:p>
    <w:p w14:paraId="09126A00" w14:textId="581BF09E" w:rsidR="00514D56" w:rsidRPr="007954B9" w:rsidRDefault="00FD4920" w:rsidP="007954B9">
      <w:pPr>
        <w:pStyle w:val="FixListStyle"/>
        <w:spacing w:after="260" w:line="280" w:lineRule="exact"/>
        <w:ind w:right="0"/>
        <w:jc w:val="both"/>
        <w:rPr>
          <w:rFonts w:ascii="Times New Roman" w:hAnsi="Times New Roman"/>
        </w:rPr>
      </w:pPr>
      <w:r w:rsidRPr="007954B9">
        <w:rPr>
          <w:rFonts w:ascii="Times New Roman" w:hAnsi="Times New Roman"/>
        </w:rPr>
        <w:lastRenderedPageBreak/>
        <w:tab/>
      </w:r>
      <w:r w:rsidR="00600079" w:rsidRPr="007954B9">
        <w:rPr>
          <w:rFonts w:ascii="Times New Roman" w:hAnsi="Times New Roman"/>
        </w:rPr>
        <w:t xml:space="preserve">Yet it is impossible not to notice that </w:t>
      </w:r>
      <w:r w:rsidRPr="007954B9">
        <w:rPr>
          <w:rFonts w:ascii="Times New Roman" w:hAnsi="Times New Roman"/>
        </w:rPr>
        <w:t>BHP's</w:t>
      </w:r>
      <w:r w:rsidR="00600079" w:rsidRPr="007954B9">
        <w:rPr>
          <w:rFonts w:ascii="Times New Roman" w:hAnsi="Times New Roman"/>
        </w:rPr>
        <w:t xml:space="preserve"> argument </w:t>
      </w:r>
      <w:r w:rsidR="001F31CE" w:rsidRPr="007954B9">
        <w:rPr>
          <w:rFonts w:ascii="Times New Roman" w:hAnsi="Times New Roman"/>
        </w:rPr>
        <w:t xml:space="preserve">bears a </w:t>
      </w:r>
      <w:r w:rsidR="00675C20" w:rsidRPr="007954B9">
        <w:rPr>
          <w:rFonts w:ascii="Times New Roman" w:hAnsi="Times New Roman"/>
        </w:rPr>
        <w:t>marked</w:t>
      </w:r>
      <w:r w:rsidR="001F31CE" w:rsidRPr="007954B9">
        <w:rPr>
          <w:rFonts w:ascii="Times New Roman" w:hAnsi="Times New Roman"/>
        </w:rPr>
        <w:t xml:space="preserve"> resemblance to </w:t>
      </w:r>
      <w:r w:rsidR="00664422" w:rsidRPr="007954B9">
        <w:rPr>
          <w:rFonts w:ascii="Times New Roman" w:hAnsi="Times New Roman"/>
        </w:rPr>
        <w:t xml:space="preserve">an argument </w:t>
      </w:r>
      <w:r w:rsidR="004538F2" w:rsidRPr="007954B9">
        <w:rPr>
          <w:rFonts w:ascii="Times New Roman" w:hAnsi="Times New Roman"/>
        </w:rPr>
        <w:t>about</w:t>
      </w:r>
      <w:r w:rsidR="00664422" w:rsidRPr="007954B9">
        <w:rPr>
          <w:rFonts w:ascii="Times New Roman" w:hAnsi="Times New Roman"/>
        </w:rPr>
        <w:t xml:space="preserve"> </w:t>
      </w:r>
      <w:r w:rsidR="00625CC8" w:rsidRPr="007954B9">
        <w:rPr>
          <w:rFonts w:ascii="Times New Roman" w:hAnsi="Times New Roman"/>
        </w:rPr>
        <w:t xml:space="preserve">the limits of </w:t>
      </w:r>
      <w:r w:rsidR="007B3E14" w:rsidRPr="007954B9">
        <w:rPr>
          <w:rFonts w:ascii="Times New Roman" w:hAnsi="Times New Roman"/>
        </w:rPr>
        <w:t xml:space="preserve">State </w:t>
      </w:r>
      <w:r w:rsidR="00664422" w:rsidRPr="007954B9">
        <w:rPr>
          <w:rFonts w:ascii="Times New Roman" w:hAnsi="Times New Roman"/>
        </w:rPr>
        <w:t>legislative power</w:t>
      </w:r>
      <w:r w:rsidR="001F31CE" w:rsidRPr="007954B9">
        <w:rPr>
          <w:rFonts w:ascii="Times New Roman" w:hAnsi="Times New Roman"/>
        </w:rPr>
        <w:t xml:space="preserve"> </w:t>
      </w:r>
      <w:r w:rsidR="00600079" w:rsidRPr="007954B9">
        <w:rPr>
          <w:rFonts w:ascii="Times New Roman" w:hAnsi="Times New Roman"/>
        </w:rPr>
        <w:t xml:space="preserve">put </w:t>
      </w:r>
      <w:r w:rsidR="00625CC8" w:rsidRPr="007954B9">
        <w:rPr>
          <w:rFonts w:ascii="Times New Roman" w:hAnsi="Times New Roman"/>
        </w:rPr>
        <w:t xml:space="preserve">by the </w:t>
      </w:r>
      <w:r w:rsidR="00842CB8" w:rsidRPr="007954B9">
        <w:rPr>
          <w:rFonts w:ascii="Times New Roman" w:hAnsi="Times New Roman"/>
        </w:rPr>
        <w:t xml:space="preserve">plaintiff </w:t>
      </w:r>
      <w:r w:rsidR="00600079" w:rsidRPr="007954B9">
        <w:rPr>
          <w:rFonts w:ascii="Times New Roman" w:hAnsi="Times New Roman"/>
        </w:rPr>
        <w:t xml:space="preserve">and </w:t>
      </w:r>
      <w:r w:rsidR="001F31CE" w:rsidRPr="007954B9">
        <w:rPr>
          <w:rFonts w:ascii="Times New Roman" w:hAnsi="Times New Roman"/>
        </w:rPr>
        <w:t>rejected</w:t>
      </w:r>
      <w:r w:rsidR="008D5ACB" w:rsidRPr="007954B9">
        <w:rPr>
          <w:rFonts w:ascii="Times New Roman" w:hAnsi="Times New Roman"/>
        </w:rPr>
        <w:t xml:space="preserve"> </w:t>
      </w:r>
      <w:r w:rsidR="00625CC8" w:rsidRPr="007954B9">
        <w:rPr>
          <w:rFonts w:ascii="Times New Roman" w:hAnsi="Times New Roman"/>
        </w:rPr>
        <w:t xml:space="preserve">by this Court </w:t>
      </w:r>
      <w:r w:rsidR="0028020B" w:rsidRPr="007954B9">
        <w:rPr>
          <w:rFonts w:ascii="Times New Roman" w:hAnsi="Times New Roman"/>
        </w:rPr>
        <w:t xml:space="preserve">in </w:t>
      </w:r>
      <w:r w:rsidR="00E4678E" w:rsidRPr="007954B9">
        <w:rPr>
          <w:rFonts w:ascii="Times New Roman" w:hAnsi="Times New Roman"/>
          <w:i/>
        </w:rPr>
        <w:t>Mobil Oil Australia Pty Ltd v Victoria</w:t>
      </w:r>
      <w:r w:rsidR="00E4678E" w:rsidRPr="007954B9">
        <w:rPr>
          <w:rStyle w:val="FootnoteReference"/>
          <w:rFonts w:ascii="Times New Roman" w:hAnsi="Times New Roman"/>
          <w:iCs/>
          <w:sz w:val="24"/>
        </w:rPr>
        <w:footnoteReference w:id="18"/>
      </w:r>
      <w:r w:rsidR="00E4678E" w:rsidRPr="007954B9">
        <w:rPr>
          <w:rFonts w:ascii="Times New Roman" w:hAnsi="Times New Roman"/>
          <w:iCs/>
        </w:rPr>
        <w:t xml:space="preserve">. </w:t>
      </w:r>
      <w:r w:rsidR="00600079" w:rsidRPr="007954B9">
        <w:rPr>
          <w:rFonts w:ascii="Times New Roman" w:hAnsi="Times New Roman"/>
          <w:iCs/>
        </w:rPr>
        <w:t>The</w:t>
      </w:r>
      <w:r w:rsidR="007C6B73" w:rsidRPr="007954B9">
        <w:rPr>
          <w:rFonts w:ascii="Times New Roman" w:hAnsi="Times New Roman"/>
          <w:iCs/>
        </w:rPr>
        <w:t xml:space="preserve"> argument</w:t>
      </w:r>
      <w:r w:rsidR="00E5150A" w:rsidRPr="007954B9">
        <w:rPr>
          <w:rFonts w:ascii="Times New Roman" w:hAnsi="Times New Roman"/>
          <w:iCs/>
        </w:rPr>
        <w:t xml:space="preserve"> in that case</w:t>
      </w:r>
      <w:r w:rsidR="007B3E14" w:rsidRPr="007954B9">
        <w:rPr>
          <w:rFonts w:ascii="Times New Roman" w:hAnsi="Times New Roman"/>
          <w:iCs/>
        </w:rPr>
        <w:t xml:space="preserve"> </w:t>
      </w:r>
      <w:r w:rsidR="007C6B73" w:rsidRPr="007954B9">
        <w:rPr>
          <w:rFonts w:ascii="Times New Roman" w:hAnsi="Times New Roman"/>
          <w:iCs/>
        </w:rPr>
        <w:t>was that</w:t>
      </w:r>
      <w:r w:rsidR="006C464E" w:rsidRPr="007954B9">
        <w:rPr>
          <w:rFonts w:ascii="Times New Roman" w:hAnsi="Times New Roman"/>
          <w:iCs/>
        </w:rPr>
        <w:t xml:space="preserve"> </w:t>
      </w:r>
      <w:r w:rsidR="00BF6232" w:rsidRPr="007954B9">
        <w:rPr>
          <w:rFonts w:ascii="Times New Roman" w:hAnsi="Times New Roman"/>
          <w:iCs/>
        </w:rPr>
        <w:t xml:space="preserve">the </w:t>
      </w:r>
      <w:r w:rsidR="006C464E" w:rsidRPr="007954B9">
        <w:rPr>
          <w:rFonts w:ascii="Times New Roman" w:hAnsi="Times New Roman"/>
          <w:iCs/>
        </w:rPr>
        <w:t>Victorian</w:t>
      </w:r>
      <w:r w:rsidR="007063E4" w:rsidRPr="007954B9">
        <w:rPr>
          <w:rFonts w:ascii="Times New Roman" w:hAnsi="Times New Roman"/>
          <w:iCs/>
        </w:rPr>
        <w:t xml:space="preserve"> </w:t>
      </w:r>
      <w:r w:rsidR="006C464E" w:rsidRPr="007954B9">
        <w:rPr>
          <w:rFonts w:ascii="Times New Roman" w:hAnsi="Times New Roman"/>
          <w:iCs/>
        </w:rPr>
        <w:t xml:space="preserve">equivalent of </w:t>
      </w:r>
      <w:r w:rsidR="00271521" w:rsidRPr="007954B9">
        <w:rPr>
          <w:rFonts w:ascii="Times New Roman" w:hAnsi="Times New Roman"/>
          <w:iCs/>
        </w:rPr>
        <w:t xml:space="preserve">Pt IVA was beyond </w:t>
      </w:r>
      <w:r w:rsidR="00056F91" w:rsidRPr="007954B9">
        <w:rPr>
          <w:rFonts w:ascii="Times New Roman" w:hAnsi="Times New Roman"/>
          <w:iCs/>
        </w:rPr>
        <w:t xml:space="preserve">the </w:t>
      </w:r>
      <w:r w:rsidR="0026170D" w:rsidRPr="007954B9">
        <w:rPr>
          <w:rFonts w:ascii="Times New Roman" w:hAnsi="Times New Roman"/>
          <w:iCs/>
        </w:rPr>
        <w:t xml:space="preserve">legislative power </w:t>
      </w:r>
      <w:r w:rsidR="00405FDA" w:rsidRPr="007954B9">
        <w:rPr>
          <w:rFonts w:ascii="Times New Roman" w:hAnsi="Times New Roman"/>
          <w:iCs/>
        </w:rPr>
        <w:t xml:space="preserve">of the </w:t>
      </w:r>
      <w:r w:rsidR="00A676D5" w:rsidRPr="007954B9">
        <w:rPr>
          <w:rFonts w:ascii="Times New Roman" w:hAnsi="Times New Roman"/>
          <w:iCs/>
        </w:rPr>
        <w:t xml:space="preserve">Victorian </w:t>
      </w:r>
      <w:r w:rsidR="00405FDA" w:rsidRPr="007954B9">
        <w:rPr>
          <w:rFonts w:ascii="Times New Roman" w:hAnsi="Times New Roman"/>
          <w:iCs/>
        </w:rPr>
        <w:t>Parliament</w:t>
      </w:r>
      <w:r w:rsidR="00A77E25" w:rsidRPr="007954B9">
        <w:rPr>
          <w:rFonts w:ascii="Times New Roman" w:hAnsi="Times New Roman"/>
          <w:iCs/>
        </w:rPr>
        <w:t>,</w:t>
      </w:r>
      <w:r w:rsidR="008A341F" w:rsidRPr="007954B9">
        <w:rPr>
          <w:rFonts w:ascii="Times New Roman" w:hAnsi="Times New Roman"/>
          <w:iCs/>
        </w:rPr>
        <w:t xml:space="preserve"> </w:t>
      </w:r>
      <w:r w:rsidR="00026B59" w:rsidRPr="007954B9">
        <w:rPr>
          <w:rFonts w:ascii="Times New Roman" w:hAnsi="Times New Roman"/>
          <w:iCs/>
        </w:rPr>
        <w:t xml:space="preserve">insofar as it allowed </w:t>
      </w:r>
      <w:r w:rsidR="00B478D9" w:rsidRPr="007954B9">
        <w:rPr>
          <w:rFonts w:ascii="Times New Roman" w:hAnsi="Times New Roman"/>
          <w:iCs/>
        </w:rPr>
        <w:t xml:space="preserve">a representative proceeding to be brought </w:t>
      </w:r>
      <w:r w:rsidR="00271521" w:rsidRPr="007954B9">
        <w:rPr>
          <w:rFonts w:ascii="Times New Roman" w:hAnsi="Times New Roman"/>
          <w:iCs/>
        </w:rPr>
        <w:t xml:space="preserve">in the Supreme Court of </w:t>
      </w:r>
      <w:r w:rsidR="00723285" w:rsidRPr="007954B9">
        <w:rPr>
          <w:rFonts w:ascii="Times New Roman" w:hAnsi="Times New Roman"/>
          <w:iCs/>
        </w:rPr>
        <w:t xml:space="preserve">Victoria </w:t>
      </w:r>
      <w:r w:rsidR="00B478D9" w:rsidRPr="007954B9">
        <w:rPr>
          <w:rFonts w:ascii="Times New Roman" w:hAnsi="Times New Roman"/>
          <w:iCs/>
        </w:rPr>
        <w:t>on behalf of</w:t>
      </w:r>
      <w:r w:rsidR="00026B59" w:rsidRPr="007954B9">
        <w:rPr>
          <w:rFonts w:ascii="Times New Roman" w:hAnsi="Times New Roman"/>
          <w:iCs/>
        </w:rPr>
        <w:t xml:space="preserve"> group</w:t>
      </w:r>
      <w:r w:rsidR="00B478D9" w:rsidRPr="007954B9">
        <w:rPr>
          <w:rFonts w:ascii="Times New Roman" w:hAnsi="Times New Roman"/>
          <w:iCs/>
        </w:rPr>
        <w:t xml:space="preserve"> members resident outside </w:t>
      </w:r>
      <w:r w:rsidR="00480A51" w:rsidRPr="007954B9">
        <w:rPr>
          <w:rFonts w:ascii="Times New Roman" w:hAnsi="Times New Roman"/>
          <w:iCs/>
        </w:rPr>
        <w:t>Victoria</w:t>
      </w:r>
      <w:r w:rsidR="00A77E25" w:rsidRPr="007954B9">
        <w:rPr>
          <w:rFonts w:ascii="Times New Roman" w:hAnsi="Times New Roman"/>
          <w:iCs/>
        </w:rPr>
        <w:t>, for</w:t>
      </w:r>
      <w:r w:rsidR="00207B3B" w:rsidRPr="007954B9">
        <w:rPr>
          <w:rFonts w:ascii="Times New Roman" w:hAnsi="Times New Roman"/>
          <w:iCs/>
        </w:rPr>
        <w:t xml:space="preserve"> </w:t>
      </w:r>
      <w:r w:rsidR="00002A80" w:rsidRPr="007954B9">
        <w:rPr>
          <w:rFonts w:ascii="Times New Roman" w:hAnsi="Times New Roman"/>
          <w:iCs/>
        </w:rPr>
        <w:t>want</w:t>
      </w:r>
      <w:r w:rsidR="00AB1D78" w:rsidRPr="007954B9">
        <w:rPr>
          <w:rFonts w:ascii="Times New Roman" w:hAnsi="Times New Roman"/>
          <w:iCs/>
        </w:rPr>
        <w:t xml:space="preserve"> of</w:t>
      </w:r>
      <w:r w:rsidR="008A341F" w:rsidRPr="007954B9">
        <w:rPr>
          <w:rFonts w:ascii="Times New Roman" w:hAnsi="Times New Roman"/>
          <w:iCs/>
        </w:rPr>
        <w:t xml:space="preserve"> </w:t>
      </w:r>
      <w:r w:rsidR="00A77E25" w:rsidRPr="007954B9">
        <w:rPr>
          <w:rFonts w:ascii="Times New Roman" w:hAnsi="Times New Roman"/>
          <w:iCs/>
        </w:rPr>
        <w:t xml:space="preserve">a </w:t>
      </w:r>
      <w:r w:rsidR="008A341F" w:rsidRPr="007954B9">
        <w:rPr>
          <w:rFonts w:ascii="Times New Roman" w:hAnsi="Times New Roman"/>
          <w:iCs/>
        </w:rPr>
        <w:t>sufficient territorial connection with Victoria</w:t>
      </w:r>
      <w:r w:rsidR="00480A51" w:rsidRPr="007954B9">
        <w:rPr>
          <w:rFonts w:ascii="Times New Roman" w:hAnsi="Times New Roman"/>
          <w:iCs/>
        </w:rPr>
        <w:t xml:space="preserve">. The </w:t>
      </w:r>
      <w:r w:rsidR="00D1773B" w:rsidRPr="007954B9">
        <w:rPr>
          <w:rFonts w:ascii="Times New Roman" w:hAnsi="Times New Roman"/>
          <w:iCs/>
        </w:rPr>
        <w:t>answer was</w:t>
      </w:r>
      <w:r w:rsidR="00AB1D78" w:rsidRPr="007954B9">
        <w:rPr>
          <w:rFonts w:ascii="Times New Roman" w:hAnsi="Times New Roman"/>
          <w:iCs/>
        </w:rPr>
        <w:t xml:space="preserve"> </w:t>
      </w:r>
      <w:r w:rsidR="00040AB9" w:rsidRPr="007954B9">
        <w:rPr>
          <w:rFonts w:ascii="Times New Roman" w:hAnsi="Times New Roman"/>
          <w:iCs/>
        </w:rPr>
        <w:t>that</w:t>
      </w:r>
      <w:r w:rsidR="003F6DED" w:rsidRPr="007954B9">
        <w:rPr>
          <w:rFonts w:ascii="Times New Roman" w:hAnsi="Times New Roman"/>
          <w:iCs/>
        </w:rPr>
        <w:t xml:space="preserve"> a sufficient territorial connection was to be found in the</w:t>
      </w:r>
      <w:r w:rsidR="005B219E" w:rsidRPr="007954B9">
        <w:rPr>
          <w:rFonts w:ascii="Times New Roman" w:hAnsi="Times New Roman"/>
          <w:iCs/>
        </w:rPr>
        <w:t xml:space="preserve"> </w:t>
      </w:r>
      <w:r w:rsidR="002B08BE" w:rsidRPr="007954B9">
        <w:rPr>
          <w:rFonts w:ascii="Times New Roman" w:hAnsi="Times New Roman"/>
          <w:iCs/>
        </w:rPr>
        <w:t xml:space="preserve">circumstance </w:t>
      </w:r>
      <w:r w:rsidR="005A1369" w:rsidRPr="007954B9">
        <w:rPr>
          <w:rFonts w:ascii="Times New Roman" w:hAnsi="Times New Roman"/>
          <w:iCs/>
        </w:rPr>
        <w:t xml:space="preserve">that the legislation </w:t>
      </w:r>
      <w:r w:rsidR="00350C83" w:rsidRPr="007954B9">
        <w:rPr>
          <w:rFonts w:ascii="Times New Roman" w:hAnsi="Times New Roman"/>
          <w:iCs/>
        </w:rPr>
        <w:t>"concer</w:t>
      </w:r>
      <w:r w:rsidR="00E77066" w:rsidRPr="007954B9">
        <w:rPr>
          <w:rFonts w:ascii="Times New Roman" w:hAnsi="Times New Roman"/>
          <w:iCs/>
        </w:rPr>
        <w:t>n</w:t>
      </w:r>
      <w:r w:rsidR="007E1173" w:rsidRPr="007954B9">
        <w:rPr>
          <w:rFonts w:ascii="Times New Roman" w:hAnsi="Times New Roman"/>
          <w:iCs/>
        </w:rPr>
        <w:t>[ed</w:t>
      </w:r>
      <w:r w:rsidR="005C1197" w:rsidRPr="007954B9">
        <w:rPr>
          <w:rFonts w:ascii="Times New Roman" w:hAnsi="Times New Roman"/>
          <w:iCs/>
        </w:rPr>
        <w:t>]</w:t>
      </w:r>
      <w:r w:rsidR="007E1173" w:rsidRPr="007954B9">
        <w:rPr>
          <w:rFonts w:ascii="Times New Roman" w:hAnsi="Times New Roman"/>
          <w:iCs/>
        </w:rPr>
        <w:t xml:space="preserve"> the jurisdiction of the</w:t>
      </w:r>
      <w:r w:rsidR="00E77066" w:rsidRPr="007954B9">
        <w:rPr>
          <w:rFonts w:ascii="Times New Roman" w:hAnsi="Times New Roman"/>
          <w:iCs/>
        </w:rPr>
        <w:t xml:space="preserve"> Supreme Court of Victoria</w:t>
      </w:r>
      <w:r w:rsidR="002153BD" w:rsidRPr="007954B9">
        <w:rPr>
          <w:rFonts w:ascii="Times New Roman" w:hAnsi="Times New Roman"/>
          <w:iCs/>
        </w:rPr>
        <w:t>"</w:t>
      </w:r>
      <w:r w:rsidR="002153BD" w:rsidRPr="007954B9">
        <w:rPr>
          <w:rStyle w:val="FootnoteReference"/>
          <w:rFonts w:ascii="Times New Roman" w:hAnsi="Times New Roman"/>
          <w:iCs/>
          <w:sz w:val="24"/>
        </w:rPr>
        <w:footnoteReference w:id="19"/>
      </w:r>
      <w:r w:rsidR="002153BD" w:rsidRPr="007954B9">
        <w:rPr>
          <w:rFonts w:ascii="Times New Roman" w:hAnsi="Times New Roman"/>
          <w:iCs/>
        </w:rPr>
        <w:t>.</w:t>
      </w:r>
      <w:r w:rsidR="00B478D9" w:rsidRPr="007954B9">
        <w:rPr>
          <w:rFonts w:ascii="Times New Roman" w:hAnsi="Times New Roman"/>
          <w:iCs/>
        </w:rPr>
        <w:t xml:space="preserve"> </w:t>
      </w:r>
    </w:p>
    <w:p w14:paraId="4EE7840B" w14:textId="300F2359" w:rsidR="00315EFD" w:rsidRPr="007954B9" w:rsidRDefault="00A5438F" w:rsidP="007954B9">
      <w:pPr>
        <w:pStyle w:val="FixListStyle"/>
        <w:spacing w:after="260" w:line="280" w:lineRule="exact"/>
        <w:ind w:right="0"/>
        <w:jc w:val="both"/>
        <w:rPr>
          <w:rFonts w:ascii="Times New Roman" w:hAnsi="Times New Roman"/>
        </w:rPr>
      </w:pPr>
      <w:r w:rsidRPr="007954B9">
        <w:rPr>
          <w:rFonts w:ascii="Times New Roman" w:hAnsi="Times New Roman"/>
          <w:iCs/>
        </w:rPr>
        <w:tab/>
      </w:r>
      <w:r w:rsidR="004B0FA1" w:rsidRPr="007954B9">
        <w:rPr>
          <w:rFonts w:ascii="Times New Roman" w:hAnsi="Times New Roman"/>
          <w:iCs/>
        </w:rPr>
        <w:t>T</w:t>
      </w:r>
      <w:r w:rsidR="00FA45AE" w:rsidRPr="007954B9">
        <w:rPr>
          <w:rFonts w:ascii="Times New Roman" w:hAnsi="Times New Roman"/>
          <w:iCs/>
        </w:rPr>
        <w:t xml:space="preserve">he ultimate answer to </w:t>
      </w:r>
      <w:r w:rsidR="00FA45AE" w:rsidRPr="007954B9">
        <w:rPr>
          <w:rFonts w:ascii="Times New Roman" w:hAnsi="Times New Roman"/>
        </w:rPr>
        <w:t>BHP's argument</w:t>
      </w:r>
      <w:r w:rsidR="0019418C" w:rsidRPr="007954B9">
        <w:rPr>
          <w:rFonts w:ascii="Times New Roman" w:hAnsi="Times New Roman"/>
        </w:rPr>
        <w:t xml:space="preserve"> </w:t>
      </w:r>
      <w:r w:rsidR="00B453F5" w:rsidRPr="007954B9">
        <w:rPr>
          <w:rFonts w:ascii="Times New Roman" w:hAnsi="Times New Roman"/>
        </w:rPr>
        <w:t xml:space="preserve">about construction </w:t>
      </w:r>
      <w:r w:rsidR="0019418C" w:rsidRPr="007954B9">
        <w:rPr>
          <w:rFonts w:ascii="Times New Roman" w:hAnsi="Times New Roman"/>
        </w:rPr>
        <w:t>is to the same effect</w:t>
      </w:r>
      <w:r w:rsidR="00B453F5" w:rsidRPr="007954B9">
        <w:rPr>
          <w:rFonts w:ascii="Times New Roman" w:hAnsi="Times New Roman"/>
        </w:rPr>
        <w:t xml:space="preserve"> as the answer to the argument about legislative power </w:t>
      </w:r>
      <w:r w:rsidR="008308E6" w:rsidRPr="007954B9">
        <w:rPr>
          <w:rFonts w:ascii="Times New Roman" w:hAnsi="Times New Roman"/>
        </w:rPr>
        <w:t xml:space="preserve">in </w:t>
      </w:r>
      <w:r w:rsidR="008308E6" w:rsidRPr="007954B9">
        <w:rPr>
          <w:rFonts w:ascii="Times New Roman" w:hAnsi="Times New Roman"/>
          <w:i/>
        </w:rPr>
        <w:t>Mobil Oil</w:t>
      </w:r>
      <w:r w:rsidR="0019418C" w:rsidRPr="007954B9">
        <w:rPr>
          <w:rFonts w:ascii="Times New Roman" w:hAnsi="Times New Roman"/>
        </w:rPr>
        <w:t xml:space="preserve">. </w:t>
      </w:r>
      <w:r w:rsidR="005E3EE4" w:rsidRPr="007954B9">
        <w:rPr>
          <w:rFonts w:ascii="Times New Roman" w:hAnsi="Times New Roman"/>
          <w:iCs/>
        </w:rPr>
        <w:t xml:space="preserve">To </w:t>
      </w:r>
      <w:r w:rsidR="004B0FA1" w:rsidRPr="007954B9">
        <w:rPr>
          <w:rFonts w:ascii="Times New Roman" w:hAnsi="Times New Roman"/>
          <w:iCs/>
        </w:rPr>
        <w:t xml:space="preserve">the extent that </w:t>
      </w:r>
      <w:r w:rsidR="00BE7826" w:rsidRPr="007954B9">
        <w:rPr>
          <w:rFonts w:ascii="Times New Roman" w:hAnsi="Times New Roman"/>
          <w:iCs/>
        </w:rPr>
        <w:t xml:space="preserve">one or other of </w:t>
      </w:r>
      <w:r w:rsidR="00A852DF" w:rsidRPr="007954B9">
        <w:rPr>
          <w:rFonts w:ascii="Times New Roman" w:hAnsi="Times New Roman"/>
          <w:iCs/>
        </w:rPr>
        <w:t xml:space="preserve">the </w:t>
      </w:r>
      <w:r w:rsidR="00C658CA" w:rsidRPr="007954B9">
        <w:rPr>
          <w:rFonts w:ascii="Times New Roman" w:hAnsi="Times New Roman"/>
          <w:iCs/>
        </w:rPr>
        <w:t xml:space="preserve">common law </w:t>
      </w:r>
      <w:r w:rsidR="00776749" w:rsidRPr="007954B9">
        <w:rPr>
          <w:rFonts w:ascii="Times New Roman" w:hAnsi="Times New Roman"/>
          <w:iCs/>
        </w:rPr>
        <w:t>and statutory</w:t>
      </w:r>
      <w:r w:rsidR="004B0FA1" w:rsidRPr="007954B9">
        <w:rPr>
          <w:rFonts w:ascii="Times New Roman" w:hAnsi="Times New Roman"/>
          <w:iCs/>
        </w:rPr>
        <w:t xml:space="preserve"> </w:t>
      </w:r>
      <w:r w:rsidR="00187B64" w:rsidRPr="007954B9">
        <w:rPr>
          <w:rFonts w:ascii="Times New Roman" w:hAnsi="Times New Roman"/>
          <w:iCs/>
        </w:rPr>
        <w:t>presumption</w:t>
      </w:r>
      <w:r w:rsidR="00BE7826" w:rsidRPr="007954B9">
        <w:rPr>
          <w:rFonts w:ascii="Times New Roman" w:hAnsi="Times New Roman"/>
          <w:iCs/>
        </w:rPr>
        <w:t>s</w:t>
      </w:r>
      <w:r w:rsidR="00C418A1" w:rsidRPr="007954B9">
        <w:rPr>
          <w:rFonts w:ascii="Times New Roman" w:hAnsi="Times New Roman"/>
          <w:iCs/>
        </w:rPr>
        <w:t xml:space="preserve"> </w:t>
      </w:r>
      <w:r w:rsidR="00187B64" w:rsidRPr="007954B9">
        <w:rPr>
          <w:rFonts w:ascii="Times New Roman" w:hAnsi="Times New Roman"/>
          <w:iCs/>
        </w:rPr>
        <w:t xml:space="preserve">on </w:t>
      </w:r>
      <w:r w:rsidR="009D686C" w:rsidRPr="007954B9">
        <w:rPr>
          <w:rFonts w:ascii="Times New Roman" w:hAnsi="Times New Roman"/>
          <w:iCs/>
        </w:rPr>
        <w:t>which</w:t>
      </w:r>
      <w:r w:rsidR="00A412F5" w:rsidRPr="007954B9">
        <w:rPr>
          <w:rFonts w:ascii="Times New Roman" w:hAnsi="Times New Roman"/>
          <w:iCs/>
        </w:rPr>
        <w:t xml:space="preserve"> </w:t>
      </w:r>
      <w:r w:rsidR="00A166CD" w:rsidRPr="007954B9">
        <w:rPr>
          <w:rFonts w:ascii="Times New Roman" w:hAnsi="Times New Roman"/>
          <w:iCs/>
        </w:rPr>
        <w:t>BHP</w:t>
      </w:r>
      <w:r w:rsidR="00187B64" w:rsidRPr="007954B9">
        <w:rPr>
          <w:rFonts w:ascii="Times New Roman" w:hAnsi="Times New Roman"/>
          <w:iCs/>
        </w:rPr>
        <w:t xml:space="preserve"> </w:t>
      </w:r>
      <w:r w:rsidR="009D686C" w:rsidRPr="007954B9">
        <w:rPr>
          <w:rFonts w:ascii="Times New Roman" w:hAnsi="Times New Roman"/>
          <w:iCs/>
        </w:rPr>
        <w:t>relies</w:t>
      </w:r>
      <w:r w:rsidR="00187B64" w:rsidRPr="007954B9">
        <w:rPr>
          <w:rFonts w:ascii="Times New Roman" w:hAnsi="Times New Roman"/>
          <w:iCs/>
        </w:rPr>
        <w:t xml:space="preserve"> </w:t>
      </w:r>
      <w:r w:rsidR="00274400" w:rsidRPr="007954B9">
        <w:rPr>
          <w:rFonts w:ascii="Times New Roman" w:hAnsi="Times New Roman"/>
        </w:rPr>
        <w:t>bears on the construction of Pt</w:t>
      </w:r>
      <w:r w:rsidR="002555A3" w:rsidRPr="007954B9">
        <w:rPr>
          <w:rFonts w:ascii="Times New Roman" w:hAnsi="Times New Roman"/>
        </w:rPr>
        <w:t> </w:t>
      </w:r>
      <w:r w:rsidR="00274400" w:rsidRPr="007954B9">
        <w:rPr>
          <w:rFonts w:ascii="Times New Roman" w:hAnsi="Times New Roman"/>
        </w:rPr>
        <w:t>IVA</w:t>
      </w:r>
      <w:r w:rsidR="00C316CF" w:rsidRPr="007954B9">
        <w:rPr>
          <w:rFonts w:ascii="Times New Roman" w:hAnsi="Times New Roman"/>
        </w:rPr>
        <w:t xml:space="preserve">, </w:t>
      </w:r>
      <w:r w:rsidR="00BE7826" w:rsidRPr="007954B9">
        <w:rPr>
          <w:rFonts w:ascii="Times New Roman" w:hAnsi="Times New Roman"/>
        </w:rPr>
        <w:t>the presumption</w:t>
      </w:r>
      <w:r w:rsidR="005E3EE4" w:rsidRPr="007954B9">
        <w:rPr>
          <w:rFonts w:ascii="Times New Roman" w:hAnsi="Times New Roman"/>
        </w:rPr>
        <w:t xml:space="preserve"> provides </w:t>
      </w:r>
      <w:r w:rsidR="004B099E" w:rsidRPr="007954B9">
        <w:rPr>
          <w:rFonts w:ascii="Times New Roman" w:hAnsi="Times New Roman"/>
        </w:rPr>
        <w:t xml:space="preserve">no </w:t>
      </w:r>
      <w:r w:rsidR="0058036D" w:rsidRPr="007954B9">
        <w:rPr>
          <w:rFonts w:ascii="Times New Roman" w:hAnsi="Times New Roman"/>
        </w:rPr>
        <w:t>reason</w:t>
      </w:r>
      <w:r w:rsidR="004B099E" w:rsidRPr="007954B9">
        <w:rPr>
          <w:rFonts w:ascii="Times New Roman" w:hAnsi="Times New Roman"/>
        </w:rPr>
        <w:t xml:space="preserve"> for </w:t>
      </w:r>
      <w:r w:rsidR="0058036D" w:rsidRPr="007954B9">
        <w:rPr>
          <w:rFonts w:ascii="Times New Roman" w:hAnsi="Times New Roman"/>
        </w:rPr>
        <w:t>adopting</w:t>
      </w:r>
      <w:r w:rsidR="004B099E" w:rsidRPr="007954B9">
        <w:rPr>
          <w:rFonts w:ascii="Times New Roman" w:hAnsi="Times New Roman"/>
        </w:rPr>
        <w:t xml:space="preserve"> a </w:t>
      </w:r>
      <w:r w:rsidR="005E3EE4" w:rsidRPr="007954B9">
        <w:rPr>
          <w:rFonts w:ascii="Times New Roman" w:hAnsi="Times New Roman"/>
          <w:iCs/>
        </w:rPr>
        <w:t xml:space="preserve">territorially restricted reading of </w:t>
      </w:r>
      <w:r w:rsidR="005E3EE4" w:rsidRPr="007954B9">
        <w:rPr>
          <w:rFonts w:ascii="Times New Roman" w:hAnsi="Times New Roman"/>
        </w:rPr>
        <w:t>the definition of "group member"</w:t>
      </w:r>
      <w:r w:rsidR="00F42C76" w:rsidRPr="007954B9">
        <w:rPr>
          <w:rFonts w:ascii="Times New Roman" w:hAnsi="Times New Roman"/>
        </w:rPr>
        <w:t xml:space="preserve"> in</w:t>
      </w:r>
      <w:r w:rsidR="00946B78" w:rsidRPr="007954B9">
        <w:rPr>
          <w:rFonts w:ascii="Times New Roman" w:hAnsi="Times New Roman"/>
        </w:rPr>
        <w:t xml:space="preserve"> s </w:t>
      </w:r>
      <w:r w:rsidR="005E3EE4" w:rsidRPr="007954B9">
        <w:rPr>
          <w:rFonts w:ascii="Times New Roman" w:hAnsi="Times New Roman"/>
        </w:rPr>
        <w:t>33A</w:t>
      </w:r>
      <w:r w:rsidR="008908E8" w:rsidRPr="007954B9">
        <w:rPr>
          <w:rFonts w:ascii="Times New Roman" w:hAnsi="Times New Roman"/>
        </w:rPr>
        <w:t xml:space="preserve"> or "other persons" in</w:t>
      </w:r>
      <w:r w:rsidR="00946B78" w:rsidRPr="007954B9">
        <w:rPr>
          <w:rFonts w:ascii="Times New Roman" w:hAnsi="Times New Roman"/>
        </w:rPr>
        <w:t xml:space="preserve"> s </w:t>
      </w:r>
      <w:r w:rsidR="008908E8" w:rsidRPr="007954B9">
        <w:rPr>
          <w:rFonts w:ascii="Times New Roman" w:hAnsi="Times New Roman"/>
        </w:rPr>
        <w:t>33D</w:t>
      </w:r>
      <w:r w:rsidR="004B099E" w:rsidRPr="007954B9">
        <w:rPr>
          <w:rFonts w:ascii="Times New Roman" w:hAnsi="Times New Roman"/>
        </w:rPr>
        <w:t xml:space="preserve">. </w:t>
      </w:r>
      <w:r w:rsidR="00776749" w:rsidRPr="007954B9">
        <w:rPr>
          <w:rFonts w:ascii="Times New Roman" w:hAnsi="Times New Roman"/>
        </w:rPr>
        <w:t>Enough</w:t>
      </w:r>
      <w:r w:rsidR="00B63FFD" w:rsidRPr="007954B9">
        <w:rPr>
          <w:rFonts w:ascii="Times New Roman" w:hAnsi="Times New Roman"/>
        </w:rPr>
        <w:t xml:space="preserve"> to satisfy </w:t>
      </w:r>
      <w:r w:rsidR="008F3059" w:rsidRPr="007954B9">
        <w:rPr>
          <w:rFonts w:ascii="Times New Roman" w:hAnsi="Times New Roman"/>
        </w:rPr>
        <w:t>both</w:t>
      </w:r>
      <w:r w:rsidR="00B63FFD" w:rsidRPr="007954B9">
        <w:rPr>
          <w:rFonts w:ascii="Times New Roman" w:hAnsi="Times New Roman"/>
        </w:rPr>
        <w:t xml:space="preserve"> presumption</w:t>
      </w:r>
      <w:r w:rsidR="008F3059" w:rsidRPr="007954B9">
        <w:rPr>
          <w:rFonts w:ascii="Times New Roman" w:hAnsi="Times New Roman"/>
        </w:rPr>
        <w:t>s</w:t>
      </w:r>
      <w:r w:rsidR="00B63FFD" w:rsidRPr="007954B9">
        <w:rPr>
          <w:rFonts w:ascii="Times New Roman" w:hAnsi="Times New Roman"/>
        </w:rPr>
        <w:t xml:space="preserve"> </w:t>
      </w:r>
      <w:r w:rsidR="003403F3" w:rsidRPr="007954B9">
        <w:rPr>
          <w:rFonts w:ascii="Times New Roman" w:hAnsi="Times New Roman"/>
        </w:rPr>
        <w:t>is</w:t>
      </w:r>
      <w:r w:rsidR="00452ADF" w:rsidRPr="007954B9">
        <w:rPr>
          <w:rFonts w:ascii="Times New Roman" w:hAnsi="Times New Roman"/>
        </w:rPr>
        <w:t xml:space="preserve"> </w:t>
      </w:r>
      <w:r w:rsidR="00072376" w:rsidRPr="007954B9">
        <w:rPr>
          <w:rFonts w:ascii="Times New Roman" w:hAnsi="Times New Roman"/>
        </w:rPr>
        <w:t xml:space="preserve">the circumstance that </w:t>
      </w:r>
      <w:r w:rsidR="003403F3" w:rsidRPr="007954B9">
        <w:rPr>
          <w:rFonts w:ascii="Times New Roman" w:hAnsi="Times New Roman"/>
        </w:rPr>
        <w:t>Pt</w:t>
      </w:r>
      <w:r w:rsidR="00CD600E" w:rsidRPr="007954B9">
        <w:rPr>
          <w:rFonts w:ascii="Times New Roman" w:hAnsi="Times New Roman"/>
        </w:rPr>
        <w:t> </w:t>
      </w:r>
      <w:r w:rsidR="003403F3" w:rsidRPr="007954B9">
        <w:rPr>
          <w:rFonts w:ascii="Times New Roman" w:hAnsi="Times New Roman"/>
        </w:rPr>
        <w:t xml:space="preserve">IVA as a whole is concerned with the exercise of jurisdiction by the Federal Court. </w:t>
      </w:r>
      <w:r w:rsidR="00FF4209" w:rsidRPr="007954B9">
        <w:rPr>
          <w:rFonts w:ascii="Times New Roman" w:hAnsi="Times New Roman"/>
        </w:rPr>
        <w:t>That is the bottom line.</w:t>
      </w:r>
    </w:p>
    <w:p w14:paraId="27F1FE96" w14:textId="42AF6362" w:rsidR="00A5438F" w:rsidRPr="007954B9" w:rsidRDefault="00875786" w:rsidP="007954B9">
      <w:pPr>
        <w:pStyle w:val="FixListStyle"/>
        <w:spacing w:after="260" w:line="280" w:lineRule="exact"/>
        <w:ind w:right="0"/>
        <w:jc w:val="both"/>
        <w:rPr>
          <w:rFonts w:ascii="Times New Roman" w:hAnsi="Times New Roman"/>
        </w:rPr>
      </w:pPr>
      <w:r w:rsidRPr="007954B9">
        <w:rPr>
          <w:rFonts w:ascii="Times New Roman" w:hAnsi="Times New Roman"/>
          <w:iCs/>
        </w:rPr>
        <w:tab/>
      </w:r>
      <w:r w:rsidR="00535368" w:rsidRPr="007954B9">
        <w:rPr>
          <w:rFonts w:ascii="Times New Roman" w:hAnsi="Times New Roman"/>
          <w:iCs/>
        </w:rPr>
        <w:t>Th</w:t>
      </w:r>
      <w:r w:rsidR="006112BF" w:rsidRPr="007954B9">
        <w:rPr>
          <w:rFonts w:ascii="Times New Roman" w:hAnsi="Times New Roman"/>
          <w:iCs/>
        </w:rPr>
        <w:t xml:space="preserve">e common law </w:t>
      </w:r>
      <w:r w:rsidR="007972FE" w:rsidRPr="007954B9">
        <w:rPr>
          <w:rFonts w:ascii="Times New Roman" w:hAnsi="Times New Roman"/>
          <w:iCs/>
        </w:rPr>
        <w:t>and</w:t>
      </w:r>
      <w:r w:rsidR="006112BF" w:rsidRPr="007954B9">
        <w:rPr>
          <w:rFonts w:ascii="Times New Roman" w:hAnsi="Times New Roman"/>
          <w:iCs/>
        </w:rPr>
        <w:t xml:space="preserve"> statutory presumption</w:t>
      </w:r>
      <w:r w:rsidR="007972FE" w:rsidRPr="007954B9">
        <w:rPr>
          <w:rFonts w:ascii="Times New Roman" w:hAnsi="Times New Roman"/>
          <w:iCs/>
        </w:rPr>
        <w:t xml:space="preserve">s on which </w:t>
      </w:r>
      <w:r w:rsidR="006126B9" w:rsidRPr="007954B9">
        <w:rPr>
          <w:rFonts w:ascii="Times New Roman" w:hAnsi="Times New Roman"/>
          <w:iCs/>
        </w:rPr>
        <w:t>BHP relies</w:t>
      </w:r>
      <w:r w:rsidR="006112BF" w:rsidRPr="007954B9">
        <w:rPr>
          <w:rFonts w:ascii="Times New Roman" w:hAnsi="Times New Roman"/>
          <w:iCs/>
        </w:rPr>
        <w:t xml:space="preserve"> </w:t>
      </w:r>
      <w:r w:rsidR="00C226E3" w:rsidRPr="007954B9">
        <w:rPr>
          <w:rFonts w:ascii="Times New Roman" w:hAnsi="Times New Roman"/>
          <w:iCs/>
        </w:rPr>
        <w:t xml:space="preserve">have concurrent </w:t>
      </w:r>
      <w:r w:rsidR="006322A5" w:rsidRPr="007954B9">
        <w:rPr>
          <w:rFonts w:ascii="Times New Roman" w:hAnsi="Times New Roman"/>
          <w:iCs/>
        </w:rPr>
        <w:t>and complementary operation</w:t>
      </w:r>
      <w:r w:rsidR="00522F35" w:rsidRPr="007954B9">
        <w:rPr>
          <w:rFonts w:ascii="Times New Roman" w:hAnsi="Times New Roman"/>
          <w:iCs/>
        </w:rPr>
        <w:t xml:space="preserve">. </w:t>
      </w:r>
      <w:r w:rsidR="006322A5" w:rsidRPr="007954B9">
        <w:rPr>
          <w:rFonts w:ascii="Times New Roman" w:hAnsi="Times New Roman"/>
          <w:iCs/>
        </w:rPr>
        <w:t>Despite an observed</w:t>
      </w:r>
      <w:r w:rsidR="00CD4D09" w:rsidRPr="007954B9">
        <w:rPr>
          <w:rFonts w:ascii="Times New Roman" w:hAnsi="Times New Roman"/>
          <w:iCs/>
        </w:rPr>
        <w:t xml:space="preserve"> </w:t>
      </w:r>
      <w:r w:rsidR="00945E91" w:rsidRPr="007954B9">
        <w:rPr>
          <w:rFonts w:ascii="Times New Roman" w:hAnsi="Times New Roman"/>
          <w:iCs/>
        </w:rPr>
        <w:t>tendency</w:t>
      </w:r>
      <w:r w:rsidR="00131EC7" w:rsidRPr="007954B9">
        <w:rPr>
          <w:rStyle w:val="FootnoteReference"/>
          <w:rFonts w:ascii="Times New Roman" w:hAnsi="Times New Roman"/>
          <w:iCs/>
          <w:sz w:val="24"/>
        </w:rPr>
        <w:footnoteReference w:id="20"/>
      </w:r>
      <w:r w:rsidR="00945E91" w:rsidRPr="007954B9">
        <w:rPr>
          <w:rFonts w:ascii="Times New Roman" w:hAnsi="Times New Roman"/>
          <w:iCs/>
        </w:rPr>
        <w:t xml:space="preserve"> for the</w:t>
      </w:r>
      <w:r w:rsidR="00CD4D09" w:rsidRPr="007954B9">
        <w:rPr>
          <w:rFonts w:ascii="Times New Roman" w:hAnsi="Times New Roman"/>
          <w:iCs/>
        </w:rPr>
        <w:t xml:space="preserve"> two </w:t>
      </w:r>
      <w:r w:rsidR="006322A5" w:rsidRPr="007954B9">
        <w:rPr>
          <w:rFonts w:ascii="Times New Roman" w:hAnsi="Times New Roman"/>
          <w:iCs/>
        </w:rPr>
        <w:t xml:space="preserve">presumptions </w:t>
      </w:r>
      <w:r w:rsidR="008F3059" w:rsidRPr="007954B9">
        <w:rPr>
          <w:rFonts w:ascii="Times New Roman" w:hAnsi="Times New Roman"/>
          <w:iCs/>
        </w:rPr>
        <w:t xml:space="preserve">often </w:t>
      </w:r>
      <w:r w:rsidR="00945E91" w:rsidRPr="007954B9">
        <w:rPr>
          <w:rFonts w:ascii="Times New Roman" w:hAnsi="Times New Roman"/>
          <w:iCs/>
        </w:rPr>
        <w:t xml:space="preserve">to </w:t>
      </w:r>
      <w:r w:rsidR="00131EC7" w:rsidRPr="007954B9">
        <w:rPr>
          <w:rFonts w:ascii="Times New Roman" w:hAnsi="Times New Roman"/>
          <w:iCs/>
        </w:rPr>
        <w:t xml:space="preserve">have been </w:t>
      </w:r>
      <w:r w:rsidR="00BB544E" w:rsidRPr="007954B9">
        <w:rPr>
          <w:rFonts w:ascii="Times New Roman" w:hAnsi="Times New Roman"/>
          <w:iCs/>
        </w:rPr>
        <w:t xml:space="preserve">considered </w:t>
      </w:r>
      <w:r w:rsidR="00267842" w:rsidRPr="007954B9">
        <w:rPr>
          <w:rFonts w:ascii="Times New Roman" w:hAnsi="Times New Roman"/>
          <w:iCs/>
        </w:rPr>
        <w:t xml:space="preserve">together </w:t>
      </w:r>
      <w:r w:rsidR="007B3826" w:rsidRPr="007954B9">
        <w:rPr>
          <w:rFonts w:ascii="Times New Roman" w:hAnsi="Times New Roman"/>
          <w:iCs/>
        </w:rPr>
        <w:t xml:space="preserve">and sometimes even </w:t>
      </w:r>
      <w:r w:rsidR="008F3059" w:rsidRPr="007954B9">
        <w:rPr>
          <w:rFonts w:ascii="Times New Roman" w:hAnsi="Times New Roman"/>
          <w:iCs/>
        </w:rPr>
        <w:t xml:space="preserve">to have been </w:t>
      </w:r>
      <w:r w:rsidR="007B3826" w:rsidRPr="007954B9">
        <w:rPr>
          <w:rFonts w:ascii="Times New Roman" w:hAnsi="Times New Roman"/>
          <w:iCs/>
        </w:rPr>
        <w:t>equated</w:t>
      </w:r>
      <w:r w:rsidR="00AA5A6E" w:rsidRPr="007954B9">
        <w:rPr>
          <w:rStyle w:val="FootnoteReference"/>
          <w:rFonts w:ascii="Times New Roman" w:hAnsi="Times New Roman"/>
          <w:iCs/>
          <w:sz w:val="24"/>
        </w:rPr>
        <w:footnoteReference w:id="21"/>
      </w:r>
      <w:r w:rsidR="007B3826" w:rsidRPr="007954B9">
        <w:rPr>
          <w:rFonts w:ascii="Times New Roman" w:hAnsi="Times New Roman"/>
          <w:iCs/>
        </w:rPr>
        <w:t xml:space="preserve">, </w:t>
      </w:r>
      <w:r w:rsidR="00AA5A6E" w:rsidRPr="007954B9">
        <w:rPr>
          <w:rFonts w:ascii="Times New Roman" w:hAnsi="Times New Roman"/>
          <w:iCs/>
        </w:rPr>
        <w:t>they</w:t>
      </w:r>
      <w:r w:rsidR="00525806" w:rsidRPr="007954B9">
        <w:rPr>
          <w:rFonts w:ascii="Times New Roman" w:hAnsi="Times New Roman"/>
          <w:iCs/>
        </w:rPr>
        <w:t xml:space="preserve"> </w:t>
      </w:r>
      <w:r w:rsidR="001D55B0" w:rsidRPr="007954B9">
        <w:rPr>
          <w:rFonts w:ascii="Times New Roman" w:hAnsi="Times New Roman"/>
          <w:iCs/>
        </w:rPr>
        <w:t xml:space="preserve">are </w:t>
      </w:r>
      <w:r w:rsidR="006112BF" w:rsidRPr="007954B9">
        <w:rPr>
          <w:rFonts w:ascii="Times New Roman" w:hAnsi="Times New Roman"/>
          <w:iCs/>
        </w:rPr>
        <w:t xml:space="preserve">not </w:t>
      </w:r>
      <w:r w:rsidR="009B67FC" w:rsidRPr="007954B9">
        <w:rPr>
          <w:rFonts w:ascii="Times New Roman" w:hAnsi="Times New Roman"/>
          <w:iCs/>
        </w:rPr>
        <w:t xml:space="preserve">wholly </w:t>
      </w:r>
      <w:r w:rsidR="00180470" w:rsidRPr="007954B9">
        <w:rPr>
          <w:rFonts w:ascii="Times New Roman" w:hAnsi="Times New Roman"/>
          <w:iCs/>
        </w:rPr>
        <w:t>co</w:t>
      </w:r>
      <w:r w:rsidR="00530D5D" w:rsidRPr="007954B9">
        <w:rPr>
          <w:rFonts w:ascii="Times New Roman" w:hAnsi="Times New Roman"/>
          <w:iCs/>
        </w:rPr>
        <w:t>incident</w:t>
      </w:r>
      <w:r w:rsidR="001D55B0" w:rsidRPr="007954B9">
        <w:rPr>
          <w:rFonts w:ascii="Times New Roman" w:hAnsi="Times New Roman"/>
          <w:iCs/>
        </w:rPr>
        <w:t xml:space="preserve">. </w:t>
      </w:r>
      <w:r w:rsidR="004C7EF2" w:rsidRPr="007954B9">
        <w:rPr>
          <w:rFonts w:ascii="Times New Roman" w:hAnsi="Times New Roman"/>
          <w:iCs/>
        </w:rPr>
        <w:t>E</w:t>
      </w:r>
      <w:r w:rsidR="001D55B0" w:rsidRPr="007954B9">
        <w:rPr>
          <w:rFonts w:ascii="Times New Roman" w:hAnsi="Times New Roman"/>
          <w:iCs/>
        </w:rPr>
        <w:t xml:space="preserve">ach </w:t>
      </w:r>
      <w:r w:rsidR="007B3826" w:rsidRPr="007954B9">
        <w:rPr>
          <w:rFonts w:ascii="Times New Roman" w:hAnsi="Times New Roman"/>
          <w:iCs/>
        </w:rPr>
        <w:t>is best</w:t>
      </w:r>
      <w:r w:rsidR="00623657" w:rsidRPr="007954B9">
        <w:rPr>
          <w:rFonts w:ascii="Times New Roman" w:hAnsi="Times New Roman"/>
          <w:iCs/>
        </w:rPr>
        <w:t xml:space="preserve"> </w:t>
      </w:r>
      <w:r w:rsidR="004C7EF2" w:rsidRPr="007954B9">
        <w:rPr>
          <w:rFonts w:ascii="Times New Roman" w:hAnsi="Times New Roman"/>
          <w:iCs/>
        </w:rPr>
        <w:t xml:space="preserve">addressed </w:t>
      </w:r>
      <w:r w:rsidR="00623657" w:rsidRPr="007954B9">
        <w:rPr>
          <w:rFonts w:ascii="Times New Roman" w:hAnsi="Times New Roman"/>
          <w:iCs/>
        </w:rPr>
        <w:t>separately</w:t>
      </w:r>
      <w:r w:rsidR="004C7EF2" w:rsidRPr="007954B9">
        <w:rPr>
          <w:rFonts w:ascii="Times New Roman" w:hAnsi="Times New Roman"/>
          <w:iCs/>
        </w:rPr>
        <w:t>.</w:t>
      </w:r>
      <w:r w:rsidR="00180470" w:rsidRPr="007954B9">
        <w:rPr>
          <w:rFonts w:ascii="Times New Roman" w:hAnsi="Times New Roman"/>
          <w:iCs/>
        </w:rPr>
        <w:t xml:space="preserve"> </w:t>
      </w:r>
    </w:p>
    <w:p w14:paraId="0B989CB4" w14:textId="60C14B71" w:rsidR="00083B4D" w:rsidRPr="007954B9" w:rsidRDefault="00083B4D" w:rsidP="007954B9">
      <w:pPr>
        <w:pStyle w:val="HeadingL1"/>
        <w:spacing w:after="260" w:line="280" w:lineRule="exact"/>
        <w:ind w:right="0"/>
        <w:jc w:val="both"/>
        <w:rPr>
          <w:rFonts w:ascii="Times New Roman" w:hAnsi="Times New Roman"/>
        </w:rPr>
      </w:pPr>
      <w:r w:rsidRPr="007954B9">
        <w:rPr>
          <w:rFonts w:ascii="Times New Roman" w:hAnsi="Times New Roman"/>
        </w:rPr>
        <w:t>The common law presumption</w:t>
      </w:r>
      <w:r w:rsidRPr="007954B9">
        <w:rPr>
          <w:rFonts w:ascii="Times New Roman" w:hAnsi="Times New Roman"/>
          <w:bCs/>
          <w:iCs/>
        </w:rPr>
        <w:t xml:space="preserve"> </w:t>
      </w:r>
    </w:p>
    <w:p w14:paraId="751F93DF" w14:textId="33F632CE" w:rsidR="00EB51BD" w:rsidRPr="007954B9" w:rsidRDefault="002C5842"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E64234" w:rsidRPr="007954B9">
        <w:rPr>
          <w:rFonts w:ascii="Times New Roman" w:hAnsi="Times New Roman"/>
        </w:rPr>
        <w:t xml:space="preserve">BHP seeks to label the common law presumption on which it relies a </w:t>
      </w:r>
      <w:r w:rsidR="00B912D1" w:rsidRPr="007954B9">
        <w:rPr>
          <w:rFonts w:ascii="Times New Roman" w:hAnsi="Times New Roman"/>
        </w:rPr>
        <w:t>"</w:t>
      </w:r>
      <w:r w:rsidR="00E64234" w:rsidRPr="007954B9">
        <w:rPr>
          <w:rFonts w:ascii="Times New Roman" w:hAnsi="Times New Roman"/>
        </w:rPr>
        <w:t>presumption against</w:t>
      </w:r>
      <w:r w:rsidR="00186C81" w:rsidRPr="007954B9">
        <w:rPr>
          <w:rFonts w:ascii="Times New Roman" w:hAnsi="Times New Roman"/>
        </w:rPr>
        <w:t xml:space="preserve"> extraterritorial</w:t>
      </w:r>
      <w:r w:rsidR="00342F60" w:rsidRPr="007954B9">
        <w:rPr>
          <w:rFonts w:ascii="Times New Roman" w:hAnsi="Times New Roman"/>
        </w:rPr>
        <w:t xml:space="preserve"> operation</w:t>
      </w:r>
      <w:r w:rsidR="00186C81" w:rsidRPr="007954B9">
        <w:rPr>
          <w:rFonts w:ascii="Times New Roman" w:hAnsi="Times New Roman"/>
        </w:rPr>
        <w:t>"</w:t>
      </w:r>
      <w:r w:rsidR="00B912D1" w:rsidRPr="007954B9">
        <w:rPr>
          <w:rStyle w:val="FootnoteReference"/>
          <w:rFonts w:ascii="Times New Roman" w:hAnsi="Times New Roman"/>
          <w:sz w:val="24"/>
        </w:rPr>
        <w:footnoteReference w:id="22"/>
      </w:r>
      <w:r w:rsidR="00186C81" w:rsidRPr="007954B9">
        <w:rPr>
          <w:rFonts w:ascii="Times New Roman" w:hAnsi="Times New Roman"/>
        </w:rPr>
        <w:t xml:space="preserve">. </w:t>
      </w:r>
      <w:r w:rsidR="00266963" w:rsidRPr="007954B9">
        <w:rPr>
          <w:rFonts w:ascii="Times New Roman" w:hAnsi="Times New Roman"/>
        </w:rPr>
        <w:t xml:space="preserve">For </w:t>
      </w:r>
      <w:r w:rsidR="00F807F7" w:rsidRPr="007954B9">
        <w:rPr>
          <w:rFonts w:ascii="Times New Roman" w:hAnsi="Times New Roman"/>
        </w:rPr>
        <w:t xml:space="preserve">reasons to be explained, </w:t>
      </w:r>
      <w:r w:rsidR="00387E36" w:rsidRPr="007954B9">
        <w:rPr>
          <w:rFonts w:ascii="Times New Roman" w:hAnsi="Times New Roman"/>
        </w:rPr>
        <w:t>the presumption</w:t>
      </w:r>
      <w:r w:rsidR="008F001A" w:rsidRPr="007954B9">
        <w:rPr>
          <w:rFonts w:ascii="Times New Roman" w:hAnsi="Times New Roman"/>
        </w:rPr>
        <w:t xml:space="preserve"> </w:t>
      </w:r>
      <w:r w:rsidR="00C17292" w:rsidRPr="007954B9">
        <w:rPr>
          <w:rFonts w:ascii="Times New Roman" w:hAnsi="Times New Roman"/>
        </w:rPr>
        <w:t>of</w:t>
      </w:r>
      <w:r w:rsidR="00D54D62" w:rsidRPr="007954B9">
        <w:rPr>
          <w:rFonts w:ascii="Times New Roman" w:hAnsi="Times New Roman"/>
        </w:rPr>
        <w:t xml:space="preserve"> the common law of</w:t>
      </w:r>
      <w:r w:rsidR="009461B2" w:rsidRPr="007954B9">
        <w:rPr>
          <w:rFonts w:ascii="Times New Roman" w:hAnsi="Times New Roman"/>
        </w:rPr>
        <w:t xml:space="preserve"> Australia</w:t>
      </w:r>
      <w:r w:rsidR="000E5CD2" w:rsidRPr="007954B9">
        <w:rPr>
          <w:rFonts w:ascii="Times New Roman" w:hAnsi="Times New Roman"/>
        </w:rPr>
        <w:t xml:space="preserve"> </w:t>
      </w:r>
      <w:r w:rsidR="00387E36" w:rsidRPr="007954B9">
        <w:rPr>
          <w:rFonts w:ascii="Times New Roman" w:hAnsi="Times New Roman"/>
        </w:rPr>
        <w:t>is more a</w:t>
      </w:r>
      <w:r w:rsidR="00090778" w:rsidRPr="007954B9">
        <w:rPr>
          <w:rFonts w:ascii="Times New Roman" w:hAnsi="Times New Roman"/>
        </w:rPr>
        <w:t>ccurately</w:t>
      </w:r>
      <w:r w:rsidR="00387E36" w:rsidRPr="007954B9">
        <w:rPr>
          <w:rFonts w:ascii="Times New Roman" w:hAnsi="Times New Roman"/>
        </w:rPr>
        <w:t xml:space="preserve"> labelled a </w:t>
      </w:r>
      <w:r w:rsidR="009461B2" w:rsidRPr="007954B9">
        <w:rPr>
          <w:rFonts w:ascii="Times New Roman" w:hAnsi="Times New Roman"/>
        </w:rPr>
        <w:t>"</w:t>
      </w:r>
      <w:r w:rsidR="00387E36" w:rsidRPr="007954B9">
        <w:rPr>
          <w:rFonts w:ascii="Times New Roman" w:hAnsi="Times New Roman"/>
        </w:rPr>
        <w:t>presumption in favour of international comity".</w:t>
      </w:r>
    </w:p>
    <w:p w14:paraId="5ADCC9DA" w14:textId="547039F1" w:rsidR="00B4050A" w:rsidRPr="007954B9" w:rsidRDefault="00EB51BD" w:rsidP="007954B9">
      <w:pPr>
        <w:pStyle w:val="FixListStyle"/>
        <w:spacing w:after="260" w:line="280" w:lineRule="exact"/>
        <w:ind w:right="0"/>
        <w:jc w:val="both"/>
        <w:rPr>
          <w:rFonts w:ascii="Times New Roman" w:hAnsi="Times New Roman"/>
        </w:rPr>
      </w:pPr>
      <w:r w:rsidRPr="007954B9">
        <w:rPr>
          <w:rFonts w:ascii="Times New Roman" w:hAnsi="Times New Roman"/>
        </w:rPr>
        <w:lastRenderedPageBreak/>
        <w:tab/>
      </w:r>
      <w:r w:rsidR="00266963" w:rsidRPr="007954B9">
        <w:rPr>
          <w:rFonts w:ascii="Times New Roman" w:hAnsi="Times New Roman"/>
        </w:rPr>
        <w:t xml:space="preserve">For </w:t>
      </w:r>
      <w:r w:rsidR="00A83036" w:rsidRPr="007954B9">
        <w:rPr>
          <w:rFonts w:ascii="Times New Roman" w:hAnsi="Times New Roman"/>
        </w:rPr>
        <w:t>its preferred</w:t>
      </w:r>
      <w:r w:rsidR="00D07105" w:rsidRPr="007954B9">
        <w:rPr>
          <w:rFonts w:ascii="Times New Roman" w:hAnsi="Times New Roman"/>
        </w:rPr>
        <w:t xml:space="preserve"> formulation o</w:t>
      </w:r>
      <w:r w:rsidR="00B4050A" w:rsidRPr="007954B9">
        <w:rPr>
          <w:rFonts w:ascii="Times New Roman" w:hAnsi="Times New Roman"/>
        </w:rPr>
        <w:t>f</w:t>
      </w:r>
      <w:r w:rsidR="00266963" w:rsidRPr="007954B9">
        <w:rPr>
          <w:rFonts w:ascii="Times New Roman" w:hAnsi="Times New Roman"/>
        </w:rPr>
        <w:t xml:space="preserve"> t</w:t>
      </w:r>
      <w:r w:rsidR="002C5842" w:rsidRPr="007954B9">
        <w:rPr>
          <w:rFonts w:ascii="Times New Roman" w:hAnsi="Times New Roman"/>
        </w:rPr>
        <w:t>he common law presumption</w:t>
      </w:r>
      <w:r w:rsidR="00B4050A" w:rsidRPr="007954B9">
        <w:rPr>
          <w:rFonts w:ascii="Times New Roman" w:hAnsi="Times New Roman"/>
        </w:rPr>
        <w:t>, BHP points to</w:t>
      </w:r>
      <w:r w:rsidR="00AE7894" w:rsidRPr="007954B9">
        <w:rPr>
          <w:rFonts w:ascii="Times New Roman" w:hAnsi="Times New Roman"/>
        </w:rPr>
        <w:t xml:space="preserve"> the statement made by Isaacs</w:t>
      </w:r>
      <w:r w:rsidR="00946B78" w:rsidRPr="007954B9">
        <w:rPr>
          <w:rFonts w:ascii="Times New Roman" w:hAnsi="Times New Roman"/>
        </w:rPr>
        <w:t xml:space="preserve"> J </w:t>
      </w:r>
      <w:r w:rsidR="00AE7894" w:rsidRPr="007954B9">
        <w:rPr>
          <w:rFonts w:ascii="Times New Roman" w:hAnsi="Times New Roman"/>
        </w:rPr>
        <w:t xml:space="preserve">in </w:t>
      </w:r>
      <w:r w:rsidR="00AE7894" w:rsidRPr="007954B9">
        <w:rPr>
          <w:rFonts w:ascii="Times New Roman" w:hAnsi="Times New Roman"/>
          <w:i/>
          <w:iCs/>
        </w:rPr>
        <w:t>Morgan v White</w:t>
      </w:r>
      <w:r w:rsidR="00AE7894" w:rsidRPr="007954B9">
        <w:rPr>
          <w:rStyle w:val="FootnoteReference"/>
          <w:rFonts w:ascii="Times New Roman" w:hAnsi="Times New Roman"/>
          <w:sz w:val="24"/>
        </w:rPr>
        <w:footnoteReference w:id="23"/>
      </w:r>
      <w:r w:rsidR="00AE7894" w:rsidRPr="007954B9">
        <w:rPr>
          <w:rFonts w:ascii="Times New Roman" w:hAnsi="Times New Roman"/>
        </w:rPr>
        <w:t xml:space="preserve"> </w:t>
      </w:r>
      <w:r w:rsidR="009164BD" w:rsidRPr="007954B9">
        <w:rPr>
          <w:rFonts w:ascii="Times New Roman" w:hAnsi="Times New Roman"/>
        </w:rPr>
        <w:t xml:space="preserve">that </w:t>
      </w:r>
      <w:r w:rsidR="0035705D" w:rsidRPr="007954B9">
        <w:rPr>
          <w:rFonts w:ascii="Times New Roman" w:hAnsi="Times New Roman"/>
        </w:rPr>
        <w:t>"the persons, property, and events in respect of which Parliament has legislated are presumed to be limited to those in the territory over which it has jurisdiction and for the welfare of which it exercises that jurisdiction".</w:t>
      </w:r>
      <w:r w:rsidR="001F63BA" w:rsidRPr="007954B9">
        <w:rPr>
          <w:rFonts w:ascii="Times New Roman" w:hAnsi="Times New Roman"/>
        </w:rPr>
        <w:t xml:space="preserve"> </w:t>
      </w:r>
      <w:r w:rsidR="00FB1FA0" w:rsidRPr="007954B9">
        <w:rPr>
          <w:rFonts w:ascii="Times New Roman" w:hAnsi="Times New Roman"/>
        </w:rPr>
        <w:t>Th</w:t>
      </w:r>
      <w:r w:rsidR="008F17E9" w:rsidRPr="007954B9">
        <w:rPr>
          <w:rFonts w:ascii="Times New Roman" w:hAnsi="Times New Roman"/>
        </w:rPr>
        <w:t>e</w:t>
      </w:r>
      <w:r w:rsidR="00FB5901" w:rsidRPr="007954B9">
        <w:rPr>
          <w:rFonts w:ascii="Times New Roman" w:hAnsi="Times New Roman"/>
        </w:rPr>
        <w:t xml:space="preserve"> </w:t>
      </w:r>
      <w:r w:rsidR="00D36385" w:rsidRPr="007954B9">
        <w:rPr>
          <w:rFonts w:ascii="Times New Roman" w:hAnsi="Times New Roman"/>
        </w:rPr>
        <w:t xml:space="preserve">precise formulation </w:t>
      </w:r>
      <w:r w:rsidR="008F17E9" w:rsidRPr="007954B9">
        <w:rPr>
          <w:rFonts w:ascii="Times New Roman" w:hAnsi="Times New Roman"/>
        </w:rPr>
        <w:t>of that</w:t>
      </w:r>
      <w:r w:rsidR="00FB1FA0" w:rsidRPr="007954B9">
        <w:rPr>
          <w:rFonts w:ascii="Times New Roman" w:hAnsi="Times New Roman"/>
        </w:rPr>
        <w:t xml:space="preserve"> statement</w:t>
      </w:r>
      <w:r w:rsidR="00577DA3" w:rsidRPr="007954B9">
        <w:rPr>
          <w:rFonts w:ascii="Times New Roman" w:hAnsi="Times New Roman"/>
        </w:rPr>
        <w:t xml:space="preserve">, </w:t>
      </w:r>
      <w:r w:rsidR="00D9624C" w:rsidRPr="007954B9">
        <w:rPr>
          <w:rFonts w:ascii="Times New Roman" w:hAnsi="Times New Roman"/>
        </w:rPr>
        <w:t>and of</w:t>
      </w:r>
      <w:r w:rsidR="00577DA3" w:rsidRPr="007954B9">
        <w:rPr>
          <w:rFonts w:ascii="Times New Roman" w:hAnsi="Times New Roman"/>
        </w:rPr>
        <w:t xml:space="preserve"> a similar statement </w:t>
      </w:r>
      <w:r w:rsidR="00B24614" w:rsidRPr="007954B9">
        <w:rPr>
          <w:rFonts w:ascii="Times New Roman" w:hAnsi="Times New Roman"/>
        </w:rPr>
        <w:t xml:space="preserve">made </w:t>
      </w:r>
      <w:r w:rsidR="00577DA3" w:rsidRPr="007954B9">
        <w:rPr>
          <w:rFonts w:ascii="Times New Roman" w:hAnsi="Times New Roman"/>
        </w:rPr>
        <w:t>by Barton</w:t>
      </w:r>
      <w:r w:rsidR="00946B78" w:rsidRPr="007954B9">
        <w:rPr>
          <w:rFonts w:ascii="Times New Roman" w:hAnsi="Times New Roman"/>
        </w:rPr>
        <w:t> J</w:t>
      </w:r>
      <w:r w:rsidR="00E711EA" w:rsidRPr="007954B9">
        <w:rPr>
          <w:rStyle w:val="FootnoteReference"/>
          <w:rFonts w:ascii="Times New Roman" w:hAnsi="Times New Roman"/>
          <w:sz w:val="24"/>
        </w:rPr>
        <w:footnoteReference w:id="24"/>
      </w:r>
      <w:r w:rsidR="00E21F3C" w:rsidRPr="007954B9">
        <w:rPr>
          <w:rFonts w:ascii="Times New Roman" w:hAnsi="Times New Roman"/>
        </w:rPr>
        <w:t>,</w:t>
      </w:r>
      <w:r w:rsidR="00946B78" w:rsidRPr="007954B9">
        <w:rPr>
          <w:rFonts w:ascii="Times New Roman" w:hAnsi="Times New Roman"/>
        </w:rPr>
        <w:t xml:space="preserve"> </w:t>
      </w:r>
      <w:r w:rsidR="005C5FFB" w:rsidRPr="007954B9">
        <w:rPr>
          <w:rFonts w:ascii="Times New Roman" w:hAnsi="Times New Roman"/>
        </w:rPr>
        <w:t xml:space="preserve">can be seen in </w:t>
      </w:r>
      <w:r w:rsidR="0051216C" w:rsidRPr="007954B9">
        <w:rPr>
          <w:rFonts w:ascii="Times New Roman" w:hAnsi="Times New Roman"/>
        </w:rPr>
        <w:t>th</w:t>
      </w:r>
      <w:r w:rsidR="001E3553" w:rsidRPr="007954B9">
        <w:rPr>
          <w:rFonts w:ascii="Times New Roman" w:hAnsi="Times New Roman"/>
        </w:rPr>
        <w:t xml:space="preserve">e context of </w:t>
      </w:r>
      <w:r w:rsidR="001E3553" w:rsidRPr="007954B9">
        <w:rPr>
          <w:rFonts w:ascii="Times New Roman" w:hAnsi="Times New Roman"/>
          <w:i/>
          <w:iCs/>
        </w:rPr>
        <w:t>Morgan v White</w:t>
      </w:r>
      <w:r w:rsidR="00D36385" w:rsidRPr="007954B9">
        <w:rPr>
          <w:rFonts w:ascii="Times New Roman" w:hAnsi="Times New Roman"/>
          <w:i/>
        </w:rPr>
        <w:t xml:space="preserve"> </w:t>
      </w:r>
      <w:r w:rsidR="00D36385" w:rsidRPr="007954B9">
        <w:rPr>
          <w:rFonts w:ascii="Times New Roman" w:hAnsi="Times New Roman"/>
        </w:rPr>
        <w:t>to have been influenced by ninetee</w:t>
      </w:r>
      <w:r w:rsidR="009B572B" w:rsidRPr="007954B9">
        <w:rPr>
          <w:rFonts w:ascii="Times New Roman" w:hAnsi="Times New Roman"/>
        </w:rPr>
        <w:t>n</w:t>
      </w:r>
      <w:r w:rsidR="00D36385" w:rsidRPr="007954B9">
        <w:rPr>
          <w:rFonts w:ascii="Times New Roman" w:hAnsi="Times New Roman"/>
        </w:rPr>
        <w:t xml:space="preserve">th </w:t>
      </w:r>
      <w:r w:rsidR="002A45A7" w:rsidRPr="007954B9">
        <w:rPr>
          <w:rFonts w:ascii="Times New Roman" w:hAnsi="Times New Roman"/>
        </w:rPr>
        <w:t xml:space="preserve">and early twentieth </w:t>
      </w:r>
      <w:r w:rsidR="00D36385" w:rsidRPr="007954B9">
        <w:rPr>
          <w:rFonts w:ascii="Times New Roman" w:hAnsi="Times New Roman"/>
        </w:rPr>
        <w:t>century</w:t>
      </w:r>
      <w:r w:rsidR="009B572B" w:rsidRPr="007954B9">
        <w:rPr>
          <w:rFonts w:ascii="Times New Roman" w:hAnsi="Times New Roman"/>
        </w:rPr>
        <w:t xml:space="preserve"> notions of territorial restrictions</w:t>
      </w:r>
      <w:r w:rsidR="00B01729" w:rsidRPr="007954B9">
        <w:rPr>
          <w:rFonts w:ascii="Times New Roman" w:hAnsi="Times New Roman"/>
        </w:rPr>
        <w:t xml:space="preserve"> </w:t>
      </w:r>
      <w:r w:rsidR="00673BB0" w:rsidRPr="007954B9">
        <w:rPr>
          <w:rFonts w:ascii="Times New Roman" w:hAnsi="Times New Roman"/>
        </w:rPr>
        <w:t>on legislative power</w:t>
      </w:r>
      <w:r w:rsidR="00A06482" w:rsidRPr="007954B9">
        <w:rPr>
          <w:rStyle w:val="FootnoteReference"/>
          <w:rFonts w:ascii="Times New Roman" w:hAnsi="Times New Roman"/>
          <w:sz w:val="24"/>
        </w:rPr>
        <w:footnoteReference w:id="25"/>
      </w:r>
      <w:r w:rsidR="00B24614" w:rsidRPr="007954B9">
        <w:rPr>
          <w:rFonts w:ascii="Times New Roman" w:hAnsi="Times New Roman"/>
        </w:rPr>
        <w:t>. Those notions</w:t>
      </w:r>
      <w:r w:rsidR="00673BB0" w:rsidRPr="007954B9">
        <w:rPr>
          <w:rFonts w:ascii="Times New Roman" w:hAnsi="Times New Roman"/>
        </w:rPr>
        <w:t xml:space="preserve"> </w:t>
      </w:r>
      <w:r w:rsidR="00C53E19" w:rsidRPr="007954B9">
        <w:rPr>
          <w:rFonts w:ascii="Times New Roman" w:hAnsi="Times New Roman"/>
        </w:rPr>
        <w:t>ceased</w:t>
      </w:r>
      <w:r w:rsidR="003F426A" w:rsidRPr="007954B9">
        <w:rPr>
          <w:rFonts w:ascii="Times New Roman" w:hAnsi="Times New Roman"/>
        </w:rPr>
        <w:t xml:space="preserve"> to have any </w:t>
      </w:r>
      <w:r w:rsidR="002F0CF7" w:rsidRPr="007954B9">
        <w:rPr>
          <w:rFonts w:ascii="Times New Roman" w:hAnsi="Times New Roman"/>
        </w:rPr>
        <w:t>relevance</w:t>
      </w:r>
      <w:r w:rsidR="003F426A" w:rsidRPr="007954B9">
        <w:rPr>
          <w:rFonts w:ascii="Times New Roman" w:hAnsi="Times New Roman"/>
        </w:rPr>
        <w:t xml:space="preserve"> to Commonwealth legislative power</w:t>
      </w:r>
      <w:r w:rsidR="002F0CF7" w:rsidRPr="007954B9">
        <w:rPr>
          <w:rFonts w:ascii="Times New Roman" w:hAnsi="Times New Roman"/>
        </w:rPr>
        <w:t xml:space="preserve"> </w:t>
      </w:r>
      <w:r w:rsidR="00B25EE1" w:rsidRPr="007954B9">
        <w:rPr>
          <w:rFonts w:ascii="Times New Roman" w:hAnsi="Times New Roman"/>
        </w:rPr>
        <w:t>by the time of</w:t>
      </w:r>
      <w:r w:rsidR="009F55D6" w:rsidRPr="007954B9">
        <w:rPr>
          <w:rFonts w:ascii="Times New Roman" w:hAnsi="Times New Roman"/>
        </w:rPr>
        <w:t xml:space="preserve"> the </w:t>
      </w:r>
      <w:r w:rsidR="00261A54" w:rsidRPr="007954B9">
        <w:rPr>
          <w:rFonts w:ascii="Times New Roman" w:hAnsi="Times New Roman"/>
        </w:rPr>
        <w:t xml:space="preserve">commencement of the </w:t>
      </w:r>
      <w:r w:rsidR="00474032" w:rsidRPr="007954B9">
        <w:rPr>
          <w:rFonts w:ascii="Times New Roman" w:hAnsi="Times New Roman"/>
          <w:i/>
          <w:iCs/>
        </w:rPr>
        <w:t>Statute of Westminster Adoption Act 1942</w:t>
      </w:r>
      <w:r w:rsidR="00474032" w:rsidRPr="007954B9">
        <w:rPr>
          <w:rFonts w:ascii="Times New Roman" w:hAnsi="Times New Roman"/>
        </w:rPr>
        <w:t xml:space="preserve"> (Cth)</w:t>
      </w:r>
      <w:r w:rsidR="00474032" w:rsidRPr="007954B9">
        <w:rPr>
          <w:rStyle w:val="FootnoteReference"/>
          <w:rFonts w:ascii="Times New Roman" w:hAnsi="Times New Roman"/>
          <w:sz w:val="24"/>
        </w:rPr>
        <w:footnoteReference w:id="26"/>
      </w:r>
      <w:r w:rsidR="00474032" w:rsidRPr="007954B9">
        <w:rPr>
          <w:rFonts w:ascii="Times New Roman" w:hAnsi="Times New Roman"/>
        </w:rPr>
        <w:t xml:space="preserve">. </w:t>
      </w:r>
    </w:p>
    <w:p w14:paraId="110A901C" w14:textId="51298173" w:rsidR="00F9260C" w:rsidRPr="007954B9" w:rsidRDefault="00D70257"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A83036" w:rsidRPr="007954B9">
        <w:rPr>
          <w:rFonts w:ascii="Times New Roman" w:hAnsi="Times New Roman"/>
        </w:rPr>
        <w:t>Nevertheless, i</w:t>
      </w:r>
      <w:r w:rsidR="00A1255D" w:rsidRPr="007954B9">
        <w:rPr>
          <w:rFonts w:ascii="Times New Roman" w:hAnsi="Times New Roman"/>
        </w:rPr>
        <w:t xml:space="preserve">n </w:t>
      </w:r>
      <w:r w:rsidR="00A1255D" w:rsidRPr="007954B9">
        <w:rPr>
          <w:rFonts w:ascii="Times New Roman" w:hAnsi="Times New Roman"/>
          <w:i/>
          <w:iCs/>
        </w:rPr>
        <w:t>Meyer Heine Pty L</w:t>
      </w:r>
      <w:r w:rsidR="00D33138" w:rsidRPr="007954B9">
        <w:rPr>
          <w:rFonts w:ascii="Times New Roman" w:hAnsi="Times New Roman"/>
          <w:i/>
          <w:iCs/>
        </w:rPr>
        <w:t>t</w:t>
      </w:r>
      <w:r w:rsidR="00A1255D" w:rsidRPr="007954B9">
        <w:rPr>
          <w:rFonts w:ascii="Times New Roman" w:hAnsi="Times New Roman"/>
          <w:i/>
          <w:iCs/>
        </w:rPr>
        <w:t>d v China Navigation Co L</w:t>
      </w:r>
      <w:r w:rsidR="0063561A" w:rsidRPr="007954B9">
        <w:rPr>
          <w:rFonts w:ascii="Times New Roman" w:hAnsi="Times New Roman"/>
          <w:i/>
          <w:iCs/>
        </w:rPr>
        <w:t>t</w:t>
      </w:r>
      <w:r w:rsidR="00A1255D" w:rsidRPr="007954B9">
        <w:rPr>
          <w:rFonts w:ascii="Times New Roman" w:hAnsi="Times New Roman"/>
          <w:i/>
          <w:iCs/>
        </w:rPr>
        <w:t>d</w:t>
      </w:r>
      <w:r w:rsidR="00A1255D" w:rsidRPr="007954B9">
        <w:rPr>
          <w:rStyle w:val="FootnoteReference"/>
          <w:rFonts w:ascii="Times New Roman" w:hAnsi="Times New Roman"/>
          <w:sz w:val="24"/>
        </w:rPr>
        <w:footnoteReference w:id="27"/>
      </w:r>
      <w:r w:rsidR="00D05835" w:rsidRPr="007954B9">
        <w:rPr>
          <w:rFonts w:ascii="Times New Roman" w:hAnsi="Times New Roman"/>
          <w:i/>
        </w:rPr>
        <w:t>,</w:t>
      </w:r>
      <w:r w:rsidR="003F426A" w:rsidRPr="007954B9">
        <w:rPr>
          <w:rFonts w:ascii="Times New Roman" w:hAnsi="Times New Roman"/>
          <w:i/>
        </w:rPr>
        <w:t xml:space="preserve"> </w:t>
      </w:r>
      <w:r w:rsidR="00AE6025" w:rsidRPr="007954B9">
        <w:rPr>
          <w:rFonts w:ascii="Times New Roman" w:hAnsi="Times New Roman"/>
        </w:rPr>
        <w:t>Taylor</w:t>
      </w:r>
      <w:r w:rsidR="00946B78" w:rsidRPr="007954B9">
        <w:rPr>
          <w:rFonts w:ascii="Times New Roman" w:hAnsi="Times New Roman"/>
        </w:rPr>
        <w:t> J</w:t>
      </w:r>
      <w:r w:rsidR="007E7AEA" w:rsidRPr="007954B9">
        <w:rPr>
          <w:rFonts w:ascii="Times New Roman" w:hAnsi="Times New Roman"/>
        </w:rPr>
        <w:t xml:space="preserve"> referred to</w:t>
      </w:r>
      <w:r w:rsidR="00AE6025" w:rsidRPr="007954B9">
        <w:rPr>
          <w:rFonts w:ascii="Times New Roman" w:hAnsi="Times New Roman"/>
        </w:rPr>
        <w:t xml:space="preserve"> </w:t>
      </w:r>
      <w:r w:rsidR="00926B96" w:rsidRPr="007954B9">
        <w:rPr>
          <w:rFonts w:ascii="Times New Roman" w:hAnsi="Times New Roman"/>
        </w:rPr>
        <w:t xml:space="preserve">the </w:t>
      </w:r>
      <w:r w:rsidR="00B01729" w:rsidRPr="007954B9">
        <w:rPr>
          <w:rFonts w:ascii="Times New Roman" w:hAnsi="Times New Roman"/>
        </w:rPr>
        <w:t xml:space="preserve">statement </w:t>
      </w:r>
      <w:r w:rsidR="0096501C" w:rsidRPr="007954B9">
        <w:rPr>
          <w:rFonts w:ascii="Times New Roman" w:hAnsi="Times New Roman"/>
        </w:rPr>
        <w:t>made by Isaacs</w:t>
      </w:r>
      <w:r w:rsidR="00946B78" w:rsidRPr="007954B9">
        <w:rPr>
          <w:rFonts w:ascii="Times New Roman" w:hAnsi="Times New Roman"/>
        </w:rPr>
        <w:t xml:space="preserve"> J </w:t>
      </w:r>
      <w:r w:rsidR="00AE7894" w:rsidRPr="007954B9">
        <w:rPr>
          <w:rFonts w:ascii="Times New Roman" w:hAnsi="Times New Roman"/>
        </w:rPr>
        <w:t xml:space="preserve">in </w:t>
      </w:r>
      <w:r w:rsidR="00AE7894" w:rsidRPr="007954B9">
        <w:rPr>
          <w:rFonts w:ascii="Times New Roman" w:hAnsi="Times New Roman"/>
          <w:i/>
          <w:iCs/>
        </w:rPr>
        <w:t>Morgan v White</w:t>
      </w:r>
      <w:r w:rsidR="0049696A" w:rsidRPr="007954B9">
        <w:rPr>
          <w:rFonts w:ascii="Times New Roman" w:hAnsi="Times New Roman"/>
        </w:rPr>
        <w:t xml:space="preserve"> as </w:t>
      </w:r>
      <w:r w:rsidR="00A15DBA" w:rsidRPr="007954B9">
        <w:rPr>
          <w:rFonts w:ascii="Times New Roman" w:hAnsi="Times New Roman"/>
        </w:rPr>
        <w:t>one of a number of</w:t>
      </w:r>
      <w:r w:rsidR="0049696A" w:rsidRPr="007954B9">
        <w:rPr>
          <w:rFonts w:ascii="Times New Roman" w:hAnsi="Times New Roman"/>
        </w:rPr>
        <w:t xml:space="preserve"> expression</w:t>
      </w:r>
      <w:r w:rsidR="00A15DBA" w:rsidRPr="007954B9">
        <w:rPr>
          <w:rFonts w:ascii="Times New Roman" w:hAnsi="Times New Roman"/>
        </w:rPr>
        <w:t>s</w:t>
      </w:r>
      <w:r w:rsidR="0049696A" w:rsidRPr="007954B9">
        <w:rPr>
          <w:rFonts w:ascii="Times New Roman" w:hAnsi="Times New Roman"/>
        </w:rPr>
        <w:t xml:space="preserve"> of the common law presumption appropriate to be applied to a </w:t>
      </w:r>
      <w:r w:rsidR="00285B46" w:rsidRPr="007954B9">
        <w:rPr>
          <w:rFonts w:ascii="Times New Roman" w:hAnsi="Times New Roman"/>
        </w:rPr>
        <w:t xml:space="preserve">Commonwealth </w:t>
      </w:r>
      <w:r w:rsidR="0049696A" w:rsidRPr="007954B9">
        <w:rPr>
          <w:rFonts w:ascii="Times New Roman" w:hAnsi="Times New Roman"/>
        </w:rPr>
        <w:t>statute</w:t>
      </w:r>
      <w:r w:rsidR="001656F0" w:rsidRPr="007954B9">
        <w:rPr>
          <w:rFonts w:ascii="Times New Roman" w:hAnsi="Times New Roman"/>
        </w:rPr>
        <w:t xml:space="preserve"> </w:t>
      </w:r>
      <w:r w:rsidR="0049696A" w:rsidRPr="007954B9">
        <w:rPr>
          <w:rFonts w:ascii="Times New Roman" w:hAnsi="Times New Roman"/>
        </w:rPr>
        <w:t>penalis</w:t>
      </w:r>
      <w:r w:rsidR="005A7B3E" w:rsidRPr="007954B9">
        <w:rPr>
          <w:rFonts w:ascii="Times New Roman" w:hAnsi="Times New Roman"/>
        </w:rPr>
        <w:t>ing the</w:t>
      </w:r>
      <w:r w:rsidR="001656F0" w:rsidRPr="007954B9">
        <w:rPr>
          <w:rFonts w:ascii="Times New Roman" w:hAnsi="Times New Roman"/>
        </w:rPr>
        <w:t xml:space="preserve"> </w:t>
      </w:r>
      <w:r w:rsidR="005A7B3E" w:rsidRPr="007954B9">
        <w:rPr>
          <w:rFonts w:ascii="Times New Roman" w:hAnsi="Times New Roman"/>
        </w:rPr>
        <w:t>entering into of a contract in restraint of trade</w:t>
      </w:r>
      <w:r w:rsidR="0049696A" w:rsidRPr="007954B9">
        <w:rPr>
          <w:rFonts w:ascii="Times New Roman" w:hAnsi="Times New Roman"/>
        </w:rPr>
        <w:t>. Windeyer</w:t>
      </w:r>
      <w:r w:rsidR="00946B78" w:rsidRPr="007954B9">
        <w:rPr>
          <w:rFonts w:ascii="Times New Roman" w:hAnsi="Times New Roman"/>
        </w:rPr>
        <w:t xml:space="preserve"> J </w:t>
      </w:r>
      <w:r w:rsidR="0049696A" w:rsidRPr="007954B9">
        <w:rPr>
          <w:rFonts w:ascii="Times New Roman" w:hAnsi="Times New Roman"/>
        </w:rPr>
        <w:t xml:space="preserve">expressed the presumption in </w:t>
      </w:r>
      <w:r w:rsidR="008B3B53" w:rsidRPr="007954B9">
        <w:rPr>
          <w:rFonts w:ascii="Times New Roman" w:hAnsi="Times New Roman"/>
        </w:rPr>
        <w:t>language</w:t>
      </w:r>
      <w:r w:rsidR="008C753B" w:rsidRPr="007954B9">
        <w:rPr>
          <w:rFonts w:ascii="Times New Roman" w:hAnsi="Times New Roman"/>
        </w:rPr>
        <w:t xml:space="preserve"> </w:t>
      </w:r>
      <w:r w:rsidR="0049696A" w:rsidRPr="007954B9">
        <w:rPr>
          <w:rFonts w:ascii="Times New Roman" w:hAnsi="Times New Roman"/>
        </w:rPr>
        <w:t>similarly tailored</w:t>
      </w:r>
      <w:r w:rsidR="008C753B" w:rsidRPr="007954B9">
        <w:rPr>
          <w:rFonts w:ascii="Times New Roman" w:hAnsi="Times New Roman"/>
        </w:rPr>
        <w:t xml:space="preserve"> </w:t>
      </w:r>
      <w:r w:rsidR="0088239C" w:rsidRPr="007954B9">
        <w:rPr>
          <w:rFonts w:ascii="Times New Roman" w:hAnsi="Times New Roman"/>
        </w:rPr>
        <w:t xml:space="preserve">to the statute in issue </w:t>
      </w:r>
      <w:r w:rsidR="0049696A" w:rsidRPr="007954B9">
        <w:rPr>
          <w:rFonts w:ascii="Times New Roman" w:hAnsi="Times New Roman"/>
        </w:rPr>
        <w:t xml:space="preserve">when he framed the question for decision in </w:t>
      </w:r>
      <w:r w:rsidR="000805AF" w:rsidRPr="007954B9">
        <w:rPr>
          <w:rFonts w:ascii="Times New Roman" w:hAnsi="Times New Roman"/>
          <w:i/>
          <w:iCs/>
        </w:rPr>
        <w:t>Meyer Heine</w:t>
      </w:r>
      <w:r w:rsidR="0049696A" w:rsidRPr="007954B9">
        <w:rPr>
          <w:rFonts w:ascii="Times New Roman" w:hAnsi="Times New Roman"/>
        </w:rPr>
        <w:t xml:space="preserve"> as "whether the prima facie presumption, that the Act does not extend to penalize acts done outside Australia, by foreigners, has been displaced"</w:t>
      </w:r>
      <w:r w:rsidR="0049696A" w:rsidRPr="007954B9">
        <w:rPr>
          <w:rStyle w:val="FootnoteReference"/>
          <w:rFonts w:ascii="Times New Roman" w:hAnsi="Times New Roman"/>
          <w:sz w:val="24"/>
        </w:rPr>
        <w:footnoteReference w:id="28"/>
      </w:r>
      <w:r w:rsidR="0049696A" w:rsidRPr="007954B9">
        <w:rPr>
          <w:rFonts w:ascii="Times New Roman" w:hAnsi="Times New Roman"/>
        </w:rPr>
        <w:t>.</w:t>
      </w:r>
    </w:p>
    <w:p w14:paraId="3B2E6ECE" w14:textId="012B9620" w:rsidR="002E18FD" w:rsidRPr="007954B9" w:rsidRDefault="00F9260C"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825333" w:rsidRPr="007954B9">
        <w:rPr>
          <w:rFonts w:ascii="Times New Roman" w:hAnsi="Times New Roman"/>
        </w:rPr>
        <w:t>T</w:t>
      </w:r>
      <w:r w:rsidR="00926B96" w:rsidRPr="007954B9">
        <w:rPr>
          <w:rFonts w:ascii="Times New Roman" w:hAnsi="Times New Roman"/>
        </w:rPr>
        <w:t xml:space="preserve">he </w:t>
      </w:r>
      <w:r w:rsidR="00B01729" w:rsidRPr="007954B9">
        <w:rPr>
          <w:rFonts w:ascii="Times New Roman" w:hAnsi="Times New Roman"/>
        </w:rPr>
        <w:t xml:space="preserve">statement </w:t>
      </w:r>
      <w:r w:rsidR="0096501C" w:rsidRPr="007954B9">
        <w:rPr>
          <w:rFonts w:ascii="Times New Roman" w:hAnsi="Times New Roman"/>
        </w:rPr>
        <w:t>made by Isaacs</w:t>
      </w:r>
      <w:r w:rsidR="00946B78" w:rsidRPr="007954B9">
        <w:rPr>
          <w:rFonts w:ascii="Times New Roman" w:hAnsi="Times New Roman"/>
        </w:rPr>
        <w:t xml:space="preserve"> J </w:t>
      </w:r>
      <w:r w:rsidR="00826D25" w:rsidRPr="007954B9">
        <w:rPr>
          <w:rFonts w:ascii="Times New Roman" w:hAnsi="Times New Roman"/>
        </w:rPr>
        <w:t xml:space="preserve">in </w:t>
      </w:r>
      <w:r w:rsidR="00826D25" w:rsidRPr="007954B9">
        <w:rPr>
          <w:rFonts w:ascii="Times New Roman" w:hAnsi="Times New Roman"/>
          <w:i/>
          <w:iCs/>
        </w:rPr>
        <w:t>Morgan v White</w:t>
      </w:r>
      <w:r w:rsidR="00826D25" w:rsidRPr="007954B9">
        <w:rPr>
          <w:rFonts w:ascii="Times New Roman" w:hAnsi="Times New Roman"/>
        </w:rPr>
        <w:t xml:space="preserve"> </w:t>
      </w:r>
      <w:r w:rsidR="0096501C" w:rsidRPr="007954B9">
        <w:rPr>
          <w:rFonts w:ascii="Times New Roman" w:hAnsi="Times New Roman"/>
        </w:rPr>
        <w:t>was and remains</w:t>
      </w:r>
      <w:r w:rsidR="00B01729" w:rsidRPr="007954B9">
        <w:rPr>
          <w:rFonts w:ascii="Times New Roman" w:hAnsi="Times New Roman"/>
        </w:rPr>
        <w:t xml:space="preserve"> an adequate reflection of the common law presumption </w:t>
      </w:r>
      <w:r w:rsidR="00C85F8A" w:rsidRPr="007954B9">
        <w:rPr>
          <w:rFonts w:ascii="Times New Roman" w:hAnsi="Times New Roman"/>
        </w:rPr>
        <w:t>in ma</w:t>
      </w:r>
      <w:r w:rsidR="00976C2F" w:rsidRPr="007954B9">
        <w:rPr>
          <w:rFonts w:ascii="Times New Roman" w:hAnsi="Times New Roman"/>
        </w:rPr>
        <w:t>ny</w:t>
      </w:r>
      <w:r w:rsidR="00B01729" w:rsidRPr="007954B9">
        <w:rPr>
          <w:rFonts w:ascii="Times New Roman" w:hAnsi="Times New Roman"/>
        </w:rPr>
        <w:t xml:space="preserve"> </w:t>
      </w:r>
      <w:r w:rsidR="00976C2F" w:rsidRPr="007954B9">
        <w:rPr>
          <w:rFonts w:ascii="Times New Roman" w:hAnsi="Times New Roman"/>
        </w:rPr>
        <w:t>statutory contexts</w:t>
      </w:r>
      <w:r w:rsidR="00B05BC5" w:rsidRPr="007954B9">
        <w:rPr>
          <w:rFonts w:ascii="Times New Roman" w:hAnsi="Times New Roman"/>
        </w:rPr>
        <w:t xml:space="preserve">. But </w:t>
      </w:r>
      <w:r w:rsidR="00826A89" w:rsidRPr="007954B9">
        <w:rPr>
          <w:rFonts w:ascii="Times New Roman" w:hAnsi="Times New Roman"/>
        </w:rPr>
        <w:t>as a generalisation</w:t>
      </w:r>
      <w:r w:rsidR="0065372F" w:rsidRPr="007954B9">
        <w:rPr>
          <w:rFonts w:ascii="Times New Roman" w:hAnsi="Times New Roman"/>
        </w:rPr>
        <w:t xml:space="preserve"> it is too broad.</w:t>
      </w:r>
    </w:p>
    <w:p w14:paraId="0F40C300" w14:textId="24D6B851" w:rsidR="009F43F5" w:rsidRPr="007954B9" w:rsidRDefault="002E18FD" w:rsidP="007954B9">
      <w:pPr>
        <w:pStyle w:val="FixListStyle"/>
        <w:spacing w:after="260" w:line="280" w:lineRule="exact"/>
        <w:ind w:right="0"/>
        <w:jc w:val="both"/>
        <w:rPr>
          <w:rFonts w:ascii="Times New Roman" w:hAnsi="Times New Roman"/>
        </w:rPr>
      </w:pPr>
      <w:r w:rsidRPr="007954B9">
        <w:rPr>
          <w:rFonts w:ascii="Times New Roman" w:hAnsi="Times New Roman"/>
        </w:rPr>
        <w:lastRenderedPageBreak/>
        <w:tab/>
      </w:r>
      <w:r w:rsidR="0083640C" w:rsidRPr="007954B9">
        <w:rPr>
          <w:rFonts w:ascii="Times New Roman" w:hAnsi="Times New Roman"/>
        </w:rPr>
        <w:t>Exp</w:t>
      </w:r>
      <w:r w:rsidR="00701645" w:rsidRPr="007954B9">
        <w:rPr>
          <w:rFonts w:ascii="Times New Roman" w:hAnsi="Times New Roman"/>
        </w:rPr>
        <w:t xml:space="preserve">osition </w:t>
      </w:r>
      <w:r w:rsidR="003B6EA3" w:rsidRPr="007954B9">
        <w:rPr>
          <w:rFonts w:ascii="Times New Roman" w:hAnsi="Times New Roman"/>
        </w:rPr>
        <w:t>of the</w:t>
      </w:r>
      <w:r w:rsidR="00D544CC" w:rsidRPr="007954B9">
        <w:rPr>
          <w:rFonts w:ascii="Times New Roman" w:hAnsi="Times New Roman"/>
        </w:rPr>
        <w:t xml:space="preserve"> </w:t>
      </w:r>
      <w:r w:rsidR="00A80D26" w:rsidRPr="007954B9">
        <w:rPr>
          <w:rFonts w:ascii="Times New Roman" w:hAnsi="Times New Roman"/>
        </w:rPr>
        <w:t>common law presumption</w:t>
      </w:r>
      <w:r w:rsidR="00DB4F1B" w:rsidRPr="007954B9">
        <w:rPr>
          <w:rFonts w:ascii="Times New Roman" w:hAnsi="Times New Roman"/>
        </w:rPr>
        <w:t xml:space="preserve"> </w:t>
      </w:r>
      <w:r w:rsidR="008F19E0" w:rsidRPr="007954B9">
        <w:rPr>
          <w:rFonts w:ascii="Times New Roman" w:hAnsi="Times New Roman"/>
        </w:rPr>
        <w:t>in play i</w:t>
      </w:r>
      <w:r w:rsidR="008C463A" w:rsidRPr="007954B9">
        <w:rPr>
          <w:rFonts w:ascii="Times New Roman" w:hAnsi="Times New Roman"/>
        </w:rPr>
        <w:t xml:space="preserve">n </w:t>
      </w:r>
      <w:r w:rsidR="000D10A7" w:rsidRPr="007954B9">
        <w:rPr>
          <w:rFonts w:ascii="Times New Roman" w:hAnsi="Times New Roman"/>
          <w:i/>
          <w:iCs/>
        </w:rPr>
        <w:t xml:space="preserve">Morgan v White </w:t>
      </w:r>
      <w:r w:rsidR="000D10A7" w:rsidRPr="007954B9">
        <w:rPr>
          <w:rFonts w:ascii="Times New Roman" w:hAnsi="Times New Roman"/>
        </w:rPr>
        <w:t xml:space="preserve">and </w:t>
      </w:r>
      <w:r w:rsidR="008F19E0" w:rsidRPr="007954B9">
        <w:rPr>
          <w:rFonts w:ascii="Times New Roman" w:hAnsi="Times New Roman"/>
        </w:rPr>
        <w:t>i</w:t>
      </w:r>
      <w:r w:rsidR="008C463A" w:rsidRPr="007954B9">
        <w:rPr>
          <w:rFonts w:ascii="Times New Roman" w:hAnsi="Times New Roman"/>
        </w:rPr>
        <w:t xml:space="preserve">n </w:t>
      </w:r>
      <w:r w:rsidR="008C463A" w:rsidRPr="007954B9">
        <w:rPr>
          <w:rFonts w:ascii="Times New Roman" w:hAnsi="Times New Roman"/>
          <w:i/>
          <w:iCs/>
        </w:rPr>
        <w:t>Meyer Heine</w:t>
      </w:r>
      <w:r w:rsidR="008C463A" w:rsidRPr="007954B9">
        <w:rPr>
          <w:rFonts w:ascii="Times New Roman" w:hAnsi="Times New Roman"/>
        </w:rPr>
        <w:t xml:space="preserve"> </w:t>
      </w:r>
      <w:r w:rsidR="00173000" w:rsidRPr="007954B9">
        <w:rPr>
          <w:rFonts w:ascii="Times New Roman" w:hAnsi="Times New Roman"/>
        </w:rPr>
        <w:t xml:space="preserve">can be traced </w:t>
      </w:r>
      <w:r w:rsidR="009771A1" w:rsidRPr="007954B9">
        <w:rPr>
          <w:rFonts w:ascii="Times New Roman" w:hAnsi="Times New Roman"/>
        </w:rPr>
        <w:t>in Australia to</w:t>
      </w:r>
      <w:r w:rsidR="00A621D0" w:rsidRPr="007954B9">
        <w:rPr>
          <w:rFonts w:ascii="Times New Roman" w:hAnsi="Times New Roman"/>
        </w:rPr>
        <w:t xml:space="preserve"> </w:t>
      </w:r>
      <w:r w:rsidR="00173000" w:rsidRPr="007954B9">
        <w:rPr>
          <w:rFonts w:ascii="Times New Roman" w:hAnsi="Times New Roman"/>
          <w:i/>
          <w:iCs/>
        </w:rPr>
        <w:t>Jumbunna Coal Mine</w:t>
      </w:r>
      <w:r w:rsidR="002804F7" w:rsidRPr="007954B9">
        <w:rPr>
          <w:rFonts w:ascii="Times New Roman" w:hAnsi="Times New Roman"/>
          <w:i/>
          <w:iCs/>
        </w:rPr>
        <w:t>,</w:t>
      </w:r>
      <w:r w:rsidR="00173000" w:rsidRPr="007954B9">
        <w:rPr>
          <w:rFonts w:ascii="Times New Roman" w:hAnsi="Times New Roman"/>
          <w:i/>
          <w:iCs/>
        </w:rPr>
        <w:t xml:space="preserve"> No Liability v Victorian Coal Miners' Association</w:t>
      </w:r>
      <w:r w:rsidR="008C6D50" w:rsidRPr="007954B9">
        <w:rPr>
          <w:rStyle w:val="FootnoteReference"/>
          <w:rFonts w:ascii="Times New Roman" w:hAnsi="Times New Roman"/>
          <w:sz w:val="24"/>
        </w:rPr>
        <w:footnoteReference w:id="29"/>
      </w:r>
      <w:r w:rsidR="00C450DC" w:rsidRPr="007954B9">
        <w:rPr>
          <w:rFonts w:ascii="Times New Roman" w:hAnsi="Times New Roman"/>
        </w:rPr>
        <w:t>. There O'Connor</w:t>
      </w:r>
      <w:r w:rsidR="00946B78" w:rsidRPr="007954B9">
        <w:rPr>
          <w:rFonts w:ascii="Times New Roman" w:hAnsi="Times New Roman"/>
        </w:rPr>
        <w:t xml:space="preserve"> J </w:t>
      </w:r>
      <w:r w:rsidR="00C450DC" w:rsidRPr="007954B9">
        <w:rPr>
          <w:rFonts w:ascii="Times New Roman" w:hAnsi="Times New Roman"/>
        </w:rPr>
        <w:t>said</w:t>
      </w:r>
      <w:r w:rsidR="00C450DC" w:rsidRPr="007954B9">
        <w:rPr>
          <w:rStyle w:val="FootnoteReference"/>
          <w:rFonts w:ascii="Times New Roman" w:hAnsi="Times New Roman"/>
          <w:sz w:val="24"/>
        </w:rPr>
        <w:footnoteReference w:id="30"/>
      </w:r>
      <w:r w:rsidR="00C450DC" w:rsidRPr="007954B9">
        <w:rPr>
          <w:rFonts w:ascii="Times New Roman" w:hAnsi="Times New Roman"/>
        </w:rPr>
        <w:t>:</w:t>
      </w:r>
    </w:p>
    <w:p w14:paraId="5AF4B2D0" w14:textId="77777777" w:rsidR="007954B9" w:rsidRDefault="00383431" w:rsidP="007954B9">
      <w:pPr>
        <w:pStyle w:val="leftright"/>
        <w:spacing w:before="0" w:after="260" w:line="280" w:lineRule="exact"/>
        <w:ind w:right="0"/>
        <w:jc w:val="both"/>
        <w:rPr>
          <w:rFonts w:ascii="Times New Roman" w:hAnsi="Times New Roman"/>
        </w:rPr>
      </w:pPr>
      <w:r w:rsidRPr="007954B9">
        <w:rPr>
          <w:rFonts w:ascii="Times New Roman" w:hAnsi="Times New Roman"/>
        </w:rPr>
        <w:t>"</w:t>
      </w:r>
      <w:r w:rsidR="005474B7" w:rsidRPr="007954B9">
        <w:rPr>
          <w:rFonts w:ascii="Times New Roman" w:hAnsi="Times New Roman"/>
        </w:rPr>
        <w:t xml:space="preserve">Most Statutes, if their general words were to be taken literally in their widest sense, would apply to the whole world, but they are always read as being </w:t>
      </w:r>
      <w:r w:rsidR="005474B7" w:rsidRPr="007954B9">
        <w:rPr>
          <w:rFonts w:ascii="Times New Roman" w:hAnsi="Times New Roman"/>
          <w:i/>
        </w:rPr>
        <w:t>prima facie</w:t>
      </w:r>
      <w:r w:rsidR="005474B7" w:rsidRPr="007954B9">
        <w:rPr>
          <w:rFonts w:ascii="Times New Roman" w:hAnsi="Times New Roman"/>
        </w:rPr>
        <w:t xml:space="preserve"> restricted in their operation within territorial limits. Under the same general presumption every Statute is to be so interpretated and applied as far as its language admits as not to be inconsistent with the comity of nations or with the established rules of international law: </w:t>
      </w:r>
      <w:r w:rsidR="005474B7" w:rsidRPr="007954B9">
        <w:rPr>
          <w:rFonts w:ascii="Times New Roman" w:hAnsi="Times New Roman"/>
          <w:i/>
          <w:iCs/>
        </w:rPr>
        <w:t>Maxwell on Statu</w:t>
      </w:r>
      <w:r w:rsidR="00D21B17" w:rsidRPr="007954B9">
        <w:rPr>
          <w:rFonts w:ascii="Times New Roman" w:hAnsi="Times New Roman"/>
          <w:i/>
          <w:iCs/>
        </w:rPr>
        <w:t>t</w:t>
      </w:r>
      <w:r w:rsidR="005474B7" w:rsidRPr="007954B9">
        <w:rPr>
          <w:rFonts w:ascii="Times New Roman" w:hAnsi="Times New Roman"/>
          <w:i/>
          <w:iCs/>
        </w:rPr>
        <w:t>es</w:t>
      </w:r>
      <w:r w:rsidR="005474B7" w:rsidRPr="007954B9">
        <w:rPr>
          <w:rFonts w:ascii="Times New Roman" w:hAnsi="Times New Roman"/>
        </w:rPr>
        <w:t xml:space="preserve">, 3rd </w:t>
      </w:r>
      <w:r w:rsidR="00B87720" w:rsidRPr="007954B9">
        <w:rPr>
          <w:rFonts w:ascii="Times New Roman" w:hAnsi="Times New Roman"/>
        </w:rPr>
        <w:t xml:space="preserve">ed, </w:t>
      </w:r>
      <w:r w:rsidR="005474B7" w:rsidRPr="007954B9">
        <w:rPr>
          <w:rFonts w:ascii="Times New Roman" w:hAnsi="Times New Roman"/>
        </w:rPr>
        <w:t>p 20</w:t>
      </w:r>
      <w:r w:rsidR="00603DEE" w:rsidRPr="007954B9">
        <w:rPr>
          <w:rFonts w:ascii="Times New Roman" w:hAnsi="Times New Roman"/>
        </w:rPr>
        <w:t>0</w:t>
      </w:r>
      <w:r w:rsidR="005474B7" w:rsidRPr="007954B9">
        <w:rPr>
          <w:rFonts w:ascii="Times New Roman" w:hAnsi="Times New Roman"/>
        </w:rPr>
        <w:t>."</w:t>
      </w:r>
    </w:p>
    <w:p w14:paraId="5D1CC111" w14:textId="50620207" w:rsidR="00817500" w:rsidRPr="007954B9" w:rsidRDefault="00BA516A" w:rsidP="007954B9">
      <w:pPr>
        <w:pStyle w:val="FixListStyle"/>
        <w:spacing w:after="260" w:line="280" w:lineRule="exact"/>
        <w:ind w:right="0"/>
        <w:jc w:val="both"/>
        <w:rPr>
          <w:rFonts w:ascii="Times New Roman" w:hAnsi="Times New Roman"/>
        </w:rPr>
      </w:pPr>
      <w:r w:rsidRPr="007954B9">
        <w:rPr>
          <w:rFonts w:ascii="Times New Roman" w:hAnsi="Times New Roman"/>
        </w:rPr>
        <w:tab/>
        <w:t>Plainly,</w:t>
      </w:r>
      <w:r w:rsidR="009532A0" w:rsidRPr="007954B9">
        <w:rPr>
          <w:rFonts w:ascii="Times New Roman" w:hAnsi="Times New Roman"/>
        </w:rPr>
        <w:t xml:space="preserve"> O'Connor</w:t>
      </w:r>
      <w:r w:rsidR="00946B78" w:rsidRPr="007954B9">
        <w:rPr>
          <w:rFonts w:ascii="Times New Roman" w:hAnsi="Times New Roman"/>
        </w:rPr>
        <w:t xml:space="preserve"> J </w:t>
      </w:r>
      <w:r w:rsidR="00C450DC" w:rsidRPr="007954B9">
        <w:rPr>
          <w:rFonts w:ascii="Times New Roman" w:hAnsi="Times New Roman"/>
        </w:rPr>
        <w:t>did not see</w:t>
      </w:r>
      <w:r w:rsidR="000E2725" w:rsidRPr="007954B9">
        <w:rPr>
          <w:rFonts w:ascii="Times New Roman" w:hAnsi="Times New Roman"/>
        </w:rPr>
        <w:t xml:space="preserve"> the </w:t>
      </w:r>
      <w:r w:rsidR="00457BC7" w:rsidRPr="007954B9">
        <w:rPr>
          <w:rFonts w:ascii="Times New Roman" w:hAnsi="Times New Roman"/>
        </w:rPr>
        <w:t xml:space="preserve">implied </w:t>
      </w:r>
      <w:r w:rsidR="000E2725" w:rsidRPr="007954B9">
        <w:rPr>
          <w:rFonts w:ascii="Times New Roman" w:hAnsi="Times New Roman"/>
        </w:rPr>
        <w:t xml:space="preserve">restriction </w:t>
      </w:r>
      <w:r w:rsidR="00EF66BF" w:rsidRPr="007954B9">
        <w:rPr>
          <w:rFonts w:ascii="Times New Roman" w:hAnsi="Times New Roman"/>
        </w:rPr>
        <w:t>o</w:t>
      </w:r>
      <w:r w:rsidR="00457BC7" w:rsidRPr="007954B9">
        <w:rPr>
          <w:rFonts w:ascii="Times New Roman" w:hAnsi="Times New Roman"/>
        </w:rPr>
        <w:t>n</w:t>
      </w:r>
      <w:r w:rsidR="00EF66BF" w:rsidRPr="007954B9">
        <w:rPr>
          <w:rFonts w:ascii="Times New Roman" w:hAnsi="Times New Roman"/>
        </w:rPr>
        <w:t xml:space="preserve"> the </w:t>
      </w:r>
      <w:r w:rsidR="00457BC7" w:rsidRPr="007954B9">
        <w:rPr>
          <w:rFonts w:ascii="Times New Roman" w:hAnsi="Times New Roman"/>
        </w:rPr>
        <w:t xml:space="preserve">territorial </w:t>
      </w:r>
      <w:r w:rsidR="00EF66BF" w:rsidRPr="007954B9">
        <w:rPr>
          <w:rFonts w:ascii="Times New Roman" w:hAnsi="Times New Roman"/>
        </w:rPr>
        <w:t xml:space="preserve">operation of a statute to which he referred </w:t>
      </w:r>
      <w:r w:rsidR="00457BC7" w:rsidRPr="007954B9">
        <w:rPr>
          <w:rFonts w:ascii="Times New Roman" w:hAnsi="Times New Roman"/>
        </w:rPr>
        <w:t xml:space="preserve">in the first sentence </w:t>
      </w:r>
      <w:r w:rsidR="00DC70FF" w:rsidRPr="007954B9">
        <w:rPr>
          <w:rFonts w:ascii="Times New Roman" w:hAnsi="Times New Roman"/>
        </w:rPr>
        <w:t xml:space="preserve">as </w:t>
      </w:r>
      <w:r w:rsidR="00F24B72" w:rsidRPr="007954B9">
        <w:rPr>
          <w:rFonts w:ascii="Times New Roman" w:hAnsi="Times New Roman"/>
        </w:rPr>
        <w:t>free</w:t>
      </w:r>
      <w:r w:rsidR="00DC70FF" w:rsidRPr="007954B9">
        <w:rPr>
          <w:rFonts w:ascii="Times New Roman" w:hAnsi="Times New Roman"/>
        </w:rPr>
        <w:t>standing</w:t>
      </w:r>
      <w:r w:rsidR="00C10DFD" w:rsidRPr="007954B9">
        <w:rPr>
          <w:rFonts w:ascii="Times New Roman" w:hAnsi="Times New Roman"/>
        </w:rPr>
        <w:t xml:space="preserve"> but </w:t>
      </w:r>
      <w:r w:rsidR="00C450DC" w:rsidRPr="007954B9">
        <w:rPr>
          <w:rFonts w:ascii="Times New Roman" w:hAnsi="Times New Roman"/>
        </w:rPr>
        <w:t xml:space="preserve">rather </w:t>
      </w:r>
      <w:r w:rsidR="00EF66BF" w:rsidRPr="007954B9">
        <w:rPr>
          <w:rFonts w:ascii="Times New Roman" w:hAnsi="Times New Roman"/>
        </w:rPr>
        <w:t>as a</w:t>
      </w:r>
      <w:r w:rsidR="00C10DFD" w:rsidRPr="007954B9">
        <w:rPr>
          <w:rFonts w:ascii="Times New Roman" w:hAnsi="Times New Roman"/>
        </w:rPr>
        <w:t xml:space="preserve"> reflection</w:t>
      </w:r>
      <w:r w:rsidR="00EF66BF" w:rsidRPr="007954B9">
        <w:rPr>
          <w:rFonts w:ascii="Times New Roman" w:hAnsi="Times New Roman"/>
        </w:rPr>
        <w:t xml:space="preserve"> of </w:t>
      </w:r>
      <w:r w:rsidR="00EE19C4" w:rsidRPr="007954B9">
        <w:rPr>
          <w:rFonts w:ascii="Times New Roman" w:hAnsi="Times New Roman"/>
        </w:rPr>
        <w:t xml:space="preserve">the "general </w:t>
      </w:r>
      <w:r w:rsidR="00EF66BF" w:rsidRPr="007954B9">
        <w:rPr>
          <w:rFonts w:ascii="Times New Roman" w:hAnsi="Times New Roman"/>
        </w:rPr>
        <w:t>presumption</w:t>
      </w:r>
      <w:r w:rsidR="00EE19C4" w:rsidRPr="007954B9">
        <w:rPr>
          <w:rFonts w:ascii="Times New Roman" w:hAnsi="Times New Roman"/>
        </w:rPr>
        <w:t>"</w:t>
      </w:r>
      <w:r w:rsidR="00E84249" w:rsidRPr="007954B9">
        <w:rPr>
          <w:rFonts w:ascii="Times New Roman" w:hAnsi="Times New Roman"/>
        </w:rPr>
        <w:t xml:space="preserve"> </w:t>
      </w:r>
      <w:r w:rsidR="00DC70FF" w:rsidRPr="007954B9">
        <w:rPr>
          <w:rFonts w:ascii="Times New Roman" w:hAnsi="Times New Roman"/>
        </w:rPr>
        <w:t>which he</w:t>
      </w:r>
      <w:r w:rsidR="00E84249" w:rsidRPr="007954B9">
        <w:rPr>
          <w:rFonts w:ascii="Times New Roman" w:hAnsi="Times New Roman"/>
        </w:rPr>
        <w:t xml:space="preserve"> expressed </w:t>
      </w:r>
      <w:r w:rsidR="00160E60" w:rsidRPr="007954B9">
        <w:rPr>
          <w:rFonts w:ascii="Times New Roman" w:hAnsi="Times New Roman"/>
        </w:rPr>
        <w:t>in the second sentence</w:t>
      </w:r>
      <w:r w:rsidR="00046AD6" w:rsidRPr="007954B9">
        <w:rPr>
          <w:rFonts w:ascii="Times New Roman" w:hAnsi="Times New Roman"/>
        </w:rPr>
        <w:t xml:space="preserve"> </w:t>
      </w:r>
      <w:r w:rsidR="00C450DC" w:rsidRPr="007954B9">
        <w:rPr>
          <w:rFonts w:ascii="Times New Roman" w:hAnsi="Times New Roman"/>
        </w:rPr>
        <w:t>with reference to</w:t>
      </w:r>
      <w:r w:rsidR="00FE30C9" w:rsidRPr="007954B9">
        <w:rPr>
          <w:rFonts w:ascii="Times New Roman" w:hAnsi="Times New Roman"/>
        </w:rPr>
        <w:t xml:space="preserve"> </w:t>
      </w:r>
      <w:r w:rsidR="00160E60" w:rsidRPr="007954B9">
        <w:rPr>
          <w:rFonts w:ascii="Times New Roman" w:hAnsi="Times New Roman"/>
          <w:i/>
          <w:iCs/>
        </w:rPr>
        <w:t>Maxwell on Statutes</w:t>
      </w:r>
      <w:r w:rsidR="00C450DC" w:rsidRPr="007954B9">
        <w:rPr>
          <w:rFonts w:ascii="Times New Roman" w:hAnsi="Times New Roman"/>
        </w:rPr>
        <w:t xml:space="preserve">. There, the </w:t>
      </w:r>
      <w:r w:rsidR="00EE19C4" w:rsidRPr="007954B9">
        <w:rPr>
          <w:rFonts w:ascii="Times New Roman" w:hAnsi="Times New Roman"/>
        </w:rPr>
        <w:t>presumption</w:t>
      </w:r>
      <w:r w:rsidR="00E57EF3" w:rsidRPr="007954B9">
        <w:rPr>
          <w:rFonts w:ascii="Times New Roman" w:hAnsi="Times New Roman"/>
        </w:rPr>
        <w:t xml:space="preserve"> appeared</w:t>
      </w:r>
      <w:r w:rsidR="00EE19C4" w:rsidRPr="007954B9">
        <w:rPr>
          <w:rFonts w:ascii="Times New Roman" w:hAnsi="Times New Roman"/>
        </w:rPr>
        <w:t xml:space="preserve"> in the precise terms adopted</w:t>
      </w:r>
      <w:r w:rsidR="0070643C" w:rsidRPr="007954B9">
        <w:rPr>
          <w:rFonts w:ascii="Times New Roman" w:hAnsi="Times New Roman"/>
        </w:rPr>
        <w:t xml:space="preserve"> </w:t>
      </w:r>
      <w:r w:rsidR="00703E0C" w:rsidRPr="007954B9">
        <w:rPr>
          <w:rFonts w:ascii="Times New Roman" w:hAnsi="Times New Roman"/>
        </w:rPr>
        <w:t xml:space="preserve">by </w:t>
      </w:r>
      <w:r w:rsidR="0070643C" w:rsidRPr="007954B9">
        <w:rPr>
          <w:rFonts w:ascii="Times New Roman" w:hAnsi="Times New Roman"/>
        </w:rPr>
        <w:t>O'Connor</w:t>
      </w:r>
      <w:r w:rsidR="00946B78" w:rsidRPr="007954B9">
        <w:rPr>
          <w:rFonts w:ascii="Times New Roman" w:hAnsi="Times New Roman"/>
        </w:rPr>
        <w:t xml:space="preserve"> J </w:t>
      </w:r>
      <w:r w:rsidR="00BB6C5A" w:rsidRPr="007954B9">
        <w:rPr>
          <w:rFonts w:ascii="Times New Roman" w:hAnsi="Times New Roman"/>
        </w:rPr>
        <w:t>under the heading "</w:t>
      </w:r>
      <w:r w:rsidR="00C142BC" w:rsidRPr="007954B9">
        <w:rPr>
          <w:rFonts w:ascii="Times New Roman" w:hAnsi="Times New Roman"/>
        </w:rPr>
        <w:t>P</w:t>
      </w:r>
      <w:r w:rsidR="007D017E" w:rsidRPr="007954B9">
        <w:rPr>
          <w:rFonts w:ascii="Times New Roman" w:hAnsi="Times New Roman"/>
        </w:rPr>
        <w:t>resumption against</w:t>
      </w:r>
      <w:r w:rsidR="003D1F26" w:rsidRPr="007954B9">
        <w:rPr>
          <w:rFonts w:ascii="Times New Roman" w:hAnsi="Times New Roman"/>
        </w:rPr>
        <w:t xml:space="preserve"> </w:t>
      </w:r>
      <w:r w:rsidR="00647534" w:rsidRPr="007954B9">
        <w:rPr>
          <w:rFonts w:ascii="Times New Roman" w:hAnsi="Times New Roman"/>
        </w:rPr>
        <w:t xml:space="preserve">a </w:t>
      </w:r>
      <w:r w:rsidR="00C142BC" w:rsidRPr="007954B9">
        <w:rPr>
          <w:rFonts w:ascii="Times New Roman" w:hAnsi="Times New Roman"/>
        </w:rPr>
        <w:t>V</w:t>
      </w:r>
      <w:r w:rsidR="007D017E" w:rsidRPr="007954B9">
        <w:rPr>
          <w:rFonts w:ascii="Times New Roman" w:hAnsi="Times New Roman"/>
        </w:rPr>
        <w:t>iolation</w:t>
      </w:r>
      <w:r w:rsidR="0046442C" w:rsidRPr="007954B9">
        <w:rPr>
          <w:rFonts w:ascii="Times New Roman" w:hAnsi="Times New Roman"/>
        </w:rPr>
        <w:t xml:space="preserve"> of </w:t>
      </w:r>
      <w:r w:rsidR="00C142BC" w:rsidRPr="007954B9">
        <w:rPr>
          <w:rFonts w:ascii="Times New Roman" w:hAnsi="Times New Roman"/>
        </w:rPr>
        <w:t>I</w:t>
      </w:r>
      <w:r w:rsidR="00BA7014" w:rsidRPr="007954B9">
        <w:rPr>
          <w:rFonts w:ascii="Times New Roman" w:hAnsi="Times New Roman"/>
        </w:rPr>
        <w:t xml:space="preserve">nternational </w:t>
      </w:r>
      <w:r w:rsidR="00C142BC" w:rsidRPr="007954B9">
        <w:rPr>
          <w:rFonts w:ascii="Times New Roman" w:hAnsi="Times New Roman"/>
        </w:rPr>
        <w:t>L</w:t>
      </w:r>
      <w:r w:rsidR="00BA7014" w:rsidRPr="007954B9">
        <w:rPr>
          <w:rFonts w:ascii="Times New Roman" w:hAnsi="Times New Roman"/>
        </w:rPr>
        <w:t>aw"</w:t>
      </w:r>
      <w:r w:rsidR="008058DF" w:rsidRPr="007954B9">
        <w:rPr>
          <w:rStyle w:val="FootnoteReference"/>
          <w:rFonts w:ascii="Times New Roman" w:hAnsi="Times New Roman"/>
          <w:sz w:val="24"/>
        </w:rPr>
        <w:footnoteReference w:id="31"/>
      </w:r>
      <w:r w:rsidR="00BA7014" w:rsidRPr="007954B9">
        <w:rPr>
          <w:rFonts w:ascii="Times New Roman" w:hAnsi="Times New Roman"/>
        </w:rPr>
        <w:t>.</w:t>
      </w:r>
    </w:p>
    <w:p w14:paraId="7B5BE198" w14:textId="66C1F184" w:rsidR="00B45B8F" w:rsidRPr="007954B9" w:rsidRDefault="00817500"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214734" w:rsidRPr="007954B9">
        <w:rPr>
          <w:rFonts w:ascii="Times New Roman" w:hAnsi="Times New Roman"/>
        </w:rPr>
        <w:t>I</w:t>
      </w:r>
      <w:r w:rsidR="00575804" w:rsidRPr="007954B9">
        <w:rPr>
          <w:rFonts w:ascii="Times New Roman" w:hAnsi="Times New Roman"/>
        </w:rPr>
        <w:t xml:space="preserve">n </w:t>
      </w:r>
      <w:r w:rsidR="00575804" w:rsidRPr="007954B9">
        <w:rPr>
          <w:rFonts w:ascii="Times New Roman" w:hAnsi="Times New Roman"/>
          <w:i/>
          <w:iCs/>
        </w:rPr>
        <w:t xml:space="preserve">Barcelo v Electrolytic Zinc Co of Australasia </w:t>
      </w:r>
      <w:r w:rsidR="00C83591" w:rsidRPr="007954B9">
        <w:rPr>
          <w:rFonts w:ascii="Times New Roman" w:hAnsi="Times New Roman"/>
          <w:i/>
          <w:iCs/>
        </w:rPr>
        <w:t>Ltd</w:t>
      </w:r>
      <w:r w:rsidR="00575804" w:rsidRPr="007954B9">
        <w:rPr>
          <w:rStyle w:val="FootnoteReference"/>
          <w:rFonts w:ascii="Times New Roman" w:hAnsi="Times New Roman"/>
          <w:sz w:val="24"/>
        </w:rPr>
        <w:footnoteReference w:id="32"/>
      </w:r>
      <w:r w:rsidR="004E7F10" w:rsidRPr="007954B9">
        <w:rPr>
          <w:rFonts w:ascii="Times New Roman" w:hAnsi="Times New Roman"/>
        </w:rPr>
        <w:t>,</w:t>
      </w:r>
      <w:r w:rsidR="00494C77" w:rsidRPr="007954B9">
        <w:rPr>
          <w:rFonts w:ascii="Times New Roman" w:hAnsi="Times New Roman"/>
        </w:rPr>
        <w:t xml:space="preserve"> Dixon</w:t>
      </w:r>
      <w:r w:rsidR="00946B78" w:rsidRPr="007954B9">
        <w:rPr>
          <w:rFonts w:ascii="Times New Roman" w:hAnsi="Times New Roman"/>
        </w:rPr>
        <w:t xml:space="preserve"> J </w:t>
      </w:r>
      <w:r w:rsidR="00494C77" w:rsidRPr="007954B9">
        <w:rPr>
          <w:rFonts w:ascii="Times New Roman" w:hAnsi="Times New Roman"/>
        </w:rPr>
        <w:t>expressed the presumption</w:t>
      </w:r>
      <w:r w:rsidR="004E7F10" w:rsidRPr="007954B9">
        <w:rPr>
          <w:rFonts w:ascii="Times New Roman" w:hAnsi="Times New Roman"/>
          <w:i/>
          <w:iCs/>
        </w:rPr>
        <w:t xml:space="preserve"> </w:t>
      </w:r>
      <w:r w:rsidR="008B7F7F" w:rsidRPr="007954B9">
        <w:rPr>
          <w:rFonts w:ascii="Times New Roman" w:hAnsi="Times New Roman"/>
        </w:rPr>
        <w:t xml:space="preserve">in </w:t>
      </w:r>
      <w:r w:rsidR="00FA2704" w:rsidRPr="007954B9">
        <w:rPr>
          <w:rFonts w:ascii="Times New Roman" w:hAnsi="Times New Roman"/>
        </w:rPr>
        <w:t xml:space="preserve">the same </w:t>
      </w:r>
      <w:r w:rsidR="008B7F7F" w:rsidRPr="007954B9">
        <w:rPr>
          <w:rFonts w:ascii="Times New Roman" w:hAnsi="Times New Roman"/>
        </w:rPr>
        <w:t xml:space="preserve">language drawn from </w:t>
      </w:r>
      <w:r w:rsidR="008B7F7F" w:rsidRPr="007954B9">
        <w:rPr>
          <w:rFonts w:ascii="Times New Roman" w:hAnsi="Times New Roman"/>
          <w:i/>
          <w:iCs/>
        </w:rPr>
        <w:t>Maxwell on Statutes</w:t>
      </w:r>
      <w:r w:rsidR="00180235" w:rsidRPr="007954B9">
        <w:rPr>
          <w:rFonts w:ascii="Times New Roman" w:hAnsi="Times New Roman"/>
          <w:i/>
          <w:iCs/>
        </w:rPr>
        <w:t xml:space="preserve"> </w:t>
      </w:r>
      <w:r w:rsidR="008B7F7F" w:rsidRPr="007954B9">
        <w:rPr>
          <w:rFonts w:ascii="Times New Roman" w:hAnsi="Times New Roman"/>
        </w:rPr>
        <w:t xml:space="preserve">as </w:t>
      </w:r>
      <w:r w:rsidR="00FA2704" w:rsidRPr="007954B9">
        <w:rPr>
          <w:rFonts w:ascii="Times New Roman" w:hAnsi="Times New Roman"/>
        </w:rPr>
        <w:t xml:space="preserve">had been </w:t>
      </w:r>
      <w:r w:rsidR="008B7F7F" w:rsidRPr="007954B9">
        <w:rPr>
          <w:rFonts w:ascii="Times New Roman" w:hAnsi="Times New Roman"/>
        </w:rPr>
        <w:t>adopted</w:t>
      </w:r>
      <w:r w:rsidR="00ED46E2" w:rsidRPr="007954B9">
        <w:rPr>
          <w:rFonts w:ascii="Times New Roman" w:hAnsi="Times New Roman"/>
        </w:rPr>
        <w:t xml:space="preserve"> </w:t>
      </w:r>
      <w:r w:rsidR="006C4647" w:rsidRPr="007954B9">
        <w:rPr>
          <w:rFonts w:ascii="Times New Roman" w:hAnsi="Times New Roman"/>
        </w:rPr>
        <w:t>by O'Connor</w:t>
      </w:r>
      <w:r w:rsidR="00946B78" w:rsidRPr="007954B9">
        <w:rPr>
          <w:rFonts w:ascii="Times New Roman" w:hAnsi="Times New Roman"/>
        </w:rPr>
        <w:t xml:space="preserve"> J </w:t>
      </w:r>
      <w:r w:rsidR="006C4647" w:rsidRPr="007954B9">
        <w:rPr>
          <w:rFonts w:ascii="Times New Roman" w:hAnsi="Times New Roman"/>
        </w:rPr>
        <w:t xml:space="preserve">in </w:t>
      </w:r>
      <w:r w:rsidR="006C4647" w:rsidRPr="007954B9">
        <w:rPr>
          <w:rFonts w:ascii="Times New Roman" w:hAnsi="Times New Roman"/>
          <w:i/>
          <w:iCs/>
        </w:rPr>
        <w:t>Jumbunna</w:t>
      </w:r>
      <w:r w:rsidR="008B7F7F" w:rsidRPr="007954B9">
        <w:rPr>
          <w:rFonts w:ascii="Times New Roman" w:hAnsi="Times New Roman"/>
        </w:rPr>
        <w:t>. His Honour did so</w:t>
      </w:r>
      <w:r w:rsidR="005B10A7" w:rsidRPr="007954B9">
        <w:rPr>
          <w:rFonts w:ascii="Times New Roman" w:hAnsi="Times New Roman"/>
        </w:rPr>
        <w:t xml:space="preserve"> </w:t>
      </w:r>
      <w:r w:rsidR="006C4647" w:rsidRPr="007954B9">
        <w:rPr>
          <w:rFonts w:ascii="Times New Roman" w:hAnsi="Times New Roman"/>
        </w:rPr>
        <w:t>interchangeably with</w:t>
      </w:r>
      <w:r w:rsidR="004269A2" w:rsidRPr="007954B9">
        <w:rPr>
          <w:rFonts w:ascii="Times New Roman" w:hAnsi="Times New Roman"/>
        </w:rPr>
        <w:t xml:space="preserve"> </w:t>
      </w:r>
      <w:r w:rsidR="00544455" w:rsidRPr="007954B9">
        <w:rPr>
          <w:rFonts w:ascii="Times New Roman" w:hAnsi="Times New Roman"/>
        </w:rPr>
        <w:t>language</w:t>
      </w:r>
      <w:r w:rsidR="004B53DE" w:rsidRPr="007954B9">
        <w:rPr>
          <w:rFonts w:ascii="Times New Roman" w:hAnsi="Times New Roman"/>
        </w:rPr>
        <w:t xml:space="preserve"> drawn from nineteenth century English authority</w:t>
      </w:r>
      <w:r w:rsidR="00544455" w:rsidRPr="007954B9">
        <w:rPr>
          <w:rFonts w:ascii="Times New Roman" w:hAnsi="Times New Roman"/>
        </w:rPr>
        <w:t xml:space="preserve"> </w:t>
      </w:r>
      <w:r w:rsidR="00A666F3" w:rsidRPr="007954B9">
        <w:rPr>
          <w:rFonts w:ascii="Times New Roman" w:hAnsi="Times New Roman"/>
        </w:rPr>
        <w:t xml:space="preserve">to the effect </w:t>
      </w:r>
      <w:r w:rsidR="004269A2" w:rsidRPr="007954B9">
        <w:rPr>
          <w:rFonts w:ascii="Times New Roman" w:hAnsi="Times New Roman"/>
        </w:rPr>
        <w:t>that</w:t>
      </w:r>
      <w:r w:rsidR="002A5309" w:rsidRPr="007954B9">
        <w:rPr>
          <w:rFonts w:ascii="Times New Roman" w:hAnsi="Times New Roman"/>
        </w:rPr>
        <w:t xml:space="preserve"> </w:t>
      </w:r>
      <w:r w:rsidR="004B53DE" w:rsidRPr="007954B9">
        <w:rPr>
          <w:rFonts w:ascii="Times New Roman" w:hAnsi="Times New Roman"/>
        </w:rPr>
        <w:t>"[i]t</w:t>
      </w:r>
      <w:r w:rsidR="00544455" w:rsidRPr="007954B9">
        <w:rPr>
          <w:rFonts w:ascii="Times New Roman" w:hAnsi="Times New Roman"/>
        </w:rPr>
        <w:t xml:space="preserve"> </w:t>
      </w:r>
      <w:r w:rsidR="004B53DE" w:rsidRPr="007954B9">
        <w:rPr>
          <w:rFonts w:ascii="Times New Roman" w:hAnsi="Times New Roman"/>
        </w:rPr>
        <w:t>is always to be understood and implied that the legislature of a country is not intending to deal with persons or matters over which, according to the comity of nations, the jurisdiction properly belongs to some other sovereign or State"</w:t>
      </w:r>
      <w:r w:rsidR="00A531BD" w:rsidRPr="007954B9">
        <w:rPr>
          <w:rStyle w:val="FootnoteReference"/>
          <w:rFonts w:ascii="Times New Roman" w:hAnsi="Times New Roman"/>
          <w:sz w:val="24"/>
        </w:rPr>
        <w:footnoteReference w:id="33"/>
      </w:r>
      <w:r w:rsidR="004B53DE" w:rsidRPr="007954B9">
        <w:rPr>
          <w:rFonts w:ascii="Times New Roman" w:hAnsi="Times New Roman"/>
        </w:rPr>
        <w:t>.</w:t>
      </w:r>
      <w:r w:rsidR="006B0D4A" w:rsidRPr="007954B9">
        <w:rPr>
          <w:rFonts w:ascii="Times New Roman" w:hAnsi="Times New Roman"/>
        </w:rPr>
        <w:t xml:space="preserve"> </w:t>
      </w:r>
    </w:p>
    <w:p w14:paraId="2F75760D" w14:textId="00D660C6" w:rsidR="00D3500D" w:rsidRPr="007954B9" w:rsidRDefault="00D3500D" w:rsidP="007954B9">
      <w:pPr>
        <w:pStyle w:val="FixListStyle"/>
        <w:spacing w:after="260" w:line="280" w:lineRule="exact"/>
        <w:ind w:right="0"/>
        <w:jc w:val="both"/>
        <w:rPr>
          <w:rFonts w:ascii="Times New Roman" w:hAnsi="Times New Roman"/>
        </w:rPr>
      </w:pPr>
      <w:r w:rsidRPr="007954B9">
        <w:rPr>
          <w:rFonts w:ascii="Times New Roman" w:hAnsi="Times New Roman"/>
        </w:rPr>
        <w:tab/>
        <w:t>Dixon</w:t>
      </w:r>
      <w:r w:rsidR="00946B78" w:rsidRPr="007954B9">
        <w:rPr>
          <w:rFonts w:ascii="Times New Roman" w:hAnsi="Times New Roman"/>
        </w:rPr>
        <w:t xml:space="preserve"> J </w:t>
      </w:r>
      <w:r w:rsidR="0078322F" w:rsidRPr="007954B9">
        <w:rPr>
          <w:rFonts w:ascii="Times New Roman" w:hAnsi="Times New Roman"/>
        </w:rPr>
        <w:t xml:space="preserve">returned to the presumption </w:t>
      </w:r>
      <w:r w:rsidRPr="007954B9">
        <w:rPr>
          <w:rFonts w:ascii="Times New Roman" w:hAnsi="Times New Roman"/>
        </w:rPr>
        <w:t xml:space="preserve">in </w:t>
      </w:r>
      <w:r w:rsidRPr="007954B9">
        <w:rPr>
          <w:rFonts w:ascii="Times New Roman" w:hAnsi="Times New Roman"/>
          <w:i/>
          <w:iCs/>
        </w:rPr>
        <w:t>Wanganui-Rangitikei Electric Power Board v Australian Mutual Provident Society</w:t>
      </w:r>
      <w:r w:rsidRPr="007954B9">
        <w:rPr>
          <w:rStyle w:val="FootnoteReference"/>
          <w:rFonts w:ascii="Times New Roman" w:hAnsi="Times New Roman"/>
          <w:sz w:val="24"/>
        </w:rPr>
        <w:footnoteReference w:id="34"/>
      </w:r>
      <w:r w:rsidRPr="007954B9">
        <w:rPr>
          <w:rFonts w:ascii="Times New Roman" w:hAnsi="Times New Roman"/>
          <w:i/>
          <w:iCs/>
        </w:rPr>
        <w:t>.</w:t>
      </w:r>
      <w:r w:rsidRPr="007954B9">
        <w:rPr>
          <w:rFonts w:ascii="Times New Roman" w:hAnsi="Times New Roman"/>
        </w:rPr>
        <w:t xml:space="preserve"> The "well settled rule of construction", his Honour there explained, is that "an enactment describing acts, matters or things in general words, so that, if restrained by no consideration lying </w:t>
      </w:r>
      <w:r w:rsidRPr="007954B9">
        <w:rPr>
          <w:rFonts w:ascii="Times New Roman" w:hAnsi="Times New Roman"/>
        </w:rPr>
        <w:lastRenderedPageBreak/>
        <w:t>outside its expressed meaning, its intended application would be universal, is to be read as confined to what, according to the rules of international law administered or recognized in our Courts, it is within the province of our law to affect or control".</w:t>
      </w:r>
    </w:p>
    <w:p w14:paraId="3C67B518" w14:textId="208B35F2" w:rsidR="00A80D26" w:rsidRPr="007954B9" w:rsidRDefault="00B45B8F"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3F0144" w:rsidRPr="007954B9">
        <w:rPr>
          <w:rFonts w:ascii="Times New Roman" w:hAnsi="Times New Roman"/>
        </w:rPr>
        <w:t>In</w:t>
      </w:r>
      <w:r w:rsidR="00CD53C7" w:rsidRPr="007954B9">
        <w:rPr>
          <w:rFonts w:ascii="Times New Roman" w:hAnsi="Times New Roman"/>
        </w:rPr>
        <w:t xml:space="preserve"> </w:t>
      </w:r>
      <w:r w:rsidR="007D0636" w:rsidRPr="007954B9">
        <w:rPr>
          <w:rFonts w:ascii="Times New Roman" w:hAnsi="Times New Roman"/>
          <w:i/>
          <w:iCs/>
        </w:rPr>
        <w:t>R</w:t>
      </w:r>
      <w:r w:rsidR="00495CD3" w:rsidRPr="007954B9">
        <w:rPr>
          <w:rFonts w:ascii="Times New Roman" w:hAnsi="Times New Roman"/>
          <w:i/>
          <w:iCs/>
        </w:rPr>
        <w:t xml:space="preserve"> v Fo</w:t>
      </w:r>
      <w:r w:rsidR="00C76A8F" w:rsidRPr="007954B9">
        <w:rPr>
          <w:rFonts w:ascii="Times New Roman" w:hAnsi="Times New Roman"/>
          <w:i/>
          <w:iCs/>
        </w:rPr>
        <w:t>ster; Ex parte Eastern and Australian Steamship Co Ltd</w:t>
      </w:r>
      <w:r w:rsidR="00CD53C7" w:rsidRPr="007954B9">
        <w:rPr>
          <w:rStyle w:val="FootnoteReference"/>
          <w:rFonts w:ascii="Times New Roman" w:hAnsi="Times New Roman"/>
          <w:sz w:val="24"/>
        </w:rPr>
        <w:footnoteReference w:id="35"/>
      </w:r>
      <w:r w:rsidR="003F0144" w:rsidRPr="007954B9">
        <w:rPr>
          <w:rFonts w:ascii="Times New Roman" w:hAnsi="Times New Roman"/>
        </w:rPr>
        <w:t xml:space="preserve">, </w:t>
      </w:r>
      <w:r w:rsidRPr="007954B9">
        <w:rPr>
          <w:rFonts w:ascii="Times New Roman" w:hAnsi="Times New Roman"/>
        </w:rPr>
        <w:t>Dixon</w:t>
      </w:r>
      <w:r w:rsidR="00A31778" w:rsidRPr="007954B9">
        <w:rPr>
          <w:rFonts w:ascii="Times New Roman" w:hAnsi="Times New Roman"/>
        </w:rPr>
        <w:t> </w:t>
      </w:r>
      <w:r w:rsidRPr="007954B9">
        <w:rPr>
          <w:rFonts w:ascii="Times New Roman" w:hAnsi="Times New Roman"/>
        </w:rPr>
        <w:t>CJ</w:t>
      </w:r>
      <w:r w:rsidR="006B0D4A" w:rsidRPr="007954B9">
        <w:rPr>
          <w:rFonts w:ascii="Times New Roman" w:hAnsi="Times New Roman"/>
        </w:rPr>
        <w:t xml:space="preserve"> express</w:t>
      </w:r>
      <w:r w:rsidR="000B20D8" w:rsidRPr="007954B9">
        <w:rPr>
          <w:rFonts w:ascii="Times New Roman" w:hAnsi="Times New Roman"/>
        </w:rPr>
        <w:t>ed</w:t>
      </w:r>
      <w:r w:rsidR="006B0D4A" w:rsidRPr="007954B9">
        <w:rPr>
          <w:rFonts w:ascii="Times New Roman" w:hAnsi="Times New Roman"/>
        </w:rPr>
        <w:t xml:space="preserve"> </w:t>
      </w:r>
      <w:r w:rsidR="002A45D5" w:rsidRPr="007954B9">
        <w:rPr>
          <w:rFonts w:ascii="Times New Roman" w:hAnsi="Times New Roman"/>
        </w:rPr>
        <w:t>the presumption</w:t>
      </w:r>
      <w:r w:rsidR="00C76A8F" w:rsidRPr="007954B9">
        <w:rPr>
          <w:rFonts w:ascii="Times New Roman" w:hAnsi="Times New Roman"/>
        </w:rPr>
        <w:t xml:space="preserve"> </w:t>
      </w:r>
      <w:r w:rsidR="000B20D8" w:rsidRPr="007954B9">
        <w:rPr>
          <w:rFonts w:ascii="Times New Roman" w:hAnsi="Times New Roman"/>
        </w:rPr>
        <w:t xml:space="preserve">yet </w:t>
      </w:r>
      <w:r w:rsidR="007973A9" w:rsidRPr="007954B9">
        <w:rPr>
          <w:rFonts w:ascii="Times New Roman" w:hAnsi="Times New Roman"/>
        </w:rPr>
        <w:t>again</w:t>
      </w:r>
      <w:r w:rsidR="00A13A1D" w:rsidRPr="007954B9">
        <w:rPr>
          <w:rFonts w:ascii="Times New Roman" w:hAnsi="Times New Roman"/>
        </w:rPr>
        <w:t>.</w:t>
      </w:r>
      <w:r w:rsidR="000B20D8" w:rsidRPr="007954B9">
        <w:rPr>
          <w:rFonts w:ascii="Times New Roman" w:hAnsi="Times New Roman"/>
        </w:rPr>
        <w:t xml:space="preserve"> </w:t>
      </w:r>
      <w:r w:rsidR="00A13A1D" w:rsidRPr="007954B9">
        <w:rPr>
          <w:rFonts w:ascii="Times New Roman" w:hAnsi="Times New Roman"/>
        </w:rPr>
        <w:t>He did so</w:t>
      </w:r>
      <w:r w:rsidR="00783E6E" w:rsidRPr="007954B9">
        <w:rPr>
          <w:rFonts w:ascii="Times New Roman" w:hAnsi="Times New Roman"/>
        </w:rPr>
        <w:t xml:space="preserve">, </w:t>
      </w:r>
      <w:r w:rsidR="007973A9" w:rsidRPr="007954B9">
        <w:rPr>
          <w:rFonts w:ascii="Times New Roman" w:hAnsi="Times New Roman"/>
        </w:rPr>
        <w:t xml:space="preserve">more </w:t>
      </w:r>
      <w:r w:rsidR="00CD53C7" w:rsidRPr="007954B9">
        <w:rPr>
          <w:rFonts w:ascii="Times New Roman" w:hAnsi="Times New Roman"/>
        </w:rPr>
        <w:t>pithily</w:t>
      </w:r>
      <w:r w:rsidR="003F0144" w:rsidRPr="007954B9">
        <w:rPr>
          <w:rFonts w:ascii="Times New Roman" w:hAnsi="Times New Roman"/>
        </w:rPr>
        <w:t xml:space="preserve">, </w:t>
      </w:r>
      <w:r w:rsidR="0086287C" w:rsidRPr="007954B9">
        <w:rPr>
          <w:rFonts w:ascii="Times New Roman" w:hAnsi="Times New Roman"/>
        </w:rPr>
        <w:t xml:space="preserve">in terms </w:t>
      </w:r>
      <w:r w:rsidR="003F0144" w:rsidRPr="007954B9">
        <w:rPr>
          <w:rFonts w:ascii="Times New Roman" w:hAnsi="Times New Roman"/>
        </w:rPr>
        <w:t xml:space="preserve">which he </w:t>
      </w:r>
      <w:r w:rsidR="005C41FC" w:rsidRPr="007954B9">
        <w:rPr>
          <w:rFonts w:ascii="Times New Roman" w:hAnsi="Times New Roman"/>
        </w:rPr>
        <w:t xml:space="preserve">said were </w:t>
      </w:r>
      <w:r w:rsidR="0086287C" w:rsidRPr="007954B9">
        <w:rPr>
          <w:rFonts w:ascii="Times New Roman" w:hAnsi="Times New Roman"/>
        </w:rPr>
        <w:t xml:space="preserve">appropriate to be applied to a Commonwealth statute </w:t>
      </w:r>
      <w:r w:rsidR="003F0144" w:rsidRPr="007954B9">
        <w:rPr>
          <w:rFonts w:ascii="Times New Roman" w:hAnsi="Times New Roman"/>
        </w:rPr>
        <w:t xml:space="preserve">after </w:t>
      </w:r>
      <w:r w:rsidR="0086287C" w:rsidRPr="007954B9">
        <w:rPr>
          <w:rFonts w:ascii="Times New Roman" w:hAnsi="Times New Roman"/>
        </w:rPr>
        <w:t xml:space="preserve">the </w:t>
      </w:r>
      <w:r w:rsidR="0086287C" w:rsidRPr="007954B9">
        <w:rPr>
          <w:rFonts w:ascii="Times New Roman" w:hAnsi="Times New Roman"/>
          <w:i/>
          <w:iCs/>
        </w:rPr>
        <w:t>Statute of Westminster Adoption Act</w:t>
      </w:r>
      <w:r w:rsidR="006B68BF" w:rsidRPr="007954B9">
        <w:rPr>
          <w:rFonts w:ascii="Times New Roman" w:hAnsi="Times New Roman"/>
        </w:rPr>
        <w:t xml:space="preserve">. He described it </w:t>
      </w:r>
      <w:r w:rsidR="007F0324" w:rsidRPr="007954B9">
        <w:rPr>
          <w:rFonts w:ascii="Times New Roman" w:hAnsi="Times New Roman"/>
        </w:rPr>
        <w:t>as "</w:t>
      </w:r>
      <w:r w:rsidR="002B5C89" w:rsidRPr="007954B9">
        <w:rPr>
          <w:rFonts w:ascii="Times New Roman" w:hAnsi="Times New Roman"/>
        </w:rPr>
        <w:t xml:space="preserve">a presumption which assumes that the legislature is expressing itself only with respect to things which internationally considered are subject to </w:t>
      </w:r>
      <w:r w:rsidR="000A3EC4" w:rsidRPr="007954B9">
        <w:rPr>
          <w:rFonts w:ascii="Times New Roman" w:hAnsi="Times New Roman"/>
        </w:rPr>
        <w:t xml:space="preserve">its </w:t>
      </w:r>
      <w:r w:rsidR="002B5C89" w:rsidRPr="007954B9">
        <w:rPr>
          <w:rFonts w:ascii="Times New Roman" w:hAnsi="Times New Roman"/>
        </w:rPr>
        <w:t>own sovereign powers".</w:t>
      </w:r>
    </w:p>
    <w:p w14:paraId="747F6228" w14:textId="706BB2E8" w:rsidR="00D34259" w:rsidRPr="007954B9" w:rsidRDefault="00A80D26"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7C0D72" w:rsidRPr="007954B9">
        <w:rPr>
          <w:rFonts w:ascii="Times New Roman" w:hAnsi="Times New Roman"/>
        </w:rPr>
        <w:t xml:space="preserve">Understood in the </w:t>
      </w:r>
      <w:r w:rsidR="004B6FC4" w:rsidRPr="007954B9">
        <w:rPr>
          <w:rFonts w:ascii="Times New Roman" w:hAnsi="Times New Roman"/>
        </w:rPr>
        <w:t xml:space="preserve">more complete </w:t>
      </w:r>
      <w:r w:rsidR="007C0D72" w:rsidRPr="007954B9">
        <w:rPr>
          <w:rFonts w:ascii="Times New Roman" w:hAnsi="Times New Roman"/>
        </w:rPr>
        <w:t>terms</w:t>
      </w:r>
      <w:r w:rsidR="00C4558F" w:rsidRPr="007954B9">
        <w:rPr>
          <w:rFonts w:ascii="Times New Roman" w:hAnsi="Times New Roman"/>
        </w:rPr>
        <w:t xml:space="preserve"> </w:t>
      </w:r>
      <w:r w:rsidR="00B35F37" w:rsidRPr="007954B9">
        <w:rPr>
          <w:rFonts w:ascii="Times New Roman" w:hAnsi="Times New Roman"/>
        </w:rPr>
        <w:t xml:space="preserve">consistently </w:t>
      </w:r>
      <w:r w:rsidR="00F35D00" w:rsidRPr="007954B9">
        <w:rPr>
          <w:rFonts w:ascii="Times New Roman" w:hAnsi="Times New Roman"/>
        </w:rPr>
        <w:t xml:space="preserve">so </w:t>
      </w:r>
      <w:r w:rsidR="00783E6E" w:rsidRPr="007954B9">
        <w:rPr>
          <w:rFonts w:ascii="Times New Roman" w:hAnsi="Times New Roman"/>
        </w:rPr>
        <w:t>explained</w:t>
      </w:r>
      <w:r w:rsidR="00C4558F" w:rsidRPr="007954B9">
        <w:rPr>
          <w:rFonts w:ascii="Times New Roman" w:hAnsi="Times New Roman"/>
        </w:rPr>
        <w:t xml:space="preserve"> in </w:t>
      </w:r>
      <w:r w:rsidR="00E660B3" w:rsidRPr="007954B9">
        <w:rPr>
          <w:rFonts w:ascii="Times New Roman" w:hAnsi="Times New Roman"/>
          <w:i/>
          <w:iCs/>
        </w:rPr>
        <w:t>Barcelo</w:t>
      </w:r>
      <w:r w:rsidR="00B41CB3" w:rsidRPr="007954B9">
        <w:rPr>
          <w:rFonts w:ascii="Times New Roman" w:hAnsi="Times New Roman"/>
        </w:rPr>
        <w:t xml:space="preserve">, </w:t>
      </w:r>
      <w:r w:rsidR="00C4558F" w:rsidRPr="007954B9">
        <w:rPr>
          <w:rFonts w:ascii="Times New Roman" w:hAnsi="Times New Roman"/>
          <w:i/>
          <w:iCs/>
        </w:rPr>
        <w:t>Wanganui-Rangitikei</w:t>
      </w:r>
      <w:r w:rsidR="00E660B3" w:rsidRPr="007954B9">
        <w:rPr>
          <w:rFonts w:ascii="Times New Roman" w:hAnsi="Times New Roman"/>
        </w:rPr>
        <w:t xml:space="preserve"> and </w:t>
      </w:r>
      <w:r w:rsidR="00EB7F06" w:rsidRPr="007954B9">
        <w:rPr>
          <w:rFonts w:ascii="Times New Roman" w:hAnsi="Times New Roman"/>
          <w:i/>
          <w:iCs/>
        </w:rPr>
        <w:t>R</w:t>
      </w:r>
      <w:r w:rsidR="00E660B3" w:rsidRPr="007954B9">
        <w:rPr>
          <w:rFonts w:ascii="Times New Roman" w:hAnsi="Times New Roman"/>
          <w:i/>
          <w:iCs/>
        </w:rPr>
        <w:t xml:space="preserve"> v Foster</w:t>
      </w:r>
      <w:r w:rsidR="002E5C67" w:rsidRPr="007954B9">
        <w:rPr>
          <w:rFonts w:ascii="Times New Roman" w:hAnsi="Times New Roman"/>
        </w:rPr>
        <w:t>,</w:t>
      </w:r>
      <w:r w:rsidR="00E660B3" w:rsidRPr="007954B9">
        <w:rPr>
          <w:rFonts w:ascii="Times New Roman" w:hAnsi="Times New Roman"/>
        </w:rPr>
        <w:t xml:space="preserve"> </w:t>
      </w:r>
      <w:r w:rsidR="007C0D72" w:rsidRPr="007954B9">
        <w:rPr>
          <w:rFonts w:ascii="Times New Roman" w:hAnsi="Times New Roman"/>
        </w:rPr>
        <w:t xml:space="preserve">the </w:t>
      </w:r>
      <w:r w:rsidR="00E15F89" w:rsidRPr="007954B9">
        <w:rPr>
          <w:rFonts w:ascii="Times New Roman" w:hAnsi="Times New Roman"/>
        </w:rPr>
        <w:t xml:space="preserve">common law </w:t>
      </w:r>
      <w:r w:rsidR="007C0D72" w:rsidRPr="007954B9">
        <w:rPr>
          <w:rFonts w:ascii="Times New Roman" w:hAnsi="Times New Roman"/>
        </w:rPr>
        <w:t xml:space="preserve">presumption </w:t>
      </w:r>
      <w:r w:rsidR="00D61E5A" w:rsidRPr="007954B9">
        <w:rPr>
          <w:rFonts w:ascii="Times New Roman" w:hAnsi="Times New Roman"/>
        </w:rPr>
        <w:t xml:space="preserve">on which BHP relies </w:t>
      </w:r>
      <w:r w:rsidR="007C0D72" w:rsidRPr="007954B9">
        <w:rPr>
          <w:rFonts w:ascii="Times New Roman" w:hAnsi="Times New Roman"/>
        </w:rPr>
        <w:t>provides no ba</w:t>
      </w:r>
      <w:r w:rsidR="0005510B" w:rsidRPr="007954B9">
        <w:rPr>
          <w:rFonts w:ascii="Times New Roman" w:hAnsi="Times New Roman"/>
        </w:rPr>
        <w:t>sis for reading down</w:t>
      </w:r>
      <w:r w:rsidR="00F42C76" w:rsidRPr="007954B9">
        <w:rPr>
          <w:rFonts w:ascii="Times New Roman" w:hAnsi="Times New Roman"/>
        </w:rPr>
        <w:t xml:space="preserve"> the </w:t>
      </w:r>
      <w:r w:rsidR="00235DAF" w:rsidRPr="007954B9">
        <w:rPr>
          <w:rFonts w:ascii="Times New Roman" w:hAnsi="Times New Roman"/>
        </w:rPr>
        <w:t>general references to</w:t>
      </w:r>
      <w:r w:rsidR="00F42C76" w:rsidRPr="007954B9">
        <w:rPr>
          <w:rFonts w:ascii="Times New Roman" w:hAnsi="Times New Roman"/>
        </w:rPr>
        <w:t xml:space="preserve"> "group member" in</w:t>
      </w:r>
      <w:r w:rsidR="00946B78" w:rsidRPr="007954B9">
        <w:rPr>
          <w:rFonts w:ascii="Times New Roman" w:hAnsi="Times New Roman"/>
        </w:rPr>
        <w:t xml:space="preserve"> s </w:t>
      </w:r>
      <w:r w:rsidR="00F42C76" w:rsidRPr="007954B9">
        <w:rPr>
          <w:rFonts w:ascii="Times New Roman" w:hAnsi="Times New Roman"/>
        </w:rPr>
        <w:t xml:space="preserve">33A </w:t>
      </w:r>
      <w:r w:rsidR="00235DAF" w:rsidRPr="007954B9">
        <w:rPr>
          <w:rFonts w:ascii="Times New Roman" w:hAnsi="Times New Roman"/>
        </w:rPr>
        <w:t>or</w:t>
      </w:r>
      <w:r w:rsidR="00571479" w:rsidRPr="007954B9">
        <w:rPr>
          <w:rFonts w:ascii="Times New Roman" w:hAnsi="Times New Roman"/>
        </w:rPr>
        <w:t xml:space="preserve"> "other persons" in</w:t>
      </w:r>
      <w:r w:rsidR="00946B78" w:rsidRPr="007954B9">
        <w:rPr>
          <w:rFonts w:ascii="Times New Roman" w:hAnsi="Times New Roman"/>
        </w:rPr>
        <w:t xml:space="preserve"> s </w:t>
      </w:r>
      <w:r w:rsidR="00571479" w:rsidRPr="007954B9">
        <w:rPr>
          <w:rFonts w:ascii="Times New Roman" w:hAnsi="Times New Roman"/>
        </w:rPr>
        <w:t>33D</w:t>
      </w:r>
      <w:r w:rsidR="00D71742" w:rsidRPr="007954B9">
        <w:rPr>
          <w:rFonts w:ascii="Times New Roman" w:hAnsi="Times New Roman"/>
        </w:rPr>
        <w:t xml:space="preserve">. </w:t>
      </w:r>
      <w:r w:rsidR="007A3E60" w:rsidRPr="007954B9">
        <w:rPr>
          <w:rFonts w:ascii="Times New Roman" w:hAnsi="Times New Roman"/>
        </w:rPr>
        <w:t xml:space="preserve">For </w:t>
      </w:r>
      <w:r w:rsidR="00497C44" w:rsidRPr="007954B9">
        <w:rPr>
          <w:rFonts w:ascii="Times New Roman" w:hAnsi="Times New Roman"/>
        </w:rPr>
        <w:t>s </w:t>
      </w:r>
      <w:r w:rsidR="00A627B6" w:rsidRPr="007954B9">
        <w:rPr>
          <w:rFonts w:ascii="Times New Roman" w:hAnsi="Times New Roman"/>
        </w:rPr>
        <w:t>33ZB to</w:t>
      </w:r>
      <w:r w:rsidR="009532ED" w:rsidRPr="007954B9">
        <w:rPr>
          <w:rFonts w:ascii="Times New Roman" w:hAnsi="Times New Roman"/>
        </w:rPr>
        <w:t xml:space="preserve"> bind</w:t>
      </w:r>
      <w:r w:rsidR="00A627B6" w:rsidRPr="007954B9">
        <w:rPr>
          <w:rFonts w:ascii="Times New Roman" w:hAnsi="Times New Roman"/>
        </w:rPr>
        <w:t xml:space="preserve"> a non-consenting </w:t>
      </w:r>
      <w:r w:rsidR="007A3E60" w:rsidRPr="007954B9">
        <w:rPr>
          <w:rFonts w:ascii="Times New Roman" w:hAnsi="Times New Roman"/>
        </w:rPr>
        <w:t xml:space="preserve">group member </w:t>
      </w:r>
      <w:r w:rsidR="00A63057" w:rsidRPr="007954B9">
        <w:rPr>
          <w:rFonts w:ascii="Times New Roman" w:hAnsi="Times New Roman"/>
        </w:rPr>
        <w:t xml:space="preserve">who is </w:t>
      </w:r>
      <w:r w:rsidR="005A09F3" w:rsidRPr="007954B9">
        <w:rPr>
          <w:rFonts w:ascii="Times New Roman" w:hAnsi="Times New Roman"/>
        </w:rPr>
        <w:t xml:space="preserve">not resident in Australia to </w:t>
      </w:r>
      <w:r w:rsidR="009532ED" w:rsidRPr="007954B9">
        <w:rPr>
          <w:rFonts w:ascii="Times New Roman" w:hAnsi="Times New Roman"/>
        </w:rPr>
        <w:t xml:space="preserve">a judgment </w:t>
      </w:r>
      <w:r w:rsidR="00D47D56" w:rsidRPr="007954B9">
        <w:rPr>
          <w:rFonts w:ascii="Times New Roman" w:hAnsi="Times New Roman"/>
        </w:rPr>
        <w:t>of</w:t>
      </w:r>
      <w:r w:rsidR="009532ED" w:rsidRPr="007954B9">
        <w:rPr>
          <w:rFonts w:ascii="Times New Roman" w:hAnsi="Times New Roman"/>
        </w:rPr>
        <w:t xml:space="preserve"> the Federal Court determining a matter in which </w:t>
      </w:r>
      <w:r w:rsidR="00BD2C87" w:rsidRPr="007954B9">
        <w:rPr>
          <w:rFonts w:ascii="Times New Roman" w:hAnsi="Times New Roman"/>
        </w:rPr>
        <w:t>the Federal Court</w:t>
      </w:r>
      <w:r w:rsidR="009532ED" w:rsidRPr="007954B9">
        <w:rPr>
          <w:rFonts w:ascii="Times New Roman" w:hAnsi="Times New Roman"/>
        </w:rPr>
        <w:t xml:space="preserve"> has jurisdiction in a representative proceeding </w:t>
      </w:r>
      <w:r w:rsidR="00087539" w:rsidRPr="007954B9">
        <w:rPr>
          <w:rFonts w:ascii="Times New Roman" w:hAnsi="Times New Roman"/>
        </w:rPr>
        <w:t>would be</w:t>
      </w:r>
      <w:r w:rsidR="009E3597" w:rsidRPr="007954B9">
        <w:rPr>
          <w:rFonts w:ascii="Times New Roman" w:hAnsi="Times New Roman"/>
        </w:rPr>
        <w:t xml:space="preserve"> to </w:t>
      </w:r>
      <w:r w:rsidR="009532ED" w:rsidRPr="007954B9">
        <w:rPr>
          <w:rFonts w:ascii="Times New Roman" w:hAnsi="Times New Roman"/>
        </w:rPr>
        <w:t xml:space="preserve">infringe no principle of international law or </w:t>
      </w:r>
      <w:r w:rsidR="00C711F3" w:rsidRPr="007954B9">
        <w:rPr>
          <w:rFonts w:ascii="Times New Roman" w:hAnsi="Times New Roman"/>
        </w:rPr>
        <w:t xml:space="preserve">international </w:t>
      </w:r>
      <w:r w:rsidR="009532ED" w:rsidRPr="007954B9">
        <w:rPr>
          <w:rFonts w:ascii="Times New Roman" w:hAnsi="Times New Roman"/>
        </w:rPr>
        <w:t>comity</w:t>
      </w:r>
      <w:r w:rsidR="00440F2B" w:rsidRPr="007954B9">
        <w:rPr>
          <w:rFonts w:ascii="Times New Roman" w:hAnsi="Times New Roman"/>
        </w:rPr>
        <w:t xml:space="preserve">. </w:t>
      </w:r>
      <w:r w:rsidR="004922E4" w:rsidRPr="007954B9">
        <w:rPr>
          <w:rFonts w:ascii="Times New Roman" w:hAnsi="Times New Roman"/>
        </w:rPr>
        <w:t>BHP does not argue to the contrary.</w:t>
      </w:r>
      <w:r w:rsidR="00127B6E" w:rsidRPr="007954B9">
        <w:rPr>
          <w:rFonts w:ascii="Times New Roman" w:hAnsi="Times New Roman"/>
        </w:rPr>
        <w:t xml:space="preserve"> </w:t>
      </w:r>
    </w:p>
    <w:p w14:paraId="6D2C086F" w14:textId="3ABD4F0E" w:rsidR="00083B4D" w:rsidRPr="007954B9" w:rsidRDefault="00083B4D" w:rsidP="007954B9">
      <w:pPr>
        <w:pStyle w:val="HeadingL1"/>
        <w:spacing w:after="260" w:line="280" w:lineRule="exact"/>
        <w:ind w:right="0"/>
        <w:jc w:val="both"/>
        <w:rPr>
          <w:rFonts w:ascii="Times New Roman" w:hAnsi="Times New Roman"/>
        </w:rPr>
      </w:pPr>
      <w:r w:rsidRPr="007954B9">
        <w:rPr>
          <w:rFonts w:ascii="Times New Roman" w:hAnsi="Times New Roman"/>
        </w:rPr>
        <w:t>The statutory presumption</w:t>
      </w:r>
    </w:p>
    <w:p w14:paraId="0CDD5A86" w14:textId="2124F0E0" w:rsidR="00FC0BF0" w:rsidRPr="007954B9" w:rsidRDefault="00083B4D" w:rsidP="007954B9">
      <w:pPr>
        <w:pStyle w:val="FixListStyle"/>
        <w:spacing w:after="260" w:line="280" w:lineRule="exact"/>
        <w:ind w:right="0"/>
        <w:jc w:val="both"/>
        <w:rPr>
          <w:rFonts w:ascii="Times New Roman" w:hAnsi="Times New Roman"/>
        </w:rPr>
      </w:pPr>
      <w:r w:rsidRPr="007954B9">
        <w:rPr>
          <w:rFonts w:ascii="Times New Roman" w:hAnsi="Times New Roman"/>
          <w:iCs/>
        </w:rPr>
        <w:tab/>
      </w:r>
      <w:r w:rsidRPr="007954B9">
        <w:rPr>
          <w:rFonts w:ascii="Times New Roman" w:hAnsi="Times New Roman"/>
        </w:rPr>
        <w:t>Section</w:t>
      </w:r>
      <w:r w:rsidR="009B113A" w:rsidRPr="007954B9">
        <w:rPr>
          <w:rFonts w:ascii="Times New Roman" w:hAnsi="Times New Roman"/>
        </w:rPr>
        <w:t> </w:t>
      </w:r>
      <w:r w:rsidRPr="007954B9">
        <w:rPr>
          <w:rFonts w:ascii="Times New Roman" w:hAnsi="Times New Roman"/>
        </w:rPr>
        <w:t>21</w:t>
      </w:r>
      <w:r w:rsidR="00D0634E" w:rsidRPr="007954B9">
        <w:rPr>
          <w:rFonts w:ascii="Times New Roman" w:hAnsi="Times New Roman"/>
        </w:rPr>
        <w:t>(1)(b)</w:t>
      </w:r>
      <w:r w:rsidRPr="007954B9">
        <w:rPr>
          <w:rFonts w:ascii="Times New Roman" w:hAnsi="Times New Roman"/>
        </w:rPr>
        <w:t xml:space="preserve"> of the </w:t>
      </w:r>
      <w:r w:rsidRPr="007954B9">
        <w:rPr>
          <w:rFonts w:ascii="Times New Roman" w:hAnsi="Times New Roman"/>
          <w:i/>
          <w:iCs/>
        </w:rPr>
        <w:t>Acts Interpretation Act</w:t>
      </w:r>
      <w:r w:rsidR="009E38F5" w:rsidRPr="007954B9">
        <w:rPr>
          <w:rFonts w:ascii="Times New Roman" w:hAnsi="Times New Roman"/>
          <w:i/>
          <w:iCs/>
        </w:rPr>
        <w:t xml:space="preserve"> </w:t>
      </w:r>
      <w:r w:rsidR="00872E30" w:rsidRPr="007954B9">
        <w:rPr>
          <w:rFonts w:ascii="Times New Roman" w:hAnsi="Times New Roman"/>
        </w:rPr>
        <w:t>provides that</w:t>
      </w:r>
      <w:r w:rsidR="0051782A" w:rsidRPr="007954B9">
        <w:rPr>
          <w:rFonts w:ascii="Times New Roman" w:hAnsi="Times New Roman"/>
        </w:rPr>
        <w:t>,</w:t>
      </w:r>
      <w:r w:rsidR="00872E30" w:rsidRPr="007954B9">
        <w:rPr>
          <w:rFonts w:ascii="Times New Roman" w:hAnsi="Times New Roman"/>
        </w:rPr>
        <w:t xml:space="preserve"> </w:t>
      </w:r>
      <w:r w:rsidR="00975532" w:rsidRPr="007954B9">
        <w:rPr>
          <w:rFonts w:ascii="Times New Roman" w:hAnsi="Times New Roman"/>
        </w:rPr>
        <w:t>in an</w:t>
      </w:r>
      <w:r w:rsidR="00210C8F" w:rsidRPr="007954B9">
        <w:rPr>
          <w:rFonts w:ascii="Times New Roman" w:hAnsi="Times New Roman"/>
        </w:rPr>
        <w:t>y</w:t>
      </w:r>
      <w:r w:rsidR="00975532" w:rsidRPr="007954B9">
        <w:rPr>
          <w:rFonts w:ascii="Times New Roman" w:hAnsi="Times New Roman"/>
        </w:rPr>
        <w:t xml:space="preserve"> Commonwealth Act</w:t>
      </w:r>
      <w:r w:rsidR="0051782A" w:rsidRPr="007954B9">
        <w:rPr>
          <w:rFonts w:ascii="Times New Roman" w:hAnsi="Times New Roman"/>
        </w:rPr>
        <w:t xml:space="preserve">, </w:t>
      </w:r>
      <w:r w:rsidR="00210C8F" w:rsidRPr="007954B9">
        <w:rPr>
          <w:rFonts w:ascii="Times New Roman" w:hAnsi="Times New Roman"/>
        </w:rPr>
        <w:t>"references to localit</w:t>
      </w:r>
      <w:r w:rsidR="00066809" w:rsidRPr="007954B9">
        <w:rPr>
          <w:rFonts w:ascii="Times New Roman" w:hAnsi="Times New Roman"/>
        </w:rPr>
        <w:t>i</w:t>
      </w:r>
      <w:r w:rsidR="00E355CC" w:rsidRPr="007954B9">
        <w:rPr>
          <w:rFonts w:ascii="Times New Roman" w:hAnsi="Times New Roman"/>
        </w:rPr>
        <w:t>e</w:t>
      </w:r>
      <w:r w:rsidR="00066809" w:rsidRPr="007954B9">
        <w:rPr>
          <w:rFonts w:ascii="Times New Roman" w:hAnsi="Times New Roman"/>
        </w:rPr>
        <w:t>s juris</w:t>
      </w:r>
      <w:r w:rsidR="00E355CC" w:rsidRPr="007954B9">
        <w:rPr>
          <w:rFonts w:ascii="Times New Roman" w:hAnsi="Times New Roman"/>
        </w:rPr>
        <w:t>dictions and other matters and things</w:t>
      </w:r>
      <w:r w:rsidR="000D2CB7" w:rsidRPr="007954B9">
        <w:rPr>
          <w:rFonts w:ascii="Times New Roman" w:hAnsi="Times New Roman"/>
        </w:rPr>
        <w:t xml:space="preserve"> shall be construed as </w:t>
      </w:r>
      <w:r w:rsidR="00C874EA" w:rsidRPr="007954B9">
        <w:rPr>
          <w:rFonts w:ascii="Times New Roman" w:hAnsi="Times New Roman"/>
        </w:rPr>
        <w:t xml:space="preserve">references </w:t>
      </w:r>
      <w:r w:rsidR="00420443" w:rsidRPr="007954B9">
        <w:rPr>
          <w:rFonts w:ascii="Times New Roman" w:hAnsi="Times New Roman"/>
        </w:rPr>
        <w:t>to such localities jurisdictions</w:t>
      </w:r>
      <w:r w:rsidR="00FB2466" w:rsidRPr="007954B9">
        <w:rPr>
          <w:rFonts w:ascii="Times New Roman" w:hAnsi="Times New Roman"/>
        </w:rPr>
        <w:t xml:space="preserve"> and other matters and things</w:t>
      </w:r>
      <w:r w:rsidR="000A60B4" w:rsidRPr="007954B9">
        <w:rPr>
          <w:rFonts w:ascii="Times New Roman" w:hAnsi="Times New Roman"/>
        </w:rPr>
        <w:t xml:space="preserve"> in and of </w:t>
      </w:r>
      <w:r w:rsidR="00851D27" w:rsidRPr="007954B9">
        <w:rPr>
          <w:rFonts w:ascii="Times New Roman" w:hAnsi="Times New Roman"/>
        </w:rPr>
        <w:t>the Commonwea</w:t>
      </w:r>
      <w:r w:rsidR="007D5781" w:rsidRPr="007954B9">
        <w:rPr>
          <w:rFonts w:ascii="Times New Roman" w:hAnsi="Times New Roman"/>
        </w:rPr>
        <w:t>l</w:t>
      </w:r>
      <w:r w:rsidR="00851D27" w:rsidRPr="007954B9">
        <w:rPr>
          <w:rFonts w:ascii="Times New Roman" w:hAnsi="Times New Roman"/>
        </w:rPr>
        <w:t>th".</w:t>
      </w:r>
      <w:r w:rsidR="0047732A" w:rsidRPr="007954B9">
        <w:rPr>
          <w:rFonts w:ascii="Times New Roman" w:hAnsi="Times New Roman"/>
        </w:rPr>
        <w:t xml:space="preserve"> </w:t>
      </w:r>
      <w:r w:rsidR="006E1BBD" w:rsidRPr="007954B9">
        <w:rPr>
          <w:rFonts w:ascii="Times New Roman" w:hAnsi="Times New Roman"/>
        </w:rPr>
        <w:t>Th</w:t>
      </w:r>
      <w:r w:rsidR="00D74141" w:rsidRPr="007954B9">
        <w:rPr>
          <w:rFonts w:ascii="Times New Roman" w:hAnsi="Times New Roman"/>
        </w:rPr>
        <w:t>at language</w:t>
      </w:r>
      <w:r w:rsidR="006E1BBD" w:rsidRPr="007954B9">
        <w:rPr>
          <w:rFonts w:ascii="Times New Roman" w:hAnsi="Times New Roman"/>
        </w:rPr>
        <w:t xml:space="preserve"> </w:t>
      </w:r>
      <w:r w:rsidR="00D027A4" w:rsidRPr="007954B9">
        <w:rPr>
          <w:rFonts w:ascii="Times New Roman" w:hAnsi="Times New Roman"/>
        </w:rPr>
        <w:t xml:space="preserve">has remained unaltered since the enactment of the </w:t>
      </w:r>
      <w:r w:rsidR="00D027A4" w:rsidRPr="007954B9">
        <w:rPr>
          <w:rFonts w:ascii="Times New Roman" w:hAnsi="Times New Roman"/>
          <w:i/>
          <w:iCs/>
        </w:rPr>
        <w:t xml:space="preserve">Acts Interpretation Act </w:t>
      </w:r>
      <w:r w:rsidR="004F6A02" w:rsidRPr="007954B9">
        <w:rPr>
          <w:rFonts w:ascii="Times New Roman" w:hAnsi="Times New Roman"/>
        </w:rPr>
        <w:t xml:space="preserve">in </w:t>
      </w:r>
      <w:r w:rsidR="00D027A4" w:rsidRPr="007954B9">
        <w:rPr>
          <w:rFonts w:ascii="Times New Roman" w:hAnsi="Times New Roman"/>
        </w:rPr>
        <w:t>1901</w:t>
      </w:r>
      <w:r w:rsidR="004F6A02" w:rsidRPr="007954B9">
        <w:rPr>
          <w:rFonts w:ascii="Times New Roman" w:hAnsi="Times New Roman"/>
        </w:rPr>
        <w:t xml:space="preserve">. </w:t>
      </w:r>
      <w:r w:rsidR="00D16408" w:rsidRPr="007954B9">
        <w:rPr>
          <w:rFonts w:ascii="Times New Roman" w:hAnsi="Times New Roman"/>
        </w:rPr>
        <w:t xml:space="preserve">As </w:t>
      </w:r>
      <w:r w:rsidR="003277E4" w:rsidRPr="007954B9">
        <w:rPr>
          <w:rFonts w:ascii="Times New Roman" w:hAnsi="Times New Roman"/>
        </w:rPr>
        <w:t>a</w:t>
      </w:r>
      <w:r w:rsidR="00D16408" w:rsidRPr="007954B9">
        <w:rPr>
          <w:rFonts w:ascii="Times New Roman" w:hAnsi="Times New Roman"/>
        </w:rPr>
        <w:t xml:space="preserve"> marginal note to the section then indicated, </w:t>
      </w:r>
      <w:r w:rsidR="00B5151D" w:rsidRPr="007954B9">
        <w:rPr>
          <w:rFonts w:ascii="Times New Roman" w:hAnsi="Times New Roman"/>
        </w:rPr>
        <w:t>it was</w:t>
      </w:r>
      <w:r w:rsidR="00356E44" w:rsidRPr="007954B9">
        <w:rPr>
          <w:rFonts w:ascii="Times New Roman" w:hAnsi="Times New Roman"/>
        </w:rPr>
        <w:t xml:space="preserve"> modelled</w:t>
      </w:r>
      <w:r w:rsidR="00B5151D" w:rsidRPr="007954B9">
        <w:rPr>
          <w:rFonts w:ascii="Times New Roman" w:hAnsi="Times New Roman"/>
        </w:rPr>
        <w:t xml:space="preserve"> on </w:t>
      </w:r>
      <w:r w:rsidR="00C603DB" w:rsidRPr="007954B9">
        <w:rPr>
          <w:rFonts w:ascii="Times New Roman" w:hAnsi="Times New Roman"/>
        </w:rPr>
        <w:t>s</w:t>
      </w:r>
      <w:r w:rsidR="009B113A" w:rsidRPr="007954B9">
        <w:rPr>
          <w:rFonts w:ascii="Times New Roman" w:hAnsi="Times New Roman"/>
        </w:rPr>
        <w:t> </w:t>
      </w:r>
      <w:r w:rsidR="00C603DB" w:rsidRPr="007954B9">
        <w:rPr>
          <w:rFonts w:ascii="Times New Roman" w:hAnsi="Times New Roman"/>
        </w:rPr>
        <w:t>17</w:t>
      </w:r>
      <w:r w:rsidR="00B5151D" w:rsidRPr="007954B9">
        <w:rPr>
          <w:rFonts w:ascii="Times New Roman" w:hAnsi="Times New Roman"/>
        </w:rPr>
        <w:t xml:space="preserve"> </w:t>
      </w:r>
      <w:r w:rsidR="00F1316F" w:rsidRPr="007954B9">
        <w:rPr>
          <w:rFonts w:ascii="Times New Roman" w:hAnsi="Times New Roman"/>
        </w:rPr>
        <w:t xml:space="preserve">of the </w:t>
      </w:r>
      <w:r w:rsidR="00C603DB" w:rsidRPr="007954B9">
        <w:rPr>
          <w:rFonts w:ascii="Times New Roman" w:hAnsi="Times New Roman"/>
          <w:i/>
          <w:iCs/>
        </w:rPr>
        <w:t>Interpretation Act 1897</w:t>
      </w:r>
      <w:r w:rsidR="00C603DB" w:rsidRPr="007954B9">
        <w:rPr>
          <w:rFonts w:ascii="Times New Roman" w:hAnsi="Times New Roman"/>
        </w:rPr>
        <w:t xml:space="preserve"> (NSW)</w:t>
      </w:r>
      <w:r w:rsidR="003277E4" w:rsidRPr="007954B9">
        <w:rPr>
          <w:rFonts w:ascii="Times New Roman" w:hAnsi="Times New Roman"/>
        </w:rPr>
        <w:t>.</w:t>
      </w:r>
      <w:r w:rsidR="00D027A4" w:rsidRPr="007954B9">
        <w:rPr>
          <w:rFonts w:ascii="Times New Roman" w:hAnsi="Times New Roman"/>
        </w:rPr>
        <w:t xml:space="preserve"> </w:t>
      </w:r>
      <w:r w:rsidR="003277E4" w:rsidRPr="007954B9">
        <w:rPr>
          <w:rFonts w:ascii="Times New Roman" w:hAnsi="Times New Roman"/>
        </w:rPr>
        <w:t>The origins of that section have be</w:t>
      </w:r>
      <w:r w:rsidR="00491AC4" w:rsidRPr="007954B9">
        <w:rPr>
          <w:rFonts w:ascii="Times New Roman" w:hAnsi="Times New Roman"/>
        </w:rPr>
        <w:t>en</w:t>
      </w:r>
      <w:r w:rsidR="003277E4" w:rsidRPr="007954B9">
        <w:rPr>
          <w:rFonts w:ascii="Times New Roman" w:hAnsi="Times New Roman"/>
        </w:rPr>
        <w:t xml:space="preserve"> traced to </w:t>
      </w:r>
      <w:r w:rsidR="008A0960" w:rsidRPr="007954B9">
        <w:rPr>
          <w:rFonts w:ascii="Times New Roman" w:hAnsi="Times New Roman"/>
        </w:rPr>
        <w:t xml:space="preserve">s 8 of the </w:t>
      </w:r>
      <w:r w:rsidR="005F4E7B" w:rsidRPr="007954B9">
        <w:rPr>
          <w:rFonts w:ascii="Times New Roman" w:hAnsi="Times New Roman"/>
          <w:i/>
          <w:iCs/>
        </w:rPr>
        <w:t>Acts Shortening Act</w:t>
      </w:r>
      <w:r w:rsidR="005F4E7B" w:rsidRPr="007954B9">
        <w:rPr>
          <w:rFonts w:ascii="Times New Roman" w:hAnsi="Times New Roman"/>
        </w:rPr>
        <w:t xml:space="preserve"> </w:t>
      </w:r>
      <w:r w:rsidR="005F4E7B" w:rsidRPr="007954B9">
        <w:rPr>
          <w:rFonts w:ascii="Times New Roman" w:hAnsi="Times New Roman"/>
          <w:i/>
        </w:rPr>
        <w:t>1852</w:t>
      </w:r>
      <w:r w:rsidR="005F4E7B" w:rsidRPr="007954B9">
        <w:rPr>
          <w:rFonts w:ascii="Times New Roman" w:hAnsi="Times New Roman"/>
        </w:rPr>
        <w:t xml:space="preserve"> (NSW)</w:t>
      </w:r>
      <w:r w:rsidR="00491AC4" w:rsidRPr="007954B9">
        <w:rPr>
          <w:rStyle w:val="FootnoteReference"/>
          <w:rFonts w:ascii="Times New Roman" w:hAnsi="Times New Roman"/>
          <w:sz w:val="24"/>
        </w:rPr>
        <w:footnoteReference w:id="36"/>
      </w:r>
      <w:r w:rsidR="005F4E7B" w:rsidRPr="007954B9">
        <w:rPr>
          <w:rFonts w:ascii="Times New Roman" w:hAnsi="Times New Roman"/>
        </w:rPr>
        <w:t xml:space="preserve">. </w:t>
      </w:r>
      <w:r w:rsidR="00491AC4" w:rsidRPr="007954B9">
        <w:rPr>
          <w:rFonts w:ascii="Times New Roman" w:hAnsi="Times New Roman"/>
        </w:rPr>
        <w:t xml:space="preserve">Provisions in </w:t>
      </w:r>
      <w:r w:rsidR="008864EC" w:rsidRPr="007954B9">
        <w:rPr>
          <w:rFonts w:ascii="Times New Roman" w:hAnsi="Times New Roman"/>
        </w:rPr>
        <w:t>corresponding</w:t>
      </w:r>
      <w:r w:rsidR="00491AC4" w:rsidRPr="007954B9">
        <w:rPr>
          <w:rFonts w:ascii="Times New Roman" w:hAnsi="Times New Roman"/>
        </w:rPr>
        <w:t xml:space="preserve"> terms </w:t>
      </w:r>
      <w:r w:rsidR="00CC144F" w:rsidRPr="007954B9">
        <w:rPr>
          <w:rFonts w:ascii="Times New Roman" w:hAnsi="Times New Roman"/>
        </w:rPr>
        <w:t>have been</w:t>
      </w:r>
      <w:r w:rsidR="00491AC4" w:rsidRPr="007954B9">
        <w:rPr>
          <w:rFonts w:ascii="Times New Roman" w:hAnsi="Times New Roman"/>
        </w:rPr>
        <w:t xml:space="preserve"> replicated in </w:t>
      </w:r>
      <w:r w:rsidR="008864EC" w:rsidRPr="007954B9">
        <w:rPr>
          <w:rFonts w:ascii="Times New Roman" w:hAnsi="Times New Roman"/>
        </w:rPr>
        <w:t>interpretation legislation in each Territory</w:t>
      </w:r>
      <w:r w:rsidR="00CA6DAA" w:rsidRPr="007954B9">
        <w:rPr>
          <w:rFonts w:ascii="Times New Roman" w:hAnsi="Times New Roman"/>
        </w:rPr>
        <w:t xml:space="preserve"> </w:t>
      </w:r>
      <w:r w:rsidR="008864EC" w:rsidRPr="007954B9">
        <w:rPr>
          <w:rFonts w:ascii="Times New Roman" w:hAnsi="Times New Roman"/>
        </w:rPr>
        <w:t xml:space="preserve">and </w:t>
      </w:r>
      <w:r w:rsidR="00CA6DAA" w:rsidRPr="007954B9">
        <w:rPr>
          <w:rFonts w:ascii="Times New Roman" w:hAnsi="Times New Roman"/>
        </w:rPr>
        <w:t>most States</w:t>
      </w:r>
      <w:r w:rsidR="008864EC" w:rsidRPr="007954B9">
        <w:rPr>
          <w:rStyle w:val="FootnoteReference"/>
          <w:rFonts w:ascii="Times New Roman" w:hAnsi="Times New Roman"/>
          <w:sz w:val="24"/>
        </w:rPr>
        <w:footnoteReference w:id="37"/>
      </w:r>
      <w:r w:rsidR="008864EC" w:rsidRPr="007954B9">
        <w:rPr>
          <w:rFonts w:ascii="Times New Roman" w:hAnsi="Times New Roman"/>
        </w:rPr>
        <w:t>.</w:t>
      </w:r>
    </w:p>
    <w:p w14:paraId="03280DC9" w14:textId="5D39CD52" w:rsidR="00D130D1" w:rsidRPr="007954B9" w:rsidRDefault="00FC0BF0" w:rsidP="007954B9">
      <w:pPr>
        <w:pStyle w:val="FixListStyle"/>
        <w:spacing w:after="260" w:line="280" w:lineRule="exact"/>
        <w:ind w:right="0"/>
        <w:jc w:val="both"/>
        <w:rPr>
          <w:rFonts w:ascii="Times New Roman" w:hAnsi="Times New Roman"/>
        </w:rPr>
      </w:pPr>
      <w:r w:rsidRPr="007954B9">
        <w:rPr>
          <w:rFonts w:ascii="Times New Roman" w:hAnsi="Times New Roman"/>
        </w:rPr>
        <w:lastRenderedPageBreak/>
        <w:tab/>
      </w:r>
      <w:r w:rsidR="00971157" w:rsidRPr="007954B9">
        <w:rPr>
          <w:rFonts w:ascii="Times New Roman" w:hAnsi="Times New Roman"/>
        </w:rPr>
        <w:t>No differently from</w:t>
      </w:r>
      <w:r w:rsidR="0047732A" w:rsidRPr="007954B9">
        <w:rPr>
          <w:rFonts w:ascii="Times New Roman" w:hAnsi="Times New Roman"/>
        </w:rPr>
        <w:t xml:space="preserve"> </w:t>
      </w:r>
      <w:r w:rsidR="006B108E" w:rsidRPr="007954B9">
        <w:rPr>
          <w:rFonts w:ascii="Times New Roman" w:hAnsi="Times New Roman"/>
        </w:rPr>
        <w:t>other provision</w:t>
      </w:r>
      <w:r w:rsidR="00A730E6" w:rsidRPr="007954B9">
        <w:rPr>
          <w:rFonts w:ascii="Times New Roman" w:hAnsi="Times New Roman"/>
        </w:rPr>
        <w:t>s</w:t>
      </w:r>
      <w:r w:rsidR="006B108E" w:rsidRPr="007954B9">
        <w:rPr>
          <w:rFonts w:ascii="Times New Roman" w:hAnsi="Times New Roman"/>
        </w:rPr>
        <w:t xml:space="preserve"> of the </w:t>
      </w:r>
      <w:r w:rsidR="006B108E" w:rsidRPr="007954B9">
        <w:rPr>
          <w:rFonts w:ascii="Times New Roman" w:hAnsi="Times New Roman"/>
          <w:i/>
          <w:iCs/>
        </w:rPr>
        <w:t>Acts Interpretation Act</w:t>
      </w:r>
      <w:r w:rsidR="006B108E" w:rsidRPr="007954B9">
        <w:rPr>
          <w:rFonts w:ascii="Times New Roman" w:hAnsi="Times New Roman"/>
        </w:rPr>
        <w:t xml:space="preserve">, </w:t>
      </w:r>
      <w:r w:rsidR="004815A4" w:rsidRPr="007954B9">
        <w:rPr>
          <w:rFonts w:ascii="Times New Roman" w:hAnsi="Times New Roman"/>
        </w:rPr>
        <w:t>application of</w:t>
      </w:r>
      <w:r w:rsidR="00946B78" w:rsidRPr="007954B9">
        <w:rPr>
          <w:rFonts w:ascii="Times New Roman" w:hAnsi="Times New Roman"/>
        </w:rPr>
        <w:t xml:space="preserve"> s </w:t>
      </w:r>
      <w:r w:rsidRPr="007954B9">
        <w:rPr>
          <w:rFonts w:ascii="Times New Roman" w:hAnsi="Times New Roman"/>
        </w:rPr>
        <w:t>21(1)(b)</w:t>
      </w:r>
      <w:r w:rsidR="0026163E" w:rsidRPr="007954B9">
        <w:rPr>
          <w:rFonts w:ascii="Times New Roman" w:hAnsi="Times New Roman"/>
        </w:rPr>
        <w:t xml:space="preserve"> to a </w:t>
      </w:r>
      <w:r w:rsidR="007B5F85" w:rsidRPr="007954B9">
        <w:rPr>
          <w:rFonts w:ascii="Times New Roman" w:hAnsi="Times New Roman"/>
        </w:rPr>
        <w:t xml:space="preserve">particular </w:t>
      </w:r>
      <w:r w:rsidR="0026163E" w:rsidRPr="007954B9">
        <w:rPr>
          <w:rFonts w:ascii="Times New Roman" w:hAnsi="Times New Roman"/>
        </w:rPr>
        <w:t xml:space="preserve">Commonwealth Act </w:t>
      </w:r>
      <w:r w:rsidR="004815A4" w:rsidRPr="007954B9">
        <w:rPr>
          <w:rFonts w:ascii="Times New Roman" w:hAnsi="Times New Roman"/>
        </w:rPr>
        <w:t xml:space="preserve">is </w:t>
      </w:r>
      <w:r w:rsidR="0026163E" w:rsidRPr="007954B9">
        <w:rPr>
          <w:rFonts w:ascii="Times New Roman" w:hAnsi="Times New Roman"/>
        </w:rPr>
        <w:t xml:space="preserve">"subject </w:t>
      </w:r>
      <w:r w:rsidR="00A43A97" w:rsidRPr="007954B9">
        <w:rPr>
          <w:rFonts w:ascii="Times New Roman" w:hAnsi="Times New Roman"/>
        </w:rPr>
        <w:t>to a contrary intention"</w:t>
      </w:r>
      <w:r w:rsidR="00A43A97" w:rsidRPr="007954B9">
        <w:rPr>
          <w:rStyle w:val="FootnoteReference"/>
          <w:rFonts w:ascii="Times New Roman" w:hAnsi="Times New Roman"/>
          <w:sz w:val="24"/>
        </w:rPr>
        <w:footnoteReference w:id="38"/>
      </w:r>
      <w:r w:rsidR="00A43A97" w:rsidRPr="007954B9">
        <w:rPr>
          <w:rFonts w:ascii="Times New Roman" w:hAnsi="Times New Roman"/>
        </w:rPr>
        <w:t>.</w:t>
      </w:r>
      <w:r w:rsidR="00EB7633" w:rsidRPr="007954B9">
        <w:rPr>
          <w:rFonts w:ascii="Times New Roman" w:hAnsi="Times New Roman"/>
        </w:rPr>
        <w:t xml:space="preserve"> </w:t>
      </w:r>
      <w:r w:rsidR="00BD6D7D" w:rsidRPr="007954B9">
        <w:rPr>
          <w:rFonts w:ascii="Times New Roman" w:hAnsi="Times New Roman"/>
        </w:rPr>
        <w:t>However, n</w:t>
      </w:r>
      <w:r w:rsidR="00DF4F5A" w:rsidRPr="007954B9">
        <w:rPr>
          <w:rFonts w:ascii="Times New Roman" w:hAnsi="Times New Roman"/>
        </w:rPr>
        <w:t xml:space="preserve">o </w:t>
      </w:r>
      <w:r w:rsidR="00703243" w:rsidRPr="007954B9">
        <w:rPr>
          <w:rFonts w:ascii="Times New Roman" w:hAnsi="Times New Roman"/>
        </w:rPr>
        <w:t xml:space="preserve">search for a </w:t>
      </w:r>
      <w:r w:rsidR="00DF4F5A" w:rsidRPr="007954B9">
        <w:rPr>
          <w:rFonts w:ascii="Times New Roman" w:hAnsi="Times New Roman"/>
        </w:rPr>
        <w:t xml:space="preserve">contrary intention </w:t>
      </w:r>
      <w:r w:rsidR="00D61E5A" w:rsidRPr="007954B9">
        <w:rPr>
          <w:rFonts w:ascii="Times New Roman" w:hAnsi="Times New Roman"/>
        </w:rPr>
        <w:t xml:space="preserve">is </w:t>
      </w:r>
      <w:r w:rsidR="00DF4F5A" w:rsidRPr="007954B9">
        <w:rPr>
          <w:rFonts w:ascii="Times New Roman" w:hAnsi="Times New Roman"/>
        </w:rPr>
        <w:t>need</w:t>
      </w:r>
      <w:r w:rsidR="00D61E5A" w:rsidRPr="007954B9">
        <w:rPr>
          <w:rFonts w:ascii="Times New Roman" w:hAnsi="Times New Roman"/>
        </w:rPr>
        <w:t>ed</w:t>
      </w:r>
      <w:r w:rsidR="00DF4F5A" w:rsidRPr="007954B9">
        <w:rPr>
          <w:rFonts w:ascii="Times New Roman" w:hAnsi="Times New Roman"/>
        </w:rPr>
        <w:t xml:space="preserve"> </w:t>
      </w:r>
      <w:r w:rsidR="004B7843" w:rsidRPr="007954B9">
        <w:rPr>
          <w:rFonts w:ascii="Times New Roman" w:hAnsi="Times New Roman"/>
        </w:rPr>
        <w:t xml:space="preserve">in order </w:t>
      </w:r>
      <w:r w:rsidR="00613019" w:rsidRPr="007954B9">
        <w:rPr>
          <w:rFonts w:ascii="Times New Roman" w:hAnsi="Times New Roman"/>
        </w:rPr>
        <w:t xml:space="preserve">to reject </w:t>
      </w:r>
      <w:r w:rsidR="00231B2D" w:rsidRPr="007954B9">
        <w:rPr>
          <w:rFonts w:ascii="Times New Roman" w:hAnsi="Times New Roman"/>
        </w:rPr>
        <w:t xml:space="preserve">BHP's argument that </w:t>
      </w:r>
      <w:r w:rsidR="006F26A4" w:rsidRPr="007954B9">
        <w:rPr>
          <w:rFonts w:ascii="Times New Roman" w:hAnsi="Times New Roman"/>
        </w:rPr>
        <w:t>the provision</w:t>
      </w:r>
      <w:r w:rsidR="0047324B" w:rsidRPr="007954B9">
        <w:rPr>
          <w:rFonts w:ascii="Times New Roman" w:hAnsi="Times New Roman"/>
        </w:rPr>
        <w:t xml:space="preserve"> </w:t>
      </w:r>
      <w:r w:rsidR="0092155C" w:rsidRPr="007954B9">
        <w:rPr>
          <w:rFonts w:ascii="Times New Roman" w:hAnsi="Times New Roman"/>
        </w:rPr>
        <w:t>require</w:t>
      </w:r>
      <w:r w:rsidR="00F03FF1" w:rsidRPr="007954B9">
        <w:rPr>
          <w:rFonts w:ascii="Times New Roman" w:hAnsi="Times New Roman"/>
        </w:rPr>
        <w:t>s</w:t>
      </w:r>
      <w:r w:rsidR="0092155C" w:rsidRPr="007954B9">
        <w:rPr>
          <w:rFonts w:ascii="Times New Roman" w:hAnsi="Times New Roman"/>
        </w:rPr>
        <w:t xml:space="preserve"> </w:t>
      </w:r>
      <w:r w:rsidR="00745DF9" w:rsidRPr="007954B9">
        <w:rPr>
          <w:rFonts w:ascii="Times New Roman" w:hAnsi="Times New Roman"/>
        </w:rPr>
        <w:t xml:space="preserve">that </w:t>
      </w:r>
      <w:r w:rsidR="00ED0DC5" w:rsidRPr="007954B9">
        <w:rPr>
          <w:rFonts w:ascii="Times New Roman" w:hAnsi="Times New Roman"/>
        </w:rPr>
        <w:t xml:space="preserve">the </w:t>
      </w:r>
      <w:r w:rsidR="00613019" w:rsidRPr="007954B9">
        <w:rPr>
          <w:rFonts w:ascii="Times New Roman" w:hAnsi="Times New Roman"/>
        </w:rPr>
        <w:t>references to "group member" in</w:t>
      </w:r>
      <w:r w:rsidR="00946B78" w:rsidRPr="007954B9">
        <w:rPr>
          <w:rFonts w:ascii="Times New Roman" w:hAnsi="Times New Roman"/>
        </w:rPr>
        <w:t xml:space="preserve"> s </w:t>
      </w:r>
      <w:r w:rsidR="00613019" w:rsidRPr="007954B9">
        <w:rPr>
          <w:rFonts w:ascii="Times New Roman" w:hAnsi="Times New Roman"/>
        </w:rPr>
        <w:t xml:space="preserve">33A </w:t>
      </w:r>
      <w:r w:rsidR="00951D66" w:rsidRPr="007954B9">
        <w:rPr>
          <w:rFonts w:ascii="Times New Roman" w:hAnsi="Times New Roman"/>
        </w:rPr>
        <w:t xml:space="preserve">and </w:t>
      </w:r>
      <w:r w:rsidR="00613019" w:rsidRPr="007954B9">
        <w:rPr>
          <w:rFonts w:ascii="Times New Roman" w:hAnsi="Times New Roman"/>
        </w:rPr>
        <w:t>"other persons" in</w:t>
      </w:r>
      <w:r w:rsidR="00946B78" w:rsidRPr="007954B9">
        <w:rPr>
          <w:rFonts w:ascii="Times New Roman" w:hAnsi="Times New Roman"/>
        </w:rPr>
        <w:t xml:space="preserve"> s </w:t>
      </w:r>
      <w:r w:rsidR="00613019" w:rsidRPr="007954B9">
        <w:rPr>
          <w:rFonts w:ascii="Times New Roman" w:hAnsi="Times New Roman"/>
        </w:rPr>
        <w:t xml:space="preserve">33D </w:t>
      </w:r>
      <w:r w:rsidR="00ED0DC5" w:rsidRPr="007954B9">
        <w:rPr>
          <w:rFonts w:ascii="Times New Roman" w:hAnsi="Times New Roman"/>
        </w:rPr>
        <w:t xml:space="preserve">of the Act </w:t>
      </w:r>
      <w:r w:rsidR="00951D66" w:rsidRPr="007954B9">
        <w:rPr>
          <w:rFonts w:ascii="Times New Roman" w:hAnsi="Times New Roman"/>
        </w:rPr>
        <w:t xml:space="preserve">be construed </w:t>
      </w:r>
      <w:r w:rsidR="00613019" w:rsidRPr="007954B9">
        <w:rPr>
          <w:rFonts w:ascii="Times New Roman" w:hAnsi="Times New Roman"/>
        </w:rPr>
        <w:t>to exclude non-residents.</w:t>
      </w:r>
      <w:r w:rsidR="00BD6D7D" w:rsidRPr="007954B9">
        <w:rPr>
          <w:rFonts w:ascii="Times New Roman" w:hAnsi="Times New Roman"/>
        </w:rPr>
        <w:t xml:space="preserve"> </w:t>
      </w:r>
      <w:r w:rsidR="00B81C74" w:rsidRPr="007954B9">
        <w:rPr>
          <w:rFonts w:ascii="Times New Roman" w:hAnsi="Times New Roman"/>
        </w:rPr>
        <w:t xml:space="preserve">The argument is founded on a misapprehension of what </w:t>
      </w:r>
      <w:r w:rsidR="00DB4B8E" w:rsidRPr="007954B9">
        <w:rPr>
          <w:rFonts w:ascii="Times New Roman" w:hAnsi="Times New Roman"/>
        </w:rPr>
        <w:t xml:space="preserve">application of </w:t>
      </w:r>
      <w:r w:rsidR="006F26A4" w:rsidRPr="007954B9">
        <w:rPr>
          <w:rFonts w:ascii="Times New Roman" w:hAnsi="Times New Roman"/>
        </w:rPr>
        <w:t xml:space="preserve">the provision </w:t>
      </w:r>
      <w:r w:rsidR="00592357" w:rsidRPr="007954B9">
        <w:rPr>
          <w:rFonts w:ascii="Times New Roman" w:hAnsi="Times New Roman"/>
        </w:rPr>
        <w:t>involves</w:t>
      </w:r>
      <w:r w:rsidR="00F86605" w:rsidRPr="007954B9">
        <w:rPr>
          <w:rFonts w:ascii="Times New Roman" w:hAnsi="Times New Roman"/>
        </w:rPr>
        <w:t>.</w:t>
      </w:r>
    </w:p>
    <w:p w14:paraId="3B7324D9" w14:textId="642CA864" w:rsidR="0003783B" w:rsidRPr="007954B9" w:rsidRDefault="00D07E52"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7E6F67" w:rsidRPr="007954B9">
        <w:rPr>
          <w:rFonts w:ascii="Times New Roman" w:hAnsi="Times New Roman"/>
        </w:rPr>
        <w:t>Section</w:t>
      </w:r>
      <w:r w:rsidR="009224DA" w:rsidRPr="007954B9">
        <w:rPr>
          <w:rFonts w:ascii="Times New Roman" w:hAnsi="Times New Roman"/>
        </w:rPr>
        <w:t xml:space="preserve"> 21(1)(b) </w:t>
      </w:r>
      <w:r w:rsidR="00B073E2" w:rsidRPr="007954B9">
        <w:rPr>
          <w:rFonts w:ascii="Times New Roman" w:hAnsi="Times New Roman"/>
        </w:rPr>
        <w:t xml:space="preserve">of the </w:t>
      </w:r>
      <w:r w:rsidR="00B073E2" w:rsidRPr="007954B9">
        <w:rPr>
          <w:rFonts w:ascii="Times New Roman" w:hAnsi="Times New Roman"/>
          <w:i/>
          <w:iCs/>
        </w:rPr>
        <w:t>Acts Interpretation Act</w:t>
      </w:r>
      <w:r w:rsidR="00B073E2" w:rsidRPr="007954B9">
        <w:rPr>
          <w:rFonts w:ascii="Times New Roman" w:hAnsi="Times New Roman"/>
        </w:rPr>
        <w:t xml:space="preserve"> </w:t>
      </w:r>
      <w:r w:rsidR="00406368" w:rsidRPr="007954B9">
        <w:rPr>
          <w:rFonts w:ascii="Times New Roman" w:hAnsi="Times New Roman"/>
        </w:rPr>
        <w:t>says nothing</w:t>
      </w:r>
      <w:r w:rsidR="009224DA" w:rsidRPr="007954B9">
        <w:rPr>
          <w:rFonts w:ascii="Times New Roman" w:hAnsi="Times New Roman"/>
        </w:rPr>
        <w:t xml:space="preserve"> </w:t>
      </w:r>
      <w:r w:rsidR="000B1FB6" w:rsidRPr="007954B9">
        <w:rPr>
          <w:rFonts w:ascii="Times New Roman" w:hAnsi="Times New Roman"/>
        </w:rPr>
        <w:t xml:space="preserve">in terms </w:t>
      </w:r>
      <w:r w:rsidR="00406368" w:rsidRPr="007954B9">
        <w:rPr>
          <w:rFonts w:ascii="Times New Roman" w:hAnsi="Times New Roman"/>
        </w:rPr>
        <w:t>about</w:t>
      </w:r>
      <w:r w:rsidR="000B1FB6" w:rsidRPr="007954B9">
        <w:rPr>
          <w:rFonts w:ascii="Times New Roman" w:hAnsi="Times New Roman"/>
        </w:rPr>
        <w:t xml:space="preserve"> </w:t>
      </w:r>
      <w:r w:rsidR="00970248" w:rsidRPr="007954B9">
        <w:rPr>
          <w:rFonts w:ascii="Times New Roman" w:hAnsi="Times New Roman"/>
        </w:rPr>
        <w:t xml:space="preserve">how </w:t>
      </w:r>
      <w:r w:rsidR="002A72E0" w:rsidRPr="007954B9">
        <w:rPr>
          <w:rFonts w:ascii="Times New Roman" w:hAnsi="Times New Roman"/>
        </w:rPr>
        <w:t xml:space="preserve">statutory </w:t>
      </w:r>
      <w:r w:rsidR="000B1FB6" w:rsidRPr="007954B9">
        <w:rPr>
          <w:rFonts w:ascii="Times New Roman" w:hAnsi="Times New Roman"/>
        </w:rPr>
        <w:t>references to "persons"</w:t>
      </w:r>
      <w:r w:rsidR="005361B2" w:rsidRPr="007954B9">
        <w:rPr>
          <w:rFonts w:ascii="Times New Roman" w:hAnsi="Times New Roman"/>
        </w:rPr>
        <w:t xml:space="preserve"> are to be </w:t>
      </w:r>
      <w:r w:rsidR="007A6E6F" w:rsidRPr="007954B9">
        <w:rPr>
          <w:rFonts w:ascii="Times New Roman" w:hAnsi="Times New Roman"/>
        </w:rPr>
        <w:t>understood</w:t>
      </w:r>
      <w:r w:rsidR="00E91509" w:rsidRPr="007954B9">
        <w:rPr>
          <w:rStyle w:val="FootnoteReference"/>
          <w:rFonts w:ascii="Times New Roman" w:hAnsi="Times New Roman"/>
          <w:sz w:val="24"/>
        </w:rPr>
        <w:footnoteReference w:id="39"/>
      </w:r>
      <w:r w:rsidR="00D729D7" w:rsidRPr="007954B9">
        <w:rPr>
          <w:rFonts w:ascii="Times New Roman" w:hAnsi="Times New Roman"/>
        </w:rPr>
        <w:t xml:space="preserve">. </w:t>
      </w:r>
      <w:r w:rsidR="00DF7BF5" w:rsidRPr="007954B9">
        <w:rPr>
          <w:rFonts w:ascii="Times New Roman" w:hAnsi="Times New Roman"/>
        </w:rPr>
        <w:t>It</w:t>
      </w:r>
      <w:r w:rsidR="006F2A15" w:rsidRPr="007954B9">
        <w:rPr>
          <w:rFonts w:ascii="Times New Roman" w:hAnsi="Times New Roman"/>
        </w:rPr>
        <w:t xml:space="preserve"> </w:t>
      </w:r>
      <w:r w:rsidR="005C5398" w:rsidRPr="007954B9">
        <w:rPr>
          <w:rFonts w:ascii="Times New Roman" w:hAnsi="Times New Roman"/>
        </w:rPr>
        <w:t xml:space="preserve">is not concerned with </w:t>
      </w:r>
      <w:r w:rsidR="00716FEA" w:rsidRPr="007954B9">
        <w:rPr>
          <w:rFonts w:ascii="Times New Roman" w:hAnsi="Times New Roman"/>
        </w:rPr>
        <w:t xml:space="preserve">the </w:t>
      </w:r>
      <w:r w:rsidR="001D4FF2" w:rsidRPr="007954B9">
        <w:rPr>
          <w:rFonts w:ascii="Times New Roman" w:hAnsi="Times New Roman"/>
        </w:rPr>
        <w:t xml:space="preserve">meaning </w:t>
      </w:r>
      <w:r w:rsidR="00771637" w:rsidRPr="007954B9">
        <w:rPr>
          <w:rFonts w:ascii="Times New Roman" w:hAnsi="Times New Roman"/>
        </w:rPr>
        <w:t>of</w:t>
      </w:r>
      <w:r w:rsidR="001D4FF2" w:rsidRPr="007954B9">
        <w:rPr>
          <w:rFonts w:ascii="Times New Roman" w:hAnsi="Times New Roman"/>
        </w:rPr>
        <w:t xml:space="preserve"> </w:t>
      </w:r>
      <w:r w:rsidR="00DF7BF5" w:rsidRPr="007954B9">
        <w:rPr>
          <w:rFonts w:ascii="Times New Roman" w:hAnsi="Times New Roman"/>
        </w:rPr>
        <w:t xml:space="preserve">any </w:t>
      </w:r>
      <w:r w:rsidR="001D4FF2" w:rsidRPr="007954B9">
        <w:rPr>
          <w:rFonts w:ascii="Times New Roman" w:hAnsi="Times New Roman"/>
        </w:rPr>
        <w:t xml:space="preserve">particular </w:t>
      </w:r>
      <w:r w:rsidR="00952AA1" w:rsidRPr="007954B9">
        <w:rPr>
          <w:rFonts w:ascii="Times New Roman" w:hAnsi="Times New Roman"/>
        </w:rPr>
        <w:t>statutory expression</w:t>
      </w:r>
      <w:r w:rsidR="001D4FF2" w:rsidRPr="007954B9">
        <w:rPr>
          <w:rFonts w:ascii="Times New Roman" w:hAnsi="Times New Roman"/>
        </w:rPr>
        <w:t>.</w:t>
      </w:r>
      <w:r w:rsidR="00866B6F" w:rsidRPr="007954B9">
        <w:rPr>
          <w:rFonts w:ascii="Times New Roman" w:hAnsi="Times New Roman"/>
        </w:rPr>
        <w:t xml:space="preserve"> </w:t>
      </w:r>
    </w:p>
    <w:p w14:paraId="081204D9" w14:textId="004D7D00" w:rsidR="00F23747" w:rsidRPr="007954B9" w:rsidRDefault="00D74229"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342294" w:rsidRPr="007954B9">
        <w:rPr>
          <w:rFonts w:ascii="Times New Roman" w:hAnsi="Times New Roman"/>
        </w:rPr>
        <w:t xml:space="preserve">The </w:t>
      </w:r>
      <w:r w:rsidR="000512F1" w:rsidRPr="007954B9">
        <w:rPr>
          <w:rFonts w:ascii="Times New Roman" w:hAnsi="Times New Roman"/>
        </w:rPr>
        <w:t xml:space="preserve">concern </w:t>
      </w:r>
      <w:r w:rsidR="00342294" w:rsidRPr="007954B9">
        <w:rPr>
          <w:rFonts w:ascii="Times New Roman" w:hAnsi="Times New Roman"/>
        </w:rPr>
        <w:t>of</w:t>
      </w:r>
      <w:r w:rsidR="00946B78" w:rsidRPr="007954B9">
        <w:rPr>
          <w:rFonts w:ascii="Times New Roman" w:hAnsi="Times New Roman"/>
        </w:rPr>
        <w:t xml:space="preserve"> s </w:t>
      </w:r>
      <w:r w:rsidR="00342294" w:rsidRPr="007954B9">
        <w:rPr>
          <w:rFonts w:ascii="Times New Roman" w:hAnsi="Times New Roman"/>
        </w:rPr>
        <w:t xml:space="preserve">21(1)(b) of the </w:t>
      </w:r>
      <w:r w:rsidR="00342294" w:rsidRPr="007954B9">
        <w:rPr>
          <w:rFonts w:ascii="Times New Roman" w:hAnsi="Times New Roman"/>
          <w:i/>
          <w:iCs/>
        </w:rPr>
        <w:t>Acts Interpretation Act</w:t>
      </w:r>
      <w:r w:rsidR="00342294" w:rsidRPr="007954B9">
        <w:rPr>
          <w:rFonts w:ascii="Times New Roman" w:hAnsi="Times New Roman"/>
        </w:rPr>
        <w:t xml:space="preserve"> </w:t>
      </w:r>
      <w:r w:rsidR="000512F1" w:rsidRPr="007954B9">
        <w:rPr>
          <w:rFonts w:ascii="Times New Roman" w:hAnsi="Times New Roman"/>
        </w:rPr>
        <w:t>with</w:t>
      </w:r>
      <w:r w:rsidR="00D07DE8" w:rsidRPr="007954B9">
        <w:rPr>
          <w:rFonts w:ascii="Times New Roman" w:hAnsi="Times New Roman"/>
        </w:rPr>
        <w:t xml:space="preserve"> "references to localities jurisdictions and other matters and things" </w:t>
      </w:r>
      <w:r w:rsidR="002635CD" w:rsidRPr="007954B9">
        <w:rPr>
          <w:rFonts w:ascii="Times New Roman" w:hAnsi="Times New Roman"/>
        </w:rPr>
        <w:t>in a Commonwealth</w:t>
      </w:r>
      <w:r w:rsidR="00B331CA" w:rsidRPr="007954B9">
        <w:rPr>
          <w:rFonts w:ascii="Times New Roman" w:hAnsi="Times New Roman"/>
        </w:rPr>
        <w:t xml:space="preserve"> statute</w:t>
      </w:r>
      <w:r w:rsidR="002635CD" w:rsidRPr="007954B9">
        <w:rPr>
          <w:rFonts w:ascii="Times New Roman" w:hAnsi="Times New Roman"/>
        </w:rPr>
        <w:t xml:space="preserve"> </w:t>
      </w:r>
      <w:r w:rsidR="000512F1" w:rsidRPr="007954B9">
        <w:rPr>
          <w:rFonts w:ascii="Times New Roman" w:hAnsi="Times New Roman"/>
        </w:rPr>
        <w:t>i</w:t>
      </w:r>
      <w:r w:rsidR="00711DD5" w:rsidRPr="007954B9">
        <w:rPr>
          <w:rFonts w:ascii="Times New Roman" w:hAnsi="Times New Roman"/>
        </w:rPr>
        <w:t>s</w:t>
      </w:r>
      <w:r w:rsidR="00BB49E7" w:rsidRPr="007954B9">
        <w:rPr>
          <w:rFonts w:ascii="Times New Roman" w:hAnsi="Times New Roman"/>
        </w:rPr>
        <w:t xml:space="preserve"> </w:t>
      </w:r>
      <w:r w:rsidR="00814EAF" w:rsidRPr="007954B9">
        <w:rPr>
          <w:rFonts w:ascii="Times New Roman" w:hAnsi="Times New Roman"/>
        </w:rPr>
        <w:t xml:space="preserve">not with </w:t>
      </w:r>
      <w:r w:rsidR="00AA4823" w:rsidRPr="007954B9">
        <w:rPr>
          <w:rFonts w:ascii="Times New Roman" w:hAnsi="Times New Roman"/>
        </w:rPr>
        <w:t xml:space="preserve">the manner </w:t>
      </w:r>
      <w:r w:rsidR="00A00827" w:rsidRPr="007954B9">
        <w:rPr>
          <w:rFonts w:ascii="Times New Roman" w:hAnsi="Times New Roman"/>
        </w:rPr>
        <w:t xml:space="preserve">of expression of </w:t>
      </w:r>
      <w:r w:rsidR="0094789A" w:rsidRPr="007954B9">
        <w:rPr>
          <w:rFonts w:ascii="Times New Roman" w:hAnsi="Times New Roman"/>
        </w:rPr>
        <w:t xml:space="preserve">a statutory reference </w:t>
      </w:r>
      <w:r w:rsidR="00814EAF" w:rsidRPr="007954B9">
        <w:rPr>
          <w:rFonts w:ascii="Times New Roman" w:hAnsi="Times New Roman"/>
        </w:rPr>
        <w:t xml:space="preserve">but </w:t>
      </w:r>
      <w:r w:rsidR="00CD15D8" w:rsidRPr="007954B9">
        <w:rPr>
          <w:rFonts w:ascii="Times New Roman" w:hAnsi="Times New Roman"/>
        </w:rPr>
        <w:t xml:space="preserve">more substantively </w:t>
      </w:r>
      <w:r w:rsidR="000512F1" w:rsidRPr="007954B9">
        <w:rPr>
          <w:rFonts w:ascii="Times New Roman" w:hAnsi="Times New Roman"/>
        </w:rPr>
        <w:t xml:space="preserve">with </w:t>
      </w:r>
      <w:r w:rsidR="00AA4823" w:rsidRPr="007954B9">
        <w:rPr>
          <w:rFonts w:ascii="Times New Roman" w:hAnsi="Times New Roman"/>
        </w:rPr>
        <w:t xml:space="preserve">the </w:t>
      </w:r>
      <w:r w:rsidR="000512F1" w:rsidRPr="007954B9">
        <w:rPr>
          <w:rFonts w:ascii="Times New Roman" w:hAnsi="Times New Roman"/>
        </w:rPr>
        <w:t>subject matter</w:t>
      </w:r>
      <w:r w:rsidR="00AA4823" w:rsidRPr="007954B9">
        <w:rPr>
          <w:rFonts w:ascii="Times New Roman" w:hAnsi="Times New Roman"/>
        </w:rPr>
        <w:t xml:space="preserve"> to which </w:t>
      </w:r>
      <w:r w:rsidR="00893685" w:rsidRPr="007954B9">
        <w:rPr>
          <w:rFonts w:ascii="Times New Roman" w:hAnsi="Times New Roman"/>
        </w:rPr>
        <w:t xml:space="preserve">statutory </w:t>
      </w:r>
      <w:r w:rsidR="00AA4823" w:rsidRPr="007954B9">
        <w:rPr>
          <w:rFonts w:ascii="Times New Roman" w:hAnsi="Times New Roman"/>
        </w:rPr>
        <w:t>reference is made</w:t>
      </w:r>
      <w:r w:rsidR="000512F1" w:rsidRPr="007954B9">
        <w:rPr>
          <w:rFonts w:ascii="Times New Roman" w:hAnsi="Times New Roman"/>
        </w:rPr>
        <w:t xml:space="preserve">. </w:t>
      </w:r>
      <w:r w:rsidR="00F036FC" w:rsidRPr="007954B9">
        <w:rPr>
          <w:rFonts w:ascii="Times New Roman" w:hAnsi="Times New Roman"/>
        </w:rPr>
        <w:t>Its instruction t</w:t>
      </w:r>
      <w:r w:rsidR="00C35FD2" w:rsidRPr="007954B9">
        <w:rPr>
          <w:rFonts w:ascii="Times New Roman" w:hAnsi="Times New Roman"/>
        </w:rPr>
        <w:t>hat</w:t>
      </w:r>
      <w:r w:rsidR="00F036FC" w:rsidRPr="007954B9">
        <w:rPr>
          <w:rFonts w:ascii="Times New Roman" w:hAnsi="Times New Roman"/>
        </w:rPr>
        <w:t xml:space="preserve"> </w:t>
      </w:r>
      <w:r w:rsidR="00121A9D" w:rsidRPr="007954B9">
        <w:rPr>
          <w:rFonts w:ascii="Times New Roman" w:hAnsi="Times New Roman"/>
        </w:rPr>
        <w:t xml:space="preserve">all </w:t>
      </w:r>
      <w:r w:rsidR="00F036FC" w:rsidRPr="007954B9">
        <w:rPr>
          <w:rFonts w:ascii="Times New Roman" w:hAnsi="Times New Roman"/>
        </w:rPr>
        <w:t xml:space="preserve">such references </w:t>
      </w:r>
      <w:r w:rsidR="00DD77DF" w:rsidRPr="007954B9">
        <w:rPr>
          <w:rFonts w:ascii="Times New Roman" w:hAnsi="Times New Roman"/>
        </w:rPr>
        <w:t xml:space="preserve">are to </w:t>
      </w:r>
      <w:r w:rsidR="00E15506" w:rsidRPr="007954B9">
        <w:rPr>
          <w:rFonts w:ascii="Times New Roman" w:hAnsi="Times New Roman"/>
        </w:rPr>
        <w:t xml:space="preserve">be </w:t>
      </w:r>
      <w:r w:rsidR="00C555D1" w:rsidRPr="007954B9">
        <w:rPr>
          <w:rFonts w:ascii="Times New Roman" w:hAnsi="Times New Roman"/>
        </w:rPr>
        <w:t xml:space="preserve">"construed" </w:t>
      </w:r>
      <w:r w:rsidR="000A2686" w:rsidRPr="007954B9">
        <w:rPr>
          <w:rFonts w:ascii="Times New Roman" w:hAnsi="Times New Roman"/>
        </w:rPr>
        <w:t xml:space="preserve">as "references to such localities jurisdictions and other matters and things in and of the Commonwealth" </w:t>
      </w:r>
      <w:r w:rsidR="002D5D0D" w:rsidRPr="007954B9">
        <w:rPr>
          <w:rFonts w:ascii="Times New Roman" w:hAnsi="Times New Roman"/>
        </w:rPr>
        <w:t xml:space="preserve">is a requirement </w:t>
      </w:r>
      <w:r w:rsidR="00665DC3" w:rsidRPr="007954B9">
        <w:rPr>
          <w:rFonts w:ascii="Times New Roman" w:hAnsi="Times New Roman"/>
        </w:rPr>
        <w:t xml:space="preserve">that </w:t>
      </w:r>
      <w:r w:rsidR="008715FD" w:rsidRPr="007954B9">
        <w:rPr>
          <w:rFonts w:ascii="Times New Roman" w:hAnsi="Times New Roman"/>
        </w:rPr>
        <w:t>the</w:t>
      </w:r>
      <w:r w:rsidR="00B331CA" w:rsidRPr="007954B9">
        <w:rPr>
          <w:rFonts w:ascii="Times New Roman" w:hAnsi="Times New Roman"/>
        </w:rPr>
        <w:t xml:space="preserve"> statute</w:t>
      </w:r>
      <w:r w:rsidR="00665DC3" w:rsidRPr="007954B9">
        <w:rPr>
          <w:rFonts w:ascii="Times New Roman" w:hAnsi="Times New Roman"/>
        </w:rPr>
        <w:t xml:space="preserve"> be construed</w:t>
      </w:r>
      <w:r w:rsidR="00901348" w:rsidRPr="007954B9">
        <w:rPr>
          <w:rFonts w:ascii="Times New Roman" w:hAnsi="Times New Roman"/>
        </w:rPr>
        <w:t xml:space="preserve"> </w:t>
      </w:r>
      <w:r w:rsidR="00665DC3" w:rsidRPr="007954B9">
        <w:rPr>
          <w:rFonts w:ascii="Times New Roman" w:hAnsi="Times New Roman"/>
        </w:rPr>
        <w:t>to</w:t>
      </w:r>
      <w:r w:rsidR="00785072" w:rsidRPr="007954B9">
        <w:rPr>
          <w:rFonts w:ascii="Times New Roman" w:hAnsi="Times New Roman"/>
        </w:rPr>
        <w:t xml:space="preserve"> ensure</w:t>
      </w:r>
      <w:r w:rsidR="003D4098" w:rsidRPr="007954B9">
        <w:rPr>
          <w:rFonts w:ascii="Times New Roman" w:hAnsi="Times New Roman"/>
        </w:rPr>
        <w:t xml:space="preserve"> </w:t>
      </w:r>
      <w:r w:rsidR="00FF6890" w:rsidRPr="007954B9">
        <w:rPr>
          <w:rFonts w:ascii="Times New Roman" w:hAnsi="Times New Roman"/>
        </w:rPr>
        <w:t xml:space="preserve">that </w:t>
      </w:r>
      <w:r w:rsidR="0045626F" w:rsidRPr="007954B9">
        <w:rPr>
          <w:rFonts w:ascii="Times New Roman" w:hAnsi="Times New Roman"/>
        </w:rPr>
        <w:t xml:space="preserve">a connection </w:t>
      </w:r>
      <w:r w:rsidR="00FF6890" w:rsidRPr="007954B9">
        <w:rPr>
          <w:rFonts w:ascii="Times New Roman" w:hAnsi="Times New Roman"/>
        </w:rPr>
        <w:t xml:space="preserve">exists </w:t>
      </w:r>
      <w:r w:rsidR="0045626F" w:rsidRPr="007954B9">
        <w:rPr>
          <w:rFonts w:ascii="Times New Roman" w:hAnsi="Times New Roman"/>
        </w:rPr>
        <w:t xml:space="preserve">between </w:t>
      </w:r>
      <w:r w:rsidR="00FC3365" w:rsidRPr="007954B9">
        <w:rPr>
          <w:rFonts w:ascii="Times New Roman" w:hAnsi="Times New Roman"/>
        </w:rPr>
        <w:t>the</w:t>
      </w:r>
      <w:r w:rsidR="00D428A5" w:rsidRPr="007954B9">
        <w:rPr>
          <w:rFonts w:ascii="Times New Roman" w:hAnsi="Times New Roman"/>
        </w:rPr>
        <w:t xml:space="preserve"> subject matter</w:t>
      </w:r>
      <w:r w:rsidR="00FC3365" w:rsidRPr="007954B9">
        <w:rPr>
          <w:rFonts w:ascii="Times New Roman" w:hAnsi="Times New Roman"/>
        </w:rPr>
        <w:t xml:space="preserve"> to which </w:t>
      </w:r>
      <w:r w:rsidR="000849CB" w:rsidRPr="007954B9">
        <w:rPr>
          <w:rFonts w:ascii="Times New Roman" w:hAnsi="Times New Roman"/>
        </w:rPr>
        <w:t>the statute</w:t>
      </w:r>
      <w:r w:rsidR="00FC3365" w:rsidRPr="007954B9">
        <w:rPr>
          <w:rFonts w:ascii="Times New Roman" w:hAnsi="Times New Roman"/>
        </w:rPr>
        <w:t xml:space="preserve"> refers</w:t>
      </w:r>
      <w:r w:rsidR="001A7353" w:rsidRPr="007954B9">
        <w:rPr>
          <w:rFonts w:ascii="Times New Roman" w:hAnsi="Times New Roman"/>
        </w:rPr>
        <w:t xml:space="preserve">, on the one hand, </w:t>
      </w:r>
      <w:r w:rsidR="00D0142C" w:rsidRPr="007954B9">
        <w:rPr>
          <w:rFonts w:ascii="Times New Roman" w:hAnsi="Times New Roman"/>
        </w:rPr>
        <w:t xml:space="preserve">and the Commonwealth </w:t>
      </w:r>
      <w:r w:rsidR="001A7353" w:rsidRPr="007954B9">
        <w:rPr>
          <w:rFonts w:ascii="Times New Roman" w:hAnsi="Times New Roman"/>
        </w:rPr>
        <w:t xml:space="preserve">of Australia </w:t>
      </w:r>
      <w:r w:rsidR="00094271" w:rsidRPr="007954B9">
        <w:rPr>
          <w:rFonts w:ascii="Times New Roman" w:hAnsi="Times New Roman"/>
        </w:rPr>
        <w:t>understood</w:t>
      </w:r>
      <w:r w:rsidR="0059613B" w:rsidRPr="007954B9">
        <w:rPr>
          <w:rFonts w:ascii="Times New Roman" w:hAnsi="Times New Roman"/>
        </w:rPr>
        <w:t xml:space="preserve"> </w:t>
      </w:r>
      <w:r w:rsidR="006705A7" w:rsidRPr="007954B9">
        <w:rPr>
          <w:rFonts w:ascii="Times New Roman" w:hAnsi="Times New Roman"/>
        </w:rPr>
        <w:t xml:space="preserve">compositely </w:t>
      </w:r>
      <w:r w:rsidR="0059613B" w:rsidRPr="007954B9">
        <w:rPr>
          <w:rFonts w:ascii="Times New Roman" w:hAnsi="Times New Roman"/>
        </w:rPr>
        <w:t>as a geographical</w:t>
      </w:r>
      <w:r w:rsidR="00094271" w:rsidRPr="007954B9">
        <w:rPr>
          <w:rFonts w:ascii="Times New Roman" w:hAnsi="Times New Roman"/>
        </w:rPr>
        <w:t>ly bounded</w:t>
      </w:r>
      <w:r w:rsidR="0059613B" w:rsidRPr="007954B9">
        <w:rPr>
          <w:rFonts w:ascii="Times New Roman" w:hAnsi="Times New Roman"/>
        </w:rPr>
        <w:t xml:space="preserve"> polity</w:t>
      </w:r>
      <w:r w:rsidR="006705A7" w:rsidRPr="007954B9">
        <w:rPr>
          <w:rStyle w:val="FootnoteReference"/>
          <w:rFonts w:ascii="Times New Roman" w:hAnsi="Times New Roman"/>
          <w:sz w:val="24"/>
        </w:rPr>
        <w:footnoteReference w:id="40"/>
      </w:r>
      <w:r w:rsidR="001A7353" w:rsidRPr="007954B9">
        <w:rPr>
          <w:rFonts w:ascii="Times New Roman" w:hAnsi="Times New Roman"/>
        </w:rPr>
        <w:t>, on the other hand</w:t>
      </w:r>
      <w:r w:rsidR="0059613B" w:rsidRPr="007954B9">
        <w:rPr>
          <w:rFonts w:ascii="Times New Roman" w:hAnsi="Times New Roman"/>
        </w:rPr>
        <w:t>.</w:t>
      </w:r>
      <w:r w:rsidR="007F3BBB" w:rsidRPr="007954B9">
        <w:rPr>
          <w:rFonts w:ascii="Times New Roman" w:hAnsi="Times New Roman"/>
        </w:rPr>
        <w:t xml:space="preserve"> </w:t>
      </w:r>
      <w:r w:rsidR="000B21BD" w:rsidRPr="007954B9">
        <w:rPr>
          <w:rFonts w:ascii="Times New Roman" w:hAnsi="Times New Roman"/>
        </w:rPr>
        <w:t xml:space="preserve">The </w:t>
      </w:r>
      <w:r w:rsidR="001E20EE" w:rsidRPr="007954B9">
        <w:rPr>
          <w:rFonts w:ascii="Times New Roman" w:hAnsi="Times New Roman"/>
        </w:rPr>
        <w:t>"exact nature" of</w:t>
      </w:r>
      <w:r w:rsidR="000B21BD" w:rsidRPr="007954B9">
        <w:rPr>
          <w:rFonts w:ascii="Times New Roman" w:hAnsi="Times New Roman"/>
        </w:rPr>
        <w:t xml:space="preserve"> </w:t>
      </w:r>
      <w:r w:rsidR="00D6524F" w:rsidRPr="007954B9">
        <w:rPr>
          <w:rFonts w:ascii="Times New Roman" w:hAnsi="Times New Roman"/>
        </w:rPr>
        <w:t>th</w:t>
      </w:r>
      <w:r w:rsidR="00151B21" w:rsidRPr="007954B9">
        <w:rPr>
          <w:rFonts w:ascii="Times New Roman" w:hAnsi="Times New Roman"/>
        </w:rPr>
        <w:t>e requisite</w:t>
      </w:r>
      <w:r w:rsidR="00D6524F" w:rsidRPr="007954B9">
        <w:rPr>
          <w:rFonts w:ascii="Times New Roman" w:hAnsi="Times New Roman"/>
        </w:rPr>
        <w:t xml:space="preserve"> connection is </w:t>
      </w:r>
      <w:r w:rsidR="00DF1A82" w:rsidRPr="007954B9">
        <w:rPr>
          <w:rFonts w:ascii="Times New Roman" w:hAnsi="Times New Roman"/>
        </w:rPr>
        <w:t>not prescribed</w:t>
      </w:r>
      <w:r w:rsidR="001E20EE" w:rsidRPr="007954B9">
        <w:rPr>
          <w:rStyle w:val="FootnoteReference"/>
          <w:rFonts w:ascii="Times New Roman" w:hAnsi="Times New Roman"/>
          <w:sz w:val="24"/>
        </w:rPr>
        <w:footnoteReference w:id="41"/>
      </w:r>
      <w:r w:rsidR="00DF1A82" w:rsidRPr="007954B9">
        <w:rPr>
          <w:rFonts w:ascii="Times New Roman" w:hAnsi="Times New Roman"/>
        </w:rPr>
        <w:t xml:space="preserve">. That is </w:t>
      </w:r>
      <w:r w:rsidR="006F7A15" w:rsidRPr="007954B9">
        <w:rPr>
          <w:rFonts w:ascii="Times New Roman" w:hAnsi="Times New Roman"/>
        </w:rPr>
        <w:t>left</w:t>
      </w:r>
      <w:r w:rsidR="00D066C9" w:rsidRPr="007954B9">
        <w:rPr>
          <w:rFonts w:ascii="Times New Roman" w:hAnsi="Times New Roman"/>
        </w:rPr>
        <w:t xml:space="preserve"> by the provision</w:t>
      </w:r>
      <w:r w:rsidR="006F7A15" w:rsidRPr="007954B9">
        <w:rPr>
          <w:rFonts w:ascii="Times New Roman" w:hAnsi="Times New Roman"/>
        </w:rPr>
        <w:t xml:space="preserve"> </w:t>
      </w:r>
      <w:r w:rsidR="00506786" w:rsidRPr="007954B9">
        <w:rPr>
          <w:rFonts w:ascii="Times New Roman" w:hAnsi="Times New Roman"/>
        </w:rPr>
        <w:t>to be</w:t>
      </w:r>
      <w:r w:rsidR="001B3345" w:rsidRPr="007954B9">
        <w:rPr>
          <w:rFonts w:ascii="Times New Roman" w:hAnsi="Times New Roman"/>
        </w:rPr>
        <w:t xml:space="preserve"> determined in the construction of the particular statute</w:t>
      </w:r>
      <w:r w:rsidR="00976AFB" w:rsidRPr="007954B9">
        <w:rPr>
          <w:rFonts w:ascii="Times New Roman" w:hAnsi="Times New Roman"/>
        </w:rPr>
        <w:t xml:space="preserve">: </w:t>
      </w:r>
      <w:r w:rsidR="00C140B6" w:rsidRPr="007954B9">
        <w:rPr>
          <w:rFonts w:ascii="Times New Roman" w:hAnsi="Times New Roman"/>
        </w:rPr>
        <w:t>"</w:t>
      </w:r>
      <w:r w:rsidR="00976AFB" w:rsidRPr="007954B9">
        <w:rPr>
          <w:rFonts w:ascii="Times New Roman" w:hAnsi="Times New Roman"/>
        </w:rPr>
        <w:t xml:space="preserve">to be </w:t>
      </w:r>
      <w:r w:rsidR="001422A7" w:rsidRPr="007954B9">
        <w:rPr>
          <w:rFonts w:ascii="Times New Roman" w:hAnsi="Times New Roman"/>
        </w:rPr>
        <w:t>implied or import</w:t>
      </w:r>
      <w:r w:rsidR="00831B54" w:rsidRPr="007954B9">
        <w:rPr>
          <w:rFonts w:ascii="Times New Roman" w:hAnsi="Times New Roman"/>
        </w:rPr>
        <w:t>ed</w:t>
      </w:r>
      <w:r w:rsidR="001422A7" w:rsidRPr="007954B9">
        <w:rPr>
          <w:rFonts w:ascii="Times New Roman" w:hAnsi="Times New Roman"/>
        </w:rPr>
        <w:t xml:space="preserve"> </w:t>
      </w:r>
      <w:r w:rsidR="00C140B6" w:rsidRPr="007954B9">
        <w:rPr>
          <w:rFonts w:ascii="Times New Roman" w:hAnsi="Times New Roman"/>
        </w:rPr>
        <w:t>upon</w:t>
      </w:r>
      <w:r w:rsidR="001422A7" w:rsidRPr="007954B9">
        <w:rPr>
          <w:rFonts w:ascii="Times New Roman" w:hAnsi="Times New Roman"/>
        </w:rPr>
        <w:t xml:space="preserve"> a consideration of the context and the subject matter</w:t>
      </w:r>
      <w:r w:rsidR="00C140B6" w:rsidRPr="007954B9">
        <w:rPr>
          <w:rFonts w:ascii="Times New Roman" w:hAnsi="Times New Roman"/>
        </w:rPr>
        <w:t>"</w:t>
      </w:r>
      <w:r w:rsidR="00C140B6" w:rsidRPr="007954B9">
        <w:rPr>
          <w:rStyle w:val="FootnoteReference"/>
          <w:rFonts w:ascii="Times New Roman" w:hAnsi="Times New Roman"/>
          <w:sz w:val="24"/>
        </w:rPr>
        <w:footnoteReference w:id="42"/>
      </w:r>
      <w:r w:rsidR="00C140B6" w:rsidRPr="007954B9">
        <w:rPr>
          <w:rFonts w:ascii="Times New Roman" w:hAnsi="Times New Roman"/>
        </w:rPr>
        <w:t>.</w:t>
      </w:r>
    </w:p>
    <w:p w14:paraId="7F8FAB0E" w14:textId="1660D521" w:rsidR="00AA1503" w:rsidRPr="007954B9" w:rsidRDefault="00B37DDD" w:rsidP="007954B9">
      <w:pPr>
        <w:pStyle w:val="FixListStyle"/>
        <w:spacing w:after="260" w:line="280" w:lineRule="exact"/>
        <w:ind w:right="0"/>
        <w:jc w:val="both"/>
        <w:rPr>
          <w:rFonts w:ascii="Times New Roman" w:hAnsi="Times New Roman"/>
        </w:rPr>
      </w:pPr>
      <w:r w:rsidRPr="007954B9">
        <w:rPr>
          <w:rFonts w:ascii="Times New Roman" w:hAnsi="Times New Roman"/>
        </w:rPr>
        <w:tab/>
        <w:t>Section 21(1)(b) operates in harmony with</w:t>
      </w:r>
      <w:r w:rsidR="00946B78" w:rsidRPr="007954B9">
        <w:rPr>
          <w:rFonts w:ascii="Times New Roman" w:hAnsi="Times New Roman"/>
        </w:rPr>
        <w:t xml:space="preserve"> s </w:t>
      </w:r>
      <w:r w:rsidR="00147623" w:rsidRPr="007954B9">
        <w:rPr>
          <w:rFonts w:ascii="Times New Roman" w:hAnsi="Times New Roman"/>
        </w:rPr>
        <w:t xml:space="preserve">15AA </w:t>
      </w:r>
      <w:r w:rsidRPr="007954B9">
        <w:rPr>
          <w:rFonts w:ascii="Times New Roman" w:hAnsi="Times New Roman"/>
        </w:rPr>
        <w:t xml:space="preserve">of the </w:t>
      </w:r>
      <w:r w:rsidRPr="007954B9">
        <w:rPr>
          <w:rFonts w:ascii="Times New Roman" w:hAnsi="Times New Roman"/>
          <w:i/>
          <w:iCs/>
        </w:rPr>
        <w:t>Acts Interpretation Act</w:t>
      </w:r>
      <w:r w:rsidR="00500ADD" w:rsidRPr="007954B9">
        <w:rPr>
          <w:rFonts w:ascii="Times New Roman" w:hAnsi="Times New Roman"/>
        </w:rPr>
        <w:t>,</w:t>
      </w:r>
      <w:r w:rsidR="00147623" w:rsidRPr="007954B9">
        <w:rPr>
          <w:rFonts w:ascii="Times New Roman" w:hAnsi="Times New Roman"/>
          <w:i/>
          <w:iCs/>
        </w:rPr>
        <w:t xml:space="preserve"> </w:t>
      </w:r>
      <w:r w:rsidR="00147623" w:rsidRPr="007954B9">
        <w:rPr>
          <w:rFonts w:ascii="Times New Roman" w:hAnsi="Times New Roman"/>
        </w:rPr>
        <w:t xml:space="preserve">which requires </w:t>
      </w:r>
      <w:r w:rsidR="00A67F25" w:rsidRPr="007954B9">
        <w:rPr>
          <w:rFonts w:ascii="Times New Roman" w:hAnsi="Times New Roman"/>
        </w:rPr>
        <w:t>preference to be given</w:t>
      </w:r>
      <w:r w:rsidR="00A27A2D" w:rsidRPr="007954B9">
        <w:rPr>
          <w:rFonts w:ascii="Times New Roman" w:hAnsi="Times New Roman"/>
        </w:rPr>
        <w:t xml:space="preserve"> </w:t>
      </w:r>
      <w:r w:rsidR="008E46AF" w:rsidRPr="007954B9">
        <w:rPr>
          <w:rFonts w:ascii="Times New Roman" w:hAnsi="Times New Roman"/>
        </w:rPr>
        <w:t xml:space="preserve">in the construction of the particular statute </w:t>
      </w:r>
      <w:r w:rsidR="00DF2B2E" w:rsidRPr="007954B9">
        <w:rPr>
          <w:rFonts w:ascii="Times New Roman" w:hAnsi="Times New Roman"/>
        </w:rPr>
        <w:t xml:space="preserve">to </w:t>
      </w:r>
      <w:r w:rsidR="00FF3D51" w:rsidRPr="007954B9">
        <w:rPr>
          <w:rFonts w:ascii="Times New Roman" w:hAnsi="Times New Roman"/>
        </w:rPr>
        <w:t>the</w:t>
      </w:r>
      <w:r w:rsidR="00DF2B2E" w:rsidRPr="007954B9">
        <w:rPr>
          <w:rFonts w:ascii="Times New Roman" w:hAnsi="Times New Roman"/>
        </w:rPr>
        <w:t xml:space="preserve"> </w:t>
      </w:r>
      <w:r w:rsidR="00D0746D" w:rsidRPr="007954B9">
        <w:rPr>
          <w:rFonts w:ascii="Times New Roman" w:hAnsi="Times New Roman"/>
        </w:rPr>
        <w:t>construction</w:t>
      </w:r>
      <w:r w:rsidR="008D2423" w:rsidRPr="007954B9">
        <w:rPr>
          <w:rFonts w:ascii="Times New Roman" w:hAnsi="Times New Roman"/>
        </w:rPr>
        <w:t xml:space="preserve"> </w:t>
      </w:r>
      <w:r w:rsidR="00C347EA" w:rsidRPr="007954B9">
        <w:rPr>
          <w:rFonts w:ascii="Times New Roman" w:hAnsi="Times New Roman"/>
        </w:rPr>
        <w:t xml:space="preserve">which </w:t>
      </w:r>
      <w:r w:rsidR="008D2423" w:rsidRPr="007954B9">
        <w:rPr>
          <w:rFonts w:ascii="Times New Roman" w:hAnsi="Times New Roman"/>
        </w:rPr>
        <w:t xml:space="preserve">would best achieve the </w:t>
      </w:r>
      <w:r w:rsidR="00DF2B2E" w:rsidRPr="007954B9">
        <w:rPr>
          <w:rFonts w:ascii="Times New Roman" w:hAnsi="Times New Roman"/>
        </w:rPr>
        <w:t xml:space="preserve">statutory </w:t>
      </w:r>
      <w:r w:rsidR="008D2423" w:rsidRPr="007954B9">
        <w:rPr>
          <w:rFonts w:ascii="Times New Roman" w:hAnsi="Times New Roman"/>
        </w:rPr>
        <w:lastRenderedPageBreak/>
        <w:t>purpose or object</w:t>
      </w:r>
      <w:r w:rsidR="00DA620C" w:rsidRPr="007954B9">
        <w:rPr>
          <w:rStyle w:val="FootnoteReference"/>
          <w:rFonts w:ascii="Times New Roman" w:hAnsi="Times New Roman"/>
          <w:sz w:val="24"/>
        </w:rPr>
        <w:footnoteReference w:id="43"/>
      </w:r>
      <w:r w:rsidR="008D2423" w:rsidRPr="007954B9">
        <w:rPr>
          <w:rFonts w:ascii="Times New Roman" w:hAnsi="Times New Roman"/>
        </w:rPr>
        <w:t>.</w:t>
      </w:r>
      <w:r w:rsidR="00A27A2D" w:rsidRPr="007954B9">
        <w:rPr>
          <w:rFonts w:ascii="Times New Roman" w:hAnsi="Times New Roman"/>
        </w:rPr>
        <w:t xml:space="preserve"> </w:t>
      </w:r>
      <w:r w:rsidR="00BB7A76" w:rsidRPr="007954B9">
        <w:rPr>
          <w:rFonts w:ascii="Times New Roman" w:hAnsi="Times New Roman"/>
        </w:rPr>
        <w:t xml:space="preserve">Depending on </w:t>
      </w:r>
      <w:r w:rsidR="00BD3A54" w:rsidRPr="007954B9">
        <w:rPr>
          <w:rFonts w:ascii="Times New Roman" w:hAnsi="Times New Roman"/>
        </w:rPr>
        <w:t>what</w:t>
      </w:r>
      <w:r w:rsidR="00BB7A76" w:rsidRPr="007954B9">
        <w:rPr>
          <w:rFonts w:ascii="Times New Roman" w:hAnsi="Times New Roman"/>
        </w:rPr>
        <w:t xml:space="preserve"> would best achieve the purpose or object of the </w:t>
      </w:r>
      <w:r w:rsidR="00DB66AC" w:rsidRPr="007954B9">
        <w:rPr>
          <w:rFonts w:ascii="Times New Roman" w:hAnsi="Times New Roman"/>
        </w:rPr>
        <w:t xml:space="preserve">particular </w:t>
      </w:r>
      <w:r w:rsidR="00BB7A76" w:rsidRPr="007954B9">
        <w:rPr>
          <w:rFonts w:ascii="Times New Roman" w:hAnsi="Times New Roman"/>
        </w:rPr>
        <w:t xml:space="preserve">statute in question, </w:t>
      </w:r>
      <w:r w:rsidR="00DB66AC" w:rsidRPr="007954B9">
        <w:rPr>
          <w:rFonts w:ascii="Times New Roman" w:hAnsi="Times New Roman"/>
        </w:rPr>
        <w:t xml:space="preserve">a </w:t>
      </w:r>
      <w:r w:rsidR="00E14CDF" w:rsidRPr="007954B9">
        <w:rPr>
          <w:rFonts w:ascii="Times New Roman" w:hAnsi="Times New Roman"/>
        </w:rPr>
        <w:t xml:space="preserve">construction </w:t>
      </w:r>
      <w:r w:rsidR="00FF3D51" w:rsidRPr="007954B9">
        <w:rPr>
          <w:rFonts w:ascii="Times New Roman" w:hAnsi="Times New Roman"/>
        </w:rPr>
        <w:t xml:space="preserve">which </w:t>
      </w:r>
      <w:r w:rsidR="00C441EA" w:rsidRPr="007954B9">
        <w:rPr>
          <w:rFonts w:ascii="Times New Roman" w:hAnsi="Times New Roman"/>
        </w:rPr>
        <w:t>resul</w:t>
      </w:r>
      <w:r w:rsidR="00FF3D51" w:rsidRPr="007954B9">
        <w:rPr>
          <w:rFonts w:ascii="Times New Roman" w:hAnsi="Times New Roman"/>
        </w:rPr>
        <w:t>ts</w:t>
      </w:r>
      <w:r w:rsidR="00C441EA" w:rsidRPr="007954B9">
        <w:rPr>
          <w:rFonts w:ascii="Times New Roman" w:hAnsi="Times New Roman"/>
        </w:rPr>
        <w:t xml:space="preserve"> in </w:t>
      </w:r>
      <w:r w:rsidR="00BE2A60" w:rsidRPr="007954B9">
        <w:rPr>
          <w:rFonts w:ascii="Times New Roman" w:hAnsi="Times New Roman"/>
        </w:rPr>
        <w:t xml:space="preserve">the existence of </w:t>
      </w:r>
      <w:r w:rsidR="00143C93" w:rsidRPr="007954B9">
        <w:rPr>
          <w:rFonts w:ascii="Times New Roman" w:hAnsi="Times New Roman"/>
        </w:rPr>
        <w:t xml:space="preserve">a connection </w:t>
      </w:r>
      <w:r w:rsidR="008B14EF" w:rsidRPr="007954B9">
        <w:rPr>
          <w:rFonts w:ascii="Times New Roman" w:hAnsi="Times New Roman"/>
        </w:rPr>
        <w:t xml:space="preserve">sufficient to satisfy the requirement of the provision </w:t>
      </w:r>
      <w:r w:rsidR="0039059D" w:rsidRPr="007954B9">
        <w:rPr>
          <w:rFonts w:ascii="Times New Roman" w:hAnsi="Times New Roman"/>
        </w:rPr>
        <w:t>might be arrived at in a variety of ways</w:t>
      </w:r>
      <w:r w:rsidR="00DA0D0E" w:rsidRPr="007954B9">
        <w:rPr>
          <w:rFonts w:ascii="Times New Roman" w:hAnsi="Times New Roman"/>
        </w:rPr>
        <w:t xml:space="preserve"> and might well be a</w:t>
      </w:r>
      <w:r w:rsidR="008250A4" w:rsidRPr="007954B9">
        <w:rPr>
          <w:rFonts w:ascii="Times New Roman" w:hAnsi="Times New Roman"/>
        </w:rPr>
        <w:t>rrived at</w:t>
      </w:r>
      <w:r w:rsidR="00DA0D0E" w:rsidRPr="007954B9">
        <w:rPr>
          <w:rFonts w:ascii="Times New Roman" w:hAnsi="Times New Roman"/>
        </w:rPr>
        <w:t xml:space="preserve"> through t</w:t>
      </w:r>
      <w:r w:rsidR="0087253F" w:rsidRPr="007954B9">
        <w:rPr>
          <w:rFonts w:ascii="Times New Roman" w:hAnsi="Times New Roman"/>
        </w:rPr>
        <w:t xml:space="preserve">he </w:t>
      </w:r>
      <w:r w:rsidR="004763E1" w:rsidRPr="007954B9">
        <w:rPr>
          <w:rFonts w:ascii="Times New Roman" w:hAnsi="Times New Roman"/>
        </w:rPr>
        <w:t xml:space="preserve">concurrent </w:t>
      </w:r>
      <w:r w:rsidR="000333A8" w:rsidRPr="007954B9">
        <w:rPr>
          <w:rFonts w:ascii="Times New Roman" w:hAnsi="Times New Roman"/>
        </w:rPr>
        <w:t xml:space="preserve">application of </w:t>
      </w:r>
      <w:r w:rsidR="0087253F" w:rsidRPr="007954B9">
        <w:rPr>
          <w:rFonts w:ascii="Times New Roman" w:hAnsi="Times New Roman"/>
        </w:rPr>
        <w:t>the common law presumption</w:t>
      </w:r>
      <w:r w:rsidR="00DA0D0E" w:rsidRPr="007954B9">
        <w:rPr>
          <w:rFonts w:ascii="Times New Roman" w:hAnsi="Times New Roman"/>
        </w:rPr>
        <w:t>.</w:t>
      </w:r>
      <w:r w:rsidR="004763E1" w:rsidRPr="007954B9">
        <w:rPr>
          <w:rFonts w:ascii="Times New Roman" w:hAnsi="Times New Roman"/>
        </w:rPr>
        <w:t xml:space="preserve"> </w:t>
      </w:r>
      <w:r w:rsidR="007D75C9" w:rsidRPr="007954B9">
        <w:rPr>
          <w:rFonts w:ascii="Times New Roman" w:hAnsi="Times New Roman"/>
        </w:rPr>
        <w:t>T</w:t>
      </w:r>
      <w:r w:rsidR="00351CBA" w:rsidRPr="007954B9">
        <w:rPr>
          <w:rFonts w:ascii="Times New Roman" w:hAnsi="Times New Roman"/>
        </w:rPr>
        <w:t xml:space="preserve">he </w:t>
      </w:r>
      <w:r w:rsidR="009D7A63" w:rsidRPr="007954B9">
        <w:rPr>
          <w:rFonts w:ascii="Times New Roman" w:hAnsi="Times New Roman"/>
        </w:rPr>
        <w:t xml:space="preserve">requirement of </w:t>
      </w:r>
      <w:r w:rsidR="006E0FDF" w:rsidRPr="007954B9">
        <w:rPr>
          <w:rFonts w:ascii="Times New Roman" w:hAnsi="Times New Roman"/>
        </w:rPr>
        <w:t>a</w:t>
      </w:r>
      <w:r w:rsidR="009D7A63" w:rsidRPr="007954B9">
        <w:rPr>
          <w:rFonts w:ascii="Times New Roman" w:hAnsi="Times New Roman"/>
        </w:rPr>
        <w:t xml:space="preserve"> provision</w:t>
      </w:r>
      <w:r w:rsidR="006E0FDF" w:rsidRPr="007954B9">
        <w:rPr>
          <w:rFonts w:ascii="Times New Roman" w:hAnsi="Times New Roman"/>
        </w:rPr>
        <w:t xml:space="preserve"> like s 21(1)(b)</w:t>
      </w:r>
      <w:r w:rsidR="00351CBA" w:rsidRPr="007954B9">
        <w:rPr>
          <w:rFonts w:ascii="Times New Roman" w:hAnsi="Times New Roman"/>
        </w:rPr>
        <w:t xml:space="preserve"> </w:t>
      </w:r>
      <w:r w:rsidR="00AE2B13" w:rsidRPr="007954B9">
        <w:rPr>
          <w:rFonts w:ascii="Times New Roman" w:hAnsi="Times New Roman"/>
        </w:rPr>
        <w:t>has been found</w:t>
      </w:r>
      <w:r w:rsidR="00AF13E8" w:rsidRPr="007954B9">
        <w:rPr>
          <w:rFonts w:ascii="Times New Roman" w:hAnsi="Times New Roman"/>
        </w:rPr>
        <w:t xml:space="preserve"> </w:t>
      </w:r>
      <w:r w:rsidR="00240420" w:rsidRPr="007954B9">
        <w:rPr>
          <w:rFonts w:ascii="Times New Roman" w:hAnsi="Times New Roman"/>
        </w:rPr>
        <w:t>in some c</w:t>
      </w:r>
      <w:r w:rsidR="007960C0" w:rsidRPr="007954B9">
        <w:rPr>
          <w:rFonts w:ascii="Times New Roman" w:hAnsi="Times New Roman"/>
        </w:rPr>
        <w:t>ontext</w:t>
      </w:r>
      <w:r w:rsidR="00240420" w:rsidRPr="007954B9">
        <w:rPr>
          <w:rFonts w:ascii="Times New Roman" w:hAnsi="Times New Roman"/>
        </w:rPr>
        <w:t>s</w:t>
      </w:r>
      <w:r w:rsidR="00AF13E8" w:rsidRPr="007954B9">
        <w:rPr>
          <w:rFonts w:ascii="Times New Roman" w:hAnsi="Times New Roman"/>
        </w:rPr>
        <w:t xml:space="preserve"> </w:t>
      </w:r>
      <w:r w:rsidR="00AE2B13" w:rsidRPr="007954B9">
        <w:rPr>
          <w:rFonts w:ascii="Times New Roman" w:hAnsi="Times New Roman"/>
        </w:rPr>
        <w:t xml:space="preserve">to </w:t>
      </w:r>
      <w:r w:rsidR="00AF13E8" w:rsidRPr="007954B9">
        <w:rPr>
          <w:rFonts w:ascii="Times New Roman" w:hAnsi="Times New Roman"/>
        </w:rPr>
        <w:t xml:space="preserve">be satisfied by treating a law of </w:t>
      </w:r>
      <w:r w:rsidR="00A07071" w:rsidRPr="007954B9">
        <w:rPr>
          <w:rFonts w:ascii="Times New Roman" w:hAnsi="Times New Roman"/>
        </w:rPr>
        <w:t>"</w:t>
      </w:r>
      <w:r w:rsidR="00AF13E8" w:rsidRPr="007954B9">
        <w:rPr>
          <w:rFonts w:ascii="Times New Roman" w:hAnsi="Times New Roman"/>
        </w:rPr>
        <w:t>apparently universal application</w:t>
      </w:r>
      <w:r w:rsidR="00A07071" w:rsidRPr="007954B9">
        <w:rPr>
          <w:rFonts w:ascii="Times New Roman" w:hAnsi="Times New Roman"/>
        </w:rPr>
        <w:t>"</w:t>
      </w:r>
      <w:r w:rsidR="00AF13E8" w:rsidRPr="007954B9">
        <w:rPr>
          <w:rFonts w:ascii="Times New Roman" w:hAnsi="Times New Roman"/>
        </w:rPr>
        <w:t xml:space="preserve"> as </w:t>
      </w:r>
      <w:r w:rsidR="00A07071" w:rsidRPr="007954B9">
        <w:rPr>
          <w:rFonts w:ascii="Times New Roman" w:hAnsi="Times New Roman"/>
        </w:rPr>
        <w:t>"</w:t>
      </w:r>
      <w:r w:rsidR="00AF13E8" w:rsidRPr="007954B9">
        <w:rPr>
          <w:rFonts w:ascii="Times New Roman" w:hAnsi="Times New Roman"/>
        </w:rPr>
        <w:t>applying to acts and omissions taking place in the territory of the legislature</w:t>
      </w:r>
      <w:r w:rsidR="00240420" w:rsidRPr="007954B9">
        <w:rPr>
          <w:rFonts w:ascii="Times New Roman" w:hAnsi="Times New Roman"/>
        </w:rPr>
        <w:t>"</w:t>
      </w:r>
      <w:r w:rsidR="00A06862" w:rsidRPr="007954B9">
        <w:rPr>
          <w:rStyle w:val="FootnoteReference"/>
          <w:rFonts w:ascii="Times New Roman" w:hAnsi="Times New Roman"/>
          <w:sz w:val="24"/>
        </w:rPr>
        <w:footnoteReference w:id="44"/>
      </w:r>
      <w:r w:rsidR="007D75C9" w:rsidRPr="007954B9">
        <w:rPr>
          <w:rFonts w:ascii="Times New Roman" w:hAnsi="Times New Roman"/>
        </w:rPr>
        <w:t>. I</w:t>
      </w:r>
      <w:r w:rsidR="00E27677" w:rsidRPr="007954B9">
        <w:rPr>
          <w:rFonts w:ascii="Times New Roman" w:hAnsi="Times New Roman"/>
        </w:rPr>
        <w:t>n other</w:t>
      </w:r>
      <w:r w:rsidR="00C6126F" w:rsidRPr="007954B9">
        <w:rPr>
          <w:rFonts w:ascii="Times New Roman" w:hAnsi="Times New Roman"/>
        </w:rPr>
        <w:t xml:space="preserve"> c</w:t>
      </w:r>
      <w:r w:rsidR="007960C0" w:rsidRPr="007954B9">
        <w:rPr>
          <w:rFonts w:ascii="Times New Roman" w:hAnsi="Times New Roman"/>
        </w:rPr>
        <w:t>ontexts</w:t>
      </w:r>
      <w:r w:rsidR="007D75C9" w:rsidRPr="007954B9">
        <w:rPr>
          <w:rFonts w:ascii="Times New Roman" w:hAnsi="Times New Roman"/>
        </w:rPr>
        <w:t xml:space="preserve">, it has been </w:t>
      </w:r>
      <w:r w:rsidR="00E41287" w:rsidRPr="007954B9">
        <w:rPr>
          <w:rFonts w:ascii="Times New Roman" w:hAnsi="Times New Roman"/>
        </w:rPr>
        <w:t xml:space="preserve">satisfied </w:t>
      </w:r>
      <w:r w:rsidR="00E27677" w:rsidRPr="007954B9">
        <w:rPr>
          <w:rFonts w:ascii="Times New Roman" w:hAnsi="Times New Roman"/>
        </w:rPr>
        <w:t xml:space="preserve">by </w:t>
      </w:r>
      <w:r w:rsidR="00F67903" w:rsidRPr="007954B9">
        <w:rPr>
          <w:rFonts w:ascii="Times New Roman" w:hAnsi="Times New Roman"/>
        </w:rPr>
        <w:t>treat</w:t>
      </w:r>
      <w:r w:rsidR="0014021C" w:rsidRPr="007954B9">
        <w:rPr>
          <w:rFonts w:ascii="Times New Roman" w:hAnsi="Times New Roman"/>
        </w:rPr>
        <w:t>ing</w:t>
      </w:r>
      <w:r w:rsidR="00F67903" w:rsidRPr="007954B9">
        <w:rPr>
          <w:rFonts w:ascii="Times New Roman" w:hAnsi="Times New Roman"/>
        </w:rPr>
        <w:t xml:space="preserve"> </w:t>
      </w:r>
      <w:r w:rsidR="003772D6" w:rsidRPr="007954B9">
        <w:rPr>
          <w:rFonts w:ascii="Times New Roman" w:hAnsi="Times New Roman"/>
        </w:rPr>
        <w:t xml:space="preserve">the operation of a statute as </w:t>
      </w:r>
      <w:r w:rsidR="00DB773D" w:rsidRPr="007954B9">
        <w:rPr>
          <w:rFonts w:ascii="Times New Roman" w:hAnsi="Times New Roman"/>
        </w:rPr>
        <w:t xml:space="preserve">"hinging on </w:t>
      </w:r>
      <w:r w:rsidR="0014021C" w:rsidRPr="007954B9">
        <w:rPr>
          <w:rFonts w:ascii="Times New Roman" w:hAnsi="Times New Roman"/>
        </w:rPr>
        <w:t>the place of performance of [a] contract"</w:t>
      </w:r>
      <w:r w:rsidR="0014021C" w:rsidRPr="007954B9">
        <w:rPr>
          <w:rStyle w:val="FootnoteReference"/>
          <w:rFonts w:ascii="Times New Roman" w:hAnsi="Times New Roman"/>
          <w:sz w:val="24"/>
        </w:rPr>
        <w:footnoteReference w:id="45"/>
      </w:r>
      <w:r w:rsidR="00097549" w:rsidRPr="007954B9">
        <w:rPr>
          <w:rFonts w:ascii="Times New Roman" w:hAnsi="Times New Roman"/>
        </w:rPr>
        <w:t>. I</w:t>
      </w:r>
      <w:r w:rsidR="00AE2B13" w:rsidRPr="007954B9">
        <w:rPr>
          <w:rFonts w:ascii="Times New Roman" w:hAnsi="Times New Roman"/>
        </w:rPr>
        <w:t>n yet other contexts</w:t>
      </w:r>
      <w:r w:rsidR="00097549" w:rsidRPr="007954B9">
        <w:rPr>
          <w:rFonts w:ascii="Times New Roman" w:hAnsi="Times New Roman"/>
        </w:rPr>
        <w:t xml:space="preserve">, </w:t>
      </w:r>
      <w:r w:rsidR="004847BC" w:rsidRPr="007954B9">
        <w:rPr>
          <w:rFonts w:ascii="Times New Roman" w:hAnsi="Times New Roman"/>
        </w:rPr>
        <w:t xml:space="preserve">it has been satisfied </w:t>
      </w:r>
      <w:r w:rsidR="00AE2B13" w:rsidRPr="007954B9">
        <w:rPr>
          <w:rFonts w:ascii="Times New Roman" w:hAnsi="Times New Roman"/>
        </w:rPr>
        <w:t xml:space="preserve">by </w:t>
      </w:r>
      <w:r w:rsidR="005F3970" w:rsidRPr="007954B9">
        <w:rPr>
          <w:rFonts w:ascii="Times New Roman" w:hAnsi="Times New Roman"/>
        </w:rPr>
        <w:t xml:space="preserve">limiting the operation of </w:t>
      </w:r>
      <w:r w:rsidR="00097549" w:rsidRPr="007954B9">
        <w:rPr>
          <w:rFonts w:ascii="Times New Roman" w:hAnsi="Times New Roman"/>
        </w:rPr>
        <w:t>a statute</w:t>
      </w:r>
      <w:r w:rsidR="00304785" w:rsidRPr="007954B9">
        <w:rPr>
          <w:rFonts w:ascii="Times New Roman" w:hAnsi="Times New Roman"/>
        </w:rPr>
        <w:t xml:space="preserve"> </w:t>
      </w:r>
      <w:r w:rsidR="005F3970" w:rsidRPr="007954B9">
        <w:rPr>
          <w:rFonts w:ascii="Times New Roman" w:hAnsi="Times New Roman"/>
        </w:rPr>
        <w:t>to contracts</w:t>
      </w:r>
      <w:r w:rsidR="000E742F" w:rsidRPr="007954B9">
        <w:rPr>
          <w:rFonts w:ascii="Times New Roman" w:hAnsi="Times New Roman"/>
        </w:rPr>
        <w:t xml:space="preserve"> the</w:t>
      </w:r>
      <w:r w:rsidR="005F3970" w:rsidRPr="007954B9">
        <w:rPr>
          <w:rFonts w:ascii="Times New Roman" w:hAnsi="Times New Roman"/>
        </w:rPr>
        <w:t xml:space="preserve"> proper </w:t>
      </w:r>
      <w:r w:rsidR="00147838" w:rsidRPr="007954B9">
        <w:rPr>
          <w:rFonts w:ascii="Times New Roman" w:hAnsi="Times New Roman"/>
        </w:rPr>
        <w:t>law</w:t>
      </w:r>
      <w:r w:rsidR="005F3970" w:rsidRPr="007954B9">
        <w:rPr>
          <w:rFonts w:ascii="Times New Roman" w:hAnsi="Times New Roman"/>
        </w:rPr>
        <w:t xml:space="preserve"> </w:t>
      </w:r>
      <w:r w:rsidR="000E742F" w:rsidRPr="007954B9">
        <w:rPr>
          <w:rFonts w:ascii="Times New Roman" w:hAnsi="Times New Roman"/>
        </w:rPr>
        <w:t xml:space="preserve">of which </w:t>
      </w:r>
      <w:r w:rsidR="00594DA1" w:rsidRPr="007954B9">
        <w:rPr>
          <w:rFonts w:ascii="Times New Roman" w:hAnsi="Times New Roman"/>
        </w:rPr>
        <w:t xml:space="preserve">according to </w:t>
      </w:r>
      <w:r w:rsidR="0063138C" w:rsidRPr="007954B9">
        <w:rPr>
          <w:rFonts w:ascii="Times New Roman" w:hAnsi="Times New Roman"/>
        </w:rPr>
        <w:t xml:space="preserve">applicable principles of private international law </w:t>
      </w:r>
      <w:r w:rsidR="005F3970" w:rsidRPr="007954B9">
        <w:rPr>
          <w:rFonts w:ascii="Times New Roman" w:hAnsi="Times New Roman"/>
        </w:rPr>
        <w:t>is that of</w:t>
      </w:r>
      <w:r w:rsidR="00594DA1" w:rsidRPr="007954B9">
        <w:rPr>
          <w:rFonts w:ascii="Times New Roman" w:hAnsi="Times New Roman"/>
        </w:rPr>
        <w:t xml:space="preserve"> </w:t>
      </w:r>
      <w:r w:rsidR="005F3970" w:rsidRPr="007954B9">
        <w:rPr>
          <w:rFonts w:ascii="Times New Roman" w:hAnsi="Times New Roman"/>
        </w:rPr>
        <w:t>the enacting legislature</w:t>
      </w:r>
      <w:r w:rsidR="00DC639C" w:rsidRPr="007954B9">
        <w:rPr>
          <w:rStyle w:val="FootnoteReference"/>
          <w:rFonts w:ascii="Times New Roman" w:hAnsi="Times New Roman"/>
          <w:sz w:val="24"/>
        </w:rPr>
        <w:footnoteReference w:id="46"/>
      </w:r>
      <w:r w:rsidR="00AE2B13" w:rsidRPr="007954B9">
        <w:rPr>
          <w:rFonts w:ascii="Times New Roman" w:hAnsi="Times New Roman"/>
        </w:rPr>
        <w:t>.</w:t>
      </w:r>
    </w:p>
    <w:p w14:paraId="6E2B1D37" w14:textId="279B486A" w:rsidR="00B37DDD" w:rsidRPr="007954B9" w:rsidRDefault="00AA1503"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DB657C" w:rsidRPr="007954B9">
        <w:rPr>
          <w:rFonts w:ascii="Times New Roman" w:hAnsi="Times New Roman"/>
        </w:rPr>
        <w:t xml:space="preserve">No one </w:t>
      </w:r>
      <w:r w:rsidR="00C022FA" w:rsidRPr="007954B9">
        <w:rPr>
          <w:rFonts w:ascii="Times New Roman" w:hAnsi="Times New Roman"/>
        </w:rPr>
        <w:t>form of</w:t>
      </w:r>
      <w:r w:rsidR="00DB657C" w:rsidRPr="007954B9">
        <w:rPr>
          <w:rFonts w:ascii="Times New Roman" w:hAnsi="Times New Roman"/>
        </w:rPr>
        <w:t xml:space="preserve"> </w:t>
      </w:r>
      <w:r w:rsidR="00760BE2" w:rsidRPr="007954B9">
        <w:rPr>
          <w:rFonts w:ascii="Times New Roman" w:hAnsi="Times New Roman"/>
        </w:rPr>
        <w:t>connection</w:t>
      </w:r>
      <w:r w:rsidR="00DB657C" w:rsidRPr="007954B9">
        <w:rPr>
          <w:rFonts w:ascii="Times New Roman" w:hAnsi="Times New Roman"/>
        </w:rPr>
        <w:t xml:space="preserve"> fits </w:t>
      </w:r>
      <w:r w:rsidR="0039163D" w:rsidRPr="007954B9">
        <w:rPr>
          <w:rFonts w:ascii="Times New Roman" w:hAnsi="Times New Roman"/>
        </w:rPr>
        <w:t>every</w:t>
      </w:r>
      <w:r w:rsidR="00DB657C" w:rsidRPr="007954B9">
        <w:rPr>
          <w:rFonts w:ascii="Times New Roman" w:hAnsi="Times New Roman"/>
        </w:rPr>
        <w:t xml:space="preserve"> </w:t>
      </w:r>
      <w:r w:rsidR="00F50CCD" w:rsidRPr="007954B9">
        <w:rPr>
          <w:rFonts w:ascii="Times New Roman" w:hAnsi="Times New Roman"/>
        </w:rPr>
        <w:t xml:space="preserve">statutory subject matter </w:t>
      </w:r>
      <w:r w:rsidR="004C5842" w:rsidRPr="007954B9">
        <w:rPr>
          <w:rFonts w:ascii="Times New Roman" w:hAnsi="Times New Roman"/>
        </w:rPr>
        <w:t xml:space="preserve">in every </w:t>
      </w:r>
      <w:r w:rsidR="0039163D" w:rsidRPr="007954B9">
        <w:rPr>
          <w:rFonts w:ascii="Times New Roman" w:hAnsi="Times New Roman"/>
        </w:rPr>
        <w:t xml:space="preserve">statutory </w:t>
      </w:r>
      <w:r w:rsidR="00E33B0C" w:rsidRPr="007954B9">
        <w:rPr>
          <w:rFonts w:ascii="Times New Roman" w:hAnsi="Times New Roman"/>
        </w:rPr>
        <w:t>context</w:t>
      </w:r>
      <w:r w:rsidR="0082177A" w:rsidRPr="007954B9">
        <w:rPr>
          <w:rFonts w:ascii="Times New Roman" w:hAnsi="Times New Roman"/>
        </w:rPr>
        <w:t xml:space="preserve">, </w:t>
      </w:r>
      <w:r w:rsidR="00DB657C" w:rsidRPr="007954B9">
        <w:rPr>
          <w:rFonts w:ascii="Times New Roman" w:hAnsi="Times New Roman"/>
        </w:rPr>
        <w:t>and no impli</w:t>
      </w:r>
      <w:r w:rsidR="006C6D5A" w:rsidRPr="007954B9">
        <w:rPr>
          <w:rFonts w:ascii="Times New Roman" w:hAnsi="Times New Roman"/>
        </w:rPr>
        <w:t xml:space="preserve">ed limitation </w:t>
      </w:r>
      <w:r w:rsidR="00037DA2" w:rsidRPr="007954B9">
        <w:rPr>
          <w:rFonts w:ascii="Times New Roman" w:hAnsi="Times New Roman"/>
        </w:rPr>
        <w:t>of statutory language</w:t>
      </w:r>
      <w:r w:rsidR="00DB657C" w:rsidRPr="007954B9">
        <w:rPr>
          <w:rFonts w:ascii="Times New Roman" w:hAnsi="Times New Roman"/>
        </w:rPr>
        <w:t xml:space="preserve"> </w:t>
      </w:r>
      <w:r w:rsidR="00976308" w:rsidRPr="007954B9">
        <w:rPr>
          <w:rFonts w:ascii="Times New Roman" w:hAnsi="Times New Roman"/>
        </w:rPr>
        <w:t xml:space="preserve">is necessarily required for </w:t>
      </w:r>
      <w:r w:rsidR="00167244" w:rsidRPr="007954B9">
        <w:rPr>
          <w:rFonts w:ascii="Times New Roman" w:hAnsi="Times New Roman"/>
        </w:rPr>
        <w:t xml:space="preserve">the connection </w:t>
      </w:r>
      <w:r w:rsidR="00B63C0A" w:rsidRPr="007954B9">
        <w:rPr>
          <w:rFonts w:ascii="Times New Roman" w:hAnsi="Times New Roman"/>
        </w:rPr>
        <w:t>required by</w:t>
      </w:r>
      <w:r w:rsidR="00946B78" w:rsidRPr="007954B9">
        <w:rPr>
          <w:rFonts w:ascii="Times New Roman" w:hAnsi="Times New Roman"/>
        </w:rPr>
        <w:t xml:space="preserve"> s </w:t>
      </w:r>
      <w:r w:rsidR="00B63C0A" w:rsidRPr="007954B9">
        <w:rPr>
          <w:rFonts w:ascii="Times New Roman" w:hAnsi="Times New Roman"/>
        </w:rPr>
        <w:t xml:space="preserve">21(1)(b) of the </w:t>
      </w:r>
      <w:r w:rsidR="00B63C0A" w:rsidRPr="007954B9">
        <w:rPr>
          <w:rFonts w:ascii="Times New Roman" w:hAnsi="Times New Roman"/>
          <w:i/>
          <w:iCs/>
        </w:rPr>
        <w:t>Acts Interpretation Act</w:t>
      </w:r>
      <w:r w:rsidR="00B63C0A" w:rsidRPr="007954B9">
        <w:rPr>
          <w:rFonts w:ascii="Times New Roman" w:hAnsi="Times New Roman"/>
        </w:rPr>
        <w:t xml:space="preserve"> </w:t>
      </w:r>
      <w:r w:rsidR="00672170" w:rsidRPr="007954B9">
        <w:rPr>
          <w:rFonts w:ascii="Times New Roman" w:hAnsi="Times New Roman"/>
        </w:rPr>
        <w:t xml:space="preserve">to </w:t>
      </w:r>
      <w:r w:rsidR="00167244" w:rsidRPr="007954B9">
        <w:rPr>
          <w:rFonts w:ascii="Times New Roman" w:hAnsi="Times New Roman"/>
        </w:rPr>
        <w:t>exist</w:t>
      </w:r>
      <w:r w:rsidR="00E33B0C" w:rsidRPr="007954B9">
        <w:rPr>
          <w:rFonts w:ascii="Times New Roman" w:hAnsi="Times New Roman"/>
        </w:rPr>
        <w:t xml:space="preserve"> in a partic</w:t>
      </w:r>
      <w:r w:rsidR="0082177A" w:rsidRPr="007954B9">
        <w:rPr>
          <w:rFonts w:ascii="Times New Roman" w:hAnsi="Times New Roman"/>
        </w:rPr>
        <w:t>ular statutory context</w:t>
      </w:r>
      <w:r w:rsidR="00167244" w:rsidRPr="007954B9">
        <w:rPr>
          <w:rFonts w:ascii="Times New Roman" w:hAnsi="Times New Roman"/>
        </w:rPr>
        <w:t xml:space="preserve">. </w:t>
      </w:r>
      <w:r w:rsidR="006D56FE" w:rsidRPr="007954B9">
        <w:rPr>
          <w:rFonts w:ascii="Times New Roman" w:hAnsi="Times New Roman"/>
        </w:rPr>
        <w:t xml:space="preserve">For example, in </w:t>
      </w:r>
      <w:r w:rsidR="006D56FE" w:rsidRPr="007954B9">
        <w:rPr>
          <w:rFonts w:ascii="Times New Roman" w:hAnsi="Times New Roman"/>
          <w:i/>
          <w:iCs/>
        </w:rPr>
        <w:t>Re Maritime Union of Australia; Ex parte CSL Pacific Shipping Inc</w:t>
      </w:r>
      <w:r w:rsidR="006D56FE" w:rsidRPr="007954B9">
        <w:rPr>
          <w:rStyle w:val="FootnoteReference"/>
          <w:rFonts w:ascii="Times New Roman" w:hAnsi="Times New Roman"/>
          <w:sz w:val="24"/>
        </w:rPr>
        <w:footnoteReference w:id="47"/>
      </w:r>
      <w:r w:rsidR="006D56FE" w:rsidRPr="007954B9">
        <w:rPr>
          <w:rFonts w:ascii="Times New Roman" w:hAnsi="Times New Roman"/>
        </w:rPr>
        <w:t xml:space="preserve">, </w:t>
      </w:r>
      <w:r w:rsidR="008979CB" w:rsidRPr="007954B9">
        <w:rPr>
          <w:rFonts w:ascii="Times New Roman" w:hAnsi="Times New Roman"/>
        </w:rPr>
        <w:t xml:space="preserve">no limitation </w:t>
      </w:r>
      <w:r w:rsidR="00506828" w:rsidRPr="007954B9">
        <w:rPr>
          <w:rFonts w:ascii="Times New Roman" w:hAnsi="Times New Roman"/>
        </w:rPr>
        <w:t xml:space="preserve">was </w:t>
      </w:r>
      <w:r w:rsidR="006A19FF" w:rsidRPr="007954B9">
        <w:rPr>
          <w:rFonts w:ascii="Times New Roman" w:hAnsi="Times New Roman"/>
        </w:rPr>
        <w:t xml:space="preserve">appropriate to be </w:t>
      </w:r>
      <w:r w:rsidR="00506828" w:rsidRPr="007954B9">
        <w:rPr>
          <w:rFonts w:ascii="Times New Roman" w:hAnsi="Times New Roman"/>
        </w:rPr>
        <w:t xml:space="preserve">implied into a </w:t>
      </w:r>
      <w:r w:rsidR="008979CB" w:rsidRPr="007954B9">
        <w:rPr>
          <w:rFonts w:ascii="Times New Roman" w:hAnsi="Times New Roman"/>
        </w:rPr>
        <w:t>statutory regime</w:t>
      </w:r>
      <w:r w:rsidR="00B40BFC" w:rsidRPr="007954B9">
        <w:rPr>
          <w:rFonts w:ascii="Times New Roman" w:hAnsi="Times New Roman"/>
        </w:rPr>
        <w:t xml:space="preserve"> </w:t>
      </w:r>
      <w:r w:rsidR="00F0644B" w:rsidRPr="007954B9">
        <w:rPr>
          <w:rFonts w:ascii="Times New Roman" w:hAnsi="Times New Roman"/>
        </w:rPr>
        <w:t>confe</w:t>
      </w:r>
      <w:r w:rsidR="005F52CB" w:rsidRPr="007954B9">
        <w:rPr>
          <w:rFonts w:ascii="Times New Roman" w:hAnsi="Times New Roman"/>
        </w:rPr>
        <w:t>r</w:t>
      </w:r>
      <w:r w:rsidR="00E67847" w:rsidRPr="007954B9">
        <w:rPr>
          <w:rFonts w:ascii="Times New Roman" w:hAnsi="Times New Roman"/>
        </w:rPr>
        <w:t>ring</w:t>
      </w:r>
      <w:r w:rsidR="005F52CB" w:rsidRPr="007954B9">
        <w:rPr>
          <w:rFonts w:ascii="Times New Roman" w:hAnsi="Times New Roman"/>
        </w:rPr>
        <w:t xml:space="preserve"> jurisdiction </w:t>
      </w:r>
      <w:r w:rsidR="001066CA" w:rsidRPr="007954B9">
        <w:rPr>
          <w:rFonts w:ascii="Times New Roman" w:hAnsi="Times New Roman"/>
        </w:rPr>
        <w:t>to conciliate and arbitrate</w:t>
      </w:r>
      <w:r w:rsidR="00957370" w:rsidRPr="007954B9">
        <w:rPr>
          <w:rFonts w:ascii="Times New Roman" w:hAnsi="Times New Roman"/>
        </w:rPr>
        <w:t xml:space="preserve"> </w:t>
      </w:r>
      <w:r w:rsidR="006A19FF" w:rsidRPr="007954B9">
        <w:rPr>
          <w:rFonts w:ascii="Times New Roman" w:hAnsi="Times New Roman"/>
        </w:rPr>
        <w:t>"</w:t>
      </w:r>
      <w:r w:rsidR="00957370" w:rsidRPr="007954B9">
        <w:rPr>
          <w:rFonts w:ascii="Times New Roman" w:hAnsi="Times New Roman"/>
        </w:rPr>
        <w:t>industrial issues</w:t>
      </w:r>
      <w:r w:rsidR="006A19FF" w:rsidRPr="007954B9">
        <w:rPr>
          <w:rFonts w:ascii="Times New Roman" w:hAnsi="Times New Roman"/>
        </w:rPr>
        <w:t>"</w:t>
      </w:r>
      <w:r w:rsidR="00910D85" w:rsidRPr="007954B9">
        <w:rPr>
          <w:rFonts w:ascii="Times New Roman" w:hAnsi="Times New Roman"/>
        </w:rPr>
        <w:t>. T</w:t>
      </w:r>
      <w:r w:rsidR="006A19FF" w:rsidRPr="007954B9">
        <w:rPr>
          <w:rFonts w:ascii="Times New Roman" w:hAnsi="Times New Roman"/>
        </w:rPr>
        <w:t xml:space="preserve">he requisite connection </w:t>
      </w:r>
      <w:r w:rsidR="00AF3155" w:rsidRPr="007954B9">
        <w:rPr>
          <w:rFonts w:ascii="Times New Roman" w:hAnsi="Times New Roman"/>
        </w:rPr>
        <w:t>between the subject matter and the Commonwealth</w:t>
      </w:r>
      <w:r w:rsidR="00F700B9" w:rsidRPr="007954B9">
        <w:rPr>
          <w:rFonts w:ascii="Times New Roman" w:hAnsi="Times New Roman"/>
        </w:rPr>
        <w:t xml:space="preserve"> </w:t>
      </w:r>
      <w:r w:rsidR="006A19FF" w:rsidRPr="007954B9">
        <w:rPr>
          <w:rFonts w:ascii="Times New Roman" w:hAnsi="Times New Roman"/>
        </w:rPr>
        <w:t xml:space="preserve">was apparent </w:t>
      </w:r>
      <w:r w:rsidR="00910D85" w:rsidRPr="007954B9">
        <w:rPr>
          <w:rFonts w:ascii="Times New Roman" w:hAnsi="Times New Roman"/>
        </w:rPr>
        <w:t xml:space="preserve">in the definition of </w:t>
      </w:r>
      <w:r w:rsidR="00E455EE" w:rsidRPr="007954B9">
        <w:rPr>
          <w:rFonts w:ascii="Times New Roman" w:hAnsi="Times New Roman"/>
        </w:rPr>
        <w:t>"industrial issues"</w:t>
      </w:r>
      <w:r w:rsidR="00D15BFA" w:rsidRPr="007954B9">
        <w:rPr>
          <w:rFonts w:ascii="Times New Roman" w:hAnsi="Times New Roman"/>
        </w:rPr>
        <w:t xml:space="preserve"> provided by the statute</w:t>
      </w:r>
      <w:r w:rsidR="0030479B" w:rsidRPr="007954B9">
        <w:rPr>
          <w:rFonts w:ascii="Times New Roman" w:hAnsi="Times New Roman"/>
        </w:rPr>
        <w:t>,</w:t>
      </w:r>
      <w:r w:rsidR="00957370" w:rsidRPr="007954B9">
        <w:rPr>
          <w:rFonts w:ascii="Times New Roman" w:hAnsi="Times New Roman"/>
        </w:rPr>
        <w:t xml:space="preserve"> </w:t>
      </w:r>
      <w:r w:rsidR="00D15BFA" w:rsidRPr="007954B9">
        <w:rPr>
          <w:rFonts w:ascii="Times New Roman" w:hAnsi="Times New Roman"/>
        </w:rPr>
        <w:t xml:space="preserve">which </w:t>
      </w:r>
      <w:r w:rsidR="004B3598" w:rsidRPr="007954B9">
        <w:rPr>
          <w:rFonts w:ascii="Times New Roman" w:hAnsi="Times New Roman"/>
        </w:rPr>
        <w:t xml:space="preserve">relevantly </w:t>
      </w:r>
      <w:r w:rsidR="00957370" w:rsidRPr="007954B9">
        <w:rPr>
          <w:rFonts w:ascii="Times New Roman" w:hAnsi="Times New Roman"/>
        </w:rPr>
        <w:t>include</w:t>
      </w:r>
      <w:r w:rsidR="00D15BFA" w:rsidRPr="007954B9">
        <w:rPr>
          <w:rFonts w:ascii="Times New Roman" w:hAnsi="Times New Roman"/>
        </w:rPr>
        <w:t>d</w:t>
      </w:r>
      <w:r w:rsidR="00957370" w:rsidRPr="007954B9">
        <w:rPr>
          <w:rFonts w:ascii="Times New Roman" w:hAnsi="Times New Roman"/>
        </w:rPr>
        <w:t xml:space="preserve"> matters pertaining to the relationship between employers and maritime employe</w:t>
      </w:r>
      <w:r w:rsidR="006A3A26" w:rsidRPr="007954B9">
        <w:rPr>
          <w:rFonts w:ascii="Times New Roman" w:hAnsi="Times New Roman"/>
        </w:rPr>
        <w:t>e</w:t>
      </w:r>
      <w:r w:rsidR="00957370" w:rsidRPr="007954B9">
        <w:rPr>
          <w:rFonts w:ascii="Times New Roman" w:hAnsi="Times New Roman"/>
        </w:rPr>
        <w:t>s</w:t>
      </w:r>
      <w:r w:rsidR="00CD0E14" w:rsidRPr="007954B9">
        <w:rPr>
          <w:rFonts w:ascii="Times New Roman" w:hAnsi="Times New Roman"/>
        </w:rPr>
        <w:t xml:space="preserve"> so far as those matters related to trade </w:t>
      </w:r>
      <w:r w:rsidR="007A5DBB" w:rsidRPr="007954B9">
        <w:rPr>
          <w:rFonts w:ascii="Times New Roman" w:hAnsi="Times New Roman"/>
        </w:rPr>
        <w:t>or</w:t>
      </w:r>
      <w:r w:rsidR="00CD0E14" w:rsidRPr="007954B9">
        <w:rPr>
          <w:rFonts w:ascii="Times New Roman" w:hAnsi="Times New Roman"/>
        </w:rPr>
        <w:t xml:space="preserve"> commerce between Australia and a place outside Australia</w:t>
      </w:r>
      <w:r w:rsidR="004B3598" w:rsidRPr="007954B9">
        <w:rPr>
          <w:rFonts w:ascii="Times New Roman" w:hAnsi="Times New Roman"/>
        </w:rPr>
        <w:t>.</w:t>
      </w:r>
    </w:p>
    <w:p w14:paraId="6B4127D8" w14:textId="75A22626" w:rsidR="00616D37" w:rsidRPr="007954B9" w:rsidRDefault="00616D37" w:rsidP="007954B9">
      <w:pPr>
        <w:pStyle w:val="FixListStyle"/>
        <w:spacing w:after="260" w:line="280" w:lineRule="exact"/>
        <w:ind w:right="0"/>
        <w:jc w:val="both"/>
        <w:rPr>
          <w:rFonts w:ascii="Times New Roman" w:hAnsi="Times New Roman"/>
        </w:rPr>
      </w:pPr>
      <w:r w:rsidRPr="007954B9">
        <w:rPr>
          <w:rFonts w:ascii="Times New Roman" w:hAnsi="Times New Roman"/>
        </w:rPr>
        <w:lastRenderedPageBreak/>
        <w:tab/>
      </w:r>
      <w:r w:rsidR="005C7815" w:rsidRPr="007954B9">
        <w:rPr>
          <w:rFonts w:ascii="Times New Roman" w:hAnsi="Times New Roman"/>
        </w:rPr>
        <w:t>T</w:t>
      </w:r>
      <w:r w:rsidR="00D45239" w:rsidRPr="007954B9">
        <w:rPr>
          <w:rFonts w:ascii="Times New Roman" w:hAnsi="Times New Roman"/>
        </w:rPr>
        <w:t xml:space="preserve">here </w:t>
      </w:r>
      <w:r w:rsidR="00222911" w:rsidRPr="007954B9">
        <w:rPr>
          <w:rFonts w:ascii="Times New Roman" w:hAnsi="Times New Roman"/>
        </w:rPr>
        <w:t>are</w:t>
      </w:r>
      <w:r w:rsidR="00D45239" w:rsidRPr="007954B9">
        <w:rPr>
          <w:rFonts w:ascii="Times New Roman" w:hAnsi="Times New Roman"/>
        </w:rPr>
        <w:t xml:space="preserve"> </w:t>
      </w:r>
      <w:r w:rsidR="00D167A0" w:rsidRPr="007954B9">
        <w:rPr>
          <w:rFonts w:ascii="Times New Roman" w:hAnsi="Times New Roman"/>
        </w:rPr>
        <w:t>statutory contexts</w:t>
      </w:r>
      <w:r w:rsidR="00D45239" w:rsidRPr="007954B9">
        <w:rPr>
          <w:rFonts w:ascii="Times New Roman" w:hAnsi="Times New Roman"/>
        </w:rPr>
        <w:t xml:space="preserve"> in which </w:t>
      </w:r>
      <w:r w:rsidR="00A519FB" w:rsidRPr="007954B9">
        <w:rPr>
          <w:rFonts w:ascii="Times New Roman" w:hAnsi="Times New Roman"/>
        </w:rPr>
        <w:t>discerning a</w:t>
      </w:r>
      <w:r w:rsidR="0030479B" w:rsidRPr="007954B9">
        <w:rPr>
          <w:rFonts w:ascii="Times New Roman" w:hAnsi="Times New Roman"/>
        </w:rPr>
        <w:t xml:space="preserve"> </w:t>
      </w:r>
      <w:r w:rsidR="00A519FB" w:rsidRPr="007954B9">
        <w:rPr>
          <w:rFonts w:ascii="Times New Roman" w:hAnsi="Times New Roman"/>
        </w:rPr>
        <w:t xml:space="preserve">connection </w:t>
      </w:r>
      <w:r w:rsidR="00E8198D" w:rsidRPr="007954B9">
        <w:rPr>
          <w:rFonts w:ascii="Times New Roman" w:hAnsi="Times New Roman"/>
        </w:rPr>
        <w:t>of the kind required</w:t>
      </w:r>
      <w:r w:rsidR="00946B78" w:rsidRPr="007954B9">
        <w:rPr>
          <w:rFonts w:ascii="Times New Roman" w:hAnsi="Times New Roman"/>
        </w:rPr>
        <w:t xml:space="preserve"> </w:t>
      </w:r>
      <w:r w:rsidR="0021079B" w:rsidRPr="007954B9">
        <w:rPr>
          <w:rFonts w:ascii="Times New Roman" w:hAnsi="Times New Roman"/>
        </w:rPr>
        <w:t xml:space="preserve">by </w:t>
      </w:r>
      <w:r w:rsidR="00946B78" w:rsidRPr="007954B9">
        <w:rPr>
          <w:rFonts w:ascii="Times New Roman" w:hAnsi="Times New Roman"/>
        </w:rPr>
        <w:t>s </w:t>
      </w:r>
      <w:r w:rsidR="00D45239" w:rsidRPr="007954B9">
        <w:rPr>
          <w:rFonts w:ascii="Times New Roman" w:hAnsi="Times New Roman"/>
        </w:rPr>
        <w:t xml:space="preserve">21(1)(b) of the </w:t>
      </w:r>
      <w:r w:rsidR="00D45239" w:rsidRPr="007954B9">
        <w:rPr>
          <w:rFonts w:ascii="Times New Roman" w:hAnsi="Times New Roman"/>
          <w:i/>
          <w:iCs/>
        </w:rPr>
        <w:t>Acts Interpretation Act</w:t>
      </w:r>
      <w:r w:rsidR="00E305A6" w:rsidRPr="007954B9">
        <w:rPr>
          <w:rFonts w:ascii="Times New Roman" w:hAnsi="Times New Roman"/>
        </w:rPr>
        <w:t xml:space="preserve"> </w:t>
      </w:r>
      <w:r w:rsidR="00EB5490" w:rsidRPr="007954B9">
        <w:rPr>
          <w:rFonts w:ascii="Times New Roman" w:hAnsi="Times New Roman"/>
        </w:rPr>
        <w:t xml:space="preserve">can </w:t>
      </w:r>
      <w:r w:rsidR="00E305A6" w:rsidRPr="007954B9">
        <w:rPr>
          <w:rFonts w:ascii="Times New Roman" w:hAnsi="Times New Roman"/>
        </w:rPr>
        <w:t xml:space="preserve">give rise to </w:t>
      </w:r>
      <w:r w:rsidR="00413716" w:rsidRPr="007954B9">
        <w:rPr>
          <w:rFonts w:ascii="Times New Roman" w:hAnsi="Times New Roman"/>
        </w:rPr>
        <w:t>issues of some complexity</w:t>
      </w:r>
      <w:r w:rsidR="00E305A6" w:rsidRPr="007954B9">
        <w:rPr>
          <w:rStyle w:val="FootnoteReference"/>
          <w:rFonts w:ascii="Times New Roman" w:hAnsi="Times New Roman"/>
          <w:sz w:val="24"/>
        </w:rPr>
        <w:footnoteReference w:id="48"/>
      </w:r>
      <w:r w:rsidR="009D79C0" w:rsidRPr="007954B9">
        <w:rPr>
          <w:rFonts w:ascii="Times New Roman" w:hAnsi="Times New Roman"/>
        </w:rPr>
        <w:t>.</w:t>
      </w:r>
      <w:r w:rsidR="00E305A6" w:rsidRPr="007954B9">
        <w:rPr>
          <w:rFonts w:ascii="Times New Roman" w:hAnsi="Times New Roman"/>
        </w:rPr>
        <w:t xml:space="preserve"> </w:t>
      </w:r>
      <w:r w:rsidR="009D79C0" w:rsidRPr="007954B9">
        <w:rPr>
          <w:rFonts w:ascii="Times New Roman" w:hAnsi="Times New Roman"/>
        </w:rPr>
        <w:t>T</w:t>
      </w:r>
      <w:r w:rsidR="00E305A6" w:rsidRPr="007954B9">
        <w:rPr>
          <w:rFonts w:ascii="Times New Roman" w:hAnsi="Times New Roman"/>
        </w:rPr>
        <w:t>h</w:t>
      </w:r>
      <w:r w:rsidR="00400355" w:rsidRPr="007954B9">
        <w:rPr>
          <w:rFonts w:ascii="Times New Roman" w:hAnsi="Times New Roman"/>
        </w:rPr>
        <w:t>is</w:t>
      </w:r>
      <w:r w:rsidR="00E305A6" w:rsidRPr="007954B9">
        <w:rPr>
          <w:rFonts w:ascii="Times New Roman" w:hAnsi="Times New Roman"/>
        </w:rPr>
        <w:t xml:space="preserve"> is not one of them. </w:t>
      </w:r>
      <w:r w:rsidR="00646F08" w:rsidRPr="007954B9">
        <w:rPr>
          <w:rFonts w:ascii="Times New Roman" w:hAnsi="Times New Roman"/>
        </w:rPr>
        <w:t>T</w:t>
      </w:r>
      <w:r w:rsidRPr="007954B9">
        <w:rPr>
          <w:rFonts w:ascii="Times New Roman" w:hAnsi="Times New Roman"/>
        </w:rPr>
        <w:t xml:space="preserve">he </w:t>
      </w:r>
      <w:r w:rsidR="00646F08" w:rsidRPr="007954B9">
        <w:rPr>
          <w:rFonts w:ascii="Times New Roman" w:hAnsi="Times New Roman"/>
        </w:rPr>
        <w:t>A</w:t>
      </w:r>
      <w:r w:rsidRPr="007954B9">
        <w:rPr>
          <w:rFonts w:ascii="Times New Roman" w:hAnsi="Times New Roman"/>
        </w:rPr>
        <w:t xml:space="preserve">ct establishes the </w:t>
      </w:r>
      <w:r w:rsidR="00646F08" w:rsidRPr="007954B9">
        <w:rPr>
          <w:rFonts w:ascii="Times New Roman" w:hAnsi="Times New Roman"/>
        </w:rPr>
        <w:t>F</w:t>
      </w:r>
      <w:r w:rsidRPr="007954B9">
        <w:rPr>
          <w:rFonts w:ascii="Times New Roman" w:hAnsi="Times New Roman"/>
        </w:rPr>
        <w:t xml:space="preserve">ederal </w:t>
      </w:r>
      <w:r w:rsidR="00646F08" w:rsidRPr="007954B9">
        <w:rPr>
          <w:rFonts w:ascii="Times New Roman" w:hAnsi="Times New Roman"/>
        </w:rPr>
        <w:t>C</w:t>
      </w:r>
      <w:r w:rsidRPr="007954B9">
        <w:rPr>
          <w:rFonts w:ascii="Times New Roman" w:hAnsi="Times New Roman"/>
        </w:rPr>
        <w:t>ourt</w:t>
      </w:r>
      <w:r w:rsidR="00646F08" w:rsidRPr="007954B9">
        <w:rPr>
          <w:rStyle w:val="FootnoteReference"/>
          <w:rFonts w:ascii="Times New Roman" w:hAnsi="Times New Roman"/>
          <w:sz w:val="24"/>
        </w:rPr>
        <w:footnoteReference w:id="49"/>
      </w:r>
      <w:r w:rsidR="00C44A59" w:rsidRPr="007954B9">
        <w:rPr>
          <w:rFonts w:ascii="Times New Roman" w:hAnsi="Times New Roman"/>
        </w:rPr>
        <w:t xml:space="preserve"> </w:t>
      </w:r>
      <w:r w:rsidR="004F52D8" w:rsidRPr="007954B9">
        <w:rPr>
          <w:rFonts w:ascii="Times New Roman" w:hAnsi="Times New Roman"/>
        </w:rPr>
        <w:t xml:space="preserve">– </w:t>
      </w:r>
      <w:r w:rsidR="00646F08" w:rsidRPr="007954B9">
        <w:rPr>
          <w:rFonts w:ascii="Times New Roman" w:hAnsi="Times New Roman"/>
        </w:rPr>
        <w:t xml:space="preserve">an institution for the administration of justice in and for </w:t>
      </w:r>
      <w:r w:rsidR="00FE074F" w:rsidRPr="007954B9">
        <w:rPr>
          <w:rFonts w:ascii="Times New Roman" w:hAnsi="Times New Roman"/>
        </w:rPr>
        <w:t>the Commonwealth</w:t>
      </w:r>
      <w:r w:rsidR="00C44A59" w:rsidRPr="007954B9">
        <w:rPr>
          <w:rFonts w:ascii="Times New Roman" w:hAnsi="Times New Roman"/>
        </w:rPr>
        <w:t xml:space="preserve"> </w:t>
      </w:r>
      <w:r w:rsidR="004F52D8" w:rsidRPr="007954B9">
        <w:rPr>
          <w:rFonts w:ascii="Times New Roman" w:hAnsi="Times New Roman"/>
        </w:rPr>
        <w:t>–</w:t>
      </w:r>
      <w:r w:rsidR="00C44A59" w:rsidRPr="007954B9">
        <w:rPr>
          <w:rFonts w:ascii="Times New Roman" w:hAnsi="Times New Roman"/>
        </w:rPr>
        <w:t xml:space="preserve"> and</w:t>
      </w:r>
      <w:r w:rsidR="00FA5283" w:rsidRPr="007954B9">
        <w:rPr>
          <w:rFonts w:ascii="Times New Roman" w:hAnsi="Times New Roman"/>
        </w:rPr>
        <w:t xml:space="preserve"> </w:t>
      </w:r>
      <w:r w:rsidR="00654060" w:rsidRPr="007954B9">
        <w:rPr>
          <w:rFonts w:ascii="Times New Roman" w:hAnsi="Times New Roman"/>
        </w:rPr>
        <w:t xml:space="preserve">provides for the </w:t>
      </w:r>
      <w:r w:rsidR="003251E1" w:rsidRPr="007954B9">
        <w:rPr>
          <w:rFonts w:ascii="Times New Roman" w:hAnsi="Times New Roman"/>
        </w:rPr>
        <w:t>F</w:t>
      </w:r>
      <w:r w:rsidR="00654060" w:rsidRPr="007954B9">
        <w:rPr>
          <w:rFonts w:ascii="Times New Roman" w:hAnsi="Times New Roman"/>
        </w:rPr>
        <w:t xml:space="preserve">ederal </w:t>
      </w:r>
      <w:r w:rsidR="003251E1" w:rsidRPr="007954B9">
        <w:rPr>
          <w:rFonts w:ascii="Times New Roman" w:hAnsi="Times New Roman"/>
        </w:rPr>
        <w:t>C</w:t>
      </w:r>
      <w:r w:rsidR="00654060" w:rsidRPr="007954B9">
        <w:rPr>
          <w:rFonts w:ascii="Times New Roman" w:hAnsi="Times New Roman"/>
        </w:rPr>
        <w:t xml:space="preserve">ourt </w:t>
      </w:r>
      <w:r w:rsidR="00456BD8" w:rsidRPr="007954B9">
        <w:rPr>
          <w:rFonts w:ascii="Times New Roman" w:hAnsi="Times New Roman"/>
        </w:rPr>
        <w:t xml:space="preserve">to </w:t>
      </w:r>
      <w:r w:rsidR="00C44A59" w:rsidRPr="007954B9">
        <w:rPr>
          <w:rFonts w:ascii="Times New Roman" w:hAnsi="Times New Roman"/>
        </w:rPr>
        <w:t>have such jurisdiction</w:t>
      </w:r>
      <w:r w:rsidR="00456BD8" w:rsidRPr="007954B9">
        <w:rPr>
          <w:rFonts w:ascii="Times New Roman" w:hAnsi="Times New Roman"/>
        </w:rPr>
        <w:t xml:space="preserve"> as is vested </w:t>
      </w:r>
      <w:r w:rsidR="0041764E" w:rsidRPr="007954B9">
        <w:rPr>
          <w:rFonts w:ascii="Times New Roman" w:hAnsi="Times New Roman"/>
        </w:rPr>
        <w:t xml:space="preserve">in it </w:t>
      </w:r>
      <w:r w:rsidR="00400895" w:rsidRPr="007954B9">
        <w:rPr>
          <w:rFonts w:ascii="Times New Roman" w:hAnsi="Times New Roman"/>
        </w:rPr>
        <w:t>under</w:t>
      </w:r>
      <w:r w:rsidR="00456BD8" w:rsidRPr="007954B9">
        <w:rPr>
          <w:rFonts w:ascii="Times New Roman" w:hAnsi="Times New Roman"/>
        </w:rPr>
        <w:t xml:space="preserve"> </w:t>
      </w:r>
      <w:r w:rsidR="006C0ED8" w:rsidRPr="007954B9">
        <w:rPr>
          <w:rFonts w:ascii="Times New Roman" w:hAnsi="Times New Roman"/>
        </w:rPr>
        <w:t xml:space="preserve">other </w:t>
      </w:r>
      <w:r w:rsidR="00400895" w:rsidRPr="007954B9">
        <w:rPr>
          <w:rFonts w:ascii="Times New Roman" w:hAnsi="Times New Roman"/>
        </w:rPr>
        <w:t>Commonwealth l</w:t>
      </w:r>
      <w:r w:rsidR="0041764E" w:rsidRPr="007954B9">
        <w:rPr>
          <w:rFonts w:ascii="Times New Roman" w:hAnsi="Times New Roman"/>
        </w:rPr>
        <w:t>aws</w:t>
      </w:r>
      <w:r w:rsidR="003251E1" w:rsidRPr="007954B9">
        <w:rPr>
          <w:rStyle w:val="FootnoteReference"/>
          <w:rFonts w:ascii="Times New Roman" w:hAnsi="Times New Roman"/>
          <w:sz w:val="24"/>
        </w:rPr>
        <w:footnoteReference w:id="50"/>
      </w:r>
      <w:r w:rsidR="00514EDD" w:rsidRPr="007954B9">
        <w:rPr>
          <w:rFonts w:ascii="Times New Roman" w:hAnsi="Times New Roman"/>
        </w:rPr>
        <w:t xml:space="preserve">. </w:t>
      </w:r>
      <w:r w:rsidR="00F13028" w:rsidRPr="007954B9">
        <w:rPr>
          <w:rFonts w:ascii="Times New Roman" w:hAnsi="Times New Roman"/>
        </w:rPr>
        <w:t>Part IVA</w:t>
      </w:r>
      <w:r w:rsidR="00C47F3A" w:rsidRPr="007954B9">
        <w:rPr>
          <w:rFonts w:ascii="Times New Roman" w:hAnsi="Times New Roman"/>
        </w:rPr>
        <w:t xml:space="preserve"> </w:t>
      </w:r>
      <w:r w:rsidR="00F83FEC" w:rsidRPr="007954B9">
        <w:rPr>
          <w:rFonts w:ascii="Times New Roman" w:hAnsi="Times New Roman"/>
        </w:rPr>
        <w:t xml:space="preserve">is concerned with </w:t>
      </w:r>
      <w:r w:rsidR="0041764E" w:rsidRPr="007954B9">
        <w:rPr>
          <w:rFonts w:ascii="Times New Roman" w:hAnsi="Times New Roman"/>
        </w:rPr>
        <w:t>procedures and powers of the Federal Court relating to the exercise of jurisdiction</w:t>
      </w:r>
      <w:r w:rsidR="00966A26" w:rsidRPr="007954B9">
        <w:rPr>
          <w:rFonts w:ascii="Times New Roman" w:hAnsi="Times New Roman"/>
        </w:rPr>
        <w:t xml:space="preserve"> so vested</w:t>
      </w:r>
      <w:r w:rsidR="00F83FEC" w:rsidRPr="007954B9">
        <w:rPr>
          <w:rFonts w:ascii="Times New Roman" w:hAnsi="Times New Roman"/>
        </w:rPr>
        <w:t xml:space="preserve">. No further or more specific territorial connection is required </w:t>
      </w:r>
      <w:r w:rsidR="00966A26" w:rsidRPr="007954B9">
        <w:rPr>
          <w:rFonts w:ascii="Times New Roman" w:hAnsi="Times New Roman"/>
        </w:rPr>
        <w:t>for</w:t>
      </w:r>
      <w:r w:rsidR="00F83FEC" w:rsidRPr="007954B9">
        <w:rPr>
          <w:rFonts w:ascii="Times New Roman" w:hAnsi="Times New Roman"/>
        </w:rPr>
        <w:t xml:space="preserve"> </w:t>
      </w:r>
      <w:r w:rsidR="00F13028" w:rsidRPr="007954B9">
        <w:rPr>
          <w:rFonts w:ascii="Times New Roman" w:hAnsi="Times New Roman"/>
        </w:rPr>
        <w:t>P</w:t>
      </w:r>
      <w:r w:rsidR="004416AA" w:rsidRPr="007954B9">
        <w:rPr>
          <w:rFonts w:ascii="Times New Roman" w:hAnsi="Times New Roman"/>
        </w:rPr>
        <w:t>t </w:t>
      </w:r>
      <w:r w:rsidR="00F13028" w:rsidRPr="007954B9">
        <w:rPr>
          <w:rFonts w:ascii="Times New Roman" w:hAnsi="Times New Roman"/>
        </w:rPr>
        <w:t>IVA</w:t>
      </w:r>
      <w:r w:rsidR="00AB11BF" w:rsidRPr="007954B9">
        <w:rPr>
          <w:rFonts w:ascii="Times New Roman" w:hAnsi="Times New Roman"/>
        </w:rPr>
        <w:t xml:space="preserve"> </w:t>
      </w:r>
      <w:r w:rsidR="006B53FA" w:rsidRPr="007954B9">
        <w:rPr>
          <w:rFonts w:ascii="Times New Roman" w:hAnsi="Times New Roman"/>
        </w:rPr>
        <w:t xml:space="preserve">in its totality to be </w:t>
      </w:r>
      <w:r w:rsidR="004C4613" w:rsidRPr="007954B9">
        <w:rPr>
          <w:rFonts w:ascii="Times New Roman" w:hAnsi="Times New Roman"/>
        </w:rPr>
        <w:t>characterised as referring to jurisdictions, matters and things in and of the Commonwealth.</w:t>
      </w:r>
      <w:r w:rsidR="0005282C" w:rsidRPr="007954B9">
        <w:rPr>
          <w:rFonts w:ascii="Times New Roman" w:hAnsi="Times New Roman"/>
        </w:rPr>
        <w:t xml:space="preserve"> </w:t>
      </w:r>
      <w:r w:rsidR="00EC79E3" w:rsidRPr="007954B9">
        <w:rPr>
          <w:rFonts w:ascii="Times New Roman" w:hAnsi="Times New Roman"/>
        </w:rPr>
        <w:t xml:space="preserve">Section 21(1)(b) </w:t>
      </w:r>
      <w:r w:rsidR="0054058A" w:rsidRPr="007954B9">
        <w:rPr>
          <w:rFonts w:ascii="Times New Roman" w:hAnsi="Times New Roman"/>
        </w:rPr>
        <w:t xml:space="preserve">of the </w:t>
      </w:r>
      <w:r w:rsidR="0054058A" w:rsidRPr="007954B9">
        <w:rPr>
          <w:rFonts w:ascii="Times New Roman" w:hAnsi="Times New Roman"/>
          <w:i/>
        </w:rPr>
        <w:t>Acts Interpretation Act</w:t>
      </w:r>
      <w:r w:rsidR="00EC79E3" w:rsidRPr="007954B9">
        <w:rPr>
          <w:rFonts w:ascii="Times New Roman" w:hAnsi="Times New Roman"/>
        </w:rPr>
        <w:t xml:space="preserve"> therefore provides no </w:t>
      </w:r>
      <w:r w:rsidR="00721C69" w:rsidRPr="007954B9">
        <w:rPr>
          <w:rFonts w:ascii="Times New Roman" w:hAnsi="Times New Roman"/>
        </w:rPr>
        <w:t>basis</w:t>
      </w:r>
      <w:r w:rsidR="00824494" w:rsidRPr="007954B9">
        <w:rPr>
          <w:rFonts w:ascii="Times New Roman" w:hAnsi="Times New Roman"/>
        </w:rPr>
        <w:t xml:space="preserve"> </w:t>
      </w:r>
      <w:r w:rsidR="00EC79E3" w:rsidRPr="007954B9">
        <w:rPr>
          <w:rFonts w:ascii="Times New Roman" w:hAnsi="Times New Roman"/>
        </w:rPr>
        <w:t xml:space="preserve">to </w:t>
      </w:r>
      <w:r w:rsidR="0032468C" w:rsidRPr="007954B9">
        <w:rPr>
          <w:rFonts w:ascii="Times New Roman" w:hAnsi="Times New Roman"/>
        </w:rPr>
        <w:t xml:space="preserve">construe </w:t>
      </w:r>
      <w:r w:rsidR="0071492E" w:rsidRPr="007954B9">
        <w:rPr>
          <w:rFonts w:ascii="Times New Roman" w:hAnsi="Times New Roman"/>
        </w:rPr>
        <w:t>Pt IVA of the Act</w:t>
      </w:r>
      <w:r w:rsidR="004A6D53" w:rsidRPr="007954B9">
        <w:rPr>
          <w:rFonts w:ascii="Times New Roman" w:hAnsi="Times New Roman"/>
        </w:rPr>
        <w:t xml:space="preserve"> </w:t>
      </w:r>
      <w:r w:rsidR="0032468C" w:rsidRPr="007954B9">
        <w:rPr>
          <w:rFonts w:ascii="Times New Roman" w:hAnsi="Times New Roman"/>
        </w:rPr>
        <w:t xml:space="preserve">as </w:t>
      </w:r>
      <w:r w:rsidR="00E16F5B" w:rsidRPr="007954B9">
        <w:rPr>
          <w:rFonts w:ascii="Times New Roman" w:hAnsi="Times New Roman"/>
        </w:rPr>
        <w:t xml:space="preserve">being restricted in the manner which </w:t>
      </w:r>
      <w:r w:rsidR="0032468C" w:rsidRPr="007954B9">
        <w:rPr>
          <w:rFonts w:ascii="Times New Roman" w:hAnsi="Times New Roman"/>
        </w:rPr>
        <w:t>BHP contends</w:t>
      </w:r>
      <w:r w:rsidR="00824494" w:rsidRPr="007954B9">
        <w:rPr>
          <w:rFonts w:ascii="Times New Roman" w:hAnsi="Times New Roman"/>
        </w:rPr>
        <w:t>.</w:t>
      </w:r>
    </w:p>
    <w:p w14:paraId="71871A7D" w14:textId="0B35D4C4" w:rsidR="007D5781" w:rsidRPr="007954B9" w:rsidRDefault="001F40DE" w:rsidP="007954B9">
      <w:pPr>
        <w:pStyle w:val="HeadingL1"/>
        <w:spacing w:after="260" w:line="280" w:lineRule="exact"/>
        <w:ind w:right="0"/>
        <w:jc w:val="both"/>
        <w:rPr>
          <w:rFonts w:ascii="Times New Roman" w:hAnsi="Times New Roman"/>
        </w:rPr>
      </w:pPr>
      <w:r w:rsidRPr="007954B9">
        <w:rPr>
          <w:rFonts w:ascii="Times New Roman" w:hAnsi="Times New Roman"/>
        </w:rPr>
        <w:t xml:space="preserve">International </w:t>
      </w:r>
      <w:r w:rsidR="004579F2" w:rsidRPr="007954B9">
        <w:rPr>
          <w:rFonts w:ascii="Times New Roman" w:hAnsi="Times New Roman"/>
        </w:rPr>
        <w:t>c</w:t>
      </w:r>
      <w:r w:rsidRPr="007954B9">
        <w:rPr>
          <w:rFonts w:ascii="Times New Roman" w:hAnsi="Times New Roman"/>
        </w:rPr>
        <w:t>omparisons</w:t>
      </w:r>
    </w:p>
    <w:p w14:paraId="1309DD15" w14:textId="6EBB5EBF" w:rsidR="00D130D1" w:rsidRPr="007954B9" w:rsidRDefault="00E84963" w:rsidP="007954B9">
      <w:pPr>
        <w:pStyle w:val="FixListStyle"/>
        <w:spacing w:after="260" w:line="280" w:lineRule="exact"/>
        <w:ind w:right="0"/>
        <w:jc w:val="both"/>
        <w:rPr>
          <w:rFonts w:ascii="Times New Roman" w:hAnsi="Times New Roman"/>
        </w:rPr>
      </w:pPr>
      <w:r w:rsidRPr="007954B9">
        <w:rPr>
          <w:rFonts w:ascii="Times New Roman" w:hAnsi="Times New Roman"/>
        </w:rPr>
        <w:tab/>
      </w:r>
      <w:r w:rsidR="00546182" w:rsidRPr="007954B9">
        <w:rPr>
          <w:rFonts w:ascii="Times New Roman" w:hAnsi="Times New Roman"/>
        </w:rPr>
        <w:t xml:space="preserve">Finally, </w:t>
      </w:r>
      <w:r w:rsidR="00EC4733" w:rsidRPr="007954B9">
        <w:rPr>
          <w:rFonts w:ascii="Times New Roman" w:hAnsi="Times New Roman"/>
        </w:rPr>
        <w:t>referring</w:t>
      </w:r>
      <w:r w:rsidR="00574698" w:rsidRPr="007954B9">
        <w:rPr>
          <w:rFonts w:ascii="Times New Roman" w:hAnsi="Times New Roman"/>
        </w:rPr>
        <w:t xml:space="preserve"> to a </w:t>
      </w:r>
      <w:r w:rsidR="00F72021" w:rsidRPr="007954B9">
        <w:rPr>
          <w:rFonts w:ascii="Times New Roman" w:hAnsi="Times New Roman"/>
        </w:rPr>
        <w:t xml:space="preserve">recently published international </w:t>
      </w:r>
      <w:r w:rsidR="00574698" w:rsidRPr="007954B9">
        <w:rPr>
          <w:rFonts w:ascii="Times New Roman" w:hAnsi="Times New Roman"/>
        </w:rPr>
        <w:t>survey</w:t>
      </w:r>
      <w:r w:rsidR="00EC4733" w:rsidRPr="007954B9">
        <w:rPr>
          <w:rStyle w:val="FootnoteReference"/>
          <w:rFonts w:ascii="Times New Roman" w:hAnsi="Times New Roman"/>
          <w:sz w:val="24"/>
        </w:rPr>
        <w:footnoteReference w:id="51"/>
      </w:r>
      <w:r w:rsidR="00D00470" w:rsidRPr="007954B9">
        <w:rPr>
          <w:rFonts w:ascii="Times New Roman" w:hAnsi="Times New Roman"/>
        </w:rPr>
        <w:t xml:space="preserve">, </w:t>
      </w:r>
      <w:r w:rsidR="00546182" w:rsidRPr="007954B9">
        <w:rPr>
          <w:rFonts w:ascii="Times New Roman" w:hAnsi="Times New Roman"/>
        </w:rPr>
        <w:t xml:space="preserve">BHP </w:t>
      </w:r>
      <w:r w:rsidR="00B35664" w:rsidRPr="007954B9">
        <w:rPr>
          <w:rFonts w:ascii="Times New Roman" w:hAnsi="Times New Roman"/>
        </w:rPr>
        <w:t>observes</w:t>
      </w:r>
      <w:r w:rsidR="00070629" w:rsidRPr="007954B9">
        <w:rPr>
          <w:rFonts w:ascii="Times New Roman" w:hAnsi="Times New Roman"/>
        </w:rPr>
        <w:t xml:space="preserve"> that </w:t>
      </w:r>
      <w:r w:rsidR="00F07461" w:rsidRPr="007954B9">
        <w:rPr>
          <w:rFonts w:ascii="Times New Roman" w:hAnsi="Times New Roman"/>
        </w:rPr>
        <w:t>the application of class action legislation to non</w:t>
      </w:r>
      <w:r w:rsidR="00EC4733" w:rsidRPr="007954B9">
        <w:rPr>
          <w:rFonts w:ascii="Times New Roman" w:hAnsi="Times New Roman"/>
        </w:rPr>
        <w:t>-</w:t>
      </w:r>
      <w:r w:rsidR="00F07461" w:rsidRPr="007954B9">
        <w:rPr>
          <w:rFonts w:ascii="Times New Roman" w:hAnsi="Times New Roman"/>
        </w:rPr>
        <w:t>residents is</w:t>
      </w:r>
      <w:r w:rsidR="0023016C" w:rsidRPr="007954B9">
        <w:rPr>
          <w:rFonts w:ascii="Times New Roman" w:hAnsi="Times New Roman"/>
        </w:rPr>
        <w:t xml:space="preserve"> currently</w:t>
      </w:r>
      <w:r w:rsidR="00F07461" w:rsidRPr="007954B9">
        <w:rPr>
          <w:rFonts w:ascii="Times New Roman" w:hAnsi="Times New Roman"/>
        </w:rPr>
        <w:t xml:space="preserve"> the subject of differing legislative choices in</w:t>
      </w:r>
      <w:r w:rsidR="0023016C" w:rsidRPr="007954B9">
        <w:rPr>
          <w:rFonts w:ascii="Times New Roman" w:hAnsi="Times New Roman"/>
        </w:rPr>
        <w:t xml:space="preserve"> different national</w:t>
      </w:r>
      <w:r w:rsidR="00EC4733" w:rsidRPr="007954B9">
        <w:rPr>
          <w:rFonts w:ascii="Times New Roman" w:hAnsi="Times New Roman"/>
        </w:rPr>
        <w:t xml:space="preserve"> jurisdictions</w:t>
      </w:r>
      <w:r w:rsidR="005B6AC8" w:rsidRPr="007954B9">
        <w:rPr>
          <w:rFonts w:ascii="Times New Roman" w:hAnsi="Times New Roman"/>
        </w:rPr>
        <w:t xml:space="preserve">. </w:t>
      </w:r>
      <w:r w:rsidR="00733CC6" w:rsidRPr="007954B9">
        <w:rPr>
          <w:rFonts w:ascii="Times New Roman" w:hAnsi="Times New Roman"/>
        </w:rPr>
        <w:t>The observation serves to emphasise th</w:t>
      </w:r>
      <w:r w:rsidR="00E544B9" w:rsidRPr="007954B9">
        <w:rPr>
          <w:rFonts w:ascii="Times New Roman" w:hAnsi="Times New Roman"/>
        </w:rPr>
        <w:t>at the</w:t>
      </w:r>
      <w:r w:rsidR="00733CC6" w:rsidRPr="007954B9">
        <w:rPr>
          <w:rFonts w:ascii="Times New Roman" w:hAnsi="Times New Roman"/>
        </w:rPr>
        <w:t xml:space="preserve"> </w:t>
      </w:r>
      <w:r w:rsidR="006546CD" w:rsidRPr="007954B9">
        <w:rPr>
          <w:rFonts w:ascii="Times New Roman" w:hAnsi="Times New Roman"/>
        </w:rPr>
        <w:t xml:space="preserve">question arising </w:t>
      </w:r>
      <w:r w:rsidR="00585BA2" w:rsidRPr="007954B9">
        <w:rPr>
          <w:rFonts w:ascii="Times New Roman" w:hAnsi="Times New Roman"/>
        </w:rPr>
        <w:t xml:space="preserve">in the appeal, </w:t>
      </w:r>
      <w:r w:rsidR="006546CD" w:rsidRPr="007954B9">
        <w:rPr>
          <w:rFonts w:ascii="Times New Roman" w:hAnsi="Times New Roman"/>
        </w:rPr>
        <w:t>in the context of Pt IVA</w:t>
      </w:r>
      <w:r w:rsidR="00585BA2" w:rsidRPr="007954B9">
        <w:rPr>
          <w:rFonts w:ascii="Times New Roman" w:hAnsi="Times New Roman"/>
        </w:rPr>
        <w:t xml:space="preserve">, </w:t>
      </w:r>
      <w:r w:rsidR="00733CC6" w:rsidRPr="007954B9">
        <w:rPr>
          <w:rFonts w:ascii="Times New Roman" w:hAnsi="Times New Roman"/>
        </w:rPr>
        <w:t>is entirely one of statutory construction</w:t>
      </w:r>
      <w:r w:rsidR="00E544B9" w:rsidRPr="007954B9">
        <w:rPr>
          <w:rFonts w:ascii="Times New Roman" w:hAnsi="Times New Roman"/>
        </w:rPr>
        <w:t xml:space="preserve">. </w:t>
      </w:r>
      <w:r w:rsidR="00585BA2" w:rsidRPr="007954B9">
        <w:rPr>
          <w:rFonts w:ascii="Times New Roman" w:hAnsi="Times New Roman"/>
        </w:rPr>
        <w:t>The observation does nothing to assist answering that question</w:t>
      </w:r>
      <w:r w:rsidR="00B204B7" w:rsidRPr="007954B9">
        <w:rPr>
          <w:rFonts w:ascii="Times New Roman" w:hAnsi="Times New Roman"/>
        </w:rPr>
        <w:t>.</w:t>
      </w:r>
    </w:p>
    <w:p w14:paraId="370B5A88" w14:textId="2C025103" w:rsidR="00D130D1" w:rsidRPr="007954B9" w:rsidRDefault="00CB647B" w:rsidP="007954B9">
      <w:pPr>
        <w:pStyle w:val="HeadingL1"/>
        <w:spacing w:after="260" w:line="280" w:lineRule="exact"/>
        <w:ind w:right="0"/>
        <w:jc w:val="both"/>
        <w:rPr>
          <w:rFonts w:ascii="Times New Roman" w:hAnsi="Times New Roman"/>
        </w:rPr>
      </w:pPr>
      <w:r w:rsidRPr="007954B9">
        <w:rPr>
          <w:rFonts w:ascii="Times New Roman" w:hAnsi="Times New Roman"/>
        </w:rPr>
        <w:t>Disposition</w:t>
      </w:r>
    </w:p>
    <w:p w14:paraId="7D6C8A30" w14:textId="77777777" w:rsidR="003C391D" w:rsidRDefault="00CB647B" w:rsidP="007954B9">
      <w:pPr>
        <w:pStyle w:val="FixListStyle"/>
        <w:spacing w:after="260" w:line="280" w:lineRule="exact"/>
        <w:ind w:right="0"/>
        <w:jc w:val="both"/>
        <w:rPr>
          <w:rFonts w:ascii="Times New Roman" w:hAnsi="Times New Roman"/>
        </w:rPr>
      </w:pPr>
      <w:r w:rsidRPr="007954B9">
        <w:rPr>
          <w:rFonts w:ascii="Times New Roman" w:hAnsi="Times New Roman"/>
        </w:rPr>
        <w:tab/>
        <w:t>The appeal is to be dismissed with costs</w:t>
      </w:r>
      <w:r w:rsidR="008B4AB7" w:rsidRPr="007954B9">
        <w:rPr>
          <w:rFonts w:ascii="Times New Roman" w:hAnsi="Times New Roman"/>
        </w:rPr>
        <w:t>.</w:t>
      </w:r>
    </w:p>
    <w:p w14:paraId="04706904" w14:textId="77777777" w:rsidR="003C391D" w:rsidRDefault="003C391D" w:rsidP="007954B9">
      <w:pPr>
        <w:pStyle w:val="FixListStyle"/>
        <w:spacing w:after="260" w:line="280" w:lineRule="exact"/>
        <w:ind w:right="0"/>
        <w:jc w:val="both"/>
        <w:rPr>
          <w:rFonts w:ascii="Times New Roman" w:hAnsi="Times New Roman"/>
        </w:rPr>
        <w:sectPr w:rsidR="003C391D" w:rsidSect="00FA37F7">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6B62418" w14:textId="77777777" w:rsidR="003C391D" w:rsidRPr="0033317A" w:rsidRDefault="003C391D" w:rsidP="003C391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33317A">
        <w:rPr>
          <w:rFonts w:ascii="Times New Roman" w:hAnsi="Times New Roman"/>
        </w:rPr>
        <w:lastRenderedPageBreak/>
        <w:t xml:space="preserve">GORDON, EDELMAN AND STEWARD JJ.   The issue in this appeal is a question of statutory construction: is Pt IVA of the </w:t>
      </w:r>
      <w:r w:rsidRPr="0033317A">
        <w:rPr>
          <w:rFonts w:ascii="Times New Roman" w:hAnsi="Times New Roman"/>
          <w:i/>
          <w:iCs/>
        </w:rPr>
        <w:t xml:space="preserve">Federal Court of Australia Act 1976 </w:t>
      </w:r>
      <w:r w:rsidRPr="0033317A">
        <w:rPr>
          <w:rFonts w:ascii="Times New Roman" w:hAnsi="Times New Roman"/>
        </w:rPr>
        <w:t xml:space="preserve">(Cth), which permits </w:t>
      </w:r>
      <w:r w:rsidRPr="0033317A">
        <w:rPr>
          <w:rFonts w:ascii="Times New Roman" w:hAnsi="Times New Roman"/>
          <w:i/>
          <w:iCs/>
        </w:rPr>
        <w:t>claims</w:t>
      </w:r>
      <w:r w:rsidRPr="0033317A">
        <w:rPr>
          <w:rFonts w:ascii="Times New Roman" w:hAnsi="Times New Roman"/>
        </w:rPr>
        <w:t xml:space="preserve"> to be brought by a representative party on behalf of group members, capable of applying to claims of group members who are not resident in Australia? The appellant, BHP Group Limited ("BHP"), contended that a statutory</w:t>
      </w:r>
      <w:r w:rsidRPr="0033317A">
        <w:rPr>
          <w:rStyle w:val="FootnoteReference"/>
          <w:rFonts w:ascii="Times New Roman" w:hAnsi="Times New Roman"/>
          <w:sz w:val="24"/>
        </w:rPr>
        <w:footnoteReference w:id="52"/>
      </w:r>
      <w:r w:rsidRPr="0033317A">
        <w:rPr>
          <w:rFonts w:ascii="Times New Roman" w:hAnsi="Times New Roman"/>
        </w:rPr>
        <w:t xml:space="preserve"> and common law rule of construction – that, subject to a contrary intent, requires words in a statute describing acts, matters or things in general words to be read so as not to have extraterritorial effect – </w:t>
      </w:r>
      <w:r w:rsidRPr="0033317A">
        <w:rPr>
          <w:rFonts w:ascii="Times New Roman" w:hAnsi="Times New Roman"/>
          <w:i/>
          <w:iCs/>
        </w:rPr>
        <w:t>must</w:t>
      </w:r>
      <w:r w:rsidRPr="0033317A">
        <w:rPr>
          <w:rFonts w:ascii="Times New Roman" w:hAnsi="Times New Roman"/>
        </w:rPr>
        <w:t xml:space="preserve"> be applied to Pt IVA so that the Part does not permit a representative proceeding to extend to group members who are not resident</w:t>
      </w:r>
      <w:r w:rsidRPr="0033317A">
        <w:rPr>
          <w:rStyle w:val="FootnoteReference"/>
          <w:rFonts w:ascii="Times New Roman" w:hAnsi="Times New Roman"/>
          <w:sz w:val="24"/>
        </w:rPr>
        <w:footnoteReference w:id="53"/>
      </w:r>
      <w:r w:rsidRPr="0033317A">
        <w:rPr>
          <w:rFonts w:ascii="Times New Roman" w:hAnsi="Times New Roman"/>
        </w:rPr>
        <w:t xml:space="preserve"> in Australia. For the reasons that follow, BHP's</w:t>
      </w:r>
      <w:r>
        <w:rPr>
          <w:rFonts w:ascii="Times New Roman" w:hAnsi="Times New Roman"/>
        </w:rPr>
        <w:t> </w:t>
      </w:r>
      <w:r w:rsidRPr="0033317A">
        <w:rPr>
          <w:rFonts w:ascii="Times New Roman" w:hAnsi="Times New Roman"/>
        </w:rPr>
        <w:t xml:space="preserve">contention is rejected and the appeal from the Full Court of the Federal Court of Australia should be dismissed. </w:t>
      </w:r>
    </w:p>
    <w:p w14:paraId="74938B20"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The starting point is the proper construction of Pt IVA</w:t>
      </w:r>
      <w:r w:rsidRPr="0033317A">
        <w:rPr>
          <w:rStyle w:val="FootnoteReference"/>
          <w:rFonts w:ascii="Times New Roman" w:hAnsi="Times New Roman"/>
          <w:sz w:val="24"/>
        </w:rPr>
        <w:footnoteReference w:id="54"/>
      </w:r>
      <w:r w:rsidRPr="0033317A">
        <w:rPr>
          <w:rFonts w:ascii="Times New Roman" w:hAnsi="Times New Roman"/>
        </w:rPr>
        <w:t>. That is because, depending on the particular statute and its subject matter, the common law and statutory presumptions against extraterritoriality may have little or no role to play in the process of construction. H</w:t>
      </w:r>
      <w:r w:rsidRPr="0033317A">
        <w:rPr>
          <w:rFonts w:ascii="Times New Roman" w:hAnsi="Times New Roman"/>
          <w:iCs/>
        </w:rPr>
        <w:t>aving </w:t>
      </w:r>
      <w:r w:rsidRPr="0033317A">
        <w:rPr>
          <w:rFonts w:ascii="Times New Roman" w:hAnsi="Times New Roman"/>
        </w:rPr>
        <w:t>regard to its text, context and purpose, Pt</w:t>
      </w:r>
      <w:r>
        <w:rPr>
          <w:rFonts w:ascii="Times New Roman" w:hAnsi="Times New Roman"/>
        </w:rPr>
        <w:t> </w:t>
      </w:r>
      <w:r w:rsidRPr="0033317A">
        <w:rPr>
          <w:rFonts w:ascii="Times New Roman" w:hAnsi="Times New Roman"/>
        </w:rPr>
        <w:t xml:space="preserve">IVA encompasses all persons, irrespective of whether they are Australian residents, who have "claims" of the kind described in s 33C(1) of the </w:t>
      </w:r>
      <w:r w:rsidRPr="0033317A">
        <w:rPr>
          <w:rFonts w:ascii="Times New Roman" w:hAnsi="Times New Roman"/>
          <w:i/>
          <w:iCs/>
        </w:rPr>
        <w:t>Federal Court of Australia Act</w:t>
      </w:r>
      <w:r w:rsidRPr="0033317A">
        <w:rPr>
          <w:rFonts w:ascii="Times New Roman" w:hAnsi="Times New Roman"/>
        </w:rPr>
        <w:t>,</w:t>
      </w:r>
      <w:r w:rsidRPr="0033317A">
        <w:rPr>
          <w:rFonts w:ascii="Times New Roman" w:hAnsi="Times New Roman"/>
          <w:b/>
          <w:bCs/>
        </w:rPr>
        <w:t xml:space="preserve"> </w:t>
      </w:r>
      <w:r w:rsidRPr="0033317A">
        <w:rPr>
          <w:rFonts w:ascii="Times New Roman" w:hAnsi="Times New Roman"/>
        </w:rPr>
        <w:t>so long as the claims include one claim under the various laws made by the Federal Parliament which vest jurisdiction in the Federal Court, including its accrued jurisdiction</w:t>
      </w:r>
      <w:r w:rsidRPr="0033317A">
        <w:rPr>
          <w:rStyle w:val="FootnoteReference"/>
          <w:rFonts w:ascii="Times New Roman" w:hAnsi="Times New Roman"/>
          <w:sz w:val="24"/>
        </w:rPr>
        <w:footnoteReference w:id="55"/>
      </w:r>
      <w:r w:rsidRPr="0033317A">
        <w:rPr>
          <w:rFonts w:ascii="Times New Roman" w:hAnsi="Times New Roman"/>
        </w:rPr>
        <w:t>. The </w:t>
      </w:r>
      <w:r w:rsidRPr="0033317A">
        <w:rPr>
          <w:rFonts w:ascii="Times New Roman" w:hAnsi="Times New Roman"/>
          <w:i/>
          <w:iCs/>
        </w:rPr>
        <w:t>territorial connection</w:t>
      </w:r>
      <w:r w:rsidRPr="0033317A">
        <w:rPr>
          <w:rFonts w:ascii="Times New Roman" w:hAnsi="Times New Roman"/>
        </w:rPr>
        <w:t xml:space="preserve"> of Pt IVA is direct and specific; it concerns the </w:t>
      </w:r>
      <w:r w:rsidRPr="0033317A">
        <w:rPr>
          <w:rFonts w:ascii="Times New Roman" w:hAnsi="Times New Roman"/>
          <w:iCs/>
        </w:rPr>
        <w:t>jurisdiction of the Federal Court</w:t>
      </w:r>
      <w:r w:rsidRPr="0033317A">
        <w:rPr>
          <w:rFonts w:ascii="Times New Roman" w:hAnsi="Times New Roman"/>
        </w:rPr>
        <w:t xml:space="preserve">. It is not necessary or appropriate to infer any further territorial limit into Pt IVA.  </w:t>
      </w:r>
    </w:p>
    <w:p w14:paraId="5B4D45BB" w14:textId="77777777" w:rsidR="003C391D" w:rsidRPr="0033317A" w:rsidRDefault="003C391D" w:rsidP="0033317A">
      <w:pPr>
        <w:pStyle w:val="HeadingL1"/>
        <w:spacing w:after="260" w:line="280" w:lineRule="exact"/>
        <w:ind w:right="0"/>
        <w:jc w:val="both"/>
        <w:rPr>
          <w:rFonts w:ascii="Times New Roman" w:hAnsi="Times New Roman"/>
        </w:rPr>
      </w:pPr>
      <w:r w:rsidRPr="0033317A">
        <w:rPr>
          <w:rFonts w:ascii="Times New Roman" w:hAnsi="Times New Roman"/>
        </w:rPr>
        <w:lastRenderedPageBreak/>
        <w:t>Background</w:t>
      </w:r>
    </w:p>
    <w:p w14:paraId="3E79018F"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BHP is a company registered in Australia and listed on the Australian Securities Exchange ("ASX"). At the relevant time, BHP had a dual listed company structure with a separate company, then known as BHP Billiton Plc ("BHP Plc"). BHP Plc was registered in the United Kingdom and listed on the London Stock Exchange ("LSE"), with a secondary listing on the Johannesburg Stock Exchange ("JSE"). Under the dual listed company structure, BHP and BHP</w:t>
      </w:r>
      <w:r>
        <w:rPr>
          <w:rFonts w:ascii="Times New Roman" w:hAnsi="Times New Roman"/>
        </w:rPr>
        <w:t> </w:t>
      </w:r>
      <w:r w:rsidRPr="0033317A">
        <w:rPr>
          <w:rFonts w:ascii="Times New Roman" w:hAnsi="Times New Roman"/>
        </w:rPr>
        <w:t>Plc operated as if they were a single unified economic entity with a unified board and management team.</w:t>
      </w:r>
    </w:p>
    <w:p w14:paraId="433D90A2"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BHP</w:t>
      </w:r>
      <w:r w:rsidRPr="0033317A">
        <w:rPr>
          <w:rStyle w:val="FootnoteReference"/>
          <w:rFonts w:ascii="Times New Roman" w:hAnsi="Times New Roman"/>
          <w:sz w:val="24"/>
        </w:rPr>
        <w:footnoteReference w:id="56"/>
      </w:r>
      <w:r w:rsidRPr="0033317A">
        <w:rPr>
          <w:rFonts w:ascii="Times New Roman" w:hAnsi="Times New Roman"/>
        </w:rPr>
        <w:t xml:space="preserve"> held a 50 per cent interest in a Brazilian company that owned and operated the Germano Complex in Brazil, which included the Fundão Dam. On</w:t>
      </w:r>
      <w:r>
        <w:rPr>
          <w:rFonts w:ascii="Times New Roman" w:hAnsi="Times New Roman"/>
        </w:rPr>
        <w:t> </w:t>
      </w:r>
      <w:r w:rsidRPr="0033317A">
        <w:rPr>
          <w:rFonts w:ascii="Times New Roman" w:hAnsi="Times New Roman"/>
        </w:rPr>
        <w:t>6</w:t>
      </w:r>
      <w:r>
        <w:rPr>
          <w:rFonts w:ascii="Times New Roman" w:hAnsi="Times New Roman"/>
        </w:rPr>
        <w:t> </w:t>
      </w:r>
      <w:r w:rsidRPr="0033317A">
        <w:rPr>
          <w:rFonts w:ascii="Times New Roman" w:hAnsi="Times New Roman"/>
        </w:rPr>
        <w:t>November 2015 (AEST), the Fundão Dam failed, releasing a significant volume of tailings and resulting in loss of life and other consequences. On 6 and 9</w:t>
      </w:r>
      <w:r>
        <w:rPr>
          <w:rFonts w:ascii="Times New Roman" w:hAnsi="Times New Roman"/>
        </w:rPr>
        <w:t> </w:t>
      </w:r>
      <w:r w:rsidRPr="0033317A">
        <w:rPr>
          <w:rFonts w:ascii="Times New Roman" w:hAnsi="Times New Roman"/>
        </w:rPr>
        <w:t>November 2015, BHP made announcements on the ASX relating to the incident. Following these announcements, the price of BHP shares on the ASX – and</w:t>
      </w:r>
      <w:r>
        <w:rPr>
          <w:rFonts w:ascii="Times New Roman" w:hAnsi="Times New Roman"/>
        </w:rPr>
        <w:t> </w:t>
      </w:r>
      <w:r w:rsidRPr="0033317A">
        <w:rPr>
          <w:rFonts w:ascii="Times New Roman" w:hAnsi="Times New Roman"/>
        </w:rPr>
        <w:t>BHP</w:t>
      </w:r>
      <w:r>
        <w:rPr>
          <w:rFonts w:ascii="Times New Roman" w:hAnsi="Times New Roman"/>
        </w:rPr>
        <w:t> </w:t>
      </w:r>
      <w:r w:rsidRPr="0033317A">
        <w:rPr>
          <w:rFonts w:ascii="Times New Roman" w:hAnsi="Times New Roman"/>
        </w:rPr>
        <w:t>Plc shares on the LSE and JSE – declined significantly.</w:t>
      </w:r>
    </w:p>
    <w:p w14:paraId="2BE26DD8"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 xml:space="preserve">The respondents are the representative applicants in a class action commenced against BHP in the Federal Court of Australia under Pt IVA of the </w:t>
      </w:r>
      <w:r w:rsidRPr="0033317A">
        <w:rPr>
          <w:rFonts w:ascii="Times New Roman" w:hAnsi="Times New Roman"/>
          <w:i/>
          <w:iCs/>
        </w:rPr>
        <w:t>Federal Court of Australia Act</w:t>
      </w:r>
      <w:r w:rsidRPr="0033317A">
        <w:rPr>
          <w:rFonts w:ascii="Times New Roman" w:hAnsi="Times New Roman"/>
        </w:rPr>
        <w:t xml:space="preserve">. The group members are relevantly defined to include persons who, during a specified period, contracted to acquire an interest in fully paid up ordinary shares in one or more of BHP on the ASX, BHP Plc on the LSE, and BHP Plc on the JSE, and are alleged to have suffered loss by reason of BHP's conduct. The representative applicants allege that, between August 2012 and November 2015, BHP was aware of certain information and risks relating to the Fundão Dam and that, contrary to the continuous disclosure obligations under the ASX Listing Rules and s 674(2) of the </w:t>
      </w:r>
      <w:r w:rsidRPr="0033317A">
        <w:rPr>
          <w:rFonts w:ascii="Times New Roman" w:hAnsi="Times New Roman"/>
          <w:i/>
          <w:iCs/>
        </w:rPr>
        <w:t>Corporations Act 2001</w:t>
      </w:r>
      <w:r w:rsidRPr="0033317A">
        <w:rPr>
          <w:rFonts w:ascii="Times New Roman" w:hAnsi="Times New Roman"/>
        </w:rPr>
        <w:t xml:space="preserve"> (Cth)</w:t>
      </w:r>
      <w:r w:rsidRPr="0033317A">
        <w:rPr>
          <w:rFonts w:ascii="Times New Roman" w:hAnsi="Times New Roman"/>
          <w:bCs/>
        </w:rPr>
        <w:t xml:space="preserve">, BHP did not inform the ASX of those matters prior to 9 November 2015. The representative applicants also allege that </w:t>
      </w:r>
      <w:r w:rsidRPr="0033317A">
        <w:rPr>
          <w:rFonts w:ascii="Times New Roman" w:hAnsi="Times New Roman"/>
        </w:rPr>
        <w:t xml:space="preserve">BHP engaged in misleading or deceptive conduct contrary to s 12DA(1) of the </w:t>
      </w:r>
      <w:r w:rsidRPr="0033317A">
        <w:rPr>
          <w:rFonts w:ascii="Times New Roman" w:hAnsi="Times New Roman"/>
          <w:i/>
        </w:rPr>
        <w:t>Australian Securities and Investments Commission Act 2001</w:t>
      </w:r>
      <w:r w:rsidRPr="0033317A">
        <w:rPr>
          <w:rFonts w:ascii="Times New Roman" w:hAnsi="Times New Roman"/>
        </w:rPr>
        <w:t xml:space="preserve"> (Cth) and s 1041H(1) of the </w:t>
      </w:r>
      <w:r w:rsidRPr="0033317A">
        <w:rPr>
          <w:rFonts w:ascii="Times New Roman" w:hAnsi="Times New Roman"/>
          <w:i/>
          <w:iCs/>
        </w:rPr>
        <w:t>Corporations Act</w:t>
      </w:r>
      <w:r w:rsidRPr="0033317A">
        <w:rPr>
          <w:rFonts w:ascii="Times New Roman" w:hAnsi="Times New Roman"/>
        </w:rPr>
        <w:t>. Before this Court, there was no dispute that the group members' claims could be brought in the Federal Court and, as will be seen, were claims over which the Federal Court had subject matter jurisdiction.</w:t>
      </w:r>
    </w:p>
    <w:p w14:paraId="289CCCE4" w14:textId="77777777" w:rsidR="003C391D" w:rsidRPr="0033317A" w:rsidRDefault="003C391D" w:rsidP="0033317A">
      <w:pPr>
        <w:pStyle w:val="HeadingL1"/>
        <w:spacing w:after="260" w:line="280" w:lineRule="exact"/>
        <w:ind w:right="0"/>
        <w:jc w:val="both"/>
        <w:rPr>
          <w:rFonts w:ascii="Times New Roman" w:hAnsi="Times New Roman"/>
        </w:rPr>
      </w:pPr>
      <w:r w:rsidRPr="0033317A">
        <w:rPr>
          <w:rFonts w:ascii="Times New Roman" w:hAnsi="Times New Roman"/>
        </w:rPr>
        <w:t>Statutory framework</w:t>
      </w:r>
    </w:p>
    <w:p w14:paraId="226CFD01"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 xml:space="preserve">Section 71 of the </w:t>
      </w:r>
      <w:r w:rsidRPr="0033317A">
        <w:rPr>
          <w:rFonts w:ascii="Times New Roman" w:hAnsi="Times New Roman"/>
          <w:i/>
          <w:iCs/>
        </w:rPr>
        <w:t>Constitution</w:t>
      </w:r>
      <w:r w:rsidRPr="0033317A">
        <w:rPr>
          <w:rFonts w:ascii="Times New Roman" w:hAnsi="Times New Roman"/>
        </w:rPr>
        <w:t xml:space="preserve"> vests the judicial power of the Commonwealth in the federal courts the Parliament creates. The Federal Court is </w:t>
      </w:r>
      <w:r w:rsidRPr="0033317A">
        <w:rPr>
          <w:rFonts w:ascii="Times New Roman" w:hAnsi="Times New Roman"/>
        </w:rPr>
        <w:lastRenderedPageBreak/>
        <w:t xml:space="preserve">such a court. It is a statutory court established by s 5 of the </w:t>
      </w:r>
      <w:r w:rsidRPr="0033317A">
        <w:rPr>
          <w:rFonts w:ascii="Times New Roman" w:hAnsi="Times New Roman"/>
          <w:i/>
          <w:iCs/>
        </w:rPr>
        <w:t>Federal Court of Australia Act</w:t>
      </w:r>
      <w:r w:rsidRPr="0033317A">
        <w:rPr>
          <w:rFonts w:ascii="Times New Roman" w:hAnsi="Times New Roman"/>
        </w:rPr>
        <w:t>. That Act does not confer jurisdiction – s 19 provides that "[t]he</w:t>
      </w:r>
      <w:r>
        <w:rPr>
          <w:rFonts w:ascii="Times New Roman" w:hAnsi="Times New Roman"/>
        </w:rPr>
        <w:t> </w:t>
      </w:r>
      <w:r w:rsidRPr="0033317A">
        <w:rPr>
          <w:rFonts w:ascii="Times New Roman" w:hAnsi="Times New Roman"/>
        </w:rPr>
        <w:t xml:space="preserve">[Federal] Court has such original jurisdiction </w:t>
      </w:r>
      <w:r w:rsidRPr="0033317A">
        <w:rPr>
          <w:rFonts w:ascii="Times New Roman" w:hAnsi="Times New Roman"/>
          <w:i/>
          <w:iCs/>
        </w:rPr>
        <w:t>as is vested in it by laws made by the Parliament</w:t>
      </w:r>
      <w:r w:rsidRPr="0033317A">
        <w:rPr>
          <w:rFonts w:ascii="Times New Roman" w:hAnsi="Times New Roman"/>
        </w:rPr>
        <w:t xml:space="preserve">" (emphasis added) – but rather governs how that jurisdiction is to be exercised. </w:t>
      </w:r>
    </w:p>
    <w:p w14:paraId="4A32CF5A"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 xml:space="preserve">Jurisdiction under federal law is the authority to adjudicate derived from the Commonwealth </w:t>
      </w:r>
      <w:r w:rsidRPr="0033317A">
        <w:rPr>
          <w:rFonts w:ascii="Times New Roman" w:hAnsi="Times New Roman"/>
          <w:i/>
          <w:iCs/>
        </w:rPr>
        <w:t>Constitution</w:t>
      </w:r>
      <w:r w:rsidRPr="0033317A">
        <w:rPr>
          <w:rFonts w:ascii="Times New Roman" w:hAnsi="Times New Roman"/>
        </w:rPr>
        <w:t xml:space="preserve"> and laws</w:t>
      </w:r>
      <w:r w:rsidRPr="0033317A">
        <w:rPr>
          <w:rStyle w:val="FootnoteReference"/>
          <w:rFonts w:ascii="Times New Roman" w:hAnsi="Times New Roman"/>
          <w:sz w:val="24"/>
        </w:rPr>
        <w:footnoteReference w:id="57"/>
      </w:r>
      <w:r w:rsidRPr="0033317A">
        <w:rPr>
          <w:rFonts w:ascii="Times New Roman" w:hAnsi="Times New Roman"/>
        </w:rPr>
        <w:t xml:space="preserve">. Federal courts, other than the High Court, owe their jurisdiction to laws enacted under s 77(i) of the </w:t>
      </w:r>
      <w:r w:rsidRPr="0033317A">
        <w:rPr>
          <w:rFonts w:ascii="Times New Roman" w:hAnsi="Times New Roman"/>
          <w:i/>
          <w:iCs/>
        </w:rPr>
        <w:t>Constitution</w:t>
      </w:r>
      <w:r w:rsidRPr="0033317A">
        <w:rPr>
          <w:rStyle w:val="FootnoteReference"/>
          <w:rFonts w:ascii="Times New Roman" w:hAnsi="Times New Roman"/>
          <w:sz w:val="24"/>
        </w:rPr>
        <w:footnoteReference w:id="58"/>
      </w:r>
      <w:r w:rsidRPr="0033317A">
        <w:rPr>
          <w:rFonts w:ascii="Times New Roman" w:hAnsi="Times New Roman"/>
        </w:rPr>
        <w:t xml:space="preserve">. In its terms, s 77(i) allows the conferral of jurisdiction with respect to any of the "matters" mentioned in ss 75 and 76 of the </w:t>
      </w:r>
      <w:r w:rsidRPr="0033317A">
        <w:rPr>
          <w:rFonts w:ascii="Times New Roman" w:hAnsi="Times New Roman"/>
          <w:i/>
          <w:iCs/>
        </w:rPr>
        <w:t>Constitution</w:t>
      </w:r>
      <w:r w:rsidRPr="0033317A">
        <w:rPr>
          <w:rFonts w:ascii="Times New Roman" w:hAnsi="Times New Roman"/>
        </w:rPr>
        <w:t xml:space="preserve">. As was explained in </w:t>
      </w:r>
      <w:r w:rsidRPr="0033317A">
        <w:rPr>
          <w:rFonts w:ascii="Times New Roman" w:hAnsi="Times New Roman"/>
          <w:i/>
          <w:iCs/>
        </w:rPr>
        <w:t>Re McJannet; Ex parte Minister for Employment, Training and Industrial Relations (Q)</w:t>
      </w:r>
      <w:r w:rsidRPr="0033317A">
        <w:rPr>
          <w:rStyle w:val="FootnoteReference"/>
          <w:rFonts w:ascii="Times New Roman" w:hAnsi="Times New Roman"/>
          <w:sz w:val="24"/>
        </w:rPr>
        <w:footnoteReference w:id="59"/>
      </w:r>
      <w:r w:rsidRPr="0033317A">
        <w:rPr>
          <w:rFonts w:ascii="Times New Roman" w:hAnsi="Times New Roman"/>
          <w:i/>
          <w:iCs/>
        </w:rPr>
        <w:t>:</w:t>
      </w:r>
    </w:p>
    <w:p w14:paraId="1A498E2F" w14:textId="77777777" w:rsidR="003C391D" w:rsidRDefault="003C391D" w:rsidP="0033317A">
      <w:pPr>
        <w:pStyle w:val="leftright"/>
        <w:spacing w:before="0" w:after="260" w:line="280" w:lineRule="exact"/>
        <w:ind w:right="0"/>
        <w:jc w:val="both"/>
        <w:rPr>
          <w:rFonts w:ascii="Times New Roman" w:hAnsi="Times New Roman"/>
        </w:rPr>
      </w:pPr>
      <w:r w:rsidRPr="0033317A">
        <w:rPr>
          <w:rFonts w:ascii="Times New Roman" w:hAnsi="Times New Roman"/>
        </w:rPr>
        <w:tab/>
        <w:t>"The matters mentioned in ss 75 and 76 identify federal jurisdiction by such characteristics as identity of parties (s 75(iii), (iv)), remedy sought (s 75(v) itself), content (interpretation of the Constitution – s 76(i)), and</w:t>
      </w:r>
      <w:r>
        <w:rPr>
          <w:rFonts w:ascii="Times New Roman" w:hAnsi="Times New Roman"/>
        </w:rPr>
        <w:t> </w:t>
      </w:r>
      <w:r w:rsidRPr="0033317A">
        <w:rPr>
          <w:rFonts w:ascii="Times New Roman" w:hAnsi="Times New Roman"/>
        </w:rPr>
        <w:t>source of the rights and liabilities which are in contention (ss 75(i), 76(ii)) ... For this litigation, the particular jurisdiction of the Federal Court invoked by the applicants had been defined by the Parliament with respect to matters arising under laws made by it (s 76(ii))."</w:t>
      </w:r>
    </w:p>
    <w:p w14:paraId="12E0566D"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 xml:space="preserve">That is also the position in this litigation. The Federal Court's jurisdiction is defined by Parliament with respect to matters arising under Commonwealth laws (s 76(ii)) in two ways. First, s 39B(1A)(c) of the </w:t>
      </w:r>
      <w:r w:rsidRPr="0033317A">
        <w:rPr>
          <w:rFonts w:ascii="Times New Roman" w:hAnsi="Times New Roman"/>
          <w:i/>
          <w:iCs/>
        </w:rPr>
        <w:t>Judiciary Act 1903</w:t>
      </w:r>
      <w:r w:rsidRPr="0033317A">
        <w:rPr>
          <w:rFonts w:ascii="Times New Roman" w:hAnsi="Times New Roman"/>
        </w:rPr>
        <w:t xml:space="preserve"> (Cth) gives</w:t>
      </w:r>
      <w:r>
        <w:rPr>
          <w:rFonts w:ascii="Times New Roman" w:hAnsi="Times New Roman"/>
        </w:rPr>
        <w:t> </w:t>
      </w:r>
      <w:r w:rsidRPr="0033317A">
        <w:rPr>
          <w:rFonts w:ascii="Times New Roman" w:hAnsi="Times New Roman"/>
        </w:rPr>
        <w:t xml:space="preserve">the Federal Court original jurisdiction in any matter arising under any laws made by </w:t>
      </w:r>
      <w:r w:rsidRPr="0033317A">
        <w:rPr>
          <w:rFonts w:ascii="Times New Roman" w:hAnsi="Times New Roman"/>
        </w:rPr>
        <w:lastRenderedPageBreak/>
        <w:t>the Parliament</w:t>
      </w:r>
      <w:r w:rsidRPr="0033317A">
        <w:rPr>
          <w:rStyle w:val="FootnoteReference"/>
          <w:rFonts w:ascii="Times New Roman" w:hAnsi="Times New Roman"/>
          <w:sz w:val="24"/>
        </w:rPr>
        <w:footnoteReference w:id="60"/>
      </w:r>
      <w:r w:rsidRPr="0033317A">
        <w:rPr>
          <w:rFonts w:ascii="Times New Roman" w:hAnsi="Times New Roman"/>
        </w:rPr>
        <w:t xml:space="preserve"> (this provision has been described as transforming the Federal Court into a court of general federal jurisdiction</w:t>
      </w:r>
      <w:r w:rsidRPr="0033317A">
        <w:rPr>
          <w:rStyle w:val="FootnoteReference"/>
          <w:rFonts w:ascii="Times New Roman" w:hAnsi="Times New Roman"/>
          <w:sz w:val="24"/>
        </w:rPr>
        <w:footnoteReference w:id="61"/>
      </w:r>
      <w:r w:rsidRPr="0033317A">
        <w:rPr>
          <w:rFonts w:ascii="Times New Roman" w:hAnsi="Times New Roman"/>
        </w:rPr>
        <w:t>). Second, provisions of</w:t>
      </w:r>
      <w:r w:rsidRPr="0033317A" w:rsidDel="004C5204">
        <w:rPr>
          <w:rFonts w:ascii="Times New Roman" w:hAnsi="Times New Roman"/>
        </w:rPr>
        <w:t xml:space="preserve"> </w:t>
      </w:r>
      <w:r w:rsidRPr="0033317A">
        <w:rPr>
          <w:rFonts w:ascii="Times New Roman" w:hAnsi="Times New Roman"/>
        </w:rPr>
        <w:t>numerous other Commonwealth statutes vest jurisdiction in the Federal Court, generally with respect to matters arising under those Acts</w:t>
      </w:r>
      <w:r w:rsidRPr="0033317A">
        <w:rPr>
          <w:rStyle w:val="FootnoteReference"/>
          <w:rFonts w:ascii="Times New Roman" w:hAnsi="Times New Roman"/>
          <w:sz w:val="24"/>
        </w:rPr>
        <w:footnoteReference w:id="62"/>
      </w:r>
      <w:r w:rsidRPr="0033317A">
        <w:rPr>
          <w:rFonts w:ascii="Times New Roman" w:hAnsi="Times New Roman"/>
        </w:rPr>
        <w:t xml:space="preserve">.  </w:t>
      </w:r>
    </w:p>
    <w:p w14:paraId="436053A9"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It is well established that a</w:t>
      </w:r>
      <w:r w:rsidRPr="0033317A">
        <w:rPr>
          <w:rFonts w:ascii="Times New Roman" w:hAnsi="Times New Roman"/>
          <w:i/>
          <w:iCs/>
        </w:rPr>
        <w:t xml:space="preserve"> </w:t>
      </w:r>
      <w:r w:rsidRPr="0033317A">
        <w:rPr>
          <w:rFonts w:ascii="Times New Roman" w:hAnsi="Times New Roman"/>
        </w:rPr>
        <w:t xml:space="preserve">"matter" under the </w:t>
      </w:r>
      <w:r w:rsidRPr="0033317A">
        <w:rPr>
          <w:rFonts w:ascii="Times New Roman" w:hAnsi="Times New Roman"/>
          <w:i/>
          <w:iCs/>
        </w:rPr>
        <w:t xml:space="preserve">Constitution </w:t>
      </w:r>
      <w:r w:rsidRPr="0033317A">
        <w:rPr>
          <w:rFonts w:ascii="Times New Roman" w:hAnsi="Times New Roman"/>
        </w:rPr>
        <w:t>does not mean a legal proceeding between parties or a bare description of a subject matter that falls within a head of federal legislative power</w:t>
      </w:r>
      <w:r w:rsidRPr="0033317A">
        <w:rPr>
          <w:rStyle w:val="FootnoteReference"/>
          <w:rFonts w:ascii="Times New Roman" w:hAnsi="Times New Roman"/>
          <w:sz w:val="24"/>
        </w:rPr>
        <w:footnoteReference w:id="63"/>
      </w:r>
      <w:r w:rsidRPr="0033317A">
        <w:rPr>
          <w:rFonts w:ascii="Times New Roman" w:hAnsi="Times New Roman"/>
        </w:rPr>
        <w:t>. The concept is far broader – it is a justiciable controversy identifiable independently of the proceeding brought for its determination and encompassing all claims made within the scope of the controversy</w:t>
      </w:r>
      <w:r w:rsidRPr="0033317A">
        <w:rPr>
          <w:rStyle w:val="FootnoteReference"/>
          <w:rFonts w:ascii="Times New Roman" w:hAnsi="Times New Roman"/>
          <w:sz w:val="24"/>
        </w:rPr>
        <w:footnoteReference w:id="64"/>
      </w:r>
      <w:r w:rsidRPr="0033317A">
        <w:rPr>
          <w:rFonts w:ascii="Times New Roman" w:hAnsi="Times New Roman"/>
        </w:rPr>
        <w:t>. The word "matters" is of "such generality that it necessarily takes its content from the categories of matter which fall within federal jurisdiction and from the concept of 'judicial power'"</w:t>
      </w:r>
      <w:r w:rsidRPr="0033317A">
        <w:rPr>
          <w:rStyle w:val="FootnoteReference"/>
          <w:rFonts w:ascii="Times New Roman" w:hAnsi="Times New Roman"/>
          <w:sz w:val="24"/>
        </w:rPr>
        <w:footnoteReference w:id="65"/>
      </w:r>
      <w:r w:rsidRPr="0033317A">
        <w:rPr>
          <w:rFonts w:ascii="Times New Roman" w:hAnsi="Times New Roman"/>
        </w:rPr>
        <w:t xml:space="preserve">. In sum, for there to be a matter in the Federal Court: the Court must have been given jurisdiction with respect to it under s 77(i) of the </w:t>
      </w:r>
      <w:r w:rsidRPr="0033317A">
        <w:rPr>
          <w:rFonts w:ascii="Times New Roman" w:hAnsi="Times New Roman"/>
          <w:i/>
          <w:iCs/>
        </w:rPr>
        <w:t>Constitution</w:t>
      </w:r>
      <w:r w:rsidRPr="0033317A">
        <w:rPr>
          <w:rFonts w:ascii="Times New Roman" w:hAnsi="Times New Roman"/>
        </w:rPr>
        <w:t>;</w:t>
      </w:r>
      <w:r w:rsidRPr="0033317A">
        <w:rPr>
          <w:rFonts w:ascii="Times New Roman" w:hAnsi="Times New Roman"/>
          <w:i/>
          <w:iCs/>
        </w:rPr>
        <w:t xml:space="preserve"> </w:t>
      </w:r>
      <w:r w:rsidRPr="0033317A">
        <w:rPr>
          <w:rFonts w:ascii="Times New Roman" w:hAnsi="Times New Roman"/>
        </w:rPr>
        <w:t>there must generally be an immediate right, duty or liability to be established by the determination of the Court</w:t>
      </w:r>
      <w:r w:rsidRPr="0033317A">
        <w:rPr>
          <w:rStyle w:val="FootnoteReference"/>
          <w:rFonts w:ascii="Times New Roman" w:hAnsi="Times New Roman"/>
          <w:sz w:val="24"/>
        </w:rPr>
        <w:footnoteReference w:id="66"/>
      </w:r>
      <w:r w:rsidRPr="0033317A">
        <w:rPr>
          <w:rFonts w:ascii="Times New Roman" w:hAnsi="Times New Roman"/>
        </w:rPr>
        <w:t xml:space="preserve">; the party instituting the proceeding must have the appropriate standing or interest to have the dispute </w:t>
      </w:r>
      <w:r w:rsidRPr="0033317A">
        <w:rPr>
          <w:rFonts w:ascii="Times New Roman" w:hAnsi="Times New Roman"/>
        </w:rPr>
        <w:lastRenderedPageBreak/>
        <w:t>resolved</w:t>
      </w:r>
      <w:r w:rsidRPr="0033317A">
        <w:rPr>
          <w:rStyle w:val="FootnoteReference"/>
          <w:rFonts w:ascii="Times New Roman" w:hAnsi="Times New Roman"/>
          <w:sz w:val="24"/>
        </w:rPr>
        <w:footnoteReference w:id="67"/>
      </w:r>
      <w:r w:rsidRPr="0033317A">
        <w:rPr>
          <w:rFonts w:ascii="Times New Roman" w:hAnsi="Times New Roman"/>
        </w:rPr>
        <w:t>; and the controversy must be capable of being determined by exercise of judicial power and "in accordance with the independently existing substantive law"</w:t>
      </w:r>
      <w:r w:rsidRPr="0033317A">
        <w:rPr>
          <w:rStyle w:val="FootnoteReference"/>
          <w:rFonts w:ascii="Times New Roman" w:hAnsi="Times New Roman"/>
          <w:sz w:val="24"/>
        </w:rPr>
        <w:footnoteReference w:id="68"/>
      </w:r>
      <w:r w:rsidRPr="0033317A">
        <w:rPr>
          <w:rFonts w:ascii="Times New Roman" w:hAnsi="Times New Roman"/>
        </w:rPr>
        <w:t>.</w:t>
      </w:r>
    </w:p>
    <w:p w14:paraId="61765FD9"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 xml:space="preserve">In addition to jurisdiction with respect to subject matter, and the territorial area over which that subject matter may extend, the Federal Court must also have </w:t>
      </w:r>
      <w:r w:rsidRPr="0033317A">
        <w:rPr>
          <w:rFonts w:ascii="Times New Roman" w:hAnsi="Times New Roman"/>
          <w:bCs/>
        </w:rPr>
        <w:t>personal jurisdiction</w:t>
      </w:r>
      <w:r w:rsidRPr="0033317A">
        <w:rPr>
          <w:rFonts w:ascii="Times New Roman" w:hAnsi="Times New Roman"/>
        </w:rPr>
        <w:t>, or authority to hear and determine a personal action</w:t>
      </w:r>
      <w:r w:rsidRPr="0033317A">
        <w:rPr>
          <w:rStyle w:val="FootnoteReference"/>
          <w:rFonts w:ascii="Times New Roman" w:hAnsi="Times New Roman"/>
          <w:sz w:val="24"/>
        </w:rPr>
        <w:footnoteReference w:id="69"/>
      </w:r>
      <w:r w:rsidRPr="0033317A">
        <w:rPr>
          <w:rFonts w:ascii="Times New Roman" w:hAnsi="Times New Roman"/>
        </w:rPr>
        <w:t>. That</w:t>
      </w:r>
      <w:r>
        <w:rPr>
          <w:rFonts w:ascii="Times New Roman" w:hAnsi="Times New Roman"/>
        </w:rPr>
        <w:t> </w:t>
      </w:r>
      <w:r w:rsidRPr="0033317A">
        <w:rPr>
          <w:rFonts w:ascii="Times New Roman" w:hAnsi="Times New Roman"/>
        </w:rPr>
        <w:t>authority stems from the amenability of the respondent to the Court's process</w:t>
      </w:r>
      <w:r w:rsidRPr="0033317A">
        <w:rPr>
          <w:rStyle w:val="FootnoteReference"/>
          <w:rFonts w:ascii="Times New Roman" w:hAnsi="Times New Roman"/>
          <w:sz w:val="24"/>
        </w:rPr>
        <w:footnoteReference w:id="70"/>
      </w:r>
      <w:r w:rsidRPr="0033317A">
        <w:rPr>
          <w:rFonts w:ascii="Times New Roman" w:hAnsi="Times New Roman"/>
        </w:rPr>
        <w:t>. The Court's personal jurisdiction is established by valid service on the respondent within the territory, the respondent's voluntary submission to the jurisdiction or, in some circumstances, valid service on the respondent outside the territory</w:t>
      </w:r>
      <w:r w:rsidRPr="0033317A">
        <w:rPr>
          <w:rStyle w:val="FootnoteReference"/>
          <w:rFonts w:ascii="Times New Roman" w:hAnsi="Times New Roman"/>
          <w:sz w:val="24"/>
        </w:rPr>
        <w:footnoteReference w:id="71"/>
      </w:r>
      <w:r w:rsidRPr="0033317A">
        <w:rPr>
          <w:rFonts w:ascii="Times New Roman" w:hAnsi="Times New Roman"/>
        </w:rPr>
        <w:t>. This appeal is not concerned with the geographic dimension of the Federal Court's jurisdiction ("over which territory does the authority to exercise power extend?")</w:t>
      </w:r>
      <w:r w:rsidRPr="0033317A">
        <w:rPr>
          <w:rStyle w:val="FootnoteReference"/>
          <w:rFonts w:ascii="Times New Roman" w:hAnsi="Times New Roman"/>
          <w:sz w:val="24"/>
        </w:rPr>
        <w:footnoteReference w:id="72"/>
      </w:r>
      <w:r w:rsidRPr="0033317A">
        <w:rPr>
          <w:rFonts w:ascii="Times New Roman" w:hAnsi="Times New Roman"/>
        </w:rPr>
        <w:t xml:space="preserve">. </w:t>
      </w:r>
    </w:p>
    <w:p w14:paraId="1547DF6D"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r>
      <w:bookmarkStart w:id="0" w:name="_Ref111543853"/>
      <w:r w:rsidRPr="0033317A">
        <w:rPr>
          <w:rFonts w:ascii="Times New Roman" w:hAnsi="Times New Roman"/>
        </w:rPr>
        <w:t xml:space="preserve">Part IVA of the </w:t>
      </w:r>
      <w:r w:rsidRPr="0033317A">
        <w:rPr>
          <w:rFonts w:ascii="Times New Roman" w:hAnsi="Times New Roman"/>
          <w:i/>
          <w:iCs/>
        </w:rPr>
        <w:t xml:space="preserve">Federal Court of Australia Act </w:t>
      </w:r>
      <w:r w:rsidRPr="0033317A">
        <w:rPr>
          <w:rFonts w:ascii="Times New Roman" w:hAnsi="Times New Roman"/>
        </w:rPr>
        <w:t>operates within the scheme of the whole of that Act and the Acts which vest the Federal Court with jurisdiction</w:t>
      </w:r>
      <w:r w:rsidRPr="0033317A">
        <w:rPr>
          <w:rFonts w:ascii="Times New Roman" w:hAnsi="Times New Roman"/>
          <w:i/>
          <w:iCs/>
        </w:rPr>
        <w:t xml:space="preserve">. </w:t>
      </w:r>
      <w:r w:rsidRPr="0033317A">
        <w:rPr>
          <w:rFonts w:ascii="Times New Roman" w:hAnsi="Times New Roman"/>
        </w:rPr>
        <w:t xml:space="preserve">Part IVA permits a person or persons to commence a representative proceeding in the Federal Court on behalf of group members where certain statutory criteria are met. Section 33C(1) is the foundational provision, setting out the criteria: seven or more </w:t>
      </w:r>
      <w:r w:rsidRPr="0033317A">
        <w:rPr>
          <w:rFonts w:ascii="Times New Roman" w:hAnsi="Times New Roman"/>
          <w:i/>
          <w:iCs/>
        </w:rPr>
        <w:t>persons</w:t>
      </w:r>
      <w:r w:rsidRPr="0033317A">
        <w:rPr>
          <w:rFonts w:ascii="Times New Roman" w:hAnsi="Times New Roman"/>
        </w:rPr>
        <w:t xml:space="preserve"> must each have claims against the same </w:t>
      </w:r>
      <w:r w:rsidRPr="0033317A">
        <w:rPr>
          <w:rFonts w:ascii="Times New Roman" w:hAnsi="Times New Roman"/>
          <w:i/>
          <w:iCs/>
        </w:rPr>
        <w:t>person</w:t>
      </w:r>
      <w:r w:rsidRPr="0033317A">
        <w:rPr>
          <w:rFonts w:ascii="Times New Roman" w:hAnsi="Times New Roman"/>
        </w:rPr>
        <w:t xml:space="preserve"> that are in respect of or arise out of the same, similar or related circumstances, and</w:t>
      </w:r>
      <w:r>
        <w:rPr>
          <w:rFonts w:ascii="Times New Roman" w:hAnsi="Times New Roman"/>
        </w:rPr>
        <w:t> </w:t>
      </w:r>
      <w:r w:rsidRPr="0033317A">
        <w:rPr>
          <w:rFonts w:ascii="Times New Roman" w:hAnsi="Times New Roman"/>
        </w:rPr>
        <w:t xml:space="preserve">the claims of all seven or more of </w:t>
      </w:r>
      <w:r w:rsidRPr="0033317A">
        <w:rPr>
          <w:rFonts w:ascii="Times New Roman" w:hAnsi="Times New Roman"/>
          <w:i/>
          <w:iCs/>
        </w:rPr>
        <w:t>those</w:t>
      </w:r>
      <w:r w:rsidRPr="0033317A">
        <w:rPr>
          <w:rFonts w:ascii="Times New Roman" w:hAnsi="Times New Roman"/>
        </w:rPr>
        <w:t xml:space="preserve"> </w:t>
      </w:r>
      <w:r w:rsidRPr="0033317A">
        <w:rPr>
          <w:rFonts w:ascii="Times New Roman" w:hAnsi="Times New Roman"/>
          <w:i/>
          <w:iCs/>
        </w:rPr>
        <w:t xml:space="preserve">persons </w:t>
      </w:r>
      <w:r w:rsidRPr="0033317A">
        <w:rPr>
          <w:rFonts w:ascii="Times New Roman" w:hAnsi="Times New Roman"/>
        </w:rPr>
        <w:t xml:space="preserve">must give rise to a substantial common issue of law or fact. Where those criteria are satisfied, "a proceeding may </w:t>
      </w:r>
      <w:r w:rsidRPr="0033317A">
        <w:rPr>
          <w:rFonts w:ascii="Times New Roman" w:hAnsi="Times New Roman"/>
        </w:rPr>
        <w:lastRenderedPageBreak/>
        <w:t xml:space="preserve">be commenced by </w:t>
      </w:r>
      <w:r w:rsidRPr="0033317A">
        <w:rPr>
          <w:rFonts w:ascii="Times New Roman" w:hAnsi="Times New Roman"/>
          <w:i/>
          <w:iCs/>
        </w:rPr>
        <w:t>one or more of</w:t>
      </w:r>
      <w:r w:rsidRPr="0033317A">
        <w:rPr>
          <w:rFonts w:ascii="Times New Roman" w:hAnsi="Times New Roman"/>
        </w:rPr>
        <w:t xml:space="preserve"> </w:t>
      </w:r>
      <w:r w:rsidRPr="0033317A">
        <w:rPr>
          <w:rFonts w:ascii="Times New Roman" w:hAnsi="Times New Roman"/>
          <w:i/>
          <w:iCs/>
        </w:rPr>
        <w:t>those persons</w:t>
      </w:r>
      <w:r w:rsidRPr="0033317A">
        <w:rPr>
          <w:rFonts w:ascii="Times New Roman" w:hAnsi="Times New Roman"/>
        </w:rPr>
        <w:t xml:space="preserve"> as representing some or all of them"</w:t>
      </w:r>
      <w:r w:rsidRPr="0033317A">
        <w:rPr>
          <w:rStyle w:val="FootnoteReference"/>
          <w:rFonts w:ascii="Times New Roman" w:hAnsi="Times New Roman"/>
          <w:sz w:val="24"/>
        </w:rPr>
        <w:footnoteReference w:id="73"/>
      </w:r>
      <w:r w:rsidRPr="0033317A">
        <w:rPr>
          <w:rFonts w:ascii="Times New Roman" w:hAnsi="Times New Roman"/>
        </w:rPr>
        <w:t>. It will be necessary to return to this aspect of s 33C(1).</w:t>
      </w:r>
      <w:bookmarkEnd w:id="0"/>
    </w:p>
    <w:p w14:paraId="0153190A"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Other provisions of the Part set out various notice requirements, create an opt out process for group members, provide for matters relating to determination, settlement and discontinuance of proceedings, and confer on the Court broad discretionary powers to manage the running of a representative proceeding or order that the proceeding no longer continue as a representative proceeding. Section</w:t>
      </w:r>
      <w:r>
        <w:rPr>
          <w:rFonts w:ascii="Times New Roman" w:hAnsi="Times New Roman"/>
        </w:rPr>
        <w:t> </w:t>
      </w:r>
      <w:r w:rsidRPr="0033317A">
        <w:rPr>
          <w:rFonts w:ascii="Times New Roman" w:hAnsi="Times New Roman"/>
        </w:rPr>
        <w:t xml:space="preserve">33ZB sets out the effect of judgment: a judgment given in a representative proceeding binds all such group members who are identified by the Court to be affected by it, except for those group members who have opted out of the proceeding. </w:t>
      </w:r>
    </w:p>
    <w:p w14:paraId="6BF45033"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 xml:space="preserve">Four points should be made. First, like the other Parts of the </w:t>
      </w:r>
      <w:r w:rsidRPr="0033317A">
        <w:rPr>
          <w:rFonts w:ascii="Times New Roman" w:hAnsi="Times New Roman"/>
          <w:i/>
          <w:iCs/>
        </w:rPr>
        <w:t>Federal Court of Australia Act</w:t>
      </w:r>
      <w:r w:rsidRPr="0033317A">
        <w:rPr>
          <w:rFonts w:ascii="Times New Roman" w:hAnsi="Times New Roman"/>
        </w:rPr>
        <w:t xml:space="preserve"> (which should be read as a harmonious whole</w:t>
      </w:r>
      <w:r w:rsidRPr="0033317A">
        <w:rPr>
          <w:rStyle w:val="FootnoteReference"/>
          <w:rFonts w:ascii="Times New Roman" w:hAnsi="Times New Roman"/>
          <w:sz w:val="24"/>
        </w:rPr>
        <w:footnoteReference w:id="74"/>
      </w:r>
      <w:r w:rsidRPr="0033317A">
        <w:rPr>
          <w:rFonts w:ascii="Times New Roman" w:hAnsi="Times New Roman"/>
        </w:rPr>
        <w:t>), Pt IVA is procedural, not substantive</w:t>
      </w:r>
      <w:r w:rsidRPr="0033317A">
        <w:rPr>
          <w:rStyle w:val="FootnoteReference"/>
          <w:rFonts w:ascii="Times New Roman" w:hAnsi="Times New Roman"/>
          <w:sz w:val="24"/>
        </w:rPr>
        <w:footnoteReference w:id="75"/>
      </w:r>
      <w:r w:rsidRPr="0033317A">
        <w:rPr>
          <w:rFonts w:ascii="Times New Roman" w:hAnsi="Times New Roman"/>
        </w:rPr>
        <w:t xml:space="preserve">. As unanimously held by this Court in </w:t>
      </w:r>
      <w:r w:rsidRPr="0033317A">
        <w:rPr>
          <w:rFonts w:ascii="Times New Roman" w:hAnsi="Times New Roman"/>
          <w:i/>
        </w:rPr>
        <w:t>Wong v Silkfield Pty Ltd</w:t>
      </w:r>
      <w:r w:rsidRPr="0033317A">
        <w:rPr>
          <w:rFonts w:ascii="Times New Roman" w:hAnsi="Times New Roman"/>
        </w:rPr>
        <w:t>, "Part IVA creates new procedures and confers upon the Federal Court new powers in relation to the exercise of jurisdiction with which it has been invested by another law made by the Parliament"</w:t>
      </w:r>
      <w:r w:rsidRPr="0033317A">
        <w:rPr>
          <w:rStyle w:val="FootnoteReference"/>
          <w:rFonts w:ascii="Times New Roman" w:hAnsi="Times New Roman"/>
          <w:sz w:val="24"/>
        </w:rPr>
        <w:footnoteReference w:id="76"/>
      </w:r>
      <w:r w:rsidRPr="0033317A">
        <w:rPr>
          <w:rFonts w:ascii="Times New Roman" w:hAnsi="Times New Roman"/>
        </w:rPr>
        <w:t>. As has just been explained, the</w:t>
      </w:r>
      <w:r>
        <w:rPr>
          <w:rFonts w:ascii="Times New Roman" w:hAnsi="Times New Roman"/>
        </w:rPr>
        <w:t> </w:t>
      </w:r>
      <w:r w:rsidRPr="0033317A">
        <w:rPr>
          <w:rFonts w:ascii="Times New Roman" w:hAnsi="Times New Roman"/>
          <w:i/>
          <w:iCs/>
        </w:rPr>
        <w:t>Federal Court of Australia Act</w:t>
      </w:r>
      <w:r w:rsidRPr="0033317A">
        <w:rPr>
          <w:rFonts w:ascii="Times New Roman" w:hAnsi="Times New Roman"/>
        </w:rPr>
        <w:t xml:space="preserve"> does not confer jurisdiction on the Federal Court – that jurisdiction is found in other statutes passed by Parliament.</w:t>
      </w:r>
    </w:p>
    <w:p w14:paraId="16B59DE1"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Second, the </w:t>
      </w:r>
      <w:r w:rsidRPr="0033317A">
        <w:rPr>
          <w:rFonts w:ascii="Times New Roman" w:hAnsi="Times New Roman"/>
          <w:i/>
          <w:iCs/>
        </w:rPr>
        <w:t>Federal Court of Australia Act</w:t>
      </w:r>
      <w:r w:rsidRPr="0033317A">
        <w:rPr>
          <w:rFonts w:ascii="Times New Roman" w:hAnsi="Times New Roman"/>
        </w:rPr>
        <w:t xml:space="preserve"> distinguishes between a "matter" and the claim or claims that are properly brought forward by the parties to the matter</w:t>
      </w:r>
      <w:r w:rsidRPr="0033317A">
        <w:rPr>
          <w:rStyle w:val="FootnoteReference"/>
          <w:rFonts w:ascii="Times New Roman" w:hAnsi="Times New Roman"/>
          <w:sz w:val="24"/>
        </w:rPr>
        <w:footnoteReference w:id="77"/>
      </w:r>
      <w:r w:rsidRPr="0033317A">
        <w:rPr>
          <w:rFonts w:ascii="Times New Roman" w:hAnsi="Times New Roman"/>
        </w:rPr>
        <w:t xml:space="preserve">. All group members must have "claims" under s 33C of the </w:t>
      </w:r>
      <w:r w:rsidRPr="0033317A">
        <w:rPr>
          <w:rFonts w:ascii="Times New Roman" w:hAnsi="Times New Roman"/>
          <w:i/>
        </w:rPr>
        <w:t>Federal Court of Australia Act</w:t>
      </w:r>
      <w:r w:rsidRPr="0033317A">
        <w:rPr>
          <w:rFonts w:ascii="Times New Roman" w:hAnsi="Times New Roman"/>
        </w:rPr>
        <w:t>. Such claims are an integral part of the "matter" in respect of which the Federal Court has jurisdiction</w:t>
      </w:r>
      <w:r w:rsidRPr="0033317A">
        <w:rPr>
          <w:rStyle w:val="FootnoteReference"/>
          <w:rFonts w:ascii="Times New Roman" w:hAnsi="Times New Roman"/>
          <w:sz w:val="24"/>
        </w:rPr>
        <w:footnoteReference w:id="78"/>
      </w:r>
      <w:r w:rsidRPr="0033317A">
        <w:rPr>
          <w:rFonts w:ascii="Times New Roman" w:hAnsi="Times New Roman"/>
        </w:rPr>
        <w:t xml:space="preserve">. Put in different terms, the "claims" to which s 33C refers have an existence prior to and separately from the </w:t>
      </w:r>
      <w:r w:rsidRPr="0033317A">
        <w:rPr>
          <w:rFonts w:ascii="Times New Roman" w:hAnsi="Times New Roman"/>
        </w:rPr>
        <w:lastRenderedPageBreak/>
        <w:t>commencement of the class action</w:t>
      </w:r>
      <w:r w:rsidRPr="0033317A">
        <w:rPr>
          <w:rStyle w:val="FootnoteReference"/>
          <w:rFonts w:ascii="Times New Roman" w:hAnsi="Times New Roman"/>
          <w:sz w:val="24"/>
        </w:rPr>
        <w:footnoteReference w:id="79"/>
      </w:r>
      <w:r w:rsidRPr="0033317A">
        <w:rPr>
          <w:rFonts w:ascii="Times New Roman" w:hAnsi="Times New Roman"/>
        </w:rPr>
        <w:t xml:space="preserve"> and encompass the facts and circumstances which are said to give rise to the action and the legal rights that are asserted as the basis for the action</w:t>
      </w:r>
      <w:r w:rsidRPr="0033317A">
        <w:rPr>
          <w:rStyle w:val="FootnoteReference"/>
          <w:rFonts w:ascii="Times New Roman" w:hAnsi="Times New Roman"/>
          <w:sz w:val="24"/>
        </w:rPr>
        <w:footnoteReference w:id="80"/>
      </w:r>
      <w:r w:rsidRPr="0033317A">
        <w:rPr>
          <w:rFonts w:ascii="Times New Roman" w:hAnsi="Times New Roman"/>
        </w:rPr>
        <w:t>.</w:t>
      </w:r>
    </w:p>
    <w:p w14:paraId="50768E97"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 xml:space="preserve">As Murphy and Colvin JJ stated in </w:t>
      </w:r>
      <w:r w:rsidRPr="0033317A">
        <w:rPr>
          <w:rFonts w:ascii="Times New Roman" w:hAnsi="Times New Roman"/>
          <w:i/>
          <w:iCs/>
        </w:rPr>
        <w:t>Dyczynski v Gibson</w:t>
      </w:r>
      <w:r w:rsidRPr="0033317A">
        <w:rPr>
          <w:rStyle w:val="FootnoteReference"/>
          <w:rFonts w:ascii="Times New Roman" w:hAnsi="Times New Roman"/>
          <w:sz w:val="24"/>
        </w:rPr>
        <w:footnoteReference w:id="81"/>
      </w:r>
      <w:r w:rsidRPr="0033317A">
        <w:rPr>
          <w:rFonts w:ascii="Times New Roman" w:hAnsi="Times New Roman"/>
          <w:i/>
          <w:iCs/>
        </w:rPr>
        <w:t>:</w:t>
      </w:r>
    </w:p>
    <w:p w14:paraId="6F490621" w14:textId="77777777" w:rsidR="003C391D" w:rsidRDefault="003C391D" w:rsidP="0033317A">
      <w:pPr>
        <w:pStyle w:val="leftright"/>
        <w:spacing w:before="0" w:after="260" w:line="280" w:lineRule="exact"/>
        <w:ind w:right="0"/>
        <w:jc w:val="both"/>
        <w:rPr>
          <w:rFonts w:ascii="Times New Roman" w:hAnsi="Times New Roman"/>
        </w:rPr>
      </w:pPr>
      <w:r w:rsidRPr="0033317A">
        <w:rPr>
          <w:rFonts w:ascii="Times New Roman" w:hAnsi="Times New Roman"/>
        </w:rPr>
        <w:t xml:space="preserve">"[T]o say that a class member has a 'claim' is not to say that the person has a right or entitlement to relief; but rather that there exists facts, circumstances and legal rights anterior to and independent of the class action, which </w:t>
      </w:r>
      <w:r w:rsidRPr="0033317A">
        <w:rPr>
          <w:rFonts w:ascii="Times New Roman" w:hAnsi="Times New Roman"/>
          <w:i/>
          <w:iCs/>
        </w:rPr>
        <w:t>may</w:t>
      </w:r>
      <w:r w:rsidRPr="0033317A">
        <w:rPr>
          <w:rFonts w:ascii="Times New Roman" w:hAnsi="Times New Roman"/>
        </w:rPr>
        <w:t xml:space="preserve"> ground a right or entitlement to relief when that person's claim is ultimately heard and determined by the Court".</w:t>
      </w:r>
    </w:p>
    <w:p w14:paraId="5F7D0092" w14:textId="77777777" w:rsidR="003C391D" w:rsidRPr="0033317A" w:rsidRDefault="003C391D" w:rsidP="0033317A">
      <w:pPr>
        <w:pStyle w:val="NormalBody"/>
        <w:spacing w:after="260" w:line="280" w:lineRule="exact"/>
        <w:ind w:right="0"/>
        <w:jc w:val="both"/>
        <w:rPr>
          <w:rFonts w:ascii="Times New Roman" w:hAnsi="Times New Roman"/>
        </w:rPr>
      </w:pPr>
      <w:r w:rsidRPr="0033317A">
        <w:rPr>
          <w:rFonts w:ascii="Times New Roman" w:hAnsi="Times New Roman"/>
        </w:rPr>
        <w:t xml:space="preserve">In short, Pt IVA does not create the justiciable issue between the respondent and the group members; the "matter" and the claims that make it up necessarily exist independently of the representative proceeding. Part IVA is a procedural mechanism that allows for the grouping of existing claims. </w:t>
      </w:r>
      <w:r w:rsidRPr="0033317A" w:rsidDel="008D4B03">
        <w:rPr>
          <w:rFonts w:ascii="Times New Roman" w:hAnsi="Times New Roman"/>
        </w:rPr>
        <w:t xml:space="preserve"> </w:t>
      </w:r>
    </w:p>
    <w:p w14:paraId="598BC01F"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Third, while it can be accepted that, without Pt IVA (or an equivalent provision for representative proceedings), the Federal Court could not bindingly adjudicate the claims of the non-party group members unless those persons brought their own proceedings or fell within an established procedure such as one deriving from the procedures of the Court of Chancery</w:t>
      </w:r>
      <w:r w:rsidRPr="0033317A">
        <w:rPr>
          <w:rStyle w:val="FootnoteReference"/>
          <w:rFonts w:ascii="Times New Roman" w:hAnsi="Times New Roman"/>
          <w:sz w:val="24"/>
        </w:rPr>
        <w:footnoteReference w:id="82"/>
      </w:r>
      <w:r w:rsidRPr="0033317A">
        <w:rPr>
          <w:rFonts w:ascii="Times New Roman" w:hAnsi="Times New Roman"/>
        </w:rPr>
        <w:t>, the Court does not need to separately establish personal jurisdiction over the group members in representative proceedings</w:t>
      </w:r>
      <w:r w:rsidRPr="0033317A">
        <w:rPr>
          <w:rStyle w:val="FootnoteReference"/>
          <w:rFonts w:ascii="Times New Roman" w:hAnsi="Times New Roman"/>
          <w:sz w:val="24"/>
        </w:rPr>
        <w:footnoteReference w:id="83"/>
      </w:r>
      <w:r w:rsidRPr="0033317A">
        <w:rPr>
          <w:rFonts w:ascii="Times New Roman" w:hAnsi="Times New Roman"/>
        </w:rPr>
        <w:t xml:space="preserve">. What matters is that the Court has personal jurisdiction over the respondent. As this Court explained in </w:t>
      </w:r>
      <w:r w:rsidRPr="0033317A">
        <w:rPr>
          <w:rFonts w:ascii="Times New Roman" w:hAnsi="Times New Roman"/>
          <w:i/>
          <w:iCs/>
        </w:rPr>
        <w:t>Mobil Oil Australia Pty Ltd v Victoria</w:t>
      </w:r>
      <w:r w:rsidRPr="0033317A">
        <w:rPr>
          <w:rStyle w:val="FootnoteReference"/>
          <w:rFonts w:ascii="Times New Roman" w:hAnsi="Times New Roman"/>
          <w:sz w:val="24"/>
        </w:rPr>
        <w:footnoteReference w:id="84"/>
      </w:r>
      <w:r w:rsidRPr="0033317A">
        <w:rPr>
          <w:rFonts w:ascii="Times New Roman" w:hAnsi="Times New Roman"/>
        </w:rPr>
        <w:t xml:space="preserve">, to accept the proposition that a court's authority should be confined only to those group members who voluntarily invoke the jurisdiction or are connected with the geographic jurisdiction "would require a radical departure </w:t>
      </w:r>
      <w:r w:rsidRPr="0033317A">
        <w:rPr>
          <w:rFonts w:ascii="Times New Roman" w:hAnsi="Times New Roman"/>
        </w:rPr>
        <w:lastRenderedPageBreak/>
        <w:t>from the hitherto accepted understanding of the basis upon which State and federal courts exercise authority to decide personal actions. That authority stems from the amenability of the [respondent] to the court's process"</w:t>
      </w:r>
      <w:r w:rsidRPr="0033317A">
        <w:rPr>
          <w:rStyle w:val="FootnoteReference"/>
          <w:rFonts w:ascii="Times New Roman" w:hAnsi="Times New Roman"/>
          <w:sz w:val="24"/>
        </w:rPr>
        <w:footnoteReference w:id="85"/>
      </w:r>
      <w:r w:rsidRPr="0033317A">
        <w:rPr>
          <w:rFonts w:ascii="Times New Roman" w:hAnsi="Times New Roman"/>
        </w:rPr>
        <w:t xml:space="preserve">. Part IVA was enacted with the knowledge that personal jurisdiction is dependent on the amenability of the respondent to the jurisdiction, not the presence in the territory of persons on whose behalf the proceeding is being advanced. As with the Victorian class action regime under consideration in </w:t>
      </w:r>
      <w:r w:rsidRPr="0033317A">
        <w:rPr>
          <w:rFonts w:ascii="Times New Roman" w:hAnsi="Times New Roman"/>
          <w:i/>
          <w:iCs/>
        </w:rPr>
        <w:t xml:space="preserve">Mobil Oil, </w:t>
      </w:r>
      <w:r w:rsidRPr="0033317A">
        <w:rPr>
          <w:rFonts w:ascii="Times New Roman" w:hAnsi="Times New Roman"/>
        </w:rPr>
        <w:t xml:space="preserve">the bases upon which the </w:t>
      </w:r>
      <w:r w:rsidRPr="0033317A" w:rsidDel="00020A15">
        <w:rPr>
          <w:rFonts w:ascii="Times New Roman" w:hAnsi="Times New Roman"/>
        </w:rPr>
        <w:t xml:space="preserve">Federal </w:t>
      </w:r>
      <w:r w:rsidRPr="0033317A">
        <w:rPr>
          <w:rFonts w:ascii="Times New Roman" w:hAnsi="Times New Roman"/>
        </w:rPr>
        <w:t>Court can assume jurisdiction over a respondent in a personal action were "untouched" by the provisions made for representative proceedings in Pt IVA</w:t>
      </w:r>
      <w:r w:rsidRPr="0033317A">
        <w:rPr>
          <w:rStyle w:val="FootnoteReference"/>
          <w:rFonts w:ascii="Times New Roman" w:hAnsi="Times New Roman"/>
          <w:sz w:val="24"/>
        </w:rPr>
        <w:footnoteReference w:id="86"/>
      </w:r>
      <w:r w:rsidRPr="0033317A">
        <w:rPr>
          <w:rFonts w:ascii="Times New Roman" w:hAnsi="Times New Roman"/>
        </w:rPr>
        <w:t xml:space="preserve">. </w:t>
      </w:r>
    </w:p>
    <w:p w14:paraId="6156525B"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bCs/>
        </w:rPr>
        <w:tab/>
        <w:t>Fourth</w:t>
      </w:r>
      <w:r w:rsidRPr="0033317A">
        <w:rPr>
          <w:rFonts w:ascii="Times New Roman" w:hAnsi="Times New Roman"/>
        </w:rPr>
        <w:t>, Pt IVA provides for a process that enables unwilling group members to opt out of the proceeding</w:t>
      </w:r>
      <w:r w:rsidRPr="0033317A">
        <w:rPr>
          <w:rStyle w:val="FootnoteReference"/>
          <w:rFonts w:ascii="Times New Roman" w:hAnsi="Times New Roman"/>
          <w:sz w:val="24"/>
        </w:rPr>
        <w:footnoteReference w:id="87"/>
      </w:r>
      <w:r w:rsidRPr="0033317A">
        <w:rPr>
          <w:rFonts w:ascii="Times New Roman" w:hAnsi="Times New Roman"/>
        </w:rPr>
        <w:t>. Parliament did not, when enacting Pt IVA, alter the bases of the jurisdiction of the Federal Court. Instead, Parliament chose the opt out provisions</w:t>
      </w:r>
      <w:r w:rsidRPr="0033317A">
        <w:rPr>
          <w:rStyle w:val="FootnoteReference"/>
          <w:rFonts w:ascii="Times New Roman" w:hAnsi="Times New Roman"/>
          <w:sz w:val="24"/>
        </w:rPr>
        <w:footnoteReference w:id="88"/>
      </w:r>
      <w:r w:rsidRPr="0033317A">
        <w:rPr>
          <w:rFonts w:ascii="Times New Roman" w:hAnsi="Times New Roman"/>
        </w:rPr>
        <w:t xml:space="preserve"> as the statutory mechanism to ensure that persons are not made subject to the Court's jurisdiction (or bound by a judgment given in a representative proceeding) if they are unwilling to participate</w:t>
      </w:r>
      <w:r w:rsidRPr="0033317A">
        <w:rPr>
          <w:rStyle w:val="FootnoteReference"/>
          <w:rFonts w:ascii="Times New Roman" w:hAnsi="Times New Roman"/>
          <w:sz w:val="24"/>
        </w:rPr>
        <w:footnoteReference w:id="89"/>
      </w:r>
      <w:r w:rsidRPr="0033317A">
        <w:rPr>
          <w:rFonts w:ascii="Times New Roman" w:hAnsi="Times New Roman"/>
        </w:rPr>
        <w:t>. The integrity of Pt IVA "depends upon group members having the right to opt out"</w:t>
      </w:r>
      <w:r w:rsidRPr="0033317A">
        <w:rPr>
          <w:rStyle w:val="FootnoteReference"/>
          <w:rFonts w:ascii="Times New Roman" w:hAnsi="Times New Roman"/>
          <w:sz w:val="24"/>
        </w:rPr>
        <w:footnoteReference w:id="90"/>
      </w:r>
      <w:r w:rsidRPr="0033317A">
        <w:rPr>
          <w:rFonts w:ascii="Times New Roman" w:hAnsi="Times New Roman"/>
        </w:rPr>
        <w:t xml:space="preserve">. The opt out mechanism has a central place in the scheme: the hearing of a representative proceeding must </w:t>
      </w:r>
      <w:r w:rsidRPr="0033317A">
        <w:rPr>
          <w:rFonts w:ascii="Times New Roman" w:hAnsi="Times New Roman"/>
          <w:i/>
          <w:iCs/>
        </w:rPr>
        <w:t xml:space="preserve">not, </w:t>
      </w:r>
      <w:r w:rsidRPr="0033317A">
        <w:rPr>
          <w:rFonts w:ascii="Times New Roman" w:hAnsi="Times New Roman"/>
        </w:rPr>
        <w:t>except with the leave of the Court, commence earlier than the date before which a group member may opt out of the proceeding</w:t>
      </w:r>
      <w:r w:rsidRPr="0033317A">
        <w:rPr>
          <w:rStyle w:val="FootnoteReference"/>
          <w:rFonts w:ascii="Times New Roman" w:hAnsi="Times New Roman"/>
          <w:sz w:val="24"/>
        </w:rPr>
        <w:footnoteReference w:id="91"/>
      </w:r>
      <w:r w:rsidRPr="0033317A">
        <w:rPr>
          <w:rFonts w:ascii="Times New Roman" w:hAnsi="Times New Roman"/>
        </w:rPr>
        <w:t>. The Court has a power to order notices at any stage</w:t>
      </w:r>
      <w:r w:rsidRPr="0033317A">
        <w:rPr>
          <w:rStyle w:val="FootnoteReference"/>
          <w:rFonts w:ascii="Times New Roman" w:hAnsi="Times New Roman"/>
          <w:sz w:val="24"/>
        </w:rPr>
        <w:footnoteReference w:id="92"/>
      </w:r>
      <w:r w:rsidRPr="0033317A">
        <w:rPr>
          <w:rFonts w:ascii="Times New Roman" w:hAnsi="Times New Roman"/>
        </w:rPr>
        <w:t xml:space="preserve">, and certain notices are mandatory, </w:t>
      </w:r>
      <w:r w:rsidRPr="0033317A">
        <w:rPr>
          <w:rFonts w:ascii="Times New Roman" w:hAnsi="Times New Roman"/>
        </w:rPr>
        <w:lastRenderedPageBreak/>
        <w:t>including the notice of group members' right to opt out before a specified date that is prior to the hearing of the representative proceeding</w:t>
      </w:r>
      <w:r w:rsidRPr="0033317A">
        <w:rPr>
          <w:rStyle w:val="FootnoteReference"/>
          <w:rFonts w:ascii="Times New Roman" w:hAnsi="Times New Roman"/>
          <w:sz w:val="24"/>
        </w:rPr>
        <w:footnoteReference w:id="93"/>
      </w:r>
      <w:r w:rsidRPr="0033317A">
        <w:rPr>
          <w:rFonts w:ascii="Times New Roman" w:hAnsi="Times New Roman"/>
        </w:rPr>
        <w:t>. Although "the reality is that ... notice[s] may not have come to the attention of, or been fully appreciated by, all group members"</w:t>
      </w:r>
      <w:r w:rsidRPr="0033317A">
        <w:rPr>
          <w:rStyle w:val="FootnoteReference"/>
          <w:rFonts w:ascii="Times New Roman" w:hAnsi="Times New Roman"/>
          <w:sz w:val="24"/>
        </w:rPr>
        <w:footnoteReference w:id="94"/>
      </w:r>
      <w:r w:rsidRPr="0033317A">
        <w:rPr>
          <w:rFonts w:ascii="Times New Roman" w:hAnsi="Times New Roman"/>
        </w:rPr>
        <w:t>, the Court is given flexible powers to ensure that notice is reasonably likely to come to the person's attention</w:t>
      </w:r>
      <w:r w:rsidRPr="0033317A">
        <w:rPr>
          <w:rStyle w:val="FootnoteReference"/>
          <w:rFonts w:ascii="Times New Roman" w:hAnsi="Times New Roman"/>
          <w:sz w:val="24"/>
        </w:rPr>
        <w:footnoteReference w:id="95"/>
      </w:r>
      <w:r w:rsidRPr="0033317A">
        <w:rPr>
          <w:rFonts w:ascii="Times New Roman" w:hAnsi="Times New Roman"/>
        </w:rPr>
        <w:t xml:space="preserve"> and to protect the integrity of the opt out process (for example, by ensuring that public representations made during the opt out period are not misleading)</w:t>
      </w:r>
      <w:r w:rsidRPr="0033317A">
        <w:rPr>
          <w:rStyle w:val="FootnoteReference"/>
          <w:rFonts w:ascii="Times New Roman" w:hAnsi="Times New Roman"/>
          <w:sz w:val="24"/>
        </w:rPr>
        <w:footnoteReference w:id="96"/>
      </w:r>
      <w:r w:rsidRPr="0033317A">
        <w:rPr>
          <w:rFonts w:ascii="Times New Roman" w:hAnsi="Times New Roman"/>
        </w:rPr>
        <w:t xml:space="preserve">.  </w:t>
      </w:r>
    </w:p>
    <w:p w14:paraId="47A258E1" w14:textId="77777777" w:rsidR="003C391D" w:rsidRPr="0033317A" w:rsidRDefault="003C391D" w:rsidP="0033317A">
      <w:pPr>
        <w:pStyle w:val="HeadingL1"/>
        <w:spacing w:after="260" w:line="280" w:lineRule="exact"/>
        <w:ind w:right="0"/>
        <w:jc w:val="both"/>
        <w:rPr>
          <w:rFonts w:ascii="Times New Roman" w:hAnsi="Times New Roman"/>
        </w:rPr>
      </w:pPr>
      <w:r w:rsidRPr="0033317A">
        <w:rPr>
          <w:rFonts w:ascii="Times New Roman" w:hAnsi="Times New Roman"/>
        </w:rPr>
        <w:t>Statutory construction and the "presumption" against extraterritoriality</w:t>
      </w:r>
    </w:p>
    <w:p w14:paraId="3A389830"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In statutes</w:t>
      </w:r>
      <w:r w:rsidRPr="0033317A">
        <w:rPr>
          <w:rStyle w:val="FootnoteReference"/>
          <w:rFonts w:ascii="Times New Roman" w:hAnsi="Times New Roman"/>
          <w:sz w:val="24"/>
        </w:rPr>
        <w:footnoteReference w:id="97"/>
      </w:r>
      <w:r w:rsidRPr="0033317A">
        <w:rPr>
          <w:rFonts w:ascii="Times New Roman" w:hAnsi="Times New Roman"/>
        </w:rPr>
        <w:t xml:space="preserve">, like the </w:t>
      </w:r>
      <w:r w:rsidRPr="0033317A">
        <w:rPr>
          <w:rFonts w:ascii="Times New Roman" w:hAnsi="Times New Roman"/>
          <w:i/>
          <w:iCs/>
        </w:rPr>
        <w:t>Federal Court of Australia Act</w:t>
      </w:r>
      <w:r w:rsidRPr="0033317A">
        <w:rPr>
          <w:rFonts w:ascii="Times New Roman" w:hAnsi="Times New Roman"/>
        </w:rPr>
        <w:t xml:space="preserve">, where there is no express provision relevantly addressing the territorial reach of the subject matter of the statute, the task is to identify the </w:t>
      </w:r>
      <w:r w:rsidRPr="0033317A">
        <w:rPr>
          <w:rFonts w:ascii="Times New Roman" w:hAnsi="Times New Roman"/>
          <w:i/>
          <w:iCs/>
        </w:rPr>
        <w:t>hinge</w:t>
      </w:r>
      <w:r w:rsidRPr="0033317A">
        <w:rPr>
          <w:rStyle w:val="FootnoteReference"/>
          <w:rFonts w:ascii="Times New Roman" w:hAnsi="Times New Roman"/>
          <w:sz w:val="24"/>
        </w:rPr>
        <w:footnoteReference w:id="98"/>
      </w:r>
      <w:r w:rsidRPr="0033317A">
        <w:rPr>
          <w:rFonts w:ascii="Times New Roman" w:hAnsi="Times New Roman"/>
        </w:rPr>
        <w:t xml:space="preserve"> (also referred to as the </w:t>
      </w:r>
      <w:r w:rsidRPr="0033317A">
        <w:rPr>
          <w:rFonts w:ascii="Times New Roman" w:hAnsi="Times New Roman"/>
          <w:i/>
          <w:iCs/>
        </w:rPr>
        <w:t>statutory springboard</w:t>
      </w:r>
      <w:r w:rsidRPr="0033317A">
        <w:rPr>
          <w:rStyle w:val="FootnoteReference"/>
          <w:rFonts w:ascii="Times New Roman" w:hAnsi="Times New Roman"/>
          <w:sz w:val="24"/>
        </w:rPr>
        <w:footnoteReference w:id="99"/>
      </w:r>
      <w:r w:rsidRPr="0033317A">
        <w:rPr>
          <w:rFonts w:ascii="Times New Roman" w:hAnsi="Times New Roman"/>
        </w:rPr>
        <w:t>,</w:t>
      </w:r>
      <w:r w:rsidRPr="0033317A">
        <w:rPr>
          <w:rFonts w:ascii="Times New Roman" w:hAnsi="Times New Roman"/>
          <w:i/>
          <w:iCs/>
        </w:rPr>
        <w:t xml:space="preserve"> general subject matter</w:t>
      </w:r>
      <w:r w:rsidRPr="0033317A">
        <w:rPr>
          <w:rStyle w:val="FootnoteReference"/>
          <w:rFonts w:ascii="Times New Roman" w:hAnsi="Times New Roman"/>
          <w:sz w:val="24"/>
        </w:rPr>
        <w:footnoteReference w:id="100"/>
      </w:r>
      <w:r w:rsidRPr="0033317A">
        <w:rPr>
          <w:rFonts w:ascii="Times New Roman" w:hAnsi="Times New Roman"/>
        </w:rPr>
        <w:t xml:space="preserve">, </w:t>
      </w:r>
      <w:r w:rsidRPr="0033317A">
        <w:rPr>
          <w:rFonts w:ascii="Times New Roman" w:hAnsi="Times New Roman"/>
          <w:i/>
          <w:iCs/>
        </w:rPr>
        <w:t>object of legislative concern</w:t>
      </w:r>
      <w:r w:rsidRPr="0033317A">
        <w:rPr>
          <w:rStyle w:val="FootnoteReference"/>
          <w:rFonts w:ascii="Times New Roman" w:hAnsi="Times New Roman"/>
          <w:sz w:val="24"/>
        </w:rPr>
        <w:footnoteReference w:id="101"/>
      </w:r>
      <w:r w:rsidRPr="0033317A">
        <w:rPr>
          <w:rFonts w:ascii="Times New Roman" w:hAnsi="Times New Roman"/>
        </w:rPr>
        <w:t xml:space="preserve">, </w:t>
      </w:r>
      <w:r w:rsidRPr="0033317A">
        <w:rPr>
          <w:rFonts w:ascii="Times New Roman" w:hAnsi="Times New Roman"/>
          <w:i/>
          <w:iCs/>
        </w:rPr>
        <w:lastRenderedPageBreak/>
        <w:t>central</w:t>
      </w:r>
      <w:r>
        <w:rPr>
          <w:rFonts w:ascii="Times New Roman" w:hAnsi="Times New Roman"/>
          <w:i/>
          <w:iCs/>
        </w:rPr>
        <w:t> </w:t>
      </w:r>
      <w:r w:rsidRPr="0033317A">
        <w:rPr>
          <w:rFonts w:ascii="Times New Roman" w:hAnsi="Times New Roman"/>
          <w:i/>
          <w:iCs/>
        </w:rPr>
        <w:t>conception</w:t>
      </w:r>
      <w:r w:rsidRPr="0033317A">
        <w:rPr>
          <w:rStyle w:val="FootnoteReference"/>
          <w:rFonts w:ascii="Times New Roman" w:hAnsi="Times New Roman"/>
          <w:sz w:val="24"/>
        </w:rPr>
        <w:footnoteReference w:id="102"/>
      </w:r>
      <w:r w:rsidRPr="0033317A">
        <w:rPr>
          <w:rFonts w:ascii="Times New Roman" w:hAnsi="Times New Roman"/>
        </w:rPr>
        <w:t xml:space="preserve">, </w:t>
      </w:r>
      <w:r w:rsidRPr="0033317A">
        <w:rPr>
          <w:rFonts w:ascii="Times New Roman" w:hAnsi="Times New Roman"/>
          <w:i/>
          <w:iCs/>
        </w:rPr>
        <w:t>character</w:t>
      </w:r>
      <w:r w:rsidRPr="0033317A">
        <w:rPr>
          <w:rStyle w:val="FootnoteReference"/>
          <w:rFonts w:ascii="Times New Roman" w:hAnsi="Times New Roman"/>
          <w:sz w:val="24"/>
        </w:rPr>
        <w:footnoteReference w:id="103"/>
      </w:r>
      <w:r w:rsidRPr="0033317A">
        <w:rPr>
          <w:rFonts w:ascii="Times New Roman" w:hAnsi="Times New Roman"/>
        </w:rPr>
        <w:t xml:space="preserve"> or </w:t>
      </w:r>
      <w:r w:rsidRPr="0033317A">
        <w:rPr>
          <w:rFonts w:ascii="Times New Roman" w:hAnsi="Times New Roman"/>
          <w:i/>
          <w:iCs/>
        </w:rPr>
        <w:t>central focus</w:t>
      </w:r>
      <w:r w:rsidRPr="0033317A">
        <w:rPr>
          <w:rStyle w:val="FootnoteReference"/>
          <w:rFonts w:ascii="Times New Roman" w:hAnsi="Times New Roman"/>
          <w:sz w:val="24"/>
        </w:rPr>
        <w:footnoteReference w:id="104"/>
      </w:r>
      <w:r w:rsidRPr="0033317A">
        <w:rPr>
          <w:rFonts w:ascii="Times New Roman" w:hAnsi="Times New Roman"/>
        </w:rPr>
        <w:t>) of the statute and identify its territorial connection, if any</w:t>
      </w:r>
      <w:r w:rsidRPr="0033317A" w:rsidDel="004773D5">
        <w:rPr>
          <w:rFonts w:ascii="Times New Roman" w:hAnsi="Times New Roman"/>
        </w:rPr>
        <w:t>.</w:t>
      </w:r>
      <w:r w:rsidRPr="0033317A">
        <w:rPr>
          <w:rFonts w:ascii="Times New Roman" w:hAnsi="Times New Roman"/>
        </w:rPr>
        <w:t xml:space="preserve"> The applicable provisions, read in context, may have a hinge or subject matter with a clear territorial connection</w:t>
      </w:r>
      <w:r w:rsidRPr="0033317A">
        <w:rPr>
          <w:rStyle w:val="FootnoteReference"/>
          <w:rFonts w:ascii="Times New Roman" w:hAnsi="Times New Roman"/>
          <w:sz w:val="24"/>
        </w:rPr>
        <w:footnoteReference w:id="105"/>
      </w:r>
      <w:r w:rsidRPr="0033317A">
        <w:rPr>
          <w:rFonts w:ascii="Times New Roman" w:hAnsi="Times New Roman"/>
        </w:rPr>
        <w:t>. That task – of</w:t>
      </w:r>
      <w:r>
        <w:rPr>
          <w:rFonts w:ascii="Times New Roman" w:hAnsi="Times New Roman"/>
        </w:rPr>
        <w:t> </w:t>
      </w:r>
      <w:r w:rsidRPr="0033317A">
        <w:rPr>
          <w:rFonts w:ascii="Times New Roman" w:hAnsi="Times New Roman"/>
        </w:rPr>
        <w:t xml:space="preserve">identifying the "central focus" of a statute – is purely a question of statutory construction. As Leeming JA said in </w:t>
      </w:r>
      <w:r w:rsidRPr="0033317A">
        <w:rPr>
          <w:rFonts w:ascii="Times New Roman" w:hAnsi="Times New Roman"/>
          <w:i/>
          <w:iCs/>
        </w:rPr>
        <w:t>DRJ v Commissioner of Victims Rights [No 2]</w:t>
      </w:r>
      <w:r w:rsidRPr="0033317A">
        <w:rPr>
          <w:rStyle w:val="FootnoteReference"/>
          <w:rFonts w:ascii="Times New Roman" w:hAnsi="Times New Roman"/>
          <w:sz w:val="24"/>
        </w:rPr>
        <w:footnoteReference w:id="106"/>
      </w:r>
      <w:r w:rsidRPr="0033317A">
        <w:rPr>
          <w:rFonts w:ascii="Times New Roman" w:hAnsi="Times New Roman"/>
        </w:rPr>
        <w:t>, the hinge or central focus is identified "as a matter of construction, based</w:t>
      </w:r>
      <w:r>
        <w:rPr>
          <w:rFonts w:ascii="Times New Roman" w:hAnsi="Times New Roman"/>
        </w:rPr>
        <w:t> </w:t>
      </w:r>
      <w:r w:rsidRPr="0033317A">
        <w:rPr>
          <w:rFonts w:ascii="Times New Roman" w:hAnsi="Times New Roman"/>
        </w:rPr>
        <w:t>on subject matter and scope, and with a regard to internal indications and to avoiding improbable and absurd outcomes. It will be relevant to have regard to the purpose of the statute, the likelihood that the statutory purpose will be evaded if made to depend upon something readily altered at the instance of the parties, and</w:t>
      </w:r>
      <w:r>
        <w:rPr>
          <w:rFonts w:ascii="Times New Roman" w:hAnsi="Times New Roman"/>
        </w:rPr>
        <w:t> </w:t>
      </w:r>
      <w:r w:rsidRPr="0033317A">
        <w:rPr>
          <w:rFonts w:ascii="Times New Roman" w:hAnsi="Times New Roman"/>
        </w:rPr>
        <w:t xml:space="preserve">the need to avoid an unduly restrictive approach whereby more than one factum is required to bear a connection".  </w:t>
      </w:r>
    </w:p>
    <w:p w14:paraId="28334B38"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That approach to construction has been applied in a variety of contexts, including: where statutes modified or voided contractual rights and obligations (</w:t>
      </w:r>
      <w:r w:rsidRPr="0033317A">
        <w:rPr>
          <w:rFonts w:ascii="Times New Roman" w:hAnsi="Times New Roman"/>
          <w:i/>
          <w:iCs/>
        </w:rPr>
        <w:t>Barcelo v Electrolytic Zinc Co of Australasia Ltd</w:t>
      </w:r>
      <w:r w:rsidRPr="0033317A">
        <w:rPr>
          <w:rStyle w:val="FootnoteReference"/>
          <w:rFonts w:ascii="Times New Roman" w:hAnsi="Times New Roman"/>
          <w:sz w:val="24"/>
        </w:rPr>
        <w:footnoteReference w:id="107"/>
      </w:r>
      <w:r w:rsidRPr="0033317A">
        <w:rPr>
          <w:rFonts w:ascii="Times New Roman" w:hAnsi="Times New Roman"/>
          <w:i/>
          <w:iCs/>
        </w:rPr>
        <w:t>, Wanganui-Rangitikei Electric Power Board v Australian Mutual Provident Society</w:t>
      </w:r>
      <w:r w:rsidRPr="0033317A">
        <w:rPr>
          <w:rStyle w:val="FootnoteReference"/>
          <w:rFonts w:ascii="Times New Roman" w:hAnsi="Times New Roman"/>
          <w:sz w:val="24"/>
        </w:rPr>
        <w:footnoteReference w:id="108"/>
      </w:r>
      <w:r w:rsidRPr="0033317A">
        <w:rPr>
          <w:rFonts w:ascii="Times New Roman" w:hAnsi="Times New Roman"/>
          <w:i/>
          <w:iCs/>
        </w:rPr>
        <w:t xml:space="preserve"> </w:t>
      </w:r>
      <w:r w:rsidRPr="0033317A">
        <w:rPr>
          <w:rFonts w:ascii="Times New Roman" w:hAnsi="Times New Roman"/>
        </w:rPr>
        <w:t xml:space="preserve">and </w:t>
      </w:r>
      <w:r w:rsidRPr="0033317A">
        <w:rPr>
          <w:rFonts w:ascii="Times New Roman" w:hAnsi="Times New Roman"/>
          <w:i/>
        </w:rPr>
        <w:t>Kay's Leasing Corporation Pty Ltd v Fletcher</w:t>
      </w:r>
      <w:r w:rsidRPr="0033317A">
        <w:rPr>
          <w:rStyle w:val="FootnoteReference"/>
          <w:rFonts w:ascii="Times New Roman" w:hAnsi="Times New Roman"/>
          <w:sz w:val="24"/>
        </w:rPr>
        <w:footnoteReference w:id="109"/>
      </w:r>
      <w:r w:rsidRPr="0033317A">
        <w:rPr>
          <w:rFonts w:ascii="Times New Roman" w:hAnsi="Times New Roman"/>
        </w:rPr>
        <w:t>); where a statute was concerned with liability for negligence in relation to the supply of recreational services (</w:t>
      </w:r>
      <w:r w:rsidRPr="0033317A">
        <w:rPr>
          <w:rFonts w:ascii="Times New Roman" w:hAnsi="Times New Roman"/>
          <w:i/>
          <w:iCs/>
        </w:rPr>
        <w:t>Insight Vacations Pty Ltd v Young</w:t>
      </w:r>
      <w:r w:rsidRPr="0033317A">
        <w:rPr>
          <w:rStyle w:val="FootnoteReference"/>
          <w:rFonts w:ascii="Times New Roman" w:hAnsi="Times New Roman"/>
          <w:sz w:val="24"/>
        </w:rPr>
        <w:footnoteReference w:id="110"/>
      </w:r>
      <w:r w:rsidRPr="0033317A">
        <w:rPr>
          <w:rFonts w:ascii="Times New Roman" w:hAnsi="Times New Roman"/>
        </w:rPr>
        <w:t xml:space="preserve">); where statutes provided for compensation in relation to </w:t>
      </w:r>
      <w:r w:rsidRPr="0033317A">
        <w:rPr>
          <w:rFonts w:ascii="Times New Roman" w:hAnsi="Times New Roman"/>
        </w:rPr>
        <w:lastRenderedPageBreak/>
        <w:t>accidents or acts of violence (</w:t>
      </w:r>
      <w:r w:rsidRPr="0033317A">
        <w:rPr>
          <w:rFonts w:ascii="Times New Roman" w:hAnsi="Times New Roman"/>
          <w:i/>
        </w:rPr>
        <w:t>Mynott v Barnard</w:t>
      </w:r>
      <w:r w:rsidRPr="0033317A">
        <w:rPr>
          <w:rStyle w:val="FootnoteReference"/>
          <w:rFonts w:ascii="Times New Roman" w:hAnsi="Times New Roman"/>
          <w:iCs/>
          <w:sz w:val="24"/>
        </w:rPr>
        <w:footnoteReference w:id="111"/>
      </w:r>
      <w:r w:rsidRPr="0033317A">
        <w:rPr>
          <w:rFonts w:ascii="Times New Roman" w:hAnsi="Times New Roman"/>
        </w:rPr>
        <w:t xml:space="preserve"> and </w:t>
      </w:r>
      <w:r w:rsidRPr="0033317A">
        <w:rPr>
          <w:rFonts w:ascii="Times New Roman" w:hAnsi="Times New Roman"/>
          <w:i/>
        </w:rPr>
        <w:t>DRJ</w:t>
      </w:r>
      <w:r w:rsidRPr="0033317A">
        <w:rPr>
          <w:rStyle w:val="FootnoteReference"/>
          <w:rFonts w:ascii="Times New Roman" w:hAnsi="Times New Roman"/>
          <w:sz w:val="24"/>
        </w:rPr>
        <w:footnoteReference w:id="112"/>
      </w:r>
      <w:r w:rsidRPr="0033317A">
        <w:rPr>
          <w:rFonts w:ascii="Times New Roman" w:hAnsi="Times New Roman"/>
          <w:i/>
        </w:rPr>
        <w:t xml:space="preserve"> </w:t>
      </w:r>
      <w:r w:rsidRPr="0033317A">
        <w:rPr>
          <w:rFonts w:ascii="Times New Roman" w:hAnsi="Times New Roman"/>
          <w:iCs/>
        </w:rPr>
        <w:t>respectively</w:t>
      </w:r>
      <w:r w:rsidRPr="0033317A">
        <w:rPr>
          <w:rFonts w:ascii="Times New Roman" w:hAnsi="Times New Roman"/>
        </w:rPr>
        <w:t>); and where statutes were concerned with the performance of work within an industry (</w:t>
      </w:r>
      <w:r w:rsidRPr="0033317A">
        <w:rPr>
          <w:rFonts w:ascii="Times New Roman" w:hAnsi="Times New Roman"/>
          <w:i/>
        </w:rPr>
        <w:t>Old UGC Inc v Industrial Relations Commission (NSW)</w:t>
      </w:r>
      <w:r w:rsidRPr="0033317A">
        <w:rPr>
          <w:rStyle w:val="FootnoteReference"/>
          <w:rFonts w:ascii="Times New Roman" w:hAnsi="Times New Roman"/>
          <w:sz w:val="24"/>
        </w:rPr>
        <w:footnoteReference w:id="113"/>
      </w:r>
      <w:r w:rsidRPr="0033317A">
        <w:rPr>
          <w:rFonts w:ascii="Times New Roman" w:hAnsi="Times New Roman"/>
          <w:iCs/>
        </w:rPr>
        <w:t>)</w:t>
      </w:r>
      <w:r w:rsidRPr="0033317A">
        <w:rPr>
          <w:rFonts w:ascii="Times New Roman" w:hAnsi="Times New Roman"/>
          <w:i/>
        </w:rPr>
        <w:t xml:space="preserve"> </w:t>
      </w:r>
      <w:r w:rsidRPr="0033317A">
        <w:rPr>
          <w:rFonts w:ascii="Times New Roman" w:hAnsi="Times New Roman"/>
        </w:rPr>
        <w:t>or for a continuous period of time with one employer (</w:t>
      </w:r>
      <w:r w:rsidRPr="0033317A">
        <w:rPr>
          <w:rFonts w:ascii="Times New Roman" w:hAnsi="Times New Roman"/>
          <w:i/>
        </w:rPr>
        <w:t>Infosys Technologies Ltd v Victoria</w:t>
      </w:r>
      <w:r w:rsidRPr="0033317A">
        <w:rPr>
          <w:rStyle w:val="FootnoteReference"/>
          <w:rFonts w:ascii="Times New Roman" w:hAnsi="Times New Roman"/>
          <w:sz w:val="24"/>
        </w:rPr>
        <w:footnoteReference w:id="114"/>
      </w:r>
      <w:r w:rsidRPr="0033317A">
        <w:rPr>
          <w:rFonts w:ascii="Times New Roman" w:hAnsi="Times New Roman"/>
          <w:iCs/>
        </w:rPr>
        <w:t>)</w:t>
      </w:r>
      <w:r w:rsidRPr="0033317A">
        <w:rPr>
          <w:rFonts w:ascii="Times New Roman" w:hAnsi="Times New Roman"/>
        </w:rPr>
        <w:t xml:space="preserve">. </w:t>
      </w:r>
    </w:p>
    <w:p w14:paraId="52D97EC1"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Only after identifying the hinge of the provisions and revealing the territorial connection (if any) of the subject matter, does the question of the application of the common law presumption against extraterritoriality arise</w:t>
      </w:r>
      <w:r w:rsidRPr="0033317A">
        <w:rPr>
          <w:rStyle w:val="FootnoteReference"/>
          <w:rFonts w:ascii="Times New Roman" w:hAnsi="Times New Roman"/>
          <w:sz w:val="24"/>
        </w:rPr>
        <w:footnoteReference w:id="115"/>
      </w:r>
      <w:r w:rsidRPr="0033317A">
        <w:rPr>
          <w:rFonts w:ascii="Times New Roman" w:hAnsi="Times New Roman"/>
        </w:rPr>
        <w:t>. The</w:t>
      </w:r>
      <w:r>
        <w:rPr>
          <w:rFonts w:ascii="Times New Roman" w:hAnsi="Times New Roman"/>
        </w:rPr>
        <w:t> </w:t>
      </w:r>
      <w:r w:rsidRPr="0033317A">
        <w:rPr>
          <w:rFonts w:ascii="Times New Roman" w:hAnsi="Times New Roman"/>
        </w:rPr>
        <w:t>so-called "presumption" is an interpretive principle whose force depends upon the extent to which the hinge of the provisions departs from common expectations that Parliament's concern with the subject matter is limited to matters within its territory. Put another way, the general common law presumption of territoriality – that an enactment describing acts, events, matters or things in general words, so</w:t>
      </w:r>
      <w:r>
        <w:rPr>
          <w:rFonts w:ascii="Times New Roman" w:hAnsi="Times New Roman"/>
        </w:rPr>
        <w:t> </w:t>
      </w:r>
      <w:r w:rsidRPr="0033317A">
        <w:rPr>
          <w:rFonts w:ascii="Times New Roman" w:hAnsi="Times New Roman"/>
        </w:rPr>
        <w:t>that, if constrained by no consideration lying outside its expressed meaning, its</w:t>
      </w:r>
      <w:r>
        <w:rPr>
          <w:rFonts w:ascii="Times New Roman" w:hAnsi="Times New Roman"/>
        </w:rPr>
        <w:t> </w:t>
      </w:r>
      <w:r w:rsidRPr="0033317A">
        <w:rPr>
          <w:rFonts w:ascii="Times New Roman" w:hAnsi="Times New Roman"/>
        </w:rPr>
        <w:t>application would be universal, should not be understood as extending extraterritorially</w:t>
      </w:r>
      <w:r w:rsidRPr="0033317A">
        <w:rPr>
          <w:rStyle w:val="FootnoteReference"/>
          <w:rFonts w:ascii="Times New Roman" w:hAnsi="Times New Roman"/>
          <w:sz w:val="24"/>
        </w:rPr>
        <w:footnoteReference w:id="116"/>
      </w:r>
      <w:r w:rsidRPr="0033317A">
        <w:rPr>
          <w:rFonts w:ascii="Times New Roman" w:hAnsi="Times New Roman"/>
        </w:rPr>
        <w:t xml:space="preserve"> – is a rule of construction only and "it may have little or no place where some other restriction is supplied by context or subject matter [of the statute in issue]"</w:t>
      </w:r>
      <w:r w:rsidRPr="0033317A">
        <w:rPr>
          <w:rStyle w:val="FootnoteReference"/>
          <w:rFonts w:ascii="Times New Roman" w:hAnsi="Times New Roman"/>
          <w:sz w:val="24"/>
        </w:rPr>
        <w:footnoteReference w:id="117"/>
      </w:r>
      <w:r w:rsidRPr="0033317A">
        <w:rPr>
          <w:rFonts w:ascii="Times New Roman" w:hAnsi="Times New Roman"/>
        </w:rPr>
        <w:t xml:space="preserve">. Whether a restriction is supplied by the context or the nature of the subject matter is a question of statutory construction which necessarily precedes the application of the presumption. </w:t>
      </w:r>
    </w:p>
    <w:p w14:paraId="7CE0A307"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This Court has never taken a uniform or mechanistic approach to applying the presumption</w:t>
      </w:r>
      <w:r w:rsidRPr="0033317A">
        <w:rPr>
          <w:rStyle w:val="FootnoteReference"/>
          <w:rFonts w:ascii="Times New Roman" w:hAnsi="Times New Roman"/>
          <w:sz w:val="24"/>
        </w:rPr>
        <w:footnoteReference w:id="118"/>
      </w:r>
      <w:r w:rsidRPr="0033317A">
        <w:rPr>
          <w:rFonts w:ascii="Times New Roman" w:hAnsi="Times New Roman"/>
        </w:rPr>
        <w:t xml:space="preserve">. Where the hinge or the central focus of the subject matter is identified and it does not have a clear territorial connection (that is, it appears to be at large), the presumption will generally require that the hinge be construed as </w:t>
      </w:r>
      <w:r w:rsidRPr="0033317A">
        <w:rPr>
          <w:rFonts w:ascii="Times New Roman" w:hAnsi="Times New Roman"/>
        </w:rPr>
        <w:lastRenderedPageBreak/>
        <w:t>territorially limited, subject to a contrary intention</w:t>
      </w:r>
      <w:r w:rsidRPr="0033317A">
        <w:rPr>
          <w:rStyle w:val="FootnoteReference"/>
          <w:rFonts w:ascii="Times New Roman" w:hAnsi="Times New Roman"/>
          <w:sz w:val="24"/>
        </w:rPr>
        <w:footnoteReference w:id="119"/>
      </w:r>
      <w:r w:rsidRPr="0033317A">
        <w:rPr>
          <w:rFonts w:ascii="Times New Roman" w:hAnsi="Times New Roman"/>
        </w:rPr>
        <w:t>. Where the central focus of the subject matter of the statute, on its proper construction, has a territorial connection, it will ordinarily be unnecessary to look for further territorial restrictions</w:t>
      </w:r>
      <w:r w:rsidRPr="0033317A">
        <w:rPr>
          <w:rStyle w:val="FootnoteReference"/>
          <w:rFonts w:ascii="Times New Roman" w:hAnsi="Times New Roman"/>
          <w:sz w:val="24"/>
        </w:rPr>
        <w:footnoteReference w:id="120"/>
      </w:r>
      <w:r w:rsidRPr="0033317A">
        <w:rPr>
          <w:rFonts w:ascii="Times New Roman" w:hAnsi="Times New Roman"/>
        </w:rPr>
        <w:t xml:space="preserve">. The presumption has never been understood such that it needed to be applied to all elements or words in a statute. </w:t>
      </w:r>
    </w:p>
    <w:p w14:paraId="50DB397B"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 xml:space="preserve">Section 21(1)(b) of the </w:t>
      </w:r>
      <w:r w:rsidRPr="0033317A">
        <w:rPr>
          <w:rFonts w:ascii="Times New Roman" w:hAnsi="Times New Roman"/>
          <w:i/>
          <w:iCs/>
        </w:rPr>
        <w:t xml:space="preserve">Acts Interpretation Act 1901 </w:t>
      </w:r>
      <w:r w:rsidRPr="0033317A">
        <w:rPr>
          <w:rFonts w:ascii="Times New Roman" w:hAnsi="Times New Roman"/>
        </w:rPr>
        <w:t>(Cth) does not compel a different approach or give rise to a different conclusion</w:t>
      </w:r>
      <w:r w:rsidRPr="0033317A">
        <w:rPr>
          <w:rStyle w:val="FootnoteReference"/>
          <w:rFonts w:ascii="Times New Roman" w:hAnsi="Times New Roman"/>
          <w:sz w:val="24"/>
        </w:rPr>
        <w:footnoteReference w:id="121"/>
      </w:r>
      <w:r w:rsidRPr="0033317A">
        <w:rPr>
          <w:rFonts w:ascii="Times New Roman" w:hAnsi="Times New Roman"/>
        </w:rPr>
        <w:t>. Section 21(1)(b) provides that "[i]n any Act ... references to localities jurisdictions and other matters and things shall be construed as references to such localities jurisdictions and other matters and things in and of the Commonwealth"</w:t>
      </w:r>
      <w:r w:rsidRPr="0033317A">
        <w:rPr>
          <w:rStyle w:val="FootnoteReference"/>
          <w:rFonts w:ascii="Times New Roman" w:hAnsi="Times New Roman"/>
          <w:sz w:val="24"/>
        </w:rPr>
        <w:footnoteReference w:id="122"/>
      </w:r>
      <w:r w:rsidRPr="0033317A">
        <w:rPr>
          <w:rFonts w:ascii="Times New Roman" w:hAnsi="Times New Roman"/>
        </w:rPr>
        <w:t>. Section 21(1)(b) does not answer the question: what is the matter or thing which should be construed, subject</w:t>
      </w:r>
      <w:r>
        <w:rPr>
          <w:rFonts w:ascii="Times New Roman" w:hAnsi="Times New Roman"/>
        </w:rPr>
        <w:t> </w:t>
      </w:r>
      <w:r w:rsidRPr="0033317A">
        <w:rPr>
          <w:rFonts w:ascii="Times New Roman" w:hAnsi="Times New Roman"/>
        </w:rPr>
        <w:t xml:space="preserve">to contrary intent, as "in and of" the Commonwealth? And, as this Court said in </w:t>
      </w:r>
      <w:r w:rsidRPr="0033317A">
        <w:rPr>
          <w:rFonts w:ascii="Times New Roman" w:hAnsi="Times New Roman"/>
          <w:i/>
          <w:iCs/>
        </w:rPr>
        <w:t>Insight Vacations</w:t>
      </w:r>
      <w:r w:rsidRPr="0033317A">
        <w:rPr>
          <w:rStyle w:val="FootnoteReference"/>
          <w:rFonts w:ascii="Times New Roman" w:hAnsi="Times New Roman"/>
          <w:sz w:val="24"/>
        </w:rPr>
        <w:footnoteReference w:id="123"/>
      </w:r>
      <w:r w:rsidRPr="0033317A">
        <w:rPr>
          <w:rFonts w:ascii="Times New Roman" w:hAnsi="Times New Roman"/>
        </w:rPr>
        <w:t xml:space="preserve">, "the question of geographical limitation arises regardless of the engagement of a provision such as" s 21(1)(b) of the </w:t>
      </w:r>
      <w:r w:rsidRPr="0033317A">
        <w:rPr>
          <w:rFonts w:ascii="Times New Roman" w:hAnsi="Times New Roman"/>
          <w:i/>
          <w:iCs/>
        </w:rPr>
        <w:t>Acts Interpretation Act</w:t>
      </w:r>
      <w:r w:rsidRPr="0033317A">
        <w:rPr>
          <w:rFonts w:ascii="Times New Roman" w:hAnsi="Times New Roman"/>
        </w:rPr>
        <w:t>. The common law rules of statutory construction, including</w:t>
      </w:r>
      <w:r>
        <w:rPr>
          <w:rFonts w:ascii="Times New Roman" w:hAnsi="Times New Roman"/>
        </w:rPr>
        <w:t> </w:t>
      </w:r>
      <w:r w:rsidRPr="0033317A">
        <w:rPr>
          <w:rFonts w:ascii="Times New Roman" w:hAnsi="Times New Roman"/>
        </w:rPr>
        <w:t>those relating to the "presumption" against extraterritoriality, step in to assist in identifying the territorial restriction</w:t>
      </w:r>
      <w:r w:rsidRPr="0033317A">
        <w:rPr>
          <w:rStyle w:val="FootnoteReference"/>
          <w:rFonts w:ascii="Times New Roman" w:hAnsi="Times New Roman"/>
          <w:sz w:val="24"/>
        </w:rPr>
        <w:footnoteReference w:id="124"/>
      </w:r>
      <w:r w:rsidRPr="0033317A">
        <w:rPr>
          <w:rFonts w:ascii="Times New Roman" w:hAnsi="Times New Roman"/>
        </w:rPr>
        <w:t>. Where the statute is in general terms, and where s 21(1)(b) applies, the approach to construction of the statute and the conclusion are necessarily the same.</w:t>
      </w:r>
    </w:p>
    <w:p w14:paraId="0538F9EE" w14:textId="77777777" w:rsidR="003C391D" w:rsidRPr="0033317A" w:rsidRDefault="003C391D" w:rsidP="0033317A">
      <w:pPr>
        <w:pStyle w:val="HeadingL1"/>
        <w:spacing w:after="260" w:line="280" w:lineRule="exact"/>
        <w:ind w:right="0"/>
        <w:jc w:val="both"/>
        <w:rPr>
          <w:rFonts w:ascii="Times New Roman" w:hAnsi="Times New Roman"/>
        </w:rPr>
      </w:pPr>
      <w:r w:rsidRPr="0033317A">
        <w:rPr>
          <w:rFonts w:ascii="Times New Roman" w:hAnsi="Times New Roman"/>
        </w:rPr>
        <w:lastRenderedPageBreak/>
        <w:t xml:space="preserve">The hinge or central focus of the subject matter of Pt IVA of the </w:t>
      </w:r>
      <w:r w:rsidRPr="0033317A">
        <w:rPr>
          <w:rFonts w:ascii="Times New Roman" w:hAnsi="Times New Roman"/>
          <w:i/>
          <w:iCs/>
        </w:rPr>
        <w:t>Federal Court of Australia Act</w:t>
      </w:r>
    </w:p>
    <w:p w14:paraId="75D8D58E"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 xml:space="preserve">As has been observed, the sole issue is the proper construction of Pt IVA: can group members in representative proceedings include non-residents of Australia? </w:t>
      </w:r>
    </w:p>
    <w:p w14:paraId="1A85AE56"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r>
      <w:bookmarkStart w:id="2" w:name="_Ref111479537"/>
      <w:r w:rsidRPr="0033317A">
        <w:rPr>
          <w:rFonts w:ascii="Times New Roman" w:hAnsi="Times New Roman"/>
        </w:rPr>
        <w:t>Section 33C is generally worded</w:t>
      </w:r>
      <w:r w:rsidRPr="0033317A">
        <w:rPr>
          <w:rStyle w:val="FootnoteReference"/>
          <w:rFonts w:ascii="Times New Roman" w:hAnsi="Times New Roman"/>
          <w:sz w:val="24"/>
        </w:rPr>
        <w:footnoteReference w:id="125"/>
      </w:r>
      <w:r w:rsidRPr="0033317A">
        <w:rPr>
          <w:rFonts w:ascii="Times New Roman" w:hAnsi="Times New Roman"/>
        </w:rPr>
        <w:t>. There is no express geographic or territorial restriction in s 33C or elsewhere on the identity of the "persons" who</w:t>
      </w:r>
      <w:r>
        <w:rPr>
          <w:rFonts w:ascii="Times New Roman" w:hAnsi="Times New Roman"/>
        </w:rPr>
        <w:t> </w:t>
      </w:r>
      <w:r w:rsidRPr="0033317A">
        <w:rPr>
          <w:rFonts w:ascii="Times New Roman" w:hAnsi="Times New Roman"/>
        </w:rPr>
        <w:t xml:space="preserve">can be representative applicants or group members (or indeed, respondents) in a representative proceeding. BHP's argument proceeds from the position that the statutory and common law presumption against extraterritoriality must apply so that s 33C should be read as </w:t>
      </w:r>
      <w:r w:rsidRPr="0033317A">
        <w:rPr>
          <w:rFonts w:ascii="Times New Roman" w:hAnsi="Times New Roman"/>
          <w:i/>
          <w:iCs/>
        </w:rPr>
        <w:t xml:space="preserve">not </w:t>
      </w:r>
      <w:r w:rsidRPr="0033317A">
        <w:rPr>
          <w:rFonts w:ascii="Times New Roman" w:hAnsi="Times New Roman"/>
        </w:rPr>
        <w:t>permitting non-resident group members. BHP sought to draw a distinction between representative applicants and group members in a representative proceeding on the basis that the representative applicants, but not the group members, had submitted to the jurisdiction of the Federal Court. That is the wrong starting point.</w:t>
      </w:r>
      <w:bookmarkEnd w:id="2"/>
      <w:r w:rsidRPr="0033317A">
        <w:rPr>
          <w:rFonts w:ascii="Times New Roman" w:hAnsi="Times New Roman"/>
        </w:rPr>
        <w:t xml:space="preserve"> </w:t>
      </w:r>
    </w:p>
    <w:p w14:paraId="157DD590"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 xml:space="preserve">The hinge by which the </w:t>
      </w:r>
      <w:r w:rsidRPr="0033317A">
        <w:rPr>
          <w:rFonts w:ascii="Times New Roman" w:hAnsi="Times New Roman"/>
          <w:i/>
        </w:rPr>
        <w:t xml:space="preserve">Federal Court of Australia Act </w:t>
      </w:r>
      <w:r w:rsidRPr="0033317A">
        <w:rPr>
          <w:rFonts w:ascii="Times New Roman" w:hAnsi="Times New Roman"/>
        </w:rPr>
        <w:t xml:space="preserve">operates is the powers and procedures for determining proceedings within the Court's jurisdiction. That hinge </w:t>
      </w:r>
      <w:r w:rsidRPr="0033317A" w:rsidDel="000D24F8">
        <w:rPr>
          <w:rFonts w:ascii="Times New Roman" w:hAnsi="Times New Roman"/>
        </w:rPr>
        <w:t xml:space="preserve">thus </w:t>
      </w:r>
      <w:r w:rsidRPr="0033317A">
        <w:rPr>
          <w:rFonts w:ascii="Times New Roman" w:hAnsi="Times New Roman"/>
        </w:rPr>
        <w:t>depends on s 19, which provides that the Court has such original jurisdiction as is vested in it by laws made by the Parliament. Absent those laws, the Federal Court has no jurisdiction. P</w:t>
      </w:r>
      <w:r w:rsidRPr="0033317A" w:rsidDel="00BF7F26">
        <w:rPr>
          <w:rFonts w:ascii="Times New Roman" w:hAnsi="Times New Roman"/>
        </w:rPr>
        <w:t>ar</w:t>
      </w:r>
      <w:r w:rsidRPr="0033317A">
        <w:rPr>
          <w:rFonts w:ascii="Times New Roman" w:hAnsi="Times New Roman"/>
        </w:rPr>
        <w:t>t IVA operates by allowing the grouping of "claims" where each group member has at least one claim under one of the laws which have vested jurisdiction in the Federal Court. For example, in this case, the</w:t>
      </w:r>
      <w:r>
        <w:rPr>
          <w:rFonts w:ascii="Times New Roman" w:hAnsi="Times New Roman"/>
        </w:rPr>
        <w:t> </w:t>
      </w:r>
      <w:r w:rsidRPr="0033317A">
        <w:rPr>
          <w:rFonts w:ascii="Times New Roman" w:hAnsi="Times New Roman"/>
        </w:rPr>
        <w:t>grouped claims are under the</w:t>
      </w:r>
      <w:r w:rsidRPr="0033317A">
        <w:rPr>
          <w:rFonts w:ascii="Times New Roman" w:hAnsi="Times New Roman"/>
          <w:i/>
          <w:iCs/>
        </w:rPr>
        <w:t xml:space="preserve"> Corporations Act </w:t>
      </w:r>
      <w:r w:rsidRPr="0033317A">
        <w:rPr>
          <w:rFonts w:ascii="Times New Roman" w:hAnsi="Times New Roman"/>
        </w:rPr>
        <w:t xml:space="preserve">and the </w:t>
      </w:r>
      <w:r w:rsidRPr="0033317A">
        <w:rPr>
          <w:rFonts w:ascii="Times New Roman" w:hAnsi="Times New Roman"/>
          <w:i/>
          <w:iCs/>
        </w:rPr>
        <w:t>Australian Securities and Investments Commission Act</w:t>
      </w:r>
      <w:r w:rsidRPr="0033317A">
        <w:rPr>
          <w:rFonts w:ascii="Times New Roman" w:hAnsi="Times New Roman"/>
        </w:rPr>
        <w:t>. As Moshinsky J observed at first instance, the</w:t>
      </w:r>
      <w:r>
        <w:rPr>
          <w:rFonts w:ascii="Times New Roman" w:hAnsi="Times New Roman"/>
        </w:rPr>
        <w:t> </w:t>
      </w:r>
      <w:r w:rsidRPr="0033317A">
        <w:rPr>
          <w:rFonts w:ascii="Times New Roman" w:hAnsi="Times New Roman"/>
        </w:rPr>
        <w:t>territorial reach of the Court's powers over the subject matter in</w:t>
      </w:r>
      <w:r w:rsidRPr="0033317A" w:rsidDel="00524363">
        <w:rPr>
          <w:rFonts w:ascii="Times New Roman" w:hAnsi="Times New Roman"/>
        </w:rPr>
        <w:t xml:space="preserve"> </w:t>
      </w:r>
      <w:r w:rsidRPr="0033317A">
        <w:rPr>
          <w:rFonts w:ascii="Times New Roman" w:hAnsi="Times New Roman"/>
        </w:rPr>
        <w:t xml:space="preserve">Pt IVA is necessarily as extensive as the substantive laws which confer that jurisdiction in relation to particular claims. Territorial limits might be found in the substantive laws. Otherwise, if those laws do extend to claims for loss and damage by persons who are not resident in Australia, then the Court may exercise its powers in relation to those persons. But accepting that non-residents may be group members under Pt IVA in such circumstances is not to say that the </w:t>
      </w:r>
      <w:r w:rsidRPr="0033317A">
        <w:rPr>
          <w:rFonts w:ascii="Times New Roman" w:hAnsi="Times New Roman"/>
          <w:i/>
          <w:iCs/>
        </w:rPr>
        <w:t xml:space="preserve">Federal Court of Australia Act </w:t>
      </w:r>
      <w:r w:rsidRPr="0033317A">
        <w:rPr>
          <w:rFonts w:ascii="Times New Roman" w:hAnsi="Times New Roman"/>
        </w:rPr>
        <w:t>operates "extraterritorially" in any relevant sense. The determination of the group members' claims, as a matter of Australian law, does not have any effect or execution outside Australia</w:t>
      </w:r>
      <w:r w:rsidRPr="0033317A">
        <w:rPr>
          <w:rStyle w:val="FootnoteReference"/>
          <w:rFonts w:ascii="Times New Roman" w:hAnsi="Times New Roman"/>
          <w:sz w:val="24"/>
        </w:rPr>
        <w:footnoteReference w:id="126"/>
      </w:r>
      <w:r w:rsidRPr="0033317A">
        <w:rPr>
          <w:rFonts w:ascii="Times New Roman" w:hAnsi="Times New Roman"/>
        </w:rPr>
        <w:t xml:space="preserve">. Given the clear territorial connection of the Court's </w:t>
      </w:r>
      <w:r w:rsidRPr="0033317A">
        <w:rPr>
          <w:rFonts w:ascii="Times New Roman" w:hAnsi="Times New Roman"/>
        </w:rPr>
        <w:lastRenderedPageBreak/>
        <w:t xml:space="preserve">jurisdiction, neither the </w:t>
      </w:r>
      <w:r w:rsidRPr="0033317A">
        <w:rPr>
          <w:rFonts w:ascii="Times New Roman" w:hAnsi="Times New Roman"/>
          <w:i/>
        </w:rPr>
        <w:t>Federal Court of Australia Act</w:t>
      </w:r>
      <w:r w:rsidRPr="0033317A">
        <w:rPr>
          <w:rFonts w:ascii="Times New Roman" w:hAnsi="Times New Roman"/>
        </w:rPr>
        <w:t xml:space="preserve"> nor Pt IVA has extraterritorial operation that would engage the presumption. </w:t>
      </w:r>
    </w:p>
    <w:p w14:paraId="1776B142"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 xml:space="preserve">BHP's construction of Pt IVA ignores the </w:t>
      </w:r>
      <w:r w:rsidRPr="0033317A">
        <w:rPr>
          <w:rFonts w:ascii="Times New Roman" w:hAnsi="Times New Roman"/>
          <w:i/>
          <w:iCs/>
        </w:rPr>
        <w:t>Constitution</w:t>
      </w:r>
      <w:r w:rsidRPr="0033317A">
        <w:rPr>
          <w:rFonts w:ascii="Times New Roman" w:hAnsi="Times New Roman"/>
        </w:rPr>
        <w:t xml:space="preserve"> and the legislation passed by the Commonwealth Parliament vesting jurisdiction in the Federal Court, and rewrites the </w:t>
      </w:r>
      <w:r w:rsidRPr="0033317A">
        <w:rPr>
          <w:rFonts w:ascii="Times New Roman" w:hAnsi="Times New Roman"/>
          <w:i/>
          <w:iCs/>
        </w:rPr>
        <w:t>Federal Court of Australia Act</w:t>
      </w:r>
      <w:r w:rsidRPr="0033317A">
        <w:rPr>
          <w:rFonts w:ascii="Times New Roman" w:hAnsi="Times New Roman"/>
        </w:rPr>
        <w:t>. BHP's construction would require Pt IVA to read that "</w:t>
      </w:r>
      <w:r w:rsidRPr="0033317A">
        <w:rPr>
          <w:rFonts w:ascii="Times New Roman" w:hAnsi="Times New Roman"/>
          <w:i/>
          <w:iCs/>
        </w:rPr>
        <w:t>the powers and procedures within the Part only apply to persons [resident] within Australia</w:t>
      </w:r>
      <w:r w:rsidRPr="0033317A">
        <w:rPr>
          <w:rFonts w:ascii="Times New Roman" w:hAnsi="Times New Roman"/>
        </w:rPr>
        <w:t xml:space="preserve"> such that a representative applicant cannot bring a claim on behalf of a non-resident"</w:t>
      </w:r>
      <w:r w:rsidRPr="0033317A">
        <w:rPr>
          <w:rFonts w:ascii="Times New Roman" w:hAnsi="Times New Roman"/>
          <w:b/>
          <w:bCs/>
        </w:rPr>
        <w:t xml:space="preserve"> </w:t>
      </w:r>
      <w:r w:rsidRPr="0033317A">
        <w:rPr>
          <w:rFonts w:ascii="Times New Roman" w:hAnsi="Times New Roman"/>
        </w:rPr>
        <w:t xml:space="preserve">(emphasis added). BHP does not explain how Pt IVA alone of all of the Parts in the </w:t>
      </w:r>
      <w:r w:rsidRPr="0033317A">
        <w:rPr>
          <w:rFonts w:ascii="Times New Roman" w:hAnsi="Times New Roman"/>
          <w:i/>
          <w:iCs/>
        </w:rPr>
        <w:t>Federal Court of Australia Act</w:t>
      </w:r>
      <w:r w:rsidRPr="0033317A">
        <w:rPr>
          <w:rFonts w:ascii="Times New Roman" w:hAnsi="Times New Roman"/>
        </w:rPr>
        <w:t xml:space="preserve"> should be or could be interpreted in that way.</w:t>
      </w:r>
    </w:p>
    <w:p w14:paraId="3F7AF071"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None of the fundamental principles or bases for establishing the jurisdiction of the Federal Court is confined by reference to an applicant's location or residence. BHP's construction would signal a "radical departure" from the accepted bases</w:t>
      </w:r>
      <w:r w:rsidRPr="0033317A">
        <w:rPr>
          <w:rStyle w:val="FootnoteReference"/>
          <w:rFonts w:ascii="Times New Roman" w:hAnsi="Times New Roman"/>
          <w:sz w:val="24"/>
        </w:rPr>
        <w:footnoteReference w:id="127"/>
      </w:r>
      <w:r w:rsidRPr="0033317A">
        <w:rPr>
          <w:rFonts w:ascii="Times New Roman" w:hAnsi="Times New Roman"/>
        </w:rPr>
        <w:t>. P</w:t>
      </w:r>
      <w:r w:rsidRPr="0033317A" w:rsidDel="00BF7F26">
        <w:rPr>
          <w:rFonts w:ascii="Times New Roman" w:hAnsi="Times New Roman"/>
        </w:rPr>
        <w:t>ar</w:t>
      </w:r>
      <w:r w:rsidRPr="0033317A">
        <w:rPr>
          <w:rFonts w:ascii="Times New Roman" w:hAnsi="Times New Roman"/>
        </w:rPr>
        <w:t xml:space="preserve">t IVA does not show any intention to affect or alter those fundamental principles or bases of jurisdiction. Instead, Pt IVA takes the Federal Court's jurisdiction as it finds it; it regulates the procedure "for dealing not only with claims that are made, but also claims that </w:t>
      </w:r>
      <w:r w:rsidRPr="0033317A">
        <w:rPr>
          <w:rFonts w:ascii="Times New Roman" w:hAnsi="Times New Roman"/>
          <w:i/>
        </w:rPr>
        <w:t>could</w:t>
      </w:r>
      <w:r w:rsidRPr="0033317A">
        <w:rPr>
          <w:rFonts w:ascii="Times New Roman" w:hAnsi="Times New Roman"/>
        </w:rPr>
        <w:t xml:space="preserve"> be made" against a respondent amenable to the jurisdiction of the Federal Court</w:t>
      </w:r>
      <w:r w:rsidRPr="0033317A">
        <w:rPr>
          <w:rStyle w:val="FootnoteReference"/>
          <w:rFonts w:ascii="Times New Roman" w:hAnsi="Times New Roman"/>
          <w:sz w:val="24"/>
        </w:rPr>
        <w:footnoteReference w:id="128"/>
      </w:r>
      <w:r w:rsidRPr="0033317A">
        <w:rPr>
          <w:rFonts w:ascii="Times New Roman" w:hAnsi="Times New Roman"/>
        </w:rPr>
        <w:t xml:space="preserve">. The claims must satisfy the criteria in s 33C – namely seven or more persons must have claims against the same person that are in respect of or arise out of the same, similar or related circumstances, and those claims must give rise to a substantial common issue of law or fact – and at least one of those claims must be a claim over which the Federal Court has been vested with jurisdiction by a federal Act to hear and determine. </w:t>
      </w:r>
    </w:p>
    <w:p w14:paraId="6A66F31E"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 xml:space="preserve">In such a context – interpreting a provision that governs how the jurisdiction of an Australian court is to be exercised; a matter so directly territorially connected to Australia – the presumption against the extraterritorial operation of legislation does not have any role to play. There is no basis to apply the presumption to exclude group members who may reside outside of the physical territory of the jurisdiction. Who makes the claim and where they live does not determine the jurisdiction of the Federal Court or the claims that may be brought in accordance with the procedures in Pt IVA. </w:t>
      </w:r>
    </w:p>
    <w:p w14:paraId="0A89BE76"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 xml:space="preserve">BHP placed considerable reliance on s 33ZB, which provides that a judgment given in a representative proceeding binds all group members who are identified by the Court to be affected by it, other than persons who have opted out of the proceeding. BHP submitted that this should be presumed not to apply to </w:t>
      </w:r>
      <w:r w:rsidRPr="0033317A">
        <w:rPr>
          <w:rFonts w:ascii="Times New Roman" w:hAnsi="Times New Roman"/>
        </w:rPr>
        <w:lastRenderedPageBreak/>
        <w:t>persons outside the territory and that there is no textual or contextual contrary intention. In support of that contention, BHP submitted that s 33ZB is essential to ensuring that respondents are not subjected to multiple proceedings brought in respect of the same subject matter by or on behalf of the same persons. That</w:t>
      </w:r>
      <w:r>
        <w:rPr>
          <w:rFonts w:ascii="Times New Roman" w:hAnsi="Times New Roman"/>
        </w:rPr>
        <w:t> </w:t>
      </w:r>
      <w:r w:rsidRPr="0033317A">
        <w:rPr>
          <w:rFonts w:ascii="Times New Roman" w:hAnsi="Times New Roman"/>
        </w:rPr>
        <w:t>contention should be rejected. As the Full Court emphasised, s 33ZB only binds persons as a matter of Australian law. The parties accept that s 33ZB is not capable of, and does not purport to, affect a person's rights under foreign law in respect of the same or similar subject matter. Whether Australian judgments will be recognised in other jurisdictions, and in what circumstances, is a matter for foreign law.</w:t>
      </w:r>
    </w:p>
    <w:p w14:paraId="615C724F"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It is unnecessary to fully address the question, raised in submissions, of</w:t>
      </w:r>
      <w:r>
        <w:rPr>
          <w:rFonts w:ascii="Times New Roman" w:hAnsi="Times New Roman"/>
        </w:rPr>
        <w:t> </w:t>
      </w:r>
      <w:r w:rsidRPr="0033317A">
        <w:rPr>
          <w:rFonts w:ascii="Times New Roman" w:hAnsi="Times New Roman"/>
        </w:rPr>
        <w:t>whether the common law presumption only applies where a statute extends to subject matters over which, according to the comity of nations or international law, another sovereign or state properly has jurisdiction. That is not what Pt IVA does. For present purposes, it is sufficient to recognise that the common law presumption has been stated without reference to</w:t>
      </w:r>
      <w:r w:rsidRPr="0033317A">
        <w:rPr>
          <w:rStyle w:val="FootnoteReference"/>
          <w:rFonts w:ascii="Times New Roman" w:hAnsi="Times New Roman"/>
          <w:sz w:val="24"/>
        </w:rPr>
        <w:footnoteReference w:id="129"/>
      </w:r>
      <w:r w:rsidRPr="0033317A">
        <w:rPr>
          <w:rFonts w:ascii="Times New Roman" w:hAnsi="Times New Roman"/>
        </w:rPr>
        <w:t>, and applied without reliance on</w:t>
      </w:r>
      <w:r w:rsidRPr="0033317A">
        <w:rPr>
          <w:rStyle w:val="FootnoteReference"/>
          <w:rFonts w:ascii="Times New Roman" w:hAnsi="Times New Roman"/>
          <w:sz w:val="24"/>
        </w:rPr>
        <w:footnoteReference w:id="130"/>
      </w:r>
      <w:r w:rsidRPr="0033317A">
        <w:rPr>
          <w:rFonts w:ascii="Times New Roman" w:hAnsi="Times New Roman"/>
        </w:rPr>
        <w:t>, the comity of nations or international law. The "presumption" is a rule of statutory construction. Given the Commonwealth Parliament's now recognised extraterritorial legislative competence, it is important not to conflate the question of statutory construction with that of constitutional validity: "the fact that a provision in a particular form would have been within the competence of the legislature does not provide any positive assistance towards the true construction of a provision expressed in perfectly general terms without any territorial restriction"</w:t>
      </w:r>
      <w:r w:rsidRPr="0033317A">
        <w:rPr>
          <w:rStyle w:val="FootnoteReference"/>
          <w:rFonts w:ascii="Times New Roman" w:hAnsi="Times New Roman"/>
          <w:sz w:val="24"/>
        </w:rPr>
        <w:footnoteReference w:id="131"/>
      </w:r>
      <w:r w:rsidRPr="0033317A">
        <w:rPr>
          <w:rFonts w:ascii="Times New Roman" w:hAnsi="Times New Roman"/>
        </w:rPr>
        <w:t xml:space="preserve">. Regardless of any inconsistency with international law or comity, the common law presumption has been applied, for example, to construe the territorial limits of legislation conferring entitlements in apparently universal terms </w:t>
      </w:r>
      <w:r w:rsidRPr="0033317A">
        <w:rPr>
          <w:rFonts w:ascii="Times New Roman" w:hAnsi="Times New Roman"/>
        </w:rPr>
        <w:lastRenderedPageBreak/>
        <w:t>(such as forms of statutory compensation</w:t>
      </w:r>
      <w:r w:rsidRPr="0033317A">
        <w:rPr>
          <w:rStyle w:val="FootnoteReference"/>
          <w:rFonts w:ascii="Times New Roman" w:hAnsi="Times New Roman"/>
          <w:sz w:val="24"/>
        </w:rPr>
        <w:footnoteReference w:id="132"/>
      </w:r>
      <w:r w:rsidRPr="0033317A">
        <w:rPr>
          <w:rFonts w:ascii="Times New Roman" w:hAnsi="Times New Roman"/>
        </w:rPr>
        <w:t xml:space="preserve"> or workplace entitlements like long service leave</w:t>
      </w:r>
      <w:r w:rsidRPr="0033317A">
        <w:rPr>
          <w:rStyle w:val="FootnoteReference"/>
          <w:rFonts w:ascii="Times New Roman" w:hAnsi="Times New Roman"/>
          <w:sz w:val="24"/>
        </w:rPr>
        <w:footnoteReference w:id="133"/>
      </w:r>
      <w:r w:rsidRPr="0033317A">
        <w:rPr>
          <w:rFonts w:ascii="Times New Roman" w:hAnsi="Times New Roman"/>
        </w:rPr>
        <w:t xml:space="preserve">). </w:t>
      </w:r>
    </w:p>
    <w:p w14:paraId="329A1871" w14:textId="77777777" w:rsidR="003C391D" w:rsidRPr="0033317A" w:rsidRDefault="003C391D" w:rsidP="0033317A">
      <w:pPr>
        <w:pStyle w:val="HeadingL1"/>
        <w:spacing w:after="260" w:line="280" w:lineRule="exact"/>
        <w:ind w:right="0"/>
        <w:jc w:val="both"/>
        <w:rPr>
          <w:rFonts w:ascii="Times New Roman" w:hAnsi="Times New Roman"/>
        </w:rPr>
      </w:pPr>
      <w:r w:rsidRPr="0033317A">
        <w:rPr>
          <w:rFonts w:ascii="Times New Roman" w:hAnsi="Times New Roman"/>
        </w:rPr>
        <w:t>Text</w:t>
      </w:r>
    </w:p>
    <w:p w14:paraId="5CA8756D"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BHP's construction would also have the odd consequence that the same word – "person" – would be interpreted differently within s 33C. The meaning of "person" in s 33C when concerned with the respondent and the representative party is not said to be confined by residence but the meaning of "person" in s 33C when concerned with group members is to be confined by residence in Australia. Differing meanings of the word "person" within the same provision would be unlikely and anomalous, given the general assumption that words repeated in a statute are used with the same meaning</w:t>
      </w:r>
      <w:r w:rsidRPr="0033317A">
        <w:rPr>
          <w:rStyle w:val="FootnoteReference"/>
          <w:rFonts w:ascii="Times New Roman" w:hAnsi="Times New Roman"/>
          <w:sz w:val="24"/>
        </w:rPr>
        <w:footnoteReference w:id="134"/>
      </w:r>
      <w:r w:rsidRPr="0033317A">
        <w:rPr>
          <w:rFonts w:ascii="Times New Roman" w:hAnsi="Times New Roman"/>
        </w:rPr>
        <w:t>. BHP's construction is also inconsistent with the text of s 33C, which provides that, where seven or more "persons" have</w:t>
      </w:r>
      <w:r>
        <w:rPr>
          <w:rFonts w:ascii="Times New Roman" w:hAnsi="Times New Roman"/>
        </w:rPr>
        <w:t> </w:t>
      </w:r>
      <w:r w:rsidRPr="0033317A">
        <w:rPr>
          <w:rFonts w:ascii="Times New Roman" w:hAnsi="Times New Roman"/>
        </w:rPr>
        <w:t xml:space="preserve">claims of the relevant kind, "a proceeding may be commenced by one or more of </w:t>
      </w:r>
      <w:r w:rsidRPr="0033317A">
        <w:rPr>
          <w:rFonts w:ascii="Times New Roman" w:hAnsi="Times New Roman"/>
          <w:i/>
          <w:iCs/>
        </w:rPr>
        <w:t>those persons</w:t>
      </w:r>
      <w:r w:rsidRPr="0033317A">
        <w:rPr>
          <w:rFonts w:ascii="Times New Roman" w:hAnsi="Times New Roman"/>
        </w:rPr>
        <w:t xml:space="preserve"> as representing some or all of them" (emphasis added). The logic is clear: the "person" who commences the proceeding must be one of the group of "persons" who have claims of the relevant kind. If the representative party may be a non-resident, then, as a textual matter, necessarily so too may the group members. </w:t>
      </w:r>
    </w:p>
    <w:p w14:paraId="45ADB049" w14:textId="77777777" w:rsidR="003C391D" w:rsidRPr="0033317A" w:rsidRDefault="003C391D" w:rsidP="0033317A">
      <w:pPr>
        <w:pStyle w:val="HeadingL1"/>
        <w:spacing w:after="260" w:line="280" w:lineRule="exact"/>
        <w:ind w:right="0"/>
        <w:jc w:val="both"/>
        <w:rPr>
          <w:rFonts w:ascii="Times New Roman" w:hAnsi="Times New Roman"/>
        </w:rPr>
      </w:pPr>
      <w:r w:rsidRPr="0033317A">
        <w:rPr>
          <w:rFonts w:ascii="Times New Roman" w:hAnsi="Times New Roman"/>
        </w:rPr>
        <w:t>History</w:t>
      </w:r>
    </w:p>
    <w:p w14:paraId="3350CA9E"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 xml:space="preserve">That Pt IVA permits the inclusion of non-resident group members is consistent with the history of representative proceedings. As Gleeson CJ observed in </w:t>
      </w:r>
      <w:r w:rsidRPr="0033317A">
        <w:rPr>
          <w:rFonts w:ascii="Times New Roman" w:hAnsi="Times New Roman"/>
          <w:i/>
          <w:iCs/>
        </w:rPr>
        <w:t>Mobil Oil</w:t>
      </w:r>
      <w:r w:rsidRPr="0033317A">
        <w:rPr>
          <w:rFonts w:ascii="Times New Roman" w:hAnsi="Times New Roman"/>
        </w:rPr>
        <w:t>, "[s]ubject to the capacity of the court managing representative proceedings to control the proceedings in such a manner as to ensure fairness, a</w:t>
      </w:r>
      <w:r>
        <w:rPr>
          <w:rFonts w:ascii="Times New Roman" w:hAnsi="Times New Roman"/>
        </w:rPr>
        <w:t> </w:t>
      </w:r>
      <w:r w:rsidRPr="0033317A">
        <w:rPr>
          <w:rFonts w:ascii="Times New Roman" w:hAnsi="Times New Roman"/>
        </w:rPr>
        <w:t>capacity usually conferred by wide discretionary powers in relation to the conduct of the action, persons represented in such proceedings were not necessarily residents of the local territory in which the proceedings were taken; and they were not even necessarily aware of the proceedings"</w:t>
      </w:r>
      <w:r w:rsidRPr="0033317A">
        <w:rPr>
          <w:rStyle w:val="FootnoteReference"/>
          <w:rFonts w:ascii="Times New Roman" w:hAnsi="Times New Roman"/>
          <w:sz w:val="24"/>
        </w:rPr>
        <w:footnoteReference w:id="135"/>
      </w:r>
      <w:r w:rsidRPr="0033317A">
        <w:rPr>
          <w:rFonts w:ascii="Times New Roman" w:hAnsi="Times New Roman"/>
        </w:rPr>
        <w:t xml:space="preserve">. Part IVA was </w:t>
      </w:r>
      <w:r w:rsidRPr="0033317A">
        <w:rPr>
          <w:rFonts w:ascii="Times New Roman" w:hAnsi="Times New Roman"/>
        </w:rPr>
        <w:lastRenderedPageBreak/>
        <w:t>enacted to supplement and improve the existing procedures. It did not remove or narrow access to the Court's existing jurisdiction but provided a more detailed and expansive regime compared with the pre-existing rules for representative proceedings</w:t>
      </w:r>
      <w:r w:rsidRPr="0033317A">
        <w:rPr>
          <w:rStyle w:val="FootnoteReference"/>
          <w:rFonts w:ascii="Times New Roman" w:hAnsi="Times New Roman"/>
          <w:sz w:val="24"/>
        </w:rPr>
        <w:footnoteReference w:id="136"/>
      </w:r>
      <w:r w:rsidRPr="0033317A">
        <w:rPr>
          <w:rFonts w:ascii="Times New Roman" w:hAnsi="Times New Roman"/>
        </w:rPr>
        <w:t xml:space="preserve">. As the respondents submitted, "[i]t would be incongruous to construe s 33C(1) as, on the one hand, </w:t>
      </w:r>
      <w:r w:rsidRPr="0033317A">
        <w:rPr>
          <w:rFonts w:ascii="Times New Roman" w:hAnsi="Times New Roman"/>
          <w:i/>
          <w:iCs/>
        </w:rPr>
        <w:t xml:space="preserve">expanding </w:t>
      </w:r>
      <w:r w:rsidRPr="0033317A">
        <w:rPr>
          <w:rFonts w:ascii="Times New Roman" w:hAnsi="Times New Roman"/>
        </w:rPr>
        <w:t xml:space="preserve">the class of persons on whose behalf a representative proceeding could be commenced by reference to the commonality of their claims but, on the other hand, </w:t>
      </w:r>
      <w:r w:rsidRPr="0033317A">
        <w:rPr>
          <w:rFonts w:ascii="Times New Roman" w:hAnsi="Times New Roman"/>
          <w:i/>
          <w:iCs/>
        </w:rPr>
        <w:t xml:space="preserve">narrowing </w:t>
      </w:r>
      <w:r w:rsidRPr="0033317A">
        <w:rPr>
          <w:rFonts w:ascii="Times New Roman" w:hAnsi="Times New Roman"/>
        </w:rPr>
        <w:t>the class of persons by reference to their residence".</w:t>
      </w:r>
    </w:p>
    <w:p w14:paraId="3D79F108" w14:textId="77777777" w:rsidR="003C391D" w:rsidRPr="0033317A" w:rsidRDefault="003C391D" w:rsidP="0033317A">
      <w:pPr>
        <w:pStyle w:val="HeadingL1"/>
        <w:spacing w:after="260" w:line="280" w:lineRule="exact"/>
        <w:ind w:right="0"/>
        <w:jc w:val="both"/>
        <w:rPr>
          <w:rFonts w:ascii="Times New Roman" w:hAnsi="Times New Roman"/>
        </w:rPr>
      </w:pPr>
      <w:r w:rsidRPr="0033317A">
        <w:rPr>
          <w:rFonts w:ascii="Times New Roman" w:hAnsi="Times New Roman"/>
        </w:rPr>
        <w:t>Purpose</w:t>
      </w:r>
    </w:p>
    <w:p w14:paraId="0A208D63"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That construction is also consistent with the purposes of Pt IVA, which</w:t>
      </w:r>
      <w:r>
        <w:rPr>
          <w:rFonts w:ascii="Times New Roman" w:hAnsi="Times New Roman"/>
        </w:rPr>
        <w:t> </w:t>
      </w:r>
      <w:r w:rsidRPr="0033317A">
        <w:rPr>
          <w:rFonts w:ascii="Times New Roman" w:hAnsi="Times New Roman"/>
        </w:rPr>
        <w:t>include, as is evident from the provisions of the Part and supported by the extrinsic materials</w:t>
      </w:r>
      <w:r w:rsidRPr="0033317A">
        <w:rPr>
          <w:rStyle w:val="FootnoteReference"/>
          <w:rFonts w:ascii="Times New Roman" w:hAnsi="Times New Roman"/>
          <w:sz w:val="24"/>
        </w:rPr>
        <w:footnoteReference w:id="137"/>
      </w:r>
      <w:r w:rsidRPr="0033317A">
        <w:rPr>
          <w:rFonts w:ascii="Times New Roman" w:hAnsi="Times New Roman"/>
        </w:rPr>
        <w:t>, the creation of an efficient and comprehensive mechanism for the determination of similar claims: that, subject to the right to opt out, "everyone with related claims should be involved in the proceedings and should be bound by the result"</w:t>
      </w:r>
      <w:r w:rsidRPr="0033317A">
        <w:rPr>
          <w:rStyle w:val="FootnoteReference"/>
          <w:rFonts w:ascii="Times New Roman" w:hAnsi="Times New Roman"/>
          <w:sz w:val="24"/>
        </w:rPr>
        <w:footnoteReference w:id="138"/>
      </w:r>
      <w:r w:rsidRPr="0033317A">
        <w:rPr>
          <w:rFonts w:ascii="Times New Roman" w:hAnsi="Times New Roman"/>
        </w:rPr>
        <w:t xml:space="preserve">. In contrast, BHP's construction would undermine the purpose of Pt IVA by not allowing non-residents to be group members in representative proceedings (whereas they could commence </w:t>
      </w:r>
      <w:r w:rsidRPr="0033317A">
        <w:rPr>
          <w:rFonts w:ascii="Times New Roman" w:hAnsi="Times New Roman"/>
          <w:i/>
          <w:iCs/>
        </w:rPr>
        <w:t xml:space="preserve">inter partes </w:t>
      </w:r>
      <w:r w:rsidRPr="0033317A">
        <w:rPr>
          <w:rFonts w:ascii="Times New Roman" w:hAnsi="Times New Roman"/>
        </w:rPr>
        <w:t xml:space="preserve">proceedings or be part of a representative proceeding under r 9.21 of the </w:t>
      </w:r>
      <w:r w:rsidRPr="0033317A">
        <w:rPr>
          <w:rFonts w:ascii="Times New Roman" w:hAnsi="Times New Roman"/>
          <w:i/>
          <w:iCs/>
        </w:rPr>
        <w:t>Federal Court Rules</w:t>
      </w:r>
      <w:r w:rsidRPr="0033317A">
        <w:rPr>
          <w:rFonts w:ascii="Times New Roman" w:hAnsi="Times New Roman"/>
        </w:rPr>
        <w:t xml:space="preserve"> </w:t>
      </w:r>
      <w:r w:rsidRPr="0033317A">
        <w:rPr>
          <w:rFonts w:ascii="Times New Roman" w:hAnsi="Times New Roman"/>
          <w:i/>
          <w:iCs/>
        </w:rPr>
        <w:t xml:space="preserve">2011 </w:t>
      </w:r>
      <w:r w:rsidRPr="0033317A">
        <w:rPr>
          <w:rFonts w:ascii="Times New Roman" w:hAnsi="Times New Roman"/>
        </w:rPr>
        <w:t xml:space="preserve">(Cth)). This would create a risk of a multitude of parallel proceedings or actions, directly contrary to the purpose of Pt IVA.  </w:t>
      </w:r>
    </w:p>
    <w:p w14:paraId="1DDCBB66" w14:textId="77777777" w:rsidR="003C391D" w:rsidRPr="0033317A" w:rsidRDefault="003C391D" w:rsidP="0033317A">
      <w:pPr>
        <w:pStyle w:val="HeadingL1"/>
        <w:spacing w:after="260" w:line="280" w:lineRule="exact"/>
        <w:ind w:right="0"/>
        <w:jc w:val="both"/>
        <w:rPr>
          <w:rFonts w:ascii="Times New Roman" w:hAnsi="Times New Roman"/>
        </w:rPr>
      </w:pPr>
      <w:r w:rsidRPr="0033317A">
        <w:rPr>
          <w:rFonts w:ascii="Times New Roman" w:hAnsi="Times New Roman"/>
        </w:rPr>
        <w:t>Practical difficulties with BHP's construction</w:t>
      </w:r>
    </w:p>
    <w:p w14:paraId="380E06E1" w14:textId="77777777" w:rsidR="003C391D" w:rsidRPr="0033317A" w:rsidRDefault="003C391D" w:rsidP="003C391D">
      <w:pPr>
        <w:pStyle w:val="FixListStyle"/>
        <w:numPr>
          <w:ilvl w:val="0"/>
          <w:numId w:val="18"/>
        </w:numPr>
        <w:spacing w:after="260" w:line="280" w:lineRule="exact"/>
        <w:ind w:left="0" w:right="0" w:hanging="720"/>
        <w:jc w:val="both"/>
        <w:rPr>
          <w:rFonts w:ascii="Times New Roman" w:hAnsi="Times New Roman"/>
        </w:rPr>
      </w:pPr>
      <w:r w:rsidRPr="0033317A">
        <w:rPr>
          <w:rFonts w:ascii="Times New Roman" w:hAnsi="Times New Roman"/>
        </w:rPr>
        <w:tab/>
        <w:t>BHP's submission that Pt IVA should be read down to exclude non</w:t>
      </w:r>
      <w:r>
        <w:rPr>
          <w:rFonts w:ascii="Times New Roman" w:hAnsi="Times New Roman"/>
        </w:rPr>
        <w:noBreakHyphen/>
      </w:r>
      <w:r w:rsidRPr="0033317A">
        <w:rPr>
          <w:rFonts w:ascii="Times New Roman" w:hAnsi="Times New Roman"/>
        </w:rPr>
        <w:t>residents is also unworkable. Immediately, the question which would arise on that construction is: how is residence to be determined? Residence may be a complex inquiry with a range of different standards in different legislation</w:t>
      </w:r>
      <w:r w:rsidRPr="0033317A">
        <w:rPr>
          <w:rFonts w:ascii="Times New Roman" w:hAnsi="Times New Roman"/>
          <w:b/>
          <w:bCs/>
        </w:rPr>
        <w:t xml:space="preserve"> </w:t>
      </w:r>
      <w:r w:rsidRPr="0033317A">
        <w:rPr>
          <w:rFonts w:ascii="Times New Roman" w:hAnsi="Times New Roman"/>
        </w:rPr>
        <w:t>and there would be an unresolved</w:t>
      </w:r>
      <w:r w:rsidRPr="0033317A">
        <w:rPr>
          <w:rFonts w:ascii="Times New Roman" w:hAnsi="Times New Roman"/>
          <w:b/>
          <w:bCs/>
        </w:rPr>
        <w:t xml:space="preserve"> </w:t>
      </w:r>
      <w:r w:rsidRPr="0033317A">
        <w:rPr>
          <w:rFonts w:ascii="Times New Roman" w:hAnsi="Times New Roman"/>
        </w:rPr>
        <w:t xml:space="preserve">question of </w:t>
      </w:r>
      <w:r w:rsidRPr="0033317A">
        <w:rPr>
          <w:rFonts w:ascii="Times New Roman" w:hAnsi="Times New Roman"/>
          <w:i/>
          <w:iCs/>
        </w:rPr>
        <w:t>when</w:t>
      </w:r>
      <w:r w:rsidRPr="0033317A">
        <w:rPr>
          <w:rFonts w:ascii="Times New Roman" w:hAnsi="Times New Roman"/>
        </w:rPr>
        <w:t>,</w:t>
      </w:r>
      <w:r w:rsidRPr="0033317A">
        <w:rPr>
          <w:rFonts w:ascii="Times New Roman" w:hAnsi="Times New Roman"/>
          <w:i/>
          <w:iCs/>
        </w:rPr>
        <w:t xml:space="preserve"> </w:t>
      </w:r>
      <w:r w:rsidRPr="0033317A">
        <w:rPr>
          <w:rFonts w:ascii="Times New Roman" w:hAnsi="Times New Roman"/>
        </w:rPr>
        <w:t xml:space="preserve">relative to the proceeding and the claims that are the subject of the proceeding, a person must be a resident to be a group member. BHP's contention that residence is a practical expression of the distinction between persons within the territory and outside of it, as demonstrated </w:t>
      </w:r>
      <w:r w:rsidRPr="0033317A">
        <w:rPr>
          <w:rFonts w:ascii="Times New Roman" w:hAnsi="Times New Roman"/>
        </w:rPr>
        <w:lastRenderedPageBreak/>
        <w:t>by the legislative model adopted in the United Kingdom that makes a distinction between class members domiciled and not domiciled in the United Kingdom, does</w:t>
      </w:r>
      <w:r>
        <w:rPr>
          <w:rFonts w:ascii="Times New Roman" w:hAnsi="Times New Roman"/>
        </w:rPr>
        <w:t> </w:t>
      </w:r>
      <w:r w:rsidRPr="0033317A">
        <w:rPr>
          <w:rFonts w:ascii="Times New Roman" w:hAnsi="Times New Roman"/>
        </w:rPr>
        <w:t>not assist in resolving these difficulties. P</w:t>
      </w:r>
      <w:r w:rsidRPr="0033317A" w:rsidDel="00BF7F26">
        <w:rPr>
          <w:rFonts w:ascii="Times New Roman" w:hAnsi="Times New Roman"/>
        </w:rPr>
        <w:t>ar</w:t>
      </w:r>
      <w:r w:rsidRPr="0033317A">
        <w:rPr>
          <w:rFonts w:ascii="Times New Roman" w:hAnsi="Times New Roman"/>
        </w:rPr>
        <w:t>t IVA adopts what has been described as the "no-provision model"</w:t>
      </w:r>
      <w:r w:rsidRPr="0033317A">
        <w:rPr>
          <w:rStyle w:val="FootnoteReference"/>
          <w:rFonts w:ascii="Times New Roman" w:hAnsi="Times New Roman"/>
          <w:sz w:val="24"/>
        </w:rPr>
        <w:footnoteReference w:id="139"/>
      </w:r>
      <w:r w:rsidRPr="0033317A">
        <w:rPr>
          <w:rFonts w:ascii="Times New Roman" w:hAnsi="Times New Roman"/>
        </w:rPr>
        <w:t xml:space="preserve">, recognising that there are different legislative models in comparable jurisdictions. That was a deliberate legislative choice. </w:t>
      </w:r>
    </w:p>
    <w:p w14:paraId="0D2AC2E1" w14:textId="77777777" w:rsidR="003C391D" w:rsidRPr="0033317A" w:rsidRDefault="003C391D" w:rsidP="0033317A">
      <w:pPr>
        <w:pStyle w:val="HeadingL1"/>
        <w:spacing w:after="260" w:line="280" w:lineRule="exact"/>
        <w:ind w:right="0"/>
        <w:jc w:val="both"/>
        <w:rPr>
          <w:rFonts w:ascii="Times New Roman" w:hAnsi="Times New Roman"/>
        </w:rPr>
      </w:pPr>
      <w:r w:rsidRPr="0033317A">
        <w:rPr>
          <w:rFonts w:ascii="Times New Roman" w:hAnsi="Times New Roman"/>
        </w:rPr>
        <w:t>Orders</w:t>
      </w:r>
    </w:p>
    <w:p w14:paraId="1713205B" w14:textId="77777777" w:rsidR="003C391D" w:rsidRDefault="003C391D" w:rsidP="001D441B">
      <w:pPr>
        <w:pStyle w:val="FixListStyle"/>
        <w:numPr>
          <w:ilvl w:val="0"/>
          <w:numId w:val="18"/>
        </w:numPr>
        <w:spacing w:after="260" w:line="280" w:lineRule="exact"/>
        <w:ind w:left="0" w:right="0" w:hanging="720"/>
        <w:jc w:val="both"/>
        <w:rPr>
          <w:rFonts w:ascii="Times New Roman" w:hAnsi="Times New Roman"/>
        </w:rPr>
        <w:sectPr w:rsidR="003C391D" w:rsidSect="003C391D">
          <w:headerReference w:type="even" r:id="rId23"/>
          <w:headerReference w:type="default" r:id="rId24"/>
          <w:headerReference w:type="first" r:id="rId25"/>
          <w:pgSz w:w="11907" w:h="16839" w:code="9"/>
          <w:pgMar w:top="1440" w:right="1701" w:bottom="1984" w:left="1701" w:header="720" w:footer="720" w:gutter="0"/>
          <w:cols w:space="720"/>
          <w:docGrid w:linePitch="354"/>
        </w:sectPr>
      </w:pPr>
      <w:r w:rsidRPr="003C391D">
        <w:rPr>
          <w:rFonts w:ascii="Times New Roman" w:hAnsi="Times New Roman"/>
        </w:rPr>
        <w:tab/>
        <w:t>The appeal should be dismissed with costs.</w:t>
      </w:r>
    </w:p>
    <w:p w14:paraId="19046582" w14:textId="5557743D" w:rsidR="009A4E52" w:rsidRPr="003C391D" w:rsidRDefault="009A4E52" w:rsidP="003C391D">
      <w:pPr>
        <w:pStyle w:val="NormalBody"/>
      </w:pPr>
    </w:p>
    <w:sectPr w:rsidR="009A4E52" w:rsidRPr="003C391D" w:rsidSect="003C391D">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C7BB7" w14:textId="77777777" w:rsidR="00E55316" w:rsidRDefault="00E55316">
      <w:pPr>
        <w:spacing w:line="240" w:lineRule="auto"/>
      </w:pPr>
      <w:r>
        <w:separator/>
      </w:r>
    </w:p>
  </w:endnote>
  <w:endnote w:type="continuationSeparator" w:id="0">
    <w:p w14:paraId="4DA3BF4F" w14:textId="77777777" w:rsidR="00E55316" w:rsidRDefault="00E55316">
      <w:pPr>
        <w:spacing w:line="240" w:lineRule="auto"/>
      </w:pPr>
      <w:r>
        <w:continuationSeparator/>
      </w:r>
    </w:p>
  </w:endnote>
  <w:endnote w:type="continuationNotice" w:id="1">
    <w:p w14:paraId="772F4DEA" w14:textId="77777777" w:rsidR="00E55316" w:rsidRDefault="00E553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4C0C" w14:textId="77777777" w:rsidR="00FA37F7" w:rsidRDefault="00FA3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81D9" w14:textId="77777777" w:rsidR="00FA37F7" w:rsidRDefault="00FA3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251A" w14:textId="77777777" w:rsidR="00FA37F7" w:rsidRDefault="00FA37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1F3A" w14:textId="77777777" w:rsidR="00FA37F7" w:rsidRDefault="00FA37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75F6" w14:textId="77777777" w:rsidR="00FA37F7" w:rsidRDefault="00FA37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CF7C" w14:textId="77777777" w:rsidR="00FA37F7" w:rsidRDefault="00FA3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8205" w14:textId="77777777" w:rsidR="00E55316" w:rsidRPr="007954B9" w:rsidRDefault="00E55316" w:rsidP="007954B9">
      <w:pPr>
        <w:pStyle w:val="Footer"/>
        <w:spacing w:before="120" w:after="20"/>
        <w:ind w:right="0"/>
        <w:rPr>
          <w:rFonts w:ascii="Times New Roman" w:hAnsi="Times New Roman"/>
        </w:rPr>
      </w:pPr>
      <w:r>
        <w:continuationSeparator/>
      </w:r>
    </w:p>
  </w:footnote>
  <w:footnote w:type="continuationSeparator" w:id="0">
    <w:p w14:paraId="5BEF1CDA" w14:textId="77777777" w:rsidR="00E55316" w:rsidRPr="007954B9" w:rsidRDefault="00E55316" w:rsidP="007954B9">
      <w:pPr>
        <w:pStyle w:val="Footer"/>
        <w:spacing w:before="120" w:after="20"/>
        <w:ind w:right="0"/>
        <w:rPr>
          <w:rFonts w:ascii="Times New Roman" w:hAnsi="Times New Roman"/>
        </w:rPr>
      </w:pPr>
      <w:r w:rsidRPr="007954B9">
        <w:rPr>
          <w:rFonts w:ascii="Times New Roman" w:hAnsi="Times New Roman"/>
        </w:rPr>
        <w:continuationSeparator/>
      </w:r>
    </w:p>
  </w:footnote>
  <w:footnote w:type="continuationNotice" w:id="1">
    <w:p w14:paraId="57FDA097" w14:textId="77777777" w:rsidR="00E55316" w:rsidRPr="003C391D" w:rsidRDefault="00E55316">
      <w:pPr>
        <w:jc w:val="right"/>
        <w:rPr>
          <w:rFonts w:ascii="Times New Roman" w:hAnsi="Times New Roman"/>
          <w:sz w:val="24"/>
        </w:rPr>
      </w:pPr>
    </w:p>
  </w:footnote>
  <w:footnote w:id="2">
    <w:p w14:paraId="2BD2778D" w14:textId="1AFF84D0" w:rsidR="001E6B16" w:rsidRPr="007954B9" w:rsidRDefault="001E6B16"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A138ED" w:rsidRPr="007954B9">
        <w:rPr>
          <w:rFonts w:ascii="Times New Roman" w:hAnsi="Times New Roman"/>
          <w:sz w:val="24"/>
        </w:rPr>
        <w:tab/>
      </w:r>
      <w:r w:rsidR="00094202" w:rsidRPr="007954B9">
        <w:rPr>
          <w:rFonts w:ascii="Times New Roman" w:hAnsi="Times New Roman"/>
          <w:i/>
          <w:sz w:val="24"/>
        </w:rPr>
        <w:t>Im</w:t>
      </w:r>
      <w:r w:rsidR="008F149D" w:rsidRPr="007954B9">
        <w:rPr>
          <w:rFonts w:ascii="Times New Roman" w:hAnsi="Times New Roman"/>
          <w:i/>
          <w:sz w:val="24"/>
        </w:rPr>
        <w:t>piom</w:t>
      </w:r>
      <w:r w:rsidR="009D4D94" w:rsidRPr="007954B9">
        <w:rPr>
          <w:rFonts w:ascii="Times New Roman" w:hAnsi="Times New Roman"/>
          <w:i/>
          <w:sz w:val="24"/>
        </w:rPr>
        <w:t>bato</w:t>
      </w:r>
      <w:r w:rsidR="00EB7478" w:rsidRPr="007954B9">
        <w:rPr>
          <w:rFonts w:ascii="Times New Roman" w:hAnsi="Times New Roman"/>
          <w:i/>
          <w:sz w:val="24"/>
        </w:rPr>
        <w:t xml:space="preserve"> v BHP Group Ltd </w:t>
      </w:r>
      <w:r w:rsidR="0086723F" w:rsidRPr="007954B9">
        <w:rPr>
          <w:rFonts w:ascii="Times New Roman" w:hAnsi="Times New Roman"/>
          <w:i/>
          <w:sz w:val="24"/>
        </w:rPr>
        <w:t>[</w:t>
      </w:r>
      <w:r w:rsidR="00EB7478" w:rsidRPr="007954B9">
        <w:rPr>
          <w:rFonts w:ascii="Times New Roman" w:hAnsi="Times New Roman"/>
          <w:i/>
          <w:sz w:val="24"/>
        </w:rPr>
        <w:t>No 2</w:t>
      </w:r>
      <w:r w:rsidR="0086723F" w:rsidRPr="007954B9">
        <w:rPr>
          <w:rFonts w:ascii="Times New Roman" w:hAnsi="Times New Roman"/>
          <w:i/>
          <w:sz w:val="24"/>
        </w:rPr>
        <w:t>]</w:t>
      </w:r>
      <w:r w:rsidR="00EB7478" w:rsidRPr="007954B9">
        <w:rPr>
          <w:rFonts w:ascii="Times New Roman" w:hAnsi="Times New Roman"/>
          <w:sz w:val="24"/>
        </w:rPr>
        <w:t xml:space="preserve"> [2020] FCA 1720.</w:t>
      </w:r>
    </w:p>
  </w:footnote>
  <w:footnote w:id="3">
    <w:p w14:paraId="3AF217A1" w14:textId="27E6AE00" w:rsidR="001E6B16" w:rsidRPr="007954B9" w:rsidRDefault="001E6B16"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EB7478" w:rsidRPr="007954B9">
        <w:rPr>
          <w:rFonts w:ascii="Times New Roman" w:hAnsi="Times New Roman"/>
          <w:sz w:val="24"/>
        </w:rPr>
        <w:tab/>
      </w:r>
      <w:r w:rsidR="008138D3" w:rsidRPr="007954B9">
        <w:rPr>
          <w:rFonts w:ascii="Times New Roman" w:hAnsi="Times New Roman"/>
          <w:i/>
          <w:sz w:val="24"/>
        </w:rPr>
        <w:t>BHP Group</w:t>
      </w:r>
      <w:r w:rsidR="00EE6775" w:rsidRPr="007954B9">
        <w:rPr>
          <w:rFonts w:ascii="Times New Roman" w:hAnsi="Times New Roman"/>
          <w:i/>
          <w:sz w:val="24"/>
        </w:rPr>
        <w:t xml:space="preserve"> Ltd v Impiombato</w:t>
      </w:r>
      <w:r w:rsidR="00EE6775" w:rsidRPr="007954B9">
        <w:rPr>
          <w:rFonts w:ascii="Times New Roman" w:hAnsi="Times New Roman"/>
          <w:sz w:val="24"/>
        </w:rPr>
        <w:t xml:space="preserve"> (2021)</w:t>
      </w:r>
      <w:r w:rsidR="00EA2AD5" w:rsidRPr="007954B9">
        <w:rPr>
          <w:rFonts w:ascii="Times New Roman" w:hAnsi="Times New Roman"/>
          <w:sz w:val="24"/>
        </w:rPr>
        <w:t xml:space="preserve"> </w:t>
      </w:r>
      <w:r w:rsidR="00AB716F" w:rsidRPr="007954B9">
        <w:rPr>
          <w:rFonts w:ascii="Times New Roman" w:hAnsi="Times New Roman"/>
          <w:sz w:val="24"/>
        </w:rPr>
        <w:t>286 FCR 625</w:t>
      </w:r>
      <w:r w:rsidR="00EA2AD5" w:rsidRPr="007954B9">
        <w:rPr>
          <w:rFonts w:ascii="Times New Roman" w:hAnsi="Times New Roman"/>
          <w:sz w:val="24"/>
        </w:rPr>
        <w:t>.</w:t>
      </w:r>
    </w:p>
  </w:footnote>
  <w:footnote w:id="4">
    <w:p w14:paraId="1371D1DA" w14:textId="5796DFB3" w:rsidR="0091385C" w:rsidRPr="007954B9" w:rsidRDefault="0091385C"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EB7478" w:rsidRPr="007954B9">
        <w:rPr>
          <w:rFonts w:ascii="Times New Roman" w:hAnsi="Times New Roman"/>
          <w:sz w:val="24"/>
        </w:rPr>
        <w:tab/>
      </w:r>
      <w:r w:rsidR="000D359E" w:rsidRPr="007954B9">
        <w:rPr>
          <w:rFonts w:ascii="Times New Roman" w:hAnsi="Times New Roman"/>
          <w:sz w:val="24"/>
        </w:rPr>
        <w:t>[2022] HCATrans 13</w:t>
      </w:r>
      <w:r w:rsidR="00DD6B08" w:rsidRPr="007954B9">
        <w:rPr>
          <w:rFonts w:ascii="Times New Roman" w:hAnsi="Times New Roman"/>
          <w:sz w:val="24"/>
        </w:rPr>
        <w:t>.</w:t>
      </w:r>
    </w:p>
  </w:footnote>
  <w:footnote w:id="5">
    <w:p w14:paraId="429C32A2" w14:textId="672543F9" w:rsidR="00682C71" w:rsidRPr="007954B9" w:rsidRDefault="00682C71"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DA0620" w:rsidRPr="007954B9">
        <w:rPr>
          <w:rFonts w:ascii="Times New Roman" w:hAnsi="Times New Roman"/>
          <w:sz w:val="24"/>
        </w:rPr>
        <w:tab/>
      </w:r>
      <w:r w:rsidR="00BA12EB" w:rsidRPr="007954B9">
        <w:rPr>
          <w:rFonts w:ascii="Times New Roman" w:hAnsi="Times New Roman"/>
          <w:i/>
          <w:iCs/>
          <w:sz w:val="24"/>
        </w:rPr>
        <w:t>Federal Court of Australia Amendment Act 19</w:t>
      </w:r>
      <w:r w:rsidR="005B0983" w:rsidRPr="007954B9">
        <w:rPr>
          <w:rFonts w:ascii="Times New Roman" w:hAnsi="Times New Roman"/>
          <w:i/>
          <w:iCs/>
          <w:sz w:val="24"/>
        </w:rPr>
        <w:t>91</w:t>
      </w:r>
      <w:r w:rsidR="005B0983" w:rsidRPr="007954B9">
        <w:rPr>
          <w:rFonts w:ascii="Times New Roman" w:hAnsi="Times New Roman"/>
          <w:sz w:val="24"/>
        </w:rPr>
        <w:t xml:space="preserve"> (Cth)</w:t>
      </w:r>
      <w:r w:rsidR="00097C75" w:rsidRPr="007954B9">
        <w:rPr>
          <w:rFonts w:ascii="Times New Roman" w:hAnsi="Times New Roman"/>
          <w:sz w:val="24"/>
        </w:rPr>
        <w:t>.</w:t>
      </w:r>
    </w:p>
  </w:footnote>
  <w:footnote w:id="6">
    <w:p w14:paraId="624289CD" w14:textId="5210C273" w:rsidR="000E379D" w:rsidRPr="007954B9" w:rsidRDefault="000E379D"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8279ED" w:rsidRPr="007954B9">
        <w:rPr>
          <w:rFonts w:ascii="Times New Roman" w:hAnsi="Times New Roman"/>
          <w:sz w:val="24"/>
        </w:rPr>
        <w:tab/>
      </w:r>
      <w:r w:rsidR="008279ED" w:rsidRPr="007954B9">
        <w:rPr>
          <w:rFonts w:ascii="Times New Roman" w:hAnsi="Times New Roman"/>
          <w:i/>
          <w:iCs/>
          <w:sz w:val="24"/>
        </w:rPr>
        <w:t>Wong v Silkfield Pty Ltd</w:t>
      </w:r>
      <w:r w:rsidR="008279ED" w:rsidRPr="007954B9">
        <w:rPr>
          <w:rFonts w:ascii="Times New Roman" w:hAnsi="Times New Roman"/>
          <w:sz w:val="24"/>
        </w:rPr>
        <w:t xml:space="preserve"> (1999) 199 CLR 255;</w:t>
      </w:r>
      <w:r w:rsidR="005F7596" w:rsidRPr="007954B9">
        <w:rPr>
          <w:rFonts w:ascii="Times New Roman" w:hAnsi="Times New Roman"/>
          <w:sz w:val="24"/>
        </w:rPr>
        <w:t xml:space="preserve"> </w:t>
      </w:r>
      <w:r w:rsidR="005F7596" w:rsidRPr="007954B9">
        <w:rPr>
          <w:rFonts w:ascii="Times New Roman" w:hAnsi="Times New Roman"/>
          <w:i/>
          <w:sz w:val="24"/>
        </w:rPr>
        <w:t>Mobil Oil A</w:t>
      </w:r>
      <w:r w:rsidR="00CE6974" w:rsidRPr="007954B9">
        <w:rPr>
          <w:rFonts w:ascii="Times New Roman" w:hAnsi="Times New Roman"/>
          <w:i/>
          <w:sz w:val="24"/>
        </w:rPr>
        <w:t xml:space="preserve">ustralia Pty Ltd </w:t>
      </w:r>
      <w:r w:rsidR="004605A4" w:rsidRPr="007954B9">
        <w:rPr>
          <w:rFonts w:ascii="Times New Roman" w:hAnsi="Times New Roman"/>
          <w:i/>
          <w:sz w:val="24"/>
        </w:rPr>
        <w:t>v Victoria</w:t>
      </w:r>
      <w:r w:rsidR="004605A4" w:rsidRPr="007954B9">
        <w:rPr>
          <w:rFonts w:ascii="Times New Roman" w:hAnsi="Times New Roman"/>
          <w:sz w:val="24"/>
        </w:rPr>
        <w:t xml:space="preserve"> (2002) </w:t>
      </w:r>
      <w:r w:rsidR="0055099E" w:rsidRPr="007954B9">
        <w:rPr>
          <w:rFonts w:ascii="Times New Roman" w:hAnsi="Times New Roman"/>
          <w:sz w:val="24"/>
        </w:rPr>
        <w:t>211 CLR 1</w:t>
      </w:r>
      <w:r w:rsidR="00942B7E" w:rsidRPr="007954B9">
        <w:rPr>
          <w:rFonts w:ascii="Times New Roman" w:hAnsi="Times New Roman"/>
          <w:sz w:val="24"/>
        </w:rPr>
        <w:t xml:space="preserve">; </w:t>
      </w:r>
      <w:r w:rsidR="00A63473" w:rsidRPr="007954B9">
        <w:rPr>
          <w:rFonts w:ascii="Times New Roman" w:hAnsi="Times New Roman"/>
          <w:i/>
          <w:sz w:val="24"/>
        </w:rPr>
        <w:t>Timbercorp Finance Pty Ltd</w:t>
      </w:r>
      <w:r w:rsidR="006B304A" w:rsidRPr="007954B9">
        <w:rPr>
          <w:rFonts w:ascii="Times New Roman" w:hAnsi="Times New Roman"/>
          <w:i/>
          <w:sz w:val="24"/>
        </w:rPr>
        <w:t xml:space="preserve"> </w:t>
      </w:r>
      <w:r w:rsidR="00C10727" w:rsidRPr="007954B9">
        <w:rPr>
          <w:rFonts w:ascii="Times New Roman" w:hAnsi="Times New Roman"/>
          <w:i/>
          <w:sz w:val="24"/>
        </w:rPr>
        <w:t>(</w:t>
      </w:r>
      <w:r w:rsidR="002C077B" w:rsidRPr="007954B9">
        <w:rPr>
          <w:rFonts w:ascii="Times New Roman" w:hAnsi="Times New Roman"/>
          <w:i/>
          <w:sz w:val="24"/>
        </w:rPr>
        <w:t>I</w:t>
      </w:r>
      <w:r w:rsidR="00C10727" w:rsidRPr="007954B9">
        <w:rPr>
          <w:rFonts w:ascii="Times New Roman" w:hAnsi="Times New Roman"/>
          <w:i/>
          <w:sz w:val="24"/>
        </w:rPr>
        <w:t>n liq)</w:t>
      </w:r>
      <w:r w:rsidR="006B304A" w:rsidRPr="007954B9">
        <w:rPr>
          <w:rFonts w:ascii="Times New Roman" w:hAnsi="Times New Roman"/>
          <w:i/>
          <w:sz w:val="24"/>
        </w:rPr>
        <w:t xml:space="preserve"> </w:t>
      </w:r>
      <w:r w:rsidR="008D40D1" w:rsidRPr="007954B9">
        <w:rPr>
          <w:rFonts w:ascii="Times New Roman" w:hAnsi="Times New Roman"/>
          <w:i/>
          <w:sz w:val="24"/>
        </w:rPr>
        <w:t>v Collins</w:t>
      </w:r>
      <w:r w:rsidR="008D40D1" w:rsidRPr="007954B9">
        <w:rPr>
          <w:rFonts w:ascii="Times New Roman" w:hAnsi="Times New Roman"/>
          <w:sz w:val="24"/>
        </w:rPr>
        <w:t xml:space="preserve"> (2016) 259 CLR 212</w:t>
      </w:r>
      <w:r w:rsidR="001A27DE" w:rsidRPr="007954B9">
        <w:rPr>
          <w:rFonts w:ascii="Times New Roman" w:hAnsi="Times New Roman"/>
          <w:sz w:val="24"/>
        </w:rPr>
        <w:t xml:space="preserve">; </w:t>
      </w:r>
      <w:r w:rsidR="009E218A" w:rsidRPr="007954B9">
        <w:rPr>
          <w:rFonts w:ascii="Times New Roman" w:hAnsi="Times New Roman"/>
          <w:i/>
          <w:sz w:val="24"/>
        </w:rPr>
        <w:t>BMW Australia Ltd v Bre</w:t>
      </w:r>
      <w:r w:rsidR="00626A72" w:rsidRPr="007954B9">
        <w:rPr>
          <w:rFonts w:ascii="Times New Roman" w:hAnsi="Times New Roman"/>
          <w:i/>
          <w:sz w:val="24"/>
        </w:rPr>
        <w:t>wster</w:t>
      </w:r>
      <w:r w:rsidR="001A5A92" w:rsidRPr="007954B9">
        <w:rPr>
          <w:rFonts w:ascii="Times New Roman" w:hAnsi="Times New Roman"/>
          <w:i/>
          <w:sz w:val="24"/>
        </w:rPr>
        <w:t xml:space="preserve"> </w:t>
      </w:r>
      <w:r w:rsidR="001A5A92" w:rsidRPr="007954B9">
        <w:rPr>
          <w:rFonts w:ascii="Times New Roman" w:hAnsi="Times New Roman"/>
          <w:sz w:val="24"/>
        </w:rPr>
        <w:t>(2019) 269 CLR 574.</w:t>
      </w:r>
    </w:p>
  </w:footnote>
  <w:footnote w:id="7">
    <w:p w14:paraId="1F84B4E1" w14:textId="4F9070C0" w:rsidR="001F7338" w:rsidRPr="007954B9" w:rsidRDefault="001F7338"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r>
      <w:r w:rsidR="00D5155D" w:rsidRPr="007954B9">
        <w:rPr>
          <w:rFonts w:ascii="Times New Roman" w:hAnsi="Times New Roman"/>
          <w:i/>
          <w:iCs/>
          <w:sz w:val="24"/>
        </w:rPr>
        <w:t>Poi</w:t>
      </w:r>
      <w:r w:rsidR="00E60882" w:rsidRPr="007954B9">
        <w:rPr>
          <w:rFonts w:ascii="Times New Roman" w:hAnsi="Times New Roman"/>
          <w:i/>
          <w:iCs/>
          <w:sz w:val="24"/>
        </w:rPr>
        <w:t>gnand v NZI Securities</w:t>
      </w:r>
      <w:r w:rsidR="00AB031E" w:rsidRPr="007954B9">
        <w:rPr>
          <w:rFonts w:ascii="Times New Roman" w:hAnsi="Times New Roman"/>
          <w:i/>
          <w:iCs/>
          <w:sz w:val="24"/>
        </w:rPr>
        <w:t xml:space="preserve"> Australia Ltd</w:t>
      </w:r>
      <w:r w:rsidR="00AB031E" w:rsidRPr="007954B9">
        <w:rPr>
          <w:rFonts w:ascii="Times New Roman" w:hAnsi="Times New Roman"/>
          <w:sz w:val="24"/>
        </w:rPr>
        <w:t xml:space="preserve"> (</w:t>
      </w:r>
      <w:r w:rsidR="00F6636A" w:rsidRPr="007954B9">
        <w:rPr>
          <w:rFonts w:ascii="Times New Roman" w:hAnsi="Times New Roman"/>
          <w:sz w:val="24"/>
        </w:rPr>
        <w:t>1992) 3</w:t>
      </w:r>
      <w:r w:rsidR="003B5E93" w:rsidRPr="007954B9">
        <w:rPr>
          <w:rFonts w:ascii="Times New Roman" w:hAnsi="Times New Roman"/>
          <w:sz w:val="24"/>
        </w:rPr>
        <w:t>7</w:t>
      </w:r>
      <w:r w:rsidR="00F6636A" w:rsidRPr="007954B9">
        <w:rPr>
          <w:rFonts w:ascii="Times New Roman" w:hAnsi="Times New Roman"/>
          <w:sz w:val="24"/>
        </w:rPr>
        <w:t xml:space="preserve"> FCR 36</w:t>
      </w:r>
      <w:r w:rsidR="00187DC8" w:rsidRPr="007954B9">
        <w:rPr>
          <w:rFonts w:ascii="Times New Roman" w:hAnsi="Times New Roman"/>
          <w:sz w:val="24"/>
        </w:rPr>
        <w:t>3</w:t>
      </w:r>
      <w:r w:rsidR="00D47A8B" w:rsidRPr="007954B9">
        <w:rPr>
          <w:rFonts w:ascii="Times New Roman" w:hAnsi="Times New Roman"/>
          <w:sz w:val="24"/>
        </w:rPr>
        <w:t xml:space="preserve"> at 365</w:t>
      </w:r>
      <w:r w:rsidR="0092670F" w:rsidRPr="007954B9">
        <w:rPr>
          <w:rFonts w:ascii="Times New Roman" w:hAnsi="Times New Roman"/>
          <w:sz w:val="24"/>
        </w:rPr>
        <w:t>,</w:t>
      </w:r>
      <w:r w:rsidR="00D47A8B" w:rsidRPr="007954B9">
        <w:rPr>
          <w:rFonts w:ascii="Times New Roman" w:hAnsi="Times New Roman"/>
          <w:sz w:val="24"/>
        </w:rPr>
        <w:t xml:space="preserve"> </w:t>
      </w:r>
      <w:r w:rsidR="0092670F" w:rsidRPr="007954B9">
        <w:rPr>
          <w:rFonts w:ascii="Times New Roman" w:hAnsi="Times New Roman"/>
          <w:sz w:val="24"/>
        </w:rPr>
        <w:t>cited in</w:t>
      </w:r>
      <w:r w:rsidR="00D47A8B" w:rsidRPr="007954B9">
        <w:rPr>
          <w:rFonts w:ascii="Times New Roman" w:hAnsi="Times New Roman"/>
          <w:sz w:val="24"/>
        </w:rPr>
        <w:t xml:space="preserve"> </w:t>
      </w:r>
      <w:r w:rsidRPr="007954B9">
        <w:rPr>
          <w:rFonts w:ascii="Times New Roman" w:hAnsi="Times New Roman"/>
          <w:i/>
          <w:iCs/>
          <w:sz w:val="24"/>
        </w:rPr>
        <w:t>Wong</w:t>
      </w:r>
      <w:r w:rsidR="00255593" w:rsidRPr="007954B9">
        <w:rPr>
          <w:rFonts w:ascii="Times New Roman" w:hAnsi="Times New Roman"/>
          <w:i/>
          <w:iCs/>
          <w:sz w:val="24"/>
        </w:rPr>
        <w:t xml:space="preserve"> v Silkfield</w:t>
      </w:r>
      <w:r w:rsidR="006E0A24" w:rsidRPr="007954B9">
        <w:rPr>
          <w:rFonts w:ascii="Times New Roman" w:hAnsi="Times New Roman"/>
          <w:i/>
          <w:iCs/>
          <w:sz w:val="24"/>
        </w:rPr>
        <w:t xml:space="preserve"> Pty Ltd</w:t>
      </w:r>
      <w:r w:rsidR="006E0A24" w:rsidRPr="007954B9">
        <w:rPr>
          <w:rFonts w:ascii="Times New Roman" w:hAnsi="Times New Roman"/>
          <w:sz w:val="24"/>
        </w:rPr>
        <w:t xml:space="preserve"> (</w:t>
      </w:r>
      <w:r w:rsidR="00704A51" w:rsidRPr="007954B9">
        <w:rPr>
          <w:rFonts w:ascii="Times New Roman" w:hAnsi="Times New Roman"/>
          <w:sz w:val="24"/>
        </w:rPr>
        <w:t xml:space="preserve">1999) 199 CLR </w:t>
      </w:r>
      <w:r w:rsidR="00E70809" w:rsidRPr="007954B9">
        <w:rPr>
          <w:rFonts w:ascii="Times New Roman" w:hAnsi="Times New Roman"/>
          <w:sz w:val="24"/>
        </w:rPr>
        <w:t>255 at 258 [1].</w:t>
      </w:r>
    </w:p>
  </w:footnote>
  <w:footnote w:id="8">
    <w:p w14:paraId="4DF1D4A7" w14:textId="660DBB4C" w:rsidR="005872D4" w:rsidRPr="007954B9" w:rsidRDefault="005872D4"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097C75" w:rsidRPr="007954B9">
        <w:rPr>
          <w:rFonts w:ascii="Times New Roman" w:hAnsi="Times New Roman"/>
          <w:sz w:val="24"/>
        </w:rPr>
        <w:tab/>
      </w:r>
      <w:r w:rsidR="00B77705" w:rsidRPr="007954B9">
        <w:rPr>
          <w:rFonts w:ascii="Times New Roman" w:hAnsi="Times New Roman"/>
          <w:sz w:val="24"/>
        </w:rPr>
        <w:t xml:space="preserve">Section </w:t>
      </w:r>
      <w:r w:rsidR="009B3BAB" w:rsidRPr="007954B9">
        <w:rPr>
          <w:rFonts w:ascii="Times New Roman" w:hAnsi="Times New Roman"/>
          <w:sz w:val="24"/>
        </w:rPr>
        <w:t>38</w:t>
      </w:r>
      <w:r w:rsidR="00015274" w:rsidRPr="007954B9">
        <w:rPr>
          <w:rFonts w:ascii="Times New Roman" w:hAnsi="Times New Roman"/>
          <w:sz w:val="24"/>
        </w:rPr>
        <w:t xml:space="preserve"> of the</w:t>
      </w:r>
      <w:r w:rsidR="00015274" w:rsidRPr="007954B9">
        <w:rPr>
          <w:rFonts w:ascii="Times New Roman" w:hAnsi="Times New Roman"/>
          <w:i/>
          <w:iCs/>
          <w:sz w:val="24"/>
        </w:rPr>
        <w:t xml:space="preserve"> </w:t>
      </w:r>
      <w:r w:rsidR="00372D59" w:rsidRPr="007954B9">
        <w:rPr>
          <w:rFonts w:ascii="Times New Roman" w:hAnsi="Times New Roman"/>
          <w:sz w:val="24"/>
        </w:rPr>
        <w:t>Act</w:t>
      </w:r>
      <w:r w:rsidR="00FB46A3" w:rsidRPr="007954B9">
        <w:rPr>
          <w:rFonts w:ascii="Times New Roman" w:hAnsi="Times New Roman"/>
          <w:sz w:val="24"/>
        </w:rPr>
        <w:t>.</w:t>
      </w:r>
    </w:p>
  </w:footnote>
  <w:footnote w:id="9">
    <w:p w14:paraId="2551A755" w14:textId="556682B9" w:rsidR="005A0991" w:rsidRPr="007954B9" w:rsidRDefault="005A0991"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FB46A3" w:rsidRPr="007954B9">
        <w:rPr>
          <w:rFonts w:ascii="Times New Roman" w:hAnsi="Times New Roman"/>
          <w:sz w:val="24"/>
        </w:rPr>
        <w:tab/>
        <w:t xml:space="preserve">Part </w:t>
      </w:r>
      <w:r w:rsidR="00521A8D" w:rsidRPr="007954B9">
        <w:rPr>
          <w:rFonts w:ascii="Times New Roman" w:hAnsi="Times New Roman"/>
          <w:sz w:val="24"/>
        </w:rPr>
        <w:t xml:space="preserve">8 </w:t>
      </w:r>
      <w:r w:rsidR="00FB46A3" w:rsidRPr="007954B9">
        <w:rPr>
          <w:rFonts w:ascii="Times New Roman" w:hAnsi="Times New Roman"/>
          <w:sz w:val="24"/>
        </w:rPr>
        <w:t xml:space="preserve">of the </w:t>
      </w:r>
      <w:r w:rsidR="00FB46A3" w:rsidRPr="007954B9">
        <w:rPr>
          <w:rFonts w:ascii="Times New Roman" w:hAnsi="Times New Roman"/>
          <w:i/>
          <w:iCs/>
          <w:sz w:val="24"/>
        </w:rPr>
        <w:t>Federal Court</w:t>
      </w:r>
      <w:r w:rsidR="00A47083" w:rsidRPr="007954B9">
        <w:rPr>
          <w:rFonts w:ascii="Times New Roman" w:hAnsi="Times New Roman"/>
          <w:i/>
          <w:iCs/>
          <w:sz w:val="24"/>
        </w:rPr>
        <w:t xml:space="preserve"> Rules 2011</w:t>
      </w:r>
      <w:r w:rsidR="00A47083" w:rsidRPr="007954B9">
        <w:rPr>
          <w:rFonts w:ascii="Times New Roman" w:hAnsi="Times New Roman"/>
          <w:sz w:val="24"/>
        </w:rPr>
        <w:t xml:space="preserve"> (Cth).</w:t>
      </w:r>
    </w:p>
  </w:footnote>
  <w:footnote w:id="10">
    <w:p w14:paraId="2CFD491A" w14:textId="58B1DC7B" w:rsidR="005A0991" w:rsidRPr="007954B9" w:rsidRDefault="005A0991"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B6697E" w:rsidRPr="007954B9">
        <w:rPr>
          <w:rFonts w:ascii="Times New Roman" w:hAnsi="Times New Roman"/>
          <w:sz w:val="24"/>
        </w:rPr>
        <w:tab/>
        <w:t xml:space="preserve">Part </w:t>
      </w:r>
      <w:r w:rsidR="00B96D23" w:rsidRPr="007954B9">
        <w:rPr>
          <w:rFonts w:ascii="Times New Roman" w:hAnsi="Times New Roman"/>
          <w:sz w:val="24"/>
        </w:rPr>
        <w:t>10</w:t>
      </w:r>
      <w:r w:rsidR="00B6697E" w:rsidRPr="007954B9">
        <w:rPr>
          <w:rFonts w:ascii="Times New Roman" w:hAnsi="Times New Roman"/>
          <w:sz w:val="24"/>
        </w:rPr>
        <w:t xml:space="preserve"> of the </w:t>
      </w:r>
      <w:r w:rsidR="00B6697E" w:rsidRPr="007954B9">
        <w:rPr>
          <w:rFonts w:ascii="Times New Roman" w:hAnsi="Times New Roman"/>
          <w:i/>
          <w:iCs/>
          <w:sz w:val="24"/>
        </w:rPr>
        <w:t>Federal Court Rules 2011</w:t>
      </w:r>
      <w:r w:rsidR="00B6697E" w:rsidRPr="007954B9">
        <w:rPr>
          <w:rFonts w:ascii="Times New Roman" w:hAnsi="Times New Roman"/>
          <w:sz w:val="24"/>
        </w:rPr>
        <w:t xml:space="preserve"> (Cth).</w:t>
      </w:r>
    </w:p>
  </w:footnote>
  <w:footnote w:id="11">
    <w:p w14:paraId="4D3FD558" w14:textId="63C94C35" w:rsidR="00C21D4F" w:rsidRPr="007954B9" w:rsidRDefault="00C21D4F"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7C0123" w:rsidRPr="007954B9">
        <w:rPr>
          <w:rFonts w:ascii="Times New Roman" w:hAnsi="Times New Roman"/>
          <w:sz w:val="24"/>
        </w:rPr>
        <w:tab/>
      </w:r>
      <w:r w:rsidR="006C2F0F" w:rsidRPr="007954B9">
        <w:rPr>
          <w:rFonts w:ascii="Times New Roman" w:hAnsi="Times New Roman"/>
          <w:i/>
          <w:iCs/>
          <w:sz w:val="24"/>
        </w:rPr>
        <w:t xml:space="preserve">Oceanic Sun Line Special Shipping Co Inc v Fay </w:t>
      </w:r>
      <w:r w:rsidR="006C2F0F" w:rsidRPr="007954B9">
        <w:rPr>
          <w:rFonts w:ascii="Times New Roman" w:hAnsi="Times New Roman"/>
          <w:sz w:val="24"/>
        </w:rPr>
        <w:t xml:space="preserve">(1988) 165 CLR 197 at 252; </w:t>
      </w:r>
      <w:r w:rsidR="006C2F0F" w:rsidRPr="007954B9">
        <w:rPr>
          <w:rFonts w:ascii="Times New Roman" w:hAnsi="Times New Roman"/>
          <w:i/>
          <w:iCs/>
          <w:sz w:val="24"/>
        </w:rPr>
        <w:t xml:space="preserve">Plaintiff M47/2012 v Director-General of Security </w:t>
      </w:r>
      <w:r w:rsidR="006C2F0F" w:rsidRPr="007954B9">
        <w:rPr>
          <w:rFonts w:ascii="Times New Roman" w:hAnsi="Times New Roman"/>
          <w:sz w:val="24"/>
        </w:rPr>
        <w:t>(2012) 251 CLR 1 at 52 [88].</w:t>
      </w:r>
    </w:p>
  </w:footnote>
  <w:footnote w:id="12">
    <w:p w14:paraId="1D1E3C1C" w14:textId="326D9CC6" w:rsidR="007C1C38" w:rsidRPr="007954B9" w:rsidRDefault="007C1C38"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097C75" w:rsidRPr="007954B9">
        <w:rPr>
          <w:rFonts w:ascii="Times New Roman" w:hAnsi="Times New Roman"/>
          <w:sz w:val="24"/>
        </w:rPr>
        <w:tab/>
      </w:r>
      <w:r w:rsidR="00097C75" w:rsidRPr="007954B9">
        <w:rPr>
          <w:rFonts w:ascii="Times New Roman" w:hAnsi="Times New Roman"/>
          <w:i/>
          <w:iCs/>
          <w:sz w:val="24"/>
        </w:rPr>
        <w:t>Laurie</w:t>
      </w:r>
      <w:r w:rsidR="00ED5388" w:rsidRPr="007954B9">
        <w:rPr>
          <w:rFonts w:ascii="Times New Roman" w:hAnsi="Times New Roman"/>
          <w:i/>
          <w:iCs/>
          <w:sz w:val="24"/>
        </w:rPr>
        <w:t xml:space="preserve"> v Carroll</w:t>
      </w:r>
      <w:r w:rsidR="00ED5388" w:rsidRPr="007954B9">
        <w:rPr>
          <w:rFonts w:ascii="Times New Roman" w:hAnsi="Times New Roman"/>
          <w:sz w:val="24"/>
        </w:rPr>
        <w:t xml:space="preserve"> (1958) 98 CLR 310 at 32</w:t>
      </w:r>
      <w:r w:rsidR="00AE2866" w:rsidRPr="007954B9">
        <w:rPr>
          <w:rFonts w:ascii="Times New Roman" w:hAnsi="Times New Roman"/>
          <w:sz w:val="24"/>
        </w:rPr>
        <w:t xml:space="preserve">3, </w:t>
      </w:r>
      <w:r w:rsidR="002464C2" w:rsidRPr="007954B9">
        <w:rPr>
          <w:rFonts w:ascii="Times New Roman" w:hAnsi="Times New Roman"/>
          <w:sz w:val="24"/>
        </w:rPr>
        <w:t xml:space="preserve">referred to </w:t>
      </w:r>
      <w:r w:rsidR="00AE2866" w:rsidRPr="007954B9">
        <w:rPr>
          <w:rFonts w:ascii="Times New Roman" w:hAnsi="Times New Roman"/>
          <w:sz w:val="24"/>
        </w:rPr>
        <w:t xml:space="preserve">in </w:t>
      </w:r>
      <w:r w:rsidR="00AE2866" w:rsidRPr="007954B9">
        <w:rPr>
          <w:rFonts w:ascii="Times New Roman" w:hAnsi="Times New Roman"/>
          <w:i/>
          <w:sz w:val="24"/>
        </w:rPr>
        <w:t>Mobil Oil Australia Pty Ltd v Victoria</w:t>
      </w:r>
      <w:r w:rsidR="00924C29" w:rsidRPr="007954B9">
        <w:rPr>
          <w:rFonts w:ascii="Times New Roman" w:hAnsi="Times New Roman"/>
          <w:sz w:val="24"/>
        </w:rPr>
        <w:t xml:space="preserve"> (2002) 211 CLR 1 at </w:t>
      </w:r>
      <w:r w:rsidR="008C03DA" w:rsidRPr="007954B9">
        <w:rPr>
          <w:rFonts w:ascii="Times New Roman" w:hAnsi="Times New Roman"/>
          <w:sz w:val="24"/>
        </w:rPr>
        <w:t>23 [11].</w:t>
      </w:r>
      <w:r w:rsidR="00AE2866" w:rsidRPr="007954B9">
        <w:rPr>
          <w:rFonts w:ascii="Times New Roman" w:hAnsi="Times New Roman"/>
          <w:sz w:val="24"/>
        </w:rPr>
        <w:t xml:space="preserve"> See </w:t>
      </w:r>
      <w:r w:rsidR="003E5E0A" w:rsidRPr="007954B9">
        <w:rPr>
          <w:rFonts w:ascii="Times New Roman" w:hAnsi="Times New Roman"/>
          <w:sz w:val="24"/>
        </w:rPr>
        <w:t xml:space="preserve">also </w:t>
      </w:r>
      <w:r w:rsidR="00873BCE" w:rsidRPr="007954B9">
        <w:rPr>
          <w:rFonts w:ascii="Times New Roman" w:hAnsi="Times New Roman"/>
          <w:sz w:val="24"/>
        </w:rPr>
        <w:t xml:space="preserve">(2002) 211 CLR 1 at </w:t>
      </w:r>
      <w:r w:rsidR="00FE6BDB" w:rsidRPr="007954B9">
        <w:rPr>
          <w:rFonts w:ascii="Times New Roman" w:hAnsi="Times New Roman"/>
          <w:sz w:val="24"/>
        </w:rPr>
        <w:t>36 [55];</w:t>
      </w:r>
      <w:r w:rsidR="0086126D" w:rsidRPr="007954B9">
        <w:rPr>
          <w:rFonts w:ascii="Times New Roman" w:hAnsi="Times New Roman"/>
          <w:sz w:val="24"/>
        </w:rPr>
        <w:t xml:space="preserve"> </w:t>
      </w:r>
      <w:r w:rsidR="004E323D" w:rsidRPr="007954B9">
        <w:rPr>
          <w:rFonts w:ascii="Times New Roman" w:hAnsi="Times New Roman"/>
          <w:i/>
          <w:iCs/>
          <w:sz w:val="24"/>
        </w:rPr>
        <w:t>Gosper v Saw</w:t>
      </w:r>
      <w:r w:rsidR="00CA2403" w:rsidRPr="007954B9">
        <w:rPr>
          <w:rFonts w:ascii="Times New Roman" w:hAnsi="Times New Roman"/>
          <w:i/>
          <w:iCs/>
          <w:sz w:val="24"/>
        </w:rPr>
        <w:t>y</w:t>
      </w:r>
      <w:r w:rsidR="004E323D" w:rsidRPr="007954B9">
        <w:rPr>
          <w:rFonts w:ascii="Times New Roman" w:hAnsi="Times New Roman"/>
          <w:i/>
          <w:iCs/>
          <w:sz w:val="24"/>
        </w:rPr>
        <w:t>er</w:t>
      </w:r>
      <w:r w:rsidR="004E323D" w:rsidRPr="007954B9">
        <w:rPr>
          <w:rFonts w:ascii="Times New Roman" w:hAnsi="Times New Roman"/>
          <w:sz w:val="24"/>
        </w:rPr>
        <w:t xml:space="preserve"> (1985) </w:t>
      </w:r>
      <w:r w:rsidR="00020ABF" w:rsidRPr="007954B9">
        <w:rPr>
          <w:rFonts w:ascii="Times New Roman" w:hAnsi="Times New Roman"/>
          <w:sz w:val="24"/>
        </w:rPr>
        <w:t xml:space="preserve">160 CLR 548 at 564-565; </w:t>
      </w:r>
      <w:r w:rsidR="0086126D" w:rsidRPr="007954B9">
        <w:rPr>
          <w:rFonts w:ascii="Times New Roman" w:hAnsi="Times New Roman"/>
          <w:i/>
          <w:iCs/>
          <w:sz w:val="24"/>
        </w:rPr>
        <w:t>Fla</w:t>
      </w:r>
      <w:r w:rsidR="00B303C1" w:rsidRPr="007954B9">
        <w:rPr>
          <w:rFonts w:ascii="Times New Roman" w:hAnsi="Times New Roman"/>
          <w:i/>
          <w:iCs/>
          <w:sz w:val="24"/>
        </w:rPr>
        <w:t>h</w:t>
      </w:r>
      <w:r w:rsidR="002F0C36" w:rsidRPr="007954B9">
        <w:rPr>
          <w:rFonts w:ascii="Times New Roman" w:hAnsi="Times New Roman"/>
          <w:i/>
          <w:iCs/>
          <w:sz w:val="24"/>
        </w:rPr>
        <w:t>erty</w:t>
      </w:r>
      <w:r w:rsidR="004D77C4" w:rsidRPr="007954B9">
        <w:rPr>
          <w:rFonts w:ascii="Times New Roman" w:hAnsi="Times New Roman"/>
          <w:i/>
          <w:iCs/>
          <w:sz w:val="24"/>
        </w:rPr>
        <w:t xml:space="preserve"> v Girg</w:t>
      </w:r>
      <w:r w:rsidR="000C49BC" w:rsidRPr="007954B9">
        <w:rPr>
          <w:rFonts w:ascii="Times New Roman" w:hAnsi="Times New Roman"/>
          <w:i/>
          <w:iCs/>
          <w:sz w:val="24"/>
        </w:rPr>
        <w:t>is</w:t>
      </w:r>
      <w:r w:rsidR="000C49BC" w:rsidRPr="007954B9">
        <w:rPr>
          <w:rFonts w:ascii="Times New Roman" w:hAnsi="Times New Roman"/>
          <w:sz w:val="24"/>
        </w:rPr>
        <w:t xml:space="preserve"> (1987) </w:t>
      </w:r>
      <w:r w:rsidR="007F3429" w:rsidRPr="007954B9">
        <w:rPr>
          <w:rFonts w:ascii="Times New Roman" w:hAnsi="Times New Roman"/>
          <w:sz w:val="24"/>
        </w:rPr>
        <w:t xml:space="preserve">162 CLR 574 at </w:t>
      </w:r>
      <w:r w:rsidR="00D261E4" w:rsidRPr="007954B9">
        <w:rPr>
          <w:rFonts w:ascii="Times New Roman" w:hAnsi="Times New Roman"/>
          <w:sz w:val="24"/>
        </w:rPr>
        <w:t>59</w:t>
      </w:r>
      <w:r w:rsidR="00CD311F" w:rsidRPr="007954B9">
        <w:rPr>
          <w:rFonts w:ascii="Times New Roman" w:hAnsi="Times New Roman"/>
          <w:sz w:val="24"/>
        </w:rPr>
        <w:t>9</w:t>
      </w:r>
      <w:r w:rsidR="00D261E4" w:rsidRPr="007954B9">
        <w:rPr>
          <w:rFonts w:ascii="Times New Roman" w:hAnsi="Times New Roman"/>
          <w:sz w:val="24"/>
        </w:rPr>
        <w:t>-</w:t>
      </w:r>
      <w:r w:rsidR="00EC669D" w:rsidRPr="007954B9">
        <w:rPr>
          <w:rFonts w:ascii="Times New Roman" w:hAnsi="Times New Roman"/>
          <w:sz w:val="24"/>
        </w:rPr>
        <w:t>600</w:t>
      </w:r>
      <w:r w:rsidR="00A55101" w:rsidRPr="007954B9">
        <w:rPr>
          <w:rFonts w:ascii="Times New Roman" w:hAnsi="Times New Roman"/>
          <w:sz w:val="24"/>
        </w:rPr>
        <w:t xml:space="preserve">; </w:t>
      </w:r>
      <w:r w:rsidR="00A55101" w:rsidRPr="007954B9">
        <w:rPr>
          <w:rFonts w:ascii="Times New Roman" w:hAnsi="Times New Roman"/>
          <w:i/>
          <w:iCs/>
          <w:sz w:val="24"/>
        </w:rPr>
        <w:t>John Pfeiffer Pty Ltd v Rogerson</w:t>
      </w:r>
      <w:r w:rsidR="00222026" w:rsidRPr="007954B9">
        <w:rPr>
          <w:rFonts w:ascii="Times New Roman" w:hAnsi="Times New Roman"/>
          <w:sz w:val="24"/>
        </w:rPr>
        <w:t xml:space="preserve"> (200</w:t>
      </w:r>
      <w:r w:rsidR="008F747D" w:rsidRPr="007954B9">
        <w:rPr>
          <w:rFonts w:ascii="Times New Roman" w:hAnsi="Times New Roman"/>
          <w:sz w:val="24"/>
        </w:rPr>
        <w:t>0</w:t>
      </w:r>
      <w:r w:rsidR="00222026" w:rsidRPr="007954B9">
        <w:rPr>
          <w:rFonts w:ascii="Times New Roman" w:hAnsi="Times New Roman"/>
          <w:sz w:val="24"/>
        </w:rPr>
        <w:t xml:space="preserve">) 203 CLR 503 at </w:t>
      </w:r>
      <w:r w:rsidR="008F747D" w:rsidRPr="007954B9">
        <w:rPr>
          <w:rFonts w:ascii="Times New Roman" w:hAnsi="Times New Roman"/>
          <w:sz w:val="24"/>
        </w:rPr>
        <w:t>517 [13]</w:t>
      </w:r>
      <w:r w:rsidR="003E5E0A" w:rsidRPr="007954B9">
        <w:rPr>
          <w:rFonts w:ascii="Times New Roman" w:hAnsi="Times New Roman"/>
          <w:sz w:val="24"/>
        </w:rPr>
        <w:t>.</w:t>
      </w:r>
    </w:p>
  </w:footnote>
  <w:footnote w:id="13">
    <w:p w14:paraId="6F479AE2" w14:textId="1EFBC714" w:rsidR="00B10A8C" w:rsidRPr="007954B9" w:rsidRDefault="00B10A8C"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r>
      <w:r w:rsidR="00820090" w:rsidRPr="007954B9">
        <w:rPr>
          <w:rFonts w:ascii="Times New Roman" w:hAnsi="Times New Roman"/>
          <w:sz w:val="24"/>
        </w:rPr>
        <w:t xml:space="preserve">Section </w:t>
      </w:r>
      <w:r w:rsidR="00DC66DF" w:rsidRPr="007954B9">
        <w:rPr>
          <w:rFonts w:ascii="Times New Roman" w:hAnsi="Times New Roman"/>
          <w:sz w:val="24"/>
        </w:rPr>
        <w:t xml:space="preserve">2C of the </w:t>
      </w:r>
      <w:r w:rsidRPr="007954B9">
        <w:rPr>
          <w:rFonts w:ascii="Times New Roman" w:hAnsi="Times New Roman"/>
          <w:i/>
          <w:iCs/>
          <w:sz w:val="24"/>
        </w:rPr>
        <w:t>Acts Interpretation Act</w:t>
      </w:r>
      <w:r w:rsidR="00820090" w:rsidRPr="007954B9">
        <w:rPr>
          <w:rFonts w:ascii="Times New Roman" w:hAnsi="Times New Roman"/>
          <w:i/>
          <w:iCs/>
          <w:sz w:val="24"/>
        </w:rPr>
        <w:t xml:space="preserve"> 1901</w:t>
      </w:r>
      <w:r w:rsidR="00820090" w:rsidRPr="007954B9">
        <w:rPr>
          <w:rFonts w:ascii="Times New Roman" w:hAnsi="Times New Roman"/>
          <w:sz w:val="24"/>
        </w:rPr>
        <w:t xml:space="preserve"> (Cth).</w:t>
      </w:r>
    </w:p>
  </w:footnote>
  <w:footnote w:id="14">
    <w:p w14:paraId="04D20C93" w14:textId="3C388E9A" w:rsidR="00055E3E" w:rsidRPr="007954B9" w:rsidRDefault="00055E3E"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7546CB" w:rsidRPr="007954B9">
        <w:rPr>
          <w:rFonts w:ascii="Times New Roman" w:hAnsi="Times New Roman"/>
          <w:sz w:val="24"/>
        </w:rPr>
        <w:tab/>
        <w:t xml:space="preserve">Section 18A of the </w:t>
      </w:r>
      <w:r w:rsidR="007546CB" w:rsidRPr="007954B9">
        <w:rPr>
          <w:rFonts w:ascii="Times New Roman" w:hAnsi="Times New Roman"/>
          <w:i/>
          <w:iCs/>
          <w:sz w:val="24"/>
        </w:rPr>
        <w:t>Acts Interpretation Act 1901</w:t>
      </w:r>
      <w:r w:rsidR="007546CB" w:rsidRPr="007954B9">
        <w:rPr>
          <w:rFonts w:ascii="Times New Roman" w:hAnsi="Times New Roman"/>
          <w:sz w:val="24"/>
        </w:rPr>
        <w:t xml:space="preserve"> (Cth).</w:t>
      </w:r>
    </w:p>
  </w:footnote>
  <w:footnote w:id="15">
    <w:p w14:paraId="20AA67D9" w14:textId="766D8648" w:rsidR="00C16BBB" w:rsidRPr="007954B9" w:rsidRDefault="00C16BBB"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r>
      <w:r w:rsidR="00CB0085" w:rsidRPr="007954B9">
        <w:rPr>
          <w:rFonts w:ascii="Times New Roman" w:hAnsi="Times New Roman"/>
          <w:i/>
          <w:sz w:val="24"/>
        </w:rPr>
        <w:t>Mobil Oil Australia Pty Ltd v Victoria</w:t>
      </w:r>
      <w:r w:rsidR="00CB0085" w:rsidRPr="007954B9">
        <w:rPr>
          <w:rFonts w:ascii="Times New Roman" w:hAnsi="Times New Roman"/>
          <w:sz w:val="24"/>
        </w:rPr>
        <w:t xml:space="preserve"> (2002) 211 CLR 1 at 31 [</w:t>
      </w:r>
      <w:r w:rsidR="00C90BE2" w:rsidRPr="007954B9">
        <w:rPr>
          <w:rFonts w:ascii="Times New Roman" w:hAnsi="Times New Roman"/>
          <w:sz w:val="24"/>
        </w:rPr>
        <w:t>39].</w:t>
      </w:r>
    </w:p>
  </w:footnote>
  <w:footnote w:id="16">
    <w:p w14:paraId="73C38382" w14:textId="779E1D0F" w:rsidR="000E46EE" w:rsidRPr="007954B9" w:rsidRDefault="000E46EE"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r>
      <w:r w:rsidR="00213776" w:rsidRPr="007954B9">
        <w:rPr>
          <w:rFonts w:ascii="Times New Roman" w:hAnsi="Times New Roman"/>
          <w:i/>
          <w:sz w:val="24"/>
        </w:rPr>
        <w:t>Timbercorp Finance Pty Ltd</w:t>
      </w:r>
      <w:r w:rsidR="0006558B" w:rsidRPr="007954B9">
        <w:rPr>
          <w:rFonts w:ascii="Times New Roman" w:hAnsi="Times New Roman"/>
          <w:i/>
          <w:sz w:val="24"/>
        </w:rPr>
        <w:t xml:space="preserve"> (In liq)</w:t>
      </w:r>
      <w:r w:rsidR="00213776" w:rsidRPr="007954B9">
        <w:rPr>
          <w:rFonts w:ascii="Times New Roman" w:hAnsi="Times New Roman"/>
          <w:i/>
          <w:sz w:val="24"/>
        </w:rPr>
        <w:t xml:space="preserve"> v Collins</w:t>
      </w:r>
      <w:r w:rsidR="00213776" w:rsidRPr="007954B9">
        <w:rPr>
          <w:rFonts w:ascii="Times New Roman" w:hAnsi="Times New Roman"/>
          <w:sz w:val="24"/>
        </w:rPr>
        <w:t xml:space="preserve"> (2016) 259 CLR 212 at 2</w:t>
      </w:r>
      <w:r w:rsidR="009A7255" w:rsidRPr="007954B9">
        <w:rPr>
          <w:rFonts w:ascii="Times New Roman" w:hAnsi="Times New Roman"/>
          <w:sz w:val="24"/>
        </w:rPr>
        <w:t>35</w:t>
      </w:r>
      <w:r w:rsidR="00213776" w:rsidRPr="007954B9">
        <w:rPr>
          <w:rFonts w:ascii="Times New Roman" w:hAnsi="Times New Roman"/>
          <w:sz w:val="24"/>
        </w:rPr>
        <w:t xml:space="preserve"> [52].</w:t>
      </w:r>
    </w:p>
  </w:footnote>
  <w:footnote w:id="17">
    <w:p w14:paraId="6AC68D39" w14:textId="58678AF5" w:rsidR="007F7A98" w:rsidRPr="007954B9" w:rsidRDefault="007F7A98"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r>
      <w:r w:rsidR="003F7490" w:rsidRPr="007954B9">
        <w:rPr>
          <w:rFonts w:ascii="Times New Roman" w:hAnsi="Times New Roman"/>
          <w:sz w:val="24"/>
        </w:rPr>
        <w:t>(1999) 199 CLR 255 at 260-261 [1</w:t>
      </w:r>
      <w:r w:rsidR="008E3102" w:rsidRPr="007954B9">
        <w:rPr>
          <w:rFonts w:ascii="Times New Roman" w:hAnsi="Times New Roman"/>
          <w:sz w:val="24"/>
        </w:rPr>
        <w:t>1</w:t>
      </w:r>
      <w:r w:rsidR="003F7490" w:rsidRPr="007954B9">
        <w:rPr>
          <w:rFonts w:ascii="Times New Roman" w:hAnsi="Times New Roman"/>
          <w:sz w:val="24"/>
        </w:rPr>
        <w:t>].</w:t>
      </w:r>
    </w:p>
  </w:footnote>
  <w:footnote w:id="18">
    <w:p w14:paraId="1EB0E479" w14:textId="5F49E881" w:rsidR="00E4678E" w:rsidRPr="007954B9" w:rsidRDefault="00E4678E"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t>(2002) 211 CLR 1.</w:t>
      </w:r>
    </w:p>
  </w:footnote>
  <w:footnote w:id="19">
    <w:p w14:paraId="122EB2A3" w14:textId="5650C1C2" w:rsidR="002153BD" w:rsidRPr="007954B9" w:rsidRDefault="002153BD"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t>(2002) 211 CLR 1</w:t>
      </w:r>
      <w:r w:rsidR="00E76879" w:rsidRPr="007954B9">
        <w:rPr>
          <w:rFonts w:ascii="Times New Roman" w:hAnsi="Times New Roman"/>
          <w:sz w:val="24"/>
        </w:rPr>
        <w:t xml:space="preserve"> at 23 [10]. </w:t>
      </w:r>
      <w:r w:rsidR="00A82FC6" w:rsidRPr="007954B9">
        <w:rPr>
          <w:rFonts w:ascii="Times New Roman" w:hAnsi="Times New Roman"/>
          <w:sz w:val="24"/>
        </w:rPr>
        <w:t>See also at 37 [59].</w:t>
      </w:r>
    </w:p>
  </w:footnote>
  <w:footnote w:id="20">
    <w:p w14:paraId="3A9F9149" w14:textId="2AA19A64" w:rsidR="00131EC7" w:rsidRPr="007954B9" w:rsidRDefault="00131EC7"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AA5A6E" w:rsidRPr="007954B9">
        <w:rPr>
          <w:rFonts w:ascii="Times New Roman" w:hAnsi="Times New Roman"/>
          <w:sz w:val="24"/>
        </w:rPr>
        <w:tab/>
      </w:r>
      <w:r w:rsidR="00481BC0" w:rsidRPr="007954B9">
        <w:rPr>
          <w:rFonts w:ascii="Times New Roman" w:hAnsi="Times New Roman"/>
          <w:sz w:val="24"/>
        </w:rPr>
        <w:t xml:space="preserve">See Pearce, </w:t>
      </w:r>
      <w:r w:rsidR="00481BC0" w:rsidRPr="007954B9">
        <w:rPr>
          <w:rFonts w:ascii="Times New Roman" w:hAnsi="Times New Roman"/>
          <w:i/>
          <w:iCs/>
          <w:sz w:val="24"/>
        </w:rPr>
        <w:t>Interpretation Acts in Australia</w:t>
      </w:r>
      <w:r w:rsidR="00481BC0" w:rsidRPr="007954B9">
        <w:rPr>
          <w:rFonts w:ascii="Times New Roman" w:hAnsi="Times New Roman"/>
          <w:sz w:val="24"/>
        </w:rPr>
        <w:t xml:space="preserve"> </w:t>
      </w:r>
      <w:r w:rsidR="00CD4D09" w:rsidRPr="007954B9">
        <w:rPr>
          <w:rFonts w:ascii="Times New Roman" w:hAnsi="Times New Roman"/>
          <w:sz w:val="24"/>
        </w:rPr>
        <w:t xml:space="preserve">(2018) </w:t>
      </w:r>
      <w:r w:rsidR="00C9290D" w:rsidRPr="007954B9">
        <w:rPr>
          <w:rFonts w:ascii="Times New Roman" w:hAnsi="Times New Roman"/>
          <w:sz w:val="24"/>
        </w:rPr>
        <w:t>at [4.48].</w:t>
      </w:r>
    </w:p>
  </w:footnote>
  <w:footnote w:id="21">
    <w:p w14:paraId="26626458" w14:textId="1DD6CBD4" w:rsidR="00AA5A6E" w:rsidRPr="007954B9" w:rsidRDefault="00AA5A6E"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C9290D" w:rsidRPr="007954B9">
        <w:rPr>
          <w:rFonts w:ascii="Times New Roman" w:hAnsi="Times New Roman"/>
          <w:sz w:val="24"/>
        </w:rPr>
        <w:tab/>
      </w:r>
      <w:r w:rsidR="00D55939" w:rsidRPr="007954B9">
        <w:rPr>
          <w:rFonts w:ascii="Times New Roman" w:hAnsi="Times New Roman"/>
          <w:sz w:val="24"/>
        </w:rPr>
        <w:t xml:space="preserve">Eg </w:t>
      </w:r>
      <w:r w:rsidR="00D55939" w:rsidRPr="007954B9">
        <w:rPr>
          <w:rFonts w:ascii="Times New Roman" w:hAnsi="Times New Roman"/>
          <w:i/>
          <w:iCs/>
          <w:sz w:val="24"/>
        </w:rPr>
        <w:t xml:space="preserve">Vicars v </w:t>
      </w:r>
      <w:r w:rsidR="009A224E" w:rsidRPr="007954B9">
        <w:rPr>
          <w:rFonts w:ascii="Times New Roman" w:hAnsi="Times New Roman"/>
          <w:i/>
          <w:iCs/>
          <w:sz w:val="24"/>
        </w:rPr>
        <w:t>Commissioner of Stamp Duties</w:t>
      </w:r>
      <w:r w:rsidR="009A224E" w:rsidRPr="007954B9">
        <w:rPr>
          <w:rFonts w:ascii="Times New Roman" w:hAnsi="Times New Roman"/>
          <w:sz w:val="24"/>
        </w:rPr>
        <w:t xml:space="preserve"> (NSW) (1945) 71 CLR </w:t>
      </w:r>
      <w:r w:rsidR="00372419" w:rsidRPr="007954B9">
        <w:rPr>
          <w:rFonts w:ascii="Times New Roman" w:hAnsi="Times New Roman"/>
          <w:sz w:val="24"/>
        </w:rPr>
        <w:t>309 at 345.</w:t>
      </w:r>
    </w:p>
  </w:footnote>
  <w:footnote w:id="22">
    <w:p w14:paraId="30424773" w14:textId="6BAED9B4" w:rsidR="00B912D1" w:rsidRPr="007954B9" w:rsidRDefault="00B912D1"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9E0685" w:rsidRPr="007954B9">
        <w:rPr>
          <w:rFonts w:ascii="Times New Roman" w:hAnsi="Times New Roman"/>
          <w:sz w:val="24"/>
        </w:rPr>
        <w:tab/>
      </w:r>
      <w:r w:rsidR="00A066EE" w:rsidRPr="007954B9">
        <w:rPr>
          <w:rFonts w:ascii="Times New Roman" w:hAnsi="Times New Roman"/>
          <w:sz w:val="24"/>
        </w:rPr>
        <w:t>c</w:t>
      </w:r>
      <w:r w:rsidR="009E0685" w:rsidRPr="007954B9">
        <w:rPr>
          <w:rFonts w:ascii="Times New Roman" w:hAnsi="Times New Roman"/>
          <w:sz w:val="24"/>
        </w:rPr>
        <w:t xml:space="preserve">f </w:t>
      </w:r>
      <w:r w:rsidR="00811BE4" w:rsidRPr="007954B9">
        <w:rPr>
          <w:rFonts w:ascii="Times New Roman" w:hAnsi="Times New Roman"/>
          <w:i/>
          <w:iCs/>
          <w:sz w:val="24"/>
        </w:rPr>
        <w:t>Morrison v National Australia Bank</w:t>
      </w:r>
      <w:r w:rsidR="00FD3757" w:rsidRPr="007954B9">
        <w:rPr>
          <w:rFonts w:ascii="Times New Roman" w:hAnsi="Times New Roman"/>
          <w:i/>
          <w:iCs/>
          <w:sz w:val="24"/>
        </w:rPr>
        <w:t xml:space="preserve"> Ltd</w:t>
      </w:r>
      <w:r w:rsidR="00FD3757" w:rsidRPr="007954B9">
        <w:rPr>
          <w:rFonts w:ascii="Times New Roman" w:hAnsi="Times New Roman"/>
          <w:sz w:val="24"/>
        </w:rPr>
        <w:t xml:space="preserve"> (2010) 561 US 247 at </w:t>
      </w:r>
      <w:r w:rsidR="0035680A" w:rsidRPr="007954B9">
        <w:rPr>
          <w:rFonts w:ascii="Times New Roman" w:hAnsi="Times New Roman"/>
          <w:sz w:val="24"/>
        </w:rPr>
        <w:t>255</w:t>
      </w:r>
      <w:r w:rsidR="00C33C32" w:rsidRPr="007954B9">
        <w:rPr>
          <w:rFonts w:ascii="Times New Roman" w:hAnsi="Times New Roman"/>
          <w:sz w:val="24"/>
        </w:rPr>
        <w:t>.</w:t>
      </w:r>
    </w:p>
  </w:footnote>
  <w:footnote w:id="23">
    <w:p w14:paraId="0FD5E679" w14:textId="6E26D316" w:rsidR="00AE7894" w:rsidRPr="007954B9" w:rsidRDefault="00AE7894"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t>(1912) 15 CLR 1 at 13.</w:t>
      </w:r>
    </w:p>
  </w:footnote>
  <w:footnote w:id="24">
    <w:p w14:paraId="3FE0568F" w14:textId="77777777" w:rsidR="00E711EA" w:rsidRPr="007954B9" w:rsidRDefault="00E711EA"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t>(1912) 15 CLR 1 at 4-5.</w:t>
      </w:r>
    </w:p>
  </w:footnote>
  <w:footnote w:id="25">
    <w:p w14:paraId="19423ED8" w14:textId="12CBC37A" w:rsidR="00A06482" w:rsidRPr="007954B9" w:rsidRDefault="00A06482"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t xml:space="preserve">See the references </w:t>
      </w:r>
      <w:r w:rsidR="00630C21" w:rsidRPr="007954B9">
        <w:rPr>
          <w:rFonts w:ascii="Times New Roman" w:hAnsi="Times New Roman"/>
          <w:sz w:val="24"/>
        </w:rPr>
        <w:t xml:space="preserve">in </w:t>
      </w:r>
      <w:r w:rsidR="00630C21" w:rsidRPr="007954B9">
        <w:rPr>
          <w:rFonts w:ascii="Times New Roman" w:hAnsi="Times New Roman"/>
          <w:i/>
          <w:iCs/>
          <w:sz w:val="24"/>
        </w:rPr>
        <w:t xml:space="preserve">Morgan v White </w:t>
      </w:r>
      <w:r w:rsidR="00BB3306" w:rsidRPr="007954B9">
        <w:rPr>
          <w:rFonts w:ascii="Times New Roman" w:hAnsi="Times New Roman"/>
          <w:sz w:val="24"/>
        </w:rPr>
        <w:t>(</w:t>
      </w:r>
      <w:r w:rsidR="00630C21" w:rsidRPr="007954B9">
        <w:rPr>
          <w:rFonts w:ascii="Times New Roman" w:hAnsi="Times New Roman"/>
          <w:sz w:val="24"/>
        </w:rPr>
        <w:t>1912) 15 CLR 1 at 4</w:t>
      </w:r>
      <w:r w:rsidR="00580211" w:rsidRPr="007954B9">
        <w:rPr>
          <w:rFonts w:ascii="Times New Roman" w:hAnsi="Times New Roman"/>
          <w:sz w:val="24"/>
        </w:rPr>
        <w:t>-5</w:t>
      </w:r>
      <w:r w:rsidR="00F241C3" w:rsidRPr="007954B9">
        <w:rPr>
          <w:rFonts w:ascii="Times New Roman" w:hAnsi="Times New Roman"/>
          <w:sz w:val="24"/>
        </w:rPr>
        <w:t xml:space="preserve"> and </w:t>
      </w:r>
      <w:r w:rsidR="00F241C3" w:rsidRPr="007954B9" w:rsidDel="00A7046C">
        <w:rPr>
          <w:rFonts w:ascii="Times New Roman" w:hAnsi="Times New Roman"/>
          <w:sz w:val="24"/>
        </w:rPr>
        <w:t>1</w:t>
      </w:r>
      <w:r w:rsidR="00F27E61" w:rsidRPr="007954B9">
        <w:rPr>
          <w:rFonts w:ascii="Times New Roman" w:hAnsi="Times New Roman"/>
          <w:sz w:val="24"/>
        </w:rPr>
        <w:t>3</w:t>
      </w:r>
      <w:r w:rsidR="00F241C3" w:rsidRPr="007954B9">
        <w:rPr>
          <w:rFonts w:ascii="Times New Roman" w:hAnsi="Times New Roman"/>
          <w:sz w:val="24"/>
        </w:rPr>
        <w:t xml:space="preserve"> to </w:t>
      </w:r>
      <w:r w:rsidR="00F241C3" w:rsidRPr="007954B9">
        <w:rPr>
          <w:rFonts w:ascii="Times New Roman" w:hAnsi="Times New Roman"/>
          <w:i/>
          <w:iCs/>
          <w:sz w:val="24"/>
        </w:rPr>
        <w:t xml:space="preserve">Macleod v Attorney-General for New South Wales </w:t>
      </w:r>
      <w:r w:rsidR="00F60713" w:rsidRPr="007954B9">
        <w:rPr>
          <w:rFonts w:ascii="Times New Roman" w:hAnsi="Times New Roman"/>
          <w:sz w:val="24"/>
        </w:rPr>
        <w:t>[1</w:t>
      </w:r>
      <w:r w:rsidR="00107925" w:rsidRPr="007954B9">
        <w:rPr>
          <w:rFonts w:ascii="Times New Roman" w:hAnsi="Times New Roman"/>
          <w:sz w:val="24"/>
        </w:rPr>
        <w:t>891</w:t>
      </w:r>
      <w:r w:rsidR="00F60713" w:rsidRPr="007954B9">
        <w:rPr>
          <w:rFonts w:ascii="Times New Roman" w:hAnsi="Times New Roman"/>
          <w:sz w:val="24"/>
        </w:rPr>
        <w:t xml:space="preserve">] </w:t>
      </w:r>
      <w:r w:rsidR="005753D1" w:rsidRPr="007954B9">
        <w:rPr>
          <w:rFonts w:ascii="Times New Roman" w:hAnsi="Times New Roman"/>
          <w:sz w:val="24"/>
        </w:rPr>
        <w:t xml:space="preserve">AC </w:t>
      </w:r>
      <w:r w:rsidR="00E33179" w:rsidRPr="007954B9">
        <w:rPr>
          <w:rFonts w:ascii="Times New Roman" w:hAnsi="Times New Roman"/>
          <w:sz w:val="24"/>
        </w:rPr>
        <w:t>455</w:t>
      </w:r>
      <w:r w:rsidR="005753D1" w:rsidRPr="007954B9">
        <w:rPr>
          <w:rFonts w:ascii="Times New Roman" w:hAnsi="Times New Roman"/>
          <w:sz w:val="24"/>
        </w:rPr>
        <w:t>.</w:t>
      </w:r>
    </w:p>
  </w:footnote>
  <w:footnote w:id="26">
    <w:p w14:paraId="1246DBA3" w14:textId="2E16DD36" w:rsidR="00474032" w:rsidRPr="007954B9" w:rsidRDefault="00474032"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A1630F" w:rsidRPr="007954B9">
        <w:rPr>
          <w:rFonts w:ascii="Times New Roman" w:hAnsi="Times New Roman"/>
          <w:sz w:val="24"/>
        </w:rPr>
        <w:tab/>
      </w:r>
      <w:r w:rsidR="00874CA8" w:rsidRPr="007954B9">
        <w:rPr>
          <w:rFonts w:ascii="Times New Roman" w:hAnsi="Times New Roman"/>
          <w:i/>
          <w:iCs/>
          <w:sz w:val="24"/>
        </w:rPr>
        <w:t>R</w:t>
      </w:r>
      <w:r w:rsidR="00A1630F" w:rsidRPr="007954B9">
        <w:rPr>
          <w:rFonts w:ascii="Times New Roman" w:hAnsi="Times New Roman"/>
          <w:i/>
          <w:iCs/>
          <w:sz w:val="24"/>
        </w:rPr>
        <w:t xml:space="preserve"> v Foster; Ex parte Eastern and Australian Steamship Co Ltd</w:t>
      </w:r>
      <w:r w:rsidR="00FF5DF4" w:rsidRPr="007954B9">
        <w:rPr>
          <w:rFonts w:ascii="Times New Roman" w:hAnsi="Times New Roman"/>
          <w:i/>
          <w:iCs/>
          <w:sz w:val="24"/>
        </w:rPr>
        <w:t xml:space="preserve"> </w:t>
      </w:r>
      <w:r w:rsidR="00FF5DF4" w:rsidRPr="007954B9">
        <w:rPr>
          <w:rFonts w:ascii="Times New Roman" w:hAnsi="Times New Roman"/>
          <w:sz w:val="24"/>
        </w:rPr>
        <w:t>(1959)</w:t>
      </w:r>
      <w:r w:rsidR="00FB0337" w:rsidRPr="007954B9">
        <w:rPr>
          <w:rFonts w:ascii="Times New Roman" w:hAnsi="Times New Roman"/>
          <w:sz w:val="24"/>
        </w:rPr>
        <w:t xml:space="preserve"> 103 CLR </w:t>
      </w:r>
      <w:r w:rsidR="00E4516D" w:rsidRPr="007954B9">
        <w:rPr>
          <w:rFonts w:ascii="Times New Roman" w:hAnsi="Times New Roman"/>
          <w:sz w:val="24"/>
        </w:rPr>
        <w:t>256 at 274.</w:t>
      </w:r>
    </w:p>
  </w:footnote>
  <w:footnote w:id="27">
    <w:p w14:paraId="5A3964CC" w14:textId="52561DC5" w:rsidR="00A1255D" w:rsidRPr="007954B9" w:rsidRDefault="00A1255D"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462A3F" w:rsidRPr="007954B9">
        <w:rPr>
          <w:rFonts w:ascii="Times New Roman" w:hAnsi="Times New Roman"/>
          <w:sz w:val="24"/>
        </w:rPr>
        <w:tab/>
      </w:r>
      <w:r w:rsidR="00A01B8C" w:rsidRPr="007954B9">
        <w:rPr>
          <w:rFonts w:ascii="Times New Roman" w:hAnsi="Times New Roman"/>
          <w:sz w:val="24"/>
        </w:rPr>
        <w:t>(1966) 115 CLR 10 at 30</w:t>
      </w:r>
      <w:r w:rsidR="00414EA8" w:rsidRPr="007954B9">
        <w:rPr>
          <w:rFonts w:ascii="Times New Roman" w:hAnsi="Times New Roman"/>
          <w:sz w:val="24"/>
        </w:rPr>
        <w:t>-31</w:t>
      </w:r>
      <w:r w:rsidR="00A01B8C" w:rsidRPr="007954B9">
        <w:rPr>
          <w:rFonts w:ascii="Times New Roman" w:hAnsi="Times New Roman"/>
          <w:sz w:val="24"/>
        </w:rPr>
        <w:t>.</w:t>
      </w:r>
    </w:p>
  </w:footnote>
  <w:footnote w:id="28">
    <w:p w14:paraId="7510921A" w14:textId="77777777" w:rsidR="0049696A" w:rsidRPr="007954B9" w:rsidRDefault="0049696A"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t>(1966) 115 CLR 10 at 43.</w:t>
      </w:r>
    </w:p>
  </w:footnote>
  <w:footnote w:id="29">
    <w:p w14:paraId="1547BDF5" w14:textId="2C3DB22C" w:rsidR="008C6D50" w:rsidRPr="007954B9" w:rsidRDefault="008C6D50"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BE1035" w:rsidRPr="007954B9">
        <w:rPr>
          <w:rFonts w:ascii="Times New Roman" w:hAnsi="Times New Roman"/>
          <w:sz w:val="24"/>
        </w:rPr>
        <w:tab/>
        <w:t>(1908) 6 CLR 309.</w:t>
      </w:r>
    </w:p>
  </w:footnote>
  <w:footnote w:id="30">
    <w:p w14:paraId="5C6B99F5" w14:textId="1480DE0F" w:rsidR="00C450DC" w:rsidRPr="007954B9" w:rsidRDefault="00C450DC"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t>(1908) 6 CLR 309 at 363.</w:t>
      </w:r>
    </w:p>
  </w:footnote>
  <w:footnote w:id="31">
    <w:p w14:paraId="37CA6D4F" w14:textId="7C72B055" w:rsidR="008058DF" w:rsidRPr="007954B9" w:rsidRDefault="008058DF"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r>
      <w:r w:rsidR="00E233B0" w:rsidRPr="007954B9">
        <w:rPr>
          <w:rFonts w:ascii="Times New Roman" w:hAnsi="Times New Roman"/>
          <w:sz w:val="24"/>
        </w:rPr>
        <w:t>Kemp</w:t>
      </w:r>
      <w:r w:rsidR="00F96410" w:rsidRPr="007954B9">
        <w:rPr>
          <w:rFonts w:ascii="Times New Roman" w:hAnsi="Times New Roman"/>
          <w:sz w:val="24"/>
        </w:rPr>
        <w:t>e</w:t>
      </w:r>
      <w:r w:rsidR="00B5007B" w:rsidRPr="007954B9">
        <w:rPr>
          <w:rFonts w:ascii="Times New Roman" w:hAnsi="Times New Roman"/>
          <w:sz w:val="24"/>
        </w:rPr>
        <w:t>,</w:t>
      </w:r>
      <w:r w:rsidRPr="007954B9">
        <w:rPr>
          <w:rFonts w:ascii="Times New Roman" w:hAnsi="Times New Roman"/>
          <w:sz w:val="24"/>
        </w:rPr>
        <w:t xml:space="preserve"> </w:t>
      </w:r>
      <w:r w:rsidR="00E233B0" w:rsidRPr="007954B9">
        <w:rPr>
          <w:rFonts w:ascii="Times New Roman" w:hAnsi="Times New Roman"/>
          <w:i/>
          <w:iCs/>
          <w:sz w:val="24"/>
        </w:rPr>
        <w:t>Maxwell o</w:t>
      </w:r>
      <w:r w:rsidRPr="007954B9">
        <w:rPr>
          <w:rFonts w:ascii="Times New Roman" w:hAnsi="Times New Roman"/>
          <w:i/>
          <w:iCs/>
          <w:sz w:val="24"/>
        </w:rPr>
        <w:t>n the Interpretation of Statute</w:t>
      </w:r>
      <w:r w:rsidR="0074173A" w:rsidRPr="007954B9">
        <w:rPr>
          <w:rFonts w:ascii="Times New Roman" w:hAnsi="Times New Roman"/>
          <w:i/>
          <w:iCs/>
          <w:sz w:val="24"/>
        </w:rPr>
        <w:t>s</w:t>
      </w:r>
      <w:r w:rsidR="0074173A" w:rsidRPr="007954B9">
        <w:rPr>
          <w:rFonts w:ascii="Times New Roman" w:hAnsi="Times New Roman"/>
          <w:sz w:val="24"/>
        </w:rPr>
        <w:t xml:space="preserve">, 3rd ed </w:t>
      </w:r>
      <w:r w:rsidR="00996CBC" w:rsidRPr="007954B9">
        <w:rPr>
          <w:rFonts w:ascii="Times New Roman" w:hAnsi="Times New Roman"/>
          <w:sz w:val="24"/>
        </w:rPr>
        <w:t>(</w:t>
      </w:r>
      <w:r w:rsidR="0074173A" w:rsidRPr="007954B9">
        <w:rPr>
          <w:rFonts w:ascii="Times New Roman" w:hAnsi="Times New Roman"/>
          <w:sz w:val="24"/>
        </w:rPr>
        <w:t>1896</w:t>
      </w:r>
      <w:r w:rsidR="00996CBC" w:rsidRPr="007954B9">
        <w:rPr>
          <w:rFonts w:ascii="Times New Roman" w:hAnsi="Times New Roman"/>
          <w:sz w:val="24"/>
        </w:rPr>
        <w:t>)</w:t>
      </w:r>
      <w:r w:rsidR="0074173A" w:rsidRPr="007954B9">
        <w:rPr>
          <w:rFonts w:ascii="Times New Roman" w:hAnsi="Times New Roman"/>
          <w:sz w:val="24"/>
        </w:rPr>
        <w:t xml:space="preserve"> at 200.</w:t>
      </w:r>
    </w:p>
  </w:footnote>
  <w:footnote w:id="32">
    <w:p w14:paraId="52DD7708" w14:textId="689B6B89" w:rsidR="00575804" w:rsidRPr="007954B9" w:rsidRDefault="00575804"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544455" w:rsidRPr="007954B9">
        <w:rPr>
          <w:rFonts w:ascii="Times New Roman" w:hAnsi="Times New Roman"/>
          <w:sz w:val="24"/>
        </w:rPr>
        <w:tab/>
        <w:t xml:space="preserve">(1932) 48 CLR 391 at </w:t>
      </w:r>
      <w:r w:rsidR="00A531BD" w:rsidRPr="007954B9">
        <w:rPr>
          <w:rFonts w:ascii="Times New Roman" w:hAnsi="Times New Roman"/>
          <w:sz w:val="24"/>
        </w:rPr>
        <w:t>423-</w:t>
      </w:r>
      <w:r w:rsidR="00544455" w:rsidRPr="007954B9">
        <w:rPr>
          <w:rFonts w:ascii="Times New Roman" w:hAnsi="Times New Roman"/>
          <w:sz w:val="24"/>
        </w:rPr>
        <w:t>424</w:t>
      </w:r>
      <w:r w:rsidR="005035E1" w:rsidRPr="007954B9">
        <w:rPr>
          <w:rFonts w:ascii="Times New Roman" w:hAnsi="Times New Roman"/>
          <w:sz w:val="24"/>
        </w:rPr>
        <w:t xml:space="preserve">, quoting </w:t>
      </w:r>
      <w:r w:rsidR="005035E1" w:rsidRPr="007954B9">
        <w:rPr>
          <w:rFonts w:ascii="Times New Roman" w:hAnsi="Times New Roman"/>
          <w:i/>
          <w:sz w:val="24"/>
        </w:rPr>
        <w:t>Bloxam v Favre</w:t>
      </w:r>
      <w:r w:rsidR="005035E1" w:rsidRPr="007954B9">
        <w:rPr>
          <w:rFonts w:ascii="Times New Roman" w:hAnsi="Times New Roman"/>
          <w:sz w:val="24"/>
        </w:rPr>
        <w:t xml:space="preserve"> (1883) 8 PD 101 at 107, adopting </w:t>
      </w:r>
      <w:r w:rsidR="005035E1" w:rsidRPr="007954B9">
        <w:rPr>
          <w:rFonts w:ascii="Times New Roman" w:hAnsi="Times New Roman"/>
          <w:i/>
          <w:sz w:val="24"/>
        </w:rPr>
        <w:t>Maxwell on Statutes</w:t>
      </w:r>
      <w:r w:rsidR="005035E1" w:rsidRPr="007954B9">
        <w:rPr>
          <w:rFonts w:ascii="Times New Roman" w:hAnsi="Times New Roman"/>
          <w:sz w:val="24"/>
        </w:rPr>
        <w:t>.</w:t>
      </w:r>
    </w:p>
  </w:footnote>
  <w:footnote w:id="33">
    <w:p w14:paraId="5A18A840" w14:textId="7ACBB447" w:rsidR="00A531BD" w:rsidRPr="007954B9" w:rsidRDefault="00A531BD"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t xml:space="preserve">(1932) 48 CLR 391 at 424. To similar effect, see </w:t>
      </w:r>
      <w:r w:rsidRPr="007954B9">
        <w:rPr>
          <w:rFonts w:ascii="Times New Roman" w:hAnsi="Times New Roman"/>
          <w:i/>
          <w:iCs/>
          <w:sz w:val="24"/>
        </w:rPr>
        <w:t>Re Maritime Union of Australia; Ex parte CSL Pacific Shipping Inc</w:t>
      </w:r>
      <w:r w:rsidRPr="007954B9">
        <w:rPr>
          <w:rFonts w:ascii="Times New Roman" w:hAnsi="Times New Roman"/>
          <w:sz w:val="24"/>
        </w:rPr>
        <w:t xml:space="preserve"> (2003) 214 CLR 397 at 416 [45].</w:t>
      </w:r>
    </w:p>
  </w:footnote>
  <w:footnote w:id="34">
    <w:p w14:paraId="34252884" w14:textId="77777777" w:rsidR="00D3500D" w:rsidRPr="007954B9" w:rsidRDefault="00D3500D"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t>(1934) 50 CLR 581 at 601.</w:t>
      </w:r>
    </w:p>
  </w:footnote>
  <w:footnote w:id="35">
    <w:p w14:paraId="5D024ACA" w14:textId="25A5526D" w:rsidR="00CD53C7" w:rsidRPr="007954B9" w:rsidRDefault="00CD53C7"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08308B" w:rsidRPr="007954B9">
        <w:rPr>
          <w:rFonts w:ascii="Times New Roman" w:hAnsi="Times New Roman"/>
          <w:sz w:val="24"/>
        </w:rPr>
        <w:tab/>
        <w:t xml:space="preserve">(1959) 103 CLR </w:t>
      </w:r>
      <w:r w:rsidR="007F0324" w:rsidRPr="007954B9">
        <w:rPr>
          <w:rFonts w:ascii="Times New Roman" w:hAnsi="Times New Roman"/>
          <w:sz w:val="24"/>
        </w:rPr>
        <w:t>256 at 275.</w:t>
      </w:r>
      <w:r w:rsidR="00370E92" w:rsidRPr="007954B9">
        <w:rPr>
          <w:rFonts w:ascii="Times New Roman" w:hAnsi="Times New Roman"/>
          <w:sz w:val="24"/>
        </w:rPr>
        <w:t xml:space="preserve"> See also at 306-307.</w:t>
      </w:r>
      <w:r w:rsidR="00CA0A07" w:rsidRPr="007954B9">
        <w:rPr>
          <w:rFonts w:ascii="Times New Roman" w:hAnsi="Times New Roman"/>
          <w:sz w:val="24"/>
        </w:rPr>
        <w:t xml:space="preserve"> See also </w:t>
      </w:r>
      <w:r w:rsidR="00CA0A07" w:rsidRPr="007954B9">
        <w:rPr>
          <w:rFonts w:ascii="Times New Roman" w:hAnsi="Times New Roman"/>
          <w:i/>
          <w:iCs/>
          <w:sz w:val="24"/>
        </w:rPr>
        <w:t>Lip</w:t>
      </w:r>
      <w:r w:rsidR="0046613E" w:rsidRPr="007954B9">
        <w:rPr>
          <w:rFonts w:ascii="Times New Roman" w:hAnsi="Times New Roman"/>
          <w:i/>
          <w:iCs/>
          <w:sz w:val="24"/>
        </w:rPr>
        <w:t>ohar v The Queen</w:t>
      </w:r>
      <w:r w:rsidR="0046613E" w:rsidRPr="007954B9">
        <w:rPr>
          <w:rFonts w:ascii="Times New Roman" w:hAnsi="Times New Roman"/>
          <w:sz w:val="24"/>
        </w:rPr>
        <w:t xml:space="preserve"> (1999) </w:t>
      </w:r>
      <w:r w:rsidR="00EA425D" w:rsidRPr="007954B9">
        <w:rPr>
          <w:rFonts w:ascii="Times New Roman" w:hAnsi="Times New Roman"/>
          <w:sz w:val="24"/>
        </w:rPr>
        <w:t>200 CLR 485 at 497 [15].</w:t>
      </w:r>
    </w:p>
  </w:footnote>
  <w:footnote w:id="36">
    <w:p w14:paraId="1AEF9F1B" w14:textId="7D46D873" w:rsidR="00491AC4" w:rsidRPr="007954B9" w:rsidRDefault="00491AC4"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7020D8" w:rsidRPr="007954B9">
        <w:rPr>
          <w:rFonts w:ascii="Times New Roman" w:hAnsi="Times New Roman"/>
          <w:sz w:val="24"/>
        </w:rPr>
        <w:tab/>
      </w:r>
      <w:r w:rsidR="008864EC" w:rsidRPr="007954B9">
        <w:rPr>
          <w:rFonts w:ascii="Times New Roman" w:hAnsi="Times New Roman"/>
          <w:sz w:val="24"/>
        </w:rPr>
        <w:t xml:space="preserve">See </w:t>
      </w:r>
      <w:r w:rsidR="007020D8" w:rsidRPr="007954B9">
        <w:rPr>
          <w:rFonts w:ascii="Times New Roman" w:hAnsi="Times New Roman"/>
          <w:i/>
          <w:iCs/>
          <w:sz w:val="24"/>
        </w:rPr>
        <w:t xml:space="preserve">DRJ v Commissioner of Victims Rights </w:t>
      </w:r>
      <w:r w:rsidR="00BB34A7" w:rsidRPr="007954B9">
        <w:rPr>
          <w:rFonts w:ascii="Times New Roman" w:hAnsi="Times New Roman"/>
          <w:i/>
          <w:iCs/>
          <w:sz w:val="24"/>
        </w:rPr>
        <w:t>[</w:t>
      </w:r>
      <w:r w:rsidR="007020D8" w:rsidRPr="007954B9">
        <w:rPr>
          <w:rFonts w:ascii="Times New Roman" w:hAnsi="Times New Roman"/>
          <w:i/>
          <w:iCs/>
          <w:sz w:val="24"/>
        </w:rPr>
        <w:t>No 2</w:t>
      </w:r>
      <w:r w:rsidR="00BB34A7" w:rsidRPr="007954B9">
        <w:rPr>
          <w:rFonts w:ascii="Times New Roman" w:hAnsi="Times New Roman"/>
          <w:i/>
          <w:iCs/>
          <w:sz w:val="24"/>
        </w:rPr>
        <w:t>]</w:t>
      </w:r>
      <w:r w:rsidR="007020D8" w:rsidRPr="007954B9">
        <w:rPr>
          <w:rFonts w:ascii="Times New Roman" w:hAnsi="Times New Roman"/>
          <w:sz w:val="24"/>
        </w:rPr>
        <w:t xml:space="preserve"> (2020) 103 NSWLR 692 at 716-</w:t>
      </w:r>
      <w:r w:rsidR="00A60E36" w:rsidRPr="007954B9">
        <w:rPr>
          <w:rFonts w:ascii="Times New Roman" w:hAnsi="Times New Roman"/>
          <w:sz w:val="24"/>
        </w:rPr>
        <w:t>717</w:t>
      </w:r>
      <w:r w:rsidR="007020D8" w:rsidRPr="007954B9">
        <w:rPr>
          <w:rFonts w:ascii="Times New Roman" w:hAnsi="Times New Roman"/>
          <w:sz w:val="24"/>
        </w:rPr>
        <w:t xml:space="preserve"> [91]-[</w:t>
      </w:r>
      <w:r w:rsidR="008864EC" w:rsidRPr="007954B9">
        <w:rPr>
          <w:rFonts w:ascii="Times New Roman" w:hAnsi="Times New Roman"/>
          <w:sz w:val="24"/>
        </w:rPr>
        <w:t>95</w:t>
      </w:r>
      <w:r w:rsidR="007020D8" w:rsidRPr="007954B9">
        <w:rPr>
          <w:rFonts w:ascii="Times New Roman" w:hAnsi="Times New Roman"/>
          <w:sz w:val="24"/>
        </w:rPr>
        <w:t>].</w:t>
      </w:r>
    </w:p>
  </w:footnote>
  <w:footnote w:id="37">
    <w:p w14:paraId="26ED1A31" w14:textId="3645BBBA" w:rsidR="008864EC" w:rsidRPr="007954B9" w:rsidRDefault="008864EC"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r>
      <w:r w:rsidR="00963FDB" w:rsidRPr="007954B9">
        <w:rPr>
          <w:rFonts w:ascii="Times New Roman" w:hAnsi="Times New Roman"/>
          <w:sz w:val="24"/>
        </w:rPr>
        <w:t xml:space="preserve">Section 122(1)(b) of the </w:t>
      </w:r>
      <w:r w:rsidR="00963FDB" w:rsidRPr="007954B9">
        <w:rPr>
          <w:rFonts w:ascii="Times New Roman" w:hAnsi="Times New Roman"/>
          <w:i/>
          <w:iCs/>
          <w:sz w:val="24"/>
        </w:rPr>
        <w:t>Legislation Act 2001</w:t>
      </w:r>
      <w:r w:rsidR="00963FDB" w:rsidRPr="007954B9">
        <w:rPr>
          <w:rFonts w:ascii="Times New Roman" w:hAnsi="Times New Roman"/>
          <w:sz w:val="24"/>
        </w:rPr>
        <w:t xml:space="preserve"> (ACT); s 12(1)(b) of the </w:t>
      </w:r>
      <w:r w:rsidR="00963FDB" w:rsidRPr="007954B9">
        <w:rPr>
          <w:rFonts w:ascii="Times New Roman" w:hAnsi="Times New Roman"/>
          <w:i/>
          <w:iCs/>
          <w:sz w:val="24"/>
        </w:rPr>
        <w:t>Interpretation Act 1987</w:t>
      </w:r>
      <w:r w:rsidR="00963FDB" w:rsidRPr="007954B9">
        <w:rPr>
          <w:rFonts w:ascii="Times New Roman" w:hAnsi="Times New Roman"/>
          <w:sz w:val="24"/>
        </w:rPr>
        <w:t xml:space="preserve"> (NSW); s 38(1)(b) of the </w:t>
      </w:r>
      <w:r w:rsidR="00963FDB" w:rsidRPr="007954B9">
        <w:rPr>
          <w:rFonts w:ascii="Times New Roman" w:hAnsi="Times New Roman"/>
          <w:i/>
          <w:iCs/>
          <w:sz w:val="24"/>
        </w:rPr>
        <w:t>Interpretation Act 1978</w:t>
      </w:r>
      <w:r w:rsidR="00963FDB" w:rsidRPr="007954B9">
        <w:rPr>
          <w:rFonts w:ascii="Times New Roman" w:hAnsi="Times New Roman"/>
          <w:sz w:val="24"/>
        </w:rPr>
        <w:t xml:space="preserve"> (NT); s 35(1)(b) of the </w:t>
      </w:r>
      <w:r w:rsidR="00963FDB" w:rsidRPr="007954B9">
        <w:rPr>
          <w:rFonts w:ascii="Times New Roman" w:hAnsi="Times New Roman"/>
          <w:i/>
          <w:iCs/>
          <w:sz w:val="24"/>
        </w:rPr>
        <w:t>Acts Interpretation Act 1954</w:t>
      </w:r>
      <w:r w:rsidR="00963FDB" w:rsidRPr="007954B9">
        <w:rPr>
          <w:rFonts w:ascii="Times New Roman" w:hAnsi="Times New Roman"/>
          <w:sz w:val="24"/>
        </w:rPr>
        <w:t xml:space="preserve"> (Qld); s 27</w:t>
      </w:r>
      <w:r w:rsidR="009502EC" w:rsidRPr="007954B9">
        <w:rPr>
          <w:rFonts w:ascii="Times New Roman" w:hAnsi="Times New Roman"/>
          <w:sz w:val="24"/>
        </w:rPr>
        <w:t>(b)</w:t>
      </w:r>
      <w:r w:rsidR="00963FDB" w:rsidRPr="007954B9">
        <w:rPr>
          <w:rFonts w:ascii="Times New Roman" w:hAnsi="Times New Roman"/>
          <w:sz w:val="24"/>
        </w:rPr>
        <w:t xml:space="preserve"> of the </w:t>
      </w:r>
      <w:r w:rsidR="00963FDB" w:rsidRPr="007954B9">
        <w:rPr>
          <w:rFonts w:ascii="Times New Roman" w:hAnsi="Times New Roman"/>
          <w:i/>
          <w:iCs/>
          <w:sz w:val="24"/>
        </w:rPr>
        <w:t>Acts Interpretation Act 1931</w:t>
      </w:r>
      <w:r w:rsidR="00963FDB" w:rsidRPr="007954B9">
        <w:rPr>
          <w:rFonts w:ascii="Times New Roman" w:hAnsi="Times New Roman"/>
          <w:sz w:val="24"/>
        </w:rPr>
        <w:t xml:space="preserve"> (Tas); and s 48(b) of the </w:t>
      </w:r>
      <w:r w:rsidR="00963FDB" w:rsidRPr="007954B9">
        <w:rPr>
          <w:rFonts w:ascii="Times New Roman" w:hAnsi="Times New Roman"/>
          <w:i/>
          <w:iCs/>
          <w:sz w:val="24"/>
        </w:rPr>
        <w:t>Interpretation of Legislation Act 1984</w:t>
      </w:r>
      <w:r w:rsidR="00963FDB" w:rsidRPr="007954B9">
        <w:rPr>
          <w:rFonts w:ascii="Times New Roman" w:hAnsi="Times New Roman"/>
          <w:sz w:val="24"/>
        </w:rPr>
        <w:t xml:space="preserve"> (Vic). </w:t>
      </w:r>
    </w:p>
  </w:footnote>
  <w:footnote w:id="38">
    <w:p w14:paraId="2017276B" w14:textId="2D7956DD" w:rsidR="00A43A97" w:rsidRPr="007954B9" w:rsidRDefault="00A43A97"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E1249C" w:rsidRPr="007954B9">
        <w:rPr>
          <w:rFonts w:ascii="Times New Roman" w:hAnsi="Times New Roman"/>
          <w:sz w:val="24"/>
        </w:rPr>
        <w:tab/>
      </w:r>
      <w:r w:rsidR="00792847" w:rsidRPr="007954B9">
        <w:rPr>
          <w:rFonts w:ascii="Times New Roman" w:hAnsi="Times New Roman"/>
          <w:sz w:val="24"/>
        </w:rPr>
        <w:t xml:space="preserve">Section </w:t>
      </w:r>
      <w:r w:rsidR="00BE1B64" w:rsidRPr="007954B9">
        <w:rPr>
          <w:rFonts w:ascii="Times New Roman" w:hAnsi="Times New Roman"/>
          <w:sz w:val="24"/>
        </w:rPr>
        <w:t xml:space="preserve">2(2) </w:t>
      </w:r>
      <w:r w:rsidR="00D07E52" w:rsidRPr="007954B9">
        <w:rPr>
          <w:rFonts w:ascii="Times New Roman" w:hAnsi="Times New Roman"/>
          <w:sz w:val="24"/>
        </w:rPr>
        <w:t xml:space="preserve">of the </w:t>
      </w:r>
      <w:r w:rsidR="00D07E52" w:rsidRPr="007954B9">
        <w:rPr>
          <w:rFonts w:ascii="Times New Roman" w:hAnsi="Times New Roman"/>
          <w:i/>
          <w:iCs/>
          <w:sz w:val="24"/>
        </w:rPr>
        <w:t xml:space="preserve">Acts Interpretation Act 1901 </w:t>
      </w:r>
      <w:r w:rsidR="00D07E52" w:rsidRPr="007954B9">
        <w:rPr>
          <w:rFonts w:ascii="Times New Roman" w:hAnsi="Times New Roman"/>
          <w:sz w:val="24"/>
        </w:rPr>
        <w:t>(Cth).</w:t>
      </w:r>
    </w:p>
  </w:footnote>
  <w:footnote w:id="39">
    <w:p w14:paraId="1BE116BA" w14:textId="04FB4D56" w:rsidR="00E91509" w:rsidRPr="007954B9" w:rsidRDefault="00E91509"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t xml:space="preserve">Contra </w:t>
      </w:r>
      <w:r w:rsidRPr="007954B9">
        <w:rPr>
          <w:rFonts w:ascii="Times New Roman" w:hAnsi="Times New Roman"/>
          <w:i/>
          <w:iCs/>
          <w:sz w:val="24"/>
        </w:rPr>
        <w:t>Solomons v District Court (NSW)</w:t>
      </w:r>
      <w:r w:rsidRPr="007954B9">
        <w:rPr>
          <w:rFonts w:ascii="Times New Roman" w:hAnsi="Times New Roman"/>
          <w:sz w:val="24"/>
        </w:rPr>
        <w:t xml:space="preserve"> (2002) 211 CLR 119 at 138 [</w:t>
      </w:r>
      <w:r w:rsidR="0094725D" w:rsidRPr="007954B9">
        <w:rPr>
          <w:rFonts w:ascii="Times New Roman" w:hAnsi="Times New Roman"/>
          <w:sz w:val="24"/>
        </w:rPr>
        <w:t>37</w:t>
      </w:r>
      <w:r w:rsidRPr="007954B9">
        <w:rPr>
          <w:rFonts w:ascii="Times New Roman" w:hAnsi="Times New Roman"/>
          <w:sz w:val="24"/>
        </w:rPr>
        <w:t>].</w:t>
      </w:r>
    </w:p>
  </w:footnote>
  <w:footnote w:id="40">
    <w:p w14:paraId="13D6D1C2" w14:textId="23062BF0" w:rsidR="006705A7" w:rsidRPr="007954B9" w:rsidRDefault="006705A7"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FE5FC9" w:rsidRPr="007954B9">
        <w:rPr>
          <w:rFonts w:ascii="Times New Roman" w:hAnsi="Times New Roman"/>
          <w:sz w:val="24"/>
        </w:rPr>
        <w:tab/>
      </w:r>
      <w:r w:rsidR="00FE5FC9" w:rsidRPr="007954B9">
        <w:rPr>
          <w:rFonts w:ascii="Times New Roman" w:hAnsi="Times New Roman"/>
          <w:i/>
          <w:iCs/>
          <w:sz w:val="24"/>
        </w:rPr>
        <w:t>Wanganui-Rangitikei Electric Power Board v Australian Mutual Provident Society</w:t>
      </w:r>
      <w:r w:rsidR="00FE5FC9" w:rsidRPr="007954B9">
        <w:rPr>
          <w:rFonts w:ascii="Times New Roman" w:hAnsi="Times New Roman"/>
          <w:sz w:val="24"/>
        </w:rPr>
        <w:t xml:space="preserve"> </w:t>
      </w:r>
      <w:r w:rsidR="00EB316A" w:rsidRPr="007954B9">
        <w:rPr>
          <w:rFonts w:ascii="Times New Roman" w:hAnsi="Times New Roman"/>
          <w:sz w:val="24"/>
        </w:rPr>
        <w:t>(1934) 50 CLR 581 at 612-613.</w:t>
      </w:r>
      <w:r w:rsidR="003133CD" w:rsidRPr="007954B9">
        <w:rPr>
          <w:rFonts w:ascii="Times New Roman" w:hAnsi="Times New Roman"/>
          <w:sz w:val="24"/>
        </w:rPr>
        <w:t xml:space="preserve"> See also </w:t>
      </w:r>
      <w:r w:rsidR="007F7982" w:rsidRPr="007954B9">
        <w:rPr>
          <w:rFonts w:ascii="Times New Roman" w:hAnsi="Times New Roman"/>
          <w:i/>
          <w:iCs/>
          <w:sz w:val="24"/>
        </w:rPr>
        <w:t>Solomons v District Court</w:t>
      </w:r>
      <w:r w:rsidR="007F7982" w:rsidRPr="007954B9">
        <w:rPr>
          <w:rFonts w:ascii="Times New Roman" w:hAnsi="Times New Roman"/>
          <w:sz w:val="24"/>
        </w:rPr>
        <w:t xml:space="preserve"> </w:t>
      </w:r>
      <w:r w:rsidR="007F7982" w:rsidRPr="007954B9">
        <w:rPr>
          <w:rFonts w:ascii="Times New Roman" w:hAnsi="Times New Roman"/>
          <w:i/>
          <w:iCs/>
          <w:sz w:val="24"/>
        </w:rPr>
        <w:t>(</w:t>
      </w:r>
      <w:r w:rsidR="00D10498" w:rsidRPr="007954B9">
        <w:rPr>
          <w:rFonts w:ascii="Times New Roman" w:hAnsi="Times New Roman"/>
          <w:i/>
          <w:iCs/>
          <w:sz w:val="24"/>
        </w:rPr>
        <w:t>NSW)</w:t>
      </w:r>
      <w:r w:rsidR="00D10498" w:rsidRPr="007954B9">
        <w:rPr>
          <w:rFonts w:ascii="Times New Roman" w:hAnsi="Times New Roman"/>
          <w:sz w:val="24"/>
        </w:rPr>
        <w:t xml:space="preserve"> (2002) 211 CLR 119 at 130 [9]</w:t>
      </w:r>
      <w:r w:rsidR="00450E29" w:rsidRPr="007954B9">
        <w:rPr>
          <w:rFonts w:ascii="Times New Roman" w:hAnsi="Times New Roman"/>
          <w:sz w:val="24"/>
        </w:rPr>
        <w:t>;</w:t>
      </w:r>
      <w:r w:rsidR="00D10498" w:rsidRPr="007954B9">
        <w:rPr>
          <w:rFonts w:ascii="Times New Roman" w:hAnsi="Times New Roman"/>
          <w:sz w:val="24"/>
        </w:rPr>
        <w:t xml:space="preserve"> </w:t>
      </w:r>
      <w:r w:rsidR="0014335E" w:rsidRPr="007954B9">
        <w:rPr>
          <w:rFonts w:ascii="Times New Roman" w:hAnsi="Times New Roman"/>
          <w:i/>
          <w:iCs/>
          <w:sz w:val="24"/>
        </w:rPr>
        <w:t>Bakewell v The Queen</w:t>
      </w:r>
      <w:r w:rsidR="0014335E" w:rsidRPr="007954B9">
        <w:rPr>
          <w:rFonts w:ascii="Times New Roman" w:hAnsi="Times New Roman"/>
          <w:sz w:val="24"/>
        </w:rPr>
        <w:t xml:space="preserve"> (2009)</w:t>
      </w:r>
      <w:r w:rsidR="00842414" w:rsidRPr="007954B9">
        <w:rPr>
          <w:rFonts w:ascii="Times New Roman" w:hAnsi="Times New Roman"/>
          <w:sz w:val="24"/>
        </w:rPr>
        <w:t xml:space="preserve"> 238 CLR 287</w:t>
      </w:r>
      <w:r w:rsidR="0014335E" w:rsidRPr="007954B9">
        <w:rPr>
          <w:rFonts w:ascii="Times New Roman" w:hAnsi="Times New Roman"/>
          <w:sz w:val="24"/>
        </w:rPr>
        <w:t xml:space="preserve"> at</w:t>
      </w:r>
      <w:r w:rsidR="00862E85" w:rsidRPr="007954B9">
        <w:rPr>
          <w:rFonts w:ascii="Times New Roman" w:hAnsi="Times New Roman"/>
          <w:sz w:val="24"/>
        </w:rPr>
        <w:t xml:space="preserve"> 301</w:t>
      </w:r>
      <w:r w:rsidR="0014335E" w:rsidRPr="007954B9">
        <w:rPr>
          <w:rFonts w:ascii="Times New Roman" w:hAnsi="Times New Roman"/>
          <w:sz w:val="24"/>
        </w:rPr>
        <w:t xml:space="preserve"> [36].</w:t>
      </w:r>
    </w:p>
  </w:footnote>
  <w:footnote w:id="41">
    <w:p w14:paraId="067D2A47" w14:textId="171474C4" w:rsidR="001E20EE" w:rsidRPr="007954B9" w:rsidRDefault="001E20EE"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8E46AF" w:rsidRPr="007954B9">
        <w:rPr>
          <w:rFonts w:ascii="Times New Roman" w:hAnsi="Times New Roman"/>
          <w:sz w:val="24"/>
        </w:rPr>
        <w:tab/>
      </w:r>
      <w:r w:rsidR="008E46AF" w:rsidRPr="007954B9">
        <w:rPr>
          <w:rFonts w:ascii="Times New Roman" w:hAnsi="Times New Roman"/>
          <w:i/>
          <w:iCs/>
          <w:sz w:val="24"/>
        </w:rPr>
        <w:t>Wanganui-Rangitikei Electric Power Board v Australian Mutual Provident Society</w:t>
      </w:r>
      <w:r w:rsidR="008E46AF" w:rsidRPr="007954B9">
        <w:rPr>
          <w:rFonts w:ascii="Times New Roman" w:hAnsi="Times New Roman"/>
          <w:sz w:val="24"/>
        </w:rPr>
        <w:t xml:space="preserve"> (1934) 50 CLR 581 at 600.</w:t>
      </w:r>
    </w:p>
  </w:footnote>
  <w:footnote w:id="42">
    <w:p w14:paraId="354B5C9B" w14:textId="40C8BB61" w:rsidR="00C140B6" w:rsidRPr="007954B9" w:rsidRDefault="00C140B6"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r>
      <w:r w:rsidRPr="007954B9">
        <w:rPr>
          <w:rFonts w:ascii="Times New Roman" w:hAnsi="Times New Roman"/>
          <w:i/>
          <w:iCs/>
          <w:sz w:val="24"/>
        </w:rPr>
        <w:t>Kay</w:t>
      </w:r>
      <w:r w:rsidR="005C46F4" w:rsidRPr="007954B9">
        <w:rPr>
          <w:rFonts w:ascii="Times New Roman" w:hAnsi="Times New Roman"/>
          <w:i/>
          <w:iCs/>
          <w:sz w:val="24"/>
        </w:rPr>
        <w:t>'s Leasing Corporation Pty Ltd v Fletcher</w:t>
      </w:r>
      <w:r w:rsidR="005C46F4" w:rsidRPr="007954B9">
        <w:rPr>
          <w:rFonts w:ascii="Times New Roman" w:hAnsi="Times New Roman"/>
          <w:sz w:val="24"/>
        </w:rPr>
        <w:t xml:space="preserve"> (1964) 116 CLR </w:t>
      </w:r>
      <w:r w:rsidR="00383F05" w:rsidRPr="007954B9">
        <w:rPr>
          <w:rFonts w:ascii="Times New Roman" w:hAnsi="Times New Roman"/>
          <w:sz w:val="24"/>
        </w:rPr>
        <w:t>124 at 142</w:t>
      </w:r>
      <w:r w:rsidR="008C4BBF" w:rsidRPr="007954B9">
        <w:rPr>
          <w:rFonts w:ascii="Times New Roman" w:hAnsi="Times New Roman"/>
          <w:sz w:val="24"/>
        </w:rPr>
        <w:t xml:space="preserve">. </w:t>
      </w:r>
      <w:r w:rsidR="004F71EC" w:rsidRPr="007954B9">
        <w:rPr>
          <w:rFonts w:ascii="Times New Roman" w:hAnsi="Times New Roman"/>
          <w:sz w:val="24"/>
        </w:rPr>
        <w:t xml:space="preserve">See </w:t>
      </w:r>
      <w:r w:rsidR="00EB2A07" w:rsidRPr="007954B9">
        <w:rPr>
          <w:rFonts w:ascii="Times New Roman" w:hAnsi="Times New Roman"/>
          <w:sz w:val="24"/>
        </w:rPr>
        <w:t>also</w:t>
      </w:r>
      <w:r w:rsidR="004F71EC" w:rsidRPr="007954B9">
        <w:rPr>
          <w:rFonts w:ascii="Times New Roman" w:hAnsi="Times New Roman"/>
          <w:sz w:val="24"/>
        </w:rPr>
        <w:t xml:space="preserve"> </w:t>
      </w:r>
      <w:r w:rsidR="004B7463" w:rsidRPr="007954B9">
        <w:rPr>
          <w:rFonts w:ascii="Times New Roman" w:hAnsi="Times New Roman"/>
          <w:i/>
          <w:iCs/>
          <w:sz w:val="24"/>
        </w:rPr>
        <w:t xml:space="preserve">DRJ v Commissioner of Victims Rights </w:t>
      </w:r>
      <w:r w:rsidR="00484E34" w:rsidRPr="007954B9">
        <w:rPr>
          <w:rFonts w:ascii="Times New Roman" w:hAnsi="Times New Roman"/>
          <w:i/>
          <w:iCs/>
          <w:sz w:val="24"/>
        </w:rPr>
        <w:t>[</w:t>
      </w:r>
      <w:r w:rsidR="004B7463" w:rsidRPr="007954B9">
        <w:rPr>
          <w:rFonts w:ascii="Times New Roman" w:hAnsi="Times New Roman"/>
          <w:i/>
          <w:iCs/>
          <w:sz w:val="24"/>
        </w:rPr>
        <w:t>No</w:t>
      </w:r>
      <w:r w:rsidR="00E34FDF" w:rsidRPr="007954B9">
        <w:rPr>
          <w:rFonts w:ascii="Times New Roman" w:hAnsi="Times New Roman"/>
          <w:i/>
          <w:iCs/>
          <w:sz w:val="24"/>
        </w:rPr>
        <w:t> </w:t>
      </w:r>
      <w:r w:rsidR="004B7463" w:rsidRPr="007954B9">
        <w:rPr>
          <w:rFonts w:ascii="Times New Roman" w:hAnsi="Times New Roman"/>
          <w:i/>
          <w:iCs/>
          <w:sz w:val="24"/>
        </w:rPr>
        <w:t>2</w:t>
      </w:r>
      <w:r w:rsidR="00484E34" w:rsidRPr="007954B9">
        <w:rPr>
          <w:rFonts w:ascii="Times New Roman" w:hAnsi="Times New Roman"/>
          <w:i/>
          <w:iCs/>
          <w:sz w:val="24"/>
        </w:rPr>
        <w:t>]</w:t>
      </w:r>
      <w:r w:rsidR="004B7463" w:rsidRPr="007954B9">
        <w:rPr>
          <w:rFonts w:ascii="Times New Roman" w:hAnsi="Times New Roman"/>
          <w:sz w:val="24"/>
        </w:rPr>
        <w:t xml:space="preserve"> </w:t>
      </w:r>
      <w:r w:rsidR="00FF43B9" w:rsidRPr="007954B9">
        <w:rPr>
          <w:rFonts w:ascii="Times New Roman" w:hAnsi="Times New Roman"/>
          <w:sz w:val="24"/>
        </w:rPr>
        <w:t xml:space="preserve">(2020) 103 NSWLR 692 at </w:t>
      </w:r>
      <w:r w:rsidR="00CF6B32" w:rsidRPr="007954B9">
        <w:rPr>
          <w:rFonts w:ascii="Times New Roman" w:hAnsi="Times New Roman"/>
          <w:sz w:val="24"/>
        </w:rPr>
        <w:t>71</w:t>
      </w:r>
      <w:r w:rsidR="003E71C8" w:rsidRPr="007954B9">
        <w:rPr>
          <w:rFonts w:ascii="Times New Roman" w:hAnsi="Times New Roman"/>
          <w:sz w:val="24"/>
        </w:rPr>
        <w:t>7</w:t>
      </w:r>
      <w:r w:rsidR="00CF6B32" w:rsidRPr="007954B9">
        <w:rPr>
          <w:rFonts w:ascii="Times New Roman" w:hAnsi="Times New Roman"/>
          <w:sz w:val="24"/>
        </w:rPr>
        <w:t>-</w:t>
      </w:r>
      <w:r w:rsidR="00251070" w:rsidRPr="007954B9">
        <w:rPr>
          <w:rFonts w:ascii="Times New Roman" w:hAnsi="Times New Roman"/>
          <w:sz w:val="24"/>
        </w:rPr>
        <w:t>72</w:t>
      </w:r>
      <w:r w:rsidR="00DF2BD6" w:rsidRPr="007954B9">
        <w:rPr>
          <w:rFonts w:ascii="Times New Roman" w:hAnsi="Times New Roman"/>
          <w:sz w:val="24"/>
        </w:rPr>
        <w:t>1</w:t>
      </w:r>
      <w:r w:rsidR="00251070" w:rsidRPr="007954B9">
        <w:rPr>
          <w:rFonts w:ascii="Times New Roman" w:hAnsi="Times New Roman"/>
          <w:sz w:val="24"/>
        </w:rPr>
        <w:t xml:space="preserve"> [9</w:t>
      </w:r>
      <w:r w:rsidR="007020D8" w:rsidRPr="007954B9">
        <w:rPr>
          <w:rFonts w:ascii="Times New Roman" w:hAnsi="Times New Roman"/>
          <w:sz w:val="24"/>
        </w:rPr>
        <w:t>6</w:t>
      </w:r>
      <w:r w:rsidR="00251070" w:rsidRPr="007954B9">
        <w:rPr>
          <w:rFonts w:ascii="Times New Roman" w:hAnsi="Times New Roman"/>
          <w:sz w:val="24"/>
        </w:rPr>
        <w:t>]-[119].</w:t>
      </w:r>
    </w:p>
  </w:footnote>
  <w:footnote w:id="43">
    <w:p w14:paraId="0C373649" w14:textId="7263BA0B" w:rsidR="00DA620C" w:rsidRPr="007954B9" w:rsidRDefault="00DA620C"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r>
      <w:r w:rsidR="00A105C4" w:rsidRPr="007954B9">
        <w:rPr>
          <w:rFonts w:ascii="Times New Roman" w:hAnsi="Times New Roman"/>
          <w:sz w:val="24"/>
        </w:rPr>
        <w:t xml:space="preserve">See </w:t>
      </w:r>
      <w:r w:rsidR="00D424E2" w:rsidRPr="007954B9">
        <w:rPr>
          <w:rFonts w:ascii="Times New Roman" w:hAnsi="Times New Roman"/>
          <w:i/>
          <w:iCs/>
          <w:sz w:val="24"/>
        </w:rPr>
        <w:t>Thiess v Collector of Customs</w:t>
      </w:r>
      <w:r w:rsidR="00D424E2" w:rsidRPr="007954B9">
        <w:rPr>
          <w:rFonts w:ascii="Times New Roman" w:hAnsi="Times New Roman"/>
          <w:sz w:val="24"/>
        </w:rPr>
        <w:t xml:space="preserve"> (2014) 250 CLR 664 at 672 </w:t>
      </w:r>
      <w:r w:rsidR="00F53BEB" w:rsidRPr="007954B9">
        <w:rPr>
          <w:rFonts w:ascii="Times New Roman" w:hAnsi="Times New Roman"/>
          <w:sz w:val="24"/>
        </w:rPr>
        <w:t>[</w:t>
      </w:r>
      <w:r w:rsidR="000F073C" w:rsidRPr="007954B9">
        <w:rPr>
          <w:rFonts w:ascii="Times New Roman" w:hAnsi="Times New Roman"/>
          <w:sz w:val="24"/>
        </w:rPr>
        <w:t xml:space="preserve">23]; </w:t>
      </w:r>
      <w:r w:rsidR="00143D6E" w:rsidRPr="007954B9">
        <w:rPr>
          <w:rFonts w:ascii="Times New Roman" w:hAnsi="Times New Roman"/>
          <w:i/>
          <w:iCs/>
          <w:sz w:val="24"/>
        </w:rPr>
        <w:t xml:space="preserve">Port of Newcastle Operations Pty </w:t>
      </w:r>
      <w:r w:rsidR="00244AE8" w:rsidRPr="007954B9">
        <w:rPr>
          <w:rFonts w:ascii="Times New Roman" w:hAnsi="Times New Roman"/>
          <w:i/>
          <w:iCs/>
          <w:sz w:val="24"/>
        </w:rPr>
        <w:t xml:space="preserve">Ltd </w:t>
      </w:r>
      <w:r w:rsidR="00143D6E" w:rsidRPr="007954B9">
        <w:rPr>
          <w:rFonts w:ascii="Times New Roman" w:hAnsi="Times New Roman"/>
          <w:i/>
          <w:iCs/>
          <w:sz w:val="24"/>
        </w:rPr>
        <w:t xml:space="preserve">v Glencore Coal Assets Australia Pty Ltd </w:t>
      </w:r>
      <w:r w:rsidR="00ED4A51" w:rsidRPr="007954B9">
        <w:rPr>
          <w:rFonts w:ascii="Times New Roman" w:hAnsi="Times New Roman"/>
          <w:sz w:val="24"/>
        </w:rPr>
        <w:t xml:space="preserve">(2021) 96 ALJR 56 </w:t>
      </w:r>
      <w:r w:rsidR="00143D6E" w:rsidRPr="007954B9">
        <w:rPr>
          <w:rFonts w:ascii="Times New Roman" w:hAnsi="Times New Roman"/>
          <w:sz w:val="24"/>
        </w:rPr>
        <w:t xml:space="preserve">at </w:t>
      </w:r>
      <w:r w:rsidR="00674B08" w:rsidRPr="007954B9">
        <w:rPr>
          <w:rFonts w:ascii="Times New Roman" w:hAnsi="Times New Roman"/>
          <w:sz w:val="24"/>
        </w:rPr>
        <w:t xml:space="preserve">71 </w:t>
      </w:r>
      <w:r w:rsidR="00826258" w:rsidRPr="007954B9">
        <w:rPr>
          <w:rFonts w:ascii="Times New Roman" w:hAnsi="Times New Roman"/>
          <w:sz w:val="24"/>
        </w:rPr>
        <w:t>[89]</w:t>
      </w:r>
      <w:r w:rsidR="00B62CB1" w:rsidRPr="007954B9">
        <w:rPr>
          <w:rFonts w:ascii="Times New Roman" w:hAnsi="Times New Roman"/>
          <w:sz w:val="24"/>
        </w:rPr>
        <w:t>; 395 ALR 209</w:t>
      </w:r>
      <w:r w:rsidR="00CB7ED8" w:rsidRPr="007954B9">
        <w:rPr>
          <w:rFonts w:ascii="Times New Roman" w:hAnsi="Times New Roman"/>
          <w:sz w:val="24"/>
        </w:rPr>
        <w:t xml:space="preserve"> at 227-228</w:t>
      </w:r>
      <w:r w:rsidR="00826258" w:rsidRPr="007954B9">
        <w:rPr>
          <w:rFonts w:ascii="Times New Roman" w:hAnsi="Times New Roman"/>
          <w:sz w:val="24"/>
        </w:rPr>
        <w:t>.</w:t>
      </w:r>
    </w:p>
  </w:footnote>
  <w:footnote w:id="44">
    <w:p w14:paraId="61FD53F3" w14:textId="2ED32D7C" w:rsidR="00A06862" w:rsidRPr="007954B9" w:rsidRDefault="00A06862"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Pr="007954B9">
        <w:rPr>
          <w:rFonts w:ascii="Times New Roman" w:hAnsi="Times New Roman"/>
          <w:sz w:val="24"/>
        </w:rPr>
        <w:tab/>
      </w:r>
      <w:r w:rsidRPr="007954B9">
        <w:rPr>
          <w:rFonts w:ascii="Times New Roman" w:hAnsi="Times New Roman"/>
          <w:i/>
          <w:iCs/>
          <w:sz w:val="24"/>
        </w:rPr>
        <w:t>Akai</w:t>
      </w:r>
      <w:r w:rsidR="00561124" w:rsidRPr="007954B9">
        <w:rPr>
          <w:rFonts w:ascii="Times New Roman" w:hAnsi="Times New Roman"/>
          <w:i/>
          <w:iCs/>
          <w:sz w:val="24"/>
        </w:rPr>
        <w:t xml:space="preserve"> Pty</w:t>
      </w:r>
      <w:r w:rsidRPr="007954B9">
        <w:rPr>
          <w:rFonts w:ascii="Times New Roman" w:hAnsi="Times New Roman"/>
          <w:i/>
          <w:iCs/>
          <w:sz w:val="24"/>
        </w:rPr>
        <w:t xml:space="preserve"> Ltd v People's Insurance Co Ltd</w:t>
      </w:r>
      <w:r w:rsidRPr="007954B9">
        <w:rPr>
          <w:rFonts w:ascii="Times New Roman" w:hAnsi="Times New Roman"/>
          <w:sz w:val="24"/>
        </w:rPr>
        <w:t xml:space="preserve"> (1996) 188 CLR 418 at 443. </w:t>
      </w:r>
      <w:r w:rsidR="001D1823" w:rsidRPr="007954B9">
        <w:rPr>
          <w:rFonts w:ascii="Times New Roman" w:hAnsi="Times New Roman"/>
          <w:sz w:val="24"/>
        </w:rPr>
        <w:t>Eg</w:t>
      </w:r>
      <w:r w:rsidRPr="007954B9">
        <w:rPr>
          <w:rFonts w:ascii="Times New Roman" w:hAnsi="Times New Roman"/>
          <w:sz w:val="24"/>
        </w:rPr>
        <w:t xml:space="preserve"> </w:t>
      </w:r>
      <w:r w:rsidRPr="007954B9">
        <w:rPr>
          <w:rFonts w:ascii="Times New Roman" w:hAnsi="Times New Roman"/>
          <w:i/>
          <w:iCs/>
          <w:sz w:val="24"/>
        </w:rPr>
        <w:t xml:space="preserve">Grannall v </w:t>
      </w:r>
      <w:r w:rsidR="00F460D3" w:rsidRPr="007954B9">
        <w:rPr>
          <w:rFonts w:ascii="Times New Roman" w:hAnsi="Times New Roman"/>
          <w:i/>
          <w:iCs/>
          <w:sz w:val="24"/>
        </w:rPr>
        <w:t xml:space="preserve">C </w:t>
      </w:r>
      <w:r w:rsidRPr="007954B9">
        <w:rPr>
          <w:rFonts w:ascii="Times New Roman" w:hAnsi="Times New Roman"/>
          <w:i/>
          <w:iCs/>
          <w:sz w:val="24"/>
        </w:rPr>
        <w:t>Geo Kellaway &amp; Sons Pty Ltd</w:t>
      </w:r>
      <w:r w:rsidRPr="007954B9">
        <w:rPr>
          <w:rFonts w:ascii="Times New Roman" w:hAnsi="Times New Roman"/>
          <w:sz w:val="24"/>
        </w:rPr>
        <w:t xml:space="preserve"> (1955) 93 CLR </w:t>
      </w:r>
      <w:r w:rsidR="00AE6C98" w:rsidRPr="007954B9">
        <w:rPr>
          <w:rFonts w:ascii="Times New Roman" w:hAnsi="Times New Roman"/>
          <w:sz w:val="24"/>
        </w:rPr>
        <w:t>36 at 52-53.</w:t>
      </w:r>
    </w:p>
  </w:footnote>
  <w:footnote w:id="45">
    <w:p w14:paraId="14BFE254" w14:textId="77777777" w:rsidR="0014021C" w:rsidRPr="007954B9" w:rsidRDefault="0014021C"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DB773D" w:rsidRPr="007954B9">
        <w:rPr>
          <w:rFonts w:ascii="Times New Roman" w:hAnsi="Times New Roman"/>
          <w:sz w:val="24"/>
        </w:rPr>
        <w:tab/>
      </w:r>
      <w:r w:rsidR="003471B2" w:rsidRPr="007954B9">
        <w:rPr>
          <w:rFonts w:ascii="Times New Roman" w:hAnsi="Times New Roman"/>
          <w:i/>
          <w:iCs/>
          <w:sz w:val="24"/>
        </w:rPr>
        <w:t>Insight Vacations Pty Ltd v Young</w:t>
      </w:r>
      <w:r w:rsidR="003471B2" w:rsidRPr="007954B9">
        <w:rPr>
          <w:rFonts w:ascii="Times New Roman" w:hAnsi="Times New Roman"/>
          <w:sz w:val="24"/>
        </w:rPr>
        <w:t xml:space="preserve"> (2011) 243 CLR 149 at 1</w:t>
      </w:r>
      <w:r w:rsidR="00DA619B" w:rsidRPr="007954B9">
        <w:rPr>
          <w:rFonts w:ascii="Times New Roman" w:hAnsi="Times New Roman"/>
          <w:sz w:val="24"/>
        </w:rPr>
        <w:t>62</w:t>
      </w:r>
      <w:r w:rsidR="003471B2" w:rsidRPr="007954B9">
        <w:rPr>
          <w:rFonts w:ascii="Times New Roman" w:hAnsi="Times New Roman"/>
          <w:sz w:val="24"/>
        </w:rPr>
        <w:t xml:space="preserve"> [36].</w:t>
      </w:r>
    </w:p>
  </w:footnote>
  <w:footnote w:id="46">
    <w:p w14:paraId="0B663E27" w14:textId="0DAB6EB2" w:rsidR="00DC639C" w:rsidRPr="007954B9" w:rsidRDefault="00DC639C"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EA2882" w:rsidRPr="007954B9">
        <w:rPr>
          <w:rFonts w:ascii="Times New Roman" w:hAnsi="Times New Roman"/>
          <w:sz w:val="24"/>
        </w:rPr>
        <w:tab/>
      </w:r>
      <w:r w:rsidR="00DA6CF6" w:rsidRPr="007954B9">
        <w:rPr>
          <w:rFonts w:ascii="Times New Roman" w:hAnsi="Times New Roman"/>
          <w:i/>
          <w:iCs/>
          <w:sz w:val="24"/>
        </w:rPr>
        <w:t>Wanganui-Rangitikei Electric Power Board v Australian Mutual Provident Society</w:t>
      </w:r>
      <w:r w:rsidR="00DA6CF6" w:rsidRPr="007954B9">
        <w:rPr>
          <w:rFonts w:ascii="Times New Roman" w:hAnsi="Times New Roman"/>
          <w:sz w:val="24"/>
        </w:rPr>
        <w:t xml:space="preserve"> (1934) 50 CLR 581</w:t>
      </w:r>
      <w:r w:rsidR="000E742F" w:rsidRPr="007954B9">
        <w:rPr>
          <w:rFonts w:ascii="Times New Roman" w:hAnsi="Times New Roman"/>
          <w:sz w:val="24"/>
        </w:rPr>
        <w:t xml:space="preserve"> at </w:t>
      </w:r>
      <w:r w:rsidR="00EA6AAB" w:rsidRPr="007954B9">
        <w:rPr>
          <w:rFonts w:ascii="Times New Roman" w:hAnsi="Times New Roman"/>
          <w:sz w:val="24"/>
        </w:rPr>
        <w:t>601</w:t>
      </w:r>
      <w:r w:rsidR="004847BC" w:rsidRPr="007954B9">
        <w:rPr>
          <w:rFonts w:ascii="Times New Roman" w:hAnsi="Times New Roman"/>
          <w:sz w:val="24"/>
        </w:rPr>
        <w:t xml:space="preserve">; </w:t>
      </w:r>
      <w:r w:rsidR="008C4099" w:rsidRPr="007954B9">
        <w:rPr>
          <w:rFonts w:ascii="Times New Roman" w:hAnsi="Times New Roman"/>
          <w:i/>
          <w:iCs/>
          <w:sz w:val="24"/>
        </w:rPr>
        <w:t>Kay's Leasing Corporation Pty Ltd v Fletcher</w:t>
      </w:r>
      <w:r w:rsidR="008C4099" w:rsidRPr="007954B9">
        <w:rPr>
          <w:rFonts w:ascii="Times New Roman" w:hAnsi="Times New Roman"/>
          <w:sz w:val="24"/>
        </w:rPr>
        <w:t xml:space="preserve"> (1964) 116 CLR 124 at 142</w:t>
      </w:r>
      <w:r w:rsidR="006402BB" w:rsidRPr="007954B9">
        <w:rPr>
          <w:rFonts w:ascii="Times New Roman" w:hAnsi="Times New Roman"/>
          <w:sz w:val="24"/>
        </w:rPr>
        <w:t xml:space="preserve">-143; </w:t>
      </w:r>
      <w:r w:rsidR="00401489" w:rsidRPr="007954B9">
        <w:rPr>
          <w:rFonts w:ascii="Times New Roman" w:hAnsi="Times New Roman"/>
          <w:i/>
          <w:iCs/>
          <w:sz w:val="24"/>
        </w:rPr>
        <w:t xml:space="preserve">Westport Insurance Corporation v Gordian Runoff </w:t>
      </w:r>
      <w:r w:rsidR="00645994" w:rsidRPr="007954B9">
        <w:rPr>
          <w:rFonts w:ascii="Times New Roman" w:hAnsi="Times New Roman"/>
          <w:i/>
          <w:iCs/>
          <w:sz w:val="24"/>
        </w:rPr>
        <w:t>Ltd</w:t>
      </w:r>
      <w:r w:rsidR="00645994" w:rsidRPr="007954B9">
        <w:rPr>
          <w:rFonts w:ascii="Times New Roman" w:hAnsi="Times New Roman"/>
          <w:sz w:val="24"/>
        </w:rPr>
        <w:t xml:space="preserve"> (2011) 244 CLR 239 at 257 [4].</w:t>
      </w:r>
      <w:r w:rsidR="00D27034" w:rsidRPr="007954B9">
        <w:rPr>
          <w:rFonts w:ascii="Times New Roman" w:hAnsi="Times New Roman"/>
          <w:sz w:val="24"/>
        </w:rPr>
        <w:t xml:space="preserve"> See also </w:t>
      </w:r>
      <w:r w:rsidR="00D27034" w:rsidRPr="007954B9">
        <w:rPr>
          <w:rFonts w:ascii="Times New Roman" w:hAnsi="Times New Roman"/>
          <w:i/>
          <w:iCs/>
          <w:sz w:val="24"/>
        </w:rPr>
        <w:t>Akai Pty Ltd v People's Insurance Co Ltd</w:t>
      </w:r>
      <w:r w:rsidR="00D27034" w:rsidRPr="007954B9">
        <w:rPr>
          <w:rFonts w:ascii="Times New Roman" w:hAnsi="Times New Roman"/>
          <w:sz w:val="24"/>
        </w:rPr>
        <w:t xml:space="preserve"> (1996) 188 CLR 418 at 443; </w:t>
      </w:r>
      <w:r w:rsidR="00D27034" w:rsidRPr="007954B9">
        <w:rPr>
          <w:rFonts w:ascii="Times New Roman" w:hAnsi="Times New Roman"/>
          <w:i/>
          <w:iCs/>
          <w:sz w:val="24"/>
        </w:rPr>
        <w:t>Insight Vacations Pty Ltd v Young</w:t>
      </w:r>
      <w:r w:rsidR="00D27034" w:rsidRPr="007954B9">
        <w:rPr>
          <w:rFonts w:ascii="Times New Roman" w:hAnsi="Times New Roman"/>
          <w:sz w:val="24"/>
        </w:rPr>
        <w:t xml:space="preserve"> (2011) 243 CLR 149 at 160 [30].</w:t>
      </w:r>
    </w:p>
  </w:footnote>
  <w:footnote w:id="47">
    <w:p w14:paraId="0F46A4C6" w14:textId="04C249C8" w:rsidR="006D56FE" w:rsidRPr="007954B9" w:rsidRDefault="006D56FE"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A048EC" w:rsidRPr="007954B9">
        <w:rPr>
          <w:rFonts w:ascii="Times New Roman" w:hAnsi="Times New Roman"/>
          <w:sz w:val="24"/>
        </w:rPr>
        <w:tab/>
        <w:t>(2003) 214 CLR 397.</w:t>
      </w:r>
    </w:p>
  </w:footnote>
  <w:footnote w:id="48">
    <w:p w14:paraId="5591917E" w14:textId="202D776B" w:rsidR="00E305A6" w:rsidRPr="007954B9" w:rsidRDefault="00E305A6"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D167A0" w:rsidRPr="007954B9">
        <w:rPr>
          <w:rFonts w:ascii="Times New Roman" w:hAnsi="Times New Roman"/>
          <w:sz w:val="24"/>
        </w:rPr>
        <w:tab/>
      </w:r>
      <w:r w:rsidR="00731510" w:rsidRPr="007954B9">
        <w:rPr>
          <w:rFonts w:ascii="Times New Roman" w:hAnsi="Times New Roman"/>
          <w:sz w:val="24"/>
        </w:rPr>
        <w:t>E</w:t>
      </w:r>
      <w:r w:rsidR="00AB3ED7" w:rsidRPr="007954B9">
        <w:rPr>
          <w:rFonts w:ascii="Times New Roman" w:hAnsi="Times New Roman"/>
          <w:sz w:val="24"/>
        </w:rPr>
        <w:t>g</w:t>
      </w:r>
      <w:r w:rsidR="00E8198D" w:rsidRPr="007954B9">
        <w:rPr>
          <w:rFonts w:ascii="Times New Roman" w:hAnsi="Times New Roman"/>
          <w:sz w:val="24"/>
        </w:rPr>
        <w:t xml:space="preserve"> </w:t>
      </w:r>
      <w:r w:rsidR="00DF1CD8" w:rsidRPr="007954B9">
        <w:rPr>
          <w:rFonts w:ascii="Times New Roman" w:hAnsi="Times New Roman"/>
          <w:i/>
          <w:iCs/>
          <w:sz w:val="24"/>
        </w:rPr>
        <w:t>Mynott v Barnard</w:t>
      </w:r>
      <w:r w:rsidR="00DF1CD8" w:rsidRPr="007954B9">
        <w:rPr>
          <w:rFonts w:ascii="Times New Roman" w:hAnsi="Times New Roman"/>
          <w:sz w:val="24"/>
        </w:rPr>
        <w:t xml:space="preserve"> (1939) 62 CLR </w:t>
      </w:r>
      <w:r w:rsidR="00281BB1" w:rsidRPr="007954B9">
        <w:rPr>
          <w:rFonts w:ascii="Times New Roman" w:hAnsi="Times New Roman"/>
          <w:sz w:val="24"/>
        </w:rPr>
        <w:t>68 at 73</w:t>
      </w:r>
      <w:r w:rsidR="003F2644" w:rsidRPr="007954B9">
        <w:rPr>
          <w:rFonts w:ascii="Times New Roman" w:hAnsi="Times New Roman"/>
          <w:sz w:val="24"/>
        </w:rPr>
        <w:t>-74</w:t>
      </w:r>
      <w:r w:rsidR="00281BB1" w:rsidRPr="007954B9">
        <w:rPr>
          <w:rFonts w:ascii="Times New Roman" w:hAnsi="Times New Roman"/>
          <w:sz w:val="24"/>
        </w:rPr>
        <w:t xml:space="preserve">; </w:t>
      </w:r>
      <w:r w:rsidR="00BC35D1" w:rsidRPr="007954B9">
        <w:rPr>
          <w:rFonts w:ascii="Times New Roman" w:hAnsi="Times New Roman"/>
          <w:i/>
          <w:iCs/>
          <w:sz w:val="24"/>
        </w:rPr>
        <w:t xml:space="preserve">Insight Vacations Pty Ltd </w:t>
      </w:r>
      <w:r w:rsidR="00AB3ED7" w:rsidRPr="007954B9">
        <w:rPr>
          <w:rFonts w:ascii="Times New Roman" w:hAnsi="Times New Roman"/>
          <w:i/>
          <w:iCs/>
          <w:sz w:val="24"/>
        </w:rPr>
        <w:t>v Young</w:t>
      </w:r>
      <w:r w:rsidR="00AB3ED7" w:rsidRPr="007954B9">
        <w:rPr>
          <w:rFonts w:ascii="Times New Roman" w:hAnsi="Times New Roman"/>
          <w:sz w:val="24"/>
        </w:rPr>
        <w:t xml:space="preserve"> </w:t>
      </w:r>
      <w:r w:rsidR="00BC35D1" w:rsidRPr="007954B9">
        <w:rPr>
          <w:rFonts w:ascii="Times New Roman" w:hAnsi="Times New Roman"/>
          <w:sz w:val="24"/>
        </w:rPr>
        <w:t>(2011) 243 CLR 149 at 159</w:t>
      </w:r>
      <w:r w:rsidR="00DA619B" w:rsidRPr="007954B9">
        <w:rPr>
          <w:rFonts w:ascii="Times New Roman" w:hAnsi="Times New Roman"/>
          <w:sz w:val="24"/>
        </w:rPr>
        <w:t>-162</w:t>
      </w:r>
      <w:r w:rsidR="00BC35D1" w:rsidRPr="007954B9">
        <w:rPr>
          <w:rFonts w:ascii="Times New Roman" w:hAnsi="Times New Roman"/>
          <w:sz w:val="24"/>
        </w:rPr>
        <w:t xml:space="preserve"> [28]</w:t>
      </w:r>
      <w:r w:rsidR="003666FC" w:rsidRPr="007954B9">
        <w:rPr>
          <w:rFonts w:ascii="Times New Roman" w:hAnsi="Times New Roman"/>
          <w:sz w:val="24"/>
        </w:rPr>
        <w:t>-[36]</w:t>
      </w:r>
      <w:r w:rsidR="00BC35D1" w:rsidRPr="007954B9">
        <w:rPr>
          <w:rFonts w:ascii="Times New Roman" w:hAnsi="Times New Roman"/>
          <w:sz w:val="24"/>
        </w:rPr>
        <w:t>.</w:t>
      </w:r>
    </w:p>
  </w:footnote>
  <w:footnote w:id="49">
    <w:p w14:paraId="2EE622E5" w14:textId="3B37E5E5" w:rsidR="00646F08" w:rsidRPr="007954B9" w:rsidRDefault="00646F08"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C12BD8" w:rsidRPr="007954B9">
        <w:rPr>
          <w:rFonts w:ascii="Times New Roman" w:hAnsi="Times New Roman"/>
          <w:sz w:val="24"/>
        </w:rPr>
        <w:tab/>
        <w:t>Section 5 of the Act.</w:t>
      </w:r>
    </w:p>
  </w:footnote>
  <w:footnote w:id="50">
    <w:p w14:paraId="386B1382" w14:textId="3FFD7C7F" w:rsidR="003251E1" w:rsidRPr="007954B9" w:rsidRDefault="003251E1"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C12BD8" w:rsidRPr="007954B9">
        <w:rPr>
          <w:rFonts w:ascii="Times New Roman" w:hAnsi="Times New Roman"/>
          <w:sz w:val="24"/>
        </w:rPr>
        <w:tab/>
      </w:r>
      <w:r w:rsidR="00AA7DDA" w:rsidRPr="007954B9">
        <w:rPr>
          <w:rFonts w:ascii="Times New Roman" w:hAnsi="Times New Roman"/>
          <w:sz w:val="24"/>
        </w:rPr>
        <w:t>Section 19 of the Act.</w:t>
      </w:r>
    </w:p>
  </w:footnote>
  <w:footnote w:id="51">
    <w:p w14:paraId="32A13093" w14:textId="50C158D9" w:rsidR="00EC4733" w:rsidRPr="007954B9" w:rsidRDefault="00EC4733" w:rsidP="007954B9">
      <w:pPr>
        <w:pStyle w:val="FootnoteText"/>
        <w:spacing w:line="280" w:lineRule="exact"/>
        <w:ind w:right="0"/>
        <w:jc w:val="both"/>
        <w:rPr>
          <w:rFonts w:ascii="Times New Roman" w:hAnsi="Times New Roman"/>
          <w:sz w:val="24"/>
        </w:rPr>
      </w:pPr>
      <w:r w:rsidRPr="007954B9">
        <w:rPr>
          <w:rStyle w:val="FootnoteReference"/>
          <w:rFonts w:ascii="Times New Roman" w:hAnsi="Times New Roman"/>
          <w:sz w:val="22"/>
          <w:vertAlign w:val="baseline"/>
        </w:rPr>
        <w:footnoteRef/>
      </w:r>
      <w:r w:rsidRPr="007954B9">
        <w:rPr>
          <w:rFonts w:ascii="Times New Roman" w:hAnsi="Times New Roman"/>
          <w:sz w:val="24"/>
        </w:rPr>
        <w:t xml:space="preserve"> </w:t>
      </w:r>
      <w:r w:rsidR="00B204B7" w:rsidRPr="007954B9">
        <w:rPr>
          <w:rFonts w:ascii="Times New Roman" w:hAnsi="Times New Roman"/>
          <w:sz w:val="24"/>
        </w:rPr>
        <w:tab/>
        <w:t>Mulheron, "Asserting personal jurisdiction over non</w:t>
      </w:r>
      <w:r w:rsidR="00F72021" w:rsidRPr="007954B9">
        <w:rPr>
          <w:rFonts w:ascii="Times New Roman" w:hAnsi="Times New Roman"/>
          <w:sz w:val="24"/>
        </w:rPr>
        <w:t>-</w:t>
      </w:r>
      <w:r w:rsidR="00B204B7" w:rsidRPr="007954B9">
        <w:rPr>
          <w:rFonts w:ascii="Times New Roman" w:hAnsi="Times New Roman"/>
          <w:sz w:val="24"/>
        </w:rPr>
        <w:t>resident class members</w:t>
      </w:r>
      <w:r w:rsidR="00F72021" w:rsidRPr="007954B9">
        <w:rPr>
          <w:rFonts w:ascii="Times New Roman" w:hAnsi="Times New Roman"/>
          <w:sz w:val="24"/>
        </w:rPr>
        <w:t xml:space="preserve">: </w:t>
      </w:r>
      <w:r w:rsidR="008B0A5D" w:rsidRPr="007954B9">
        <w:rPr>
          <w:rFonts w:ascii="Times New Roman" w:hAnsi="Times New Roman"/>
          <w:sz w:val="24"/>
        </w:rPr>
        <w:t xml:space="preserve">comparative insights for the United Kingdom" </w:t>
      </w:r>
      <w:r w:rsidR="00F72021" w:rsidRPr="007954B9">
        <w:rPr>
          <w:rFonts w:ascii="Times New Roman" w:hAnsi="Times New Roman"/>
          <w:sz w:val="24"/>
        </w:rPr>
        <w:t xml:space="preserve">(2019) 15 </w:t>
      </w:r>
      <w:r w:rsidR="00F72021" w:rsidRPr="007954B9">
        <w:rPr>
          <w:rFonts w:ascii="Times New Roman" w:hAnsi="Times New Roman"/>
          <w:i/>
          <w:iCs/>
          <w:sz w:val="24"/>
        </w:rPr>
        <w:t>J</w:t>
      </w:r>
      <w:r w:rsidR="008B0A5D" w:rsidRPr="007954B9">
        <w:rPr>
          <w:rFonts w:ascii="Times New Roman" w:hAnsi="Times New Roman"/>
          <w:i/>
          <w:iCs/>
          <w:sz w:val="24"/>
        </w:rPr>
        <w:t xml:space="preserve">ournal of </w:t>
      </w:r>
      <w:r w:rsidR="00C918B3" w:rsidRPr="007954B9">
        <w:rPr>
          <w:rFonts w:ascii="Times New Roman" w:hAnsi="Times New Roman"/>
          <w:i/>
          <w:iCs/>
          <w:sz w:val="24"/>
        </w:rPr>
        <w:t xml:space="preserve">Private </w:t>
      </w:r>
      <w:r w:rsidR="00F72021" w:rsidRPr="007954B9">
        <w:rPr>
          <w:rFonts w:ascii="Times New Roman" w:hAnsi="Times New Roman"/>
          <w:i/>
          <w:iCs/>
          <w:sz w:val="24"/>
        </w:rPr>
        <w:t>I</w:t>
      </w:r>
      <w:r w:rsidR="008B0A5D" w:rsidRPr="007954B9">
        <w:rPr>
          <w:rFonts w:ascii="Times New Roman" w:hAnsi="Times New Roman"/>
          <w:i/>
          <w:iCs/>
          <w:sz w:val="24"/>
        </w:rPr>
        <w:t>nternational Law</w:t>
      </w:r>
      <w:r w:rsidR="008B0A5D" w:rsidRPr="007954B9">
        <w:rPr>
          <w:rFonts w:ascii="Times New Roman" w:hAnsi="Times New Roman"/>
          <w:sz w:val="24"/>
        </w:rPr>
        <w:t xml:space="preserve"> 4</w:t>
      </w:r>
      <w:r w:rsidR="00C918B3" w:rsidRPr="007954B9">
        <w:rPr>
          <w:rFonts w:ascii="Times New Roman" w:hAnsi="Times New Roman"/>
          <w:sz w:val="24"/>
        </w:rPr>
        <w:t>4</w:t>
      </w:r>
      <w:r w:rsidR="008B0A5D" w:rsidRPr="007954B9">
        <w:rPr>
          <w:rFonts w:ascii="Times New Roman" w:hAnsi="Times New Roman"/>
          <w:sz w:val="24"/>
        </w:rPr>
        <w:t>5.</w:t>
      </w:r>
    </w:p>
  </w:footnote>
  <w:footnote w:id="52">
    <w:p w14:paraId="035B6F45"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iCs/>
          <w:sz w:val="24"/>
        </w:rPr>
        <w:t xml:space="preserve">Acts Interpretation Act 1901 </w:t>
      </w:r>
      <w:r w:rsidRPr="0033317A">
        <w:rPr>
          <w:rFonts w:ascii="Times New Roman" w:hAnsi="Times New Roman"/>
          <w:sz w:val="24"/>
        </w:rPr>
        <w:t>(Cth), s 21(1)(b).</w:t>
      </w:r>
    </w:p>
  </w:footnote>
  <w:footnote w:id="53">
    <w:p w14:paraId="65C86269"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Assuming "resident" has a common or established meaning. </w:t>
      </w:r>
    </w:p>
  </w:footnote>
  <w:footnote w:id="54">
    <w:p w14:paraId="537446C3"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See, eg, </w:t>
      </w:r>
      <w:r w:rsidRPr="0033317A">
        <w:rPr>
          <w:rFonts w:ascii="Times New Roman" w:hAnsi="Times New Roman"/>
          <w:i/>
          <w:iCs/>
          <w:sz w:val="24"/>
        </w:rPr>
        <w:t xml:space="preserve">Barcelo v Electrolytic Zinc Co of </w:t>
      </w:r>
      <w:r w:rsidRPr="0033317A">
        <w:rPr>
          <w:rFonts w:ascii="Times New Roman" w:hAnsi="Times New Roman"/>
          <w:i/>
          <w:sz w:val="24"/>
        </w:rPr>
        <w:t>Australasia Ltd</w:t>
      </w:r>
      <w:r w:rsidRPr="0033317A">
        <w:rPr>
          <w:rFonts w:ascii="Times New Roman" w:hAnsi="Times New Roman"/>
          <w:sz w:val="24"/>
        </w:rPr>
        <w:t xml:space="preserve"> (1932) 48 CLR 391 at 422-423, see also 406-407; </w:t>
      </w:r>
      <w:r w:rsidRPr="0033317A">
        <w:rPr>
          <w:rFonts w:ascii="Times New Roman" w:hAnsi="Times New Roman"/>
          <w:i/>
          <w:sz w:val="24"/>
        </w:rPr>
        <w:t>Wanganui-Rangitikei Electric Power Board v Australian Mutual Provident Society</w:t>
      </w:r>
      <w:r w:rsidRPr="0033317A">
        <w:rPr>
          <w:rFonts w:ascii="Times New Roman" w:hAnsi="Times New Roman"/>
          <w:sz w:val="24"/>
        </w:rPr>
        <w:t xml:space="preserve"> (1934) 50 CLR 581 at 601, 606-607, 611-612; </w:t>
      </w:r>
      <w:r w:rsidRPr="0033317A">
        <w:rPr>
          <w:rFonts w:ascii="Times New Roman" w:hAnsi="Times New Roman"/>
          <w:i/>
          <w:sz w:val="24"/>
        </w:rPr>
        <w:t xml:space="preserve">Mynott v Barnard </w:t>
      </w:r>
      <w:r w:rsidRPr="0033317A">
        <w:rPr>
          <w:rFonts w:ascii="Times New Roman" w:hAnsi="Times New Roman"/>
          <w:sz w:val="24"/>
        </w:rPr>
        <w:t xml:space="preserve">(1939) 62 CLR 68 at 75-76; </w:t>
      </w:r>
      <w:r w:rsidRPr="0033317A">
        <w:rPr>
          <w:rFonts w:ascii="Times New Roman" w:hAnsi="Times New Roman"/>
          <w:i/>
          <w:sz w:val="24"/>
        </w:rPr>
        <w:t>Meyer Heine Pty Ltd v China Navigation Co Ltd</w:t>
      </w:r>
      <w:r w:rsidRPr="0033317A">
        <w:rPr>
          <w:rFonts w:ascii="Times New Roman" w:hAnsi="Times New Roman"/>
          <w:sz w:val="24"/>
        </w:rPr>
        <w:t xml:space="preserve"> (1966) 115 CLR 10 at 22-24;</w:t>
      </w:r>
      <w:r w:rsidRPr="0033317A">
        <w:rPr>
          <w:rFonts w:ascii="Times New Roman" w:hAnsi="Times New Roman"/>
          <w:i/>
          <w:sz w:val="24"/>
        </w:rPr>
        <w:t xml:space="preserve"> Old UGC Inc v Industrial Relations Commission (NSW) </w:t>
      </w:r>
      <w:r w:rsidRPr="0033317A">
        <w:rPr>
          <w:rFonts w:ascii="Times New Roman" w:hAnsi="Times New Roman"/>
          <w:sz w:val="24"/>
        </w:rPr>
        <w:t xml:space="preserve">(2006) 225 CLR 274 at 283 [23]; </w:t>
      </w:r>
      <w:r w:rsidRPr="0033317A">
        <w:rPr>
          <w:rFonts w:ascii="Times New Roman" w:hAnsi="Times New Roman"/>
          <w:i/>
          <w:sz w:val="24"/>
        </w:rPr>
        <w:t xml:space="preserve">Insight Vacations Pty Ltd v Young </w:t>
      </w:r>
      <w:r w:rsidRPr="0033317A">
        <w:rPr>
          <w:rFonts w:ascii="Times New Roman" w:hAnsi="Times New Roman"/>
          <w:sz w:val="24"/>
        </w:rPr>
        <w:t>(2011)</w:t>
      </w:r>
      <w:r>
        <w:rPr>
          <w:rFonts w:ascii="Times New Roman" w:hAnsi="Times New Roman"/>
          <w:sz w:val="24"/>
        </w:rPr>
        <w:t> </w:t>
      </w:r>
      <w:r w:rsidRPr="0033317A">
        <w:rPr>
          <w:rFonts w:ascii="Times New Roman" w:hAnsi="Times New Roman"/>
          <w:sz w:val="24"/>
        </w:rPr>
        <w:t>243 CLR 149 at 161-162 [32]-[36].</w:t>
      </w:r>
    </w:p>
  </w:footnote>
  <w:footnote w:id="55">
    <w:p w14:paraId="2ECB80E8"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iCs/>
          <w:sz w:val="24"/>
        </w:rPr>
        <w:t xml:space="preserve">Federal Court of Australia </w:t>
      </w:r>
      <w:r w:rsidRPr="0033317A">
        <w:rPr>
          <w:rFonts w:ascii="Times New Roman" w:hAnsi="Times New Roman"/>
          <w:i/>
          <w:sz w:val="24"/>
        </w:rPr>
        <w:t>Act</w:t>
      </w:r>
      <w:r w:rsidRPr="0033317A">
        <w:rPr>
          <w:rFonts w:ascii="Times New Roman" w:hAnsi="Times New Roman"/>
          <w:sz w:val="24"/>
        </w:rPr>
        <w:t xml:space="preserve">, s 19. See also </w:t>
      </w:r>
      <w:r w:rsidRPr="0033317A">
        <w:rPr>
          <w:rFonts w:ascii="Times New Roman" w:hAnsi="Times New Roman"/>
          <w:i/>
          <w:sz w:val="24"/>
        </w:rPr>
        <w:t xml:space="preserve">Fencott v Muller </w:t>
      </w:r>
      <w:r w:rsidRPr="0033317A">
        <w:rPr>
          <w:rFonts w:ascii="Times New Roman" w:hAnsi="Times New Roman"/>
          <w:sz w:val="24"/>
        </w:rPr>
        <w:t xml:space="preserve">(1983) 152 CLR 570 at 603-610; </w:t>
      </w:r>
      <w:r w:rsidRPr="0033317A">
        <w:rPr>
          <w:rFonts w:ascii="Times New Roman" w:hAnsi="Times New Roman"/>
          <w:i/>
          <w:sz w:val="24"/>
        </w:rPr>
        <w:t xml:space="preserve">Australian Securities and Investments Commission v Edensor Nominees Pty Ltd </w:t>
      </w:r>
      <w:r w:rsidRPr="0033317A">
        <w:rPr>
          <w:rFonts w:ascii="Times New Roman" w:hAnsi="Times New Roman"/>
          <w:sz w:val="24"/>
        </w:rPr>
        <w:t xml:space="preserve">(2001) 204 CLR 559 at 571-572 [7]-[10], 585-586 [51]-[55]. </w:t>
      </w:r>
    </w:p>
  </w:footnote>
  <w:footnote w:id="56">
    <w:p w14:paraId="501D047F"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Through a wholly-owned subsidiary, BHP Billiton Brasil Ltda.</w:t>
      </w:r>
    </w:p>
  </w:footnote>
  <w:footnote w:id="57">
    <w:p w14:paraId="0442492B"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Baxter v Commissioners of Taxation (NSW) </w:t>
      </w:r>
      <w:r w:rsidRPr="0033317A">
        <w:rPr>
          <w:rFonts w:ascii="Times New Roman" w:hAnsi="Times New Roman"/>
          <w:sz w:val="24"/>
        </w:rPr>
        <w:t xml:space="preserve">(1907) 4 CLR 1087 at 1142. See also </w:t>
      </w:r>
      <w:r w:rsidRPr="0033317A">
        <w:rPr>
          <w:rFonts w:ascii="Times New Roman" w:hAnsi="Times New Roman"/>
          <w:i/>
          <w:sz w:val="24"/>
        </w:rPr>
        <w:t xml:space="preserve">Ah Yick v Lehmert </w:t>
      </w:r>
      <w:r w:rsidRPr="0033317A">
        <w:rPr>
          <w:rFonts w:ascii="Times New Roman" w:hAnsi="Times New Roman"/>
          <w:sz w:val="24"/>
        </w:rPr>
        <w:t xml:space="preserve">(1905) 2 CLR 593 at 603; </w:t>
      </w:r>
      <w:r w:rsidRPr="0033317A">
        <w:rPr>
          <w:rFonts w:ascii="Times New Roman" w:hAnsi="Times New Roman"/>
          <w:i/>
          <w:sz w:val="24"/>
        </w:rPr>
        <w:t xml:space="preserve">Gould v Brown </w:t>
      </w:r>
      <w:r w:rsidRPr="0033317A">
        <w:rPr>
          <w:rFonts w:ascii="Times New Roman" w:hAnsi="Times New Roman"/>
          <w:sz w:val="24"/>
        </w:rPr>
        <w:t xml:space="preserve">(1998) 193 CLR 346 at 379 [15]; </w:t>
      </w:r>
      <w:r w:rsidRPr="0033317A">
        <w:rPr>
          <w:rFonts w:ascii="Times New Roman" w:hAnsi="Times New Roman"/>
          <w:i/>
          <w:sz w:val="24"/>
        </w:rPr>
        <w:t xml:space="preserve">Lipohar v The Queen </w:t>
      </w:r>
      <w:r w:rsidRPr="0033317A">
        <w:rPr>
          <w:rFonts w:ascii="Times New Roman" w:hAnsi="Times New Roman"/>
          <w:sz w:val="24"/>
        </w:rPr>
        <w:t xml:space="preserve">(1999) 200 CLR 485 at 516-517 [78]; </w:t>
      </w:r>
      <w:r w:rsidRPr="0033317A">
        <w:rPr>
          <w:rFonts w:ascii="Times New Roman" w:hAnsi="Times New Roman"/>
          <w:i/>
          <w:sz w:val="24"/>
        </w:rPr>
        <w:t>Edensor</w:t>
      </w:r>
      <w:r>
        <w:rPr>
          <w:rFonts w:ascii="Times New Roman" w:hAnsi="Times New Roman"/>
          <w:i/>
          <w:sz w:val="24"/>
        </w:rPr>
        <w:t> </w:t>
      </w:r>
      <w:r w:rsidRPr="0033317A">
        <w:rPr>
          <w:rFonts w:ascii="Times New Roman" w:hAnsi="Times New Roman"/>
          <w:i/>
          <w:sz w:val="24"/>
        </w:rPr>
        <w:t xml:space="preserve">Nominees </w:t>
      </w:r>
      <w:r w:rsidRPr="0033317A">
        <w:rPr>
          <w:rFonts w:ascii="Times New Roman" w:hAnsi="Times New Roman"/>
          <w:sz w:val="24"/>
        </w:rPr>
        <w:t xml:space="preserve">(2001) 204 CLR 559 at 570 [2]; </w:t>
      </w:r>
      <w:r w:rsidRPr="0033317A">
        <w:rPr>
          <w:rFonts w:ascii="Times New Roman" w:hAnsi="Times New Roman"/>
          <w:i/>
          <w:sz w:val="24"/>
        </w:rPr>
        <w:t xml:space="preserve">Minister for Immigration and Multicultural and Indigenous Affairs v B </w:t>
      </w:r>
      <w:r w:rsidRPr="0033317A">
        <w:rPr>
          <w:rFonts w:ascii="Times New Roman" w:hAnsi="Times New Roman"/>
          <w:sz w:val="24"/>
        </w:rPr>
        <w:t>(2004) 219 CLR 365 at 377 [6], 394</w:t>
      </w:r>
      <w:r>
        <w:rPr>
          <w:rFonts w:ascii="Times New Roman" w:hAnsi="Times New Roman"/>
          <w:sz w:val="24"/>
        </w:rPr>
        <w:noBreakHyphen/>
      </w:r>
      <w:r w:rsidRPr="0033317A">
        <w:rPr>
          <w:rFonts w:ascii="Times New Roman" w:hAnsi="Times New Roman"/>
          <w:sz w:val="24"/>
        </w:rPr>
        <w:t>395</w:t>
      </w:r>
      <w:r>
        <w:rPr>
          <w:rFonts w:ascii="Times New Roman" w:hAnsi="Times New Roman"/>
          <w:sz w:val="24"/>
        </w:rPr>
        <w:t> </w:t>
      </w:r>
      <w:r w:rsidRPr="0033317A">
        <w:rPr>
          <w:rFonts w:ascii="Times New Roman" w:hAnsi="Times New Roman"/>
          <w:sz w:val="24"/>
        </w:rPr>
        <w:t xml:space="preserve">[68]; </w:t>
      </w:r>
      <w:r w:rsidRPr="0033317A">
        <w:rPr>
          <w:rFonts w:ascii="Times New Roman" w:hAnsi="Times New Roman"/>
          <w:i/>
          <w:sz w:val="24"/>
        </w:rPr>
        <w:t xml:space="preserve">CGU Insurance Ltd v Blakeley </w:t>
      </w:r>
      <w:r w:rsidRPr="0033317A">
        <w:rPr>
          <w:rFonts w:ascii="Times New Roman" w:hAnsi="Times New Roman"/>
          <w:sz w:val="24"/>
        </w:rPr>
        <w:t xml:space="preserve">(2016) 259 CLR 339 at 349-350 [24], 353 [31]; </w:t>
      </w:r>
      <w:r w:rsidRPr="0033317A">
        <w:rPr>
          <w:rFonts w:ascii="Times New Roman" w:hAnsi="Times New Roman"/>
          <w:i/>
          <w:sz w:val="24"/>
        </w:rPr>
        <w:t xml:space="preserve">Rizeq v Western Australia </w:t>
      </w:r>
      <w:r w:rsidRPr="0033317A">
        <w:rPr>
          <w:rFonts w:ascii="Times New Roman" w:hAnsi="Times New Roman"/>
          <w:sz w:val="24"/>
        </w:rPr>
        <w:t xml:space="preserve">(2017) 262 CLR 1 at 12 [8], 22 [49]-[50]; </w:t>
      </w:r>
      <w:r w:rsidRPr="0033317A">
        <w:rPr>
          <w:rFonts w:ascii="Times New Roman" w:hAnsi="Times New Roman"/>
          <w:i/>
          <w:sz w:val="24"/>
        </w:rPr>
        <w:t>Burns</w:t>
      </w:r>
      <w:r>
        <w:rPr>
          <w:rFonts w:ascii="Times New Roman" w:hAnsi="Times New Roman"/>
          <w:i/>
          <w:sz w:val="24"/>
        </w:rPr>
        <w:t> </w:t>
      </w:r>
      <w:r w:rsidRPr="0033317A">
        <w:rPr>
          <w:rFonts w:ascii="Times New Roman" w:hAnsi="Times New Roman"/>
          <w:i/>
          <w:sz w:val="24"/>
        </w:rPr>
        <w:t xml:space="preserve">v Corbett </w:t>
      </w:r>
      <w:r w:rsidRPr="0033317A">
        <w:rPr>
          <w:rFonts w:ascii="Times New Roman" w:hAnsi="Times New Roman"/>
          <w:sz w:val="24"/>
        </w:rPr>
        <w:t>(2018) 265 CLR 304 at 330 [20], 346-347 [70]-[71], 365 [124], 378</w:t>
      </w:r>
      <w:r>
        <w:rPr>
          <w:rFonts w:ascii="Times New Roman" w:hAnsi="Times New Roman"/>
          <w:sz w:val="24"/>
        </w:rPr>
        <w:t> </w:t>
      </w:r>
      <w:r w:rsidRPr="0033317A">
        <w:rPr>
          <w:rFonts w:ascii="Times New Roman" w:hAnsi="Times New Roman"/>
          <w:sz w:val="24"/>
        </w:rPr>
        <w:t>[159]-[160].</w:t>
      </w:r>
    </w:p>
  </w:footnote>
  <w:footnote w:id="58">
    <w:p w14:paraId="7DFD9F9A"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Edensor Nominees </w:t>
      </w:r>
      <w:r w:rsidRPr="0033317A">
        <w:rPr>
          <w:rFonts w:ascii="Times New Roman" w:hAnsi="Times New Roman"/>
          <w:sz w:val="24"/>
        </w:rPr>
        <w:t>(2001) 204 CLR 559 at 571 [7].</w:t>
      </w:r>
    </w:p>
  </w:footnote>
  <w:footnote w:id="59">
    <w:p w14:paraId="05E0E4DD"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(1995) 184 CLR 620 at 653, quoted with approval in </w:t>
      </w:r>
      <w:r w:rsidRPr="0033317A">
        <w:rPr>
          <w:rFonts w:ascii="Times New Roman" w:hAnsi="Times New Roman"/>
          <w:i/>
          <w:sz w:val="24"/>
        </w:rPr>
        <w:t xml:space="preserve">Edensor Nominees </w:t>
      </w:r>
      <w:r w:rsidRPr="0033317A">
        <w:rPr>
          <w:rFonts w:ascii="Times New Roman" w:hAnsi="Times New Roman"/>
          <w:sz w:val="24"/>
        </w:rPr>
        <w:t xml:space="preserve">(2001) 204 CLR 559 at 584-585 [50]. </w:t>
      </w:r>
    </w:p>
  </w:footnote>
  <w:footnote w:id="60">
    <w:p w14:paraId="1FB8A6F6"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Other than a matter in respect of which a criminal prosecution is instituted or any other criminal matter: </w:t>
      </w:r>
      <w:r w:rsidRPr="0033317A">
        <w:rPr>
          <w:rFonts w:ascii="Times New Roman" w:hAnsi="Times New Roman"/>
          <w:i/>
          <w:sz w:val="24"/>
        </w:rPr>
        <w:t xml:space="preserve">Judiciary Act, </w:t>
      </w:r>
      <w:r w:rsidRPr="0033317A">
        <w:rPr>
          <w:rFonts w:ascii="Times New Roman" w:hAnsi="Times New Roman"/>
          <w:sz w:val="24"/>
        </w:rPr>
        <w:t>s 39B(1A)(c).</w:t>
      </w:r>
    </w:p>
  </w:footnote>
  <w:footnote w:id="61">
    <w:p w14:paraId="09E9F972"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Stellios, </w:t>
      </w:r>
      <w:r w:rsidRPr="0033317A">
        <w:rPr>
          <w:rFonts w:ascii="Times New Roman" w:hAnsi="Times New Roman"/>
          <w:i/>
          <w:sz w:val="24"/>
        </w:rPr>
        <w:t xml:space="preserve">The Federal Judicature: Chapter III of the Constitution, </w:t>
      </w:r>
      <w:r w:rsidRPr="0033317A">
        <w:rPr>
          <w:rFonts w:ascii="Times New Roman" w:hAnsi="Times New Roman"/>
          <w:sz w:val="24"/>
        </w:rPr>
        <w:t>2nd ed</w:t>
      </w:r>
      <w:r w:rsidRPr="0033317A">
        <w:rPr>
          <w:rFonts w:ascii="Times New Roman" w:hAnsi="Times New Roman"/>
          <w:i/>
          <w:sz w:val="24"/>
        </w:rPr>
        <w:t xml:space="preserve"> </w:t>
      </w:r>
      <w:r w:rsidRPr="0033317A">
        <w:rPr>
          <w:rFonts w:ascii="Times New Roman" w:hAnsi="Times New Roman"/>
          <w:sz w:val="24"/>
        </w:rPr>
        <w:t>(2020) at</w:t>
      </w:r>
      <w:r>
        <w:rPr>
          <w:rFonts w:ascii="Times New Roman" w:hAnsi="Times New Roman"/>
          <w:sz w:val="24"/>
        </w:rPr>
        <w:t> </w:t>
      </w:r>
      <w:r w:rsidRPr="0033317A">
        <w:rPr>
          <w:rFonts w:ascii="Times New Roman" w:hAnsi="Times New Roman"/>
          <w:sz w:val="24"/>
        </w:rPr>
        <w:t xml:space="preserve">448 [8.4], referring to Lindell, </w:t>
      </w:r>
      <w:r w:rsidRPr="0033317A">
        <w:rPr>
          <w:rFonts w:ascii="Times New Roman" w:hAnsi="Times New Roman"/>
          <w:i/>
          <w:sz w:val="24"/>
        </w:rPr>
        <w:t xml:space="preserve">Cowen and Zines's Federal Jurisdiction in Australia, </w:t>
      </w:r>
      <w:r w:rsidRPr="0033317A">
        <w:rPr>
          <w:rFonts w:ascii="Times New Roman" w:hAnsi="Times New Roman"/>
          <w:sz w:val="24"/>
        </w:rPr>
        <w:t xml:space="preserve">4th ed (2016) at 158. </w:t>
      </w:r>
    </w:p>
  </w:footnote>
  <w:footnote w:id="62">
    <w:p w14:paraId="7013483A"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The Federal Court's jurisdiction is conferred by over 150 Commonwealth Acts: Stellios, </w:t>
      </w:r>
      <w:r w:rsidRPr="0033317A">
        <w:rPr>
          <w:rFonts w:ascii="Times New Roman" w:hAnsi="Times New Roman"/>
          <w:i/>
          <w:sz w:val="24"/>
        </w:rPr>
        <w:t>The Federal Judicature: Chapter III of the Constitution</w:t>
      </w:r>
      <w:r w:rsidRPr="0033317A">
        <w:rPr>
          <w:rFonts w:ascii="Times New Roman" w:hAnsi="Times New Roman"/>
          <w:iCs/>
          <w:sz w:val="24"/>
        </w:rPr>
        <w:t>,</w:t>
      </w:r>
      <w:r w:rsidRPr="0033317A">
        <w:rPr>
          <w:rFonts w:ascii="Times New Roman" w:hAnsi="Times New Roman"/>
          <w:i/>
          <w:sz w:val="24"/>
        </w:rPr>
        <w:t xml:space="preserve"> </w:t>
      </w:r>
      <w:r w:rsidRPr="0033317A">
        <w:rPr>
          <w:rFonts w:ascii="Times New Roman" w:hAnsi="Times New Roman"/>
          <w:sz w:val="24"/>
        </w:rPr>
        <w:t>2nd ed (2020) at</w:t>
      </w:r>
      <w:r>
        <w:rPr>
          <w:rFonts w:ascii="Times New Roman" w:hAnsi="Times New Roman"/>
          <w:sz w:val="24"/>
        </w:rPr>
        <w:t> </w:t>
      </w:r>
      <w:r w:rsidRPr="0033317A">
        <w:rPr>
          <w:rFonts w:ascii="Times New Roman" w:hAnsi="Times New Roman"/>
          <w:sz w:val="24"/>
        </w:rPr>
        <w:t xml:space="preserve">448 [8.3]. </w:t>
      </w:r>
    </w:p>
  </w:footnote>
  <w:footnote w:id="63">
    <w:p w14:paraId="2EC6D3A8" w14:textId="77777777" w:rsidR="003C391D" w:rsidRPr="0033317A" w:rsidRDefault="003C391D" w:rsidP="0033317A">
      <w:pPr>
        <w:pStyle w:val="FootnoteText"/>
        <w:spacing w:line="280" w:lineRule="exact"/>
        <w:ind w:right="0"/>
        <w:jc w:val="both"/>
        <w:rPr>
          <w:rFonts w:ascii="Times New Roman" w:hAnsi="Times New Roman"/>
          <w:i/>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B </w:t>
      </w:r>
      <w:r w:rsidRPr="0033317A">
        <w:rPr>
          <w:rFonts w:ascii="Times New Roman" w:hAnsi="Times New Roman"/>
          <w:sz w:val="24"/>
        </w:rPr>
        <w:t xml:space="preserve">(2004) 219 CLR 365 at 377 [7]. </w:t>
      </w:r>
    </w:p>
  </w:footnote>
  <w:footnote w:id="64">
    <w:p w14:paraId="1CB28DCE"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Fencott </w:t>
      </w:r>
      <w:r w:rsidRPr="0033317A">
        <w:rPr>
          <w:rFonts w:ascii="Times New Roman" w:hAnsi="Times New Roman"/>
          <w:sz w:val="24"/>
        </w:rPr>
        <w:t xml:space="preserve">(1983) 152 CLR 570 at 603-606. See also </w:t>
      </w:r>
      <w:r w:rsidRPr="0033317A">
        <w:rPr>
          <w:rFonts w:ascii="Times New Roman" w:hAnsi="Times New Roman"/>
          <w:i/>
          <w:sz w:val="24"/>
        </w:rPr>
        <w:t xml:space="preserve">South Australia v Victoria </w:t>
      </w:r>
      <w:r w:rsidRPr="0033317A">
        <w:rPr>
          <w:rFonts w:ascii="Times New Roman" w:hAnsi="Times New Roman"/>
          <w:sz w:val="24"/>
        </w:rPr>
        <w:t xml:space="preserve">(1911) 12 CLR 667 at 675. </w:t>
      </w:r>
    </w:p>
  </w:footnote>
  <w:footnote w:id="65">
    <w:p w14:paraId="08F6CD0A"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Truth About Motorways Pty Ltd v Macquarie Infrastructure Investment Management Ltd </w:t>
      </w:r>
      <w:r w:rsidRPr="0033317A">
        <w:rPr>
          <w:rFonts w:ascii="Times New Roman" w:hAnsi="Times New Roman"/>
          <w:sz w:val="24"/>
        </w:rPr>
        <w:t xml:space="preserve">(2000) 200 CLR 591 at 610 [42]. </w:t>
      </w:r>
    </w:p>
  </w:footnote>
  <w:footnote w:id="66">
    <w:p w14:paraId="7F24AAC2"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In re Judiciary and Navigation Acts </w:t>
      </w:r>
      <w:r w:rsidRPr="0033317A">
        <w:rPr>
          <w:rFonts w:ascii="Times New Roman" w:hAnsi="Times New Roman"/>
          <w:sz w:val="24"/>
        </w:rPr>
        <w:t xml:space="preserve">(1921) 29 CLR 257 at 265; </w:t>
      </w:r>
      <w:r w:rsidRPr="0033317A">
        <w:rPr>
          <w:rFonts w:ascii="Times New Roman" w:hAnsi="Times New Roman"/>
          <w:i/>
          <w:sz w:val="24"/>
        </w:rPr>
        <w:t xml:space="preserve">Truth About Motorways </w:t>
      </w:r>
      <w:r w:rsidRPr="0033317A">
        <w:rPr>
          <w:rFonts w:ascii="Times New Roman" w:hAnsi="Times New Roman"/>
          <w:sz w:val="24"/>
        </w:rPr>
        <w:t xml:space="preserve">(2000) 200 CLR 591 at 610-611 [43]; </w:t>
      </w:r>
      <w:r w:rsidRPr="0033317A">
        <w:rPr>
          <w:rFonts w:ascii="Times New Roman" w:hAnsi="Times New Roman"/>
          <w:i/>
          <w:sz w:val="24"/>
        </w:rPr>
        <w:t xml:space="preserve">B </w:t>
      </w:r>
      <w:r w:rsidRPr="0033317A">
        <w:rPr>
          <w:rFonts w:ascii="Times New Roman" w:hAnsi="Times New Roman"/>
          <w:sz w:val="24"/>
        </w:rPr>
        <w:t>(2004) 219 CLR 365 at 375</w:t>
      </w:r>
      <w:r>
        <w:rPr>
          <w:rFonts w:ascii="Times New Roman" w:hAnsi="Times New Roman"/>
          <w:sz w:val="24"/>
        </w:rPr>
        <w:noBreakHyphen/>
      </w:r>
      <w:r w:rsidRPr="0033317A">
        <w:rPr>
          <w:rFonts w:ascii="Times New Roman" w:hAnsi="Times New Roman"/>
          <w:sz w:val="24"/>
        </w:rPr>
        <w:t xml:space="preserve">376 [2], 378 [8].  </w:t>
      </w:r>
    </w:p>
  </w:footnote>
  <w:footnote w:id="67">
    <w:p w14:paraId="3CB7C22C"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Croome v Tasmania </w:t>
      </w:r>
      <w:r w:rsidRPr="0033317A">
        <w:rPr>
          <w:rFonts w:ascii="Times New Roman" w:hAnsi="Times New Roman"/>
          <w:sz w:val="24"/>
        </w:rPr>
        <w:t xml:space="preserve">(1997) 191 CLR 119 at 132-133; </w:t>
      </w:r>
      <w:r w:rsidRPr="0033317A">
        <w:rPr>
          <w:rFonts w:ascii="Times New Roman" w:hAnsi="Times New Roman"/>
          <w:i/>
          <w:sz w:val="24"/>
        </w:rPr>
        <w:t xml:space="preserve">Hobart International Airport Pty Ltd v Clarence City Council </w:t>
      </w:r>
      <w:r w:rsidRPr="0033317A">
        <w:rPr>
          <w:rFonts w:ascii="Times New Roman" w:hAnsi="Times New Roman"/>
          <w:sz w:val="24"/>
        </w:rPr>
        <w:t xml:space="preserve">(2022) 96 ALJR 234 at 245-246 [31], 256-257 [79]; 399 ALR 214 at 223, 237. </w:t>
      </w:r>
    </w:p>
  </w:footnote>
  <w:footnote w:id="68">
    <w:p w14:paraId="70A0E8D3"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Deputy Commissioner of Taxation v Richard Walter Pty Ltd </w:t>
      </w:r>
      <w:r w:rsidRPr="0033317A">
        <w:rPr>
          <w:rFonts w:ascii="Times New Roman" w:hAnsi="Times New Roman"/>
          <w:sz w:val="24"/>
        </w:rPr>
        <w:t xml:space="preserve">(1995) 183 CLR 168 at 205. See also </w:t>
      </w:r>
      <w:r w:rsidRPr="0033317A">
        <w:rPr>
          <w:rFonts w:ascii="Times New Roman" w:hAnsi="Times New Roman"/>
          <w:i/>
          <w:sz w:val="24"/>
        </w:rPr>
        <w:t xml:space="preserve">Hobart International Airport </w:t>
      </w:r>
      <w:r w:rsidRPr="0033317A">
        <w:rPr>
          <w:rFonts w:ascii="Times New Roman" w:hAnsi="Times New Roman"/>
          <w:sz w:val="24"/>
        </w:rPr>
        <w:t>(2022) 96 ALJR 234 at 249 [47]; 399</w:t>
      </w:r>
      <w:r>
        <w:rPr>
          <w:rFonts w:ascii="Times New Roman" w:hAnsi="Times New Roman"/>
          <w:sz w:val="24"/>
        </w:rPr>
        <w:t> </w:t>
      </w:r>
      <w:r w:rsidRPr="0033317A">
        <w:rPr>
          <w:rFonts w:ascii="Times New Roman" w:hAnsi="Times New Roman"/>
          <w:sz w:val="24"/>
        </w:rPr>
        <w:t xml:space="preserve">ALR 214 at 227. </w:t>
      </w:r>
    </w:p>
  </w:footnote>
  <w:footnote w:id="69">
    <w:p w14:paraId="6810D47F"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John Pfeiffer Pty Ltd v Rogerson </w:t>
      </w:r>
      <w:r w:rsidRPr="0033317A">
        <w:rPr>
          <w:rFonts w:ascii="Times New Roman" w:hAnsi="Times New Roman"/>
          <w:sz w:val="24"/>
        </w:rPr>
        <w:t xml:space="preserve">(2000) 203 CLR 503 at 517 [13]-[14], 521 [25]; </w:t>
      </w:r>
      <w:r w:rsidRPr="0033317A">
        <w:rPr>
          <w:rFonts w:ascii="Times New Roman" w:hAnsi="Times New Roman"/>
          <w:i/>
          <w:sz w:val="24"/>
        </w:rPr>
        <w:t xml:space="preserve">Edensor Nominees </w:t>
      </w:r>
      <w:r w:rsidRPr="0033317A">
        <w:rPr>
          <w:rFonts w:ascii="Times New Roman" w:hAnsi="Times New Roman"/>
          <w:sz w:val="24"/>
        </w:rPr>
        <w:t xml:space="preserve">(2001) 204 CLR 559 at 570 [2]; </w:t>
      </w:r>
      <w:r w:rsidRPr="0033317A">
        <w:rPr>
          <w:rFonts w:ascii="Times New Roman" w:hAnsi="Times New Roman"/>
          <w:i/>
          <w:sz w:val="24"/>
        </w:rPr>
        <w:t xml:space="preserve">Mobil Oil Australia Pty Ltd v Victoria </w:t>
      </w:r>
      <w:r w:rsidRPr="0033317A">
        <w:rPr>
          <w:rFonts w:ascii="Times New Roman" w:hAnsi="Times New Roman"/>
          <w:sz w:val="24"/>
        </w:rPr>
        <w:t xml:space="preserve">(2002) 211 CLR 1 at 35 [53]. </w:t>
      </w:r>
    </w:p>
  </w:footnote>
  <w:footnote w:id="70">
    <w:p w14:paraId="68B4F110"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Mobil Oil </w:t>
      </w:r>
      <w:r w:rsidRPr="0033317A">
        <w:rPr>
          <w:rFonts w:ascii="Times New Roman" w:hAnsi="Times New Roman"/>
          <w:sz w:val="24"/>
        </w:rPr>
        <w:t>(2002) 211 CLR 1 at 35 [53].</w:t>
      </w:r>
    </w:p>
  </w:footnote>
  <w:footnote w:id="71">
    <w:p w14:paraId="0090E65B"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Mobil Oil </w:t>
      </w:r>
      <w:r w:rsidRPr="0033317A">
        <w:rPr>
          <w:rFonts w:ascii="Times New Roman" w:hAnsi="Times New Roman"/>
          <w:sz w:val="24"/>
        </w:rPr>
        <w:t xml:space="preserve">(2002) 211 CLR 1 at 37-38 [60]-[61]. See also </w:t>
      </w:r>
      <w:r w:rsidRPr="0033317A">
        <w:rPr>
          <w:rFonts w:ascii="Times New Roman" w:hAnsi="Times New Roman"/>
          <w:i/>
          <w:sz w:val="24"/>
        </w:rPr>
        <w:t>Federal Court Rules 2011</w:t>
      </w:r>
      <w:r w:rsidRPr="0033317A">
        <w:rPr>
          <w:rFonts w:ascii="Times New Roman" w:hAnsi="Times New Roman"/>
          <w:sz w:val="24"/>
        </w:rPr>
        <w:t xml:space="preserve"> (Cth), Pts 10-12.</w:t>
      </w:r>
    </w:p>
  </w:footnote>
  <w:footnote w:id="72">
    <w:p w14:paraId="51E1E7FB"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See, eg, </w:t>
      </w:r>
      <w:r w:rsidRPr="0033317A">
        <w:rPr>
          <w:rFonts w:ascii="Times New Roman" w:hAnsi="Times New Roman"/>
          <w:i/>
          <w:sz w:val="24"/>
        </w:rPr>
        <w:t>Federal Court of Australia Act</w:t>
      </w:r>
      <w:r w:rsidRPr="0033317A">
        <w:rPr>
          <w:rFonts w:ascii="Times New Roman" w:hAnsi="Times New Roman"/>
          <w:sz w:val="24"/>
        </w:rPr>
        <w:t xml:space="preserve">, ss 3,18; </w:t>
      </w:r>
      <w:r w:rsidRPr="0033317A">
        <w:rPr>
          <w:rFonts w:ascii="Times New Roman" w:hAnsi="Times New Roman"/>
          <w:i/>
          <w:iCs/>
          <w:sz w:val="24"/>
        </w:rPr>
        <w:t xml:space="preserve">Rizeq </w:t>
      </w:r>
      <w:r w:rsidRPr="0033317A">
        <w:rPr>
          <w:rFonts w:ascii="Times New Roman" w:hAnsi="Times New Roman"/>
          <w:sz w:val="24"/>
        </w:rPr>
        <w:t>(2017) 262 CLR 1 at 48 [129].</w:t>
      </w:r>
    </w:p>
  </w:footnote>
  <w:footnote w:id="73">
    <w:p w14:paraId="628D677E"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Federal Court of Australia Act</w:t>
      </w:r>
      <w:r w:rsidRPr="0033317A">
        <w:rPr>
          <w:rFonts w:ascii="Times New Roman" w:hAnsi="Times New Roman"/>
          <w:sz w:val="24"/>
        </w:rPr>
        <w:t>, s 33C(1) (emphasis added).</w:t>
      </w:r>
    </w:p>
  </w:footnote>
  <w:footnote w:id="74">
    <w:p w14:paraId="65C833DF"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Johns v Australian Securities Commission</w:t>
      </w:r>
      <w:r w:rsidRPr="0033317A">
        <w:rPr>
          <w:rFonts w:ascii="Times New Roman" w:hAnsi="Times New Roman"/>
          <w:sz w:val="24"/>
        </w:rPr>
        <w:t xml:space="preserve"> (1993) 178 CLR 408 at 452; </w:t>
      </w:r>
      <w:r w:rsidRPr="0033317A">
        <w:rPr>
          <w:rFonts w:ascii="Times New Roman" w:hAnsi="Times New Roman"/>
          <w:i/>
          <w:sz w:val="24"/>
        </w:rPr>
        <w:t xml:space="preserve">Project Blue Sky Inc v Australian Broadcasting Authority </w:t>
      </w:r>
      <w:r w:rsidRPr="0033317A">
        <w:rPr>
          <w:rFonts w:ascii="Times New Roman" w:hAnsi="Times New Roman"/>
          <w:sz w:val="24"/>
        </w:rPr>
        <w:t>(1998) 194 CLR 355 at 381-382 [69]</w:t>
      </w:r>
      <w:r>
        <w:rPr>
          <w:rFonts w:ascii="Times New Roman" w:hAnsi="Times New Roman"/>
          <w:sz w:val="24"/>
        </w:rPr>
        <w:noBreakHyphen/>
      </w:r>
      <w:r w:rsidRPr="0033317A">
        <w:rPr>
          <w:rFonts w:ascii="Times New Roman" w:hAnsi="Times New Roman"/>
          <w:sz w:val="24"/>
        </w:rPr>
        <w:t xml:space="preserve">[70]. See also </w:t>
      </w:r>
      <w:r w:rsidRPr="0033317A">
        <w:rPr>
          <w:rFonts w:ascii="Times New Roman" w:hAnsi="Times New Roman"/>
          <w:i/>
          <w:sz w:val="24"/>
        </w:rPr>
        <w:t xml:space="preserve">Wigmans v AMP Ltd </w:t>
      </w:r>
      <w:r w:rsidRPr="0033317A">
        <w:rPr>
          <w:rFonts w:ascii="Times New Roman" w:hAnsi="Times New Roman"/>
          <w:sz w:val="24"/>
        </w:rPr>
        <w:t xml:space="preserve">(2021) 270 CLR 623 at 658 [85]. </w:t>
      </w:r>
    </w:p>
  </w:footnote>
  <w:footnote w:id="75">
    <w:p w14:paraId="4C7AEFD1"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BMW Australia Ltd v Brewster </w:t>
      </w:r>
      <w:r w:rsidRPr="0033317A">
        <w:rPr>
          <w:rFonts w:ascii="Times New Roman" w:hAnsi="Times New Roman"/>
          <w:sz w:val="24"/>
        </w:rPr>
        <w:t>(2019) 269 CLR 574 at 628 [136].</w:t>
      </w:r>
    </w:p>
  </w:footnote>
  <w:footnote w:id="76">
    <w:p w14:paraId="234EFDCB"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(1999) 199 CLR 255 at 258 [1].</w:t>
      </w:r>
    </w:p>
  </w:footnote>
  <w:footnote w:id="77">
    <w:p w14:paraId="286B188F"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See </w:t>
      </w:r>
      <w:r w:rsidRPr="0033317A">
        <w:rPr>
          <w:rFonts w:ascii="Times New Roman" w:hAnsi="Times New Roman"/>
          <w:i/>
          <w:sz w:val="24"/>
        </w:rPr>
        <w:t xml:space="preserve">Federal Court of Australia Act, </w:t>
      </w:r>
      <w:r w:rsidRPr="0033317A">
        <w:rPr>
          <w:rFonts w:ascii="Times New Roman" w:hAnsi="Times New Roman"/>
          <w:sz w:val="24"/>
        </w:rPr>
        <w:t xml:space="preserve">s 22. </w:t>
      </w:r>
    </w:p>
  </w:footnote>
  <w:footnote w:id="78">
    <w:p w14:paraId="2F99E830"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See </w:t>
      </w:r>
      <w:r w:rsidRPr="0033317A">
        <w:rPr>
          <w:rFonts w:ascii="Times New Roman" w:hAnsi="Times New Roman"/>
          <w:i/>
          <w:sz w:val="24"/>
        </w:rPr>
        <w:t xml:space="preserve">Femcare Ltd v Bright </w:t>
      </w:r>
      <w:r w:rsidRPr="0033317A">
        <w:rPr>
          <w:rFonts w:ascii="Times New Roman" w:hAnsi="Times New Roman"/>
          <w:sz w:val="24"/>
        </w:rPr>
        <w:t xml:space="preserve">(2000) 100 FCR 331 at 355-356 [98]-[104]. </w:t>
      </w:r>
    </w:p>
  </w:footnote>
  <w:footnote w:id="79">
    <w:p w14:paraId="3E6D42CB"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Dyczynski v Gibson </w:t>
      </w:r>
      <w:r w:rsidRPr="0033317A">
        <w:rPr>
          <w:rFonts w:ascii="Times New Roman" w:hAnsi="Times New Roman"/>
          <w:sz w:val="24"/>
        </w:rPr>
        <w:t xml:space="preserve">(2020) 280 FCR 583 at 627 [166], citing </w:t>
      </w:r>
      <w:r w:rsidRPr="0033317A">
        <w:rPr>
          <w:rFonts w:ascii="Times New Roman" w:hAnsi="Times New Roman"/>
          <w:i/>
          <w:sz w:val="24"/>
        </w:rPr>
        <w:t xml:space="preserve">Wong v Silkfield Pty Ltd </w:t>
      </w:r>
      <w:r w:rsidRPr="0033317A">
        <w:rPr>
          <w:rFonts w:ascii="Times New Roman" w:hAnsi="Times New Roman"/>
          <w:sz w:val="24"/>
        </w:rPr>
        <w:t>(1999) 199 CLR 255 at 266 [26]</w:t>
      </w:r>
      <w:r w:rsidRPr="0033317A">
        <w:rPr>
          <w:rFonts w:ascii="Times New Roman" w:hAnsi="Times New Roman"/>
          <w:i/>
          <w:sz w:val="24"/>
        </w:rPr>
        <w:t xml:space="preserve">, Bright v Femcare Ltd </w:t>
      </w:r>
      <w:r w:rsidRPr="0033317A">
        <w:rPr>
          <w:rFonts w:ascii="Times New Roman" w:hAnsi="Times New Roman"/>
          <w:sz w:val="24"/>
        </w:rPr>
        <w:t xml:space="preserve">(2002) 195 ALR 574 at 577 [10], 600 [124] and </w:t>
      </w:r>
      <w:r w:rsidRPr="0033317A">
        <w:rPr>
          <w:rFonts w:ascii="Times New Roman" w:hAnsi="Times New Roman"/>
          <w:i/>
          <w:sz w:val="24"/>
        </w:rPr>
        <w:t xml:space="preserve">Australian Competition and Consumer Commission v Giraffe World Australia Pty Ltd </w:t>
      </w:r>
      <w:r w:rsidRPr="0033317A">
        <w:rPr>
          <w:rFonts w:ascii="Times New Roman" w:hAnsi="Times New Roman"/>
          <w:sz w:val="24"/>
        </w:rPr>
        <w:t xml:space="preserve">(1998) 84 FCR 512 at 523. </w:t>
      </w:r>
    </w:p>
  </w:footnote>
  <w:footnote w:id="80">
    <w:p w14:paraId="00A838EC"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Dyczynski </w:t>
      </w:r>
      <w:r w:rsidRPr="0033317A">
        <w:rPr>
          <w:rFonts w:ascii="Times New Roman" w:hAnsi="Times New Roman"/>
          <w:sz w:val="24"/>
        </w:rPr>
        <w:t xml:space="preserve">(2020) 280 FCR 583 at 627-628 [167]-[168]. </w:t>
      </w:r>
    </w:p>
  </w:footnote>
  <w:footnote w:id="81">
    <w:p w14:paraId="509C5AAC"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Dyczynski </w:t>
      </w:r>
      <w:r w:rsidRPr="0033317A">
        <w:rPr>
          <w:rFonts w:ascii="Times New Roman" w:hAnsi="Times New Roman"/>
          <w:sz w:val="24"/>
        </w:rPr>
        <w:t>(2020) 280 FCR 583 at 628 [168] (emphasis in original).</w:t>
      </w:r>
    </w:p>
  </w:footnote>
  <w:footnote w:id="82">
    <w:p w14:paraId="194F6762"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Williams and Guthrie-Smith (eds), </w:t>
      </w:r>
      <w:r w:rsidRPr="0033317A">
        <w:rPr>
          <w:rFonts w:ascii="Times New Roman" w:hAnsi="Times New Roman"/>
          <w:i/>
          <w:sz w:val="24"/>
        </w:rPr>
        <w:t>Daniell's Chancery Practice</w:t>
      </w:r>
      <w:r>
        <w:rPr>
          <w:rFonts w:ascii="Times New Roman" w:hAnsi="Times New Roman"/>
          <w:iCs/>
          <w:sz w:val="24"/>
        </w:rPr>
        <w:t>,</w:t>
      </w:r>
      <w:r w:rsidRPr="0033317A">
        <w:rPr>
          <w:rFonts w:ascii="Times New Roman" w:hAnsi="Times New Roman"/>
          <w:i/>
          <w:sz w:val="24"/>
        </w:rPr>
        <w:t xml:space="preserve"> </w:t>
      </w:r>
      <w:r w:rsidRPr="0033317A">
        <w:rPr>
          <w:rFonts w:ascii="Times New Roman" w:hAnsi="Times New Roman"/>
          <w:sz w:val="24"/>
        </w:rPr>
        <w:t>8th ed (1914) vol 2</w:t>
      </w:r>
      <w:r w:rsidRPr="0033317A">
        <w:rPr>
          <w:rFonts w:ascii="Times New Roman" w:hAnsi="Times New Roman"/>
          <w:i/>
          <w:sz w:val="24"/>
        </w:rPr>
        <w:t xml:space="preserve"> </w:t>
      </w:r>
      <w:r w:rsidRPr="0033317A">
        <w:rPr>
          <w:rFonts w:ascii="Times New Roman" w:hAnsi="Times New Roman"/>
          <w:sz w:val="24"/>
        </w:rPr>
        <w:t>at 1589-1592.</w:t>
      </w:r>
    </w:p>
  </w:footnote>
  <w:footnote w:id="83">
    <w:p w14:paraId="163DD2F3"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Mobil Oil </w:t>
      </w:r>
      <w:r w:rsidRPr="0033317A">
        <w:rPr>
          <w:rFonts w:ascii="Times New Roman" w:hAnsi="Times New Roman"/>
          <w:sz w:val="24"/>
        </w:rPr>
        <w:t xml:space="preserve">(2002) 211 CLR 1 at 23 [10]-[11], 35 [53], 36 [56]. </w:t>
      </w:r>
    </w:p>
  </w:footnote>
  <w:footnote w:id="84">
    <w:p w14:paraId="5CD27E88"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(2002) 211 CLR 1.</w:t>
      </w:r>
    </w:p>
  </w:footnote>
  <w:footnote w:id="85">
    <w:p w14:paraId="124D0179"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Mobil Oil </w:t>
      </w:r>
      <w:r w:rsidRPr="0033317A">
        <w:rPr>
          <w:rFonts w:ascii="Times New Roman" w:hAnsi="Times New Roman"/>
          <w:sz w:val="24"/>
        </w:rPr>
        <w:t xml:space="preserve">(2002) 211 CLR 1 at 35 [53]; see also 23 [10]-[11]. </w:t>
      </w:r>
    </w:p>
  </w:footnote>
  <w:footnote w:id="86">
    <w:p w14:paraId="2F3E3F2C"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Mobil Oil </w:t>
      </w:r>
      <w:r w:rsidRPr="0033317A">
        <w:rPr>
          <w:rFonts w:ascii="Times New Roman" w:hAnsi="Times New Roman"/>
          <w:sz w:val="24"/>
        </w:rPr>
        <w:t>(2002) 211 CLR 1 at 38 [61].</w:t>
      </w:r>
    </w:p>
  </w:footnote>
  <w:footnote w:id="87">
    <w:p w14:paraId="020A4804"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See </w:t>
      </w:r>
      <w:r w:rsidRPr="0033317A">
        <w:rPr>
          <w:rFonts w:ascii="Times New Roman" w:hAnsi="Times New Roman"/>
          <w:i/>
          <w:sz w:val="24"/>
        </w:rPr>
        <w:t xml:space="preserve">Mobil Oil </w:t>
      </w:r>
      <w:r w:rsidRPr="0033317A">
        <w:rPr>
          <w:rFonts w:ascii="Times New Roman" w:hAnsi="Times New Roman"/>
          <w:sz w:val="24"/>
        </w:rPr>
        <w:t>(2002) 211 CLR 1 at 34-35 [51].</w:t>
      </w:r>
    </w:p>
  </w:footnote>
  <w:footnote w:id="88">
    <w:p w14:paraId="5F796A70"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See, eg, </w:t>
      </w:r>
      <w:r w:rsidRPr="0033317A">
        <w:rPr>
          <w:rFonts w:ascii="Times New Roman" w:hAnsi="Times New Roman"/>
          <w:i/>
          <w:sz w:val="24"/>
        </w:rPr>
        <w:t>Federal Court of Australia Act</w:t>
      </w:r>
      <w:r w:rsidRPr="0033317A">
        <w:rPr>
          <w:rFonts w:ascii="Times New Roman" w:hAnsi="Times New Roman"/>
          <w:sz w:val="24"/>
        </w:rPr>
        <w:t>, ss 33J, 33K(4), 33X, 33Y, 33ZB, 33ZE.</w:t>
      </w:r>
    </w:p>
  </w:footnote>
  <w:footnote w:id="89">
    <w:p w14:paraId="4FF5323D"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bookmarkStart w:id="1" w:name="_Hlk111209026"/>
      <w:r w:rsidRPr="0033317A">
        <w:rPr>
          <w:rFonts w:ascii="Times New Roman" w:hAnsi="Times New Roman"/>
          <w:sz w:val="24"/>
        </w:rPr>
        <w:t xml:space="preserve">Australia, House of Representatives, </w:t>
      </w:r>
      <w:r w:rsidRPr="0033317A">
        <w:rPr>
          <w:rFonts w:ascii="Times New Roman" w:hAnsi="Times New Roman"/>
          <w:i/>
          <w:sz w:val="24"/>
        </w:rPr>
        <w:t xml:space="preserve">Parliamentary Debates </w:t>
      </w:r>
      <w:r w:rsidRPr="0033317A">
        <w:rPr>
          <w:rFonts w:ascii="Times New Roman" w:hAnsi="Times New Roman"/>
          <w:sz w:val="24"/>
        </w:rPr>
        <w:t>(Hansard), 14</w:t>
      </w:r>
      <w:r>
        <w:rPr>
          <w:rFonts w:ascii="Times New Roman" w:hAnsi="Times New Roman"/>
          <w:sz w:val="24"/>
        </w:rPr>
        <w:t> </w:t>
      </w:r>
      <w:r w:rsidRPr="0033317A">
        <w:rPr>
          <w:rFonts w:ascii="Times New Roman" w:hAnsi="Times New Roman"/>
          <w:sz w:val="24"/>
        </w:rPr>
        <w:t>November 1991 at 3175</w:t>
      </w:r>
      <w:bookmarkEnd w:id="1"/>
      <w:r w:rsidRPr="0033317A">
        <w:rPr>
          <w:rFonts w:ascii="Times New Roman" w:hAnsi="Times New Roman"/>
          <w:sz w:val="24"/>
        </w:rPr>
        <w:t>.</w:t>
      </w:r>
    </w:p>
  </w:footnote>
  <w:footnote w:id="90">
    <w:p w14:paraId="0C95400E"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BMW Australia </w:t>
      </w:r>
      <w:r w:rsidRPr="0033317A">
        <w:rPr>
          <w:rFonts w:ascii="Times New Roman" w:hAnsi="Times New Roman"/>
          <w:sz w:val="24"/>
        </w:rPr>
        <w:t xml:space="preserve">(2019) 269 CLR 574 at 629 [137]. See also </w:t>
      </w:r>
      <w:r w:rsidRPr="0033317A">
        <w:rPr>
          <w:rFonts w:ascii="Times New Roman" w:hAnsi="Times New Roman"/>
          <w:i/>
          <w:sz w:val="24"/>
        </w:rPr>
        <w:t xml:space="preserve">Femcare </w:t>
      </w:r>
      <w:r w:rsidRPr="0033317A">
        <w:rPr>
          <w:rFonts w:ascii="Times New Roman" w:hAnsi="Times New Roman"/>
          <w:sz w:val="24"/>
        </w:rPr>
        <w:t>(2000) 100</w:t>
      </w:r>
      <w:r>
        <w:rPr>
          <w:rFonts w:ascii="Times New Roman" w:hAnsi="Times New Roman"/>
          <w:sz w:val="24"/>
        </w:rPr>
        <w:t> </w:t>
      </w:r>
      <w:r w:rsidRPr="0033317A">
        <w:rPr>
          <w:rFonts w:ascii="Times New Roman" w:hAnsi="Times New Roman"/>
          <w:sz w:val="24"/>
        </w:rPr>
        <w:t xml:space="preserve">FCR 331 at 347-348 [67]-[68], 349 [75]; </w:t>
      </w:r>
      <w:r w:rsidRPr="0033317A">
        <w:rPr>
          <w:rFonts w:ascii="Times New Roman" w:hAnsi="Times New Roman"/>
          <w:i/>
          <w:sz w:val="24"/>
        </w:rPr>
        <w:t xml:space="preserve">Wigmans </w:t>
      </w:r>
      <w:r w:rsidRPr="0033317A">
        <w:rPr>
          <w:rFonts w:ascii="Times New Roman" w:hAnsi="Times New Roman"/>
          <w:sz w:val="24"/>
        </w:rPr>
        <w:t>(2021) 270 CLR 623 at 656</w:t>
      </w:r>
      <w:r>
        <w:rPr>
          <w:rFonts w:ascii="Times New Roman" w:hAnsi="Times New Roman"/>
          <w:sz w:val="24"/>
        </w:rPr>
        <w:noBreakHyphen/>
      </w:r>
      <w:r w:rsidRPr="0033317A">
        <w:rPr>
          <w:rFonts w:ascii="Times New Roman" w:hAnsi="Times New Roman"/>
          <w:sz w:val="24"/>
        </w:rPr>
        <w:t xml:space="preserve">657 [80]. </w:t>
      </w:r>
    </w:p>
  </w:footnote>
  <w:footnote w:id="91">
    <w:p w14:paraId="54C71028"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BMW Australia </w:t>
      </w:r>
      <w:r w:rsidRPr="0033317A">
        <w:rPr>
          <w:rFonts w:ascii="Times New Roman" w:hAnsi="Times New Roman"/>
          <w:sz w:val="24"/>
        </w:rPr>
        <w:t xml:space="preserve">(2019) 269 CLR 574 at 629 [137], referring to </w:t>
      </w:r>
      <w:r w:rsidRPr="0033317A">
        <w:rPr>
          <w:rFonts w:ascii="Times New Roman" w:hAnsi="Times New Roman"/>
          <w:i/>
          <w:sz w:val="24"/>
        </w:rPr>
        <w:t xml:space="preserve">Federal Court of Australia Act, </w:t>
      </w:r>
      <w:r w:rsidRPr="0033317A">
        <w:rPr>
          <w:rFonts w:ascii="Times New Roman" w:hAnsi="Times New Roman"/>
          <w:sz w:val="24"/>
        </w:rPr>
        <w:t xml:space="preserve">s 33J(4); see also 630 [142]. See also </w:t>
      </w:r>
      <w:r w:rsidRPr="0033317A">
        <w:rPr>
          <w:rFonts w:ascii="Times New Roman" w:hAnsi="Times New Roman"/>
          <w:i/>
          <w:sz w:val="24"/>
        </w:rPr>
        <w:t xml:space="preserve">Pharm-a-Care Laboratories Pty Ltd v Commonwealth of Australia [No 4] </w:t>
      </w:r>
      <w:r w:rsidRPr="0033317A">
        <w:rPr>
          <w:rFonts w:ascii="Times New Roman" w:hAnsi="Times New Roman"/>
          <w:sz w:val="24"/>
        </w:rPr>
        <w:t xml:space="preserve">[2010] FCA 749 at [22]; </w:t>
      </w:r>
      <w:r w:rsidRPr="0033317A">
        <w:rPr>
          <w:rFonts w:ascii="Times New Roman" w:hAnsi="Times New Roman"/>
          <w:i/>
          <w:sz w:val="24"/>
        </w:rPr>
        <w:t>Blairgowrie</w:t>
      </w:r>
      <w:r>
        <w:rPr>
          <w:rFonts w:ascii="Times New Roman" w:hAnsi="Times New Roman"/>
          <w:i/>
          <w:sz w:val="24"/>
        </w:rPr>
        <w:t> </w:t>
      </w:r>
      <w:r w:rsidRPr="0033317A">
        <w:rPr>
          <w:rFonts w:ascii="Times New Roman" w:hAnsi="Times New Roman"/>
          <w:i/>
          <w:sz w:val="24"/>
        </w:rPr>
        <w:t>Trading Ltd v Allco Finance Group Ltd (In liq)</w:t>
      </w:r>
      <w:r w:rsidRPr="0033317A">
        <w:rPr>
          <w:rFonts w:ascii="Times New Roman" w:hAnsi="Times New Roman"/>
          <w:sz w:val="24"/>
        </w:rPr>
        <w:t xml:space="preserve"> (2015) 325 ALR 539 at 573 [180]; </w:t>
      </w:r>
      <w:r w:rsidRPr="0033317A">
        <w:rPr>
          <w:rFonts w:ascii="Times New Roman" w:hAnsi="Times New Roman"/>
          <w:i/>
          <w:sz w:val="24"/>
        </w:rPr>
        <w:t xml:space="preserve">Dyczynski </w:t>
      </w:r>
      <w:r w:rsidRPr="0033317A">
        <w:rPr>
          <w:rFonts w:ascii="Times New Roman" w:hAnsi="Times New Roman"/>
          <w:sz w:val="24"/>
        </w:rPr>
        <w:t xml:space="preserve">(2020) 280 FCR 583 at 648 [270].  </w:t>
      </w:r>
    </w:p>
  </w:footnote>
  <w:footnote w:id="92">
    <w:p w14:paraId="73C3BBC6"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Federal Court of Australia Act, </w:t>
      </w:r>
      <w:r w:rsidRPr="0033317A">
        <w:rPr>
          <w:rFonts w:ascii="Times New Roman" w:hAnsi="Times New Roman"/>
          <w:sz w:val="24"/>
        </w:rPr>
        <w:t>s 33X(5).</w:t>
      </w:r>
    </w:p>
  </w:footnote>
  <w:footnote w:id="93">
    <w:p w14:paraId="370794B0"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Federal Court of Australia Act</w:t>
      </w:r>
      <w:r w:rsidRPr="0033317A">
        <w:rPr>
          <w:rFonts w:ascii="Times New Roman" w:hAnsi="Times New Roman"/>
          <w:sz w:val="24"/>
        </w:rPr>
        <w:t xml:space="preserve">, s 33X(1)(a). </w:t>
      </w:r>
    </w:p>
  </w:footnote>
  <w:footnote w:id="94">
    <w:p w14:paraId="38E00439"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BMW Australia</w:t>
      </w:r>
      <w:r w:rsidRPr="0033317A" w:rsidDel="00D36A98">
        <w:rPr>
          <w:rFonts w:ascii="Times New Roman" w:hAnsi="Times New Roman"/>
          <w:i/>
          <w:sz w:val="24"/>
        </w:rPr>
        <w:t xml:space="preserve"> </w:t>
      </w:r>
      <w:r w:rsidRPr="0033317A">
        <w:rPr>
          <w:rFonts w:ascii="Times New Roman" w:hAnsi="Times New Roman"/>
          <w:sz w:val="24"/>
        </w:rPr>
        <w:t xml:space="preserve">(2019) 269 CLR 574 at 630 [142], quoting </w:t>
      </w:r>
      <w:r w:rsidRPr="0033317A">
        <w:rPr>
          <w:rFonts w:ascii="Times New Roman" w:hAnsi="Times New Roman"/>
          <w:i/>
          <w:sz w:val="24"/>
        </w:rPr>
        <w:t xml:space="preserve">Blairgowrie Trading </w:t>
      </w:r>
      <w:r w:rsidRPr="0033317A">
        <w:rPr>
          <w:rFonts w:ascii="Times New Roman" w:hAnsi="Times New Roman"/>
          <w:sz w:val="24"/>
        </w:rPr>
        <w:t xml:space="preserve">(2015) 325 ALR 539 at 573 [180]. See also </w:t>
      </w:r>
      <w:r w:rsidRPr="0033317A">
        <w:rPr>
          <w:rFonts w:ascii="Times New Roman" w:hAnsi="Times New Roman"/>
          <w:i/>
          <w:sz w:val="24"/>
        </w:rPr>
        <w:t xml:space="preserve">Femcare </w:t>
      </w:r>
      <w:r w:rsidRPr="0033317A">
        <w:rPr>
          <w:rFonts w:ascii="Times New Roman" w:hAnsi="Times New Roman"/>
          <w:sz w:val="24"/>
        </w:rPr>
        <w:t xml:space="preserve">(2000) 100 FCR 331 at 348 [71]-[72]. </w:t>
      </w:r>
    </w:p>
  </w:footnote>
  <w:footnote w:id="95">
    <w:p w14:paraId="050EC1D9"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Federal Court of Australia Act, </w:t>
      </w:r>
      <w:r w:rsidRPr="0033317A">
        <w:rPr>
          <w:rFonts w:ascii="Times New Roman" w:hAnsi="Times New Roman"/>
          <w:sz w:val="24"/>
        </w:rPr>
        <w:t xml:space="preserve">ss 33X, 33Y. </w:t>
      </w:r>
    </w:p>
  </w:footnote>
  <w:footnote w:id="96">
    <w:p w14:paraId="222F4BB8"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See, eg, </w:t>
      </w:r>
      <w:r w:rsidRPr="0033317A">
        <w:rPr>
          <w:rFonts w:ascii="Times New Roman" w:hAnsi="Times New Roman"/>
          <w:i/>
          <w:sz w:val="24"/>
        </w:rPr>
        <w:t xml:space="preserve">Jarra Creek Central Packing Shed Pty Ltd v Amcor Ltd </w:t>
      </w:r>
      <w:r w:rsidRPr="0033317A">
        <w:rPr>
          <w:rFonts w:ascii="Times New Roman" w:hAnsi="Times New Roman"/>
          <w:sz w:val="24"/>
        </w:rPr>
        <w:t xml:space="preserve">[2008] FCA 575 at [18]-[19]; see also [9], referring to </w:t>
      </w:r>
      <w:r w:rsidRPr="0033317A">
        <w:rPr>
          <w:rFonts w:ascii="Times New Roman" w:hAnsi="Times New Roman"/>
          <w:i/>
          <w:sz w:val="24"/>
        </w:rPr>
        <w:t xml:space="preserve">Federal Court of Australia Act, </w:t>
      </w:r>
      <w:r w:rsidRPr="0033317A">
        <w:rPr>
          <w:rFonts w:ascii="Times New Roman" w:hAnsi="Times New Roman"/>
          <w:sz w:val="24"/>
        </w:rPr>
        <w:t>ss 23, 33J, 33K</w:t>
      </w:r>
      <w:r>
        <w:rPr>
          <w:rFonts w:ascii="Times New Roman" w:hAnsi="Times New Roman"/>
          <w:sz w:val="24"/>
        </w:rPr>
        <w:t> </w:t>
      </w:r>
      <w:r w:rsidRPr="0033317A">
        <w:rPr>
          <w:rFonts w:ascii="Times New Roman" w:hAnsi="Times New Roman"/>
          <w:sz w:val="24"/>
        </w:rPr>
        <w:t xml:space="preserve">and 33X.  </w:t>
      </w:r>
    </w:p>
  </w:footnote>
  <w:footnote w:id="97">
    <w:p w14:paraId="0B7899EE"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Putting to one side statutes creating criminal offences, to which different considerations will apply. </w:t>
      </w:r>
    </w:p>
  </w:footnote>
  <w:footnote w:id="98">
    <w:p w14:paraId="2CB5E8E6"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Insight Vacations </w:t>
      </w:r>
      <w:r w:rsidRPr="0033317A">
        <w:rPr>
          <w:rFonts w:ascii="Times New Roman" w:hAnsi="Times New Roman"/>
          <w:sz w:val="24"/>
        </w:rPr>
        <w:t xml:space="preserve">(2011) 243 CLR 149 at 162 [36]; </w:t>
      </w:r>
      <w:r w:rsidRPr="0033317A">
        <w:rPr>
          <w:rFonts w:ascii="Times New Roman" w:hAnsi="Times New Roman"/>
          <w:i/>
          <w:sz w:val="24"/>
        </w:rPr>
        <w:t xml:space="preserve">Old UGC Inc </w:t>
      </w:r>
      <w:r w:rsidRPr="0033317A">
        <w:rPr>
          <w:rFonts w:ascii="Times New Roman" w:hAnsi="Times New Roman"/>
          <w:sz w:val="24"/>
        </w:rPr>
        <w:t>(2006) 225 CLR 274 at 282-283 [22].</w:t>
      </w:r>
    </w:p>
  </w:footnote>
  <w:footnote w:id="99">
    <w:p w14:paraId="59B48430"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Law Society of New South Wales v Glenorcy Pty Ltd </w:t>
      </w:r>
      <w:r w:rsidRPr="0033317A">
        <w:rPr>
          <w:rFonts w:ascii="Times New Roman" w:hAnsi="Times New Roman"/>
          <w:sz w:val="24"/>
        </w:rPr>
        <w:t>(2006) 67 NSWLR 169 at 177</w:t>
      </w:r>
      <w:r>
        <w:rPr>
          <w:rFonts w:ascii="Times New Roman" w:hAnsi="Times New Roman"/>
          <w:sz w:val="24"/>
        </w:rPr>
        <w:noBreakHyphen/>
      </w:r>
      <w:r w:rsidRPr="0033317A">
        <w:rPr>
          <w:rFonts w:ascii="Times New Roman" w:hAnsi="Times New Roman"/>
          <w:sz w:val="24"/>
        </w:rPr>
        <w:t>178 [35]-[43]. See also</w:t>
      </w:r>
      <w:r w:rsidRPr="0033317A">
        <w:rPr>
          <w:rFonts w:ascii="Times New Roman" w:hAnsi="Times New Roman"/>
          <w:i/>
          <w:sz w:val="24"/>
        </w:rPr>
        <w:t xml:space="preserve"> DRJ v Commissioner of Victims Rights [No 2] </w:t>
      </w:r>
      <w:r w:rsidRPr="0033317A">
        <w:rPr>
          <w:rFonts w:ascii="Times New Roman" w:hAnsi="Times New Roman"/>
          <w:sz w:val="24"/>
        </w:rPr>
        <w:t xml:space="preserve">(2020) 103 NSWLR 692 at 732 [157]; </w:t>
      </w:r>
      <w:r w:rsidRPr="0033317A">
        <w:rPr>
          <w:rFonts w:ascii="Times New Roman" w:hAnsi="Times New Roman"/>
          <w:i/>
          <w:sz w:val="24"/>
        </w:rPr>
        <w:t>Minister for Immigration, Citizenship, Migrant</w:t>
      </w:r>
      <w:r>
        <w:rPr>
          <w:rFonts w:ascii="Times New Roman" w:hAnsi="Times New Roman"/>
          <w:i/>
          <w:sz w:val="24"/>
        </w:rPr>
        <w:t> </w:t>
      </w:r>
      <w:r w:rsidRPr="0033317A">
        <w:rPr>
          <w:rFonts w:ascii="Times New Roman" w:hAnsi="Times New Roman"/>
          <w:i/>
          <w:sz w:val="24"/>
        </w:rPr>
        <w:t xml:space="preserve">Services and Multicultural Affairs v Darnia-Wilson </w:t>
      </w:r>
      <w:r w:rsidRPr="0033317A">
        <w:rPr>
          <w:rFonts w:ascii="Times New Roman" w:hAnsi="Times New Roman"/>
          <w:sz w:val="24"/>
        </w:rPr>
        <w:t>[2022] FCAFC 28 at [23].</w:t>
      </w:r>
    </w:p>
  </w:footnote>
  <w:footnote w:id="100">
    <w:p w14:paraId="7D400DF6"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Mynott </w:t>
      </w:r>
      <w:r w:rsidRPr="0033317A">
        <w:rPr>
          <w:rFonts w:ascii="Times New Roman" w:hAnsi="Times New Roman"/>
          <w:sz w:val="24"/>
        </w:rPr>
        <w:t xml:space="preserve">(1939) 62 CLR 68 at 86. See also </w:t>
      </w:r>
      <w:r w:rsidRPr="0033317A">
        <w:rPr>
          <w:rFonts w:ascii="Times New Roman" w:hAnsi="Times New Roman"/>
          <w:i/>
          <w:sz w:val="24"/>
        </w:rPr>
        <w:t xml:space="preserve">Kay's Leasing Corporation Pty Ltd v Fletcher </w:t>
      </w:r>
      <w:r w:rsidRPr="0033317A">
        <w:rPr>
          <w:rFonts w:ascii="Times New Roman" w:hAnsi="Times New Roman"/>
          <w:sz w:val="24"/>
        </w:rPr>
        <w:t>(1964) 116 CLR 124 at 143-144.</w:t>
      </w:r>
    </w:p>
  </w:footnote>
  <w:footnote w:id="101">
    <w:p w14:paraId="1D647F1F"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Barcelo </w:t>
      </w:r>
      <w:r w:rsidRPr="0033317A">
        <w:rPr>
          <w:rFonts w:ascii="Times New Roman" w:hAnsi="Times New Roman"/>
          <w:sz w:val="24"/>
        </w:rPr>
        <w:t xml:space="preserve">(1932) 48 CLR 391 at 423; </w:t>
      </w:r>
      <w:r w:rsidRPr="0033317A">
        <w:rPr>
          <w:rFonts w:ascii="Times New Roman" w:hAnsi="Times New Roman"/>
          <w:i/>
          <w:sz w:val="24"/>
        </w:rPr>
        <w:t xml:space="preserve">Wanganui-Rangitikei </w:t>
      </w:r>
      <w:r w:rsidRPr="0033317A">
        <w:rPr>
          <w:rFonts w:ascii="Times New Roman" w:hAnsi="Times New Roman"/>
          <w:sz w:val="24"/>
        </w:rPr>
        <w:t>(1934) 50 CLR 581 at 612.</w:t>
      </w:r>
    </w:p>
  </w:footnote>
  <w:footnote w:id="102">
    <w:p w14:paraId="336D7957"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Old UGC Inc </w:t>
      </w:r>
      <w:r w:rsidRPr="0033317A">
        <w:rPr>
          <w:rFonts w:ascii="Times New Roman" w:hAnsi="Times New Roman"/>
          <w:sz w:val="24"/>
        </w:rPr>
        <w:t xml:space="preserve">(2006) 225 CLR 274 at 283 [23]; </w:t>
      </w:r>
      <w:r w:rsidRPr="0033317A">
        <w:rPr>
          <w:rFonts w:ascii="Times New Roman" w:hAnsi="Times New Roman"/>
          <w:i/>
          <w:sz w:val="24"/>
        </w:rPr>
        <w:t xml:space="preserve">Infosys Technologies Ltd v Victoria </w:t>
      </w:r>
      <w:r w:rsidRPr="0033317A">
        <w:rPr>
          <w:rFonts w:ascii="Times New Roman" w:hAnsi="Times New Roman"/>
          <w:sz w:val="24"/>
        </w:rPr>
        <w:t xml:space="preserve">(2021) 64 VR 61 at 64 [7], 72 [44]. </w:t>
      </w:r>
      <w:r w:rsidRPr="0033317A">
        <w:rPr>
          <w:rFonts w:ascii="Times New Roman" w:hAnsi="Times New Roman"/>
          <w:i/>
          <w:sz w:val="24"/>
        </w:rPr>
        <w:t xml:space="preserve"> </w:t>
      </w:r>
    </w:p>
  </w:footnote>
  <w:footnote w:id="103">
    <w:p w14:paraId="09D4D779"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Mynott </w:t>
      </w:r>
      <w:r w:rsidRPr="0033317A">
        <w:rPr>
          <w:rFonts w:ascii="Times New Roman" w:hAnsi="Times New Roman"/>
          <w:sz w:val="24"/>
        </w:rPr>
        <w:t>(1939) 62 CLR 68 at 86.</w:t>
      </w:r>
    </w:p>
  </w:footnote>
  <w:footnote w:id="104">
    <w:p w14:paraId="455B00C4"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Insight Vacations </w:t>
      </w:r>
      <w:r w:rsidRPr="0033317A">
        <w:rPr>
          <w:rFonts w:ascii="Times New Roman" w:hAnsi="Times New Roman"/>
          <w:sz w:val="24"/>
        </w:rPr>
        <w:t>(2011) 243 CLR 149 at 161 [33].</w:t>
      </w:r>
    </w:p>
  </w:footnote>
  <w:footnote w:id="105">
    <w:p w14:paraId="4F3947CD" w14:textId="77777777" w:rsidR="003C391D" w:rsidRPr="0033317A" w:rsidDel="00333ECD"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See, eg, </w:t>
      </w:r>
      <w:r w:rsidRPr="0033317A">
        <w:rPr>
          <w:rFonts w:ascii="Times New Roman" w:hAnsi="Times New Roman"/>
          <w:i/>
          <w:sz w:val="24"/>
        </w:rPr>
        <w:t>Re Maritime Union of Australia; Ex parte CSL Pacific Shipping Inc</w:t>
      </w:r>
      <w:r w:rsidRPr="0033317A">
        <w:rPr>
          <w:rFonts w:ascii="Times New Roman" w:hAnsi="Times New Roman"/>
          <w:sz w:val="24"/>
        </w:rPr>
        <w:t xml:space="preserve"> (2003) 214 CLR 397 at 415-416 [41]-[43].</w:t>
      </w:r>
    </w:p>
  </w:footnote>
  <w:footnote w:id="106">
    <w:p w14:paraId="63847330"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(2020) 103 NSWLR 692 at 732 [157]. Putting to one side the different considerations applicable to legislation creating an offence.</w:t>
      </w:r>
    </w:p>
  </w:footnote>
  <w:footnote w:id="107">
    <w:p w14:paraId="6B43F1F8"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(1932) 48 CLR 391 at 421-422. </w:t>
      </w:r>
    </w:p>
  </w:footnote>
  <w:footnote w:id="108">
    <w:p w14:paraId="28A6A8C3"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(1934) 50 CLR 581 at 601, 606-607, 611-612.</w:t>
      </w:r>
    </w:p>
  </w:footnote>
  <w:footnote w:id="109">
    <w:p w14:paraId="1CA50973"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(1964) 116 CLR 124 at 143-144.</w:t>
      </w:r>
    </w:p>
  </w:footnote>
  <w:footnote w:id="110">
    <w:p w14:paraId="026834A2"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(2011) 243 CLR 149 at 161-162 [32]-[36].</w:t>
      </w:r>
    </w:p>
  </w:footnote>
  <w:footnote w:id="111">
    <w:p w14:paraId="72B7D2A3"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(1939) 62 CLR 68 at 75-77, 86.</w:t>
      </w:r>
    </w:p>
  </w:footnote>
  <w:footnote w:id="112">
    <w:p w14:paraId="1118A25E"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(2020) 103 NSWLR 692 at 733-736 [158]-[179].</w:t>
      </w:r>
    </w:p>
  </w:footnote>
  <w:footnote w:id="113">
    <w:p w14:paraId="7919B0F5"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(2006) 225 CLR 274 at 282-283 [22]-[23].</w:t>
      </w:r>
    </w:p>
  </w:footnote>
  <w:footnote w:id="114">
    <w:p w14:paraId="69A6ABC6"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(2021) 64 VR 61 at 77 [67], 78-79 [73], 80 [79].</w:t>
      </w:r>
    </w:p>
  </w:footnote>
  <w:footnote w:id="115">
    <w:p w14:paraId="3A18C60A"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Old UGC Inc </w:t>
      </w:r>
      <w:r w:rsidRPr="0033317A">
        <w:rPr>
          <w:rFonts w:ascii="Times New Roman" w:hAnsi="Times New Roman"/>
          <w:sz w:val="24"/>
        </w:rPr>
        <w:t xml:space="preserve">(2006) 225 CLR 274 at 283 [23]. See also </w:t>
      </w:r>
      <w:r w:rsidRPr="0033317A">
        <w:rPr>
          <w:rFonts w:ascii="Times New Roman" w:hAnsi="Times New Roman"/>
          <w:i/>
          <w:sz w:val="24"/>
        </w:rPr>
        <w:t xml:space="preserve">Insight Vacations </w:t>
      </w:r>
      <w:r w:rsidRPr="0033317A">
        <w:rPr>
          <w:rFonts w:ascii="Times New Roman" w:hAnsi="Times New Roman"/>
          <w:sz w:val="24"/>
        </w:rPr>
        <w:t>(2011) 243 CLR 149 at 161 [32]-[33].</w:t>
      </w:r>
    </w:p>
  </w:footnote>
  <w:footnote w:id="116">
    <w:p w14:paraId="637231D1"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See </w:t>
      </w:r>
      <w:r w:rsidRPr="0033317A">
        <w:rPr>
          <w:rFonts w:ascii="Times New Roman" w:hAnsi="Times New Roman"/>
          <w:i/>
          <w:iCs/>
          <w:sz w:val="24"/>
        </w:rPr>
        <w:t xml:space="preserve">Jumbunna Coal Mine NL v Victorian Coal Miners' Association </w:t>
      </w:r>
      <w:r w:rsidRPr="0033317A">
        <w:rPr>
          <w:rFonts w:ascii="Times New Roman" w:hAnsi="Times New Roman"/>
          <w:sz w:val="24"/>
        </w:rPr>
        <w:t xml:space="preserve">(1908) 6 CLR 309 at 363; </w:t>
      </w:r>
      <w:r w:rsidRPr="0033317A">
        <w:rPr>
          <w:rFonts w:ascii="Times New Roman" w:hAnsi="Times New Roman"/>
          <w:i/>
          <w:sz w:val="24"/>
        </w:rPr>
        <w:t>Wanganui</w:t>
      </w:r>
      <w:r w:rsidRPr="0033317A">
        <w:rPr>
          <w:rFonts w:ascii="Times New Roman" w:hAnsi="Times New Roman"/>
          <w:i/>
          <w:sz w:val="24"/>
        </w:rPr>
        <w:noBreakHyphen/>
        <w:t xml:space="preserve">Rangitikei </w:t>
      </w:r>
      <w:r w:rsidRPr="0033317A">
        <w:rPr>
          <w:rFonts w:ascii="Times New Roman" w:hAnsi="Times New Roman"/>
          <w:sz w:val="24"/>
        </w:rPr>
        <w:t>(1934) 50 CLR 581 at 600-601.</w:t>
      </w:r>
    </w:p>
  </w:footnote>
  <w:footnote w:id="117">
    <w:p w14:paraId="2EEE0401"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Wanganui</w:t>
      </w:r>
      <w:r w:rsidRPr="0033317A">
        <w:rPr>
          <w:rFonts w:ascii="Times New Roman" w:hAnsi="Times New Roman"/>
          <w:i/>
          <w:sz w:val="24"/>
        </w:rPr>
        <w:noBreakHyphen/>
        <w:t xml:space="preserve">Rangitikei </w:t>
      </w:r>
      <w:r w:rsidRPr="0033317A">
        <w:rPr>
          <w:rFonts w:ascii="Times New Roman" w:hAnsi="Times New Roman"/>
          <w:sz w:val="24"/>
        </w:rPr>
        <w:t>(1934) 50 CLR 581 at 601.</w:t>
      </w:r>
    </w:p>
  </w:footnote>
  <w:footnote w:id="118">
    <w:p w14:paraId="7C1C7579"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See </w:t>
      </w:r>
      <w:r w:rsidRPr="0033317A">
        <w:rPr>
          <w:rFonts w:ascii="Times New Roman" w:hAnsi="Times New Roman"/>
          <w:i/>
          <w:sz w:val="24"/>
        </w:rPr>
        <w:t>DRJ</w:t>
      </w:r>
      <w:r w:rsidRPr="0033317A">
        <w:rPr>
          <w:rFonts w:ascii="Times New Roman" w:hAnsi="Times New Roman"/>
          <w:sz w:val="24"/>
        </w:rPr>
        <w:t xml:space="preserve"> (2020) 103 NSWLR 692 at 720-721 [113]-[119].</w:t>
      </w:r>
    </w:p>
  </w:footnote>
  <w:footnote w:id="119">
    <w:p w14:paraId="6AD39E5D"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Insight Vacations </w:t>
      </w:r>
      <w:r w:rsidRPr="0033317A">
        <w:rPr>
          <w:rFonts w:ascii="Times New Roman" w:hAnsi="Times New Roman"/>
          <w:sz w:val="24"/>
        </w:rPr>
        <w:t xml:space="preserve">(2011) 243 CLR 149 at 161-162 [32]-[36]. See also </w:t>
      </w:r>
      <w:r w:rsidRPr="0033317A">
        <w:rPr>
          <w:rFonts w:ascii="Times New Roman" w:hAnsi="Times New Roman"/>
          <w:i/>
          <w:sz w:val="24"/>
        </w:rPr>
        <w:t xml:space="preserve">Barcelo </w:t>
      </w:r>
      <w:r w:rsidRPr="0033317A">
        <w:rPr>
          <w:rFonts w:ascii="Times New Roman" w:hAnsi="Times New Roman"/>
          <w:sz w:val="24"/>
        </w:rPr>
        <w:t xml:space="preserve">(1932) 48 CLR 391 at 422-423, see also 406; </w:t>
      </w:r>
      <w:r w:rsidRPr="0033317A">
        <w:rPr>
          <w:rFonts w:ascii="Times New Roman" w:hAnsi="Times New Roman"/>
          <w:i/>
          <w:sz w:val="24"/>
        </w:rPr>
        <w:t xml:space="preserve">Wanganui-Rangitikei </w:t>
      </w:r>
      <w:r w:rsidRPr="0033317A">
        <w:rPr>
          <w:rFonts w:ascii="Times New Roman" w:hAnsi="Times New Roman"/>
          <w:sz w:val="24"/>
        </w:rPr>
        <w:t xml:space="preserve">(1934) 50 CLR 581 at 601, 606-607, 611-612; </w:t>
      </w:r>
      <w:r w:rsidRPr="0033317A">
        <w:rPr>
          <w:rFonts w:ascii="Times New Roman" w:hAnsi="Times New Roman"/>
          <w:i/>
          <w:sz w:val="24"/>
        </w:rPr>
        <w:t xml:space="preserve">Mynott </w:t>
      </w:r>
      <w:r w:rsidRPr="0033317A">
        <w:rPr>
          <w:rFonts w:ascii="Times New Roman" w:hAnsi="Times New Roman"/>
          <w:sz w:val="24"/>
        </w:rPr>
        <w:t xml:space="preserve">(1939) 62 CLR 68 at 75-77; </w:t>
      </w:r>
      <w:r w:rsidRPr="0033317A">
        <w:rPr>
          <w:rFonts w:ascii="Times New Roman" w:hAnsi="Times New Roman"/>
          <w:i/>
          <w:sz w:val="24"/>
        </w:rPr>
        <w:t xml:space="preserve">Old UGC Inc </w:t>
      </w:r>
      <w:r w:rsidRPr="0033317A">
        <w:rPr>
          <w:rFonts w:ascii="Times New Roman" w:hAnsi="Times New Roman"/>
          <w:sz w:val="24"/>
        </w:rPr>
        <w:t>(2006) 225 CLR 274 at 283 [23].</w:t>
      </w:r>
    </w:p>
  </w:footnote>
  <w:footnote w:id="120">
    <w:p w14:paraId="536F35EB"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Barcelo </w:t>
      </w:r>
      <w:r w:rsidRPr="0033317A">
        <w:rPr>
          <w:rFonts w:ascii="Times New Roman" w:hAnsi="Times New Roman"/>
          <w:sz w:val="24"/>
        </w:rPr>
        <w:t xml:space="preserve">(1932) 48 CLR 391 at 422; </w:t>
      </w:r>
      <w:r w:rsidRPr="0033317A">
        <w:rPr>
          <w:rFonts w:ascii="Times New Roman" w:hAnsi="Times New Roman"/>
          <w:i/>
          <w:sz w:val="24"/>
        </w:rPr>
        <w:t xml:space="preserve">Old UGC Inc </w:t>
      </w:r>
      <w:r w:rsidRPr="0033317A">
        <w:rPr>
          <w:rFonts w:ascii="Times New Roman" w:hAnsi="Times New Roman"/>
          <w:sz w:val="24"/>
        </w:rPr>
        <w:t xml:space="preserve">(2006) 225 CLR 274 at 283 [23], see also 278 [1], 292 [59]; </w:t>
      </w:r>
      <w:r w:rsidRPr="0033317A">
        <w:rPr>
          <w:rFonts w:ascii="Times New Roman" w:hAnsi="Times New Roman"/>
          <w:i/>
          <w:sz w:val="24"/>
        </w:rPr>
        <w:t xml:space="preserve">Insight Vacations </w:t>
      </w:r>
      <w:r w:rsidRPr="0033317A">
        <w:rPr>
          <w:rFonts w:ascii="Times New Roman" w:hAnsi="Times New Roman"/>
          <w:sz w:val="24"/>
        </w:rPr>
        <w:t>(2011) 243 CLR 149 at 161-162 [32]</w:t>
      </w:r>
      <w:r>
        <w:rPr>
          <w:rFonts w:ascii="Times New Roman" w:hAnsi="Times New Roman"/>
          <w:sz w:val="24"/>
        </w:rPr>
        <w:noBreakHyphen/>
      </w:r>
      <w:r w:rsidRPr="0033317A">
        <w:rPr>
          <w:rFonts w:ascii="Times New Roman" w:hAnsi="Times New Roman"/>
          <w:sz w:val="24"/>
        </w:rPr>
        <w:t>[36].</w:t>
      </w:r>
    </w:p>
  </w:footnote>
  <w:footnote w:id="121">
    <w:p w14:paraId="6C745402"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See </w:t>
      </w:r>
      <w:r w:rsidRPr="0033317A">
        <w:rPr>
          <w:rFonts w:ascii="Times New Roman" w:hAnsi="Times New Roman"/>
          <w:i/>
          <w:iCs/>
          <w:sz w:val="24"/>
        </w:rPr>
        <w:t>Wanganui-Rangitikei</w:t>
      </w:r>
      <w:r w:rsidRPr="0033317A">
        <w:rPr>
          <w:rFonts w:ascii="Times New Roman" w:hAnsi="Times New Roman"/>
          <w:i/>
          <w:sz w:val="24"/>
        </w:rPr>
        <w:t xml:space="preserve"> </w:t>
      </w:r>
      <w:r w:rsidRPr="0033317A">
        <w:rPr>
          <w:rFonts w:ascii="Times New Roman" w:hAnsi="Times New Roman"/>
          <w:sz w:val="24"/>
        </w:rPr>
        <w:t xml:space="preserve">(1934) 50 CLR 581 at 600-601; </w:t>
      </w:r>
      <w:r w:rsidRPr="0033317A">
        <w:rPr>
          <w:rFonts w:ascii="Times New Roman" w:hAnsi="Times New Roman"/>
          <w:i/>
          <w:iCs/>
          <w:sz w:val="24"/>
        </w:rPr>
        <w:t xml:space="preserve">Insight Vacations </w:t>
      </w:r>
      <w:r w:rsidRPr="0033317A">
        <w:rPr>
          <w:rFonts w:ascii="Times New Roman" w:hAnsi="Times New Roman"/>
          <w:sz w:val="24"/>
        </w:rPr>
        <w:t>(2011) 243 CLR 149 at 159-162 [27]-[36].</w:t>
      </w:r>
    </w:p>
  </w:footnote>
  <w:footnote w:id="122">
    <w:p w14:paraId="45C7B02F"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See also </w:t>
      </w:r>
      <w:r w:rsidRPr="0033317A">
        <w:rPr>
          <w:rFonts w:ascii="Times New Roman" w:hAnsi="Times New Roman"/>
          <w:i/>
          <w:sz w:val="24"/>
        </w:rPr>
        <w:t xml:space="preserve">Acts Interpretation Act, </w:t>
      </w:r>
      <w:r w:rsidRPr="0033317A">
        <w:rPr>
          <w:rFonts w:ascii="Times New Roman" w:hAnsi="Times New Roman"/>
          <w:sz w:val="24"/>
        </w:rPr>
        <w:t xml:space="preserve">s 2(2), which provides that the application of the Act is subject to a contrary intention. </w:t>
      </w:r>
    </w:p>
  </w:footnote>
  <w:footnote w:id="123">
    <w:p w14:paraId="18BEE4CD"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(2011) 243 CLR 149 at 159 [28], citing </w:t>
      </w:r>
      <w:r w:rsidRPr="0033317A">
        <w:rPr>
          <w:rFonts w:ascii="Times New Roman" w:hAnsi="Times New Roman"/>
          <w:i/>
          <w:sz w:val="24"/>
        </w:rPr>
        <w:t xml:space="preserve">Kay's Leasing </w:t>
      </w:r>
      <w:r w:rsidRPr="0033317A">
        <w:rPr>
          <w:rFonts w:ascii="Times New Roman" w:hAnsi="Times New Roman"/>
          <w:sz w:val="24"/>
        </w:rPr>
        <w:t>(1964) 116 CLR 124 at 142</w:t>
      </w:r>
      <w:r>
        <w:rPr>
          <w:rFonts w:ascii="Times New Roman" w:hAnsi="Times New Roman"/>
          <w:sz w:val="24"/>
        </w:rPr>
        <w:noBreakHyphen/>
      </w:r>
      <w:r w:rsidRPr="0033317A">
        <w:rPr>
          <w:rFonts w:ascii="Times New Roman" w:hAnsi="Times New Roman"/>
          <w:sz w:val="24"/>
        </w:rPr>
        <w:t xml:space="preserve">144. </w:t>
      </w:r>
    </w:p>
  </w:footnote>
  <w:footnote w:id="124">
    <w:p w14:paraId="6E5C4B43"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Wanganui-Rangitikei </w:t>
      </w:r>
      <w:r w:rsidRPr="0033317A">
        <w:rPr>
          <w:rFonts w:ascii="Times New Roman" w:hAnsi="Times New Roman"/>
          <w:sz w:val="24"/>
        </w:rPr>
        <w:t>(1934) 50 CLR 581 at 600-601.</w:t>
      </w:r>
    </w:p>
  </w:footnote>
  <w:footnote w:id="125">
    <w:p w14:paraId="65C02B6B"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See [</w:t>
      </w:r>
      <w:r>
        <w:rPr>
          <w:rFonts w:ascii="Times New Roman" w:hAnsi="Times New Roman"/>
          <w:sz w:val="24"/>
        </w:rPr>
        <w:t>52</w:t>
      </w:r>
      <w:r w:rsidRPr="0033317A">
        <w:rPr>
          <w:rFonts w:ascii="Times New Roman" w:hAnsi="Times New Roman"/>
          <w:sz w:val="24"/>
        </w:rPr>
        <w:t>] above.</w:t>
      </w:r>
    </w:p>
  </w:footnote>
  <w:footnote w:id="126">
    <w:p w14:paraId="184E9F3C"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Federal Court of Australia Act</w:t>
      </w:r>
      <w:r w:rsidRPr="0033317A">
        <w:rPr>
          <w:rFonts w:ascii="Times New Roman" w:hAnsi="Times New Roman"/>
          <w:sz w:val="24"/>
        </w:rPr>
        <w:t>, s 18.</w:t>
      </w:r>
    </w:p>
  </w:footnote>
  <w:footnote w:id="127">
    <w:p w14:paraId="1B3F81D6"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Mobil</w:t>
      </w:r>
      <w:r w:rsidRPr="0033317A">
        <w:rPr>
          <w:rFonts w:ascii="Times New Roman" w:hAnsi="Times New Roman"/>
          <w:sz w:val="24"/>
        </w:rPr>
        <w:t xml:space="preserve"> </w:t>
      </w:r>
      <w:r w:rsidRPr="0033317A">
        <w:rPr>
          <w:rFonts w:ascii="Times New Roman" w:hAnsi="Times New Roman"/>
          <w:i/>
          <w:sz w:val="24"/>
        </w:rPr>
        <w:t xml:space="preserve">Oil </w:t>
      </w:r>
      <w:r w:rsidRPr="0033317A">
        <w:rPr>
          <w:rFonts w:ascii="Times New Roman" w:hAnsi="Times New Roman"/>
          <w:sz w:val="24"/>
        </w:rPr>
        <w:t>(2002) 211 CLR 1 at 35 [53].</w:t>
      </w:r>
    </w:p>
  </w:footnote>
  <w:footnote w:id="128">
    <w:p w14:paraId="6E64BBB1"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Mobil Oil </w:t>
      </w:r>
      <w:r w:rsidRPr="0033317A">
        <w:rPr>
          <w:rFonts w:ascii="Times New Roman" w:hAnsi="Times New Roman"/>
          <w:sz w:val="24"/>
        </w:rPr>
        <w:t>(2002) 211 CLR 1 at 38 [61]</w:t>
      </w:r>
      <w:r w:rsidRPr="0033317A" w:rsidDel="00AF39FB">
        <w:rPr>
          <w:rFonts w:ascii="Times New Roman" w:hAnsi="Times New Roman"/>
          <w:sz w:val="24"/>
        </w:rPr>
        <w:t xml:space="preserve"> (emphasis added)</w:t>
      </w:r>
      <w:r w:rsidRPr="0033317A">
        <w:rPr>
          <w:rFonts w:ascii="Times New Roman" w:hAnsi="Times New Roman"/>
          <w:sz w:val="24"/>
        </w:rPr>
        <w:t xml:space="preserve">. </w:t>
      </w:r>
    </w:p>
  </w:footnote>
  <w:footnote w:id="129">
    <w:p w14:paraId="2981640C"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cf </w:t>
      </w:r>
      <w:r w:rsidRPr="0033317A">
        <w:rPr>
          <w:rFonts w:ascii="Times New Roman" w:hAnsi="Times New Roman"/>
          <w:i/>
          <w:iCs/>
          <w:sz w:val="24"/>
        </w:rPr>
        <w:t xml:space="preserve">Jumbunna Coal Mine </w:t>
      </w:r>
      <w:r w:rsidRPr="0033317A">
        <w:rPr>
          <w:rFonts w:ascii="Times New Roman" w:hAnsi="Times New Roman"/>
          <w:sz w:val="24"/>
        </w:rPr>
        <w:t xml:space="preserve">(1908) 6 CLR 309 at 363; </w:t>
      </w:r>
      <w:r w:rsidRPr="0033317A">
        <w:rPr>
          <w:rFonts w:ascii="Times New Roman" w:hAnsi="Times New Roman"/>
          <w:i/>
          <w:iCs/>
          <w:sz w:val="24"/>
        </w:rPr>
        <w:t xml:space="preserve">Morgan v White </w:t>
      </w:r>
      <w:r w:rsidRPr="0033317A">
        <w:rPr>
          <w:rFonts w:ascii="Times New Roman" w:hAnsi="Times New Roman"/>
          <w:sz w:val="24"/>
        </w:rPr>
        <w:t xml:space="preserve">(1912) 15 CLR 1 at 13; </w:t>
      </w:r>
      <w:r w:rsidRPr="0033317A">
        <w:rPr>
          <w:rFonts w:ascii="Times New Roman" w:hAnsi="Times New Roman"/>
          <w:i/>
          <w:iCs/>
          <w:sz w:val="24"/>
        </w:rPr>
        <w:t xml:space="preserve">Seaegg v The King </w:t>
      </w:r>
      <w:r w:rsidRPr="0033317A">
        <w:rPr>
          <w:rFonts w:ascii="Times New Roman" w:hAnsi="Times New Roman"/>
          <w:sz w:val="24"/>
        </w:rPr>
        <w:t xml:space="preserve">(1932) 48 CLR 251 at 255; </w:t>
      </w:r>
      <w:r w:rsidRPr="0033317A">
        <w:rPr>
          <w:rFonts w:ascii="Times New Roman" w:hAnsi="Times New Roman"/>
          <w:i/>
          <w:sz w:val="24"/>
        </w:rPr>
        <w:t xml:space="preserve">Meyer Heine </w:t>
      </w:r>
      <w:r w:rsidRPr="0033317A">
        <w:rPr>
          <w:rFonts w:ascii="Times New Roman" w:hAnsi="Times New Roman"/>
          <w:sz w:val="24"/>
        </w:rPr>
        <w:t>(1966) 115</w:t>
      </w:r>
      <w:r>
        <w:rPr>
          <w:rFonts w:ascii="Times New Roman" w:hAnsi="Times New Roman"/>
          <w:sz w:val="24"/>
        </w:rPr>
        <w:t> </w:t>
      </w:r>
      <w:r w:rsidRPr="0033317A">
        <w:rPr>
          <w:rFonts w:ascii="Times New Roman" w:hAnsi="Times New Roman"/>
          <w:sz w:val="24"/>
        </w:rPr>
        <w:t xml:space="preserve">CLR 10 at 30-31, 43; </w:t>
      </w:r>
      <w:r w:rsidRPr="0033317A">
        <w:rPr>
          <w:rFonts w:ascii="Times New Roman" w:hAnsi="Times New Roman"/>
          <w:i/>
          <w:iCs/>
          <w:sz w:val="24"/>
        </w:rPr>
        <w:t xml:space="preserve">Chubb Insurance Company of Australia Ltd v Moore </w:t>
      </w:r>
      <w:r w:rsidRPr="0033317A">
        <w:rPr>
          <w:rFonts w:ascii="Times New Roman" w:hAnsi="Times New Roman"/>
          <w:sz w:val="24"/>
        </w:rPr>
        <w:t>(2013) 302</w:t>
      </w:r>
      <w:r>
        <w:rPr>
          <w:rFonts w:ascii="Times New Roman" w:hAnsi="Times New Roman"/>
          <w:sz w:val="24"/>
        </w:rPr>
        <w:t> </w:t>
      </w:r>
      <w:r w:rsidRPr="0033317A">
        <w:rPr>
          <w:rFonts w:ascii="Times New Roman" w:hAnsi="Times New Roman"/>
          <w:sz w:val="24"/>
        </w:rPr>
        <w:t xml:space="preserve">ALR 101 at 132-133 [144]-[147]; </w:t>
      </w:r>
      <w:r w:rsidRPr="0033317A">
        <w:rPr>
          <w:rFonts w:ascii="Times New Roman" w:hAnsi="Times New Roman"/>
          <w:i/>
          <w:iCs/>
          <w:sz w:val="24"/>
        </w:rPr>
        <w:t xml:space="preserve">Australian Competition and Consumer Commission v Air New Zealand Ltd </w:t>
      </w:r>
      <w:r w:rsidRPr="0033317A">
        <w:rPr>
          <w:rFonts w:ascii="Times New Roman" w:hAnsi="Times New Roman"/>
          <w:sz w:val="24"/>
        </w:rPr>
        <w:t xml:space="preserve">(2014) 319 ALR 388 at 469 [386]; </w:t>
      </w:r>
      <w:r w:rsidRPr="0033317A">
        <w:rPr>
          <w:rFonts w:ascii="Times New Roman" w:hAnsi="Times New Roman"/>
          <w:i/>
          <w:iCs/>
          <w:sz w:val="24"/>
        </w:rPr>
        <w:t xml:space="preserve">DRJ </w:t>
      </w:r>
      <w:r w:rsidRPr="0033317A">
        <w:rPr>
          <w:rFonts w:ascii="Times New Roman" w:hAnsi="Times New Roman"/>
          <w:sz w:val="24"/>
        </w:rPr>
        <w:t>(2020) 103 NSWLR 692 at 698 [11], 722-723 [122]-[123].</w:t>
      </w:r>
    </w:p>
  </w:footnote>
  <w:footnote w:id="130">
    <w:p w14:paraId="63E7E5D1"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In the context of Commonwealth legislation, see, eg, </w:t>
      </w:r>
      <w:r w:rsidRPr="0033317A">
        <w:rPr>
          <w:rFonts w:ascii="Times New Roman" w:hAnsi="Times New Roman"/>
          <w:i/>
          <w:sz w:val="24"/>
        </w:rPr>
        <w:t xml:space="preserve">Meyer Heine </w:t>
      </w:r>
      <w:r w:rsidRPr="0033317A">
        <w:rPr>
          <w:rFonts w:ascii="Times New Roman" w:hAnsi="Times New Roman"/>
          <w:sz w:val="24"/>
        </w:rPr>
        <w:t xml:space="preserve">(1966) 115 CLR 10 at 23-24, 30-33, 43. See also </w:t>
      </w:r>
      <w:r w:rsidRPr="0033317A">
        <w:rPr>
          <w:rFonts w:ascii="Times New Roman" w:hAnsi="Times New Roman"/>
          <w:i/>
          <w:iCs/>
          <w:sz w:val="24"/>
        </w:rPr>
        <w:t xml:space="preserve">Darnia-Wilson </w:t>
      </w:r>
      <w:r w:rsidRPr="0033317A">
        <w:rPr>
          <w:rFonts w:ascii="Times New Roman" w:hAnsi="Times New Roman"/>
          <w:sz w:val="24"/>
        </w:rPr>
        <w:t>[2022] FCAFC 28 at [14]-[18], [23]</w:t>
      </w:r>
      <w:r>
        <w:rPr>
          <w:rFonts w:ascii="Times New Roman" w:hAnsi="Times New Roman"/>
          <w:sz w:val="24"/>
        </w:rPr>
        <w:noBreakHyphen/>
      </w:r>
      <w:r w:rsidRPr="0033317A">
        <w:rPr>
          <w:rFonts w:ascii="Times New Roman" w:hAnsi="Times New Roman"/>
          <w:sz w:val="24"/>
        </w:rPr>
        <w:t>[32], [46]-[49].</w:t>
      </w:r>
    </w:p>
  </w:footnote>
  <w:footnote w:id="131">
    <w:p w14:paraId="52686B60"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Mynott </w:t>
      </w:r>
      <w:r w:rsidRPr="0033317A">
        <w:rPr>
          <w:rFonts w:ascii="Times New Roman" w:hAnsi="Times New Roman"/>
          <w:sz w:val="24"/>
        </w:rPr>
        <w:t xml:space="preserve">(1939) 62 CLR 68 at 75. See also </w:t>
      </w:r>
      <w:r w:rsidRPr="0033317A">
        <w:rPr>
          <w:rFonts w:ascii="Times New Roman" w:hAnsi="Times New Roman"/>
          <w:i/>
          <w:iCs/>
          <w:sz w:val="24"/>
        </w:rPr>
        <w:t xml:space="preserve">R v Foster; Ex parte Eastern and Australian Steamship Co Ltd </w:t>
      </w:r>
      <w:r w:rsidRPr="0033317A">
        <w:rPr>
          <w:rFonts w:ascii="Times New Roman" w:hAnsi="Times New Roman"/>
          <w:sz w:val="24"/>
        </w:rPr>
        <w:t xml:space="preserve">(1959) 103 CLR 256 at 275. </w:t>
      </w:r>
    </w:p>
  </w:footnote>
  <w:footnote w:id="132">
    <w:p w14:paraId="0AEC23A9"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See, eg, </w:t>
      </w:r>
      <w:r w:rsidRPr="0033317A">
        <w:rPr>
          <w:rFonts w:ascii="Times New Roman" w:hAnsi="Times New Roman"/>
          <w:i/>
          <w:sz w:val="24"/>
        </w:rPr>
        <w:t xml:space="preserve">Mynott </w:t>
      </w:r>
      <w:r w:rsidRPr="0033317A">
        <w:rPr>
          <w:rFonts w:ascii="Times New Roman" w:hAnsi="Times New Roman"/>
          <w:sz w:val="24"/>
        </w:rPr>
        <w:t xml:space="preserve">(1939) 62 CLR 68 at 73, 75-77, 86; </w:t>
      </w:r>
      <w:r w:rsidRPr="0033317A">
        <w:rPr>
          <w:rFonts w:ascii="Times New Roman" w:hAnsi="Times New Roman"/>
          <w:i/>
          <w:sz w:val="24"/>
        </w:rPr>
        <w:t>DRJ</w:t>
      </w:r>
      <w:r w:rsidRPr="0033317A">
        <w:rPr>
          <w:rFonts w:ascii="Times New Roman" w:hAnsi="Times New Roman"/>
          <w:sz w:val="24"/>
        </w:rPr>
        <w:t xml:space="preserve"> (2020) 103 NSWLR 692 at 733 [158], 736-737 [180]-[184]. </w:t>
      </w:r>
    </w:p>
  </w:footnote>
  <w:footnote w:id="133">
    <w:p w14:paraId="2020BF72"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See, eg, </w:t>
      </w:r>
      <w:r w:rsidRPr="0033317A">
        <w:rPr>
          <w:rFonts w:ascii="Times New Roman" w:hAnsi="Times New Roman"/>
          <w:i/>
          <w:sz w:val="24"/>
        </w:rPr>
        <w:t xml:space="preserve">Infosys Technologies </w:t>
      </w:r>
      <w:r w:rsidRPr="0033317A">
        <w:rPr>
          <w:rFonts w:ascii="Times New Roman" w:hAnsi="Times New Roman"/>
          <w:sz w:val="24"/>
        </w:rPr>
        <w:t>(2021) 64 VR 61 at 63-64 [2]-[7], 68 [28], 70-71 [38]</w:t>
      </w:r>
      <w:r>
        <w:rPr>
          <w:rFonts w:ascii="Times New Roman" w:hAnsi="Times New Roman"/>
          <w:sz w:val="24"/>
        </w:rPr>
        <w:noBreakHyphen/>
      </w:r>
      <w:r w:rsidRPr="0033317A">
        <w:rPr>
          <w:rFonts w:ascii="Times New Roman" w:hAnsi="Times New Roman"/>
          <w:sz w:val="24"/>
        </w:rPr>
        <w:t xml:space="preserve">[39], 72 [44]-[45]. </w:t>
      </w:r>
      <w:r w:rsidRPr="0033317A">
        <w:rPr>
          <w:rFonts w:ascii="Times New Roman" w:hAnsi="Times New Roman"/>
          <w:i/>
          <w:sz w:val="24"/>
        </w:rPr>
        <w:t xml:space="preserve"> </w:t>
      </w:r>
    </w:p>
  </w:footnote>
  <w:footnote w:id="134">
    <w:p w14:paraId="235D42F8"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b/>
          <w:sz w:val="24"/>
        </w:rPr>
        <w:tab/>
      </w:r>
      <w:r w:rsidRPr="0033317A">
        <w:rPr>
          <w:rFonts w:ascii="Times New Roman" w:hAnsi="Times New Roman"/>
          <w:i/>
          <w:sz w:val="24"/>
        </w:rPr>
        <w:t xml:space="preserve">Tabcorp Holdings Ltd v Victoria </w:t>
      </w:r>
      <w:r w:rsidRPr="0033317A">
        <w:rPr>
          <w:rFonts w:ascii="Times New Roman" w:hAnsi="Times New Roman"/>
          <w:sz w:val="24"/>
        </w:rPr>
        <w:t xml:space="preserve">(2016) 90 ALJR 376 at 387 [65]; 328 ALR 375 at 388-389; </w:t>
      </w:r>
      <w:r w:rsidRPr="0033317A">
        <w:rPr>
          <w:rFonts w:ascii="Times New Roman" w:hAnsi="Times New Roman"/>
          <w:i/>
          <w:sz w:val="24"/>
        </w:rPr>
        <w:t xml:space="preserve">Mondelez Australia Pty Ltd v Automotive, Food, Metals, Engineering, Printing and Kindred Industries Union </w:t>
      </w:r>
      <w:r w:rsidRPr="0033317A">
        <w:rPr>
          <w:rFonts w:ascii="Times New Roman" w:hAnsi="Times New Roman"/>
          <w:sz w:val="24"/>
        </w:rPr>
        <w:t xml:space="preserve">(2020) 94 ALJR 818 at 838 [95]; 381 ALR 601 at 625. </w:t>
      </w:r>
    </w:p>
  </w:footnote>
  <w:footnote w:id="135">
    <w:p w14:paraId="4BDEF3AB"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Mobil Oil </w:t>
      </w:r>
      <w:r w:rsidRPr="0033317A">
        <w:rPr>
          <w:rFonts w:ascii="Times New Roman" w:hAnsi="Times New Roman"/>
          <w:sz w:val="24"/>
        </w:rPr>
        <w:t xml:space="preserve">(2002) 211 CLR 1 at 22 [6]. </w:t>
      </w:r>
    </w:p>
  </w:footnote>
  <w:footnote w:id="136">
    <w:p w14:paraId="4336BD37"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r>
      <w:r w:rsidRPr="0033317A">
        <w:rPr>
          <w:rFonts w:ascii="Times New Roman" w:hAnsi="Times New Roman"/>
          <w:i/>
          <w:sz w:val="24"/>
        </w:rPr>
        <w:t xml:space="preserve">Wong </w:t>
      </w:r>
      <w:r w:rsidRPr="0033317A">
        <w:rPr>
          <w:rFonts w:ascii="Times New Roman" w:hAnsi="Times New Roman"/>
          <w:sz w:val="24"/>
        </w:rPr>
        <w:t xml:space="preserve">(1999) 199 CLR 255 at 267 [28]. See also </w:t>
      </w:r>
      <w:r w:rsidRPr="0033317A">
        <w:rPr>
          <w:rFonts w:ascii="Times New Roman" w:hAnsi="Times New Roman"/>
          <w:i/>
          <w:sz w:val="24"/>
        </w:rPr>
        <w:t xml:space="preserve">Wigmans </w:t>
      </w:r>
      <w:r w:rsidRPr="0033317A">
        <w:rPr>
          <w:rFonts w:ascii="Times New Roman" w:hAnsi="Times New Roman"/>
          <w:sz w:val="24"/>
        </w:rPr>
        <w:t xml:space="preserve">(2021) 270 CLR 623 at 655-656 [77], discussing Pt 10 of the </w:t>
      </w:r>
      <w:r w:rsidRPr="0033317A">
        <w:rPr>
          <w:rFonts w:ascii="Times New Roman" w:hAnsi="Times New Roman"/>
          <w:i/>
          <w:sz w:val="24"/>
        </w:rPr>
        <w:t xml:space="preserve">Civil Procedure Act 2005 </w:t>
      </w:r>
      <w:r w:rsidRPr="0033317A">
        <w:rPr>
          <w:rFonts w:ascii="Times New Roman" w:hAnsi="Times New Roman"/>
          <w:iCs/>
          <w:sz w:val="24"/>
        </w:rPr>
        <w:t>(NSW)</w:t>
      </w:r>
      <w:r w:rsidRPr="0033317A">
        <w:rPr>
          <w:rFonts w:ascii="Times New Roman" w:hAnsi="Times New Roman"/>
          <w:i/>
          <w:sz w:val="24"/>
        </w:rPr>
        <w:t xml:space="preserve"> </w:t>
      </w:r>
      <w:r w:rsidRPr="0033317A">
        <w:rPr>
          <w:rFonts w:ascii="Times New Roman" w:hAnsi="Times New Roman"/>
          <w:sz w:val="24"/>
        </w:rPr>
        <w:t>(the</w:t>
      </w:r>
      <w:r>
        <w:rPr>
          <w:rFonts w:ascii="Times New Roman" w:hAnsi="Times New Roman"/>
          <w:sz w:val="24"/>
        </w:rPr>
        <w:t> </w:t>
      </w:r>
      <w:r w:rsidRPr="0033317A">
        <w:rPr>
          <w:rFonts w:ascii="Times New Roman" w:hAnsi="Times New Roman"/>
          <w:sz w:val="24"/>
        </w:rPr>
        <w:t xml:space="preserve">equivalent to Pt IVA). </w:t>
      </w:r>
    </w:p>
  </w:footnote>
  <w:footnote w:id="137">
    <w:p w14:paraId="2605B582"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Australia, House of Representatives, </w:t>
      </w:r>
      <w:r w:rsidRPr="0033317A">
        <w:rPr>
          <w:rFonts w:ascii="Times New Roman" w:hAnsi="Times New Roman"/>
          <w:i/>
          <w:sz w:val="24"/>
        </w:rPr>
        <w:t xml:space="preserve">Parliamentary Debates </w:t>
      </w:r>
      <w:r w:rsidRPr="0033317A">
        <w:rPr>
          <w:rFonts w:ascii="Times New Roman" w:hAnsi="Times New Roman"/>
          <w:sz w:val="24"/>
        </w:rPr>
        <w:t>(Hansard), 14</w:t>
      </w:r>
      <w:r>
        <w:rPr>
          <w:rFonts w:ascii="Times New Roman" w:hAnsi="Times New Roman"/>
          <w:sz w:val="24"/>
        </w:rPr>
        <w:t> </w:t>
      </w:r>
      <w:r w:rsidRPr="0033317A">
        <w:rPr>
          <w:rFonts w:ascii="Times New Roman" w:hAnsi="Times New Roman"/>
          <w:sz w:val="24"/>
        </w:rPr>
        <w:t xml:space="preserve">November 1991 at 3174–3175. </w:t>
      </w:r>
    </w:p>
  </w:footnote>
  <w:footnote w:id="138">
    <w:p w14:paraId="4410FD7D"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Australian Law Reform Commission, </w:t>
      </w:r>
      <w:r w:rsidRPr="0033317A">
        <w:rPr>
          <w:rFonts w:ascii="Times New Roman" w:hAnsi="Times New Roman"/>
          <w:i/>
          <w:sz w:val="24"/>
        </w:rPr>
        <w:t>Grouped Proceedings in the Federal Court</w:t>
      </w:r>
      <w:r w:rsidRPr="0033317A">
        <w:rPr>
          <w:rFonts w:ascii="Times New Roman" w:hAnsi="Times New Roman"/>
          <w:iCs/>
          <w:sz w:val="24"/>
        </w:rPr>
        <w:t>,</w:t>
      </w:r>
      <w:r w:rsidRPr="0033317A">
        <w:rPr>
          <w:rFonts w:ascii="Times New Roman" w:hAnsi="Times New Roman"/>
          <w:i/>
          <w:sz w:val="24"/>
        </w:rPr>
        <w:t xml:space="preserve"> </w:t>
      </w:r>
      <w:r w:rsidRPr="0033317A">
        <w:rPr>
          <w:rFonts w:ascii="Times New Roman" w:hAnsi="Times New Roman"/>
          <w:sz w:val="24"/>
        </w:rPr>
        <w:t xml:space="preserve">Report No 46 (1988) at 44 [92], see also 24 [57]. </w:t>
      </w:r>
    </w:p>
  </w:footnote>
  <w:footnote w:id="139">
    <w:p w14:paraId="5AD98644" w14:textId="77777777" w:rsidR="003C391D" w:rsidRPr="0033317A" w:rsidRDefault="003C391D" w:rsidP="0033317A">
      <w:pPr>
        <w:pStyle w:val="FootnoteText"/>
        <w:spacing w:line="280" w:lineRule="exact"/>
        <w:ind w:right="0"/>
        <w:jc w:val="both"/>
        <w:rPr>
          <w:rFonts w:ascii="Times New Roman" w:hAnsi="Times New Roman"/>
          <w:sz w:val="24"/>
        </w:rPr>
      </w:pPr>
      <w:r w:rsidRPr="0033317A">
        <w:rPr>
          <w:rStyle w:val="FootnoteReference"/>
          <w:rFonts w:ascii="Times New Roman" w:hAnsi="Times New Roman"/>
          <w:sz w:val="22"/>
          <w:vertAlign w:val="baseline"/>
        </w:rPr>
        <w:footnoteRef/>
      </w:r>
      <w:r w:rsidRPr="0033317A">
        <w:rPr>
          <w:rFonts w:ascii="Times New Roman" w:hAnsi="Times New Roman"/>
          <w:sz w:val="24"/>
        </w:rPr>
        <w:t xml:space="preserve"> </w:t>
      </w:r>
      <w:r w:rsidRPr="0033317A">
        <w:rPr>
          <w:rFonts w:ascii="Times New Roman" w:hAnsi="Times New Roman"/>
          <w:sz w:val="24"/>
        </w:rPr>
        <w:tab/>
        <w:t xml:space="preserve">Mulheron, "Asserting personal jurisdiction over non-resident class members: comparative insights for the United Kingdom" (2019) 15 </w:t>
      </w:r>
      <w:r w:rsidRPr="0033317A">
        <w:rPr>
          <w:rFonts w:ascii="Times New Roman" w:hAnsi="Times New Roman"/>
          <w:i/>
          <w:sz w:val="24"/>
        </w:rPr>
        <w:t>Journal of Private International Law</w:t>
      </w:r>
      <w:r w:rsidRPr="0033317A">
        <w:rPr>
          <w:rFonts w:ascii="Times New Roman" w:hAnsi="Times New Roman"/>
          <w:sz w:val="24"/>
        </w:rPr>
        <w:t xml:space="preserve"> 445 at 452</w:t>
      </w:r>
      <w:r w:rsidRPr="0033317A">
        <w:rPr>
          <w:rFonts w:ascii="Times New Roman" w:hAnsi="Times New Roman"/>
          <w:sz w:val="24"/>
        </w:rPr>
        <w:noBreakHyphen/>
        <w:t>455.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3206" w14:textId="77777777" w:rsidR="007954B9" w:rsidRPr="00FA37F7" w:rsidRDefault="007954B9" w:rsidP="00FA37F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C9D8" w14:textId="77777777" w:rsidR="003C391D" w:rsidRPr="003C391D" w:rsidRDefault="003C391D" w:rsidP="003C3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A2D1" w14:textId="0C4EBD40" w:rsidR="007954B9" w:rsidRPr="00FA37F7" w:rsidRDefault="00FA37F7" w:rsidP="00FA37F7">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B9BD" w14:textId="40643ADB" w:rsidR="00571105" w:rsidRPr="00FA37F7" w:rsidRDefault="00571105" w:rsidP="00FA37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D84A" w14:textId="77777777" w:rsidR="00FA37F7" w:rsidRPr="007954B9" w:rsidRDefault="00FA37F7" w:rsidP="007954B9">
    <w:pPr>
      <w:pStyle w:val="Header"/>
      <w:tabs>
        <w:tab w:val="clear" w:pos="4153"/>
        <w:tab w:val="clear" w:pos="8306"/>
        <w:tab w:val="right" w:pos="1304"/>
      </w:tabs>
      <w:spacing w:line="280" w:lineRule="exact"/>
      <w:ind w:firstLine="0"/>
      <w:rPr>
        <w:rFonts w:ascii="Times New Roman" w:hAnsi="Times New Roman"/>
        <w:i/>
        <w:sz w:val="22"/>
      </w:rPr>
    </w:pPr>
    <w:r w:rsidRPr="007954B9">
      <w:rPr>
        <w:rFonts w:ascii="Times New Roman" w:hAnsi="Times New Roman"/>
        <w:i/>
        <w:sz w:val="22"/>
      </w:rPr>
      <w:t>Kiefel</w:t>
    </w:r>
    <w:r w:rsidRPr="007954B9">
      <w:rPr>
        <w:rFonts w:ascii="Times New Roman" w:hAnsi="Times New Roman"/>
        <w:i/>
        <w:sz w:val="22"/>
      </w:rPr>
      <w:tab/>
      <w:t>CJ</w:t>
    </w:r>
  </w:p>
  <w:p w14:paraId="6DF35BD5" w14:textId="77777777" w:rsidR="00FA37F7" w:rsidRDefault="00FA37F7" w:rsidP="007954B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2C16E920" w14:textId="77777777" w:rsidR="00FA37F7" w:rsidRDefault="00FA37F7" w:rsidP="007954B9">
    <w:pPr>
      <w:pStyle w:val="Header"/>
      <w:tabs>
        <w:tab w:val="clear" w:pos="4153"/>
        <w:tab w:val="clear" w:pos="8306"/>
        <w:tab w:val="right" w:pos="1304"/>
      </w:tabs>
      <w:spacing w:line="280" w:lineRule="exact"/>
      <w:ind w:firstLine="0"/>
      <w:rPr>
        <w:rFonts w:ascii="Times New Roman" w:hAnsi="Times New Roman"/>
        <w:i/>
        <w:sz w:val="22"/>
      </w:rPr>
    </w:pPr>
  </w:p>
  <w:p w14:paraId="05FA3616" w14:textId="77777777" w:rsidR="00FA37F7" w:rsidRDefault="00FA37F7" w:rsidP="007954B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AF9AC14" w14:textId="77777777" w:rsidR="00FA37F7" w:rsidRPr="007954B9" w:rsidRDefault="00FA37F7" w:rsidP="007954B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1B2A" w14:textId="77777777" w:rsidR="00FA37F7" w:rsidRPr="007954B9" w:rsidRDefault="00FA37F7" w:rsidP="007954B9">
    <w:pPr>
      <w:pStyle w:val="Header"/>
      <w:tabs>
        <w:tab w:val="clear" w:pos="4153"/>
        <w:tab w:val="clear" w:pos="8306"/>
        <w:tab w:val="left" w:pos="7200"/>
        <w:tab w:val="right" w:pos="8504"/>
      </w:tabs>
      <w:spacing w:line="280" w:lineRule="exact"/>
      <w:jc w:val="right"/>
      <w:rPr>
        <w:rFonts w:ascii="Times New Roman" w:hAnsi="Times New Roman"/>
        <w:i/>
        <w:sz w:val="22"/>
      </w:rPr>
    </w:pPr>
    <w:r w:rsidRPr="007954B9">
      <w:rPr>
        <w:rFonts w:ascii="Times New Roman" w:hAnsi="Times New Roman"/>
        <w:i/>
        <w:sz w:val="22"/>
      </w:rPr>
      <w:tab/>
      <w:t>Kiefel</w:t>
    </w:r>
    <w:r w:rsidRPr="007954B9">
      <w:rPr>
        <w:rFonts w:ascii="Times New Roman" w:hAnsi="Times New Roman"/>
        <w:i/>
        <w:sz w:val="22"/>
      </w:rPr>
      <w:tab/>
      <w:t>CJ</w:t>
    </w:r>
  </w:p>
  <w:p w14:paraId="2273D7A0" w14:textId="77777777" w:rsidR="00FA37F7" w:rsidRDefault="00FA37F7" w:rsidP="007954B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5123E5E6" w14:textId="77777777" w:rsidR="00FA37F7" w:rsidRDefault="00FA37F7" w:rsidP="007954B9">
    <w:pPr>
      <w:pStyle w:val="Header"/>
      <w:tabs>
        <w:tab w:val="clear" w:pos="4153"/>
        <w:tab w:val="clear" w:pos="8306"/>
        <w:tab w:val="left" w:pos="7200"/>
        <w:tab w:val="right" w:pos="8504"/>
      </w:tabs>
      <w:spacing w:line="280" w:lineRule="exact"/>
      <w:jc w:val="right"/>
      <w:rPr>
        <w:rFonts w:ascii="Times New Roman" w:hAnsi="Times New Roman"/>
        <w:i/>
        <w:sz w:val="22"/>
      </w:rPr>
    </w:pPr>
  </w:p>
  <w:p w14:paraId="69377B0C" w14:textId="77777777" w:rsidR="00FA37F7" w:rsidRDefault="00FA37F7" w:rsidP="007954B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0787B0A" w14:textId="77777777" w:rsidR="00FA37F7" w:rsidRPr="007954B9" w:rsidRDefault="00FA37F7" w:rsidP="007954B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B47F" w14:textId="77777777" w:rsidR="00FA37F7" w:rsidRDefault="00FA37F7" w:rsidP="007954B9">
    <w:pPr>
      <w:pStyle w:val="Header"/>
      <w:tabs>
        <w:tab w:val="clear" w:pos="4153"/>
        <w:tab w:val="clear" w:pos="8306"/>
        <w:tab w:val="center" w:pos="1134"/>
      </w:tabs>
      <w:spacing w:line="280" w:lineRule="exact"/>
      <w:ind w:firstLine="0"/>
      <w:rPr>
        <w:rFonts w:ascii="Times New Roman" w:hAnsi="Times New Roman"/>
        <w:i/>
        <w:sz w:val="22"/>
      </w:rPr>
    </w:pPr>
  </w:p>
  <w:p w14:paraId="3D643737" w14:textId="77777777" w:rsidR="00FA37F7" w:rsidRDefault="00FA37F7" w:rsidP="007954B9">
    <w:pPr>
      <w:pStyle w:val="Header"/>
      <w:tabs>
        <w:tab w:val="clear" w:pos="4153"/>
        <w:tab w:val="clear" w:pos="8306"/>
        <w:tab w:val="center" w:pos="1134"/>
      </w:tabs>
      <w:spacing w:line="280" w:lineRule="exact"/>
      <w:ind w:firstLine="0"/>
      <w:rPr>
        <w:rFonts w:ascii="Times New Roman" w:hAnsi="Times New Roman"/>
        <w:i/>
        <w:sz w:val="22"/>
      </w:rPr>
    </w:pPr>
  </w:p>
  <w:p w14:paraId="48A712F8" w14:textId="77777777" w:rsidR="00FA37F7" w:rsidRDefault="00FA37F7" w:rsidP="007954B9">
    <w:pPr>
      <w:pStyle w:val="Header"/>
      <w:tabs>
        <w:tab w:val="clear" w:pos="4153"/>
        <w:tab w:val="clear" w:pos="8306"/>
        <w:tab w:val="center" w:pos="1134"/>
      </w:tabs>
      <w:spacing w:line="280" w:lineRule="exact"/>
      <w:ind w:firstLine="0"/>
      <w:rPr>
        <w:rFonts w:ascii="Times New Roman" w:hAnsi="Times New Roman"/>
        <w:i/>
        <w:sz w:val="22"/>
      </w:rPr>
    </w:pPr>
  </w:p>
  <w:p w14:paraId="4C8F93B4" w14:textId="77777777" w:rsidR="00FA37F7" w:rsidRDefault="00FA37F7" w:rsidP="007954B9">
    <w:pPr>
      <w:pStyle w:val="Header"/>
      <w:tabs>
        <w:tab w:val="clear" w:pos="4153"/>
        <w:tab w:val="clear" w:pos="8306"/>
        <w:tab w:val="center" w:pos="1134"/>
      </w:tabs>
      <w:spacing w:line="280" w:lineRule="exact"/>
      <w:ind w:firstLine="0"/>
      <w:rPr>
        <w:rFonts w:ascii="Times New Roman" w:hAnsi="Times New Roman"/>
        <w:i/>
        <w:sz w:val="22"/>
      </w:rPr>
    </w:pPr>
  </w:p>
  <w:p w14:paraId="3B22318A" w14:textId="77777777" w:rsidR="00FA37F7" w:rsidRPr="007954B9" w:rsidRDefault="00FA37F7" w:rsidP="007954B9">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C115" w14:textId="77777777" w:rsidR="0033317A" w:rsidRPr="0033317A" w:rsidRDefault="003C391D" w:rsidP="0033317A">
    <w:pPr>
      <w:pStyle w:val="Header"/>
      <w:tabs>
        <w:tab w:val="clear" w:pos="4153"/>
        <w:tab w:val="clear" w:pos="8306"/>
        <w:tab w:val="right" w:pos="1304"/>
      </w:tabs>
      <w:spacing w:line="280" w:lineRule="exact"/>
      <w:ind w:firstLine="0"/>
      <w:rPr>
        <w:rFonts w:ascii="Times New Roman" w:hAnsi="Times New Roman"/>
        <w:i/>
        <w:sz w:val="22"/>
      </w:rPr>
    </w:pPr>
    <w:r w:rsidRPr="0033317A">
      <w:rPr>
        <w:rFonts w:ascii="Times New Roman" w:hAnsi="Times New Roman"/>
        <w:i/>
        <w:sz w:val="22"/>
      </w:rPr>
      <w:t>Gordon</w:t>
    </w:r>
    <w:r w:rsidRPr="0033317A">
      <w:rPr>
        <w:rFonts w:ascii="Times New Roman" w:hAnsi="Times New Roman"/>
        <w:i/>
        <w:sz w:val="22"/>
      </w:rPr>
      <w:tab/>
      <w:t>J</w:t>
    </w:r>
  </w:p>
  <w:p w14:paraId="45FC2F6D" w14:textId="77777777" w:rsidR="0033317A" w:rsidRPr="0033317A" w:rsidRDefault="003C391D" w:rsidP="0033317A">
    <w:pPr>
      <w:pStyle w:val="Header"/>
      <w:tabs>
        <w:tab w:val="clear" w:pos="4153"/>
        <w:tab w:val="clear" w:pos="8306"/>
        <w:tab w:val="right" w:pos="1304"/>
      </w:tabs>
      <w:spacing w:line="280" w:lineRule="exact"/>
      <w:ind w:firstLine="0"/>
      <w:rPr>
        <w:rFonts w:ascii="Times New Roman" w:hAnsi="Times New Roman"/>
        <w:i/>
        <w:sz w:val="22"/>
      </w:rPr>
    </w:pPr>
    <w:r w:rsidRPr="0033317A">
      <w:rPr>
        <w:rFonts w:ascii="Times New Roman" w:hAnsi="Times New Roman"/>
        <w:i/>
        <w:sz w:val="22"/>
      </w:rPr>
      <w:t>Edelman</w:t>
    </w:r>
    <w:r w:rsidRPr="0033317A">
      <w:rPr>
        <w:rFonts w:ascii="Times New Roman" w:hAnsi="Times New Roman"/>
        <w:i/>
        <w:sz w:val="22"/>
      </w:rPr>
      <w:tab/>
      <w:t>J</w:t>
    </w:r>
  </w:p>
  <w:p w14:paraId="76B4388B" w14:textId="77777777" w:rsidR="0033317A" w:rsidRDefault="003C391D" w:rsidP="0033317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AEA256D" w14:textId="77777777" w:rsidR="0033317A" w:rsidRDefault="00E55316" w:rsidP="0033317A">
    <w:pPr>
      <w:pStyle w:val="Header"/>
      <w:tabs>
        <w:tab w:val="clear" w:pos="4153"/>
        <w:tab w:val="clear" w:pos="8306"/>
        <w:tab w:val="right" w:pos="1304"/>
      </w:tabs>
      <w:spacing w:line="280" w:lineRule="exact"/>
      <w:ind w:firstLine="0"/>
      <w:rPr>
        <w:rFonts w:ascii="Times New Roman" w:hAnsi="Times New Roman"/>
        <w:i/>
        <w:sz w:val="22"/>
      </w:rPr>
    </w:pPr>
  </w:p>
  <w:p w14:paraId="03AACD66" w14:textId="77777777" w:rsidR="0033317A" w:rsidRDefault="003C391D" w:rsidP="0033317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A966CD7" w14:textId="77777777" w:rsidR="0033317A" w:rsidRPr="0033317A" w:rsidRDefault="00E55316" w:rsidP="0033317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4156" w14:textId="77777777" w:rsidR="0033317A" w:rsidRPr="0033317A" w:rsidRDefault="003C391D" w:rsidP="0033317A">
    <w:pPr>
      <w:pStyle w:val="Header"/>
      <w:tabs>
        <w:tab w:val="clear" w:pos="4153"/>
        <w:tab w:val="clear" w:pos="8306"/>
        <w:tab w:val="left" w:pos="7200"/>
        <w:tab w:val="right" w:pos="8504"/>
      </w:tabs>
      <w:spacing w:line="280" w:lineRule="exact"/>
      <w:jc w:val="right"/>
      <w:rPr>
        <w:rFonts w:ascii="Times New Roman" w:hAnsi="Times New Roman"/>
        <w:i/>
        <w:sz w:val="22"/>
      </w:rPr>
    </w:pPr>
    <w:r w:rsidRPr="0033317A">
      <w:rPr>
        <w:rFonts w:ascii="Times New Roman" w:hAnsi="Times New Roman"/>
        <w:i/>
        <w:sz w:val="22"/>
      </w:rPr>
      <w:tab/>
      <w:t>Gordon</w:t>
    </w:r>
    <w:r w:rsidRPr="0033317A">
      <w:rPr>
        <w:rFonts w:ascii="Times New Roman" w:hAnsi="Times New Roman"/>
        <w:i/>
        <w:sz w:val="22"/>
      </w:rPr>
      <w:tab/>
      <w:t>J</w:t>
    </w:r>
  </w:p>
  <w:p w14:paraId="17736FBD" w14:textId="77777777" w:rsidR="0033317A" w:rsidRPr="0033317A" w:rsidRDefault="003C391D" w:rsidP="0033317A">
    <w:pPr>
      <w:pStyle w:val="Header"/>
      <w:tabs>
        <w:tab w:val="clear" w:pos="4153"/>
        <w:tab w:val="clear" w:pos="8306"/>
        <w:tab w:val="left" w:pos="7200"/>
        <w:tab w:val="right" w:pos="8504"/>
      </w:tabs>
      <w:spacing w:line="280" w:lineRule="exact"/>
      <w:jc w:val="right"/>
      <w:rPr>
        <w:rFonts w:ascii="Times New Roman" w:hAnsi="Times New Roman"/>
        <w:i/>
        <w:sz w:val="22"/>
      </w:rPr>
    </w:pPr>
    <w:r w:rsidRPr="0033317A">
      <w:rPr>
        <w:rFonts w:ascii="Times New Roman" w:hAnsi="Times New Roman"/>
        <w:i/>
        <w:sz w:val="22"/>
      </w:rPr>
      <w:tab/>
      <w:t>Edelman</w:t>
    </w:r>
    <w:r w:rsidRPr="0033317A">
      <w:rPr>
        <w:rFonts w:ascii="Times New Roman" w:hAnsi="Times New Roman"/>
        <w:i/>
        <w:sz w:val="22"/>
      </w:rPr>
      <w:tab/>
      <w:t>J</w:t>
    </w:r>
  </w:p>
  <w:p w14:paraId="429263ED" w14:textId="77777777" w:rsidR="0033317A" w:rsidRDefault="003C391D" w:rsidP="0033317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051052C5" w14:textId="77777777" w:rsidR="0033317A" w:rsidRDefault="00E55316" w:rsidP="0033317A">
    <w:pPr>
      <w:pStyle w:val="Header"/>
      <w:tabs>
        <w:tab w:val="clear" w:pos="4153"/>
        <w:tab w:val="clear" w:pos="8306"/>
        <w:tab w:val="left" w:pos="7200"/>
        <w:tab w:val="right" w:pos="8504"/>
      </w:tabs>
      <w:spacing w:line="280" w:lineRule="exact"/>
      <w:jc w:val="right"/>
      <w:rPr>
        <w:rFonts w:ascii="Times New Roman" w:hAnsi="Times New Roman"/>
        <w:i/>
        <w:sz w:val="22"/>
      </w:rPr>
    </w:pPr>
  </w:p>
  <w:p w14:paraId="5E43F09C" w14:textId="77777777" w:rsidR="0033317A" w:rsidRDefault="003C391D" w:rsidP="0033317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F726E7B" w14:textId="77777777" w:rsidR="0033317A" w:rsidRPr="0033317A" w:rsidRDefault="00E55316" w:rsidP="0033317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D103" w14:textId="77777777" w:rsidR="0033317A" w:rsidRDefault="00E55316" w:rsidP="0033317A">
    <w:pPr>
      <w:pStyle w:val="Header"/>
      <w:tabs>
        <w:tab w:val="clear" w:pos="4153"/>
        <w:tab w:val="clear" w:pos="8306"/>
        <w:tab w:val="center" w:pos="1134"/>
      </w:tabs>
      <w:spacing w:line="280" w:lineRule="exact"/>
      <w:ind w:firstLine="0"/>
      <w:rPr>
        <w:rFonts w:ascii="Times New Roman" w:hAnsi="Times New Roman"/>
        <w:i/>
        <w:sz w:val="22"/>
      </w:rPr>
    </w:pPr>
  </w:p>
  <w:p w14:paraId="036822C8" w14:textId="77777777" w:rsidR="0033317A" w:rsidRDefault="00E55316" w:rsidP="0033317A">
    <w:pPr>
      <w:pStyle w:val="Header"/>
      <w:tabs>
        <w:tab w:val="clear" w:pos="4153"/>
        <w:tab w:val="clear" w:pos="8306"/>
        <w:tab w:val="center" w:pos="1134"/>
      </w:tabs>
      <w:spacing w:line="280" w:lineRule="exact"/>
      <w:ind w:firstLine="0"/>
      <w:rPr>
        <w:rFonts w:ascii="Times New Roman" w:hAnsi="Times New Roman"/>
        <w:i/>
        <w:sz w:val="22"/>
      </w:rPr>
    </w:pPr>
  </w:p>
  <w:p w14:paraId="4D0AF918" w14:textId="77777777" w:rsidR="0033317A" w:rsidRDefault="00E55316" w:rsidP="0033317A">
    <w:pPr>
      <w:pStyle w:val="Header"/>
      <w:tabs>
        <w:tab w:val="clear" w:pos="4153"/>
        <w:tab w:val="clear" w:pos="8306"/>
        <w:tab w:val="center" w:pos="1134"/>
      </w:tabs>
      <w:spacing w:line="280" w:lineRule="exact"/>
      <w:ind w:firstLine="0"/>
      <w:rPr>
        <w:rFonts w:ascii="Times New Roman" w:hAnsi="Times New Roman"/>
        <w:i/>
        <w:sz w:val="22"/>
      </w:rPr>
    </w:pPr>
  </w:p>
  <w:p w14:paraId="3902EE87" w14:textId="77777777" w:rsidR="0033317A" w:rsidRDefault="00E55316" w:rsidP="0033317A">
    <w:pPr>
      <w:pStyle w:val="Header"/>
      <w:tabs>
        <w:tab w:val="clear" w:pos="4153"/>
        <w:tab w:val="clear" w:pos="8306"/>
        <w:tab w:val="center" w:pos="1134"/>
      </w:tabs>
      <w:spacing w:line="280" w:lineRule="exact"/>
      <w:ind w:firstLine="0"/>
      <w:rPr>
        <w:rFonts w:ascii="Times New Roman" w:hAnsi="Times New Roman"/>
        <w:i/>
        <w:sz w:val="22"/>
      </w:rPr>
    </w:pPr>
  </w:p>
  <w:p w14:paraId="40857E98" w14:textId="77777777" w:rsidR="0033317A" w:rsidRDefault="00E55316" w:rsidP="0033317A">
    <w:pPr>
      <w:pStyle w:val="Header"/>
      <w:tabs>
        <w:tab w:val="clear" w:pos="4153"/>
        <w:tab w:val="clear" w:pos="8306"/>
        <w:tab w:val="center" w:pos="1134"/>
      </w:tabs>
      <w:spacing w:line="280" w:lineRule="exact"/>
      <w:ind w:firstLine="0"/>
      <w:rPr>
        <w:rFonts w:ascii="Times New Roman" w:hAnsi="Times New Roman"/>
        <w:i/>
        <w:sz w:val="22"/>
      </w:rPr>
    </w:pPr>
  </w:p>
  <w:p w14:paraId="5C5666FB" w14:textId="77777777" w:rsidR="00AF7F50" w:rsidRPr="0033317A" w:rsidRDefault="00E55316" w:rsidP="0033317A">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0A335E1"/>
    <w:multiLevelType w:val="hybridMultilevel"/>
    <w:tmpl w:val="7EFCFD3C"/>
    <w:lvl w:ilvl="0" w:tplc="0C09000F">
      <w:start w:val="1"/>
      <w:numFmt w:val="decimal"/>
      <w:lvlText w:val="%1."/>
      <w:lvlJc w:val="left"/>
      <w:pPr>
        <w:ind w:left="1509" w:hanging="360"/>
      </w:pPr>
    </w:lvl>
    <w:lvl w:ilvl="1" w:tplc="0C090019" w:tentative="1">
      <w:start w:val="1"/>
      <w:numFmt w:val="lowerLetter"/>
      <w:lvlText w:val="%2."/>
      <w:lvlJc w:val="left"/>
      <w:pPr>
        <w:ind w:left="2229" w:hanging="360"/>
      </w:pPr>
    </w:lvl>
    <w:lvl w:ilvl="2" w:tplc="0C09001B" w:tentative="1">
      <w:start w:val="1"/>
      <w:numFmt w:val="lowerRoman"/>
      <w:lvlText w:val="%3."/>
      <w:lvlJc w:val="right"/>
      <w:pPr>
        <w:ind w:left="2949" w:hanging="180"/>
      </w:pPr>
    </w:lvl>
    <w:lvl w:ilvl="3" w:tplc="0C09000F" w:tentative="1">
      <w:start w:val="1"/>
      <w:numFmt w:val="decimal"/>
      <w:lvlText w:val="%4."/>
      <w:lvlJc w:val="left"/>
      <w:pPr>
        <w:ind w:left="3669" w:hanging="360"/>
      </w:pPr>
    </w:lvl>
    <w:lvl w:ilvl="4" w:tplc="0C090019" w:tentative="1">
      <w:start w:val="1"/>
      <w:numFmt w:val="lowerLetter"/>
      <w:lvlText w:val="%5."/>
      <w:lvlJc w:val="left"/>
      <w:pPr>
        <w:ind w:left="4389" w:hanging="360"/>
      </w:pPr>
    </w:lvl>
    <w:lvl w:ilvl="5" w:tplc="0C09001B" w:tentative="1">
      <w:start w:val="1"/>
      <w:numFmt w:val="lowerRoman"/>
      <w:lvlText w:val="%6."/>
      <w:lvlJc w:val="right"/>
      <w:pPr>
        <w:ind w:left="5109" w:hanging="180"/>
      </w:pPr>
    </w:lvl>
    <w:lvl w:ilvl="6" w:tplc="0C09000F" w:tentative="1">
      <w:start w:val="1"/>
      <w:numFmt w:val="decimal"/>
      <w:lvlText w:val="%7."/>
      <w:lvlJc w:val="left"/>
      <w:pPr>
        <w:ind w:left="5829" w:hanging="360"/>
      </w:pPr>
    </w:lvl>
    <w:lvl w:ilvl="7" w:tplc="0C090019" w:tentative="1">
      <w:start w:val="1"/>
      <w:numFmt w:val="lowerLetter"/>
      <w:lvlText w:val="%8."/>
      <w:lvlJc w:val="left"/>
      <w:pPr>
        <w:ind w:left="6549" w:hanging="360"/>
      </w:pPr>
    </w:lvl>
    <w:lvl w:ilvl="8" w:tplc="0C09001B" w:tentative="1">
      <w:start w:val="1"/>
      <w:numFmt w:val="lowerRoman"/>
      <w:lvlText w:val="%9."/>
      <w:lvlJc w:val="right"/>
      <w:pPr>
        <w:ind w:left="7269"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C457F09"/>
    <w:multiLevelType w:val="multilevel"/>
    <w:tmpl w:val="73BC8EA0"/>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bCs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9" w15:restartNumberingAfterBreak="0">
    <w:nsid w:val="7BCB76D9"/>
    <w:multiLevelType w:val="multilevel"/>
    <w:tmpl w:val="6AB2C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5"/>
  </w:num>
  <w:num w:numId="3">
    <w:abstractNumId w:val="20"/>
  </w:num>
  <w:num w:numId="4">
    <w:abstractNumId w:val="14"/>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1"/>
  </w:num>
  <w:num w:numId="19">
    <w:abstractNumId w:val="11"/>
  </w:num>
  <w:num w:numId="20">
    <w:abstractNumId w:val="19"/>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40"/>
    <w:rsid w:val="00000EBA"/>
    <w:rsid w:val="00001243"/>
    <w:rsid w:val="00001635"/>
    <w:rsid w:val="00001D86"/>
    <w:rsid w:val="00002069"/>
    <w:rsid w:val="00002A80"/>
    <w:rsid w:val="00002CE6"/>
    <w:rsid w:val="00002D97"/>
    <w:rsid w:val="0000316A"/>
    <w:rsid w:val="00004015"/>
    <w:rsid w:val="000049B7"/>
    <w:rsid w:val="00004FEC"/>
    <w:rsid w:val="00005CE8"/>
    <w:rsid w:val="00006510"/>
    <w:rsid w:val="0000781C"/>
    <w:rsid w:val="0001143C"/>
    <w:rsid w:val="000119A1"/>
    <w:rsid w:val="00013A01"/>
    <w:rsid w:val="00014B34"/>
    <w:rsid w:val="00015274"/>
    <w:rsid w:val="00015678"/>
    <w:rsid w:val="00015E7A"/>
    <w:rsid w:val="000168C9"/>
    <w:rsid w:val="00016B71"/>
    <w:rsid w:val="00016C20"/>
    <w:rsid w:val="00016DBB"/>
    <w:rsid w:val="00017144"/>
    <w:rsid w:val="000172D3"/>
    <w:rsid w:val="00017BF4"/>
    <w:rsid w:val="00017DC5"/>
    <w:rsid w:val="00017E59"/>
    <w:rsid w:val="000202EB"/>
    <w:rsid w:val="00020ABF"/>
    <w:rsid w:val="00021C24"/>
    <w:rsid w:val="00021EAF"/>
    <w:rsid w:val="000220B4"/>
    <w:rsid w:val="0002218F"/>
    <w:rsid w:val="00023240"/>
    <w:rsid w:val="000250AF"/>
    <w:rsid w:val="00025490"/>
    <w:rsid w:val="0002561E"/>
    <w:rsid w:val="000268E1"/>
    <w:rsid w:val="00026B59"/>
    <w:rsid w:val="000305F8"/>
    <w:rsid w:val="0003067B"/>
    <w:rsid w:val="00032544"/>
    <w:rsid w:val="00032FAA"/>
    <w:rsid w:val="000333A8"/>
    <w:rsid w:val="000337DB"/>
    <w:rsid w:val="0003575A"/>
    <w:rsid w:val="000360EB"/>
    <w:rsid w:val="0003783B"/>
    <w:rsid w:val="00037A5F"/>
    <w:rsid w:val="00037D87"/>
    <w:rsid w:val="00037DA2"/>
    <w:rsid w:val="00040AB9"/>
    <w:rsid w:val="00040BAA"/>
    <w:rsid w:val="00041CA5"/>
    <w:rsid w:val="000434D7"/>
    <w:rsid w:val="000438EF"/>
    <w:rsid w:val="00043D2C"/>
    <w:rsid w:val="00044508"/>
    <w:rsid w:val="00044D3C"/>
    <w:rsid w:val="00045037"/>
    <w:rsid w:val="00046812"/>
    <w:rsid w:val="00046AD6"/>
    <w:rsid w:val="00050E5A"/>
    <w:rsid w:val="000512F1"/>
    <w:rsid w:val="00051425"/>
    <w:rsid w:val="00051A33"/>
    <w:rsid w:val="00051D49"/>
    <w:rsid w:val="00051EB9"/>
    <w:rsid w:val="00052566"/>
    <w:rsid w:val="0005282C"/>
    <w:rsid w:val="000540F7"/>
    <w:rsid w:val="0005473C"/>
    <w:rsid w:val="00054DE8"/>
    <w:rsid w:val="00055079"/>
    <w:rsid w:val="0005510B"/>
    <w:rsid w:val="00055803"/>
    <w:rsid w:val="00055ACD"/>
    <w:rsid w:val="00055E3E"/>
    <w:rsid w:val="00056F27"/>
    <w:rsid w:val="00056F91"/>
    <w:rsid w:val="000573AF"/>
    <w:rsid w:val="0006126B"/>
    <w:rsid w:val="0006169E"/>
    <w:rsid w:val="000621D4"/>
    <w:rsid w:val="0006241F"/>
    <w:rsid w:val="000625D5"/>
    <w:rsid w:val="000626FD"/>
    <w:rsid w:val="0006432B"/>
    <w:rsid w:val="00064C71"/>
    <w:rsid w:val="00064CB7"/>
    <w:rsid w:val="00064CCD"/>
    <w:rsid w:val="000653D4"/>
    <w:rsid w:val="0006545C"/>
    <w:rsid w:val="0006558B"/>
    <w:rsid w:val="0006581A"/>
    <w:rsid w:val="00066809"/>
    <w:rsid w:val="00067081"/>
    <w:rsid w:val="00070629"/>
    <w:rsid w:val="00071C35"/>
    <w:rsid w:val="00071E74"/>
    <w:rsid w:val="00072376"/>
    <w:rsid w:val="000727CA"/>
    <w:rsid w:val="0007411A"/>
    <w:rsid w:val="00075F50"/>
    <w:rsid w:val="00076190"/>
    <w:rsid w:val="000771F7"/>
    <w:rsid w:val="000775FC"/>
    <w:rsid w:val="00080438"/>
    <w:rsid w:val="000805AF"/>
    <w:rsid w:val="00080D77"/>
    <w:rsid w:val="00080F21"/>
    <w:rsid w:val="000817E8"/>
    <w:rsid w:val="0008308B"/>
    <w:rsid w:val="00083B4D"/>
    <w:rsid w:val="00083D61"/>
    <w:rsid w:val="0008435D"/>
    <w:rsid w:val="000846C9"/>
    <w:rsid w:val="0008482B"/>
    <w:rsid w:val="000849CB"/>
    <w:rsid w:val="0008558C"/>
    <w:rsid w:val="00085C1C"/>
    <w:rsid w:val="00085F13"/>
    <w:rsid w:val="0008744F"/>
    <w:rsid w:val="00087539"/>
    <w:rsid w:val="00087B5F"/>
    <w:rsid w:val="00087E22"/>
    <w:rsid w:val="00090778"/>
    <w:rsid w:val="0009118F"/>
    <w:rsid w:val="000916FF"/>
    <w:rsid w:val="00091A79"/>
    <w:rsid w:val="00092351"/>
    <w:rsid w:val="000928D4"/>
    <w:rsid w:val="000939D4"/>
    <w:rsid w:val="00094202"/>
    <w:rsid w:val="00094271"/>
    <w:rsid w:val="0009529D"/>
    <w:rsid w:val="00096E88"/>
    <w:rsid w:val="00097549"/>
    <w:rsid w:val="00097A03"/>
    <w:rsid w:val="00097C75"/>
    <w:rsid w:val="00097D98"/>
    <w:rsid w:val="000A0B6E"/>
    <w:rsid w:val="000A2449"/>
    <w:rsid w:val="000A2686"/>
    <w:rsid w:val="000A2885"/>
    <w:rsid w:val="000A28D4"/>
    <w:rsid w:val="000A2EB4"/>
    <w:rsid w:val="000A33CD"/>
    <w:rsid w:val="000A3DA3"/>
    <w:rsid w:val="000A3EC4"/>
    <w:rsid w:val="000A5018"/>
    <w:rsid w:val="000A55CD"/>
    <w:rsid w:val="000A60B4"/>
    <w:rsid w:val="000A63C6"/>
    <w:rsid w:val="000A75CB"/>
    <w:rsid w:val="000B0342"/>
    <w:rsid w:val="000B043F"/>
    <w:rsid w:val="000B0CC7"/>
    <w:rsid w:val="000B1042"/>
    <w:rsid w:val="000B10F2"/>
    <w:rsid w:val="000B1BF1"/>
    <w:rsid w:val="000B1FB6"/>
    <w:rsid w:val="000B20D8"/>
    <w:rsid w:val="000B21BD"/>
    <w:rsid w:val="000B2BF0"/>
    <w:rsid w:val="000B3005"/>
    <w:rsid w:val="000B42BC"/>
    <w:rsid w:val="000B4630"/>
    <w:rsid w:val="000B4821"/>
    <w:rsid w:val="000B497F"/>
    <w:rsid w:val="000B6C4C"/>
    <w:rsid w:val="000B710D"/>
    <w:rsid w:val="000B7558"/>
    <w:rsid w:val="000B7FA7"/>
    <w:rsid w:val="000B7FD9"/>
    <w:rsid w:val="000C04DC"/>
    <w:rsid w:val="000C05B5"/>
    <w:rsid w:val="000C0835"/>
    <w:rsid w:val="000C0D98"/>
    <w:rsid w:val="000C1119"/>
    <w:rsid w:val="000C2792"/>
    <w:rsid w:val="000C4211"/>
    <w:rsid w:val="000C49BC"/>
    <w:rsid w:val="000C5A0A"/>
    <w:rsid w:val="000C640D"/>
    <w:rsid w:val="000C6AE8"/>
    <w:rsid w:val="000D08DA"/>
    <w:rsid w:val="000D10A7"/>
    <w:rsid w:val="000D1894"/>
    <w:rsid w:val="000D25E6"/>
    <w:rsid w:val="000D29BD"/>
    <w:rsid w:val="000D2CB7"/>
    <w:rsid w:val="000D359E"/>
    <w:rsid w:val="000D3947"/>
    <w:rsid w:val="000D40F7"/>
    <w:rsid w:val="000D47BB"/>
    <w:rsid w:val="000D7496"/>
    <w:rsid w:val="000E0097"/>
    <w:rsid w:val="000E0A91"/>
    <w:rsid w:val="000E1E17"/>
    <w:rsid w:val="000E232E"/>
    <w:rsid w:val="000E2699"/>
    <w:rsid w:val="000E2725"/>
    <w:rsid w:val="000E35C6"/>
    <w:rsid w:val="000E379D"/>
    <w:rsid w:val="000E3C5C"/>
    <w:rsid w:val="000E3C8D"/>
    <w:rsid w:val="000E4440"/>
    <w:rsid w:val="000E46EE"/>
    <w:rsid w:val="000E5CD2"/>
    <w:rsid w:val="000E65F6"/>
    <w:rsid w:val="000E65F7"/>
    <w:rsid w:val="000E70CE"/>
    <w:rsid w:val="000E742F"/>
    <w:rsid w:val="000F073C"/>
    <w:rsid w:val="000F0A34"/>
    <w:rsid w:val="000F1345"/>
    <w:rsid w:val="000F218A"/>
    <w:rsid w:val="000F3D8B"/>
    <w:rsid w:val="000F5B1F"/>
    <w:rsid w:val="000F6DAE"/>
    <w:rsid w:val="000F6F7D"/>
    <w:rsid w:val="001001B9"/>
    <w:rsid w:val="001001C9"/>
    <w:rsid w:val="001002D6"/>
    <w:rsid w:val="00102254"/>
    <w:rsid w:val="0010300C"/>
    <w:rsid w:val="00104CCB"/>
    <w:rsid w:val="00105284"/>
    <w:rsid w:val="001066CA"/>
    <w:rsid w:val="0010702C"/>
    <w:rsid w:val="00107560"/>
    <w:rsid w:val="00107925"/>
    <w:rsid w:val="00107FD6"/>
    <w:rsid w:val="00110970"/>
    <w:rsid w:val="00110A16"/>
    <w:rsid w:val="00110EEA"/>
    <w:rsid w:val="00110F6A"/>
    <w:rsid w:val="0011140C"/>
    <w:rsid w:val="00111568"/>
    <w:rsid w:val="00111E38"/>
    <w:rsid w:val="001120C0"/>
    <w:rsid w:val="001133E4"/>
    <w:rsid w:val="0011416B"/>
    <w:rsid w:val="001150BF"/>
    <w:rsid w:val="00115EB0"/>
    <w:rsid w:val="00116317"/>
    <w:rsid w:val="00116799"/>
    <w:rsid w:val="001168A8"/>
    <w:rsid w:val="001168F2"/>
    <w:rsid w:val="00117001"/>
    <w:rsid w:val="00117201"/>
    <w:rsid w:val="00117702"/>
    <w:rsid w:val="00117EEC"/>
    <w:rsid w:val="00120207"/>
    <w:rsid w:val="00121938"/>
    <w:rsid w:val="00121A9D"/>
    <w:rsid w:val="00122EF7"/>
    <w:rsid w:val="00123C1B"/>
    <w:rsid w:val="00123E98"/>
    <w:rsid w:val="001248ED"/>
    <w:rsid w:val="001250F5"/>
    <w:rsid w:val="00125E3C"/>
    <w:rsid w:val="00126339"/>
    <w:rsid w:val="00127982"/>
    <w:rsid w:val="00127B6E"/>
    <w:rsid w:val="00127C44"/>
    <w:rsid w:val="001300D0"/>
    <w:rsid w:val="00131EC7"/>
    <w:rsid w:val="00131F27"/>
    <w:rsid w:val="001336AC"/>
    <w:rsid w:val="00133E7E"/>
    <w:rsid w:val="0013419A"/>
    <w:rsid w:val="001343D6"/>
    <w:rsid w:val="00134568"/>
    <w:rsid w:val="0013456F"/>
    <w:rsid w:val="00137944"/>
    <w:rsid w:val="0014021C"/>
    <w:rsid w:val="001416FD"/>
    <w:rsid w:val="00142072"/>
    <w:rsid w:val="001422A7"/>
    <w:rsid w:val="001429F0"/>
    <w:rsid w:val="00142B21"/>
    <w:rsid w:val="0014335E"/>
    <w:rsid w:val="0014350A"/>
    <w:rsid w:val="00143C93"/>
    <w:rsid w:val="00143D6E"/>
    <w:rsid w:val="00143FCB"/>
    <w:rsid w:val="00144470"/>
    <w:rsid w:val="00144934"/>
    <w:rsid w:val="00145627"/>
    <w:rsid w:val="00145C0C"/>
    <w:rsid w:val="00146A41"/>
    <w:rsid w:val="00147623"/>
    <w:rsid w:val="00147838"/>
    <w:rsid w:val="00147CA6"/>
    <w:rsid w:val="0015125E"/>
    <w:rsid w:val="00151679"/>
    <w:rsid w:val="00151693"/>
    <w:rsid w:val="00151B21"/>
    <w:rsid w:val="00152B07"/>
    <w:rsid w:val="0015318E"/>
    <w:rsid w:val="00153C95"/>
    <w:rsid w:val="001567C1"/>
    <w:rsid w:val="00157156"/>
    <w:rsid w:val="00157218"/>
    <w:rsid w:val="001606C4"/>
    <w:rsid w:val="00160BBB"/>
    <w:rsid w:val="00160E60"/>
    <w:rsid w:val="00160ECE"/>
    <w:rsid w:val="00163252"/>
    <w:rsid w:val="00163D71"/>
    <w:rsid w:val="00163D92"/>
    <w:rsid w:val="00163F83"/>
    <w:rsid w:val="00164144"/>
    <w:rsid w:val="00164B92"/>
    <w:rsid w:val="00165130"/>
    <w:rsid w:val="001652B6"/>
    <w:rsid w:val="001656F0"/>
    <w:rsid w:val="00165B8D"/>
    <w:rsid w:val="00167244"/>
    <w:rsid w:val="00167549"/>
    <w:rsid w:val="001675CD"/>
    <w:rsid w:val="001675E3"/>
    <w:rsid w:val="00167701"/>
    <w:rsid w:val="00167A3C"/>
    <w:rsid w:val="00170495"/>
    <w:rsid w:val="00171CEE"/>
    <w:rsid w:val="00171D38"/>
    <w:rsid w:val="00172475"/>
    <w:rsid w:val="00172ADE"/>
    <w:rsid w:val="00173000"/>
    <w:rsid w:val="0017350B"/>
    <w:rsid w:val="00175703"/>
    <w:rsid w:val="001758DE"/>
    <w:rsid w:val="001764C7"/>
    <w:rsid w:val="00176D25"/>
    <w:rsid w:val="001777CB"/>
    <w:rsid w:val="00180235"/>
    <w:rsid w:val="00180470"/>
    <w:rsid w:val="00180C16"/>
    <w:rsid w:val="00181B83"/>
    <w:rsid w:val="00182C82"/>
    <w:rsid w:val="0018342E"/>
    <w:rsid w:val="001836C1"/>
    <w:rsid w:val="001838EE"/>
    <w:rsid w:val="00183FC2"/>
    <w:rsid w:val="001840C2"/>
    <w:rsid w:val="00184B46"/>
    <w:rsid w:val="00184F55"/>
    <w:rsid w:val="00185939"/>
    <w:rsid w:val="0018626C"/>
    <w:rsid w:val="001865D9"/>
    <w:rsid w:val="00186C81"/>
    <w:rsid w:val="00186D9F"/>
    <w:rsid w:val="001876AA"/>
    <w:rsid w:val="001876F6"/>
    <w:rsid w:val="00187B26"/>
    <w:rsid w:val="00187B64"/>
    <w:rsid w:val="00187DC8"/>
    <w:rsid w:val="00191E23"/>
    <w:rsid w:val="001921E6"/>
    <w:rsid w:val="0019418C"/>
    <w:rsid w:val="001948F6"/>
    <w:rsid w:val="00194E7F"/>
    <w:rsid w:val="00194F10"/>
    <w:rsid w:val="001953B1"/>
    <w:rsid w:val="00195A75"/>
    <w:rsid w:val="0019607D"/>
    <w:rsid w:val="001963C0"/>
    <w:rsid w:val="001965CB"/>
    <w:rsid w:val="00196B74"/>
    <w:rsid w:val="0019753B"/>
    <w:rsid w:val="001976E7"/>
    <w:rsid w:val="00197956"/>
    <w:rsid w:val="00197D20"/>
    <w:rsid w:val="001A06AD"/>
    <w:rsid w:val="001A0A33"/>
    <w:rsid w:val="001A0AE9"/>
    <w:rsid w:val="001A17B2"/>
    <w:rsid w:val="001A27DE"/>
    <w:rsid w:val="001A2A7C"/>
    <w:rsid w:val="001A3112"/>
    <w:rsid w:val="001A3341"/>
    <w:rsid w:val="001A3DE6"/>
    <w:rsid w:val="001A446E"/>
    <w:rsid w:val="001A5A92"/>
    <w:rsid w:val="001A7353"/>
    <w:rsid w:val="001A7394"/>
    <w:rsid w:val="001A7D5B"/>
    <w:rsid w:val="001A7F7F"/>
    <w:rsid w:val="001B17A8"/>
    <w:rsid w:val="001B25BB"/>
    <w:rsid w:val="001B2A4E"/>
    <w:rsid w:val="001B3345"/>
    <w:rsid w:val="001B38A4"/>
    <w:rsid w:val="001B41A2"/>
    <w:rsid w:val="001B63C6"/>
    <w:rsid w:val="001C126F"/>
    <w:rsid w:val="001C2C59"/>
    <w:rsid w:val="001C3A93"/>
    <w:rsid w:val="001C48D4"/>
    <w:rsid w:val="001C549A"/>
    <w:rsid w:val="001C5680"/>
    <w:rsid w:val="001C5C75"/>
    <w:rsid w:val="001C7C93"/>
    <w:rsid w:val="001C7FA5"/>
    <w:rsid w:val="001D0A48"/>
    <w:rsid w:val="001D0DBB"/>
    <w:rsid w:val="001D0DE2"/>
    <w:rsid w:val="001D1823"/>
    <w:rsid w:val="001D36CD"/>
    <w:rsid w:val="001D400F"/>
    <w:rsid w:val="001D48F9"/>
    <w:rsid w:val="001D4F49"/>
    <w:rsid w:val="001D4FF2"/>
    <w:rsid w:val="001D55B0"/>
    <w:rsid w:val="001D5B54"/>
    <w:rsid w:val="001D6C08"/>
    <w:rsid w:val="001D7982"/>
    <w:rsid w:val="001E12A8"/>
    <w:rsid w:val="001E1D3D"/>
    <w:rsid w:val="001E20EE"/>
    <w:rsid w:val="001E2943"/>
    <w:rsid w:val="001E2F74"/>
    <w:rsid w:val="001E3553"/>
    <w:rsid w:val="001E40DC"/>
    <w:rsid w:val="001E4173"/>
    <w:rsid w:val="001E47D1"/>
    <w:rsid w:val="001E553E"/>
    <w:rsid w:val="001E6A64"/>
    <w:rsid w:val="001E6B16"/>
    <w:rsid w:val="001E75C5"/>
    <w:rsid w:val="001F0F4C"/>
    <w:rsid w:val="001F257F"/>
    <w:rsid w:val="001F27A5"/>
    <w:rsid w:val="001F2DE2"/>
    <w:rsid w:val="001F2E8A"/>
    <w:rsid w:val="001F31CE"/>
    <w:rsid w:val="001F3539"/>
    <w:rsid w:val="001F36A1"/>
    <w:rsid w:val="001F3E0B"/>
    <w:rsid w:val="001F3F2A"/>
    <w:rsid w:val="001F40DE"/>
    <w:rsid w:val="001F5908"/>
    <w:rsid w:val="001F590D"/>
    <w:rsid w:val="001F61E1"/>
    <w:rsid w:val="001F63BA"/>
    <w:rsid w:val="001F69C2"/>
    <w:rsid w:val="001F6F69"/>
    <w:rsid w:val="001F7220"/>
    <w:rsid w:val="001F72CB"/>
    <w:rsid w:val="001F7338"/>
    <w:rsid w:val="001F7438"/>
    <w:rsid w:val="00200913"/>
    <w:rsid w:val="002013D2"/>
    <w:rsid w:val="00202FE5"/>
    <w:rsid w:val="00203281"/>
    <w:rsid w:val="002043E3"/>
    <w:rsid w:val="002043E4"/>
    <w:rsid w:val="00204620"/>
    <w:rsid w:val="002048D1"/>
    <w:rsid w:val="00204E6E"/>
    <w:rsid w:val="00205891"/>
    <w:rsid w:val="00205C43"/>
    <w:rsid w:val="00207719"/>
    <w:rsid w:val="002079CB"/>
    <w:rsid w:val="00207B3B"/>
    <w:rsid w:val="0021079B"/>
    <w:rsid w:val="002108D9"/>
    <w:rsid w:val="0021096E"/>
    <w:rsid w:val="00210C8F"/>
    <w:rsid w:val="00210DE8"/>
    <w:rsid w:val="00211566"/>
    <w:rsid w:val="00211A15"/>
    <w:rsid w:val="00211D73"/>
    <w:rsid w:val="0021289A"/>
    <w:rsid w:val="00212A3E"/>
    <w:rsid w:val="00213776"/>
    <w:rsid w:val="0021455B"/>
    <w:rsid w:val="0021460B"/>
    <w:rsid w:val="00214734"/>
    <w:rsid w:val="00214BF2"/>
    <w:rsid w:val="002153BD"/>
    <w:rsid w:val="00215A7F"/>
    <w:rsid w:val="00216522"/>
    <w:rsid w:val="00217A2C"/>
    <w:rsid w:val="0022037A"/>
    <w:rsid w:val="00220411"/>
    <w:rsid w:val="00221D19"/>
    <w:rsid w:val="00222026"/>
    <w:rsid w:val="0022202B"/>
    <w:rsid w:val="00222837"/>
    <w:rsid w:val="002228F6"/>
    <w:rsid w:val="00222911"/>
    <w:rsid w:val="00223560"/>
    <w:rsid w:val="0022392E"/>
    <w:rsid w:val="00223959"/>
    <w:rsid w:val="00223BE4"/>
    <w:rsid w:val="0022410B"/>
    <w:rsid w:val="002252A7"/>
    <w:rsid w:val="00225A57"/>
    <w:rsid w:val="00226045"/>
    <w:rsid w:val="0022666B"/>
    <w:rsid w:val="0022734D"/>
    <w:rsid w:val="00227C48"/>
    <w:rsid w:val="00227EA9"/>
    <w:rsid w:val="0023016C"/>
    <w:rsid w:val="00231B2D"/>
    <w:rsid w:val="002320CC"/>
    <w:rsid w:val="00233370"/>
    <w:rsid w:val="00234184"/>
    <w:rsid w:val="0023447F"/>
    <w:rsid w:val="002350B3"/>
    <w:rsid w:val="00235920"/>
    <w:rsid w:val="00235DAF"/>
    <w:rsid w:val="00237017"/>
    <w:rsid w:val="0023798E"/>
    <w:rsid w:val="00240420"/>
    <w:rsid w:val="00240559"/>
    <w:rsid w:val="00241145"/>
    <w:rsid w:val="00241C88"/>
    <w:rsid w:val="00241EB0"/>
    <w:rsid w:val="00242EE4"/>
    <w:rsid w:val="00242F0A"/>
    <w:rsid w:val="002431C0"/>
    <w:rsid w:val="00244085"/>
    <w:rsid w:val="00244215"/>
    <w:rsid w:val="0024462E"/>
    <w:rsid w:val="00244AE8"/>
    <w:rsid w:val="002464C2"/>
    <w:rsid w:val="002474FA"/>
    <w:rsid w:val="00250559"/>
    <w:rsid w:val="00250743"/>
    <w:rsid w:val="00251070"/>
    <w:rsid w:val="002510C0"/>
    <w:rsid w:val="00251DFB"/>
    <w:rsid w:val="00252ADF"/>
    <w:rsid w:val="00252E68"/>
    <w:rsid w:val="00253493"/>
    <w:rsid w:val="00253814"/>
    <w:rsid w:val="00253967"/>
    <w:rsid w:val="00254CB8"/>
    <w:rsid w:val="00255593"/>
    <w:rsid w:val="002555A3"/>
    <w:rsid w:val="00255616"/>
    <w:rsid w:val="002565DF"/>
    <w:rsid w:val="00257AFB"/>
    <w:rsid w:val="00257B62"/>
    <w:rsid w:val="00257D92"/>
    <w:rsid w:val="0026049E"/>
    <w:rsid w:val="002604FB"/>
    <w:rsid w:val="002604FE"/>
    <w:rsid w:val="00260ECF"/>
    <w:rsid w:val="002612E8"/>
    <w:rsid w:val="0026163E"/>
    <w:rsid w:val="0026170D"/>
    <w:rsid w:val="00261A54"/>
    <w:rsid w:val="00262686"/>
    <w:rsid w:val="0026293D"/>
    <w:rsid w:val="002635CD"/>
    <w:rsid w:val="002653AB"/>
    <w:rsid w:val="00265982"/>
    <w:rsid w:val="00266737"/>
    <w:rsid w:val="00266963"/>
    <w:rsid w:val="00267449"/>
    <w:rsid w:val="00267842"/>
    <w:rsid w:val="00267B2A"/>
    <w:rsid w:val="00270154"/>
    <w:rsid w:val="00271521"/>
    <w:rsid w:val="0027175D"/>
    <w:rsid w:val="00271C46"/>
    <w:rsid w:val="00271F70"/>
    <w:rsid w:val="00272B85"/>
    <w:rsid w:val="002736D0"/>
    <w:rsid w:val="00273D37"/>
    <w:rsid w:val="00273D87"/>
    <w:rsid w:val="00273DFE"/>
    <w:rsid w:val="0027408B"/>
    <w:rsid w:val="00274400"/>
    <w:rsid w:val="002765F3"/>
    <w:rsid w:val="002769E2"/>
    <w:rsid w:val="00276B56"/>
    <w:rsid w:val="00276D61"/>
    <w:rsid w:val="0028020B"/>
    <w:rsid w:val="002804F7"/>
    <w:rsid w:val="00280F46"/>
    <w:rsid w:val="002819FD"/>
    <w:rsid w:val="00281BB1"/>
    <w:rsid w:val="0028370B"/>
    <w:rsid w:val="002857ED"/>
    <w:rsid w:val="0028583A"/>
    <w:rsid w:val="00285B46"/>
    <w:rsid w:val="00286140"/>
    <w:rsid w:val="002863A2"/>
    <w:rsid w:val="002865F7"/>
    <w:rsid w:val="00287368"/>
    <w:rsid w:val="00287746"/>
    <w:rsid w:val="00287873"/>
    <w:rsid w:val="00287F3B"/>
    <w:rsid w:val="002913FE"/>
    <w:rsid w:val="002916CC"/>
    <w:rsid w:val="0029278C"/>
    <w:rsid w:val="00292E65"/>
    <w:rsid w:val="00292F36"/>
    <w:rsid w:val="0029326A"/>
    <w:rsid w:val="00293E92"/>
    <w:rsid w:val="00293FDF"/>
    <w:rsid w:val="002953A8"/>
    <w:rsid w:val="0029697C"/>
    <w:rsid w:val="002979F1"/>
    <w:rsid w:val="00297AFA"/>
    <w:rsid w:val="002A13E1"/>
    <w:rsid w:val="002A1E24"/>
    <w:rsid w:val="002A1F9C"/>
    <w:rsid w:val="002A3248"/>
    <w:rsid w:val="002A45A7"/>
    <w:rsid w:val="002A45D5"/>
    <w:rsid w:val="002A4DD7"/>
    <w:rsid w:val="002A5309"/>
    <w:rsid w:val="002A6BA4"/>
    <w:rsid w:val="002A6D57"/>
    <w:rsid w:val="002A72E0"/>
    <w:rsid w:val="002B0846"/>
    <w:rsid w:val="002B08BE"/>
    <w:rsid w:val="002B1304"/>
    <w:rsid w:val="002B2CAC"/>
    <w:rsid w:val="002B48D0"/>
    <w:rsid w:val="002B5934"/>
    <w:rsid w:val="002B5C89"/>
    <w:rsid w:val="002B640A"/>
    <w:rsid w:val="002B7956"/>
    <w:rsid w:val="002B7D86"/>
    <w:rsid w:val="002C0388"/>
    <w:rsid w:val="002C077B"/>
    <w:rsid w:val="002C07BC"/>
    <w:rsid w:val="002C0DF3"/>
    <w:rsid w:val="002C25AD"/>
    <w:rsid w:val="002C27D3"/>
    <w:rsid w:val="002C3E8A"/>
    <w:rsid w:val="002C5842"/>
    <w:rsid w:val="002C5981"/>
    <w:rsid w:val="002C6466"/>
    <w:rsid w:val="002D0410"/>
    <w:rsid w:val="002D046F"/>
    <w:rsid w:val="002D0899"/>
    <w:rsid w:val="002D1707"/>
    <w:rsid w:val="002D17E2"/>
    <w:rsid w:val="002D1B91"/>
    <w:rsid w:val="002D22D2"/>
    <w:rsid w:val="002D2406"/>
    <w:rsid w:val="002D3354"/>
    <w:rsid w:val="002D3E07"/>
    <w:rsid w:val="002D3F5B"/>
    <w:rsid w:val="002D427A"/>
    <w:rsid w:val="002D437B"/>
    <w:rsid w:val="002D4ECB"/>
    <w:rsid w:val="002D5D0D"/>
    <w:rsid w:val="002D72FA"/>
    <w:rsid w:val="002D760B"/>
    <w:rsid w:val="002E0311"/>
    <w:rsid w:val="002E040E"/>
    <w:rsid w:val="002E0EC8"/>
    <w:rsid w:val="002E18FD"/>
    <w:rsid w:val="002E1E3A"/>
    <w:rsid w:val="002E278F"/>
    <w:rsid w:val="002E3B4D"/>
    <w:rsid w:val="002E4201"/>
    <w:rsid w:val="002E46F9"/>
    <w:rsid w:val="002E4C2B"/>
    <w:rsid w:val="002E5C67"/>
    <w:rsid w:val="002E7D6F"/>
    <w:rsid w:val="002E7DAD"/>
    <w:rsid w:val="002F0522"/>
    <w:rsid w:val="002F0687"/>
    <w:rsid w:val="002F0734"/>
    <w:rsid w:val="002F0C36"/>
    <w:rsid w:val="002F0CF7"/>
    <w:rsid w:val="002F1897"/>
    <w:rsid w:val="002F1A92"/>
    <w:rsid w:val="002F1AF0"/>
    <w:rsid w:val="002F31E5"/>
    <w:rsid w:val="002F3A9D"/>
    <w:rsid w:val="002F3C5E"/>
    <w:rsid w:val="002F42EB"/>
    <w:rsid w:val="002F6FE7"/>
    <w:rsid w:val="002F7117"/>
    <w:rsid w:val="002F7CED"/>
    <w:rsid w:val="003008A7"/>
    <w:rsid w:val="0030170D"/>
    <w:rsid w:val="00301975"/>
    <w:rsid w:val="00304785"/>
    <w:rsid w:val="0030479B"/>
    <w:rsid w:val="00305342"/>
    <w:rsid w:val="0030542C"/>
    <w:rsid w:val="00305DA6"/>
    <w:rsid w:val="0030628D"/>
    <w:rsid w:val="003103F7"/>
    <w:rsid w:val="00310418"/>
    <w:rsid w:val="00310737"/>
    <w:rsid w:val="00310B51"/>
    <w:rsid w:val="00311188"/>
    <w:rsid w:val="003124B6"/>
    <w:rsid w:val="00312FFC"/>
    <w:rsid w:val="003133CD"/>
    <w:rsid w:val="00313761"/>
    <w:rsid w:val="003150BF"/>
    <w:rsid w:val="003150CE"/>
    <w:rsid w:val="003154B0"/>
    <w:rsid w:val="00315E92"/>
    <w:rsid w:val="00315EFD"/>
    <w:rsid w:val="00321764"/>
    <w:rsid w:val="00321C00"/>
    <w:rsid w:val="00322318"/>
    <w:rsid w:val="00323B77"/>
    <w:rsid w:val="00323B9E"/>
    <w:rsid w:val="0032468C"/>
    <w:rsid w:val="00324807"/>
    <w:rsid w:val="00324C87"/>
    <w:rsid w:val="003251E1"/>
    <w:rsid w:val="003263B3"/>
    <w:rsid w:val="003277E4"/>
    <w:rsid w:val="00327987"/>
    <w:rsid w:val="00330804"/>
    <w:rsid w:val="00331486"/>
    <w:rsid w:val="00331565"/>
    <w:rsid w:val="00334A6B"/>
    <w:rsid w:val="00334E04"/>
    <w:rsid w:val="003366B2"/>
    <w:rsid w:val="0033688B"/>
    <w:rsid w:val="00340066"/>
    <w:rsid w:val="003403F3"/>
    <w:rsid w:val="00340536"/>
    <w:rsid w:val="00342294"/>
    <w:rsid w:val="003426AE"/>
    <w:rsid w:val="0034288B"/>
    <w:rsid w:val="003428E8"/>
    <w:rsid w:val="00342F60"/>
    <w:rsid w:val="00343187"/>
    <w:rsid w:val="0034332B"/>
    <w:rsid w:val="00345404"/>
    <w:rsid w:val="003467E3"/>
    <w:rsid w:val="0034681C"/>
    <w:rsid w:val="00346AC5"/>
    <w:rsid w:val="003471B2"/>
    <w:rsid w:val="00347D59"/>
    <w:rsid w:val="00347EEA"/>
    <w:rsid w:val="0035010E"/>
    <w:rsid w:val="00350C83"/>
    <w:rsid w:val="00351CBA"/>
    <w:rsid w:val="00352185"/>
    <w:rsid w:val="00353CE7"/>
    <w:rsid w:val="0035680A"/>
    <w:rsid w:val="00356C98"/>
    <w:rsid w:val="00356E44"/>
    <w:rsid w:val="0035705D"/>
    <w:rsid w:val="003571A5"/>
    <w:rsid w:val="0035772D"/>
    <w:rsid w:val="003600A8"/>
    <w:rsid w:val="0036379D"/>
    <w:rsid w:val="00365CCC"/>
    <w:rsid w:val="00366524"/>
    <w:rsid w:val="003666FC"/>
    <w:rsid w:val="0037004E"/>
    <w:rsid w:val="003700F4"/>
    <w:rsid w:val="00370E92"/>
    <w:rsid w:val="0037114C"/>
    <w:rsid w:val="00372419"/>
    <w:rsid w:val="00372D59"/>
    <w:rsid w:val="00372FF3"/>
    <w:rsid w:val="00373E58"/>
    <w:rsid w:val="0037402D"/>
    <w:rsid w:val="00374F3C"/>
    <w:rsid w:val="00374FC6"/>
    <w:rsid w:val="0037509F"/>
    <w:rsid w:val="00376073"/>
    <w:rsid w:val="003766F4"/>
    <w:rsid w:val="003772D6"/>
    <w:rsid w:val="0037739C"/>
    <w:rsid w:val="00377452"/>
    <w:rsid w:val="00380292"/>
    <w:rsid w:val="0038036D"/>
    <w:rsid w:val="0038040A"/>
    <w:rsid w:val="00381223"/>
    <w:rsid w:val="0038151D"/>
    <w:rsid w:val="00381849"/>
    <w:rsid w:val="00381B1A"/>
    <w:rsid w:val="00381EBB"/>
    <w:rsid w:val="003823A0"/>
    <w:rsid w:val="00383120"/>
    <w:rsid w:val="00383431"/>
    <w:rsid w:val="00383F05"/>
    <w:rsid w:val="00384F36"/>
    <w:rsid w:val="00385271"/>
    <w:rsid w:val="003852D0"/>
    <w:rsid w:val="00387E36"/>
    <w:rsid w:val="00390524"/>
    <w:rsid w:val="0039059D"/>
    <w:rsid w:val="00391227"/>
    <w:rsid w:val="0039163D"/>
    <w:rsid w:val="00391C20"/>
    <w:rsid w:val="00391ECD"/>
    <w:rsid w:val="0039226E"/>
    <w:rsid w:val="00392312"/>
    <w:rsid w:val="00392656"/>
    <w:rsid w:val="00392A8F"/>
    <w:rsid w:val="00392BF7"/>
    <w:rsid w:val="00392CC8"/>
    <w:rsid w:val="00394565"/>
    <w:rsid w:val="0039461B"/>
    <w:rsid w:val="0039476A"/>
    <w:rsid w:val="00395C5F"/>
    <w:rsid w:val="003960E7"/>
    <w:rsid w:val="00396B68"/>
    <w:rsid w:val="00396C5E"/>
    <w:rsid w:val="003A1F34"/>
    <w:rsid w:val="003A1F95"/>
    <w:rsid w:val="003A2017"/>
    <w:rsid w:val="003A304E"/>
    <w:rsid w:val="003A3BE3"/>
    <w:rsid w:val="003A3CFD"/>
    <w:rsid w:val="003A42A6"/>
    <w:rsid w:val="003A42EB"/>
    <w:rsid w:val="003A48CC"/>
    <w:rsid w:val="003A5428"/>
    <w:rsid w:val="003A54D3"/>
    <w:rsid w:val="003A57A8"/>
    <w:rsid w:val="003A64A2"/>
    <w:rsid w:val="003A72EF"/>
    <w:rsid w:val="003A7DBF"/>
    <w:rsid w:val="003B11FE"/>
    <w:rsid w:val="003B1665"/>
    <w:rsid w:val="003B2092"/>
    <w:rsid w:val="003B21F6"/>
    <w:rsid w:val="003B263B"/>
    <w:rsid w:val="003B4EED"/>
    <w:rsid w:val="003B5A94"/>
    <w:rsid w:val="003B5E93"/>
    <w:rsid w:val="003B6565"/>
    <w:rsid w:val="003B670E"/>
    <w:rsid w:val="003B6AD0"/>
    <w:rsid w:val="003B6B2C"/>
    <w:rsid w:val="003B6EA3"/>
    <w:rsid w:val="003B6F2A"/>
    <w:rsid w:val="003C03C6"/>
    <w:rsid w:val="003C07C2"/>
    <w:rsid w:val="003C1C81"/>
    <w:rsid w:val="003C1F0A"/>
    <w:rsid w:val="003C266A"/>
    <w:rsid w:val="003C35B4"/>
    <w:rsid w:val="003C391D"/>
    <w:rsid w:val="003C4FC4"/>
    <w:rsid w:val="003C54C8"/>
    <w:rsid w:val="003C5A18"/>
    <w:rsid w:val="003C602A"/>
    <w:rsid w:val="003D0930"/>
    <w:rsid w:val="003D1759"/>
    <w:rsid w:val="003D1896"/>
    <w:rsid w:val="003D1F26"/>
    <w:rsid w:val="003D2BE7"/>
    <w:rsid w:val="003D3B14"/>
    <w:rsid w:val="003D4098"/>
    <w:rsid w:val="003D62F7"/>
    <w:rsid w:val="003E1035"/>
    <w:rsid w:val="003E17F2"/>
    <w:rsid w:val="003E1950"/>
    <w:rsid w:val="003E19F7"/>
    <w:rsid w:val="003E1EB2"/>
    <w:rsid w:val="003E2CF0"/>
    <w:rsid w:val="003E3CE2"/>
    <w:rsid w:val="003E3D0D"/>
    <w:rsid w:val="003E448C"/>
    <w:rsid w:val="003E4610"/>
    <w:rsid w:val="003E492C"/>
    <w:rsid w:val="003E4D60"/>
    <w:rsid w:val="003E53FA"/>
    <w:rsid w:val="003E5AD0"/>
    <w:rsid w:val="003E5E0A"/>
    <w:rsid w:val="003E6216"/>
    <w:rsid w:val="003E6A68"/>
    <w:rsid w:val="003E710D"/>
    <w:rsid w:val="003E71C8"/>
    <w:rsid w:val="003E7402"/>
    <w:rsid w:val="003E7A9C"/>
    <w:rsid w:val="003F0144"/>
    <w:rsid w:val="003F04BA"/>
    <w:rsid w:val="003F12B4"/>
    <w:rsid w:val="003F1DEF"/>
    <w:rsid w:val="003F2644"/>
    <w:rsid w:val="003F328F"/>
    <w:rsid w:val="003F40F0"/>
    <w:rsid w:val="003F426A"/>
    <w:rsid w:val="003F4E40"/>
    <w:rsid w:val="003F531A"/>
    <w:rsid w:val="003F5F40"/>
    <w:rsid w:val="003F6DED"/>
    <w:rsid w:val="003F7490"/>
    <w:rsid w:val="003F7C9E"/>
    <w:rsid w:val="003F7FB5"/>
    <w:rsid w:val="00400355"/>
    <w:rsid w:val="00400895"/>
    <w:rsid w:val="00400E6F"/>
    <w:rsid w:val="00401489"/>
    <w:rsid w:val="004025E8"/>
    <w:rsid w:val="00402768"/>
    <w:rsid w:val="00404C36"/>
    <w:rsid w:val="00405145"/>
    <w:rsid w:val="00405FDA"/>
    <w:rsid w:val="00406368"/>
    <w:rsid w:val="004063D7"/>
    <w:rsid w:val="00406F38"/>
    <w:rsid w:val="004107CA"/>
    <w:rsid w:val="004111BC"/>
    <w:rsid w:val="004114CB"/>
    <w:rsid w:val="00411F87"/>
    <w:rsid w:val="004125F4"/>
    <w:rsid w:val="004126D4"/>
    <w:rsid w:val="00412AEE"/>
    <w:rsid w:val="00413716"/>
    <w:rsid w:val="00414703"/>
    <w:rsid w:val="00414EA8"/>
    <w:rsid w:val="00415AF9"/>
    <w:rsid w:val="00415D2B"/>
    <w:rsid w:val="00416277"/>
    <w:rsid w:val="00416C0A"/>
    <w:rsid w:val="00417415"/>
    <w:rsid w:val="0041764E"/>
    <w:rsid w:val="00417E06"/>
    <w:rsid w:val="00420443"/>
    <w:rsid w:val="00421941"/>
    <w:rsid w:val="00422046"/>
    <w:rsid w:val="00423EA9"/>
    <w:rsid w:val="00424061"/>
    <w:rsid w:val="004244B8"/>
    <w:rsid w:val="00424DE2"/>
    <w:rsid w:val="0042520B"/>
    <w:rsid w:val="004254B9"/>
    <w:rsid w:val="00426366"/>
    <w:rsid w:val="004268DC"/>
    <w:rsid w:val="004269A2"/>
    <w:rsid w:val="004307AF"/>
    <w:rsid w:val="00430950"/>
    <w:rsid w:val="00430A22"/>
    <w:rsid w:val="00432528"/>
    <w:rsid w:val="0043273D"/>
    <w:rsid w:val="00432836"/>
    <w:rsid w:val="00432EFB"/>
    <w:rsid w:val="00433035"/>
    <w:rsid w:val="004373D1"/>
    <w:rsid w:val="0043778D"/>
    <w:rsid w:val="0044068B"/>
    <w:rsid w:val="00440F2B"/>
    <w:rsid w:val="004416AA"/>
    <w:rsid w:val="004418A8"/>
    <w:rsid w:val="00441990"/>
    <w:rsid w:val="00441C2F"/>
    <w:rsid w:val="00444CC8"/>
    <w:rsid w:val="004450FC"/>
    <w:rsid w:val="004454C2"/>
    <w:rsid w:val="004464F9"/>
    <w:rsid w:val="00447347"/>
    <w:rsid w:val="004473BC"/>
    <w:rsid w:val="00447F33"/>
    <w:rsid w:val="00450A27"/>
    <w:rsid w:val="00450E29"/>
    <w:rsid w:val="004511A0"/>
    <w:rsid w:val="00451D34"/>
    <w:rsid w:val="00451EC2"/>
    <w:rsid w:val="00452428"/>
    <w:rsid w:val="00452458"/>
    <w:rsid w:val="00452ADF"/>
    <w:rsid w:val="004538F2"/>
    <w:rsid w:val="00453CE6"/>
    <w:rsid w:val="00454501"/>
    <w:rsid w:val="0045626F"/>
    <w:rsid w:val="00456BD8"/>
    <w:rsid w:val="00457228"/>
    <w:rsid w:val="004579F2"/>
    <w:rsid w:val="00457BC7"/>
    <w:rsid w:val="00457C91"/>
    <w:rsid w:val="004605A4"/>
    <w:rsid w:val="00461D92"/>
    <w:rsid w:val="00462A3F"/>
    <w:rsid w:val="00462DFB"/>
    <w:rsid w:val="00463357"/>
    <w:rsid w:val="00463A04"/>
    <w:rsid w:val="0046442C"/>
    <w:rsid w:val="00464A9C"/>
    <w:rsid w:val="0046502E"/>
    <w:rsid w:val="00465255"/>
    <w:rsid w:val="00465669"/>
    <w:rsid w:val="00466088"/>
    <w:rsid w:val="0046613E"/>
    <w:rsid w:val="004700FE"/>
    <w:rsid w:val="00470145"/>
    <w:rsid w:val="00472ACB"/>
    <w:rsid w:val="00472D16"/>
    <w:rsid w:val="00472F71"/>
    <w:rsid w:val="0047324B"/>
    <w:rsid w:val="00473718"/>
    <w:rsid w:val="00473869"/>
    <w:rsid w:val="00474032"/>
    <w:rsid w:val="0047410E"/>
    <w:rsid w:val="0047487A"/>
    <w:rsid w:val="0047533B"/>
    <w:rsid w:val="00475B84"/>
    <w:rsid w:val="00475D69"/>
    <w:rsid w:val="004761B4"/>
    <w:rsid w:val="004763E1"/>
    <w:rsid w:val="0047732A"/>
    <w:rsid w:val="00480171"/>
    <w:rsid w:val="0048054A"/>
    <w:rsid w:val="004807C2"/>
    <w:rsid w:val="00480A51"/>
    <w:rsid w:val="00480A82"/>
    <w:rsid w:val="00480D01"/>
    <w:rsid w:val="004815A4"/>
    <w:rsid w:val="004818E8"/>
    <w:rsid w:val="00481BC0"/>
    <w:rsid w:val="00481DF4"/>
    <w:rsid w:val="004828D8"/>
    <w:rsid w:val="00482B9D"/>
    <w:rsid w:val="00482F67"/>
    <w:rsid w:val="00483006"/>
    <w:rsid w:val="0048334F"/>
    <w:rsid w:val="004836DD"/>
    <w:rsid w:val="00484157"/>
    <w:rsid w:val="004847BC"/>
    <w:rsid w:val="00484915"/>
    <w:rsid w:val="004849AC"/>
    <w:rsid w:val="00484E34"/>
    <w:rsid w:val="00485961"/>
    <w:rsid w:val="004864E8"/>
    <w:rsid w:val="00487387"/>
    <w:rsid w:val="00490021"/>
    <w:rsid w:val="004903B0"/>
    <w:rsid w:val="00490604"/>
    <w:rsid w:val="004912BF"/>
    <w:rsid w:val="004918FD"/>
    <w:rsid w:val="004918FF"/>
    <w:rsid w:val="004919FD"/>
    <w:rsid w:val="00491AC4"/>
    <w:rsid w:val="004922E4"/>
    <w:rsid w:val="00493950"/>
    <w:rsid w:val="00494C77"/>
    <w:rsid w:val="004952E1"/>
    <w:rsid w:val="00495CD3"/>
    <w:rsid w:val="00495E8D"/>
    <w:rsid w:val="0049696A"/>
    <w:rsid w:val="00497261"/>
    <w:rsid w:val="00497BEB"/>
    <w:rsid w:val="00497C44"/>
    <w:rsid w:val="004A0070"/>
    <w:rsid w:val="004A083F"/>
    <w:rsid w:val="004A0DE6"/>
    <w:rsid w:val="004A109B"/>
    <w:rsid w:val="004A132C"/>
    <w:rsid w:val="004A1355"/>
    <w:rsid w:val="004A19BD"/>
    <w:rsid w:val="004A44E7"/>
    <w:rsid w:val="004A5BB9"/>
    <w:rsid w:val="004A659A"/>
    <w:rsid w:val="004A6D53"/>
    <w:rsid w:val="004B099E"/>
    <w:rsid w:val="004B0FA1"/>
    <w:rsid w:val="004B1503"/>
    <w:rsid w:val="004B26D9"/>
    <w:rsid w:val="004B2C5E"/>
    <w:rsid w:val="004B328F"/>
    <w:rsid w:val="004B3598"/>
    <w:rsid w:val="004B53DE"/>
    <w:rsid w:val="004B559A"/>
    <w:rsid w:val="004B66B2"/>
    <w:rsid w:val="004B6EAE"/>
    <w:rsid w:val="004B6FC4"/>
    <w:rsid w:val="004B7463"/>
    <w:rsid w:val="004B774B"/>
    <w:rsid w:val="004B7843"/>
    <w:rsid w:val="004C0FED"/>
    <w:rsid w:val="004C13C4"/>
    <w:rsid w:val="004C31F0"/>
    <w:rsid w:val="004C34DB"/>
    <w:rsid w:val="004C4613"/>
    <w:rsid w:val="004C4629"/>
    <w:rsid w:val="004C4AE5"/>
    <w:rsid w:val="004C4B71"/>
    <w:rsid w:val="004C4E65"/>
    <w:rsid w:val="004C5842"/>
    <w:rsid w:val="004C63CF"/>
    <w:rsid w:val="004C642A"/>
    <w:rsid w:val="004C6CE8"/>
    <w:rsid w:val="004C6D29"/>
    <w:rsid w:val="004C7EF2"/>
    <w:rsid w:val="004D0511"/>
    <w:rsid w:val="004D087E"/>
    <w:rsid w:val="004D1199"/>
    <w:rsid w:val="004D19DB"/>
    <w:rsid w:val="004D1E88"/>
    <w:rsid w:val="004D3979"/>
    <w:rsid w:val="004D3CD7"/>
    <w:rsid w:val="004D58DE"/>
    <w:rsid w:val="004D5C6F"/>
    <w:rsid w:val="004D63E2"/>
    <w:rsid w:val="004D6867"/>
    <w:rsid w:val="004D77C4"/>
    <w:rsid w:val="004D7D2A"/>
    <w:rsid w:val="004E0875"/>
    <w:rsid w:val="004E323D"/>
    <w:rsid w:val="004E3F30"/>
    <w:rsid w:val="004E46F8"/>
    <w:rsid w:val="004E4CA1"/>
    <w:rsid w:val="004E50C8"/>
    <w:rsid w:val="004E52B4"/>
    <w:rsid w:val="004E63FB"/>
    <w:rsid w:val="004E653E"/>
    <w:rsid w:val="004E65F5"/>
    <w:rsid w:val="004E7F10"/>
    <w:rsid w:val="004F10CF"/>
    <w:rsid w:val="004F1409"/>
    <w:rsid w:val="004F199D"/>
    <w:rsid w:val="004F2D77"/>
    <w:rsid w:val="004F3E28"/>
    <w:rsid w:val="004F4BF0"/>
    <w:rsid w:val="004F52D8"/>
    <w:rsid w:val="004F600A"/>
    <w:rsid w:val="004F621F"/>
    <w:rsid w:val="004F6A02"/>
    <w:rsid w:val="004F71EC"/>
    <w:rsid w:val="004F7890"/>
    <w:rsid w:val="00500097"/>
    <w:rsid w:val="00500ADD"/>
    <w:rsid w:val="00501138"/>
    <w:rsid w:val="00502EAE"/>
    <w:rsid w:val="005035E1"/>
    <w:rsid w:val="00503A1B"/>
    <w:rsid w:val="00504E83"/>
    <w:rsid w:val="0050500F"/>
    <w:rsid w:val="00505138"/>
    <w:rsid w:val="00505279"/>
    <w:rsid w:val="0050538F"/>
    <w:rsid w:val="005063E1"/>
    <w:rsid w:val="00506786"/>
    <w:rsid w:val="00506828"/>
    <w:rsid w:val="005075AB"/>
    <w:rsid w:val="00507AC8"/>
    <w:rsid w:val="00507CC5"/>
    <w:rsid w:val="0051040F"/>
    <w:rsid w:val="00510FCD"/>
    <w:rsid w:val="00511623"/>
    <w:rsid w:val="0051216C"/>
    <w:rsid w:val="00512673"/>
    <w:rsid w:val="00512D82"/>
    <w:rsid w:val="00514545"/>
    <w:rsid w:val="00514D56"/>
    <w:rsid w:val="00514EDD"/>
    <w:rsid w:val="00514F87"/>
    <w:rsid w:val="0051548E"/>
    <w:rsid w:val="00515801"/>
    <w:rsid w:val="00516BBB"/>
    <w:rsid w:val="0051782A"/>
    <w:rsid w:val="0052027D"/>
    <w:rsid w:val="00520817"/>
    <w:rsid w:val="00520CCD"/>
    <w:rsid w:val="00521A8D"/>
    <w:rsid w:val="00522389"/>
    <w:rsid w:val="00522849"/>
    <w:rsid w:val="00522F35"/>
    <w:rsid w:val="00523349"/>
    <w:rsid w:val="00523E83"/>
    <w:rsid w:val="005248BB"/>
    <w:rsid w:val="00525806"/>
    <w:rsid w:val="00526B6D"/>
    <w:rsid w:val="00526BB3"/>
    <w:rsid w:val="0052746E"/>
    <w:rsid w:val="005308A5"/>
    <w:rsid w:val="00530A1E"/>
    <w:rsid w:val="00530B5B"/>
    <w:rsid w:val="00530D5D"/>
    <w:rsid w:val="00530E0A"/>
    <w:rsid w:val="005314E9"/>
    <w:rsid w:val="00531723"/>
    <w:rsid w:val="0053275E"/>
    <w:rsid w:val="005327F6"/>
    <w:rsid w:val="005330E7"/>
    <w:rsid w:val="0053324F"/>
    <w:rsid w:val="00535235"/>
    <w:rsid w:val="00535368"/>
    <w:rsid w:val="0053550F"/>
    <w:rsid w:val="00535892"/>
    <w:rsid w:val="00535C72"/>
    <w:rsid w:val="00535D9C"/>
    <w:rsid w:val="005361B2"/>
    <w:rsid w:val="00536FE1"/>
    <w:rsid w:val="005376E5"/>
    <w:rsid w:val="00537D30"/>
    <w:rsid w:val="0054058A"/>
    <w:rsid w:val="00540A59"/>
    <w:rsid w:val="005412EB"/>
    <w:rsid w:val="0054187D"/>
    <w:rsid w:val="00541A7E"/>
    <w:rsid w:val="00541EF9"/>
    <w:rsid w:val="00542783"/>
    <w:rsid w:val="00542E02"/>
    <w:rsid w:val="005431CF"/>
    <w:rsid w:val="00543D0A"/>
    <w:rsid w:val="005442B9"/>
    <w:rsid w:val="00544455"/>
    <w:rsid w:val="00544658"/>
    <w:rsid w:val="005454F3"/>
    <w:rsid w:val="005455E5"/>
    <w:rsid w:val="00546182"/>
    <w:rsid w:val="0054681B"/>
    <w:rsid w:val="005473DF"/>
    <w:rsid w:val="005474B7"/>
    <w:rsid w:val="0054779A"/>
    <w:rsid w:val="00547BA1"/>
    <w:rsid w:val="005501F6"/>
    <w:rsid w:val="00550397"/>
    <w:rsid w:val="00550874"/>
    <w:rsid w:val="0055099E"/>
    <w:rsid w:val="00550FC3"/>
    <w:rsid w:val="00551316"/>
    <w:rsid w:val="0055134B"/>
    <w:rsid w:val="00552915"/>
    <w:rsid w:val="00554CFD"/>
    <w:rsid w:val="00555EC2"/>
    <w:rsid w:val="00556101"/>
    <w:rsid w:val="00556445"/>
    <w:rsid w:val="00556809"/>
    <w:rsid w:val="005578CB"/>
    <w:rsid w:val="00557CB1"/>
    <w:rsid w:val="0056091E"/>
    <w:rsid w:val="00560962"/>
    <w:rsid w:val="00561124"/>
    <w:rsid w:val="0056131F"/>
    <w:rsid w:val="00561371"/>
    <w:rsid w:val="0056172D"/>
    <w:rsid w:val="0056279D"/>
    <w:rsid w:val="005635F3"/>
    <w:rsid w:val="0056411C"/>
    <w:rsid w:val="0056412D"/>
    <w:rsid w:val="005646A9"/>
    <w:rsid w:val="00564B73"/>
    <w:rsid w:val="005655B5"/>
    <w:rsid w:val="00565B4C"/>
    <w:rsid w:val="00565B53"/>
    <w:rsid w:val="00565B77"/>
    <w:rsid w:val="00566111"/>
    <w:rsid w:val="005663FF"/>
    <w:rsid w:val="00567420"/>
    <w:rsid w:val="005677E5"/>
    <w:rsid w:val="00570925"/>
    <w:rsid w:val="00570C67"/>
    <w:rsid w:val="00570D24"/>
    <w:rsid w:val="00571105"/>
    <w:rsid w:val="00571479"/>
    <w:rsid w:val="00572A3D"/>
    <w:rsid w:val="00573607"/>
    <w:rsid w:val="00574698"/>
    <w:rsid w:val="00574C1A"/>
    <w:rsid w:val="005753D1"/>
    <w:rsid w:val="0057572D"/>
    <w:rsid w:val="00575804"/>
    <w:rsid w:val="0057581A"/>
    <w:rsid w:val="005768DA"/>
    <w:rsid w:val="00577883"/>
    <w:rsid w:val="00577DA3"/>
    <w:rsid w:val="00577F4C"/>
    <w:rsid w:val="00580211"/>
    <w:rsid w:val="0058036D"/>
    <w:rsid w:val="005804F3"/>
    <w:rsid w:val="00580B07"/>
    <w:rsid w:val="00580EEB"/>
    <w:rsid w:val="00580FCF"/>
    <w:rsid w:val="00581839"/>
    <w:rsid w:val="00582515"/>
    <w:rsid w:val="00583673"/>
    <w:rsid w:val="00583D08"/>
    <w:rsid w:val="00584854"/>
    <w:rsid w:val="00585BA2"/>
    <w:rsid w:val="00586092"/>
    <w:rsid w:val="00586C46"/>
    <w:rsid w:val="005872D4"/>
    <w:rsid w:val="00587878"/>
    <w:rsid w:val="00587BE7"/>
    <w:rsid w:val="00587C12"/>
    <w:rsid w:val="00587CBC"/>
    <w:rsid w:val="00591009"/>
    <w:rsid w:val="00591A9E"/>
    <w:rsid w:val="00592182"/>
    <w:rsid w:val="005921C8"/>
    <w:rsid w:val="00592357"/>
    <w:rsid w:val="005934D1"/>
    <w:rsid w:val="00593E41"/>
    <w:rsid w:val="005943EC"/>
    <w:rsid w:val="005944E3"/>
    <w:rsid w:val="00594DA1"/>
    <w:rsid w:val="00595DF1"/>
    <w:rsid w:val="0059604A"/>
    <w:rsid w:val="0059613B"/>
    <w:rsid w:val="00596524"/>
    <w:rsid w:val="00597713"/>
    <w:rsid w:val="00597D35"/>
    <w:rsid w:val="00597FC2"/>
    <w:rsid w:val="005A0991"/>
    <w:rsid w:val="005A09F3"/>
    <w:rsid w:val="005A1369"/>
    <w:rsid w:val="005A2A88"/>
    <w:rsid w:val="005A3ACA"/>
    <w:rsid w:val="005A422D"/>
    <w:rsid w:val="005A4A36"/>
    <w:rsid w:val="005A6428"/>
    <w:rsid w:val="005A6BE3"/>
    <w:rsid w:val="005A6D6D"/>
    <w:rsid w:val="005A7264"/>
    <w:rsid w:val="005A7B3E"/>
    <w:rsid w:val="005B081A"/>
    <w:rsid w:val="005B0983"/>
    <w:rsid w:val="005B0F0B"/>
    <w:rsid w:val="005B10A7"/>
    <w:rsid w:val="005B1601"/>
    <w:rsid w:val="005B219E"/>
    <w:rsid w:val="005B3316"/>
    <w:rsid w:val="005B352D"/>
    <w:rsid w:val="005B4CFC"/>
    <w:rsid w:val="005B58B0"/>
    <w:rsid w:val="005B6AC8"/>
    <w:rsid w:val="005B752C"/>
    <w:rsid w:val="005B7A6D"/>
    <w:rsid w:val="005C0298"/>
    <w:rsid w:val="005C0769"/>
    <w:rsid w:val="005C0CFA"/>
    <w:rsid w:val="005C1197"/>
    <w:rsid w:val="005C21D1"/>
    <w:rsid w:val="005C360A"/>
    <w:rsid w:val="005C41FC"/>
    <w:rsid w:val="005C448C"/>
    <w:rsid w:val="005C46F4"/>
    <w:rsid w:val="005C4EAF"/>
    <w:rsid w:val="005C5398"/>
    <w:rsid w:val="005C5711"/>
    <w:rsid w:val="005C5FFB"/>
    <w:rsid w:val="005C7815"/>
    <w:rsid w:val="005D140D"/>
    <w:rsid w:val="005D1B7D"/>
    <w:rsid w:val="005D221C"/>
    <w:rsid w:val="005D2324"/>
    <w:rsid w:val="005D2A43"/>
    <w:rsid w:val="005D3088"/>
    <w:rsid w:val="005D48C4"/>
    <w:rsid w:val="005D56A0"/>
    <w:rsid w:val="005D6EA0"/>
    <w:rsid w:val="005E0769"/>
    <w:rsid w:val="005E084E"/>
    <w:rsid w:val="005E0F72"/>
    <w:rsid w:val="005E15B9"/>
    <w:rsid w:val="005E1BBA"/>
    <w:rsid w:val="005E20AE"/>
    <w:rsid w:val="005E2EB6"/>
    <w:rsid w:val="005E30EA"/>
    <w:rsid w:val="005E3EE4"/>
    <w:rsid w:val="005E42DF"/>
    <w:rsid w:val="005E51A3"/>
    <w:rsid w:val="005E59F2"/>
    <w:rsid w:val="005E611B"/>
    <w:rsid w:val="005E7783"/>
    <w:rsid w:val="005E7B36"/>
    <w:rsid w:val="005E7ECF"/>
    <w:rsid w:val="005F02E6"/>
    <w:rsid w:val="005F08B2"/>
    <w:rsid w:val="005F10F1"/>
    <w:rsid w:val="005F1911"/>
    <w:rsid w:val="005F1FFC"/>
    <w:rsid w:val="005F2CBA"/>
    <w:rsid w:val="005F3216"/>
    <w:rsid w:val="005F385A"/>
    <w:rsid w:val="005F3970"/>
    <w:rsid w:val="005F4524"/>
    <w:rsid w:val="005F4DFE"/>
    <w:rsid w:val="005F4E7B"/>
    <w:rsid w:val="005F4EF9"/>
    <w:rsid w:val="005F522E"/>
    <w:rsid w:val="005F52CB"/>
    <w:rsid w:val="005F6288"/>
    <w:rsid w:val="005F6817"/>
    <w:rsid w:val="005F7596"/>
    <w:rsid w:val="00600079"/>
    <w:rsid w:val="006015AE"/>
    <w:rsid w:val="006017B1"/>
    <w:rsid w:val="00601AC5"/>
    <w:rsid w:val="0060250E"/>
    <w:rsid w:val="00602578"/>
    <w:rsid w:val="006033FD"/>
    <w:rsid w:val="00603DEE"/>
    <w:rsid w:val="0060685F"/>
    <w:rsid w:val="00606E78"/>
    <w:rsid w:val="00607066"/>
    <w:rsid w:val="00607197"/>
    <w:rsid w:val="00607A16"/>
    <w:rsid w:val="00607F77"/>
    <w:rsid w:val="00610311"/>
    <w:rsid w:val="006109F8"/>
    <w:rsid w:val="00610DC7"/>
    <w:rsid w:val="00610E61"/>
    <w:rsid w:val="006112BF"/>
    <w:rsid w:val="006119C6"/>
    <w:rsid w:val="00612604"/>
    <w:rsid w:val="006126B9"/>
    <w:rsid w:val="00613019"/>
    <w:rsid w:val="00613377"/>
    <w:rsid w:val="006135CE"/>
    <w:rsid w:val="006136E8"/>
    <w:rsid w:val="00613F48"/>
    <w:rsid w:val="006147EA"/>
    <w:rsid w:val="006150F7"/>
    <w:rsid w:val="00615303"/>
    <w:rsid w:val="00615399"/>
    <w:rsid w:val="00615CF5"/>
    <w:rsid w:val="006167D1"/>
    <w:rsid w:val="00616D37"/>
    <w:rsid w:val="006173B2"/>
    <w:rsid w:val="006177BA"/>
    <w:rsid w:val="00617B53"/>
    <w:rsid w:val="00620D64"/>
    <w:rsid w:val="00621520"/>
    <w:rsid w:val="00621826"/>
    <w:rsid w:val="00622330"/>
    <w:rsid w:val="006226C7"/>
    <w:rsid w:val="00622C08"/>
    <w:rsid w:val="00623075"/>
    <w:rsid w:val="006234CC"/>
    <w:rsid w:val="00623657"/>
    <w:rsid w:val="00623751"/>
    <w:rsid w:val="00623910"/>
    <w:rsid w:val="0062449C"/>
    <w:rsid w:val="00624A27"/>
    <w:rsid w:val="00624CBB"/>
    <w:rsid w:val="00624D74"/>
    <w:rsid w:val="006250AA"/>
    <w:rsid w:val="00625695"/>
    <w:rsid w:val="00625CC8"/>
    <w:rsid w:val="00626A72"/>
    <w:rsid w:val="00626F06"/>
    <w:rsid w:val="0062716D"/>
    <w:rsid w:val="00627AF2"/>
    <w:rsid w:val="00627CF2"/>
    <w:rsid w:val="00630C21"/>
    <w:rsid w:val="0063138C"/>
    <w:rsid w:val="0063161B"/>
    <w:rsid w:val="006322A5"/>
    <w:rsid w:val="00632F94"/>
    <w:rsid w:val="00633D99"/>
    <w:rsid w:val="00634F75"/>
    <w:rsid w:val="0063561A"/>
    <w:rsid w:val="00635A6B"/>
    <w:rsid w:val="0063632F"/>
    <w:rsid w:val="006401D3"/>
    <w:rsid w:val="006402BB"/>
    <w:rsid w:val="00640C3D"/>
    <w:rsid w:val="00641E43"/>
    <w:rsid w:val="00642683"/>
    <w:rsid w:val="00642CA1"/>
    <w:rsid w:val="0064323F"/>
    <w:rsid w:val="006434A5"/>
    <w:rsid w:val="00643B96"/>
    <w:rsid w:val="00643DF6"/>
    <w:rsid w:val="006447F8"/>
    <w:rsid w:val="00644AB9"/>
    <w:rsid w:val="00645994"/>
    <w:rsid w:val="00645CCB"/>
    <w:rsid w:val="00646401"/>
    <w:rsid w:val="006469A8"/>
    <w:rsid w:val="00646F08"/>
    <w:rsid w:val="00647534"/>
    <w:rsid w:val="006506B6"/>
    <w:rsid w:val="006508F3"/>
    <w:rsid w:val="00650B10"/>
    <w:rsid w:val="00650C56"/>
    <w:rsid w:val="00650F89"/>
    <w:rsid w:val="00651F9F"/>
    <w:rsid w:val="00652858"/>
    <w:rsid w:val="006531F3"/>
    <w:rsid w:val="00653249"/>
    <w:rsid w:val="0065372F"/>
    <w:rsid w:val="0065387A"/>
    <w:rsid w:val="00653BA5"/>
    <w:rsid w:val="00653C8B"/>
    <w:rsid w:val="00654060"/>
    <w:rsid w:val="006542E6"/>
    <w:rsid w:val="006546CD"/>
    <w:rsid w:val="00654DE6"/>
    <w:rsid w:val="0065504C"/>
    <w:rsid w:val="006554D5"/>
    <w:rsid w:val="006558DC"/>
    <w:rsid w:val="0065652F"/>
    <w:rsid w:val="0065665B"/>
    <w:rsid w:val="00656B27"/>
    <w:rsid w:val="00657F8B"/>
    <w:rsid w:val="00660401"/>
    <w:rsid w:val="0066152C"/>
    <w:rsid w:val="006618FC"/>
    <w:rsid w:val="00663C31"/>
    <w:rsid w:val="00663D00"/>
    <w:rsid w:val="00663E86"/>
    <w:rsid w:val="00664422"/>
    <w:rsid w:val="006648FD"/>
    <w:rsid w:val="00665787"/>
    <w:rsid w:val="00665789"/>
    <w:rsid w:val="0066592D"/>
    <w:rsid w:val="00665DC3"/>
    <w:rsid w:val="00666780"/>
    <w:rsid w:val="00666845"/>
    <w:rsid w:val="006669E0"/>
    <w:rsid w:val="006705A7"/>
    <w:rsid w:val="00670816"/>
    <w:rsid w:val="0067122F"/>
    <w:rsid w:val="00671B7E"/>
    <w:rsid w:val="00671D61"/>
    <w:rsid w:val="00671F2E"/>
    <w:rsid w:val="00672170"/>
    <w:rsid w:val="006721B7"/>
    <w:rsid w:val="0067238F"/>
    <w:rsid w:val="00672D0E"/>
    <w:rsid w:val="00673847"/>
    <w:rsid w:val="00673919"/>
    <w:rsid w:val="00673B8B"/>
    <w:rsid w:val="00673BB0"/>
    <w:rsid w:val="00673DD9"/>
    <w:rsid w:val="00674B08"/>
    <w:rsid w:val="00675B0A"/>
    <w:rsid w:val="00675C20"/>
    <w:rsid w:val="006767BC"/>
    <w:rsid w:val="00680876"/>
    <w:rsid w:val="00681D75"/>
    <w:rsid w:val="0068242E"/>
    <w:rsid w:val="006829C8"/>
    <w:rsid w:val="00682C71"/>
    <w:rsid w:val="006834D6"/>
    <w:rsid w:val="00684ABE"/>
    <w:rsid w:val="00684BAF"/>
    <w:rsid w:val="00685432"/>
    <w:rsid w:val="00685465"/>
    <w:rsid w:val="00686711"/>
    <w:rsid w:val="0069008D"/>
    <w:rsid w:val="00690B5F"/>
    <w:rsid w:val="00691244"/>
    <w:rsid w:val="00691498"/>
    <w:rsid w:val="00691B3D"/>
    <w:rsid w:val="00691FCC"/>
    <w:rsid w:val="00696CF9"/>
    <w:rsid w:val="00696EBB"/>
    <w:rsid w:val="00697E86"/>
    <w:rsid w:val="006A02E6"/>
    <w:rsid w:val="006A1960"/>
    <w:rsid w:val="006A19FF"/>
    <w:rsid w:val="006A1DFE"/>
    <w:rsid w:val="006A1F10"/>
    <w:rsid w:val="006A271C"/>
    <w:rsid w:val="006A280D"/>
    <w:rsid w:val="006A2957"/>
    <w:rsid w:val="006A3A26"/>
    <w:rsid w:val="006A4D4E"/>
    <w:rsid w:val="006A6284"/>
    <w:rsid w:val="006A7291"/>
    <w:rsid w:val="006B0515"/>
    <w:rsid w:val="006B0D4A"/>
    <w:rsid w:val="006B108E"/>
    <w:rsid w:val="006B15CB"/>
    <w:rsid w:val="006B2276"/>
    <w:rsid w:val="006B2B89"/>
    <w:rsid w:val="006B2BB3"/>
    <w:rsid w:val="006B304A"/>
    <w:rsid w:val="006B3511"/>
    <w:rsid w:val="006B53FA"/>
    <w:rsid w:val="006B630A"/>
    <w:rsid w:val="006B68BF"/>
    <w:rsid w:val="006B7DB8"/>
    <w:rsid w:val="006B7FF2"/>
    <w:rsid w:val="006C0ED8"/>
    <w:rsid w:val="006C12C1"/>
    <w:rsid w:val="006C1577"/>
    <w:rsid w:val="006C157E"/>
    <w:rsid w:val="006C18D0"/>
    <w:rsid w:val="006C2F0F"/>
    <w:rsid w:val="006C3004"/>
    <w:rsid w:val="006C36A6"/>
    <w:rsid w:val="006C3765"/>
    <w:rsid w:val="006C4647"/>
    <w:rsid w:val="006C464E"/>
    <w:rsid w:val="006C53D2"/>
    <w:rsid w:val="006C5ACD"/>
    <w:rsid w:val="006C5D58"/>
    <w:rsid w:val="006C6300"/>
    <w:rsid w:val="006C6D5A"/>
    <w:rsid w:val="006C7FD2"/>
    <w:rsid w:val="006D1544"/>
    <w:rsid w:val="006D1601"/>
    <w:rsid w:val="006D29A3"/>
    <w:rsid w:val="006D33DF"/>
    <w:rsid w:val="006D36B7"/>
    <w:rsid w:val="006D39CC"/>
    <w:rsid w:val="006D3A49"/>
    <w:rsid w:val="006D4697"/>
    <w:rsid w:val="006D4AA1"/>
    <w:rsid w:val="006D4D09"/>
    <w:rsid w:val="006D56FE"/>
    <w:rsid w:val="006D6056"/>
    <w:rsid w:val="006D75A2"/>
    <w:rsid w:val="006D7E0F"/>
    <w:rsid w:val="006E05C6"/>
    <w:rsid w:val="006E0A24"/>
    <w:rsid w:val="006E0FD4"/>
    <w:rsid w:val="006E0FDF"/>
    <w:rsid w:val="006E16F1"/>
    <w:rsid w:val="006E1748"/>
    <w:rsid w:val="006E1BBD"/>
    <w:rsid w:val="006E2BE2"/>
    <w:rsid w:val="006E2D04"/>
    <w:rsid w:val="006E359B"/>
    <w:rsid w:val="006E436C"/>
    <w:rsid w:val="006E4B2E"/>
    <w:rsid w:val="006E4DEC"/>
    <w:rsid w:val="006E7034"/>
    <w:rsid w:val="006E75BF"/>
    <w:rsid w:val="006E7F78"/>
    <w:rsid w:val="006F09B5"/>
    <w:rsid w:val="006F11B8"/>
    <w:rsid w:val="006F1349"/>
    <w:rsid w:val="006F14ED"/>
    <w:rsid w:val="006F201F"/>
    <w:rsid w:val="006F2442"/>
    <w:rsid w:val="006F26A4"/>
    <w:rsid w:val="006F27E6"/>
    <w:rsid w:val="006F2A15"/>
    <w:rsid w:val="006F2C03"/>
    <w:rsid w:val="006F3483"/>
    <w:rsid w:val="006F3C9F"/>
    <w:rsid w:val="006F3E5A"/>
    <w:rsid w:val="006F4082"/>
    <w:rsid w:val="006F418E"/>
    <w:rsid w:val="006F4606"/>
    <w:rsid w:val="006F48B3"/>
    <w:rsid w:val="006F48B8"/>
    <w:rsid w:val="006F553C"/>
    <w:rsid w:val="006F5924"/>
    <w:rsid w:val="006F5C5D"/>
    <w:rsid w:val="006F6258"/>
    <w:rsid w:val="006F65E1"/>
    <w:rsid w:val="006F6FCA"/>
    <w:rsid w:val="006F7428"/>
    <w:rsid w:val="006F74CC"/>
    <w:rsid w:val="006F7A15"/>
    <w:rsid w:val="006F7F8E"/>
    <w:rsid w:val="007008F6"/>
    <w:rsid w:val="00701552"/>
    <w:rsid w:val="00701645"/>
    <w:rsid w:val="007019B4"/>
    <w:rsid w:val="007020D8"/>
    <w:rsid w:val="00702811"/>
    <w:rsid w:val="00702DC0"/>
    <w:rsid w:val="0070315D"/>
    <w:rsid w:val="00703243"/>
    <w:rsid w:val="00703E0C"/>
    <w:rsid w:val="007043CC"/>
    <w:rsid w:val="00704A51"/>
    <w:rsid w:val="00704D15"/>
    <w:rsid w:val="00704FDE"/>
    <w:rsid w:val="00705448"/>
    <w:rsid w:val="00705616"/>
    <w:rsid w:val="00705641"/>
    <w:rsid w:val="007063E4"/>
    <w:rsid w:val="0070643C"/>
    <w:rsid w:val="0070757A"/>
    <w:rsid w:val="00710A56"/>
    <w:rsid w:val="00711C0F"/>
    <w:rsid w:val="00711DD5"/>
    <w:rsid w:val="00711F38"/>
    <w:rsid w:val="007122EC"/>
    <w:rsid w:val="007126AD"/>
    <w:rsid w:val="007126D1"/>
    <w:rsid w:val="007127F9"/>
    <w:rsid w:val="00713093"/>
    <w:rsid w:val="00714469"/>
    <w:rsid w:val="00714504"/>
    <w:rsid w:val="00714597"/>
    <w:rsid w:val="0071492E"/>
    <w:rsid w:val="00715CEA"/>
    <w:rsid w:val="00716A23"/>
    <w:rsid w:val="00716FEA"/>
    <w:rsid w:val="00717388"/>
    <w:rsid w:val="0071742A"/>
    <w:rsid w:val="0072121E"/>
    <w:rsid w:val="00721938"/>
    <w:rsid w:val="00721B54"/>
    <w:rsid w:val="00721C69"/>
    <w:rsid w:val="007227B2"/>
    <w:rsid w:val="00722A03"/>
    <w:rsid w:val="00722D4D"/>
    <w:rsid w:val="00722ED8"/>
    <w:rsid w:val="00723285"/>
    <w:rsid w:val="00723FC6"/>
    <w:rsid w:val="00725653"/>
    <w:rsid w:val="0072598A"/>
    <w:rsid w:val="00725FD2"/>
    <w:rsid w:val="0073013B"/>
    <w:rsid w:val="007301EF"/>
    <w:rsid w:val="0073092D"/>
    <w:rsid w:val="00730D88"/>
    <w:rsid w:val="00730E8F"/>
    <w:rsid w:val="00731510"/>
    <w:rsid w:val="00731D48"/>
    <w:rsid w:val="00732BD9"/>
    <w:rsid w:val="00732EE0"/>
    <w:rsid w:val="0073300B"/>
    <w:rsid w:val="007339CD"/>
    <w:rsid w:val="00733CC6"/>
    <w:rsid w:val="00733E91"/>
    <w:rsid w:val="00733F83"/>
    <w:rsid w:val="00734484"/>
    <w:rsid w:val="00735338"/>
    <w:rsid w:val="00740954"/>
    <w:rsid w:val="00740C86"/>
    <w:rsid w:val="0074173A"/>
    <w:rsid w:val="00742076"/>
    <w:rsid w:val="0074211B"/>
    <w:rsid w:val="00744B6D"/>
    <w:rsid w:val="00745136"/>
    <w:rsid w:val="00745A15"/>
    <w:rsid w:val="00745DD2"/>
    <w:rsid w:val="00745DF9"/>
    <w:rsid w:val="00746966"/>
    <w:rsid w:val="0074779D"/>
    <w:rsid w:val="00750280"/>
    <w:rsid w:val="00750670"/>
    <w:rsid w:val="00751031"/>
    <w:rsid w:val="00751354"/>
    <w:rsid w:val="00753593"/>
    <w:rsid w:val="00753C19"/>
    <w:rsid w:val="00753F7D"/>
    <w:rsid w:val="007546CB"/>
    <w:rsid w:val="007557A7"/>
    <w:rsid w:val="0075626C"/>
    <w:rsid w:val="0075685F"/>
    <w:rsid w:val="00756909"/>
    <w:rsid w:val="00756935"/>
    <w:rsid w:val="00757299"/>
    <w:rsid w:val="00760983"/>
    <w:rsid w:val="00760BE2"/>
    <w:rsid w:val="00760D10"/>
    <w:rsid w:val="00761946"/>
    <w:rsid w:val="00762108"/>
    <w:rsid w:val="00763956"/>
    <w:rsid w:val="00765530"/>
    <w:rsid w:val="00767A66"/>
    <w:rsid w:val="007706CE"/>
    <w:rsid w:val="00770E38"/>
    <w:rsid w:val="00771369"/>
    <w:rsid w:val="00771637"/>
    <w:rsid w:val="00771C22"/>
    <w:rsid w:val="0077312B"/>
    <w:rsid w:val="00773F56"/>
    <w:rsid w:val="00774D45"/>
    <w:rsid w:val="007751DE"/>
    <w:rsid w:val="00776546"/>
    <w:rsid w:val="00776749"/>
    <w:rsid w:val="007811AB"/>
    <w:rsid w:val="0078133D"/>
    <w:rsid w:val="00781381"/>
    <w:rsid w:val="00781909"/>
    <w:rsid w:val="00781E34"/>
    <w:rsid w:val="0078322F"/>
    <w:rsid w:val="00783433"/>
    <w:rsid w:val="00783A7C"/>
    <w:rsid w:val="00783B84"/>
    <w:rsid w:val="00783E6E"/>
    <w:rsid w:val="00784529"/>
    <w:rsid w:val="007849B2"/>
    <w:rsid w:val="00785072"/>
    <w:rsid w:val="00785785"/>
    <w:rsid w:val="00785CF2"/>
    <w:rsid w:val="00785DCC"/>
    <w:rsid w:val="00785E22"/>
    <w:rsid w:val="00786770"/>
    <w:rsid w:val="00787375"/>
    <w:rsid w:val="007901CB"/>
    <w:rsid w:val="0079099A"/>
    <w:rsid w:val="00790C85"/>
    <w:rsid w:val="007918FB"/>
    <w:rsid w:val="00791C4A"/>
    <w:rsid w:val="00791D55"/>
    <w:rsid w:val="00791DED"/>
    <w:rsid w:val="00792847"/>
    <w:rsid w:val="00792AA8"/>
    <w:rsid w:val="00792CFD"/>
    <w:rsid w:val="0079304D"/>
    <w:rsid w:val="00793AAE"/>
    <w:rsid w:val="00793B85"/>
    <w:rsid w:val="00793E25"/>
    <w:rsid w:val="00793F95"/>
    <w:rsid w:val="00794972"/>
    <w:rsid w:val="00794A17"/>
    <w:rsid w:val="00794D2C"/>
    <w:rsid w:val="007953C6"/>
    <w:rsid w:val="007954B9"/>
    <w:rsid w:val="007959FE"/>
    <w:rsid w:val="007960C0"/>
    <w:rsid w:val="00796434"/>
    <w:rsid w:val="00796EE7"/>
    <w:rsid w:val="00797022"/>
    <w:rsid w:val="007972FE"/>
    <w:rsid w:val="007973A9"/>
    <w:rsid w:val="007973E2"/>
    <w:rsid w:val="00797A71"/>
    <w:rsid w:val="00797AE7"/>
    <w:rsid w:val="00797CB0"/>
    <w:rsid w:val="007A0458"/>
    <w:rsid w:val="007A0EA2"/>
    <w:rsid w:val="007A15A0"/>
    <w:rsid w:val="007A1A10"/>
    <w:rsid w:val="007A2474"/>
    <w:rsid w:val="007A32B4"/>
    <w:rsid w:val="007A3ABE"/>
    <w:rsid w:val="007A3E60"/>
    <w:rsid w:val="007A48CE"/>
    <w:rsid w:val="007A4CB0"/>
    <w:rsid w:val="007A50E4"/>
    <w:rsid w:val="007A57AF"/>
    <w:rsid w:val="007A5A68"/>
    <w:rsid w:val="007A5B23"/>
    <w:rsid w:val="007A5B52"/>
    <w:rsid w:val="007A5DBB"/>
    <w:rsid w:val="007A62C3"/>
    <w:rsid w:val="007A6E6F"/>
    <w:rsid w:val="007B3826"/>
    <w:rsid w:val="007B3E14"/>
    <w:rsid w:val="007B4102"/>
    <w:rsid w:val="007B4399"/>
    <w:rsid w:val="007B4657"/>
    <w:rsid w:val="007B4C17"/>
    <w:rsid w:val="007B5155"/>
    <w:rsid w:val="007B521E"/>
    <w:rsid w:val="007B5F85"/>
    <w:rsid w:val="007B651A"/>
    <w:rsid w:val="007B6648"/>
    <w:rsid w:val="007B6669"/>
    <w:rsid w:val="007B67B2"/>
    <w:rsid w:val="007B747A"/>
    <w:rsid w:val="007B7C3C"/>
    <w:rsid w:val="007C0123"/>
    <w:rsid w:val="007C0D72"/>
    <w:rsid w:val="007C0E09"/>
    <w:rsid w:val="007C1C38"/>
    <w:rsid w:val="007C1D63"/>
    <w:rsid w:val="007C226B"/>
    <w:rsid w:val="007C2888"/>
    <w:rsid w:val="007C311B"/>
    <w:rsid w:val="007C324F"/>
    <w:rsid w:val="007C506B"/>
    <w:rsid w:val="007C6B73"/>
    <w:rsid w:val="007C7190"/>
    <w:rsid w:val="007D017E"/>
    <w:rsid w:val="007D0636"/>
    <w:rsid w:val="007D0674"/>
    <w:rsid w:val="007D0986"/>
    <w:rsid w:val="007D109C"/>
    <w:rsid w:val="007D199C"/>
    <w:rsid w:val="007D1BB5"/>
    <w:rsid w:val="007D1BBE"/>
    <w:rsid w:val="007D324F"/>
    <w:rsid w:val="007D4077"/>
    <w:rsid w:val="007D4D78"/>
    <w:rsid w:val="007D52E0"/>
    <w:rsid w:val="007D5781"/>
    <w:rsid w:val="007D599E"/>
    <w:rsid w:val="007D59A7"/>
    <w:rsid w:val="007D698B"/>
    <w:rsid w:val="007D73B5"/>
    <w:rsid w:val="007D75C9"/>
    <w:rsid w:val="007D77B5"/>
    <w:rsid w:val="007D7BB6"/>
    <w:rsid w:val="007E00CB"/>
    <w:rsid w:val="007E1173"/>
    <w:rsid w:val="007E1DF2"/>
    <w:rsid w:val="007E2CAA"/>
    <w:rsid w:val="007E5A88"/>
    <w:rsid w:val="007E5C37"/>
    <w:rsid w:val="007E5D35"/>
    <w:rsid w:val="007E6E31"/>
    <w:rsid w:val="007E6F67"/>
    <w:rsid w:val="007E755F"/>
    <w:rsid w:val="007E7AEA"/>
    <w:rsid w:val="007F0324"/>
    <w:rsid w:val="007F117E"/>
    <w:rsid w:val="007F1363"/>
    <w:rsid w:val="007F261B"/>
    <w:rsid w:val="007F302C"/>
    <w:rsid w:val="007F3429"/>
    <w:rsid w:val="007F3BBB"/>
    <w:rsid w:val="007F497B"/>
    <w:rsid w:val="007F4E2C"/>
    <w:rsid w:val="007F504C"/>
    <w:rsid w:val="007F52A6"/>
    <w:rsid w:val="007F5789"/>
    <w:rsid w:val="007F5BF5"/>
    <w:rsid w:val="007F5FC9"/>
    <w:rsid w:val="007F68DA"/>
    <w:rsid w:val="007F690B"/>
    <w:rsid w:val="007F7982"/>
    <w:rsid w:val="007F7A98"/>
    <w:rsid w:val="0080019F"/>
    <w:rsid w:val="008004E7"/>
    <w:rsid w:val="00800C44"/>
    <w:rsid w:val="00801211"/>
    <w:rsid w:val="0080177F"/>
    <w:rsid w:val="0080276C"/>
    <w:rsid w:val="0080359B"/>
    <w:rsid w:val="00803A39"/>
    <w:rsid w:val="00803ADC"/>
    <w:rsid w:val="0080440B"/>
    <w:rsid w:val="0080497D"/>
    <w:rsid w:val="008058DF"/>
    <w:rsid w:val="008060C8"/>
    <w:rsid w:val="00807110"/>
    <w:rsid w:val="008074B2"/>
    <w:rsid w:val="00807D62"/>
    <w:rsid w:val="008101B5"/>
    <w:rsid w:val="008102F7"/>
    <w:rsid w:val="00810A3A"/>
    <w:rsid w:val="00810B18"/>
    <w:rsid w:val="00810F5C"/>
    <w:rsid w:val="00811BE4"/>
    <w:rsid w:val="00811F2E"/>
    <w:rsid w:val="00812644"/>
    <w:rsid w:val="00812723"/>
    <w:rsid w:val="008138D3"/>
    <w:rsid w:val="00813E38"/>
    <w:rsid w:val="00814355"/>
    <w:rsid w:val="00814A2D"/>
    <w:rsid w:val="00814A6A"/>
    <w:rsid w:val="00814EAF"/>
    <w:rsid w:val="00814ED4"/>
    <w:rsid w:val="008152E3"/>
    <w:rsid w:val="0081557C"/>
    <w:rsid w:val="008156EB"/>
    <w:rsid w:val="008159B1"/>
    <w:rsid w:val="00817500"/>
    <w:rsid w:val="008178EA"/>
    <w:rsid w:val="00820090"/>
    <w:rsid w:val="00820282"/>
    <w:rsid w:val="00820813"/>
    <w:rsid w:val="00820872"/>
    <w:rsid w:val="0082117F"/>
    <w:rsid w:val="008212A0"/>
    <w:rsid w:val="0082177A"/>
    <w:rsid w:val="00821814"/>
    <w:rsid w:val="00822C47"/>
    <w:rsid w:val="00824494"/>
    <w:rsid w:val="00824F1C"/>
    <w:rsid w:val="008250A4"/>
    <w:rsid w:val="0082528C"/>
    <w:rsid w:val="00825333"/>
    <w:rsid w:val="0082619C"/>
    <w:rsid w:val="00826258"/>
    <w:rsid w:val="00826A89"/>
    <w:rsid w:val="00826BF2"/>
    <w:rsid w:val="00826BF5"/>
    <w:rsid w:val="00826D25"/>
    <w:rsid w:val="008275FF"/>
    <w:rsid w:val="008277CB"/>
    <w:rsid w:val="008279ED"/>
    <w:rsid w:val="00830373"/>
    <w:rsid w:val="008308E6"/>
    <w:rsid w:val="0083159F"/>
    <w:rsid w:val="008315B1"/>
    <w:rsid w:val="00831A0D"/>
    <w:rsid w:val="00831A68"/>
    <w:rsid w:val="00831B54"/>
    <w:rsid w:val="00832A2C"/>
    <w:rsid w:val="00834CE8"/>
    <w:rsid w:val="0083640C"/>
    <w:rsid w:val="00836AD2"/>
    <w:rsid w:val="00836C4A"/>
    <w:rsid w:val="008375CC"/>
    <w:rsid w:val="008415CC"/>
    <w:rsid w:val="00842414"/>
    <w:rsid w:val="00842862"/>
    <w:rsid w:val="00842C39"/>
    <w:rsid w:val="00842CB8"/>
    <w:rsid w:val="00843597"/>
    <w:rsid w:val="008437E6"/>
    <w:rsid w:val="00844041"/>
    <w:rsid w:val="00845199"/>
    <w:rsid w:val="00845A5C"/>
    <w:rsid w:val="0084632D"/>
    <w:rsid w:val="008473AE"/>
    <w:rsid w:val="00847DFE"/>
    <w:rsid w:val="00850C32"/>
    <w:rsid w:val="00851111"/>
    <w:rsid w:val="0085154E"/>
    <w:rsid w:val="008517A1"/>
    <w:rsid w:val="00851ABB"/>
    <w:rsid w:val="00851D00"/>
    <w:rsid w:val="00851D27"/>
    <w:rsid w:val="008525CF"/>
    <w:rsid w:val="00852B10"/>
    <w:rsid w:val="00852B55"/>
    <w:rsid w:val="00853960"/>
    <w:rsid w:val="0085397F"/>
    <w:rsid w:val="008542CC"/>
    <w:rsid w:val="00854BD4"/>
    <w:rsid w:val="00854FF1"/>
    <w:rsid w:val="0085539A"/>
    <w:rsid w:val="00855FE0"/>
    <w:rsid w:val="00857730"/>
    <w:rsid w:val="0085794D"/>
    <w:rsid w:val="00857CAD"/>
    <w:rsid w:val="00860939"/>
    <w:rsid w:val="00860973"/>
    <w:rsid w:val="00860B77"/>
    <w:rsid w:val="00860CBC"/>
    <w:rsid w:val="0086126D"/>
    <w:rsid w:val="0086183E"/>
    <w:rsid w:val="00862736"/>
    <w:rsid w:val="00862801"/>
    <w:rsid w:val="0086287C"/>
    <w:rsid w:val="00862E85"/>
    <w:rsid w:val="0086399A"/>
    <w:rsid w:val="00863E16"/>
    <w:rsid w:val="008648B5"/>
    <w:rsid w:val="00864957"/>
    <w:rsid w:val="00864F2C"/>
    <w:rsid w:val="008654FE"/>
    <w:rsid w:val="008663F9"/>
    <w:rsid w:val="0086641A"/>
    <w:rsid w:val="00866B6F"/>
    <w:rsid w:val="00866FF2"/>
    <w:rsid w:val="0086723F"/>
    <w:rsid w:val="00867B9F"/>
    <w:rsid w:val="00867F68"/>
    <w:rsid w:val="00870727"/>
    <w:rsid w:val="00870B89"/>
    <w:rsid w:val="008715FD"/>
    <w:rsid w:val="008716C3"/>
    <w:rsid w:val="008717FF"/>
    <w:rsid w:val="0087253F"/>
    <w:rsid w:val="00872E30"/>
    <w:rsid w:val="00873209"/>
    <w:rsid w:val="008737D3"/>
    <w:rsid w:val="00873BCE"/>
    <w:rsid w:val="008747E8"/>
    <w:rsid w:val="00874CA8"/>
    <w:rsid w:val="00875662"/>
    <w:rsid w:val="00875786"/>
    <w:rsid w:val="008758A3"/>
    <w:rsid w:val="00875EAA"/>
    <w:rsid w:val="00877416"/>
    <w:rsid w:val="00877CBF"/>
    <w:rsid w:val="00880278"/>
    <w:rsid w:val="00881096"/>
    <w:rsid w:val="00881A84"/>
    <w:rsid w:val="0088239C"/>
    <w:rsid w:val="00882D53"/>
    <w:rsid w:val="00883437"/>
    <w:rsid w:val="008834C5"/>
    <w:rsid w:val="00883C24"/>
    <w:rsid w:val="00883EDF"/>
    <w:rsid w:val="00884F0A"/>
    <w:rsid w:val="008853F1"/>
    <w:rsid w:val="008853F8"/>
    <w:rsid w:val="0088605B"/>
    <w:rsid w:val="008864EC"/>
    <w:rsid w:val="00886515"/>
    <w:rsid w:val="00886F55"/>
    <w:rsid w:val="008879D6"/>
    <w:rsid w:val="008908E8"/>
    <w:rsid w:val="008913F0"/>
    <w:rsid w:val="008920F8"/>
    <w:rsid w:val="008922D1"/>
    <w:rsid w:val="00892C73"/>
    <w:rsid w:val="00893685"/>
    <w:rsid w:val="008953BD"/>
    <w:rsid w:val="00896DB8"/>
    <w:rsid w:val="008979CB"/>
    <w:rsid w:val="00897CC1"/>
    <w:rsid w:val="008A0960"/>
    <w:rsid w:val="008A0A6F"/>
    <w:rsid w:val="008A0E6D"/>
    <w:rsid w:val="008A16F8"/>
    <w:rsid w:val="008A2460"/>
    <w:rsid w:val="008A341F"/>
    <w:rsid w:val="008A4620"/>
    <w:rsid w:val="008A4628"/>
    <w:rsid w:val="008A4D06"/>
    <w:rsid w:val="008A4E6B"/>
    <w:rsid w:val="008A4E91"/>
    <w:rsid w:val="008A6F5A"/>
    <w:rsid w:val="008B0A5D"/>
    <w:rsid w:val="008B14EF"/>
    <w:rsid w:val="008B3359"/>
    <w:rsid w:val="008B3B53"/>
    <w:rsid w:val="008B3B9C"/>
    <w:rsid w:val="008B417B"/>
    <w:rsid w:val="008B47CB"/>
    <w:rsid w:val="008B4AB7"/>
    <w:rsid w:val="008B513A"/>
    <w:rsid w:val="008B5C89"/>
    <w:rsid w:val="008B675B"/>
    <w:rsid w:val="008B6A6C"/>
    <w:rsid w:val="008B6BD7"/>
    <w:rsid w:val="008B747E"/>
    <w:rsid w:val="008B7F7F"/>
    <w:rsid w:val="008C02BC"/>
    <w:rsid w:val="008C03DA"/>
    <w:rsid w:val="008C07C1"/>
    <w:rsid w:val="008C15BB"/>
    <w:rsid w:val="008C1AD7"/>
    <w:rsid w:val="008C1CA5"/>
    <w:rsid w:val="008C28E5"/>
    <w:rsid w:val="008C2A42"/>
    <w:rsid w:val="008C390B"/>
    <w:rsid w:val="008C4099"/>
    <w:rsid w:val="008C463A"/>
    <w:rsid w:val="008C4BBF"/>
    <w:rsid w:val="008C4E5F"/>
    <w:rsid w:val="008C58B3"/>
    <w:rsid w:val="008C597C"/>
    <w:rsid w:val="008C62CA"/>
    <w:rsid w:val="008C6C82"/>
    <w:rsid w:val="008C6C83"/>
    <w:rsid w:val="008C6D50"/>
    <w:rsid w:val="008C753B"/>
    <w:rsid w:val="008C7896"/>
    <w:rsid w:val="008D1014"/>
    <w:rsid w:val="008D1046"/>
    <w:rsid w:val="008D1410"/>
    <w:rsid w:val="008D15F7"/>
    <w:rsid w:val="008D1FDE"/>
    <w:rsid w:val="008D2423"/>
    <w:rsid w:val="008D2E65"/>
    <w:rsid w:val="008D2E98"/>
    <w:rsid w:val="008D351D"/>
    <w:rsid w:val="008D365F"/>
    <w:rsid w:val="008D39CB"/>
    <w:rsid w:val="008D3CA2"/>
    <w:rsid w:val="008D3D74"/>
    <w:rsid w:val="008D40D1"/>
    <w:rsid w:val="008D5211"/>
    <w:rsid w:val="008D5541"/>
    <w:rsid w:val="008D55D0"/>
    <w:rsid w:val="008D58A9"/>
    <w:rsid w:val="008D5ACB"/>
    <w:rsid w:val="008D7944"/>
    <w:rsid w:val="008D7CFE"/>
    <w:rsid w:val="008D7D40"/>
    <w:rsid w:val="008D7E42"/>
    <w:rsid w:val="008E1220"/>
    <w:rsid w:val="008E1C45"/>
    <w:rsid w:val="008E1E98"/>
    <w:rsid w:val="008E2417"/>
    <w:rsid w:val="008E242E"/>
    <w:rsid w:val="008E29F9"/>
    <w:rsid w:val="008E3102"/>
    <w:rsid w:val="008E46AF"/>
    <w:rsid w:val="008E4FC9"/>
    <w:rsid w:val="008E647B"/>
    <w:rsid w:val="008E781B"/>
    <w:rsid w:val="008E7B61"/>
    <w:rsid w:val="008F001A"/>
    <w:rsid w:val="008F0FF0"/>
    <w:rsid w:val="008F149D"/>
    <w:rsid w:val="008F17E9"/>
    <w:rsid w:val="008F19E0"/>
    <w:rsid w:val="008F1B1C"/>
    <w:rsid w:val="008F1F9A"/>
    <w:rsid w:val="008F2144"/>
    <w:rsid w:val="008F3059"/>
    <w:rsid w:val="008F3AE2"/>
    <w:rsid w:val="008F41FC"/>
    <w:rsid w:val="008F5D91"/>
    <w:rsid w:val="008F6221"/>
    <w:rsid w:val="008F722B"/>
    <w:rsid w:val="008F73FE"/>
    <w:rsid w:val="008F747D"/>
    <w:rsid w:val="008F777B"/>
    <w:rsid w:val="008F7CCE"/>
    <w:rsid w:val="0090013D"/>
    <w:rsid w:val="00901348"/>
    <w:rsid w:val="009040CA"/>
    <w:rsid w:val="00904A09"/>
    <w:rsid w:val="00905920"/>
    <w:rsid w:val="00905976"/>
    <w:rsid w:val="00905D9F"/>
    <w:rsid w:val="009064E2"/>
    <w:rsid w:val="009071BD"/>
    <w:rsid w:val="009077C7"/>
    <w:rsid w:val="00907AEC"/>
    <w:rsid w:val="00910143"/>
    <w:rsid w:val="00910D85"/>
    <w:rsid w:val="009111C0"/>
    <w:rsid w:val="00912096"/>
    <w:rsid w:val="009121EC"/>
    <w:rsid w:val="0091220E"/>
    <w:rsid w:val="00912303"/>
    <w:rsid w:val="00912524"/>
    <w:rsid w:val="00912540"/>
    <w:rsid w:val="00912BE1"/>
    <w:rsid w:val="009130B2"/>
    <w:rsid w:val="0091385C"/>
    <w:rsid w:val="00914024"/>
    <w:rsid w:val="0091465A"/>
    <w:rsid w:val="00914A59"/>
    <w:rsid w:val="00914DAC"/>
    <w:rsid w:val="0091587D"/>
    <w:rsid w:val="009163E7"/>
    <w:rsid w:val="009164BD"/>
    <w:rsid w:val="009174E1"/>
    <w:rsid w:val="00917EA2"/>
    <w:rsid w:val="00920216"/>
    <w:rsid w:val="00920463"/>
    <w:rsid w:val="0092088E"/>
    <w:rsid w:val="0092155C"/>
    <w:rsid w:val="0092172F"/>
    <w:rsid w:val="00921E07"/>
    <w:rsid w:val="009224DA"/>
    <w:rsid w:val="00922643"/>
    <w:rsid w:val="009231E5"/>
    <w:rsid w:val="009238C7"/>
    <w:rsid w:val="00923B2D"/>
    <w:rsid w:val="00923D68"/>
    <w:rsid w:val="009245CA"/>
    <w:rsid w:val="00924C29"/>
    <w:rsid w:val="0092551F"/>
    <w:rsid w:val="00925FE4"/>
    <w:rsid w:val="00926101"/>
    <w:rsid w:val="0092670F"/>
    <w:rsid w:val="00926B96"/>
    <w:rsid w:val="00926E4D"/>
    <w:rsid w:val="00927346"/>
    <w:rsid w:val="0092738F"/>
    <w:rsid w:val="00927986"/>
    <w:rsid w:val="009307AF"/>
    <w:rsid w:val="00931E86"/>
    <w:rsid w:val="0093352D"/>
    <w:rsid w:val="00934C86"/>
    <w:rsid w:val="00935E67"/>
    <w:rsid w:val="009362D6"/>
    <w:rsid w:val="00936346"/>
    <w:rsid w:val="009376FF"/>
    <w:rsid w:val="00940185"/>
    <w:rsid w:val="009407FD"/>
    <w:rsid w:val="00940BCD"/>
    <w:rsid w:val="00941279"/>
    <w:rsid w:val="00942525"/>
    <w:rsid w:val="009425F2"/>
    <w:rsid w:val="00942B7E"/>
    <w:rsid w:val="0094396B"/>
    <w:rsid w:val="00945E91"/>
    <w:rsid w:val="009461B2"/>
    <w:rsid w:val="009462D5"/>
    <w:rsid w:val="00946B78"/>
    <w:rsid w:val="00946D22"/>
    <w:rsid w:val="0094725D"/>
    <w:rsid w:val="0094789A"/>
    <w:rsid w:val="00947B30"/>
    <w:rsid w:val="00950141"/>
    <w:rsid w:val="009502EC"/>
    <w:rsid w:val="00950AC4"/>
    <w:rsid w:val="00951BCB"/>
    <w:rsid w:val="00951D66"/>
    <w:rsid w:val="00952AA1"/>
    <w:rsid w:val="009532A0"/>
    <w:rsid w:val="009532ED"/>
    <w:rsid w:val="00953549"/>
    <w:rsid w:val="00953989"/>
    <w:rsid w:val="0095456C"/>
    <w:rsid w:val="009547B3"/>
    <w:rsid w:val="00954A9F"/>
    <w:rsid w:val="00954E9B"/>
    <w:rsid w:val="00954F2F"/>
    <w:rsid w:val="009567D0"/>
    <w:rsid w:val="00956905"/>
    <w:rsid w:val="00957370"/>
    <w:rsid w:val="009574EB"/>
    <w:rsid w:val="009614C6"/>
    <w:rsid w:val="00961636"/>
    <w:rsid w:val="00961886"/>
    <w:rsid w:val="00961F86"/>
    <w:rsid w:val="0096227D"/>
    <w:rsid w:val="00962BFB"/>
    <w:rsid w:val="00962C9E"/>
    <w:rsid w:val="00962E1C"/>
    <w:rsid w:val="0096349D"/>
    <w:rsid w:val="00963EBE"/>
    <w:rsid w:val="00963ECC"/>
    <w:rsid w:val="00963FDB"/>
    <w:rsid w:val="009641FE"/>
    <w:rsid w:val="009646D6"/>
    <w:rsid w:val="00964905"/>
    <w:rsid w:val="00964954"/>
    <w:rsid w:val="00964BB1"/>
    <w:rsid w:val="0096501C"/>
    <w:rsid w:val="009655C9"/>
    <w:rsid w:val="009658BA"/>
    <w:rsid w:val="00965BAD"/>
    <w:rsid w:val="00966104"/>
    <w:rsid w:val="009665F0"/>
    <w:rsid w:val="00966A26"/>
    <w:rsid w:val="00966DEC"/>
    <w:rsid w:val="00967E5C"/>
    <w:rsid w:val="00970116"/>
    <w:rsid w:val="00970248"/>
    <w:rsid w:val="0097047B"/>
    <w:rsid w:val="00971157"/>
    <w:rsid w:val="00971684"/>
    <w:rsid w:val="00973281"/>
    <w:rsid w:val="00973543"/>
    <w:rsid w:val="0097535C"/>
    <w:rsid w:val="00975532"/>
    <w:rsid w:val="00975CFD"/>
    <w:rsid w:val="00976259"/>
    <w:rsid w:val="00976308"/>
    <w:rsid w:val="0097673B"/>
    <w:rsid w:val="00976AFB"/>
    <w:rsid w:val="00976C2F"/>
    <w:rsid w:val="009771A1"/>
    <w:rsid w:val="00980736"/>
    <w:rsid w:val="00981C73"/>
    <w:rsid w:val="0098212B"/>
    <w:rsid w:val="00982201"/>
    <w:rsid w:val="0098422E"/>
    <w:rsid w:val="00986E92"/>
    <w:rsid w:val="00987681"/>
    <w:rsid w:val="00987B62"/>
    <w:rsid w:val="00987C7D"/>
    <w:rsid w:val="00990380"/>
    <w:rsid w:val="00991F4A"/>
    <w:rsid w:val="009921DB"/>
    <w:rsid w:val="009940EF"/>
    <w:rsid w:val="009942CB"/>
    <w:rsid w:val="00994527"/>
    <w:rsid w:val="00994A8D"/>
    <w:rsid w:val="00994D06"/>
    <w:rsid w:val="009968A5"/>
    <w:rsid w:val="00996CBC"/>
    <w:rsid w:val="0099733C"/>
    <w:rsid w:val="00997CF0"/>
    <w:rsid w:val="009A0BBC"/>
    <w:rsid w:val="009A0EEF"/>
    <w:rsid w:val="009A144E"/>
    <w:rsid w:val="009A20B9"/>
    <w:rsid w:val="009A224E"/>
    <w:rsid w:val="009A3124"/>
    <w:rsid w:val="009A441D"/>
    <w:rsid w:val="009A4E52"/>
    <w:rsid w:val="009A559D"/>
    <w:rsid w:val="009A5AFD"/>
    <w:rsid w:val="009A629E"/>
    <w:rsid w:val="009A62A8"/>
    <w:rsid w:val="009A6EFD"/>
    <w:rsid w:val="009A7255"/>
    <w:rsid w:val="009A7468"/>
    <w:rsid w:val="009A7BCC"/>
    <w:rsid w:val="009A7D43"/>
    <w:rsid w:val="009B0647"/>
    <w:rsid w:val="009B113A"/>
    <w:rsid w:val="009B1CC5"/>
    <w:rsid w:val="009B370D"/>
    <w:rsid w:val="009B39DC"/>
    <w:rsid w:val="009B3BAB"/>
    <w:rsid w:val="009B3CAD"/>
    <w:rsid w:val="009B5717"/>
    <w:rsid w:val="009B572B"/>
    <w:rsid w:val="009B6051"/>
    <w:rsid w:val="009B61E7"/>
    <w:rsid w:val="009B67FC"/>
    <w:rsid w:val="009B6DB4"/>
    <w:rsid w:val="009B71AB"/>
    <w:rsid w:val="009C0AFF"/>
    <w:rsid w:val="009C17B4"/>
    <w:rsid w:val="009C2788"/>
    <w:rsid w:val="009C3F13"/>
    <w:rsid w:val="009C4428"/>
    <w:rsid w:val="009C53E8"/>
    <w:rsid w:val="009C6E72"/>
    <w:rsid w:val="009C7BF5"/>
    <w:rsid w:val="009D051D"/>
    <w:rsid w:val="009D0BE2"/>
    <w:rsid w:val="009D1873"/>
    <w:rsid w:val="009D25AC"/>
    <w:rsid w:val="009D3C3F"/>
    <w:rsid w:val="009D42F4"/>
    <w:rsid w:val="009D4D67"/>
    <w:rsid w:val="009D4D94"/>
    <w:rsid w:val="009D4E51"/>
    <w:rsid w:val="009D6269"/>
    <w:rsid w:val="009D635B"/>
    <w:rsid w:val="009D66DC"/>
    <w:rsid w:val="009D686C"/>
    <w:rsid w:val="009D707F"/>
    <w:rsid w:val="009D79C0"/>
    <w:rsid w:val="009D7A63"/>
    <w:rsid w:val="009D7F6F"/>
    <w:rsid w:val="009E01DB"/>
    <w:rsid w:val="009E0393"/>
    <w:rsid w:val="009E0685"/>
    <w:rsid w:val="009E07D3"/>
    <w:rsid w:val="009E0E40"/>
    <w:rsid w:val="009E1323"/>
    <w:rsid w:val="009E218A"/>
    <w:rsid w:val="009E2C18"/>
    <w:rsid w:val="009E3597"/>
    <w:rsid w:val="009E38F5"/>
    <w:rsid w:val="009E3E08"/>
    <w:rsid w:val="009E4B9A"/>
    <w:rsid w:val="009E4E26"/>
    <w:rsid w:val="009E5119"/>
    <w:rsid w:val="009E53D2"/>
    <w:rsid w:val="009E53D5"/>
    <w:rsid w:val="009E54A8"/>
    <w:rsid w:val="009E6D0B"/>
    <w:rsid w:val="009F043E"/>
    <w:rsid w:val="009F06F2"/>
    <w:rsid w:val="009F0C72"/>
    <w:rsid w:val="009F2479"/>
    <w:rsid w:val="009F31C0"/>
    <w:rsid w:val="009F43F5"/>
    <w:rsid w:val="009F4B04"/>
    <w:rsid w:val="009F5263"/>
    <w:rsid w:val="009F5556"/>
    <w:rsid w:val="009F55D6"/>
    <w:rsid w:val="009F5A13"/>
    <w:rsid w:val="009F635E"/>
    <w:rsid w:val="009F66C7"/>
    <w:rsid w:val="009F7386"/>
    <w:rsid w:val="00A00827"/>
    <w:rsid w:val="00A01B8C"/>
    <w:rsid w:val="00A01C1E"/>
    <w:rsid w:val="00A0247A"/>
    <w:rsid w:val="00A02549"/>
    <w:rsid w:val="00A02C5D"/>
    <w:rsid w:val="00A02FBB"/>
    <w:rsid w:val="00A03EB4"/>
    <w:rsid w:val="00A048EC"/>
    <w:rsid w:val="00A06482"/>
    <w:rsid w:val="00A066EE"/>
    <w:rsid w:val="00A06862"/>
    <w:rsid w:val="00A06902"/>
    <w:rsid w:val="00A07071"/>
    <w:rsid w:val="00A105C4"/>
    <w:rsid w:val="00A1070C"/>
    <w:rsid w:val="00A11020"/>
    <w:rsid w:val="00A11DF7"/>
    <w:rsid w:val="00A12457"/>
    <w:rsid w:val="00A1255D"/>
    <w:rsid w:val="00A12C3C"/>
    <w:rsid w:val="00A13148"/>
    <w:rsid w:val="00A135D3"/>
    <w:rsid w:val="00A138ED"/>
    <w:rsid w:val="00A13A1D"/>
    <w:rsid w:val="00A13BCD"/>
    <w:rsid w:val="00A140D3"/>
    <w:rsid w:val="00A1446B"/>
    <w:rsid w:val="00A15DBA"/>
    <w:rsid w:val="00A1630F"/>
    <w:rsid w:val="00A166CD"/>
    <w:rsid w:val="00A167F2"/>
    <w:rsid w:val="00A171D8"/>
    <w:rsid w:val="00A17EFE"/>
    <w:rsid w:val="00A202EE"/>
    <w:rsid w:val="00A20C78"/>
    <w:rsid w:val="00A20DAA"/>
    <w:rsid w:val="00A21952"/>
    <w:rsid w:val="00A21BDF"/>
    <w:rsid w:val="00A2270E"/>
    <w:rsid w:val="00A22E37"/>
    <w:rsid w:val="00A2312E"/>
    <w:rsid w:val="00A24323"/>
    <w:rsid w:val="00A243AD"/>
    <w:rsid w:val="00A2512C"/>
    <w:rsid w:val="00A2515B"/>
    <w:rsid w:val="00A252BC"/>
    <w:rsid w:val="00A2588E"/>
    <w:rsid w:val="00A25C92"/>
    <w:rsid w:val="00A25D59"/>
    <w:rsid w:val="00A26B18"/>
    <w:rsid w:val="00A26BF7"/>
    <w:rsid w:val="00A26EDF"/>
    <w:rsid w:val="00A278E7"/>
    <w:rsid w:val="00A27A2D"/>
    <w:rsid w:val="00A27F7F"/>
    <w:rsid w:val="00A30AE8"/>
    <w:rsid w:val="00A31778"/>
    <w:rsid w:val="00A33069"/>
    <w:rsid w:val="00A34705"/>
    <w:rsid w:val="00A34789"/>
    <w:rsid w:val="00A35049"/>
    <w:rsid w:val="00A35FF2"/>
    <w:rsid w:val="00A3630E"/>
    <w:rsid w:val="00A366AA"/>
    <w:rsid w:val="00A36CC7"/>
    <w:rsid w:val="00A37BB8"/>
    <w:rsid w:val="00A40B6E"/>
    <w:rsid w:val="00A412F5"/>
    <w:rsid w:val="00A413D5"/>
    <w:rsid w:val="00A41FF8"/>
    <w:rsid w:val="00A42122"/>
    <w:rsid w:val="00A42D87"/>
    <w:rsid w:val="00A42D95"/>
    <w:rsid w:val="00A43138"/>
    <w:rsid w:val="00A43A97"/>
    <w:rsid w:val="00A43BE3"/>
    <w:rsid w:val="00A44832"/>
    <w:rsid w:val="00A44BD3"/>
    <w:rsid w:val="00A4521D"/>
    <w:rsid w:val="00A460B9"/>
    <w:rsid w:val="00A464DB"/>
    <w:rsid w:val="00A46D6F"/>
    <w:rsid w:val="00A47083"/>
    <w:rsid w:val="00A474A2"/>
    <w:rsid w:val="00A5017E"/>
    <w:rsid w:val="00A503F7"/>
    <w:rsid w:val="00A51394"/>
    <w:rsid w:val="00A519FB"/>
    <w:rsid w:val="00A51F00"/>
    <w:rsid w:val="00A51F0A"/>
    <w:rsid w:val="00A525CD"/>
    <w:rsid w:val="00A52B24"/>
    <w:rsid w:val="00A531BD"/>
    <w:rsid w:val="00A533BA"/>
    <w:rsid w:val="00A5438F"/>
    <w:rsid w:val="00A54EF2"/>
    <w:rsid w:val="00A54F2E"/>
    <w:rsid w:val="00A55101"/>
    <w:rsid w:val="00A55D48"/>
    <w:rsid w:val="00A567C0"/>
    <w:rsid w:val="00A56D9B"/>
    <w:rsid w:val="00A56E1A"/>
    <w:rsid w:val="00A56F41"/>
    <w:rsid w:val="00A57BEB"/>
    <w:rsid w:val="00A60740"/>
    <w:rsid w:val="00A607CA"/>
    <w:rsid w:val="00A60E36"/>
    <w:rsid w:val="00A61673"/>
    <w:rsid w:val="00A621D0"/>
    <w:rsid w:val="00A626F9"/>
    <w:rsid w:val="00A627B6"/>
    <w:rsid w:val="00A6293E"/>
    <w:rsid w:val="00A63057"/>
    <w:rsid w:val="00A63473"/>
    <w:rsid w:val="00A64926"/>
    <w:rsid w:val="00A64ADA"/>
    <w:rsid w:val="00A64E32"/>
    <w:rsid w:val="00A665CF"/>
    <w:rsid w:val="00A666F3"/>
    <w:rsid w:val="00A66A93"/>
    <w:rsid w:val="00A6702E"/>
    <w:rsid w:val="00A67440"/>
    <w:rsid w:val="00A676D5"/>
    <w:rsid w:val="00A67A02"/>
    <w:rsid w:val="00A67CA7"/>
    <w:rsid w:val="00A67E28"/>
    <w:rsid w:val="00A67F25"/>
    <w:rsid w:val="00A7046C"/>
    <w:rsid w:val="00A720C0"/>
    <w:rsid w:val="00A72121"/>
    <w:rsid w:val="00A72F54"/>
    <w:rsid w:val="00A730E6"/>
    <w:rsid w:val="00A73989"/>
    <w:rsid w:val="00A73EA8"/>
    <w:rsid w:val="00A73FC3"/>
    <w:rsid w:val="00A74A3D"/>
    <w:rsid w:val="00A74C43"/>
    <w:rsid w:val="00A7558D"/>
    <w:rsid w:val="00A7733D"/>
    <w:rsid w:val="00A7752F"/>
    <w:rsid w:val="00A77E25"/>
    <w:rsid w:val="00A801BE"/>
    <w:rsid w:val="00A80D26"/>
    <w:rsid w:val="00A8194B"/>
    <w:rsid w:val="00A81BC5"/>
    <w:rsid w:val="00A82FC6"/>
    <w:rsid w:val="00A83036"/>
    <w:rsid w:val="00A83842"/>
    <w:rsid w:val="00A838F1"/>
    <w:rsid w:val="00A83EA5"/>
    <w:rsid w:val="00A84669"/>
    <w:rsid w:val="00A85017"/>
    <w:rsid w:val="00A852DF"/>
    <w:rsid w:val="00A85547"/>
    <w:rsid w:val="00A85C35"/>
    <w:rsid w:val="00A85F17"/>
    <w:rsid w:val="00A86A8B"/>
    <w:rsid w:val="00A878E2"/>
    <w:rsid w:val="00A9074A"/>
    <w:rsid w:val="00A90A36"/>
    <w:rsid w:val="00A92061"/>
    <w:rsid w:val="00A92510"/>
    <w:rsid w:val="00A92C74"/>
    <w:rsid w:val="00A94249"/>
    <w:rsid w:val="00A94BC9"/>
    <w:rsid w:val="00A94C89"/>
    <w:rsid w:val="00A9554A"/>
    <w:rsid w:val="00A956D4"/>
    <w:rsid w:val="00A959BC"/>
    <w:rsid w:val="00A95BCF"/>
    <w:rsid w:val="00A96268"/>
    <w:rsid w:val="00A969CE"/>
    <w:rsid w:val="00A96C9A"/>
    <w:rsid w:val="00AA0166"/>
    <w:rsid w:val="00AA0FE5"/>
    <w:rsid w:val="00AA1503"/>
    <w:rsid w:val="00AA2179"/>
    <w:rsid w:val="00AA2796"/>
    <w:rsid w:val="00AA3C60"/>
    <w:rsid w:val="00AA4823"/>
    <w:rsid w:val="00AA5650"/>
    <w:rsid w:val="00AA58BC"/>
    <w:rsid w:val="00AA5A6E"/>
    <w:rsid w:val="00AA5A81"/>
    <w:rsid w:val="00AA7929"/>
    <w:rsid w:val="00AA7DDA"/>
    <w:rsid w:val="00AB031E"/>
    <w:rsid w:val="00AB0F45"/>
    <w:rsid w:val="00AB11BF"/>
    <w:rsid w:val="00AB1D78"/>
    <w:rsid w:val="00AB2FF4"/>
    <w:rsid w:val="00AB3CF3"/>
    <w:rsid w:val="00AB3ED7"/>
    <w:rsid w:val="00AB4754"/>
    <w:rsid w:val="00AB5338"/>
    <w:rsid w:val="00AB5F63"/>
    <w:rsid w:val="00AB5F9C"/>
    <w:rsid w:val="00AB6086"/>
    <w:rsid w:val="00AB716F"/>
    <w:rsid w:val="00AB7675"/>
    <w:rsid w:val="00AC002F"/>
    <w:rsid w:val="00AC04B9"/>
    <w:rsid w:val="00AC0BA0"/>
    <w:rsid w:val="00AC11C7"/>
    <w:rsid w:val="00AC11E4"/>
    <w:rsid w:val="00AC1AD6"/>
    <w:rsid w:val="00AC1C85"/>
    <w:rsid w:val="00AC238B"/>
    <w:rsid w:val="00AC2F7F"/>
    <w:rsid w:val="00AC33D0"/>
    <w:rsid w:val="00AC374F"/>
    <w:rsid w:val="00AC41E1"/>
    <w:rsid w:val="00AC77BD"/>
    <w:rsid w:val="00AD1019"/>
    <w:rsid w:val="00AD1C1D"/>
    <w:rsid w:val="00AD246D"/>
    <w:rsid w:val="00AD2E76"/>
    <w:rsid w:val="00AD3B05"/>
    <w:rsid w:val="00AD4456"/>
    <w:rsid w:val="00AD57CD"/>
    <w:rsid w:val="00AD64DF"/>
    <w:rsid w:val="00AD7D79"/>
    <w:rsid w:val="00AE0AE7"/>
    <w:rsid w:val="00AE0E18"/>
    <w:rsid w:val="00AE1025"/>
    <w:rsid w:val="00AE23EE"/>
    <w:rsid w:val="00AE2866"/>
    <w:rsid w:val="00AE2B13"/>
    <w:rsid w:val="00AE3F03"/>
    <w:rsid w:val="00AE422B"/>
    <w:rsid w:val="00AE457F"/>
    <w:rsid w:val="00AE54B0"/>
    <w:rsid w:val="00AE6025"/>
    <w:rsid w:val="00AE64F0"/>
    <w:rsid w:val="00AE6C98"/>
    <w:rsid w:val="00AE7791"/>
    <w:rsid w:val="00AE7894"/>
    <w:rsid w:val="00AF0B3B"/>
    <w:rsid w:val="00AF13E8"/>
    <w:rsid w:val="00AF17AC"/>
    <w:rsid w:val="00AF2007"/>
    <w:rsid w:val="00AF23C8"/>
    <w:rsid w:val="00AF2AE2"/>
    <w:rsid w:val="00AF3155"/>
    <w:rsid w:val="00AF3370"/>
    <w:rsid w:val="00AF3CBB"/>
    <w:rsid w:val="00AF531D"/>
    <w:rsid w:val="00AF5D64"/>
    <w:rsid w:val="00AF653F"/>
    <w:rsid w:val="00AF7B78"/>
    <w:rsid w:val="00AF7E31"/>
    <w:rsid w:val="00B00EC6"/>
    <w:rsid w:val="00B01729"/>
    <w:rsid w:val="00B02354"/>
    <w:rsid w:val="00B0243C"/>
    <w:rsid w:val="00B0377E"/>
    <w:rsid w:val="00B03CD8"/>
    <w:rsid w:val="00B04002"/>
    <w:rsid w:val="00B051D2"/>
    <w:rsid w:val="00B054C9"/>
    <w:rsid w:val="00B05744"/>
    <w:rsid w:val="00B05BC5"/>
    <w:rsid w:val="00B05E82"/>
    <w:rsid w:val="00B066EC"/>
    <w:rsid w:val="00B073E2"/>
    <w:rsid w:val="00B07BA9"/>
    <w:rsid w:val="00B10055"/>
    <w:rsid w:val="00B105F8"/>
    <w:rsid w:val="00B10A8C"/>
    <w:rsid w:val="00B11206"/>
    <w:rsid w:val="00B1141E"/>
    <w:rsid w:val="00B1190B"/>
    <w:rsid w:val="00B11F49"/>
    <w:rsid w:val="00B1278B"/>
    <w:rsid w:val="00B14D57"/>
    <w:rsid w:val="00B15651"/>
    <w:rsid w:val="00B15DFA"/>
    <w:rsid w:val="00B17295"/>
    <w:rsid w:val="00B179BC"/>
    <w:rsid w:val="00B201BE"/>
    <w:rsid w:val="00B204B7"/>
    <w:rsid w:val="00B21123"/>
    <w:rsid w:val="00B215F5"/>
    <w:rsid w:val="00B23157"/>
    <w:rsid w:val="00B24102"/>
    <w:rsid w:val="00B24614"/>
    <w:rsid w:val="00B24C86"/>
    <w:rsid w:val="00B25EE1"/>
    <w:rsid w:val="00B26280"/>
    <w:rsid w:val="00B27825"/>
    <w:rsid w:val="00B27A54"/>
    <w:rsid w:val="00B300ED"/>
    <w:rsid w:val="00B303C1"/>
    <w:rsid w:val="00B30783"/>
    <w:rsid w:val="00B30F92"/>
    <w:rsid w:val="00B30FB8"/>
    <w:rsid w:val="00B331CA"/>
    <w:rsid w:val="00B33F94"/>
    <w:rsid w:val="00B349AB"/>
    <w:rsid w:val="00B34C72"/>
    <w:rsid w:val="00B34CCE"/>
    <w:rsid w:val="00B35664"/>
    <w:rsid w:val="00B3566D"/>
    <w:rsid w:val="00B3573E"/>
    <w:rsid w:val="00B3574F"/>
    <w:rsid w:val="00B35857"/>
    <w:rsid w:val="00B35F37"/>
    <w:rsid w:val="00B3652B"/>
    <w:rsid w:val="00B37196"/>
    <w:rsid w:val="00B37DDD"/>
    <w:rsid w:val="00B4050A"/>
    <w:rsid w:val="00B407C5"/>
    <w:rsid w:val="00B40A3C"/>
    <w:rsid w:val="00B40A8C"/>
    <w:rsid w:val="00B40B1C"/>
    <w:rsid w:val="00B40BFC"/>
    <w:rsid w:val="00B40F2D"/>
    <w:rsid w:val="00B41CB3"/>
    <w:rsid w:val="00B41F0F"/>
    <w:rsid w:val="00B42560"/>
    <w:rsid w:val="00B43CA5"/>
    <w:rsid w:val="00B44EA2"/>
    <w:rsid w:val="00B453F5"/>
    <w:rsid w:val="00B455AA"/>
    <w:rsid w:val="00B45778"/>
    <w:rsid w:val="00B457A1"/>
    <w:rsid w:val="00B45B8F"/>
    <w:rsid w:val="00B45F88"/>
    <w:rsid w:val="00B4630F"/>
    <w:rsid w:val="00B464B1"/>
    <w:rsid w:val="00B46F27"/>
    <w:rsid w:val="00B478D9"/>
    <w:rsid w:val="00B47A4A"/>
    <w:rsid w:val="00B47B99"/>
    <w:rsid w:val="00B5007B"/>
    <w:rsid w:val="00B506F2"/>
    <w:rsid w:val="00B510E3"/>
    <w:rsid w:val="00B5151D"/>
    <w:rsid w:val="00B52044"/>
    <w:rsid w:val="00B521AC"/>
    <w:rsid w:val="00B5229E"/>
    <w:rsid w:val="00B52702"/>
    <w:rsid w:val="00B5498D"/>
    <w:rsid w:val="00B54A9F"/>
    <w:rsid w:val="00B54AC5"/>
    <w:rsid w:val="00B5501D"/>
    <w:rsid w:val="00B55203"/>
    <w:rsid w:val="00B555A7"/>
    <w:rsid w:val="00B5598A"/>
    <w:rsid w:val="00B56737"/>
    <w:rsid w:val="00B56B21"/>
    <w:rsid w:val="00B573EB"/>
    <w:rsid w:val="00B57891"/>
    <w:rsid w:val="00B57A27"/>
    <w:rsid w:val="00B6151E"/>
    <w:rsid w:val="00B6241F"/>
    <w:rsid w:val="00B62893"/>
    <w:rsid w:val="00B62CB1"/>
    <w:rsid w:val="00B632CD"/>
    <w:rsid w:val="00B63C0A"/>
    <w:rsid w:val="00B63FFD"/>
    <w:rsid w:val="00B6456C"/>
    <w:rsid w:val="00B64570"/>
    <w:rsid w:val="00B64962"/>
    <w:rsid w:val="00B65B4D"/>
    <w:rsid w:val="00B6653C"/>
    <w:rsid w:val="00B66582"/>
    <w:rsid w:val="00B667FA"/>
    <w:rsid w:val="00B6697E"/>
    <w:rsid w:val="00B676EC"/>
    <w:rsid w:val="00B7016C"/>
    <w:rsid w:val="00B70392"/>
    <w:rsid w:val="00B7039B"/>
    <w:rsid w:val="00B704EB"/>
    <w:rsid w:val="00B70FE0"/>
    <w:rsid w:val="00B71F11"/>
    <w:rsid w:val="00B739B0"/>
    <w:rsid w:val="00B73A56"/>
    <w:rsid w:val="00B73CE5"/>
    <w:rsid w:val="00B73F21"/>
    <w:rsid w:val="00B74D1E"/>
    <w:rsid w:val="00B74FAB"/>
    <w:rsid w:val="00B75A63"/>
    <w:rsid w:val="00B7620F"/>
    <w:rsid w:val="00B76A18"/>
    <w:rsid w:val="00B7723E"/>
    <w:rsid w:val="00B77705"/>
    <w:rsid w:val="00B77871"/>
    <w:rsid w:val="00B80ADA"/>
    <w:rsid w:val="00B80D02"/>
    <w:rsid w:val="00B80E8B"/>
    <w:rsid w:val="00B81272"/>
    <w:rsid w:val="00B81C74"/>
    <w:rsid w:val="00B82A8C"/>
    <w:rsid w:val="00B82BBA"/>
    <w:rsid w:val="00B82E72"/>
    <w:rsid w:val="00B836E2"/>
    <w:rsid w:val="00B84AE2"/>
    <w:rsid w:val="00B84C6C"/>
    <w:rsid w:val="00B87720"/>
    <w:rsid w:val="00B9031D"/>
    <w:rsid w:val="00B90DFE"/>
    <w:rsid w:val="00B911D3"/>
    <w:rsid w:val="00B912D1"/>
    <w:rsid w:val="00B9235E"/>
    <w:rsid w:val="00B92687"/>
    <w:rsid w:val="00B940C5"/>
    <w:rsid w:val="00B94248"/>
    <w:rsid w:val="00B942A1"/>
    <w:rsid w:val="00B94B4F"/>
    <w:rsid w:val="00B95478"/>
    <w:rsid w:val="00B95555"/>
    <w:rsid w:val="00B96337"/>
    <w:rsid w:val="00B96D23"/>
    <w:rsid w:val="00B976F6"/>
    <w:rsid w:val="00B9776C"/>
    <w:rsid w:val="00BA116B"/>
    <w:rsid w:val="00BA12EB"/>
    <w:rsid w:val="00BA2C74"/>
    <w:rsid w:val="00BA47F5"/>
    <w:rsid w:val="00BA4BE3"/>
    <w:rsid w:val="00BA4E45"/>
    <w:rsid w:val="00BA516A"/>
    <w:rsid w:val="00BA53B1"/>
    <w:rsid w:val="00BA57BD"/>
    <w:rsid w:val="00BA5F41"/>
    <w:rsid w:val="00BA7014"/>
    <w:rsid w:val="00BA7385"/>
    <w:rsid w:val="00BA796D"/>
    <w:rsid w:val="00BB0FC4"/>
    <w:rsid w:val="00BB10B5"/>
    <w:rsid w:val="00BB12E2"/>
    <w:rsid w:val="00BB187C"/>
    <w:rsid w:val="00BB238A"/>
    <w:rsid w:val="00BB296B"/>
    <w:rsid w:val="00BB2A4A"/>
    <w:rsid w:val="00BB32F6"/>
    <w:rsid w:val="00BB3306"/>
    <w:rsid w:val="00BB34A7"/>
    <w:rsid w:val="00BB3558"/>
    <w:rsid w:val="00BB3622"/>
    <w:rsid w:val="00BB49E7"/>
    <w:rsid w:val="00BB544E"/>
    <w:rsid w:val="00BB5598"/>
    <w:rsid w:val="00BB682C"/>
    <w:rsid w:val="00BB6C5A"/>
    <w:rsid w:val="00BB74DA"/>
    <w:rsid w:val="00BB7A76"/>
    <w:rsid w:val="00BB7CA9"/>
    <w:rsid w:val="00BC0028"/>
    <w:rsid w:val="00BC1183"/>
    <w:rsid w:val="00BC236B"/>
    <w:rsid w:val="00BC26F6"/>
    <w:rsid w:val="00BC2BB4"/>
    <w:rsid w:val="00BC2FE4"/>
    <w:rsid w:val="00BC352B"/>
    <w:rsid w:val="00BC35D1"/>
    <w:rsid w:val="00BC4147"/>
    <w:rsid w:val="00BC4AEE"/>
    <w:rsid w:val="00BC5D96"/>
    <w:rsid w:val="00BC65D9"/>
    <w:rsid w:val="00BC7C52"/>
    <w:rsid w:val="00BD04B9"/>
    <w:rsid w:val="00BD0CF6"/>
    <w:rsid w:val="00BD1471"/>
    <w:rsid w:val="00BD14C5"/>
    <w:rsid w:val="00BD196A"/>
    <w:rsid w:val="00BD1C0F"/>
    <w:rsid w:val="00BD2081"/>
    <w:rsid w:val="00BD2311"/>
    <w:rsid w:val="00BD2C87"/>
    <w:rsid w:val="00BD39EF"/>
    <w:rsid w:val="00BD3A54"/>
    <w:rsid w:val="00BD6262"/>
    <w:rsid w:val="00BD6D7D"/>
    <w:rsid w:val="00BE01AF"/>
    <w:rsid w:val="00BE0764"/>
    <w:rsid w:val="00BE0885"/>
    <w:rsid w:val="00BE1035"/>
    <w:rsid w:val="00BE1B64"/>
    <w:rsid w:val="00BE2A60"/>
    <w:rsid w:val="00BE2B9A"/>
    <w:rsid w:val="00BE3054"/>
    <w:rsid w:val="00BE3684"/>
    <w:rsid w:val="00BE3974"/>
    <w:rsid w:val="00BE48A8"/>
    <w:rsid w:val="00BE4C48"/>
    <w:rsid w:val="00BE5323"/>
    <w:rsid w:val="00BE5328"/>
    <w:rsid w:val="00BE5AAB"/>
    <w:rsid w:val="00BE6153"/>
    <w:rsid w:val="00BE61C1"/>
    <w:rsid w:val="00BE64AF"/>
    <w:rsid w:val="00BE6717"/>
    <w:rsid w:val="00BE6E5F"/>
    <w:rsid w:val="00BE6FE9"/>
    <w:rsid w:val="00BE7826"/>
    <w:rsid w:val="00BF0381"/>
    <w:rsid w:val="00BF069A"/>
    <w:rsid w:val="00BF1712"/>
    <w:rsid w:val="00BF2237"/>
    <w:rsid w:val="00BF2530"/>
    <w:rsid w:val="00BF3030"/>
    <w:rsid w:val="00BF3855"/>
    <w:rsid w:val="00BF5981"/>
    <w:rsid w:val="00BF6232"/>
    <w:rsid w:val="00BF6C7B"/>
    <w:rsid w:val="00BF6E7B"/>
    <w:rsid w:val="00C00704"/>
    <w:rsid w:val="00C00C19"/>
    <w:rsid w:val="00C01021"/>
    <w:rsid w:val="00C0141F"/>
    <w:rsid w:val="00C0157D"/>
    <w:rsid w:val="00C01F09"/>
    <w:rsid w:val="00C022FA"/>
    <w:rsid w:val="00C024AF"/>
    <w:rsid w:val="00C029B3"/>
    <w:rsid w:val="00C048AF"/>
    <w:rsid w:val="00C04B6E"/>
    <w:rsid w:val="00C04CCF"/>
    <w:rsid w:val="00C05978"/>
    <w:rsid w:val="00C0639D"/>
    <w:rsid w:val="00C06A71"/>
    <w:rsid w:val="00C06BCA"/>
    <w:rsid w:val="00C077E0"/>
    <w:rsid w:val="00C07DE6"/>
    <w:rsid w:val="00C10727"/>
    <w:rsid w:val="00C10DFD"/>
    <w:rsid w:val="00C12BD8"/>
    <w:rsid w:val="00C140B6"/>
    <w:rsid w:val="00C142BC"/>
    <w:rsid w:val="00C145A8"/>
    <w:rsid w:val="00C153ED"/>
    <w:rsid w:val="00C154B5"/>
    <w:rsid w:val="00C16266"/>
    <w:rsid w:val="00C169B4"/>
    <w:rsid w:val="00C16BBB"/>
    <w:rsid w:val="00C16CE5"/>
    <w:rsid w:val="00C17292"/>
    <w:rsid w:val="00C17872"/>
    <w:rsid w:val="00C17DA4"/>
    <w:rsid w:val="00C20439"/>
    <w:rsid w:val="00C205E9"/>
    <w:rsid w:val="00C2092E"/>
    <w:rsid w:val="00C20FCD"/>
    <w:rsid w:val="00C21169"/>
    <w:rsid w:val="00C212FC"/>
    <w:rsid w:val="00C219FC"/>
    <w:rsid w:val="00C21D4F"/>
    <w:rsid w:val="00C21F97"/>
    <w:rsid w:val="00C22477"/>
    <w:rsid w:val="00C226E3"/>
    <w:rsid w:val="00C23F48"/>
    <w:rsid w:val="00C25C43"/>
    <w:rsid w:val="00C262BD"/>
    <w:rsid w:val="00C26A03"/>
    <w:rsid w:val="00C30918"/>
    <w:rsid w:val="00C310C2"/>
    <w:rsid w:val="00C316CF"/>
    <w:rsid w:val="00C3324F"/>
    <w:rsid w:val="00C33C32"/>
    <w:rsid w:val="00C34441"/>
    <w:rsid w:val="00C347EA"/>
    <w:rsid w:val="00C34C0E"/>
    <w:rsid w:val="00C34D99"/>
    <w:rsid w:val="00C35767"/>
    <w:rsid w:val="00C35FD2"/>
    <w:rsid w:val="00C36525"/>
    <w:rsid w:val="00C3783B"/>
    <w:rsid w:val="00C37B5F"/>
    <w:rsid w:val="00C37F2D"/>
    <w:rsid w:val="00C40EB3"/>
    <w:rsid w:val="00C418A1"/>
    <w:rsid w:val="00C418FF"/>
    <w:rsid w:val="00C41BD9"/>
    <w:rsid w:val="00C41EBE"/>
    <w:rsid w:val="00C427F4"/>
    <w:rsid w:val="00C430CF"/>
    <w:rsid w:val="00C434FD"/>
    <w:rsid w:val="00C441EA"/>
    <w:rsid w:val="00C44A59"/>
    <w:rsid w:val="00C450DC"/>
    <w:rsid w:val="00C4558F"/>
    <w:rsid w:val="00C47179"/>
    <w:rsid w:val="00C47AC7"/>
    <w:rsid w:val="00C47F3A"/>
    <w:rsid w:val="00C50332"/>
    <w:rsid w:val="00C50F57"/>
    <w:rsid w:val="00C5124D"/>
    <w:rsid w:val="00C5192E"/>
    <w:rsid w:val="00C519E6"/>
    <w:rsid w:val="00C52017"/>
    <w:rsid w:val="00C5279F"/>
    <w:rsid w:val="00C52DE6"/>
    <w:rsid w:val="00C53E19"/>
    <w:rsid w:val="00C5436B"/>
    <w:rsid w:val="00C555D1"/>
    <w:rsid w:val="00C55A96"/>
    <w:rsid w:val="00C55FB0"/>
    <w:rsid w:val="00C56128"/>
    <w:rsid w:val="00C5758A"/>
    <w:rsid w:val="00C577CB"/>
    <w:rsid w:val="00C6016B"/>
    <w:rsid w:val="00C601ED"/>
    <w:rsid w:val="00C603DB"/>
    <w:rsid w:val="00C60A5C"/>
    <w:rsid w:val="00C6126F"/>
    <w:rsid w:val="00C61271"/>
    <w:rsid w:val="00C61653"/>
    <w:rsid w:val="00C61B57"/>
    <w:rsid w:val="00C62667"/>
    <w:rsid w:val="00C62B12"/>
    <w:rsid w:val="00C62CDF"/>
    <w:rsid w:val="00C634A7"/>
    <w:rsid w:val="00C637C5"/>
    <w:rsid w:val="00C638D7"/>
    <w:rsid w:val="00C638DF"/>
    <w:rsid w:val="00C64720"/>
    <w:rsid w:val="00C64AAE"/>
    <w:rsid w:val="00C64BF9"/>
    <w:rsid w:val="00C6517F"/>
    <w:rsid w:val="00C658CA"/>
    <w:rsid w:val="00C65CE2"/>
    <w:rsid w:val="00C6671A"/>
    <w:rsid w:val="00C67BA6"/>
    <w:rsid w:val="00C70775"/>
    <w:rsid w:val="00C70DA3"/>
    <w:rsid w:val="00C711F3"/>
    <w:rsid w:val="00C71920"/>
    <w:rsid w:val="00C72640"/>
    <w:rsid w:val="00C72A63"/>
    <w:rsid w:val="00C72DEC"/>
    <w:rsid w:val="00C736D7"/>
    <w:rsid w:val="00C75AE0"/>
    <w:rsid w:val="00C75BB7"/>
    <w:rsid w:val="00C75E51"/>
    <w:rsid w:val="00C769EC"/>
    <w:rsid w:val="00C76A8F"/>
    <w:rsid w:val="00C77425"/>
    <w:rsid w:val="00C775D6"/>
    <w:rsid w:val="00C80224"/>
    <w:rsid w:val="00C804C2"/>
    <w:rsid w:val="00C8070F"/>
    <w:rsid w:val="00C80AE4"/>
    <w:rsid w:val="00C83591"/>
    <w:rsid w:val="00C8379A"/>
    <w:rsid w:val="00C83F38"/>
    <w:rsid w:val="00C8487C"/>
    <w:rsid w:val="00C857F1"/>
    <w:rsid w:val="00C85F8A"/>
    <w:rsid w:val="00C862D7"/>
    <w:rsid w:val="00C871C4"/>
    <w:rsid w:val="00C874EA"/>
    <w:rsid w:val="00C87FA8"/>
    <w:rsid w:val="00C9047E"/>
    <w:rsid w:val="00C90BE2"/>
    <w:rsid w:val="00C918B3"/>
    <w:rsid w:val="00C9290D"/>
    <w:rsid w:val="00C93804"/>
    <w:rsid w:val="00C93F01"/>
    <w:rsid w:val="00C95E3C"/>
    <w:rsid w:val="00C96170"/>
    <w:rsid w:val="00C975CE"/>
    <w:rsid w:val="00CA05F1"/>
    <w:rsid w:val="00CA0A07"/>
    <w:rsid w:val="00CA0ACA"/>
    <w:rsid w:val="00CA0F10"/>
    <w:rsid w:val="00CA1130"/>
    <w:rsid w:val="00CA2044"/>
    <w:rsid w:val="00CA2403"/>
    <w:rsid w:val="00CA2B1C"/>
    <w:rsid w:val="00CA415F"/>
    <w:rsid w:val="00CA5E6B"/>
    <w:rsid w:val="00CA5EA7"/>
    <w:rsid w:val="00CA6AB2"/>
    <w:rsid w:val="00CA6DAA"/>
    <w:rsid w:val="00CA75FF"/>
    <w:rsid w:val="00CA7664"/>
    <w:rsid w:val="00CB0085"/>
    <w:rsid w:val="00CB00FA"/>
    <w:rsid w:val="00CB026C"/>
    <w:rsid w:val="00CB1415"/>
    <w:rsid w:val="00CB149E"/>
    <w:rsid w:val="00CB195E"/>
    <w:rsid w:val="00CB2501"/>
    <w:rsid w:val="00CB2C14"/>
    <w:rsid w:val="00CB5A49"/>
    <w:rsid w:val="00CB5C15"/>
    <w:rsid w:val="00CB5F97"/>
    <w:rsid w:val="00CB647B"/>
    <w:rsid w:val="00CB64BD"/>
    <w:rsid w:val="00CB678B"/>
    <w:rsid w:val="00CB6875"/>
    <w:rsid w:val="00CB6B29"/>
    <w:rsid w:val="00CB7ED8"/>
    <w:rsid w:val="00CC0629"/>
    <w:rsid w:val="00CC1228"/>
    <w:rsid w:val="00CC144F"/>
    <w:rsid w:val="00CC1900"/>
    <w:rsid w:val="00CC1A21"/>
    <w:rsid w:val="00CC1E21"/>
    <w:rsid w:val="00CC35CC"/>
    <w:rsid w:val="00CC41D0"/>
    <w:rsid w:val="00CC5932"/>
    <w:rsid w:val="00CC634C"/>
    <w:rsid w:val="00CC66DE"/>
    <w:rsid w:val="00CC7C0C"/>
    <w:rsid w:val="00CD0E14"/>
    <w:rsid w:val="00CD15D8"/>
    <w:rsid w:val="00CD1BA6"/>
    <w:rsid w:val="00CD1C42"/>
    <w:rsid w:val="00CD1F63"/>
    <w:rsid w:val="00CD20FF"/>
    <w:rsid w:val="00CD2C9F"/>
    <w:rsid w:val="00CD311F"/>
    <w:rsid w:val="00CD43DF"/>
    <w:rsid w:val="00CD4D09"/>
    <w:rsid w:val="00CD50A5"/>
    <w:rsid w:val="00CD53C7"/>
    <w:rsid w:val="00CD600E"/>
    <w:rsid w:val="00CD6D59"/>
    <w:rsid w:val="00CD7012"/>
    <w:rsid w:val="00CD734D"/>
    <w:rsid w:val="00CD75E3"/>
    <w:rsid w:val="00CD7742"/>
    <w:rsid w:val="00CE0EB4"/>
    <w:rsid w:val="00CE1912"/>
    <w:rsid w:val="00CE2627"/>
    <w:rsid w:val="00CE2B91"/>
    <w:rsid w:val="00CE2EB2"/>
    <w:rsid w:val="00CE3CEE"/>
    <w:rsid w:val="00CE496C"/>
    <w:rsid w:val="00CE525D"/>
    <w:rsid w:val="00CE5643"/>
    <w:rsid w:val="00CE5C99"/>
    <w:rsid w:val="00CE6974"/>
    <w:rsid w:val="00CE7BBC"/>
    <w:rsid w:val="00CF23EE"/>
    <w:rsid w:val="00CF6B32"/>
    <w:rsid w:val="00D00470"/>
    <w:rsid w:val="00D0142C"/>
    <w:rsid w:val="00D01CD3"/>
    <w:rsid w:val="00D023F6"/>
    <w:rsid w:val="00D027A4"/>
    <w:rsid w:val="00D034FA"/>
    <w:rsid w:val="00D04261"/>
    <w:rsid w:val="00D05835"/>
    <w:rsid w:val="00D0634E"/>
    <w:rsid w:val="00D066C9"/>
    <w:rsid w:val="00D07105"/>
    <w:rsid w:val="00D0746D"/>
    <w:rsid w:val="00D07DE8"/>
    <w:rsid w:val="00D07E52"/>
    <w:rsid w:val="00D10498"/>
    <w:rsid w:val="00D11357"/>
    <w:rsid w:val="00D1210D"/>
    <w:rsid w:val="00D126F7"/>
    <w:rsid w:val="00D129F5"/>
    <w:rsid w:val="00D12A93"/>
    <w:rsid w:val="00D12ED9"/>
    <w:rsid w:val="00D130D1"/>
    <w:rsid w:val="00D13A5D"/>
    <w:rsid w:val="00D141DD"/>
    <w:rsid w:val="00D14644"/>
    <w:rsid w:val="00D1494A"/>
    <w:rsid w:val="00D15576"/>
    <w:rsid w:val="00D15BFA"/>
    <w:rsid w:val="00D15D14"/>
    <w:rsid w:val="00D15DF2"/>
    <w:rsid w:val="00D16400"/>
    <w:rsid w:val="00D16408"/>
    <w:rsid w:val="00D167A0"/>
    <w:rsid w:val="00D1773B"/>
    <w:rsid w:val="00D17E31"/>
    <w:rsid w:val="00D21887"/>
    <w:rsid w:val="00D21B17"/>
    <w:rsid w:val="00D21BA2"/>
    <w:rsid w:val="00D22321"/>
    <w:rsid w:val="00D22564"/>
    <w:rsid w:val="00D25659"/>
    <w:rsid w:val="00D256A0"/>
    <w:rsid w:val="00D261E4"/>
    <w:rsid w:val="00D266DE"/>
    <w:rsid w:val="00D26C07"/>
    <w:rsid w:val="00D27034"/>
    <w:rsid w:val="00D27CA0"/>
    <w:rsid w:val="00D302E3"/>
    <w:rsid w:val="00D30D46"/>
    <w:rsid w:val="00D31689"/>
    <w:rsid w:val="00D31C6D"/>
    <w:rsid w:val="00D31D94"/>
    <w:rsid w:val="00D31DCC"/>
    <w:rsid w:val="00D326AB"/>
    <w:rsid w:val="00D33138"/>
    <w:rsid w:val="00D34259"/>
    <w:rsid w:val="00D34696"/>
    <w:rsid w:val="00D3500D"/>
    <w:rsid w:val="00D355E8"/>
    <w:rsid w:val="00D35967"/>
    <w:rsid w:val="00D359D0"/>
    <w:rsid w:val="00D36385"/>
    <w:rsid w:val="00D37842"/>
    <w:rsid w:val="00D4045A"/>
    <w:rsid w:val="00D40E4A"/>
    <w:rsid w:val="00D41FAD"/>
    <w:rsid w:val="00D424E2"/>
    <w:rsid w:val="00D42513"/>
    <w:rsid w:val="00D428A5"/>
    <w:rsid w:val="00D43DD6"/>
    <w:rsid w:val="00D43F11"/>
    <w:rsid w:val="00D448EF"/>
    <w:rsid w:val="00D44964"/>
    <w:rsid w:val="00D44A7F"/>
    <w:rsid w:val="00D44FD6"/>
    <w:rsid w:val="00D450E6"/>
    <w:rsid w:val="00D45239"/>
    <w:rsid w:val="00D45B26"/>
    <w:rsid w:val="00D4650C"/>
    <w:rsid w:val="00D467D3"/>
    <w:rsid w:val="00D46B85"/>
    <w:rsid w:val="00D46BD1"/>
    <w:rsid w:val="00D472F2"/>
    <w:rsid w:val="00D47A8B"/>
    <w:rsid w:val="00D47D56"/>
    <w:rsid w:val="00D50250"/>
    <w:rsid w:val="00D5032F"/>
    <w:rsid w:val="00D50F42"/>
    <w:rsid w:val="00D5155D"/>
    <w:rsid w:val="00D51C2C"/>
    <w:rsid w:val="00D51E19"/>
    <w:rsid w:val="00D52265"/>
    <w:rsid w:val="00D53491"/>
    <w:rsid w:val="00D53759"/>
    <w:rsid w:val="00D53E05"/>
    <w:rsid w:val="00D544CC"/>
    <w:rsid w:val="00D54D62"/>
    <w:rsid w:val="00D55939"/>
    <w:rsid w:val="00D55A36"/>
    <w:rsid w:val="00D55DF9"/>
    <w:rsid w:val="00D563E3"/>
    <w:rsid w:val="00D5689A"/>
    <w:rsid w:val="00D57072"/>
    <w:rsid w:val="00D57569"/>
    <w:rsid w:val="00D60BCC"/>
    <w:rsid w:val="00D61001"/>
    <w:rsid w:val="00D61249"/>
    <w:rsid w:val="00D613B1"/>
    <w:rsid w:val="00D61AE5"/>
    <w:rsid w:val="00D61E5A"/>
    <w:rsid w:val="00D628BC"/>
    <w:rsid w:val="00D6312A"/>
    <w:rsid w:val="00D63A85"/>
    <w:rsid w:val="00D64636"/>
    <w:rsid w:val="00D6524F"/>
    <w:rsid w:val="00D661A3"/>
    <w:rsid w:val="00D668E4"/>
    <w:rsid w:val="00D6724E"/>
    <w:rsid w:val="00D67466"/>
    <w:rsid w:val="00D70257"/>
    <w:rsid w:val="00D7047B"/>
    <w:rsid w:val="00D71742"/>
    <w:rsid w:val="00D72904"/>
    <w:rsid w:val="00D729A9"/>
    <w:rsid w:val="00D729D7"/>
    <w:rsid w:val="00D72D24"/>
    <w:rsid w:val="00D72F9F"/>
    <w:rsid w:val="00D7359C"/>
    <w:rsid w:val="00D736D5"/>
    <w:rsid w:val="00D736F8"/>
    <w:rsid w:val="00D74141"/>
    <w:rsid w:val="00D741F4"/>
    <w:rsid w:val="00D74229"/>
    <w:rsid w:val="00D74A82"/>
    <w:rsid w:val="00D74FEC"/>
    <w:rsid w:val="00D75505"/>
    <w:rsid w:val="00D75688"/>
    <w:rsid w:val="00D756FC"/>
    <w:rsid w:val="00D7616A"/>
    <w:rsid w:val="00D76695"/>
    <w:rsid w:val="00D77DAB"/>
    <w:rsid w:val="00D8228F"/>
    <w:rsid w:val="00D83CB1"/>
    <w:rsid w:val="00D852CA"/>
    <w:rsid w:val="00D862DA"/>
    <w:rsid w:val="00D8640C"/>
    <w:rsid w:val="00D86456"/>
    <w:rsid w:val="00D86ABA"/>
    <w:rsid w:val="00D870BD"/>
    <w:rsid w:val="00D8734F"/>
    <w:rsid w:val="00D90ED8"/>
    <w:rsid w:val="00D91FB7"/>
    <w:rsid w:val="00D9255A"/>
    <w:rsid w:val="00D936B4"/>
    <w:rsid w:val="00D94189"/>
    <w:rsid w:val="00D9624C"/>
    <w:rsid w:val="00D97689"/>
    <w:rsid w:val="00D97894"/>
    <w:rsid w:val="00DA021B"/>
    <w:rsid w:val="00DA0617"/>
    <w:rsid w:val="00DA0620"/>
    <w:rsid w:val="00DA0B5E"/>
    <w:rsid w:val="00DA0D0E"/>
    <w:rsid w:val="00DA3D7B"/>
    <w:rsid w:val="00DA44C3"/>
    <w:rsid w:val="00DA538C"/>
    <w:rsid w:val="00DA5A50"/>
    <w:rsid w:val="00DA619B"/>
    <w:rsid w:val="00DA620C"/>
    <w:rsid w:val="00DA62EC"/>
    <w:rsid w:val="00DA6721"/>
    <w:rsid w:val="00DA6CF6"/>
    <w:rsid w:val="00DA6E75"/>
    <w:rsid w:val="00DA6FBD"/>
    <w:rsid w:val="00DA7189"/>
    <w:rsid w:val="00DA7370"/>
    <w:rsid w:val="00DB1190"/>
    <w:rsid w:val="00DB16FC"/>
    <w:rsid w:val="00DB29E9"/>
    <w:rsid w:val="00DB4594"/>
    <w:rsid w:val="00DB4AA3"/>
    <w:rsid w:val="00DB4B8E"/>
    <w:rsid w:val="00DB4F1B"/>
    <w:rsid w:val="00DB55B2"/>
    <w:rsid w:val="00DB657C"/>
    <w:rsid w:val="00DB66AC"/>
    <w:rsid w:val="00DB68FF"/>
    <w:rsid w:val="00DB7230"/>
    <w:rsid w:val="00DB7390"/>
    <w:rsid w:val="00DB773D"/>
    <w:rsid w:val="00DB7819"/>
    <w:rsid w:val="00DB7E5A"/>
    <w:rsid w:val="00DC0BFE"/>
    <w:rsid w:val="00DC0CF6"/>
    <w:rsid w:val="00DC1539"/>
    <w:rsid w:val="00DC32BA"/>
    <w:rsid w:val="00DC36F6"/>
    <w:rsid w:val="00DC3ECF"/>
    <w:rsid w:val="00DC4C48"/>
    <w:rsid w:val="00DC4C9E"/>
    <w:rsid w:val="00DC5532"/>
    <w:rsid w:val="00DC5FD8"/>
    <w:rsid w:val="00DC639C"/>
    <w:rsid w:val="00DC6560"/>
    <w:rsid w:val="00DC66DF"/>
    <w:rsid w:val="00DC69AE"/>
    <w:rsid w:val="00DC70FF"/>
    <w:rsid w:val="00DC7B04"/>
    <w:rsid w:val="00DD1386"/>
    <w:rsid w:val="00DD1B36"/>
    <w:rsid w:val="00DD284D"/>
    <w:rsid w:val="00DD2A37"/>
    <w:rsid w:val="00DD2B99"/>
    <w:rsid w:val="00DD33A7"/>
    <w:rsid w:val="00DD365B"/>
    <w:rsid w:val="00DD6537"/>
    <w:rsid w:val="00DD658D"/>
    <w:rsid w:val="00DD6667"/>
    <w:rsid w:val="00DD6840"/>
    <w:rsid w:val="00DD6B08"/>
    <w:rsid w:val="00DD74A2"/>
    <w:rsid w:val="00DD77DF"/>
    <w:rsid w:val="00DE1A76"/>
    <w:rsid w:val="00DE1F6A"/>
    <w:rsid w:val="00DE383B"/>
    <w:rsid w:val="00DE3C00"/>
    <w:rsid w:val="00DE404C"/>
    <w:rsid w:val="00DE49BE"/>
    <w:rsid w:val="00DE617C"/>
    <w:rsid w:val="00DE6576"/>
    <w:rsid w:val="00DF0031"/>
    <w:rsid w:val="00DF15B5"/>
    <w:rsid w:val="00DF1A82"/>
    <w:rsid w:val="00DF1CD8"/>
    <w:rsid w:val="00DF2B2E"/>
    <w:rsid w:val="00DF2BD6"/>
    <w:rsid w:val="00DF2CBF"/>
    <w:rsid w:val="00DF3D2A"/>
    <w:rsid w:val="00DF4614"/>
    <w:rsid w:val="00DF4F5A"/>
    <w:rsid w:val="00DF55D4"/>
    <w:rsid w:val="00DF5943"/>
    <w:rsid w:val="00DF65C3"/>
    <w:rsid w:val="00DF6D10"/>
    <w:rsid w:val="00DF7B25"/>
    <w:rsid w:val="00DF7BCB"/>
    <w:rsid w:val="00DF7BF5"/>
    <w:rsid w:val="00E0029B"/>
    <w:rsid w:val="00E00B67"/>
    <w:rsid w:val="00E028A4"/>
    <w:rsid w:val="00E034ED"/>
    <w:rsid w:val="00E0433C"/>
    <w:rsid w:val="00E047C1"/>
    <w:rsid w:val="00E04D46"/>
    <w:rsid w:val="00E05DDD"/>
    <w:rsid w:val="00E06DA1"/>
    <w:rsid w:val="00E106DB"/>
    <w:rsid w:val="00E110FE"/>
    <w:rsid w:val="00E1156C"/>
    <w:rsid w:val="00E1249C"/>
    <w:rsid w:val="00E135A1"/>
    <w:rsid w:val="00E13B93"/>
    <w:rsid w:val="00E1444F"/>
    <w:rsid w:val="00E1496E"/>
    <w:rsid w:val="00E14CDF"/>
    <w:rsid w:val="00E15178"/>
    <w:rsid w:val="00E15506"/>
    <w:rsid w:val="00E15F89"/>
    <w:rsid w:val="00E16671"/>
    <w:rsid w:val="00E1678D"/>
    <w:rsid w:val="00E16EF1"/>
    <w:rsid w:val="00E16F5B"/>
    <w:rsid w:val="00E1729A"/>
    <w:rsid w:val="00E177A0"/>
    <w:rsid w:val="00E17C73"/>
    <w:rsid w:val="00E17F63"/>
    <w:rsid w:val="00E21F3C"/>
    <w:rsid w:val="00E233B0"/>
    <w:rsid w:val="00E23625"/>
    <w:rsid w:val="00E23D1D"/>
    <w:rsid w:val="00E24579"/>
    <w:rsid w:val="00E25888"/>
    <w:rsid w:val="00E2664D"/>
    <w:rsid w:val="00E27677"/>
    <w:rsid w:val="00E27C95"/>
    <w:rsid w:val="00E300B4"/>
    <w:rsid w:val="00E30322"/>
    <w:rsid w:val="00E305A6"/>
    <w:rsid w:val="00E318EB"/>
    <w:rsid w:val="00E326E3"/>
    <w:rsid w:val="00E327B2"/>
    <w:rsid w:val="00E3289C"/>
    <w:rsid w:val="00E33179"/>
    <w:rsid w:val="00E334C9"/>
    <w:rsid w:val="00E334CF"/>
    <w:rsid w:val="00E33793"/>
    <w:rsid w:val="00E33A23"/>
    <w:rsid w:val="00E33B0C"/>
    <w:rsid w:val="00E33F35"/>
    <w:rsid w:val="00E342A8"/>
    <w:rsid w:val="00E34FDF"/>
    <w:rsid w:val="00E352D8"/>
    <w:rsid w:val="00E355CC"/>
    <w:rsid w:val="00E35F4C"/>
    <w:rsid w:val="00E37219"/>
    <w:rsid w:val="00E372C5"/>
    <w:rsid w:val="00E376A0"/>
    <w:rsid w:val="00E4094E"/>
    <w:rsid w:val="00E41287"/>
    <w:rsid w:val="00E41334"/>
    <w:rsid w:val="00E43388"/>
    <w:rsid w:val="00E43C06"/>
    <w:rsid w:val="00E4425C"/>
    <w:rsid w:val="00E443D6"/>
    <w:rsid w:val="00E449B1"/>
    <w:rsid w:val="00E4516D"/>
    <w:rsid w:val="00E4559B"/>
    <w:rsid w:val="00E455EE"/>
    <w:rsid w:val="00E46285"/>
    <w:rsid w:val="00E4678E"/>
    <w:rsid w:val="00E47330"/>
    <w:rsid w:val="00E47B31"/>
    <w:rsid w:val="00E501F7"/>
    <w:rsid w:val="00E5082D"/>
    <w:rsid w:val="00E50E29"/>
    <w:rsid w:val="00E5150A"/>
    <w:rsid w:val="00E517BB"/>
    <w:rsid w:val="00E51893"/>
    <w:rsid w:val="00E51BC1"/>
    <w:rsid w:val="00E52F92"/>
    <w:rsid w:val="00E53503"/>
    <w:rsid w:val="00E543A6"/>
    <w:rsid w:val="00E544B9"/>
    <w:rsid w:val="00E54892"/>
    <w:rsid w:val="00E5492A"/>
    <w:rsid w:val="00E55316"/>
    <w:rsid w:val="00E5536D"/>
    <w:rsid w:val="00E574A9"/>
    <w:rsid w:val="00E579F2"/>
    <w:rsid w:val="00E57EF3"/>
    <w:rsid w:val="00E60882"/>
    <w:rsid w:val="00E60E58"/>
    <w:rsid w:val="00E61355"/>
    <w:rsid w:val="00E613BC"/>
    <w:rsid w:val="00E61BD2"/>
    <w:rsid w:val="00E61F1E"/>
    <w:rsid w:val="00E6235B"/>
    <w:rsid w:val="00E63C91"/>
    <w:rsid w:val="00E64234"/>
    <w:rsid w:val="00E650F0"/>
    <w:rsid w:val="00E660B3"/>
    <w:rsid w:val="00E66861"/>
    <w:rsid w:val="00E66AF1"/>
    <w:rsid w:val="00E66C17"/>
    <w:rsid w:val="00E66E21"/>
    <w:rsid w:val="00E67063"/>
    <w:rsid w:val="00E673D4"/>
    <w:rsid w:val="00E67502"/>
    <w:rsid w:val="00E67847"/>
    <w:rsid w:val="00E7038D"/>
    <w:rsid w:val="00E70727"/>
    <w:rsid w:val="00E70809"/>
    <w:rsid w:val="00E70F38"/>
    <w:rsid w:val="00E710FC"/>
    <w:rsid w:val="00E711EA"/>
    <w:rsid w:val="00E71915"/>
    <w:rsid w:val="00E737D5"/>
    <w:rsid w:val="00E73BF8"/>
    <w:rsid w:val="00E7437A"/>
    <w:rsid w:val="00E74C88"/>
    <w:rsid w:val="00E74DBB"/>
    <w:rsid w:val="00E76879"/>
    <w:rsid w:val="00E77066"/>
    <w:rsid w:val="00E77070"/>
    <w:rsid w:val="00E801DD"/>
    <w:rsid w:val="00E80916"/>
    <w:rsid w:val="00E8198D"/>
    <w:rsid w:val="00E81A8F"/>
    <w:rsid w:val="00E82B6B"/>
    <w:rsid w:val="00E8375A"/>
    <w:rsid w:val="00E840DF"/>
    <w:rsid w:val="00E84193"/>
    <w:rsid w:val="00E84249"/>
    <w:rsid w:val="00E84963"/>
    <w:rsid w:val="00E8560F"/>
    <w:rsid w:val="00E8627D"/>
    <w:rsid w:val="00E86DB4"/>
    <w:rsid w:val="00E875DC"/>
    <w:rsid w:val="00E8780A"/>
    <w:rsid w:val="00E87BB5"/>
    <w:rsid w:val="00E904E5"/>
    <w:rsid w:val="00E91509"/>
    <w:rsid w:val="00E925E2"/>
    <w:rsid w:val="00E928B2"/>
    <w:rsid w:val="00E92CC5"/>
    <w:rsid w:val="00E931C3"/>
    <w:rsid w:val="00E948CF"/>
    <w:rsid w:val="00E94E34"/>
    <w:rsid w:val="00E94E53"/>
    <w:rsid w:val="00E957FC"/>
    <w:rsid w:val="00E95B5E"/>
    <w:rsid w:val="00E95D88"/>
    <w:rsid w:val="00EA0289"/>
    <w:rsid w:val="00EA0A7B"/>
    <w:rsid w:val="00EA0CE5"/>
    <w:rsid w:val="00EA138C"/>
    <w:rsid w:val="00EA14F7"/>
    <w:rsid w:val="00EA2882"/>
    <w:rsid w:val="00EA2AD5"/>
    <w:rsid w:val="00EA2E70"/>
    <w:rsid w:val="00EA3C14"/>
    <w:rsid w:val="00EA425D"/>
    <w:rsid w:val="00EA4386"/>
    <w:rsid w:val="00EA47AF"/>
    <w:rsid w:val="00EA4D1C"/>
    <w:rsid w:val="00EA4F05"/>
    <w:rsid w:val="00EA5279"/>
    <w:rsid w:val="00EA61BB"/>
    <w:rsid w:val="00EA648A"/>
    <w:rsid w:val="00EA6AAB"/>
    <w:rsid w:val="00EA73E0"/>
    <w:rsid w:val="00EB10AC"/>
    <w:rsid w:val="00EB11D1"/>
    <w:rsid w:val="00EB1524"/>
    <w:rsid w:val="00EB16F4"/>
    <w:rsid w:val="00EB181B"/>
    <w:rsid w:val="00EB1CA4"/>
    <w:rsid w:val="00EB217B"/>
    <w:rsid w:val="00EB225F"/>
    <w:rsid w:val="00EB243E"/>
    <w:rsid w:val="00EB2678"/>
    <w:rsid w:val="00EB2A07"/>
    <w:rsid w:val="00EB2DEA"/>
    <w:rsid w:val="00EB2E00"/>
    <w:rsid w:val="00EB316A"/>
    <w:rsid w:val="00EB51BD"/>
    <w:rsid w:val="00EB5490"/>
    <w:rsid w:val="00EB5A10"/>
    <w:rsid w:val="00EB5ED0"/>
    <w:rsid w:val="00EB6BED"/>
    <w:rsid w:val="00EB6FEA"/>
    <w:rsid w:val="00EB73F3"/>
    <w:rsid w:val="00EB7478"/>
    <w:rsid w:val="00EB7633"/>
    <w:rsid w:val="00EB7F06"/>
    <w:rsid w:val="00EC0201"/>
    <w:rsid w:val="00EC0971"/>
    <w:rsid w:val="00EC177D"/>
    <w:rsid w:val="00EC2D18"/>
    <w:rsid w:val="00EC341C"/>
    <w:rsid w:val="00EC391B"/>
    <w:rsid w:val="00EC4733"/>
    <w:rsid w:val="00EC4CAE"/>
    <w:rsid w:val="00EC599F"/>
    <w:rsid w:val="00EC61AF"/>
    <w:rsid w:val="00EC669D"/>
    <w:rsid w:val="00EC79E3"/>
    <w:rsid w:val="00ED0DC5"/>
    <w:rsid w:val="00ED1657"/>
    <w:rsid w:val="00ED2040"/>
    <w:rsid w:val="00ED317B"/>
    <w:rsid w:val="00ED3684"/>
    <w:rsid w:val="00ED46E2"/>
    <w:rsid w:val="00ED4A51"/>
    <w:rsid w:val="00ED4AF0"/>
    <w:rsid w:val="00ED4CB3"/>
    <w:rsid w:val="00ED5388"/>
    <w:rsid w:val="00ED5613"/>
    <w:rsid w:val="00ED5637"/>
    <w:rsid w:val="00ED59A9"/>
    <w:rsid w:val="00ED6618"/>
    <w:rsid w:val="00ED7CBA"/>
    <w:rsid w:val="00ED7E18"/>
    <w:rsid w:val="00EE19C4"/>
    <w:rsid w:val="00EE217F"/>
    <w:rsid w:val="00EE2486"/>
    <w:rsid w:val="00EE2825"/>
    <w:rsid w:val="00EE5A06"/>
    <w:rsid w:val="00EE5C92"/>
    <w:rsid w:val="00EE60D0"/>
    <w:rsid w:val="00EE64A3"/>
    <w:rsid w:val="00EE6775"/>
    <w:rsid w:val="00EE71C9"/>
    <w:rsid w:val="00EF04D1"/>
    <w:rsid w:val="00EF113B"/>
    <w:rsid w:val="00EF352D"/>
    <w:rsid w:val="00EF4063"/>
    <w:rsid w:val="00EF4AEE"/>
    <w:rsid w:val="00EF51E6"/>
    <w:rsid w:val="00EF66BF"/>
    <w:rsid w:val="00EF68A7"/>
    <w:rsid w:val="00EF6986"/>
    <w:rsid w:val="00EF6E41"/>
    <w:rsid w:val="00EF76D5"/>
    <w:rsid w:val="00F00368"/>
    <w:rsid w:val="00F01526"/>
    <w:rsid w:val="00F035E2"/>
    <w:rsid w:val="00F036FC"/>
    <w:rsid w:val="00F03E3C"/>
    <w:rsid w:val="00F03F3B"/>
    <w:rsid w:val="00F03FEE"/>
    <w:rsid w:val="00F03FF1"/>
    <w:rsid w:val="00F04E26"/>
    <w:rsid w:val="00F05EC7"/>
    <w:rsid w:val="00F0644B"/>
    <w:rsid w:val="00F06745"/>
    <w:rsid w:val="00F06C97"/>
    <w:rsid w:val="00F07015"/>
    <w:rsid w:val="00F07461"/>
    <w:rsid w:val="00F07468"/>
    <w:rsid w:val="00F11DDC"/>
    <w:rsid w:val="00F12092"/>
    <w:rsid w:val="00F1282F"/>
    <w:rsid w:val="00F13028"/>
    <w:rsid w:val="00F1302B"/>
    <w:rsid w:val="00F1316F"/>
    <w:rsid w:val="00F13F76"/>
    <w:rsid w:val="00F16B59"/>
    <w:rsid w:val="00F17108"/>
    <w:rsid w:val="00F17349"/>
    <w:rsid w:val="00F1783A"/>
    <w:rsid w:val="00F17EE5"/>
    <w:rsid w:val="00F20339"/>
    <w:rsid w:val="00F20F66"/>
    <w:rsid w:val="00F21000"/>
    <w:rsid w:val="00F2176B"/>
    <w:rsid w:val="00F21F62"/>
    <w:rsid w:val="00F22D82"/>
    <w:rsid w:val="00F23747"/>
    <w:rsid w:val="00F23A8E"/>
    <w:rsid w:val="00F23A93"/>
    <w:rsid w:val="00F23ED1"/>
    <w:rsid w:val="00F241C3"/>
    <w:rsid w:val="00F24B72"/>
    <w:rsid w:val="00F25A0C"/>
    <w:rsid w:val="00F26A22"/>
    <w:rsid w:val="00F26D40"/>
    <w:rsid w:val="00F2749F"/>
    <w:rsid w:val="00F27E61"/>
    <w:rsid w:val="00F305AE"/>
    <w:rsid w:val="00F3190A"/>
    <w:rsid w:val="00F328FD"/>
    <w:rsid w:val="00F3393C"/>
    <w:rsid w:val="00F340B6"/>
    <w:rsid w:val="00F34C07"/>
    <w:rsid w:val="00F34D31"/>
    <w:rsid w:val="00F35D00"/>
    <w:rsid w:val="00F361B7"/>
    <w:rsid w:val="00F36A95"/>
    <w:rsid w:val="00F370F5"/>
    <w:rsid w:val="00F407CD"/>
    <w:rsid w:val="00F409D3"/>
    <w:rsid w:val="00F40BAE"/>
    <w:rsid w:val="00F40FD9"/>
    <w:rsid w:val="00F42969"/>
    <w:rsid w:val="00F42C76"/>
    <w:rsid w:val="00F42D47"/>
    <w:rsid w:val="00F43107"/>
    <w:rsid w:val="00F4393C"/>
    <w:rsid w:val="00F43BD3"/>
    <w:rsid w:val="00F45173"/>
    <w:rsid w:val="00F45C5A"/>
    <w:rsid w:val="00F460D3"/>
    <w:rsid w:val="00F476F4"/>
    <w:rsid w:val="00F47730"/>
    <w:rsid w:val="00F50053"/>
    <w:rsid w:val="00F50565"/>
    <w:rsid w:val="00F50576"/>
    <w:rsid w:val="00F507EB"/>
    <w:rsid w:val="00F50CCD"/>
    <w:rsid w:val="00F52E7A"/>
    <w:rsid w:val="00F52F93"/>
    <w:rsid w:val="00F531ED"/>
    <w:rsid w:val="00F53BEB"/>
    <w:rsid w:val="00F54608"/>
    <w:rsid w:val="00F54EB6"/>
    <w:rsid w:val="00F552F2"/>
    <w:rsid w:val="00F55E52"/>
    <w:rsid w:val="00F56965"/>
    <w:rsid w:val="00F57EF0"/>
    <w:rsid w:val="00F60713"/>
    <w:rsid w:val="00F61940"/>
    <w:rsid w:val="00F627E2"/>
    <w:rsid w:val="00F62DF2"/>
    <w:rsid w:val="00F637A1"/>
    <w:rsid w:val="00F6601A"/>
    <w:rsid w:val="00F6636A"/>
    <w:rsid w:val="00F66702"/>
    <w:rsid w:val="00F66DFC"/>
    <w:rsid w:val="00F66E62"/>
    <w:rsid w:val="00F671A4"/>
    <w:rsid w:val="00F67502"/>
    <w:rsid w:val="00F67903"/>
    <w:rsid w:val="00F67C76"/>
    <w:rsid w:val="00F700B9"/>
    <w:rsid w:val="00F70782"/>
    <w:rsid w:val="00F70D7A"/>
    <w:rsid w:val="00F71520"/>
    <w:rsid w:val="00F71FA7"/>
    <w:rsid w:val="00F72021"/>
    <w:rsid w:val="00F72214"/>
    <w:rsid w:val="00F752AE"/>
    <w:rsid w:val="00F7590F"/>
    <w:rsid w:val="00F75FE2"/>
    <w:rsid w:val="00F7604C"/>
    <w:rsid w:val="00F772CC"/>
    <w:rsid w:val="00F77443"/>
    <w:rsid w:val="00F778CB"/>
    <w:rsid w:val="00F77929"/>
    <w:rsid w:val="00F779AC"/>
    <w:rsid w:val="00F80209"/>
    <w:rsid w:val="00F807F7"/>
    <w:rsid w:val="00F82881"/>
    <w:rsid w:val="00F82B77"/>
    <w:rsid w:val="00F83339"/>
    <w:rsid w:val="00F83FEC"/>
    <w:rsid w:val="00F8569E"/>
    <w:rsid w:val="00F85A14"/>
    <w:rsid w:val="00F862DC"/>
    <w:rsid w:val="00F863DD"/>
    <w:rsid w:val="00F86605"/>
    <w:rsid w:val="00F87E17"/>
    <w:rsid w:val="00F87F66"/>
    <w:rsid w:val="00F907F9"/>
    <w:rsid w:val="00F90AA6"/>
    <w:rsid w:val="00F90E2C"/>
    <w:rsid w:val="00F90EB0"/>
    <w:rsid w:val="00F913C6"/>
    <w:rsid w:val="00F9260C"/>
    <w:rsid w:val="00F942AF"/>
    <w:rsid w:val="00F94864"/>
    <w:rsid w:val="00F95BDD"/>
    <w:rsid w:val="00F96410"/>
    <w:rsid w:val="00F9713B"/>
    <w:rsid w:val="00F977C7"/>
    <w:rsid w:val="00FA02EE"/>
    <w:rsid w:val="00FA0E13"/>
    <w:rsid w:val="00FA2704"/>
    <w:rsid w:val="00FA33A6"/>
    <w:rsid w:val="00FA37F7"/>
    <w:rsid w:val="00FA45AE"/>
    <w:rsid w:val="00FA5283"/>
    <w:rsid w:val="00FA5C24"/>
    <w:rsid w:val="00FA5DE4"/>
    <w:rsid w:val="00FA7B80"/>
    <w:rsid w:val="00FB0176"/>
    <w:rsid w:val="00FB0337"/>
    <w:rsid w:val="00FB0B18"/>
    <w:rsid w:val="00FB16A3"/>
    <w:rsid w:val="00FB1FA0"/>
    <w:rsid w:val="00FB233C"/>
    <w:rsid w:val="00FB2466"/>
    <w:rsid w:val="00FB2659"/>
    <w:rsid w:val="00FB2ACA"/>
    <w:rsid w:val="00FB2B26"/>
    <w:rsid w:val="00FB44BD"/>
    <w:rsid w:val="00FB46A3"/>
    <w:rsid w:val="00FB479C"/>
    <w:rsid w:val="00FB5437"/>
    <w:rsid w:val="00FB5901"/>
    <w:rsid w:val="00FB673E"/>
    <w:rsid w:val="00FB753B"/>
    <w:rsid w:val="00FB7AA5"/>
    <w:rsid w:val="00FB7B54"/>
    <w:rsid w:val="00FC05FF"/>
    <w:rsid w:val="00FC0BF0"/>
    <w:rsid w:val="00FC1AC1"/>
    <w:rsid w:val="00FC1ACF"/>
    <w:rsid w:val="00FC1CD6"/>
    <w:rsid w:val="00FC2CCF"/>
    <w:rsid w:val="00FC3365"/>
    <w:rsid w:val="00FC36D7"/>
    <w:rsid w:val="00FC3AC9"/>
    <w:rsid w:val="00FC3D57"/>
    <w:rsid w:val="00FC3EB4"/>
    <w:rsid w:val="00FC482F"/>
    <w:rsid w:val="00FC51B8"/>
    <w:rsid w:val="00FC5E90"/>
    <w:rsid w:val="00FC5FD1"/>
    <w:rsid w:val="00FC6C2D"/>
    <w:rsid w:val="00FC7851"/>
    <w:rsid w:val="00FD051A"/>
    <w:rsid w:val="00FD16AB"/>
    <w:rsid w:val="00FD2459"/>
    <w:rsid w:val="00FD2E3A"/>
    <w:rsid w:val="00FD3757"/>
    <w:rsid w:val="00FD38DC"/>
    <w:rsid w:val="00FD3C77"/>
    <w:rsid w:val="00FD3D91"/>
    <w:rsid w:val="00FD4730"/>
    <w:rsid w:val="00FD4920"/>
    <w:rsid w:val="00FD4BAF"/>
    <w:rsid w:val="00FD4E83"/>
    <w:rsid w:val="00FD6457"/>
    <w:rsid w:val="00FD7463"/>
    <w:rsid w:val="00FD755E"/>
    <w:rsid w:val="00FD7CD3"/>
    <w:rsid w:val="00FE074F"/>
    <w:rsid w:val="00FE234B"/>
    <w:rsid w:val="00FE30C9"/>
    <w:rsid w:val="00FE41AD"/>
    <w:rsid w:val="00FE44C5"/>
    <w:rsid w:val="00FE5FC9"/>
    <w:rsid w:val="00FE6BDB"/>
    <w:rsid w:val="00FE72D0"/>
    <w:rsid w:val="00FE774D"/>
    <w:rsid w:val="00FE7A84"/>
    <w:rsid w:val="00FE7DD8"/>
    <w:rsid w:val="00FF058E"/>
    <w:rsid w:val="00FF06DA"/>
    <w:rsid w:val="00FF1021"/>
    <w:rsid w:val="00FF141F"/>
    <w:rsid w:val="00FF23A4"/>
    <w:rsid w:val="00FF260B"/>
    <w:rsid w:val="00FF3D51"/>
    <w:rsid w:val="00FF3FD3"/>
    <w:rsid w:val="00FF406D"/>
    <w:rsid w:val="00FF4209"/>
    <w:rsid w:val="00FF43B9"/>
    <w:rsid w:val="00FF52E7"/>
    <w:rsid w:val="00FF5A6E"/>
    <w:rsid w:val="00FF5CE3"/>
    <w:rsid w:val="00FF5DF4"/>
    <w:rsid w:val="00FF67F2"/>
    <w:rsid w:val="00FF6890"/>
    <w:rsid w:val="00FF68FB"/>
    <w:rsid w:val="00FF6D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9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Hyperlink">
    <w:name w:val="Hyperlink"/>
    <w:basedOn w:val="DefaultParagraphFont"/>
    <w:uiPriority w:val="99"/>
    <w:unhideWhenUsed/>
    <w:locked/>
    <w:rsid w:val="00CA05F1"/>
    <w:rPr>
      <w:color w:val="0000FF" w:themeColor="hyperlink"/>
      <w:u w:val="single"/>
    </w:rPr>
  </w:style>
  <w:style w:type="character" w:styleId="UnresolvedMention">
    <w:name w:val="Unresolved Mention"/>
    <w:basedOn w:val="DefaultParagraphFont"/>
    <w:uiPriority w:val="99"/>
    <w:semiHidden/>
    <w:unhideWhenUsed/>
    <w:rsid w:val="00CA05F1"/>
    <w:rPr>
      <w:color w:val="605E5C"/>
      <w:shd w:val="clear" w:color="auto" w:fill="E1DFDD"/>
    </w:rPr>
  </w:style>
  <w:style w:type="character" w:customStyle="1" w:styleId="FootnoteTextChar">
    <w:name w:val="Footnote Text Char"/>
    <w:basedOn w:val="DefaultParagraphFont"/>
    <w:link w:val="FootnoteText"/>
    <w:uiPriority w:val="53"/>
    <w:rsid w:val="002A6D57"/>
  </w:style>
  <w:style w:type="character" w:styleId="CommentReference">
    <w:name w:val="annotation reference"/>
    <w:basedOn w:val="DefaultParagraphFont"/>
    <w:uiPriority w:val="99"/>
    <w:semiHidden/>
    <w:unhideWhenUsed/>
    <w:locked/>
    <w:rsid w:val="00AC238B"/>
    <w:rPr>
      <w:sz w:val="16"/>
      <w:szCs w:val="16"/>
    </w:rPr>
  </w:style>
  <w:style w:type="paragraph" w:styleId="CommentText">
    <w:name w:val="annotation text"/>
    <w:basedOn w:val="Normal"/>
    <w:link w:val="CommentTextChar"/>
    <w:uiPriority w:val="99"/>
    <w:unhideWhenUsed/>
    <w:locked/>
    <w:rsid w:val="00AC238B"/>
    <w:pPr>
      <w:spacing w:line="240" w:lineRule="auto"/>
    </w:pPr>
    <w:rPr>
      <w:sz w:val="20"/>
      <w:szCs w:val="20"/>
    </w:rPr>
  </w:style>
  <w:style w:type="character" w:customStyle="1" w:styleId="CommentTextChar">
    <w:name w:val="Comment Text Char"/>
    <w:basedOn w:val="DefaultParagraphFont"/>
    <w:link w:val="CommentText"/>
    <w:uiPriority w:val="99"/>
    <w:rsid w:val="00AC238B"/>
    <w:rPr>
      <w:sz w:val="20"/>
      <w:szCs w:val="20"/>
    </w:rPr>
  </w:style>
  <w:style w:type="paragraph" w:styleId="CommentSubject">
    <w:name w:val="annotation subject"/>
    <w:basedOn w:val="CommentText"/>
    <w:next w:val="CommentText"/>
    <w:link w:val="CommentSubjectChar"/>
    <w:uiPriority w:val="99"/>
    <w:semiHidden/>
    <w:unhideWhenUsed/>
    <w:locked/>
    <w:rsid w:val="00AC238B"/>
    <w:rPr>
      <w:b/>
      <w:bCs/>
    </w:rPr>
  </w:style>
  <w:style w:type="character" w:customStyle="1" w:styleId="CommentSubjectChar">
    <w:name w:val="Comment Subject Char"/>
    <w:basedOn w:val="CommentTextChar"/>
    <w:link w:val="CommentSubject"/>
    <w:uiPriority w:val="99"/>
    <w:semiHidden/>
    <w:rsid w:val="00AC238B"/>
    <w:rPr>
      <w:b/>
      <w:bCs/>
      <w:sz w:val="20"/>
      <w:szCs w:val="20"/>
    </w:rPr>
  </w:style>
  <w:style w:type="paragraph" w:styleId="Revision">
    <w:name w:val="Revision"/>
    <w:hidden/>
    <w:uiPriority w:val="99"/>
    <w:semiHidden/>
    <w:rsid w:val="00AC238B"/>
  </w:style>
  <w:style w:type="character" w:customStyle="1" w:styleId="coitalic">
    <w:name w:val="co_italic"/>
    <w:basedOn w:val="DefaultParagraphFont"/>
    <w:rsid w:val="00C95E3C"/>
  </w:style>
  <w:style w:type="paragraph" w:customStyle="1" w:styleId="itemhead">
    <w:name w:val="itemhead"/>
    <w:basedOn w:val="Normal"/>
    <w:rsid w:val="00423EA9"/>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customStyle="1" w:styleId="item">
    <w:name w:val="item"/>
    <w:basedOn w:val="Normal"/>
    <w:rsid w:val="00423EA9"/>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customStyle="1" w:styleId="kqeaa">
    <w:name w:val="kqeaa"/>
    <w:basedOn w:val="DefaultParagraphFont"/>
    <w:rsid w:val="00C61271"/>
  </w:style>
  <w:style w:type="paragraph" w:customStyle="1" w:styleId="NoNorm">
    <w:name w:val="No Norm"/>
    <w:basedOn w:val="Normal"/>
    <w:qFormat/>
    <w:rsid w:val="003C391D"/>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3C391D"/>
    <w:pPr>
      <w:tabs>
        <w:tab w:val="clear" w:pos="2160"/>
        <w:tab w:val="left" w:pos="1418"/>
      </w:tabs>
      <w:ind w:left="1418" w:hanging="709"/>
    </w:pPr>
  </w:style>
  <w:style w:type="paragraph" w:customStyle="1" w:styleId="Indentlista">
    <w:name w:val="Indent list a)"/>
    <w:basedOn w:val="Noindentnormal"/>
    <w:qFormat/>
    <w:rsid w:val="003C391D"/>
    <w:pPr>
      <w:tabs>
        <w:tab w:val="left" w:pos="2268"/>
      </w:tabs>
      <w:spacing w:before="60"/>
      <w:ind w:left="2268" w:hanging="567"/>
    </w:pPr>
  </w:style>
  <w:style w:type="paragraph" w:customStyle="1" w:styleId="Body">
    <w:name w:val="Body"/>
    <w:basedOn w:val="Normal"/>
    <w:qFormat/>
    <w:rsid w:val="00FA37F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FA37F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FA37F7"/>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FA37F7"/>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FA37F7"/>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FA37F7"/>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03004">
      <w:bodyDiv w:val="1"/>
      <w:marLeft w:val="0"/>
      <w:marRight w:val="0"/>
      <w:marTop w:val="0"/>
      <w:marBottom w:val="0"/>
      <w:divBdr>
        <w:top w:val="none" w:sz="0" w:space="0" w:color="auto"/>
        <w:left w:val="none" w:sz="0" w:space="0" w:color="auto"/>
        <w:bottom w:val="none" w:sz="0" w:space="0" w:color="auto"/>
        <w:right w:val="none" w:sz="0" w:space="0" w:color="auto"/>
      </w:divBdr>
    </w:div>
    <w:div w:id="538475236">
      <w:bodyDiv w:val="1"/>
      <w:marLeft w:val="0"/>
      <w:marRight w:val="0"/>
      <w:marTop w:val="0"/>
      <w:marBottom w:val="0"/>
      <w:divBdr>
        <w:top w:val="none" w:sz="0" w:space="0" w:color="auto"/>
        <w:left w:val="none" w:sz="0" w:space="0" w:color="auto"/>
        <w:bottom w:val="none" w:sz="0" w:space="0" w:color="auto"/>
        <w:right w:val="none" w:sz="0" w:space="0" w:color="auto"/>
      </w:divBdr>
    </w:div>
    <w:div w:id="603850257">
      <w:bodyDiv w:val="1"/>
      <w:marLeft w:val="0"/>
      <w:marRight w:val="0"/>
      <w:marTop w:val="0"/>
      <w:marBottom w:val="0"/>
      <w:divBdr>
        <w:top w:val="none" w:sz="0" w:space="0" w:color="auto"/>
        <w:left w:val="none" w:sz="0" w:space="0" w:color="auto"/>
        <w:bottom w:val="none" w:sz="0" w:space="0" w:color="auto"/>
        <w:right w:val="none" w:sz="0" w:space="0" w:color="auto"/>
      </w:divBdr>
    </w:div>
    <w:div w:id="644168543">
      <w:bodyDiv w:val="1"/>
      <w:marLeft w:val="0"/>
      <w:marRight w:val="0"/>
      <w:marTop w:val="0"/>
      <w:marBottom w:val="0"/>
      <w:divBdr>
        <w:top w:val="none" w:sz="0" w:space="0" w:color="auto"/>
        <w:left w:val="none" w:sz="0" w:space="0" w:color="auto"/>
        <w:bottom w:val="none" w:sz="0" w:space="0" w:color="auto"/>
        <w:right w:val="none" w:sz="0" w:space="0" w:color="auto"/>
      </w:divBdr>
    </w:div>
    <w:div w:id="727991897">
      <w:bodyDiv w:val="1"/>
      <w:marLeft w:val="0"/>
      <w:marRight w:val="0"/>
      <w:marTop w:val="0"/>
      <w:marBottom w:val="0"/>
      <w:divBdr>
        <w:top w:val="none" w:sz="0" w:space="0" w:color="auto"/>
        <w:left w:val="none" w:sz="0" w:space="0" w:color="auto"/>
        <w:bottom w:val="none" w:sz="0" w:space="0" w:color="auto"/>
        <w:right w:val="none" w:sz="0" w:space="0" w:color="auto"/>
      </w:divBdr>
    </w:div>
    <w:div w:id="775754615">
      <w:bodyDiv w:val="1"/>
      <w:marLeft w:val="0"/>
      <w:marRight w:val="0"/>
      <w:marTop w:val="0"/>
      <w:marBottom w:val="0"/>
      <w:divBdr>
        <w:top w:val="none" w:sz="0" w:space="0" w:color="auto"/>
        <w:left w:val="none" w:sz="0" w:space="0" w:color="auto"/>
        <w:bottom w:val="none" w:sz="0" w:space="0" w:color="auto"/>
        <w:right w:val="none" w:sz="0" w:space="0" w:color="auto"/>
      </w:divBdr>
    </w:div>
    <w:div w:id="776871251">
      <w:bodyDiv w:val="1"/>
      <w:marLeft w:val="0"/>
      <w:marRight w:val="0"/>
      <w:marTop w:val="0"/>
      <w:marBottom w:val="0"/>
      <w:divBdr>
        <w:top w:val="none" w:sz="0" w:space="0" w:color="auto"/>
        <w:left w:val="none" w:sz="0" w:space="0" w:color="auto"/>
        <w:bottom w:val="none" w:sz="0" w:space="0" w:color="auto"/>
        <w:right w:val="none" w:sz="0" w:space="0" w:color="auto"/>
      </w:divBdr>
    </w:div>
    <w:div w:id="789128805">
      <w:bodyDiv w:val="1"/>
      <w:marLeft w:val="0"/>
      <w:marRight w:val="0"/>
      <w:marTop w:val="0"/>
      <w:marBottom w:val="0"/>
      <w:divBdr>
        <w:top w:val="none" w:sz="0" w:space="0" w:color="auto"/>
        <w:left w:val="none" w:sz="0" w:space="0" w:color="auto"/>
        <w:bottom w:val="none" w:sz="0" w:space="0" w:color="auto"/>
        <w:right w:val="none" w:sz="0" w:space="0" w:color="auto"/>
      </w:divBdr>
    </w:div>
    <w:div w:id="957567973">
      <w:bodyDiv w:val="1"/>
      <w:marLeft w:val="0"/>
      <w:marRight w:val="0"/>
      <w:marTop w:val="0"/>
      <w:marBottom w:val="0"/>
      <w:divBdr>
        <w:top w:val="none" w:sz="0" w:space="0" w:color="auto"/>
        <w:left w:val="none" w:sz="0" w:space="0" w:color="auto"/>
        <w:bottom w:val="none" w:sz="0" w:space="0" w:color="auto"/>
        <w:right w:val="none" w:sz="0" w:space="0" w:color="auto"/>
      </w:divBdr>
    </w:div>
    <w:div w:id="1063215440">
      <w:bodyDiv w:val="1"/>
      <w:marLeft w:val="0"/>
      <w:marRight w:val="0"/>
      <w:marTop w:val="0"/>
      <w:marBottom w:val="0"/>
      <w:divBdr>
        <w:top w:val="none" w:sz="0" w:space="0" w:color="auto"/>
        <w:left w:val="none" w:sz="0" w:space="0" w:color="auto"/>
        <w:bottom w:val="none" w:sz="0" w:space="0" w:color="auto"/>
        <w:right w:val="none" w:sz="0" w:space="0" w:color="auto"/>
      </w:divBdr>
      <w:divsChild>
        <w:div w:id="87622915">
          <w:marLeft w:val="0"/>
          <w:marRight w:val="0"/>
          <w:marTop w:val="0"/>
          <w:marBottom w:val="0"/>
          <w:divBdr>
            <w:top w:val="none" w:sz="0" w:space="0" w:color="auto"/>
            <w:left w:val="none" w:sz="0" w:space="0" w:color="auto"/>
            <w:bottom w:val="none" w:sz="0" w:space="0" w:color="auto"/>
            <w:right w:val="none" w:sz="0" w:space="0" w:color="auto"/>
          </w:divBdr>
          <w:divsChild>
            <w:div w:id="29189744">
              <w:marLeft w:val="0"/>
              <w:marRight w:val="0"/>
              <w:marTop w:val="0"/>
              <w:marBottom w:val="0"/>
              <w:divBdr>
                <w:top w:val="none" w:sz="0" w:space="0" w:color="auto"/>
                <w:left w:val="none" w:sz="0" w:space="0" w:color="auto"/>
                <w:bottom w:val="none" w:sz="0" w:space="0" w:color="auto"/>
                <w:right w:val="none" w:sz="0" w:space="0" w:color="auto"/>
              </w:divBdr>
              <w:divsChild>
                <w:div w:id="1273518193">
                  <w:marLeft w:val="0"/>
                  <w:marRight w:val="0"/>
                  <w:marTop w:val="0"/>
                  <w:marBottom w:val="0"/>
                  <w:divBdr>
                    <w:top w:val="none" w:sz="0" w:space="0" w:color="auto"/>
                    <w:left w:val="none" w:sz="0" w:space="0" w:color="auto"/>
                    <w:bottom w:val="none" w:sz="0" w:space="0" w:color="auto"/>
                    <w:right w:val="none" w:sz="0" w:space="0" w:color="auto"/>
                  </w:divBdr>
                  <w:divsChild>
                    <w:div w:id="593587877">
                      <w:marLeft w:val="300"/>
                      <w:marRight w:val="0"/>
                      <w:marTop w:val="0"/>
                      <w:marBottom w:val="0"/>
                      <w:divBdr>
                        <w:top w:val="none" w:sz="0" w:space="0" w:color="auto"/>
                        <w:left w:val="none" w:sz="0" w:space="0" w:color="auto"/>
                        <w:bottom w:val="none" w:sz="0" w:space="0" w:color="auto"/>
                        <w:right w:val="none" w:sz="0" w:space="0" w:color="auto"/>
                      </w:divBdr>
                      <w:divsChild>
                        <w:div w:id="1469934110">
                          <w:marLeft w:val="-300"/>
                          <w:marRight w:val="0"/>
                          <w:marTop w:val="0"/>
                          <w:marBottom w:val="0"/>
                          <w:divBdr>
                            <w:top w:val="none" w:sz="0" w:space="0" w:color="auto"/>
                            <w:left w:val="none" w:sz="0" w:space="0" w:color="auto"/>
                            <w:bottom w:val="none" w:sz="0" w:space="0" w:color="auto"/>
                            <w:right w:val="none" w:sz="0" w:space="0" w:color="auto"/>
                          </w:divBdr>
                          <w:divsChild>
                            <w:div w:id="484199625">
                              <w:marLeft w:val="0"/>
                              <w:marRight w:val="0"/>
                              <w:marTop w:val="0"/>
                              <w:marBottom w:val="0"/>
                              <w:divBdr>
                                <w:top w:val="none" w:sz="0" w:space="0" w:color="auto"/>
                                <w:left w:val="none" w:sz="0" w:space="0" w:color="auto"/>
                                <w:bottom w:val="none" w:sz="0" w:space="0" w:color="auto"/>
                                <w:right w:val="none" w:sz="0" w:space="0" w:color="auto"/>
                              </w:divBdr>
                              <w:divsChild>
                                <w:div w:id="489636525">
                                  <w:marLeft w:val="0"/>
                                  <w:marRight w:val="0"/>
                                  <w:marTop w:val="0"/>
                                  <w:marBottom w:val="0"/>
                                  <w:divBdr>
                                    <w:top w:val="none" w:sz="0" w:space="0" w:color="auto"/>
                                    <w:left w:val="none" w:sz="0" w:space="0" w:color="auto"/>
                                    <w:bottom w:val="none" w:sz="0" w:space="0" w:color="auto"/>
                                    <w:right w:val="none" w:sz="0" w:space="0" w:color="auto"/>
                                  </w:divBdr>
                                </w:div>
                                <w:div w:id="1120340733">
                                  <w:marLeft w:val="0"/>
                                  <w:marRight w:val="0"/>
                                  <w:marTop w:val="0"/>
                                  <w:marBottom w:val="0"/>
                                  <w:divBdr>
                                    <w:top w:val="none" w:sz="0" w:space="0" w:color="auto"/>
                                    <w:left w:val="none" w:sz="0" w:space="0" w:color="auto"/>
                                    <w:bottom w:val="none" w:sz="0" w:space="0" w:color="auto"/>
                                    <w:right w:val="none" w:sz="0" w:space="0" w:color="auto"/>
                                  </w:divBdr>
                                  <w:divsChild>
                                    <w:div w:id="19328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078513">
          <w:marLeft w:val="0"/>
          <w:marRight w:val="0"/>
          <w:marTop w:val="0"/>
          <w:marBottom w:val="0"/>
          <w:divBdr>
            <w:top w:val="none" w:sz="0" w:space="0" w:color="auto"/>
            <w:left w:val="none" w:sz="0" w:space="0" w:color="auto"/>
            <w:bottom w:val="none" w:sz="0" w:space="0" w:color="auto"/>
            <w:right w:val="none" w:sz="0" w:space="0" w:color="auto"/>
          </w:divBdr>
          <w:divsChild>
            <w:div w:id="1443836932">
              <w:marLeft w:val="0"/>
              <w:marRight w:val="0"/>
              <w:marTop w:val="0"/>
              <w:marBottom w:val="0"/>
              <w:divBdr>
                <w:top w:val="none" w:sz="0" w:space="0" w:color="auto"/>
                <w:left w:val="none" w:sz="0" w:space="0" w:color="auto"/>
                <w:bottom w:val="none" w:sz="0" w:space="0" w:color="auto"/>
                <w:right w:val="none" w:sz="0" w:space="0" w:color="auto"/>
              </w:divBdr>
              <w:divsChild>
                <w:div w:id="4826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02496">
      <w:bodyDiv w:val="1"/>
      <w:marLeft w:val="0"/>
      <w:marRight w:val="0"/>
      <w:marTop w:val="0"/>
      <w:marBottom w:val="0"/>
      <w:divBdr>
        <w:top w:val="none" w:sz="0" w:space="0" w:color="auto"/>
        <w:left w:val="none" w:sz="0" w:space="0" w:color="auto"/>
        <w:bottom w:val="none" w:sz="0" w:space="0" w:color="auto"/>
        <w:right w:val="none" w:sz="0" w:space="0" w:color="auto"/>
      </w:divBdr>
    </w:div>
    <w:div w:id="1083916085">
      <w:bodyDiv w:val="1"/>
      <w:marLeft w:val="0"/>
      <w:marRight w:val="0"/>
      <w:marTop w:val="0"/>
      <w:marBottom w:val="0"/>
      <w:divBdr>
        <w:top w:val="none" w:sz="0" w:space="0" w:color="auto"/>
        <w:left w:val="none" w:sz="0" w:space="0" w:color="auto"/>
        <w:bottom w:val="none" w:sz="0" w:space="0" w:color="auto"/>
        <w:right w:val="none" w:sz="0" w:space="0" w:color="auto"/>
      </w:divBdr>
    </w:div>
    <w:div w:id="1121417954">
      <w:bodyDiv w:val="1"/>
      <w:marLeft w:val="0"/>
      <w:marRight w:val="0"/>
      <w:marTop w:val="0"/>
      <w:marBottom w:val="0"/>
      <w:divBdr>
        <w:top w:val="none" w:sz="0" w:space="0" w:color="auto"/>
        <w:left w:val="none" w:sz="0" w:space="0" w:color="auto"/>
        <w:bottom w:val="none" w:sz="0" w:space="0" w:color="auto"/>
        <w:right w:val="none" w:sz="0" w:space="0" w:color="auto"/>
      </w:divBdr>
    </w:div>
    <w:div w:id="1378318367">
      <w:bodyDiv w:val="1"/>
      <w:marLeft w:val="0"/>
      <w:marRight w:val="0"/>
      <w:marTop w:val="0"/>
      <w:marBottom w:val="0"/>
      <w:divBdr>
        <w:top w:val="none" w:sz="0" w:space="0" w:color="auto"/>
        <w:left w:val="none" w:sz="0" w:space="0" w:color="auto"/>
        <w:bottom w:val="none" w:sz="0" w:space="0" w:color="auto"/>
        <w:right w:val="none" w:sz="0" w:space="0" w:color="auto"/>
      </w:divBdr>
    </w:div>
    <w:div w:id="1383140729">
      <w:bodyDiv w:val="1"/>
      <w:marLeft w:val="0"/>
      <w:marRight w:val="0"/>
      <w:marTop w:val="0"/>
      <w:marBottom w:val="0"/>
      <w:divBdr>
        <w:top w:val="none" w:sz="0" w:space="0" w:color="auto"/>
        <w:left w:val="none" w:sz="0" w:space="0" w:color="auto"/>
        <w:bottom w:val="none" w:sz="0" w:space="0" w:color="auto"/>
        <w:right w:val="none" w:sz="0" w:space="0" w:color="auto"/>
      </w:divBdr>
    </w:div>
    <w:div w:id="1569925196">
      <w:bodyDiv w:val="1"/>
      <w:marLeft w:val="0"/>
      <w:marRight w:val="0"/>
      <w:marTop w:val="0"/>
      <w:marBottom w:val="0"/>
      <w:divBdr>
        <w:top w:val="none" w:sz="0" w:space="0" w:color="auto"/>
        <w:left w:val="none" w:sz="0" w:space="0" w:color="auto"/>
        <w:bottom w:val="none" w:sz="0" w:space="0" w:color="auto"/>
        <w:right w:val="none" w:sz="0" w:space="0" w:color="auto"/>
      </w:divBdr>
    </w:div>
    <w:div w:id="1578709791">
      <w:bodyDiv w:val="1"/>
      <w:marLeft w:val="0"/>
      <w:marRight w:val="0"/>
      <w:marTop w:val="0"/>
      <w:marBottom w:val="0"/>
      <w:divBdr>
        <w:top w:val="none" w:sz="0" w:space="0" w:color="auto"/>
        <w:left w:val="none" w:sz="0" w:space="0" w:color="auto"/>
        <w:bottom w:val="none" w:sz="0" w:space="0" w:color="auto"/>
        <w:right w:val="none" w:sz="0" w:space="0" w:color="auto"/>
      </w:divBdr>
    </w:div>
    <w:div w:id="1693918794">
      <w:bodyDiv w:val="1"/>
      <w:marLeft w:val="0"/>
      <w:marRight w:val="0"/>
      <w:marTop w:val="0"/>
      <w:marBottom w:val="0"/>
      <w:divBdr>
        <w:top w:val="none" w:sz="0" w:space="0" w:color="auto"/>
        <w:left w:val="none" w:sz="0" w:space="0" w:color="auto"/>
        <w:bottom w:val="none" w:sz="0" w:space="0" w:color="auto"/>
        <w:right w:val="none" w:sz="0" w:space="0" w:color="auto"/>
      </w:divBdr>
    </w:div>
    <w:div w:id="1879196904">
      <w:bodyDiv w:val="1"/>
      <w:marLeft w:val="0"/>
      <w:marRight w:val="0"/>
      <w:marTop w:val="0"/>
      <w:marBottom w:val="0"/>
      <w:divBdr>
        <w:top w:val="none" w:sz="0" w:space="0" w:color="auto"/>
        <w:left w:val="none" w:sz="0" w:space="0" w:color="auto"/>
        <w:bottom w:val="none" w:sz="0" w:space="0" w:color="auto"/>
        <w:right w:val="none" w:sz="0" w:space="0" w:color="auto"/>
      </w:divBdr>
    </w:div>
    <w:div w:id="2102601591">
      <w:bodyDiv w:val="1"/>
      <w:marLeft w:val="0"/>
      <w:marRight w:val="0"/>
      <w:marTop w:val="0"/>
      <w:marBottom w:val="0"/>
      <w:divBdr>
        <w:top w:val="none" w:sz="0" w:space="0" w:color="auto"/>
        <w:left w:val="none" w:sz="0" w:space="0" w:color="auto"/>
        <w:bottom w:val="none" w:sz="0" w:space="0" w:color="auto"/>
        <w:right w:val="none" w:sz="0" w:space="0" w:color="auto"/>
      </w:divBdr>
    </w:div>
    <w:div w:id="211185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0A58-021C-4AE1-8F67-EC8FF11EF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Template>
  <TotalTime>0</TotalTime>
  <Pages>35</Pages>
  <Words>8403</Words>
  <Characters>47903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2022-10-10T01:35:00Z</dcterms:created>
  <dcterms:modified xsi:type="dcterms:W3CDTF">2022-10-10T02:11:00Z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y fmtid="{D5CDD505-2E9C-101B-9397-08002B2CF9AE}" pid="10" name="MediaServiceImageTags">
    <vt:lpwstr/>
  </property>
</Properties>
</file>