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2553" w14:textId="77777777" w:rsidR="00410E92" w:rsidRPr="00704FF8" w:rsidRDefault="00410E92" w:rsidP="00704FF8">
      <w:pPr>
        <w:pStyle w:val="OrdersTopLine"/>
      </w:pPr>
      <w:r w:rsidRPr="00704FF8">
        <w:t>HIGH COURT OF AUSTRALIA</w:t>
      </w:r>
    </w:p>
    <w:p w14:paraId="234DD85E" w14:textId="77777777" w:rsidR="00410E92" w:rsidRPr="00704FF8" w:rsidRDefault="00410E92" w:rsidP="00704FF8">
      <w:pPr>
        <w:pStyle w:val="OrderCentre"/>
      </w:pPr>
    </w:p>
    <w:p w14:paraId="7C724152" w14:textId="77777777" w:rsidR="00410E92" w:rsidRPr="00704FF8" w:rsidRDefault="00410E92" w:rsidP="00704FF8">
      <w:pPr>
        <w:pStyle w:val="OrderCentre"/>
      </w:pPr>
      <w:r w:rsidRPr="00704FF8">
        <w:t>KIEFEL CJ</w:t>
      </w:r>
      <w:r>
        <w:t>,</w:t>
      </w:r>
    </w:p>
    <w:p w14:paraId="4640E950" w14:textId="77777777" w:rsidR="00410E92" w:rsidRPr="00704FF8" w:rsidRDefault="00410E92" w:rsidP="00704FF8">
      <w:pPr>
        <w:pStyle w:val="OrderCentre"/>
      </w:pPr>
      <w:r w:rsidRPr="00704FF8">
        <w:t>GAGELER, GORDON</w:t>
      </w:r>
      <w:r>
        <w:t xml:space="preserve">, </w:t>
      </w:r>
      <w:r w:rsidRPr="004C496B">
        <w:t xml:space="preserve">STEWARD </w:t>
      </w:r>
      <w:r w:rsidRPr="00704FF8">
        <w:t xml:space="preserve">AND </w:t>
      </w:r>
      <w:r>
        <w:t xml:space="preserve">GLEESON </w:t>
      </w:r>
      <w:r w:rsidRPr="00704FF8">
        <w:t>JJ</w:t>
      </w:r>
    </w:p>
    <w:p w14:paraId="43438C16" w14:textId="77777777" w:rsidR="00410E92" w:rsidRPr="00427F3A" w:rsidRDefault="00410E92" w:rsidP="00EE5374">
      <w:pPr>
        <w:pStyle w:val="Centre"/>
        <w:rPr>
          <w:lang w:val="en-AU"/>
        </w:rPr>
      </w:pPr>
    </w:p>
    <w:p w14:paraId="116202A9" w14:textId="77777777" w:rsidR="00410E92" w:rsidRPr="00704FF8" w:rsidRDefault="00410E92" w:rsidP="00704FF8">
      <w:pPr>
        <w:pStyle w:val="OrdersCenteredBorder"/>
      </w:pPr>
    </w:p>
    <w:p w14:paraId="780CB8A0" w14:textId="77777777" w:rsidR="00410E92" w:rsidRPr="00704FF8" w:rsidRDefault="00410E92" w:rsidP="0032341F">
      <w:pPr>
        <w:pStyle w:val="OrdersBodyHeading"/>
      </w:pPr>
    </w:p>
    <w:p w14:paraId="1B13CAE9" w14:textId="77777777" w:rsidR="00410E92" w:rsidRPr="0032341F" w:rsidRDefault="00410E92" w:rsidP="009362E8">
      <w:pPr>
        <w:pStyle w:val="OrdersPartyName"/>
        <w:ind w:right="-1"/>
      </w:pPr>
      <w:r w:rsidRPr="009B450C">
        <w:t>TL</w:t>
      </w:r>
      <w:r w:rsidRPr="0032341F">
        <w:tab/>
        <w:t>APPELLANT</w:t>
      </w:r>
    </w:p>
    <w:p w14:paraId="615C1EFD" w14:textId="77777777" w:rsidR="00410E92" w:rsidRPr="0032341F" w:rsidRDefault="00410E92" w:rsidP="009362E8">
      <w:pPr>
        <w:pStyle w:val="OrdersPartyName"/>
        <w:ind w:right="-1"/>
      </w:pPr>
    </w:p>
    <w:p w14:paraId="261DC1A7" w14:textId="77777777" w:rsidR="00410E92" w:rsidRPr="0032341F" w:rsidRDefault="00410E92" w:rsidP="009362E8">
      <w:pPr>
        <w:pStyle w:val="OrdersPartyName"/>
        <w:ind w:right="-1"/>
      </w:pPr>
      <w:r w:rsidRPr="0032341F">
        <w:t>AND</w:t>
      </w:r>
    </w:p>
    <w:p w14:paraId="5E9AF32A" w14:textId="77777777" w:rsidR="00410E92" w:rsidRPr="0032341F" w:rsidRDefault="00410E92" w:rsidP="009362E8">
      <w:pPr>
        <w:pStyle w:val="OrdersPartyName"/>
        <w:ind w:right="-1"/>
      </w:pPr>
    </w:p>
    <w:p w14:paraId="796F87BE" w14:textId="77777777" w:rsidR="00410E92" w:rsidRPr="0032341F" w:rsidRDefault="00410E92" w:rsidP="009362E8">
      <w:pPr>
        <w:pStyle w:val="OrdersPartyName"/>
        <w:ind w:right="-1"/>
      </w:pPr>
      <w:r w:rsidRPr="009B450C">
        <w:t xml:space="preserve">THE </w:t>
      </w:r>
      <w:r>
        <w:t>KING</w:t>
      </w:r>
      <w:r w:rsidRPr="0032341F">
        <w:tab/>
        <w:t>RESPONDENT</w:t>
      </w:r>
    </w:p>
    <w:p w14:paraId="46B77D08" w14:textId="77777777" w:rsidR="00410E92" w:rsidRPr="00427F3A" w:rsidRDefault="00410E92" w:rsidP="00AF0A5E">
      <w:pPr>
        <w:pStyle w:val="BodyHeading"/>
      </w:pPr>
    </w:p>
    <w:p w14:paraId="0844833C" w14:textId="77777777" w:rsidR="00410E92" w:rsidRPr="00427F3A" w:rsidRDefault="00410E92" w:rsidP="00BE0A6C">
      <w:pPr>
        <w:pStyle w:val="BodyHeading"/>
      </w:pPr>
    </w:p>
    <w:p w14:paraId="476B5AC8" w14:textId="77777777" w:rsidR="00410E92" w:rsidRPr="00427F3A" w:rsidRDefault="00410E92" w:rsidP="00EE5374">
      <w:pPr>
        <w:pStyle w:val="CentreItalics"/>
      </w:pPr>
      <w:r w:rsidRPr="009B450C">
        <w:t xml:space="preserve">TL v The </w:t>
      </w:r>
      <w:r>
        <w:t>King</w:t>
      </w:r>
    </w:p>
    <w:p w14:paraId="7C867728" w14:textId="77777777" w:rsidR="00410E92" w:rsidRPr="00427F3A" w:rsidRDefault="00410E92" w:rsidP="00E90E4F">
      <w:pPr>
        <w:pStyle w:val="OrdersCentre"/>
      </w:pPr>
      <w:r>
        <w:t>[2022</w:t>
      </w:r>
      <w:r w:rsidRPr="00427F3A">
        <w:t xml:space="preserve">] HCA </w:t>
      </w:r>
      <w:r>
        <w:t>35</w:t>
      </w:r>
    </w:p>
    <w:p w14:paraId="4D9624D4" w14:textId="77777777" w:rsidR="00410E92" w:rsidRDefault="00410E92" w:rsidP="00E90E4F">
      <w:pPr>
        <w:pStyle w:val="OrdersCentreItalics"/>
      </w:pPr>
      <w:r>
        <w:t xml:space="preserve">Date of Hearing: </w:t>
      </w:r>
      <w:r w:rsidRPr="009B450C">
        <w:t>17 August 2022</w:t>
      </w:r>
    </w:p>
    <w:p w14:paraId="140FB70E" w14:textId="77777777" w:rsidR="00410E92" w:rsidRPr="00427F3A" w:rsidRDefault="00410E92" w:rsidP="00E90E4F">
      <w:pPr>
        <w:pStyle w:val="OrdersCentreItalics"/>
      </w:pPr>
      <w:r>
        <w:t>Date of Judgment: 19 October 2022</w:t>
      </w:r>
    </w:p>
    <w:p w14:paraId="39EE45FD" w14:textId="77777777" w:rsidR="00410E92" w:rsidRDefault="00410E92" w:rsidP="00E90E4F">
      <w:pPr>
        <w:pStyle w:val="OrdersCentre"/>
      </w:pPr>
      <w:r w:rsidRPr="009B450C">
        <w:t>S61/2022</w:t>
      </w:r>
    </w:p>
    <w:p w14:paraId="04FFD3B4" w14:textId="77777777" w:rsidR="00410E92" w:rsidRPr="00427F3A" w:rsidRDefault="00410E92" w:rsidP="00E90E4F">
      <w:pPr>
        <w:pStyle w:val="OrdersCentre"/>
      </w:pPr>
    </w:p>
    <w:p w14:paraId="65695D3B" w14:textId="77777777" w:rsidR="00410E92" w:rsidRPr="00BE0A6C" w:rsidRDefault="00410E92" w:rsidP="00E90E4F">
      <w:pPr>
        <w:pStyle w:val="OrderCentreBold"/>
      </w:pPr>
      <w:r w:rsidRPr="00BE0A6C">
        <w:t>ORDER</w:t>
      </w:r>
    </w:p>
    <w:p w14:paraId="162A8D28" w14:textId="77777777" w:rsidR="00410E92" w:rsidRPr="00427F3A" w:rsidRDefault="00410E92" w:rsidP="00736C52">
      <w:pPr>
        <w:pStyle w:val="Centre"/>
        <w:rPr>
          <w:lang w:val="en-AU"/>
        </w:rPr>
      </w:pPr>
    </w:p>
    <w:p w14:paraId="79760082" w14:textId="77777777" w:rsidR="00410E92" w:rsidRPr="00190784" w:rsidRDefault="00410E92" w:rsidP="0032341F">
      <w:pPr>
        <w:pStyle w:val="OrdersText"/>
      </w:pPr>
      <w:r>
        <w:t>Appeal dismissed.</w:t>
      </w:r>
    </w:p>
    <w:p w14:paraId="3EFE7848" w14:textId="77777777" w:rsidR="00410E92" w:rsidRDefault="00410E92" w:rsidP="00EE5374">
      <w:pPr>
        <w:pStyle w:val="Body"/>
      </w:pPr>
    </w:p>
    <w:p w14:paraId="43594224" w14:textId="77777777" w:rsidR="00410E92" w:rsidRPr="00427F3A" w:rsidRDefault="00410E92" w:rsidP="00EE5374">
      <w:pPr>
        <w:pStyle w:val="Body"/>
      </w:pPr>
    </w:p>
    <w:p w14:paraId="524B2CB4" w14:textId="77777777" w:rsidR="00410E92" w:rsidRPr="00427F3A" w:rsidRDefault="00410E92" w:rsidP="0032341F">
      <w:pPr>
        <w:pStyle w:val="OrdersBody"/>
      </w:pPr>
      <w:r w:rsidRPr="00427F3A">
        <w:t xml:space="preserve">On appeal from the </w:t>
      </w:r>
      <w:r w:rsidRPr="009B450C">
        <w:t>Supreme Court of New South Wales</w:t>
      </w:r>
    </w:p>
    <w:p w14:paraId="28FED620" w14:textId="77777777" w:rsidR="00410E92" w:rsidRDefault="00410E92" w:rsidP="00EE5374">
      <w:pPr>
        <w:pStyle w:val="Body"/>
      </w:pPr>
    </w:p>
    <w:p w14:paraId="53695035" w14:textId="77777777" w:rsidR="00410E92" w:rsidRPr="00427F3A" w:rsidRDefault="00410E92" w:rsidP="00EE5374">
      <w:pPr>
        <w:pStyle w:val="Body"/>
      </w:pPr>
    </w:p>
    <w:p w14:paraId="0A36DF25" w14:textId="77777777" w:rsidR="00410E92" w:rsidRPr="00427F3A" w:rsidRDefault="00410E92" w:rsidP="00E90E4F">
      <w:pPr>
        <w:pStyle w:val="OrdersBodyHeading"/>
      </w:pPr>
      <w:r w:rsidRPr="00427F3A">
        <w:t>Representation</w:t>
      </w:r>
    </w:p>
    <w:p w14:paraId="761B3267" w14:textId="77777777" w:rsidR="00410E92" w:rsidRDefault="00410E92" w:rsidP="00EE5374">
      <w:pPr>
        <w:pStyle w:val="Body"/>
      </w:pPr>
    </w:p>
    <w:p w14:paraId="0C69A0D1" w14:textId="77777777" w:rsidR="00410E92" w:rsidRPr="009B450C" w:rsidRDefault="00410E92" w:rsidP="00E90E4F">
      <w:pPr>
        <w:pStyle w:val="OrdersBody"/>
      </w:pPr>
      <w:r w:rsidRPr="009B450C">
        <w:t xml:space="preserve">J L </w:t>
      </w:r>
      <w:proofErr w:type="spellStart"/>
      <w:r w:rsidRPr="009B450C">
        <w:t>Glissan</w:t>
      </w:r>
      <w:proofErr w:type="spellEnd"/>
      <w:r w:rsidRPr="009B450C">
        <w:t xml:space="preserve"> QC with T Liu for the appellant (instructed by Jeffreys Lawyers)</w:t>
      </w:r>
    </w:p>
    <w:p w14:paraId="4B4B2E18" w14:textId="77777777" w:rsidR="00410E92" w:rsidRPr="009B450C" w:rsidRDefault="00410E92" w:rsidP="001B3C97">
      <w:pPr>
        <w:pStyle w:val="Body"/>
      </w:pPr>
    </w:p>
    <w:p w14:paraId="1E342317" w14:textId="77777777" w:rsidR="00410E92" w:rsidRPr="009B450C" w:rsidRDefault="00410E92" w:rsidP="00E90E4F">
      <w:pPr>
        <w:pStyle w:val="OrdersBody"/>
      </w:pPr>
      <w:r w:rsidRPr="009B450C">
        <w:t>S C Dowling SC with M L Millward for the respondent (instructed by Director of Public Prosecutions (NSW))</w:t>
      </w:r>
    </w:p>
    <w:p w14:paraId="5132F110" w14:textId="77777777" w:rsidR="00410E92" w:rsidRDefault="00410E92" w:rsidP="00A01277">
      <w:pPr>
        <w:pStyle w:val="Body"/>
      </w:pPr>
    </w:p>
    <w:p w14:paraId="2A56C622" w14:textId="77777777" w:rsidR="00410E92" w:rsidRDefault="00410E92" w:rsidP="00EE5374">
      <w:pPr>
        <w:pStyle w:val="Body"/>
      </w:pPr>
    </w:p>
    <w:p w14:paraId="5DFBDF97" w14:textId="77777777" w:rsidR="00410E92" w:rsidRPr="00427F3A" w:rsidRDefault="00410E92" w:rsidP="00EE5374">
      <w:pPr>
        <w:pStyle w:val="Body"/>
      </w:pPr>
    </w:p>
    <w:p w14:paraId="22BD8A82" w14:textId="77777777" w:rsidR="00410E92" w:rsidRPr="00427F3A" w:rsidRDefault="00410E92" w:rsidP="00F9713B">
      <w:pPr>
        <w:pStyle w:val="Notice"/>
        <w:rPr>
          <w:lang w:val="en-AU"/>
        </w:rPr>
      </w:pPr>
      <w:r w:rsidRPr="00427F3A">
        <w:rPr>
          <w:lang w:val="en-AU"/>
        </w:rPr>
        <w:t>Notice:  This copy of the Court's Reasons for Judgment is subject to formal revision prior to publication in the Commonwealth Law Reports.</w:t>
      </w:r>
    </w:p>
    <w:p w14:paraId="0DF31928" w14:textId="5C777138" w:rsidR="00410E92" w:rsidRDefault="00410E9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958EC2F" w14:textId="77777777" w:rsidR="004D43B3" w:rsidRDefault="00410E9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4D43B3" w:rsidSect="00410E92">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9B31A9B" w14:textId="77777777" w:rsidR="004D43B3" w:rsidRDefault="004D43B3" w:rsidP="001649CA">
      <w:pPr>
        <w:pStyle w:val="CatchwordsBold"/>
      </w:pPr>
      <w:r w:rsidRPr="00B9489E">
        <w:lastRenderedPageBreak/>
        <w:t>CATCHWORDS</w:t>
      </w:r>
    </w:p>
    <w:p w14:paraId="4710A47E" w14:textId="77777777" w:rsidR="004D43B3" w:rsidRPr="00B9489E" w:rsidRDefault="004D43B3" w:rsidP="001649CA">
      <w:pPr>
        <w:pStyle w:val="CatchwordsBold"/>
      </w:pPr>
    </w:p>
    <w:p w14:paraId="64835D19" w14:textId="77777777" w:rsidR="004D43B3" w:rsidRDefault="004D43B3" w:rsidP="000F5F6B">
      <w:pPr>
        <w:pStyle w:val="CatchwordsBold"/>
        <w:tabs>
          <w:tab w:val="clear" w:pos="2880"/>
          <w:tab w:val="clear" w:pos="3600"/>
          <w:tab w:val="clear" w:pos="6480"/>
          <w:tab w:val="left" w:pos="6963"/>
        </w:tabs>
      </w:pPr>
      <w:r>
        <w:t>TL v The King</w:t>
      </w:r>
    </w:p>
    <w:p w14:paraId="1E97746E" w14:textId="77777777" w:rsidR="004D43B3" w:rsidRDefault="004D43B3" w:rsidP="001649CA">
      <w:pPr>
        <w:pStyle w:val="CatchwordsText"/>
      </w:pPr>
    </w:p>
    <w:p w14:paraId="335A6C77" w14:textId="0A552CD0" w:rsidR="004D43B3" w:rsidRPr="001F55EC" w:rsidRDefault="004D43B3" w:rsidP="001649CA">
      <w:pPr>
        <w:pStyle w:val="CatchwordsText"/>
      </w:pPr>
      <w:r>
        <w:t xml:space="preserve">Evidence – Criminal trial – Admissibility – Tendency evidence – </w:t>
      </w:r>
      <w:r>
        <w:rPr>
          <w:i/>
          <w:iCs/>
        </w:rPr>
        <w:t xml:space="preserve">Evidence Act 1995 </w:t>
      </w:r>
      <w:r>
        <w:t>(NSW), s 97(1)(b) – Where tendency evidence adduced to prove identity of offender – Where narrow class of possible perpetrators – Where other evidence identifying appellant as offender and tending to exclude other possible perpetrators</w:t>
      </w:r>
      <w:r w:rsidR="00F36B64">
        <w:t> </w:t>
      </w:r>
      <w:r>
        <w:t xml:space="preserve">– Whether Court of Criminal Appeal misapplied principles in </w:t>
      </w:r>
      <w:r>
        <w:rPr>
          <w:i/>
          <w:iCs/>
        </w:rPr>
        <w:t xml:space="preserve">Hughes v The Queen </w:t>
      </w:r>
      <w:r>
        <w:t>(2017) 263 CLR 338 – Whether tendency evidence required to bear close similarity to offence – Whether tendency evidence had "significant probative value".</w:t>
      </w:r>
    </w:p>
    <w:p w14:paraId="2EFFD62A" w14:textId="77777777" w:rsidR="004D43B3" w:rsidRDefault="004D43B3" w:rsidP="001649CA">
      <w:pPr>
        <w:pStyle w:val="CatchwordsText"/>
      </w:pPr>
    </w:p>
    <w:p w14:paraId="27C7E74B" w14:textId="77777777" w:rsidR="004D43B3" w:rsidRDefault="004D43B3" w:rsidP="001649CA">
      <w:pPr>
        <w:pStyle w:val="CatchwordsText"/>
      </w:pPr>
      <w:r w:rsidRPr="00B9489E">
        <w:t>Words and phrases –</w:t>
      </w:r>
      <w:r>
        <w:t xml:space="preserve"> "close similarity", "identity of the offender", "probative value", "serious physical harm", "significant probative value", "tendency evidence".</w:t>
      </w:r>
    </w:p>
    <w:p w14:paraId="3B010083" w14:textId="77777777" w:rsidR="004D43B3" w:rsidRDefault="004D43B3" w:rsidP="001649CA">
      <w:pPr>
        <w:pStyle w:val="CatchwordsText"/>
      </w:pPr>
    </w:p>
    <w:p w14:paraId="307D7A62" w14:textId="77777777" w:rsidR="004D43B3" w:rsidRPr="00EC36CC" w:rsidRDefault="004D43B3" w:rsidP="001649CA">
      <w:pPr>
        <w:pStyle w:val="CatchwordsText"/>
      </w:pPr>
      <w:r>
        <w:rPr>
          <w:i/>
          <w:iCs/>
        </w:rPr>
        <w:t xml:space="preserve">Evidence Act 1995 </w:t>
      </w:r>
      <w:r>
        <w:t>(NSW), s 97(1)(b).</w:t>
      </w:r>
    </w:p>
    <w:p w14:paraId="6D3F62EF" w14:textId="11E500B5" w:rsidR="00410E92" w:rsidRDefault="00410E92" w:rsidP="004D43B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74A6730" w14:textId="58CCBE71" w:rsidR="004D43B3" w:rsidRDefault="004D43B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1B2E1C6" w14:textId="068C31EA" w:rsidR="004D43B3" w:rsidRDefault="004D43B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B638E56" w14:textId="77777777" w:rsidR="00410E92" w:rsidRDefault="00410E92" w:rsidP="00737152">
      <w:pPr>
        <w:pStyle w:val="FixListStyle"/>
        <w:tabs>
          <w:tab w:val="clear" w:pos="720"/>
          <w:tab w:val="left" w:pos="0"/>
        </w:tabs>
        <w:spacing w:after="260" w:line="280" w:lineRule="exact"/>
        <w:ind w:right="0"/>
        <w:jc w:val="both"/>
        <w:rPr>
          <w:rFonts w:ascii="Times New Roman" w:hAnsi="Times New Roman"/>
        </w:rPr>
        <w:sectPr w:rsidR="00410E92" w:rsidSect="004D43B3">
          <w:pgSz w:w="11907" w:h="16839" w:code="9"/>
          <w:pgMar w:top="1440" w:right="1701" w:bottom="1984" w:left="1701" w:header="720" w:footer="720" w:gutter="0"/>
          <w:pgNumType w:start="1"/>
          <w:cols w:space="720"/>
          <w:titlePg/>
          <w:docGrid w:linePitch="354"/>
        </w:sectPr>
      </w:pPr>
    </w:p>
    <w:p w14:paraId="274439E4" w14:textId="0E0FC487" w:rsidR="00A73989" w:rsidRPr="00737152" w:rsidRDefault="00737152" w:rsidP="00737152">
      <w:pPr>
        <w:pStyle w:val="FixListStyle"/>
        <w:tabs>
          <w:tab w:val="clear" w:pos="720"/>
          <w:tab w:val="left" w:pos="0"/>
        </w:tabs>
        <w:spacing w:after="260" w:line="280" w:lineRule="exact"/>
        <w:ind w:right="0"/>
        <w:jc w:val="both"/>
        <w:rPr>
          <w:rFonts w:ascii="Times New Roman" w:hAnsi="Times New Roman"/>
        </w:rPr>
      </w:pPr>
      <w:r w:rsidRPr="00737152">
        <w:rPr>
          <w:rFonts w:ascii="Times New Roman" w:hAnsi="Times New Roman"/>
        </w:rPr>
        <w:lastRenderedPageBreak/>
        <w:t xml:space="preserve">KIEFEL CJ, GAGELER, GORDON, STEWARD AND GLEESON JJ.   </w:t>
      </w:r>
      <w:r w:rsidR="00051A78" w:rsidRPr="00737152">
        <w:rPr>
          <w:rFonts w:ascii="Times New Roman" w:hAnsi="Times New Roman"/>
        </w:rPr>
        <w:t xml:space="preserve">The appellant was convicted of the murder of </w:t>
      </w:r>
      <w:r w:rsidR="004A16FD" w:rsidRPr="00737152">
        <w:rPr>
          <w:rFonts w:ascii="Times New Roman" w:hAnsi="Times New Roman"/>
        </w:rPr>
        <w:t xml:space="preserve">his </w:t>
      </w:r>
      <w:proofErr w:type="gramStart"/>
      <w:r w:rsidR="004A16FD" w:rsidRPr="00737152">
        <w:rPr>
          <w:rFonts w:ascii="Times New Roman" w:hAnsi="Times New Roman"/>
        </w:rPr>
        <w:t>two and a half year old</w:t>
      </w:r>
      <w:proofErr w:type="gramEnd"/>
      <w:r w:rsidR="004A16FD" w:rsidRPr="00737152">
        <w:rPr>
          <w:rFonts w:ascii="Times New Roman" w:hAnsi="Times New Roman"/>
        </w:rPr>
        <w:t xml:space="preserve"> stepdaughter following a trial </w:t>
      </w:r>
      <w:r w:rsidR="00B226E0" w:rsidRPr="00737152">
        <w:rPr>
          <w:rFonts w:ascii="Times New Roman" w:hAnsi="Times New Roman"/>
        </w:rPr>
        <w:t xml:space="preserve">by jury </w:t>
      </w:r>
      <w:r w:rsidR="004A16FD" w:rsidRPr="00737152">
        <w:rPr>
          <w:rFonts w:ascii="Times New Roman" w:hAnsi="Times New Roman"/>
        </w:rPr>
        <w:t>in the Supreme Court of New South Wales</w:t>
      </w:r>
      <w:r w:rsidR="00553C53" w:rsidRPr="00737152">
        <w:rPr>
          <w:rFonts w:ascii="Times New Roman" w:hAnsi="Times New Roman"/>
        </w:rPr>
        <w:t>, and consequently sentenced to imprisonment for 36 years, with a non-parole period of 27 years</w:t>
      </w:r>
      <w:r w:rsidR="004A16FD" w:rsidRPr="00737152">
        <w:rPr>
          <w:rFonts w:ascii="Times New Roman" w:hAnsi="Times New Roman"/>
        </w:rPr>
        <w:t>.</w:t>
      </w:r>
      <w:r w:rsidR="00BB7CC4" w:rsidRPr="00737152">
        <w:rPr>
          <w:rFonts w:ascii="Times New Roman" w:hAnsi="Times New Roman"/>
        </w:rPr>
        <w:t xml:space="preserve"> </w:t>
      </w:r>
      <w:r w:rsidR="009E1319" w:rsidRPr="00737152">
        <w:rPr>
          <w:rFonts w:ascii="Times New Roman" w:hAnsi="Times New Roman"/>
        </w:rPr>
        <w:t>The victim</w:t>
      </w:r>
      <w:r w:rsidR="00A51BAE" w:rsidRPr="00737152">
        <w:rPr>
          <w:rFonts w:ascii="Times New Roman" w:hAnsi="Times New Roman"/>
        </w:rPr>
        <w:t xml:space="preserve"> </w:t>
      </w:r>
      <w:r w:rsidR="00BB7CC4" w:rsidRPr="00737152">
        <w:rPr>
          <w:rFonts w:ascii="Times New Roman" w:hAnsi="Times New Roman"/>
        </w:rPr>
        <w:t>died as the result of blunt force trauma to her abdomen.</w:t>
      </w:r>
      <w:r w:rsidR="004A16FD" w:rsidRPr="00737152">
        <w:rPr>
          <w:rFonts w:ascii="Times New Roman" w:hAnsi="Times New Roman"/>
        </w:rPr>
        <w:t xml:space="preserve"> </w:t>
      </w:r>
      <w:r w:rsidR="00D551A2" w:rsidRPr="00737152">
        <w:rPr>
          <w:rFonts w:ascii="Times New Roman" w:hAnsi="Times New Roman"/>
        </w:rPr>
        <w:t xml:space="preserve">The New South Wales Court of Criminal Appeal </w:t>
      </w:r>
      <w:r w:rsidR="00BA2652" w:rsidRPr="00737152">
        <w:rPr>
          <w:rFonts w:ascii="Times New Roman" w:hAnsi="Times New Roman"/>
        </w:rPr>
        <w:t>(Hoeben</w:t>
      </w:r>
      <w:r w:rsidR="00146E1A" w:rsidRPr="00737152">
        <w:rPr>
          <w:rFonts w:ascii="Times New Roman" w:hAnsi="Times New Roman"/>
        </w:rPr>
        <w:t> </w:t>
      </w:r>
      <w:r w:rsidR="00BA2652" w:rsidRPr="00737152">
        <w:rPr>
          <w:rFonts w:ascii="Times New Roman" w:hAnsi="Times New Roman"/>
        </w:rPr>
        <w:t>CJ at CL, Adamson and Bellew J</w:t>
      </w:r>
      <w:r w:rsidR="00C30217" w:rsidRPr="00737152">
        <w:rPr>
          <w:rFonts w:ascii="Times New Roman" w:hAnsi="Times New Roman"/>
        </w:rPr>
        <w:t>J</w:t>
      </w:r>
      <w:r w:rsidR="00BA2652" w:rsidRPr="00737152">
        <w:rPr>
          <w:rFonts w:ascii="Times New Roman" w:hAnsi="Times New Roman"/>
        </w:rPr>
        <w:t xml:space="preserve">) </w:t>
      </w:r>
      <w:r w:rsidR="00D551A2" w:rsidRPr="00737152">
        <w:rPr>
          <w:rFonts w:ascii="Times New Roman" w:hAnsi="Times New Roman"/>
        </w:rPr>
        <w:t>dismissed the appellant's appeal against conviction</w:t>
      </w:r>
      <w:r w:rsidR="00896FDA" w:rsidRPr="00737152">
        <w:rPr>
          <w:rFonts w:ascii="Times New Roman" w:hAnsi="Times New Roman"/>
        </w:rPr>
        <w:t xml:space="preserve"> and sentence</w:t>
      </w:r>
      <w:r w:rsidR="00BD7638" w:rsidRPr="00737152">
        <w:rPr>
          <w:rStyle w:val="FootnoteReference"/>
          <w:rFonts w:ascii="Times New Roman" w:hAnsi="Times New Roman"/>
          <w:sz w:val="24"/>
        </w:rPr>
        <w:footnoteReference w:id="2"/>
      </w:r>
      <w:r w:rsidR="007B76EA" w:rsidRPr="00737152">
        <w:rPr>
          <w:rFonts w:ascii="Times New Roman" w:hAnsi="Times New Roman"/>
        </w:rPr>
        <w:t>.</w:t>
      </w:r>
      <w:r w:rsidR="00D551A2" w:rsidRPr="00737152">
        <w:rPr>
          <w:rFonts w:ascii="Times New Roman" w:hAnsi="Times New Roman"/>
        </w:rPr>
        <w:t xml:space="preserve"> </w:t>
      </w:r>
    </w:p>
    <w:p w14:paraId="377518DE" w14:textId="4A67E2A6" w:rsidR="00350795" w:rsidRPr="00737152" w:rsidRDefault="002831A2" w:rsidP="00737152">
      <w:pPr>
        <w:pStyle w:val="FixListStyle"/>
        <w:spacing w:after="260" w:line="280" w:lineRule="exact"/>
        <w:ind w:right="0"/>
        <w:jc w:val="both"/>
        <w:rPr>
          <w:rFonts w:ascii="Times New Roman" w:hAnsi="Times New Roman"/>
        </w:rPr>
      </w:pPr>
      <w:r w:rsidRPr="00737152">
        <w:rPr>
          <w:rFonts w:ascii="Times New Roman" w:hAnsi="Times New Roman"/>
        </w:rPr>
        <w:tab/>
        <w:t>Th</w:t>
      </w:r>
      <w:r w:rsidR="00895A24" w:rsidRPr="00737152">
        <w:rPr>
          <w:rFonts w:ascii="Times New Roman" w:hAnsi="Times New Roman"/>
        </w:rPr>
        <w:t>e</w:t>
      </w:r>
      <w:r w:rsidRPr="00737152">
        <w:rPr>
          <w:rFonts w:ascii="Times New Roman" w:hAnsi="Times New Roman"/>
        </w:rPr>
        <w:t xml:space="preserve"> </w:t>
      </w:r>
      <w:r w:rsidR="009B3FFB" w:rsidRPr="00737152">
        <w:rPr>
          <w:rFonts w:ascii="Times New Roman" w:hAnsi="Times New Roman"/>
        </w:rPr>
        <w:t xml:space="preserve">single ground of </w:t>
      </w:r>
      <w:r w:rsidRPr="00737152">
        <w:rPr>
          <w:rFonts w:ascii="Times New Roman" w:hAnsi="Times New Roman"/>
        </w:rPr>
        <w:t xml:space="preserve">appeal </w:t>
      </w:r>
      <w:r w:rsidR="00895A24" w:rsidRPr="00737152">
        <w:rPr>
          <w:rFonts w:ascii="Times New Roman" w:hAnsi="Times New Roman"/>
        </w:rPr>
        <w:t xml:space="preserve">to this Court </w:t>
      </w:r>
      <w:r w:rsidRPr="00737152">
        <w:rPr>
          <w:rFonts w:ascii="Times New Roman" w:hAnsi="Times New Roman"/>
        </w:rPr>
        <w:t xml:space="preserve">concerns </w:t>
      </w:r>
      <w:r w:rsidR="00D70FA0" w:rsidRPr="00737152">
        <w:rPr>
          <w:rFonts w:ascii="Times New Roman" w:hAnsi="Times New Roman"/>
        </w:rPr>
        <w:t>the admissi</w:t>
      </w:r>
      <w:r w:rsidR="005547E0" w:rsidRPr="00737152">
        <w:rPr>
          <w:rFonts w:ascii="Times New Roman" w:hAnsi="Times New Roman"/>
        </w:rPr>
        <w:t>on at trial</w:t>
      </w:r>
      <w:r w:rsidR="00D70FA0" w:rsidRPr="00737152">
        <w:rPr>
          <w:rFonts w:ascii="Times New Roman" w:hAnsi="Times New Roman"/>
        </w:rPr>
        <w:t xml:space="preserve"> of </w:t>
      </w:r>
      <w:r w:rsidR="00F80435" w:rsidRPr="00737152">
        <w:rPr>
          <w:rFonts w:ascii="Times New Roman" w:hAnsi="Times New Roman"/>
        </w:rPr>
        <w:t>tendency evidence</w:t>
      </w:r>
      <w:r w:rsidR="003D5D47" w:rsidRPr="00737152">
        <w:rPr>
          <w:rFonts w:ascii="Times New Roman" w:hAnsi="Times New Roman"/>
        </w:rPr>
        <w:t xml:space="preserve"> pursuant to s</w:t>
      </w:r>
      <w:r w:rsidR="003C0D29" w:rsidRPr="00737152">
        <w:rPr>
          <w:rFonts w:ascii="Times New Roman" w:hAnsi="Times New Roman"/>
        </w:rPr>
        <w:t> </w:t>
      </w:r>
      <w:r w:rsidR="003D5D47" w:rsidRPr="00737152">
        <w:rPr>
          <w:rFonts w:ascii="Times New Roman" w:hAnsi="Times New Roman"/>
        </w:rPr>
        <w:t>97(1)</w:t>
      </w:r>
      <w:r w:rsidR="000B6E9C" w:rsidRPr="00737152">
        <w:rPr>
          <w:rFonts w:ascii="Times New Roman" w:hAnsi="Times New Roman"/>
        </w:rPr>
        <w:t>(b)</w:t>
      </w:r>
      <w:r w:rsidR="003D5D47" w:rsidRPr="00737152">
        <w:rPr>
          <w:rFonts w:ascii="Times New Roman" w:hAnsi="Times New Roman"/>
        </w:rPr>
        <w:t xml:space="preserve"> of the </w:t>
      </w:r>
      <w:r w:rsidR="003D5D47" w:rsidRPr="00737152">
        <w:rPr>
          <w:rFonts w:ascii="Times New Roman" w:hAnsi="Times New Roman"/>
          <w:i/>
          <w:iCs/>
        </w:rPr>
        <w:t xml:space="preserve">Evidence Act 1995 </w:t>
      </w:r>
      <w:r w:rsidR="003D5D47" w:rsidRPr="00737152">
        <w:rPr>
          <w:rFonts w:ascii="Times New Roman" w:hAnsi="Times New Roman"/>
        </w:rPr>
        <w:t>(</w:t>
      </w:r>
      <w:r w:rsidR="00155A7E" w:rsidRPr="00737152">
        <w:rPr>
          <w:rFonts w:ascii="Times New Roman" w:hAnsi="Times New Roman"/>
        </w:rPr>
        <w:t>NSW</w:t>
      </w:r>
      <w:r w:rsidR="003D5D47" w:rsidRPr="00737152">
        <w:rPr>
          <w:rFonts w:ascii="Times New Roman" w:hAnsi="Times New Roman"/>
        </w:rPr>
        <w:t>)</w:t>
      </w:r>
      <w:r w:rsidR="00EA5297" w:rsidRPr="00737152">
        <w:rPr>
          <w:rFonts w:ascii="Times New Roman" w:hAnsi="Times New Roman"/>
        </w:rPr>
        <w:t xml:space="preserve"> ("the Act")</w:t>
      </w:r>
      <w:r w:rsidR="003D5D47" w:rsidRPr="00737152">
        <w:rPr>
          <w:rFonts w:ascii="Times New Roman" w:hAnsi="Times New Roman"/>
        </w:rPr>
        <w:t>.</w:t>
      </w:r>
      <w:r w:rsidR="003A6E4D" w:rsidRPr="00737152">
        <w:rPr>
          <w:rFonts w:ascii="Times New Roman" w:hAnsi="Times New Roman"/>
        </w:rPr>
        <w:t xml:space="preserve"> </w:t>
      </w:r>
      <w:r w:rsidR="00112F79" w:rsidRPr="00737152">
        <w:rPr>
          <w:rFonts w:ascii="Times New Roman" w:hAnsi="Times New Roman"/>
        </w:rPr>
        <w:t xml:space="preserve">The </w:t>
      </w:r>
      <w:r w:rsidR="00FD03C6" w:rsidRPr="00737152">
        <w:rPr>
          <w:rFonts w:ascii="Times New Roman" w:hAnsi="Times New Roman"/>
        </w:rPr>
        <w:t>appellant contend</w:t>
      </w:r>
      <w:r w:rsidR="00FD62D8" w:rsidRPr="00737152">
        <w:rPr>
          <w:rFonts w:ascii="Times New Roman" w:hAnsi="Times New Roman"/>
        </w:rPr>
        <w:t>s</w:t>
      </w:r>
      <w:r w:rsidR="00FD03C6" w:rsidRPr="00737152">
        <w:rPr>
          <w:rFonts w:ascii="Times New Roman" w:hAnsi="Times New Roman"/>
        </w:rPr>
        <w:t xml:space="preserve"> that the Court of Criminal Appeal erred in its application of </w:t>
      </w:r>
      <w:r w:rsidR="00F60B81" w:rsidRPr="00737152">
        <w:rPr>
          <w:rFonts w:ascii="Times New Roman" w:hAnsi="Times New Roman"/>
        </w:rPr>
        <w:t xml:space="preserve">the </w:t>
      </w:r>
      <w:r w:rsidR="00F21EB1" w:rsidRPr="00737152">
        <w:rPr>
          <w:rFonts w:ascii="Times New Roman" w:hAnsi="Times New Roman"/>
        </w:rPr>
        <w:t>majority</w:t>
      </w:r>
      <w:r w:rsidR="005805E7" w:rsidRPr="00737152">
        <w:rPr>
          <w:rFonts w:ascii="Times New Roman" w:hAnsi="Times New Roman"/>
        </w:rPr>
        <w:t xml:space="preserve">'s </w:t>
      </w:r>
      <w:r w:rsidR="00F60B81" w:rsidRPr="00737152">
        <w:rPr>
          <w:rFonts w:ascii="Times New Roman" w:hAnsi="Times New Roman"/>
        </w:rPr>
        <w:t xml:space="preserve">observation </w:t>
      </w:r>
      <w:r w:rsidR="00333568" w:rsidRPr="00737152">
        <w:rPr>
          <w:rFonts w:ascii="Times New Roman" w:hAnsi="Times New Roman"/>
        </w:rPr>
        <w:t xml:space="preserve">in </w:t>
      </w:r>
      <w:r w:rsidR="008770A2" w:rsidRPr="00737152">
        <w:rPr>
          <w:rFonts w:ascii="Times New Roman" w:hAnsi="Times New Roman"/>
          <w:i/>
          <w:iCs/>
        </w:rPr>
        <w:t>Hughes v The Queen</w:t>
      </w:r>
      <w:r w:rsidR="008770A2" w:rsidRPr="00737152">
        <w:rPr>
          <w:rStyle w:val="FootnoteReference"/>
          <w:rFonts w:ascii="Times New Roman" w:hAnsi="Times New Roman"/>
          <w:sz w:val="24"/>
        </w:rPr>
        <w:footnoteReference w:id="3"/>
      </w:r>
      <w:r w:rsidR="008770A2" w:rsidRPr="00737152">
        <w:rPr>
          <w:rFonts w:ascii="Times New Roman" w:hAnsi="Times New Roman"/>
          <w:i/>
          <w:iCs/>
        </w:rPr>
        <w:t xml:space="preserve"> </w:t>
      </w:r>
      <w:r w:rsidR="008770A2" w:rsidRPr="00737152">
        <w:rPr>
          <w:rFonts w:ascii="Times New Roman" w:hAnsi="Times New Roman"/>
        </w:rPr>
        <w:t xml:space="preserve">that, where tendency evidence is adduced </w:t>
      </w:r>
      <w:r w:rsidR="00DF5BCF" w:rsidRPr="00737152">
        <w:rPr>
          <w:rFonts w:ascii="Times New Roman" w:hAnsi="Times New Roman"/>
        </w:rPr>
        <w:t>"</w:t>
      </w:r>
      <w:r w:rsidR="008770A2" w:rsidRPr="00737152">
        <w:rPr>
          <w:rFonts w:ascii="Times New Roman" w:hAnsi="Times New Roman"/>
        </w:rPr>
        <w:t xml:space="preserve">to prove the identity of the offender for a known offence, the probative value of </w:t>
      </w:r>
      <w:r w:rsidR="00D929DF" w:rsidRPr="00737152">
        <w:rPr>
          <w:rFonts w:ascii="Times New Roman" w:hAnsi="Times New Roman"/>
        </w:rPr>
        <w:t>[</w:t>
      </w:r>
      <w:r w:rsidR="002738AE" w:rsidRPr="00737152">
        <w:rPr>
          <w:rFonts w:ascii="Times New Roman" w:hAnsi="Times New Roman"/>
        </w:rPr>
        <w:t>the</w:t>
      </w:r>
      <w:r w:rsidR="00D929DF" w:rsidRPr="00737152">
        <w:rPr>
          <w:rFonts w:ascii="Times New Roman" w:hAnsi="Times New Roman"/>
        </w:rPr>
        <w:t>]</w:t>
      </w:r>
      <w:r w:rsidR="002738AE" w:rsidRPr="00737152">
        <w:rPr>
          <w:rFonts w:ascii="Times New Roman" w:hAnsi="Times New Roman"/>
        </w:rPr>
        <w:t xml:space="preserve"> tendency evidence will almost certainly depend upon </w:t>
      </w:r>
      <w:r w:rsidR="002738AE" w:rsidRPr="00737152">
        <w:rPr>
          <w:rFonts w:ascii="Times New Roman" w:hAnsi="Times New Roman"/>
          <w:i/>
          <w:iCs/>
        </w:rPr>
        <w:t>close similarity</w:t>
      </w:r>
      <w:r w:rsidR="002738AE" w:rsidRPr="00737152">
        <w:rPr>
          <w:rFonts w:ascii="Times New Roman" w:hAnsi="Times New Roman"/>
        </w:rPr>
        <w:t xml:space="preserve"> between the conduct evidencing the tendency and the offence</w:t>
      </w:r>
      <w:r w:rsidR="00FD62D8" w:rsidRPr="00737152">
        <w:rPr>
          <w:rFonts w:ascii="Times New Roman" w:hAnsi="Times New Roman"/>
        </w:rPr>
        <w:t>"</w:t>
      </w:r>
      <w:r w:rsidR="00350795" w:rsidRPr="00737152">
        <w:rPr>
          <w:rFonts w:ascii="Times New Roman" w:hAnsi="Times New Roman"/>
        </w:rPr>
        <w:t xml:space="preserve">. </w:t>
      </w:r>
      <w:r w:rsidR="00417495" w:rsidRPr="00737152">
        <w:rPr>
          <w:rFonts w:ascii="Times New Roman" w:hAnsi="Times New Roman"/>
        </w:rPr>
        <w:t xml:space="preserve">Specifically, the appellant contends that the Court of Criminal Appeal was wrong to </w:t>
      </w:r>
      <w:r w:rsidR="002B7934" w:rsidRPr="00737152">
        <w:rPr>
          <w:rFonts w:ascii="Times New Roman" w:hAnsi="Times New Roman"/>
        </w:rPr>
        <w:t>conclude that</w:t>
      </w:r>
      <w:r w:rsidR="00A84212" w:rsidRPr="00737152">
        <w:rPr>
          <w:rFonts w:ascii="Times New Roman" w:hAnsi="Times New Roman"/>
        </w:rPr>
        <w:t xml:space="preserve"> the requirement for close similarity should only arise when the tendency evidence is the only or predominant evidence that goes to identity</w:t>
      </w:r>
      <w:r w:rsidR="004543D1" w:rsidRPr="00737152">
        <w:rPr>
          <w:rFonts w:ascii="Times New Roman" w:hAnsi="Times New Roman"/>
        </w:rPr>
        <w:t xml:space="preserve"> and that a "class of exceptions" </w:t>
      </w:r>
      <w:r w:rsidR="00995C92" w:rsidRPr="00737152">
        <w:rPr>
          <w:rFonts w:ascii="Times New Roman" w:hAnsi="Times New Roman"/>
        </w:rPr>
        <w:t xml:space="preserve">exists </w:t>
      </w:r>
      <w:r w:rsidR="004543D1" w:rsidRPr="00737152">
        <w:rPr>
          <w:rFonts w:ascii="Times New Roman" w:hAnsi="Times New Roman"/>
        </w:rPr>
        <w:t>where there is evidence that only limited persons had the opportunity to commit the offence</w:t>
      </w:r>
      <w:r w:rsidR="00662794" w:rsidRPr="00737152">
        <w:rPr>
          <w:rStyle w:val="FootnoteReference"/>
          <w:rFonts w:ascii="Times New Roman" w:hAnsi="Times New Roman"/>
          <w:sz w:val="24"/>
        </w:rPr>
        <w:footnoteReference w:id="4"/>
      </w:r>
      <w:r w:rsidR="00BF4077" w:rsidRPr="00737152">
        <w:rPr>
          <w:rFonts w:ascii="Times New Roman" w:hAnsi="Times New Roman"/>
        </w:rPr>
        <w:t>, and in its conclusion that</w:t>
      </w:r>
      <w:r w:rsidR="002B7934" w:rsidRPr="00737152">
        <w:rPr>
          <w:rFonts w:ascii="Times New Roman" w:hAnsi="Times New Roman"/>
        </w:rPr>
        <w:t xml:space="preserve"> </w:t>
      </w:r>
      <w:r w:rsidR="007A6C33" w:rsidRPr="00737152">
        <w:rPr>
          <w:rFonts w:ascii="Times New Roman" w:hAnsi="Times New Roman"/>
        </w:rPr>
        <w:t>the tendency evidence had "significant probative value" as required by s</w:t>
      </w:r>
      <w:r w:rsidR="00751C87" w:rsidRPr="00737152">
        <w:rPr>
          <w:rFonts w:ascii="Times New Roman" w:hAnsi="Times New Roman"/>
        </w:rPr>
        <w:t> </w:t>
      </w:r>
      <w:r w:rsidR="00096F0B" w:rsidRPr="00737152">
        <w:rPr>
          <w:rFonts w:ascii="Times New Roman" w:hAnsi="Times New Roman"/>
        </w:rPr>
        <w:t>97(1)(b) of the Act</w:t>
      </w:r>
      <w:r w:rsidR="005F3B03" w:rsidRPr="00737152">
        <w:rPr>
          <w:rFonts w:ascii="Times New Roman" w:hAnsi="Times New Roman"/>
        </w:rPr>
        <w:t>.</w:t>
      </w:r>
    </w:p>
    <w:p w14:paraId="5B057247" w14:textId="4F76F88F" w:rsidR="00FB537B" w:rsidRPr="00737152" w:rsidRDefault="00FB537B" w:rsidP="00737152">
      <w:pPr>
        <w:pStyle w:val="FixListStyle"/>
        <w:spacing w:after="260" w:line="280" w:lineRule="exact"/>
        <w:ind w:right="0"/>
        <w:jc w:val="both"/>
        <w:rPr>
          <w:rFonts w:ascii="Times New Roman" w:hAnsi="Times New Roman"/>
        </w:rPr>
      </w:pPr>
      <w:r w:rsidRPr="00737152">
        <w:rPr>
          <w:rFonts w:ascii="Times New Roman" w:hAnsi="Times New Roman"/>
        </w:rPr>
        <w:tab/>
        <w:t xml:space="preserve">For the following reasons, the Court of Criminal Appeal was correct to conclude that the </w:t>
      </w:r>
      <w:r w:rsidR="00A20F2F" w:rsidRPr="00737152">
        <w:rPr>
          <w:rFonts w:ascii="Times New Roman" w:hAnsi="Times New Roman"/>
        </w:rPr>
        <w:t>disputed</w:t>
      </w:r>
      <w:r w:rsidRPr="00737152">
        <w:rPr>
          <w:rFonts w:ascii="Times New Roman" w:hAnsi="Times New Roman"/>
        </w:rPr>
        <w:t xml:space="preserve"> evidence was admissible. Accordingly, the appeal must be dismissed.</w:t>
      </w:r>
    </w:p>
    <w:p w14:paraId="171DEA8F" w14:textId="7A81DF1B" w:rsidR="00786739" w:rsidRPr="00737152" w:rsidRDefault="00786739" w:rsidP="00737152">
      <w:pPr>
        <w:pStyle w:val="HeadingL1"/>
        <w:spacing w:after="260" w:line="280" w:lineRule="exact"/>
        <w:ind w:right="0"/>
        <w:jc w:val="both"/>
        <w:rPr>
          <w:rFonts w:ascii="Times New Roman" w:hAnsi="Times New Roman"/>
        </w:rPr>
      </w:pPr>
      <w:r w:rsidRPr="00737152">
        <w:rPr>
          <w:rFonts w:ascii="Times New Roman" w:hAnsi="Times New Roman"/>
        </w:rPr>
        <w:t xml:space="preserve">The </w:t>
      </w:r>
      <w:r w:rsidR="00DD72CE" w:rsidRPr="00737152">
        <w:rPr>
          <w:rFonts w:ascii="Times New Roman" w:hAnsi="Times New Roman"/>
        </w:rPr>
        <w:t>trial</w:t>
      </w:r>
    </w:p>
    <w:p w14:paraId="6C0AED53" w14:textId="06FB06F7" w:rsidR="002A7E23" w:rsidRPr="00737152" w:rsidRDefault="00747455"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2A7E23" w:rsidRPr="00737152">
        <w:rPr>
          <w:rFonts w:ascii="Times New Roman" w:hAnsi="Times New Roman"/>
        </w:rPr>
        <w:t xml:space="preserve">The issue at trial was ultimately whether the </w:t>
      </w:r>
      <w:r w:rsidR="000D58B9" w:rsidRPr="00737152">
        <w:rPr>
          <w:rFonts w:ascii="Times New Roman" w:hAnsi="Times New Roman"/>
        </w:rPr>
        <w:t>prosecution</w:t>
      </w:r>
      <w:r w:rsidR="002A7E23" w:rsidRPr="00737152">
        <w:rPr>
          <w:rFonts w:ascii="Times New Roman" w:hAnsi="Times New Roman"/>
        </w:rPr>
        <w:t xml:space="preserve"> had proved beyond reasonable doubt that the </w:t>
      </w:r>
      <w:r w:rsidR="00094B74" w:rsidRPr="00737152">
        <w:rPr>
          <w:rFonts w:ascii="Times New Roman" w:hAnsi="Times New Roman"/>
        </w:rPr>
        <w:t xml:space="preserve">person who had inflicted the blunt force trauma to the </w:t>
      </w:r>
      <w:r w:rsidR="00FB59BE" w:rsidRPr="00737152">
        <w:rPr>
          <w:rFonts w:ascii="Times New Roman" w:hAnsi="Times New Roman"/>
        </w:rPr>
        <w:t xml:space="preserve">abdomen of the victim </w:t>
      </w:r>
      <w:r w:rsidR="00094B74" w:rsidRPr="00737152">
        <w:rPr>
          <w:rFonts w:ascii="Times New Roman" w:hAnsi="Times New Roman"/>
        </w:rPr>
        <w:t xml:space="preserve">that caused her death was </w:t>
      </w:r>
      <w:r w:rsidR="002A7E23" w:rsidRPr="00737152">
        <w:rPr>
          <w:rFonts w:ascii="Times New Roman" w:hAnsi="Times New Roman"/>
        </w:rPr>
        <w:t xml:space="preserve">the </w:t>
      </w:r>
      <w:r w:rsidR="000D58B9" w:rsidRPr="00737152">
        <w:rPr>
          <w:rFonts w:ascii="Times New Roman" w:hAnsi="Times New Roman"/>
        </w:rPr>
        <w:t>appellant</w:t>
      </w:r>
      <w:r w:rsidR="002A7E23" w:rsidRPr="00737152">
        <w:rPr>
          <w:rFonts w:ascii="Times New Roman" w:hAnsi="Times New Roman"/>
        </w:rPr>
        <w:t xml:space="preserve"> and </w:t>
      </w:r>
      <w:r w:rsidR="007C7C46" w:rsidRPr="00737152">
        <w:rPr>
          <w:rFonts w:ascii="Times New Roman" w:hAnsi="Times New Roman"/>
        </w:rPr>
        <w:t>that his</w:t>
      </w:r>
      <w:r w:rsidR="002A7E23" w:rsidRPr="00737152">
        <w:rPr>
          <w:rFonts w:ascii="Times New Roman" w:hAnsi="Times New Roman"/>
        </w:rPr>
        <w:t xml:space="preserve"> intent</w:t>
      </w:r>
      <w:r w:rsidR="007C7C46" w:rsidRPr="00737152">
        <w:rPr>
          <w:rFonts w:ascii="Times New Roman" w:hAnsi="Times New Roman"/>
        </w:rPr>
        <w:t>ion at the time was</w:t>
      </w:r>
      <w:r w:rsidR="002A7E23" w:rsidRPr="00737152">
        <w:rPr>
          <w:rFonts w:ascii="Times New Roman" w:hAnsi="Times New Roman"/>
        </w:rPr>
        <w:t xml:space="preserve"> to </w:t>
      </w:r>
      <w:r w:rsidR="000D58B9" w:rsidRPr="00737152">
        <w:rPr>
          <w:rFonts w:ascii="Times New Roman" w:hAnsi="Times New Roman"/>
        </w:rPr>
        <w:t>inflict grievous bodily harm</w:t>
      </w:r>
      <w:r w:rsidR="002A7E23" w:rsidRPr="00737152">
        <w:rPr>
          <w:rFonts w:ascii="Times New Roman" w:hAnsi="Times New Roman"/>
        </w:rPr>
        <w:t xml:space="preserve">. </w:t>
      </w:r>
      <w:r w:rsidR="00DD72CE" w:rsidRPr="00737152">
        <w:rPr>
          <w:rFonts w:ascii="Times New Roman" w:hAnsi="Times New Roman"/>
        </w:rPr>
        <w:t>The appellant</w:t>
      </w:r>
      <w:r w:rsidR="00C835E4" w:rsidRPr="00737152">
        <w:rPr>
          <w:rFonts w:ascii="Times New Roman" w:hAnsi="Times New Roman"/>
        </w:rPr>
        <w:t>'s case was that he did not</w:t>
      </w:r>
      <w:r w:rsidR="00830482" w:rsidRPr="00737152">
        <w:rPr>
          <w:rFonts w:ascii="Times New Roman" w:hAnsi="Times New Roman"/>
        </w:rPr>
        <w:t xml:space="preserve"> harm the victim and </w:t>
      </w:r>
      <w:r w:rsidR="006770B9" w:rsidRPr="00737152">
        <w:rPr>
          <w:rFonts w:ascii="Times New Roman" w:hAnsi="Times New Roman"/>
        </w:rPr>
        <w:t>that</w:t>
      </w:r>
      <w:r w:rsidR="00830482" w:rsidRPr="00737152">
        <w:rPr>
          <w:rFonts w:ascii="Times New Roman" w:hAnsi="Times New Roman"/>
        </w:rPr>
        <w:t xml:space="preserve"> </w:t>
      </w:r>
      <w:r w:rsidR="00DD72CE" w:rsidRPr="00737152">
        <w:rPr>
          <w:rFonts w:ascii="Times New Roman" w:hAnsi="Times New Roman"/>
        </w:rPr>
        <w:t xml:space="preserve">the prosecution could not exclude the reasonable </w:t>
      </w:r>
      <w:r w:rsidR="00DD72CE" w:rsidRPr="00737152">
        <w:rPr>
          <w:rFonts w:ascii="Times New Roman" w:hAnsi="Times New Roman"/>
        </w:rPr>
        <w:lastRenderedPageBreak/>
        <w:t xml:space="preserve">possibility that </w:t>
      </w:r>
      <w:r w:rsidR="00C835E4" w:rsidRPr="00737152">
        <w:rPr>
          <w:rFonts w:ascii="Times New Roman" w:hAnsi="Times New Roman"/>
        </w:rPr>
        <w:t>she</w:t>
      </w:r>
      <w:r w:rsidR="00DD72CE" w:rsidRPr="00737152">
        <w:rPr>
          <w:rFonts w:ascii="Times New Roman" w:hAnsi="Times New Roman"/>
        </w:rPr>
        <w:t xml:space="preserve"> was killed by </w:t>
      </w:r>
      <w:r w:rsidR="005C2525" w:rsidRPr="00737152">
        <w:rPr>
          <w:rFonts w:ascii="Times New Roman" w:hAnsi="Times New Roman"/>
        </w:rPr>
        <w:t xml:space="preserve">either of the two other persons present </w:t>
      </w:r>
      <w:r w:rsidR="00B146EF" w:rsidRPr="00737152">
        <w:rPr>
          <w:rFonts w:ascii="Times New Roman" w:hAnsi="Times New Roman"/>
        </w:rPr>
        <w:t xml:space="preserve">on the evening </w:t>
      </w:r>
      <w:r w:rsidR="0055005E" w:rsidRPr="00737152">
        <w:rPr>
          <w:rFonts w:ascii="Times New Roman" w:hAnsi="Times New Roman"/>
        </w:rPr>
        <w:t>of her death</w:t>
      </w:r>
      <w:r w:rsidR="00C835E4" w:rsidRPr="00737152">
        <w:rPr>
          <w:rFonts w:ascii="Times New Roman" w:hAnsi="Times New Roman"/>
        </w:rPr>
        <w:t>.</w:t>
      </w:r>
    </w:p>
    <w:p w14:paraId="43704EB3" w14:textId="16F08465" w:rsidR="003C3C49" w:rsidRPr="00737152" w:rsidRDefault="00494313"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7430EB" w:rsidRPr="00737152">
        <w:rPr>
          <w:rFonts w:ascii="Times New Roman" w:hAnsi="Times New Roman"/>
        </w:rPr>
        <w:t>T</w:t>
      </w:r>
      <w:r w:rsidR="00A51BAE" w:rsidRPr="00737152">
        <w:rPr>
          <w:rFonts w:ascii="Times New Roman" w:hAnsi="Times New Roman"/>
        </w:rPr>
        <w:t>he victim</w:t>
      </w:r>
      <w:r w:rsidR="007430EB" w:rsidRPr="00737152">
        <w:rPr>
          <w:rFonts w:ascii="Times New Roman" w:hAnsi="Times New Roman"/>
        </w:rPr>
        <w:t xml:space="preserve"> died</w:t>
      </w:r>
      <w:r w:rsidR="00745F6B" w:rsidRPr="00737152">
        <w:rPr>
          <w:rFonts w:ascii="Times New Roman" w:hAnsi="Times New Roman"/>
        </w:rPr>
        <w:t xml:space="preserve"> in the early hours of</w:t>
      </w:r>
      <w:r w:rsidR="007430EB" w:rsidRPr="00737152">
        <w:rPr>
          <w:rFonts w:ascii="Times New Roman" w:hAnsi="Times New Roman"/>
        </w:rPr>
        <w:t xml:space="preserve"> 21</w:t>
      </w:r>
      <w:r w:rsidR="00885D0B" w:rsidRPr="00737152">
        <w:rPr>
          <w:rFonts w:ascii="Times New Roman" w:hAnsi="Times New Roman"/>
        </w:rPr>
        <w:t> </w:t>
      </w:r>
      <w:r w:rsidR="007430EB" w:rsidRPr="00737152">
        <w:rPr>
          <w:rFonts w:ascii="Times New Roman" w:hAnsi="Times New Roman"/>
        </w:rPr>
        <w:t xml:space="preserve">April 2014 in Coffs Harbour Hospital. </w:t>
      </w:r>
      <w:r w:rsidR="00FB59BE" w:rsidRPr="00737152">
        <w:rPr>
          <w:rFonts w:ascii="Times New Roman" w:hAnsi="Times New Roman"/>
        </w:rPr>
        <w:t xml:space="preserve">A forensic pathologist performed an autopsy and found that the cause of death was blunt force trauma to the abdomen. </w:t>
      </w:r>
      <w:r w:rsidR="007430EB" w:rsidRPr="00737152">
        <w:rPr>
          <w:rFonts w:ascii="Times New Roman" w:hAnsi="Times New Roman"/>
        </w:rPr>
        <w:t xml:space="preserve">Immediately prior to </w:t>
      </w:r>
      <w:r w:rsidR="00FD7935" w:rsidRPr="00737152">
        <w:rPr>
          <w:rFonts w:ascii="Times New Roman" w:hAnsi="Times New Roman"/>
        </w:rPr>
        <w:t>the victim's</w:t>
      </w:r>
      <w:r w:rsidR="007430EB" w:rsidRPr="00737152">
        <w:rPr>
          <w:rFonts w:ascii="Times New Roman" w:hAnsi="Times New Roman"/>
        </w:rPr>
        <w:t xml:space="preserve"> admission to hospital</w:t>
      </w:r>
      <w:r w:rsidR="007519BA" w:rsidRPr="00737152">
        <w:rPr>
          <w:rFonts w:ascii="Times New Roman" w:hAnsi="Times New Roman"/>
        </w:rPr>
        <w:t>,</w:t>
      </w:r>
      <w:r w:rsidR="007430EB" w:rsidRPr="00737152">
        <w:rPr>
          <w:rFonts w:ascii="Times New Roman" w:hAnsi="Times New Roman"/>
        </w:rPr>
        <w:t xml:space="preserve"> she had been residing with he</w:t>
      </w:r>
      <w:r w:rsidR="00E41E0A" w:rsidRPr="00737152">
        <w:rPr>
          <w:rFonts w:ascii="Times New Roman" w:hAnsi="Times New Roman"/>
        </w:rPr>
        <w:t>r mother</w:t>
      </w:r>
      <w:r w:rsidR="00C013EE" w:rsidRPr="00737152">
        <w:rPr>
          <w:rFonts w:ascii="Times New Roman" w:hAnsi="Times New Roman"/>
        </w:rPr>
        <w:t xml:space="preserve"> and the appellant</w:t>
      </w:r>
      <w:r w:rsidR="00E41E0A" w:rsidRPr="00737152">
        <w:rPr>
          <w:rFonts w:ascii="Times New Roman" w:hAnsi="Times New Roman"/>
        </w:rPr>
        <w:t xml:space="preserve">. </w:t>
      </w:r>
      <w:r w:rsidR="00A87628" w:rsidRPr="00737152">
        <w:rPr>
          <w:rFonts w:ascii="Times New Roman" w:hAnsi="Times New Roman"/>
        </w:rPr>
        <w:t>T</w:t>
      </w:r>
      <w:r w:rsidR="00016A15" w:rsidRPr="00737152">
        <w:rPr>
          <w:rFonts w:ascii="Times New Roman" w:hAnsi="Times New Roman"/>
        </w:rPr>
        <w:t>he</w:t>
      </w:r>
      <w:r w:rsidR="00A87628" w:rsidRPr="00737152">
        <w:rPr>
          <w:rFonts w:ascii="Times New Roman" w:hAnsi="Times New Roman"/>
        </w:rPr>
        <w:t xml:space="preserve"> mother</w:t>
      </w:r>
      <w:r w:rsidR="00E41E0A" w:rsidRPr="00737152">
        <w:rPr>
          <w:rFonts w:ascii="Times New Roman" w:hAnsi="Times New Roman"/>
        </w:rPr>
        <w:t xml:space="preserve"> and the appellant </w:t>
      </w:r>
      <w:r w:rsidR="004B06ED" w:rsidRPr="00737152">
        <w:rPr>
          <w:rFonts w:ascii="Times New Roman" w:hAnsi="Times New Roman"/>
        </w:rPr>
        <w:t xml:space="preserve">had </w:t>
      </w:r>
      <w:r w:rsidR="00A6651E" w:rsidRPr="00737152">
        <w:rPr>
          <w:rFonts w:ascii="Times New Roman" w:hAnsi="Times New Roman"/>
        </w:rPr>
        <w:t>commenced a</w:t>
      </w:r>
      <w:r w:rsidR="00E41E0A" w:rsidRPr="00737152">
        <w:rPr>
          <w:rFonts w:ascii="Times New Roman" w:hAnsi="Times New Roman"/>
        </w:rPr>
        <w:t xml:space="preserve"> relationship</w:t>
      </w:r>
      <w:r w:rsidR="00A6651E" w:rsidRPr="00737152">
        <w:rPr>
          <w:rFonts w:ascii="Times New Roman" w:hAnsi="Times New Roman"/>
        </w:rPr>
        <w:t xml:space="preserve"> in November </w:t>
      </w:r>
      <w:proofErr w:type="gramStart"/>
      <w:r w:rsidR="00A6651E" w:rsidRPr="00737152">
        <w:rPr>
          <w:rFonts w:ascii="Times New Roman" w:hAnsi="Times New Roman"/>
        </w:rPr>
        <w:t>2013</w:t>
      </w:r>
      <w:proofErr w:type="gramEnd"/>
      <w:r w:rsidR="00A6651E" w:rsidRPr="00737152">
        <w:rPr>
          <w:rFonts w:ascii="Times New Roman" w:hAnsi="Times New Roman"/>
        </w:rPr>
        <w:t xml:space="preserve"> and they</w:t>
      </w:r>
      <w:r w:rsidR="003705AF" w:rsidRPr="00737152">
        <w:rPr>
          <w:rFonts w:ascii="Times New Roman" w:hAnsi="Times New Roman"/>
        </w:rPr>
        <w:t xml:space="preserve"> moved into a unit in Coffs Harbour </w:t>
      </w:r>
      <w:r w:rsidR="005366D5" w:rsidRPr="00737152">
        <w:rPr>
          <w:rFonts w:ascii="Times New Roman" w:hAnsi="Times New Roman"/>
        </w:rPr>
        <w:t xml:space="preserve">together </w:t>
      </w:r>
      <w:r w:rsidR="003705AF" w:rsidRPr="00737152">
        <w:rPr>
          <w:rFonts w:ascii="Times New Roman" w:hAnsi="Times New Roman"/>
        </w:rPr>
        <w:t xml:space="preserve">with </w:t>
      </w:r>
      <w:r w:rsidR="00A51BAE" w:rsidRPr="00737152">
        <w:rPr>
          <w:rFonts w:ascii="Times New Roman" w:hAnsi="Times New Roman"/>
        </w:rPr>
        <w:t>the victim</w:t>
      </w:r>
      <w:r w:rsidR="003705AF" w:rsidRPr="00737152">
        <w:rPr>
          <w:rFonts w:ascii="Times New Roman" w:hAnsi="Times New Roman"/>
        </w:rPr>
        <w:t xml:space="preserve"> in February 2014</w:t>
      </w:r>
      <w:r w:rsidR="00E41E0A" w:rsidRPr="00737152">
        <w:rPr>
          <w:rFonts w:ascii="Times New Roman" w:hAnsi="Times New Roman"/>
        </w:rPr>
        <w:t xml:space="preserve">. On occasions, the appellant's then </w:t>
      </w:r>
      <w:proofErr w:type="gramStart"/>
      <w:r w:rsidR="00E41E0A" w:rsidRPr="00737152">
        <w:rPr>
          <w:rFonts w:ascii="Times New Roman" w:hAnsi="Times New Roman"/>
        </w:rPr>
        <w:t>14 year old</w:t>
      </w:r>
      <w:proofErr w:type="gramEnd"/>
      <w:r w:rsidR="00E41E0A" w:rsidRPr="00737152">
        <w:rPr>
          <w:rFonts w:ascii="Times New Roman" w:hAnsi="Times New Roman"/>
        </w:rPr>
        <w:t xml:space="preserve"> nephew </w:t>
      </w:r>
      <w:r w:rsidR="005366D5" w:rsidRPr="00737152">
        <w:rPr>
          <w:rFonts w:ascii="Times New Roman" w:hAnsi="Times New Roman"/>
        </w:rPr>
        <w:t xml:space="preserve">also </w:t>
      </w:r>
      <w:r w:rsidR="00C408FC" w:rsidRPr="00737152">
        <w:rPr>
          <w:rFonts w:ascii="Times New Roman" w:hAnsi="Times New Roman"/>
        </w:rPr>
        <w:t xml:space="preserve">stayed </w:t>
      </w:r>
      <w:r w:rsidR="00BF1E69" w:rsidRPr="00737152">
        <w:rPr>
          <w:rFonts w:ascii="Times New Roman" w:hAnsi="Times New Roman"/>
        </w:rPr>
        <w:t>at</w:t>
      </w:r>
      <w:r w:rsidR="00C408FC" w:rsidRPr="00737152">
        <w:rPr>
          <w:rFonts w:ascii="Times New Roman" w:hAnsi="Times New Roman"/>
        </w:rPr>
        <w:t xml:space="preserve"> the unit. </w:t>
      </w:r>
      <w:r w:rsidR="00BC63D5" w:rsidRPr="00737152">
        <w:rPr>
          <w:rFonts w:ascii="Times New Roman" w:hAnsi="Times New Roman"/>
        </w:rPr>
        <w:t xml:space="preserve">The appellant, </w:t>
      </w:r>
      <w:r w:rsidR="00016A15" w:rsidRPr="00737152">
        <w:rPr>
          <w:rFonts w:ascii="Times New Roman" w:hAnsi="Times New Roman"/>
        </w:rPr>
        <w:t>the</w:t>
      </w:r>
      <w:r w:rsidR="00A87628" w:rsidRPr="00737152">
        <w:rPr>
          <w:rFonts w:ascii="Times New Roman" w:hAnsi="Times New Roman"/>
        </w:rPr>
        <w:t xml:space="preserve"> mother </w:t>
      </w:r>
      <w:r w:rsidR="00BC63D5" w:rsidRPr="00737152">
        <w:rPr>
          <w:rFonts w:ascii="Times New Roman" w:hAnsi="Times New Roman"/>
        </w:rPr>
        <w:t xml:space="preserve">and </w:t>
      </w:r>
      <w:r w:rsidR="0040567B" w:rsidRPr="00737152">
        <w:rPr>
          <w:rFonts w:ascii="Times New Roman" w:hAnsi="Times New Roman"/>
        </w:rPr>
        <w:t>the nephew</w:t>
      </w:r>
      <w:r w:rsidR="00BC63D5" w:rsidRPr="00737152">
        <w:rPr>
          <w:rFonts w:ascii="Times New Roman" w:hAnsi="Times New Roman"/>
        </w:rPr>
        <w:t xml:space="preserve"> were at the unit on the evening of 20</w:t>
      </w:r>
      <w:r w:rsidR="005642E9" w:rsidRPr="00737152">
        <w:rPr>
          <w:rFonts w:ascii="Times New Roman" w:hAnsi="Times New Roman"/>
        </w:rPr>
        <w:t> </w:t>
      </w:r>
      <w:r w:rsidR="00BC63D5" w:rsidRPr="00737152">
        <w:rPr>
          <w:rFonts w:ascii="Times New Roman" w:hAnsi="Times New Roman"/>
        </w:rPr>
        <w:t>April 2014</w:t>
      </w:r>
      <w:r w:rsidR="0097061B" w:rsidRPr="00737152">
        <w:rPr>
          <w:rFonts w:ascii="Times New Roman" w:hAnsi="Times New Roman"/>
        </w:rPr>
        <w:t xml:space="preserve"> </w:t>
      </w:r>
      <w:r w:rsidR="004648D8" w:rsidRPr="00737152">
        <w:rPr>
          <w:rFonts w:ascii="Times New Roman" w:hAnsi="Times New Roman"/>
        </w:rPr>
        <w:t xml:space="preserve">and </w:t>
      </w:r>
      <w:r w:rsidR="00225C44" w:rsidRPr="00737152">
        <w:rPr>
          <w:rFonts w:ascii="Times New Roman" w:hAnsi="Times New Roman"/>
        </w:rPr>
        <w:t>there is no</w:t>
      </w:r>
      <w:r w:rsidR="00FC1B88" w:rsidRPr="00737152">
        <w:rPr>
          <w:rFonts w:ascii="Times New Roman" w:hAnsi="Times New Roman"/>
        </w:rPr>
        <w:t xml:space="preserve"> dispute that they </w:t>
      </w:r>
      <w:r w:rsidR="004648D8" w:rsidRPr="00737152">
        <w:rPr>
          <w:rFonts w:ascii="Times New Roman" w:hAnsi="Times New Roman"/>
        </w:rPr>
        <w:t xml:space="preserve">were the only people who </w:t>
      </w:r>
      <w:r w:rsidR="00FC1B88" w:rsidRPr="00737152">
        <w:rPr>
          <w:rFonts w:ascii="Times New Roman" w:hAnsi="Times New Roman"/>
        </w:rPr>
        <w:t xml:space="preserve">had </w:t>
      </w:r>
      <w:r w:rsidR="001B388E" w:rsidRPr="00737152">
        <w:rPr>
          <w:rFonts w:ascii="Times New Roman" w:hAnsi="Times New Roman"/>
        </w:rPr>
        <w:t>the opportunity to inflict</w:t>
      </w:r>
      <w:r w:rsidR="004648D8" w:rsidRPr="00737152">
        <w:rPr>
          <w:rFonts w:ascii="Times New Roman" w:hAnsi="Times New Roman"/>
        </w:rPr>
        <w:t xml:space="preserve"> the injur</w:t>
      </w:r>
      <w:r w:rsidRPr="00737152">
        <w:rPr>
          <w:rFonts w:ascii="Times New Roman" w:hAnsi="Times New Roman"/>
        </w:rPr>
        <w:t>ies</w:t>
      </w:r>
      <w:r w:rsidR="004648D8" w:rsidRPr="00737152">
        <w:rPr>
          <w:rFonts w:ascii="Times New Roman" w:hAnsi="Times New Roman"/>
        </w:rPr>
        <w:t xml:space="preserve"> </w:t>
      </w:r>
      <w:r w:rsidR="003C3C49" w:rsidRPr="00737152">
        <w:rPr>
          <w:rFonts w:ascii="Times New Roman" w:hAnsi="Times New Roman"/>
        </w:rPr>
        <w:t xml:space="preserve">from which the victim died. </w:t>
      </w:r>
      <w:r w:rsidR="0001568D" w:rsidRPr="00737152">
        <w:rPr>
          <w:rFonts w:ascii="Times New Roman" w:hAnsi="Times New Roman"/>
        </w:rPr>
        <w:t xml:space="preserve">However, </w:t>
      </w:r>
      <w:r w:rsidR="00565BAC" w:rsidRPr="00737152">
        <w:rPr>
          <w:rFonts w:ascii="Times New Roman" w:hAnsi="Times New Roman"/>
        </w:rPr>
        <w:t xml:space="preserve">as explained below, </w:t>
      </w:r>
      <w:r w:rsidR="0001568D" w:rsidRPr="00737152">
        <w:rPr>
          <w:rFonts w:ascii="Times New Roman" w:hAnsi="Times New Roman"/>
        </w:rPr>
        <w:t xml:space="preserve">the opportunity for </w:t>
      </w:r>
      <w:r w:rsidR="006A12A6" w:rsidRPr="00737152">
        <w:rPr>
          <w:rFonts w:ascii="Times New Roman" w:hAnsi="Times New Roman"/>
        </w:rPr>
        <w:t>the appellant</w:t>
      </w:r>
      <w:r w:rsidR="0001568D" w:rsidRPr="00737152">
        <w:rPr>
          <w:rFonts w:ascii="Times New Roman" w:hAnsi="Times New Roman"/>
        </w:rPr>
        <w:t xml:space="preserve"> to have inflicted the injur</w:t>
      </w:r>
      <w:r w:rsidRPr="00737152">
        <w:rPr>
          <w:rFonts w:ascii="Times New Roman" w:hAnsi="Times New Roman"/>
        </w:rPr>
        <w:t>ies</w:t>
      </w:r>
      <w:r w:rsidR="0001568D" w:rsidRPr="00737152">
        <w:rPr>
          <w:rFonts w:ascii="Times New Roman" w:hAnsi="Times New Roman"/>
        </w:rPr>
        <w:t xml:space="preserve"> was </w:t>
      </w:r>
      <w:r w:rsidR="00772AA8" w:rsidRPr="00737152">
        <w:rPr>
          <w:rFonts w:ascii="Times New Roman" w:hAnsi="Times New Roman"/>
        </w:rPr>
        <w:t xml:space="preserve">significantly </w:t>
      </w:r>
      <w:r w:rsidR="006A12A6" w:rsidRPr="00737152">
        <w:rPr>
          <w:rFonts w:ascii="Times New Roman" w:hAnsi="Times New Roman"/>
        </w:rPr>
        <w:t xml:space="preserve">greater </w:t>
      </w:r>
      <w:r w:rsidR="00AB589C" w:rsidRPr="00737152">
        <w:rPr>
          <w:rFonts w:ascii="Times New Roman" w:hAnsi="Times New Roman"/>
        </w:rPr>
        <w:t>than the opportunity for either the mother or the nephew</w:t>
      </w:r>
      <w:r w:rsidR="0037256F" w:rsidRPr="00737152">
        <w:rPr>
          <w:rFonts w:ascii="Times New Roman" w:hAnsi="Times New Roman"/>
        </w:rPr>
        <w:t>.</w:t>
      </w:r>
      <w:r w:rsidR="00EC7B51" w:rsidRPr="00737152">
        <w:rPr>
          <w:rFonts w:ascii="Times New Roman" w:hAnsi="Times New Roman"/>
        </w:rPr>
        <w:t xml:space="preserve"> </w:t>
      </w:r>
      <w:r w:rsidR="00CC3385" w:rsidRPr="00737152">
        <w:rPr>
          <w:rFonts w:ascii="Times New Roman" w:hAnsi="Times New Roman"/>
        </w:rPr>
        <w:t>In this Court, the appellant acknowledged that the prosecution case against him was a strong one</w:t>
      </w:r>
      <w:r w:rsidR="003E008E" w:rsidRPr="00737152">
        <w:rPr>
          <w:rFonts w:ascii="Times New Roman" w:hAnsi="Times New Roman"/>
        </w:rPr>
        <w:t>.</w:t>
      </w:r>
      <w:r w:rsidR="00AE70E8" w:rsidRPr="00737152">
        <w:rPr>
          <w:rFonts w:ascii="Times New Roman" w:hAnsi="Times New Roman"/>
        </w:rPr>
        <w:t xml:space="preserve"> </w:t>
      </w:r>
    </w:p>
    <w:p w14:paraId="73BD2C39" w14:textId="545B63BC" w:rsidR="00DD0EF0" w:rsidRPr="00737152" w:rsidRDefault="003C3C49"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6D1C3B" w:rsidRPr="00737152">
        <w:rPr>
          <w:rFonts w:ascii="Times New Roman" w:hAnsi="Times New Roman"/>
        </w:rPr>
        <w:t>The</w:t>
      </w:r>
      <w:r w:rsidR="005A2764" w:rsidRPr="00737152">
        <w:rPr>
          <w:rFonts w:ascii="Times New Roman" w:hAnsi="Times New Roman"/>
        </w:rPr>
        <w:t xml:space="preserve"> prosecution case was that the </w:t>
      </w:r>
      <w:r w:rsidR="00CD75BE" w:rsidRPr="00737152">
        <w:rPr>
          <w:rFonts w:ascii="Times New Roman" w:hAnsi="Times New Roman"/>
        </w:rPr>
        <w:t xml:space="preserve">fatal injury or injuries were </w:t>
      </w:r>
      <w:r w:rsidR="00A0128C" w:rsidRPr="00737152">
        <w:rPr>
          <w:rFonts w:ascii="Times New Roman" w:hAnsi="Times New Roman"/>
        </w:rPr>
        <w:t xml:space="preserve">inflicted by </w:t>
      </w:r>
      <w:r w:rsidR="007A102B" w:rsidRPr="00737152">
        <w:rPr>
          <w:rFonts w:ascii="Times New Roman" w:hAnsi="Times New Roman"/>
        </w:rPr>
        <w:t xml:space="preserve">the </w:t>
      </w:r>
      <w:r w:rsidR="00E971EA" w:rsidRPr="00737152">
        <w:rPr>
          <w:rFonts w:ascii="Times New Roman" w:hAnsi="Times New Roman"/>
        </w:rPr>
        <w:t>appellant</w:t>
      </w:r>
      <w:r w:rsidR="007A102B" w:rsidRPr="00737152">
        <w:rPr>
          <w:rFonts w:ascii="Times New Roman" w:hAnsi="Times New Roman"/>
        </w:rPr>
        <w:t xml:space="preserve"> when </w:t>
      </w:r>
      <w:r w:rsidR="00A0128C" w:rsidRPr="00737152">
        <w:rPr>
          <w:rFonts w:ascii="Times New Roman" w:hAnsi="Times New Roman"/>
        </w:rPr>
        <w:t>the victim</w:t>
      </w:r>
      <w:r w:rsidR="007A102B" w:rsidRPr="00737152">
        <w:rPr>
          <w:rFonts w:ascii="Times New Roman" w:hAnsi="Times New Roman"/>
        </w:rPr>
        <w:t xml:space="preserve"> was solely in his charge</w:t>
      </w:r>
      <w:r w:rsidR="00A0128C" w:rsidRPr="00737152">
        <w:rPr>
          <w:rFonts w:ascii="Times New Roman" w:hAnsi="Times New Roman"/>
        </w:rPr>
        <w:t xml:space="preserve"> between about 7.33 pm and 7.49 pm on 20 April 2014,</w:t>
      </w:r>
      <w:r w:rsidR="007A102B" w:rsidRPr="00737152">
        <w:rPr>
          <w:rFonts w:ascii="Times New Roman" w:hAnsi="Times New Roman"/>
        </w:rPr>
        <w:t xml:space="preserve"> while the mother and nephew were away from the unit buying food for dinner.</w:t>
      </w:r>
      <w:r w:rsidR="008637DB" w:rsidRPr="00737152">
        <w:rPr>
          <w:rFonts w:ascii="Times New Roman" w:hAnsi="Times New Roman"/>
        </w:rPr>
        <w:t xml:space="preserve"> </w:t>
      </w:r>
      <w:r w:rsidR="00133B60" w:rsidRPr="00737152">
        <w:rPr>
          <w:rFonts w:ascii="Times New Roman" w:hAnsi="Times New Roman"/>
        </w:rPr>
        <w:t xml:space="preserve">There was no dispute that the </w:t>
      </w:r>
      <w:r w:rsidR="0075440B" w:rsidRPr="00737152">
        <w:rPr>
          <w:rFonts w:ascii="Times New Roman" w:hAnsi="Times New Roman"/>
        </w:rPr>
        <w:t>victim had been put to bed in her bedroom</w:t>
      </w:r>
      <w:r w:rsidR="000766A4" w:rsidRPr="00737152">
        <w:rPr>
          <w:rFonts w:ascii="Times New Roman" w:hAnsi="Times New Roman"/>
        </w:rPr>
        <w:t xml:space="preserve"> before the mother and nephew went out</w:t>
      </w:r>
      <w:r w:rsidR="00B850F7" w:rsidRPr="00737152">
        <w:rPr>
          <w:rFonts w:ascii="Times New Roman" w:hAnsi="Times New Roman"/>
        </w:rPr>
        <w:t>; that the a</w:t>
      </w:r>
      <w:r w:rsidR="00133B60" w:rsidRPr="00737152">
        <w:rPr>
          <w:rFonts w:ascii="Times New Roman" w:hAnsi="Times New Roman"/>
        </w:rPr>
        <w:t>ppellant was alone with the victim during th</w:t>
      </w:r>
      <w:r w:rsidR="00B850F7" w:rsidRPr="00737152">
        <w:rPr>
          <w:rFonts w:ascii="Times New Roman" w:hAnsi="Times New Roman"/>
        </w:rPr>
        <w:t>is</w:t>
      </w:r>
      <w:r w:rsidR="00133B60" w:rsidRPr="00737152">
        <w:rPr>
          <w:rFonts w:ascii="Times New Roman" w:hAnsi="Times New Roman"/>
        </w:rPr>
        <w:t xml:space="preserve"> period</w:t>
      </w:r>
      <w:r w:rsidR="00B850F7" w:rsidRPr="00737152">
        <w:rPr>
          <w:rFonts w:ascii="Times New Roman" w:hAnsi="Times New Roman"/>
        </w:rPr>
        <w:t xml:space="preserve">; and </w:t>
      </w:r>
      <w:r w:rsidR="00833132" w:rsidRPr="00737152">
        <w:rPr>
          <w:rFonts w:ascii="Times New Roman" w:hAnsi="Times New Roman"/>
        </w:rPr>
        <w:t>that</w:t>
      </w:r>
      <w:r w:rsidR="00133B60" w:rsidRPr="00737152">
        <w:rPr>
          <w:rFonts w:ascii="Times New Roman" w:hAnsi="Times New Roman"/>
        </w:rPr>
        <w:t>, when the mother and nephew arrived home, they saw the appellant coming out of the victim's bedroom into the hallway.</w:t>
      </w:r>
    </w:p>
    <w:p w14:paraId="784B56BA" w14:textId="645D282F" w:rsidR="00551F72" w:rsidRPr="00737152" w:rsidRDefault="00551F72" w:rsidP="00737152">
      <w:pPr>
        <w:pStyle w:val="FixListStyle"/>
        <w:spacing w:after="260" w:line="280" w:lineRule="exact"/>
        <w:ind w:right="0"/>
        <w:jc w:val="both"/>
        <w:rPr>
          <w:rFonts w:ascii="Times New Roman" w:hAnsi="Times New Roman"/>
        </w:rPr>
      </w:pPr>
      <w:r w:rsidRPr="00737152">
        <w:rPr>
          <w:rFonts w:ascii="Times New Roman" w:hAnsi="Times New Roman"/>
        </w:rPr>
        <w:tab/>
        <w:t xml:space="preserve">There was no evidence that either the mother or the nephew entered the victim's bedroom after they returned to the unit </w:t>
      </w:r>
      <w:r w:rsidR="00E747DF" w:rsidRPr="00737152">
        <w:rPr>
          <w:rFonts w:ascii="Times New Roman" w:hAnsi="Times New Roman"/>
        </w:rPr>
        <w:t>with the</w:t>
      </w:r>
      <w:r w:rsidRPr="00737152">
        <w:rPr>
          <w:rFonts w:ascii="Times New Roman" w:hAnsi="Times New Roman"/>
        </w:rPr>
        <w:t xml:space="preserve"> dinner. The mother gave evidence that she did not go and check on the victim because the appellant told her that she was okay. The nephew denied having gone into the victim's bedroom</w:t>
      </w:r>
      <w:r w:rsidR="002405AF" w:rsidRPr="00737152">
        <w:rPr>
          <w:rFonts w:ascii="Times New Roman" w:hAnsi="Times New Roman"/>
        </w:rPr>
        <w:t xml:space="preserve"> on the evening of 20 April 2014</w:t>
      </w:r>
      <w:r w:rsidRPr="00737152">
        <w:rPr>
          <w:rFonts w:ascii="Times New Roman" w:hAnsi="Times New Roman"/>
        </w:rPr>
        <w:t>.</w:t>
      </w:r>
    </w:p>
    <w:p w14:paraId="7DCDD511" w14:textId="1F8BB3B8" w:rsidR="00DD0EF0" w:rsidRPr="00737152" w:rsidRDefault="00D463BE"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562978" w:rsidRPr="00737152">
        <w:rPr>
          <w:rFonts w:ascii="Times New Roman" w:hAnsi="Times New Roman"/>
        </w:rPr>
        <w:t>In police interviews on 21</w:t>
      </w:r>
      <w:r w:rsidR="0018422E" w:rsidRPr="00737152">
        <w:rPr>
          <w:rFonts w:ascii="Times New Roman" w:hAnsi="Times New Roman"/>
        </w:rPr>
        <w:t> </w:t>
      </w:r>
      <w:r w:rsidR="00562978" w:rsidRPr="00737152">
        <w:rPr>
          <w:rFonts w:ascii="Times New Roman" w:hAnsi="Times New Roman"/>
        </w:rPr>
        <w:t>April 2014 and 1</w:t>
      </w:r>
      <w:r w:rsidR="0018422E" w:rsidRPr="00737152">
        <w:rPr>
          <w:rFonts w:ascii="Times New Roman" w:hAnsi="Times New Roman"/>
        </w:rPr>
        <w:t> </w:t>
      </w:r>
      <w:r w:rsidR="00562978" w:rsidRPr="00737152">
        <w:rPr>
          <w:rFonts w:ascii="Times New Roman" w:hAnsi="Times New Roman"/>
        </w:rPr>
        <w:t xml:space="preserve">May 2014, the appellant gave </w:t>
      </w:r>
      <w:r w:rsidR="00CC7A56" w:rsidRPr="00737152">
        <w:rPr>
          <w:rFonts w:ascii="Times New Roman" w:hAnsi="Times New Roman"/>
        </w:rPr>
        <w:t xml:space="preserve">detailed accounts of having put the victim to bed with her mother. The appellant said that the victim was talking to them, as well as to the nephew, to whom she said goodnight as she was taken into her bedroom. </w:t>
      </w:r>
      <w:r w:rsidR="009A13CB" w:rsidRPr="00737152">
        <w:rPr>
          <w:rFonts w:ascii="Times New Roman" w:hAnsi="Times New Roman"/>
        </w:rPr>
        <w:t>However</w:t>
      </w:r>
      <w:r w:rsidR="00CC7A56" w:rsidRPr="00737152">
        <w:rPr>
          <w:rFonts w:ascii="Times New Roman" w:hAnsi="Times New Roman"/>
        </w:rPr>
        <w:t>, at trial, the appellant gave evidence that the mother put the victim to bed. He said that the mother was present alone in the bedroom with the victim for three to five minutes before calling him in to say goodnight, after which</w:t>
      </w:r>
      <w:r w:rsidR="00614F87" w:rsidRPr="00737152">
        <w:rPr>
          <w:rFonts w:ascii="Times New Roman" w:hAnsi="Times New Roman"/>
        </w:rPr>
        <w:t xml:space="preserve"> the appellant returned to the lounge room</w:t>
      </w:r>
      <w:r w:rsidR="001D63A8" w:rsidRPr="00737152">
        <w:rPr>
          <w:rFonts w:ascii="Times New Roman" w:hAnsi="Times New Roman"/>
        </w:rPr>
        <w:t xml:space="preserve">. </w:t>
      </w:r>
      <w:r w:rsidR="009C5578" w:rsidRPr="00737152">
        <w:rPr>
          <w:rFonts w:ascii="Times New Roman" w:hAnsi="Times New Roman"/>
        </w:rPr>
        <w:t>The appellant's evidence was that</w:t>
      </w:r>
      <w:r w:rsidR="005537DA" w:rsidRPr="00737152">
        <w:rPr>
          <w:rFonts w:ascii="Times New Roman" w:hAnsi="Times New Roman"/>
        </w:rPr>
        <w:t xml:space="preserve"> the mother</w:t>
      </w:r>
      <w:r w:rsidR="00CC7A56" w:rsidRPr="00737152">
        <w:rPr>
          <w:rFonts w:ascii="Times New Roman" w:hAnsi="Times New Roman"/>
        </w:rPr>
        <w:t xml:space="preserve"> was alone with the victim in the bedroom for a further one to two minutes. The </w:t>
      </w:r>
      <w:r w:rsidR="004006EB" w:rsidRPr="00737152">
        <w:rPr>
          <w:rFonts w:ascii="Times New Roman" w:hAnsi="Times New Roman"/>
        </w:rPr>
        <w:t xml:space="preserve">respondent submitted that the </w:t>
      </w:r>
      <w:r w:rsidR="00CC7A56" w:rsidRPr="00737152">
        <w:rPr>
          <w:rFonts w:ascii="Times New Roman" w:hAnsi="Times New Roman"/>
        </w:rPr>
        <w:lastRenderedPageBreak/>
        <w:t xml:space="preserve">latter </w:t>
      </w:r>
      <w:proofErr w:type="gramStart"/>
      <w:r w:rsidR="00CC7A56" w:rsidRPr="00737152">
        <w:rPr>
          <w:rFonts w:ascii="Times New Roman" w:hAnsi="Times New Roman"/>
        </w:rPr>
        <w:t>one to two minute</w:t>
      </w:r>
      <w:proofErr w:type="gramEnd"/>
      <w:r w:rsidR="00CC7A56" w:rsidRPr="00737152">
        <w:rPr>
          <w:rFonts w:ascii="Times New Roman" w:hAnsi="Times New Roman"/>
        </w:rPr>
        <w:t xml:space="preserve"> period, which </w:t>
      </w:r>
      <w:r w:rsidR="00A51370" w:rsidRPr="00737152">
        <w:rPr>
          <w:rFonts w:ascii="Times New Roman" w:hAnsi="Times New Roman"/>
        </w:rPr>
        <w:t xml:space="preserve">would only be taken to have occurred </w:t>
      </w:r>
      <w:r w:rsidR="00CC7A56" w:rsidRPr="00737152">
        <w:rPr>
          <w:rFonts w:ascii="Times New Roman" w:hAnsi="Times New Roman"/>
        </w:rPr>
        <w:t>if the appellant's evidence at trial was accepted, was the only opportunity the mother had to be alone with the victim</w:t>
      </w:r>
      <w:r w:rsidR="004006EB" w:rsidRPr="00737152">
        <w:rPr>
          <w:rFonts w:ascii="Times New Roman" w:hAnsi="Times New Roman"/>
        </w:rPr>
        <w:t>.</w:t>
      </w:r>
    </w:p>
    <w:p w14:paraId="74F9B65A" w14:textId="3E2A5912" w:rsidR="00D11EE0" w:rsidRPr="00737152" w:rsidRDefault="005E5562"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4F0AA2" w:rsidRPr="00737152">
        <w:rPr>
          <w:rFonts w:ascii="Times New Roman" w:hAnsi="Times New Roman"/>
        </w:rPr>
        <w:t>The mother recalled putting the victim to bed on 20</w:t>
      </w:r>
      <w:r w:rsidR="00564010" w:rsidRPr="00737152">
        <w:rPr>
          <w:rFonts w:ascii="Times New Roman" w:hAnsi="Times New Roman"/>
        </w:rPr>
        <w:t> </w:t>
      </w:r>
      <w:r w:rsidR="004F0AA2" w:rsidRPr="00737152">
        <w:rPr>
          <w:rFonts w:ascii="Times New Roman" w:hAnsi="Times New Roman"/>
        </w:rPr>
        <w:t>April 2014 but could not recall if the appellant had helped her.</w:t>
      </w:r>
      <w:r w:rsidR="00017ED9" w:rsidRPr="00737152">
        <w:rPr>
          <w:rFonts w:ascii="Times New Roman" w:hAnsi="Times New Roman"/>
        </w:rPr>
        <w:t xml:space="preserve"> The mother's evidence was that</w:t>
      </w:r>
      <w:r w:rsidR="00C7492F" w:rsidRPr="00737152">
        <w:rPr>
          <w:rFonts w:ascii="Times New Roman" w:hAnsi="Times New Roman"/>
        </w:rPr>
        <w:t xml:space="preserve"> she did not notice anything unusual when she put the </w:t>
      </w:r>
      <w:r w:rsidR="00D70353" w:rsidRPr="00737152">
        <w:rPr>
          <w:rFonts w:ascii="Times New Roman" w:hAnsi="Times New Roman"/>
        </w:rPr>
        <w:t>victim</w:t>
      </w:r>
      <w:r w:rsidR="00C7492F" w:rsidRPr="00737152">
        <w:rPr>
          <w:rFonts w:ascii="Times New Roman" w:hAnsi="Times New Roman"/>
        </w:rPr>
        <w:t xml:space="preserve"> to bed</w:t>
      </w:r>
      <w:r w:rsidR="00BD3466" w:rsidRPr="00737152">
        <w:rPr>
          <w:rFonts w:ascii="Times New Roman" w:hAnsi="Times New Roman"/>
        </w:rPr>
        <w:t>.</w:t>
      </w:r>
      <w:r w:rsidR="00BF3D2B" w:rsidRPr="00737152">
        <w:rPr>
          <w:rFonts w:ascii="Times New Roman" w:hAnsi="Times New Roman"/>
        </w:rPr>
        <w:t xml:space="preserve"> </w:t>
      </w:r>
      <w:r w:rsidR="00615AAC" w:rsidRPr="00737152">
        <w:rPr>
          <w:rFonts w:ascii="Times New Roman" w:hAnsi="Times New Roman"/>
        </w:rPr>
        <w:t>When interviewed on 21 April 2014, the nephew told police that he was present at the unit when the victim was put to bed by both the appellant and the mother.</w:t>
      </w:r>
    </w:p>
    <w:p w14:paraId="4F27FD2B" w14:textId="5CA496ED" w:rsidR="004674D9" w:rsidRPr="00737152" w:rsidRDefault="00D11EE0"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4F3EEC" w:rsidRPr="00737152">
        <w:rPr>
          <w:rFonts w:ascii="Times New Roman" w:hAnsi="Times New Roman"/>
        </w:rPr>
        <w:t xml:space="preserve">It was not in dispute that immediately after </w:t>
      </w:r>
      <w:r w:rsidR="00A51BAE" w:rsidRPr="00737152">
        <w:rPr>
          <w:rFonts w:ascii="Times New Roman" w:hAnsi="Times New Roman"/>
        </w:rPr>
        <w:t>the victim</w:t>
      </w:r>
      <w:r w:rsidR="004F3EEC" w:rsidRPr="00737152">
        <w:rPr>
          <w:rFonts w:ascii="Times New Roman" w:hAnsi="Times New Roman"/>
        </w:rPr>
        <w:t xml:space="preserve"> was put to bed, her mother and the appellant went to the outside back patio </w:t>
      </w:r>
      <w:r w:rsidR="007874E2" w:rsidRPr="00737152">
        <w:rPr>
          <w:rFonts w:ascii="Times New Roman" w:hAnsi="Times New Roman"/>
        </w:rPr>
        <w:t>area of the unit</w:t>
      </w:r>
      <w:r w:rsidR="006636C0" w:rsidRPr="00737152">
        <w:rPr>
          <w:rFonts w:ascii="Times New Roman" w:hAnsi="Times New Roman"/>
        </w:rPr>
        <w:t>,</w:t>
      </w:r>
      <w:r w:rsidR="007874E2" w:rsidRPr="00737152">
        <w:rPr>
          <w:rFonts w:ascii="Times New Roman" w:hAnsi="Times New Roman"/>
        </w:rPr>
        <w:t xml:space="preserve"> where they discussed dinner. The </w:t>
      </w:r>
      <w:r w:rsidR="00CD5550" w:rsidRPr="00737152">
        <w:rPr>
          <w:rFonts w:ascii="Times New Roman" w:hAnsi="Times New Roman"/>
        </w:rPr>
        <w:t xml:space="preserve">patio </w:t>
      </w:r>
      <w:r w:rsidR="007874E2" w:rsidRPr="00737152">
        <w:rPr>
          <w:rFonts w:ascii="Times New Roman" w:hAnsi="Times New Roman"/>
        </w:rPr>
        <w:t xml:space="preserve">area </w:t>
      </w:r>
      <w:r w:rsidR="00CD5550" w:rsidRPr="00737152">
        <w:rPr>
          <w:rFonts w:ascii="Times New Roman" w:hAnsi="Times New Roman"/>
        </w:rPr>
        <w:t>wa</w:t>
      </w:r>
      <w:r w:rsidR="007874E2" w:rsidRPr="00737152">
        <w:rPr>
          <w:rFonts w:ascii="Times New Roman" w:hAnsi="Times New Roman"/>
        </w:rPr>
        <w:t xml:space="preserve">s immediately adjacent to </w:t>
      </w:r>
      <w:r w:rsidR="00A51BAE" w:rsidRPr="00737152">
        <w:rPr>
          <w:rFonts w:ascii="Times New Roman" w:hAnsi="Times New Roman"/>
        </w:rPr>
        <w:t>the victim</w:t>
      </w:r>
      <w:r w:rsidR="007874E2" w:rsidRPr="00737152">
        <w:rPr>
          <w:rFonts w:ascii="Times New Roman" w:hAnsi="Times New Roman"/>
        </w:rPr>
        <w:t>'s bedroom window</w:t>
      </w:r>
      <w:r w:rsidR="006636C0" w:rsidRPr="00737152">
        <w:rPr>
          <w:rFonts w:ascii="Times New Roman" w:hAnsi="Times New Roman"/>
        </w:rPr>
        <w:t>,</w:t>
      </w:r>
      <w:r w:rsidR="007874E2" w:rsidRPr="00737152">
        <w:rPr>
          <w:rFonts w:ascii="Times New Roman" w:hAnsi="Times New Roman"/>
        </w:rPr>
        <w:t xml:space="preserve"> which was partially open. </w:t>
      </w:r>
      <w:r w:rsidR="00016A15" w:rsidRPr="00737152">
        <w:rPr>
          <w:rFonts w:ascii="Times New Roman" w:hAnsi="Times New Roman"/>
        </w:rPr>
        <w:t xml:space="preserve">The nephew </w:t>
      </w:r>
      <w:r w:rsidR="00A52FE1" w:rsidRPr="00737152">
        <w:rPr>
          <w:rFonts w:ascii="Times New Roman" w:hAnsi="Times New Roman"/>
        </w:rPr>
        <w:t>remained on the lounge</w:t>
      </w:r>
      <w:r w:rsidR="006636C0" w:rsidRPr="00737152">
        <w:rPr>
          <w:rFonts w:ascii="Times New Roman" w:hAnsi="Times New Roman"/>
        </w:rPr>
        <w:t>,</w:t>
      </w:r>
      <w:r w:rsidR="00A52FE1" w:rsidRPr="00737152">
        <w:rPr>
          <w:rFonts w:ascii="Times New Roman" w:hAnsi="Times New Roman"/>
        </w:rPr>
        <w:t xml:space="preserve"> where he was watching television. The mother nominated the period spent outside discussing dinner as half an hour or less</w:t>
      </w:r>
      <w:r w:rsidR="00BC65A8" w:rsidRPr="00737152">
        <w:rPr>
          <w:rFonts w:ascii="Times New Roman" w:hAnsi="Times New Roman"/>
        </w:rPr>
        <w:t>; to police</w:t>
      </w:r>
      <w:r w:rsidR="00D24878" w:rsidRPr="00737152">
        <w:rPr>
          <w:rFonts w:ascii="Times New Roman" w:hAnsi="Times New Roman"/>
        </w:rPr>
        <w:t>,</w:t>
      </w:r>
      <w:r w:rsidR="00BC65A8" w:rsidRPr="00737152">
        <w:rPr>
          <w:rFonts w:ascii="Times New Roman" w:hAnsi="Times New Roman"/>
        </w:rPr>
        <w:t xml:space="preserve"> the appellant said it was about 10 to 15</w:t>
      </w:r>
      <w:r w:rsidR="00015432" w:rsidRPr="00737152">
        <w:rPr>
          <w:rFonts w:ascii="Times New Roman" w:hAnsi="Times New Roman"/>
        </w:rPr>
        <w:t> </w:t>
      </w:r>
      <w:r w:rsidR="00BC65A8" w:rsidRPr="00737152">
        <w:rPr>
          <w:rFonts w:ascii="Times New Roman" w:hAnsi="Times New Roman"/>
        </w:rPr>
        <w:t xml:space="preserve">minutes, but in evidence said it was just seven minutes. </w:t>
      </w:r>
      <w:r w:rsidR="00081C07" w:rsidRPr="00737152">
        <w:rPr>
          <w:rFonts w:ascii="Times New Roman" w:hAnsi="Times New Roman"/>
        </w:rPr>
        <w:t xml:space="preserve">Neither the mother nor the appellant heard any sounds coming from </w:t>
      </w:r>
      <w:r w:rsidR="00A51BAE" w:rsidRPr="00737152">
        <w:rPr>
          <w:rFonts w:ascii="Times New Roman" w:hAnsi="Times New Roman"/>
        </w:rPr>
        <w:t>the victim</w:t>
      </w:r>
      <w:r w:rsidR="00081C07" w:rsidRPr="00737152">
        <w:rPr>
          <w:rFonts w:ascii="Times New Roman" w:hAnsi="Times New Roman"/>
        </w:rPr>
        <w:t xml:space="preserve">'s bedroom during that period. </w:t>
      </w:r>
      <w:r w:rsidR="00BE18EE" w:rsidRPr="00737152">
        <w:rPr>
          <w:rFonts w:ascii="Times New Roman" w:hAnsi="Times New Roman"/>
        </w:rPr>
        <w:t>Th</w:t>
      </w:r>
      <w:r w:rsidR="009F14AB" w:rsidRPr="00737152">
        <w:rPr>
          <w:rFonts w:ascii="Times New Roman" w:hAnsi="Times New Roman"/>
        </w:rPr>
        <w:t xml:space="preserve">e prosecution </w:t>
      </w:r>
      <w:r w:rsidR="00631088" w:rsidRPr="00737152">
        <w:rPr>
          <w:rFonts w:ascii="Times New Roman" w:hAnsi="Times New Roman"/>
        </w:rPr>
        <w:t>submitted that th</w:t>
      </w:r>
      <w:r w:rsidR="00BE18EE" w:rsidRPr="00737152">
        <w:rPr>
          <w:rFonts w:ascii="Times New Roman" w:hAnsi="Times New Roman"/>
        </w:rPr>
        <w:t xml:space="preserve">is period was the only opportunity that the nephew had to have inflicted the fatal injuries. </w:t>
      </w:r>
      <w:r w:rsidR="00631088" w:rsidRPr="00737152">
        <w:rPr>
          <w:rFonts w:ascii="Times New Roman" w:hAnsi="Times New Roman"/>
        </w:rPr>
        <w:t>The nephew</w:t>
      </w:r>
      <w:r w:rsidR="00BE18EE" w:rsidRPr="00737152">
        <w:rPr>
          <w:rFonts w:ascii="Times New Roman" w:hAnsi="Times New Roman"/>
        </w:rPr>
        <w:t xml:space="preserve"> denied going into the victim's bedroom at any time that evening.</w:t>
      </w:r>
      <w:r w:rsidR="00BF543D" w:rsidRPr="00737152">
        <w:rPr>
          <w:rFonts w:ascii="Times New Roman" w:hAnsi="Times New Roman"/>
        </w:rPr>
        <w:t xml:space="preserve"> </w:t>
      </w:r>
      <w:r w:rsidR="006311A2" w:rsidRPr="00737152">
        <w:rPr>
          <w:rFonts w:ascii="Times New Roman" w:hAnsi="Times New Roman"/>
        </w:rPr>
        <w:t>There was also evidence that, in interce</w:t>
      </w:r>
      <w:r w:rsidR="000374B6" w:rsidRPr="00737152">
        <w:rPr>
          <w:rFonts w:ascii="Times New Roman" w:hAnsi="Times New Roman"/>
        </w:rPr>
        <w:t>p</w:t>
      </w:r>
      <w:r w:rsidR="006311A2" w:rsidRPr="00737152">
        <w:rPr>
          <w:rFonts w:ascii="Times New Roman" w:hAnsi="Times New Roman"/>
        </w:rPr>
        <w:t>ted telephone calls with members of his family, the appel</w:t>
      </w:r>
      <w:r w:rsidR="000374B6" w:rsidRPr="00737152">
        <w:rPr>
          <w:rFonts w:ascii="Times New Roman" w:hAnsi="Times New Roman"/>
        </w:rPr>
        <w:t>l</w:t>
      </w:r>
      <w:r w:rsidR="006311A2" w:rsidRPr="00737152">
        <w:rPr>
          <w:rFonts w:ascii="Times New Roman" w:hAnsi="Times New Roman"/>
        </w:rPr>
        <w:t xml:space="preserve">ant had said that the nephew did not harm the </w:t>
      </w:r>
      <w:r w:rsidR="006D4B16" w:rsidRPr="00737152">
        <w:rPr>
          <w:rFonts w:ascii="Times New Roman" w:hAnsi="Times New Roman"/>
        </w:rPr>
        <w:t>victim</w:t>
      </w:r>
      <w:r w:rsidR="00D75AF1" w:rsidRPr="00737152">
        <w:rPr>
          <w:rFonts w:ascii="Times New Roman" w:hAnsi="Times New Roman"/>
        </w:rPr>
        <w:t xml:space="preserve"> and had no opportunity to do so</w:t>
      </w:r>
      <w:r w:rsidR="00832081" w:rsidRPr="00737152">
        <w:rPr>
          <w:rFonts w:ascii="Times New Roman" w:hAnsi="Times New Roman"/>
        </w:rPr>
        <w:t xml:space="preserve"> and that the appellant did not believe the nephew </w:t>
      </w:r>
      <w:r w:rsidR="005A1921" w:rsidRPr="00737152">
        <w:rPr>
          <w:rFonts w:ascii="Times New Roman" w:hAnsi="Times New Roman"/>
        </w:rPr>
        <w:t xml:space="preserve">to be </w:t>
      </w:r>
      <w:r w:rsidR="00832081" w:rsidRPr="00737152">
        <w:rPr>
          <w:rFonts w:ascii="Times New Roman" w:hAnsi="Times New Roman"/>
        </w:rPr>
        <w:t>capable</w:t>
      </w:r>
      <w:r w:rsidR="005A1921" w:rsidRPr="00737152">
        <w:rPr>
          <w:rFonts w:ascii="Times New Roman" w:hAnsi="Times New Roman"/>
        </w:rPr>
        <w:t xml:space="preserve"> of harming the victim</w:t>
      </w:r>
      <w:r w:rsidR="000374B6" w:rsidRPr="00737152">
        <w:rPr>
          <w:rFonts w:ascii="Times New Roman" w:hAnsi="Times New Roman"/>
        </w:rPr>
        <w:t>.</w:t>
      </w:r>
    </w:p>
    <w:p w14:paraId="1E79D644" w14:textId="7DB58148" w:rsidR="00700870" w:rsidRPr="00737152" w:rsidRDefault="005E5562"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C8322D" w:rsidRPr="00737152">
        <w:rPr>
          <w:rFonts w:ascii="Times New Roman" w:hAnsi="Times New Roman"/>
        </w:rPr>
        <w:t xml:space="preserve">The appellant </w:t>
      </w:r>
      <w:r w:rsidR="002F6EF3" w:rsidRPr="00737152">
        <w:rPr>
          <w:rFonts w:ascii="Times New Roman" w:hAnsi="Times New Roman"/>
        </w:rPr>
        <w:t>stated</w:t>
      </w:r>
      <w:r w:rsidR="00666497" w:rsidRPr="00737152">
        <w:rPr>
          <w:rFonts w:ascii="Times New Roman" w:hAnsi="Times New Roman"/>
        </w:rPr>
        <w:t xml:space="preserve"> to interviewing police</w:t>
      </w:r>
      <w:r w:rsidR="000A53B7" w:rsidRPr="00737152">
        <w:rPr>
          <w:rFonts w:ascii="Times New Roman" w:hAnsi="Times New Roman"/>
        </w:rPr>
        <w:t>,</w:t>
      </w:r>
      <w:r w:rsidR="00C8322D" w:rsidRPr="00737152">
        <w:rPr>
          <w:rFonts w:ascii="Times New Roman" w:hAnsi="Times New Roman"/>
        </w:rPr>
        <w:t xml:space="preserve"> and </w:t>
      </w:r>
      <w:r w:rsidR="002F6EF3" w:rsidRPr="00737152">
        <w:rPr>
          <w:rFonts w:ascii="Times New Roman" w:hAnsi="Times New Roman"/>
        </w:rPr>
        <w:t xml:space="preserve">gave evidence </w:t>
      </w:r>
      <w:r w:rsidR="00C8322D" w:rsidRPr="00737152">
        <w:rPr>
          <w:rFonts w:ascii="Times New Roman" w:hAnsi="Times New Roman"/>
        </w:rPr>
        <w:t>at trial</w:t>
      </w:r>
      <w:r w:rsidR="000A53B7" w:rsidRPr="00737152">
        <w:rPr>
          <w:rFonts w:ascii="Times New Roman" w:hAnsi="Times New Roman"/>
        </w:rPr>
        <w:t>,</w:t>
      </w:r>
      <w:r w:rsidR="00C8322D" w:rsidRPr="00737152">
        <w:rPr>
          <w:rFonts w:ascii="Times New Roman" w:hAnsi="Times New Roman"/>
        </w:rPr>
        <w:t xml:space="preserve"> that he went into the victim's bedroom twice whilst he was alone with her in the unit. The first time</w:t>
      </w:r>
      <w:r w:rsidR="00661A99" w:rsidRPr="00737152">
        <w:rPr>
          <w:rFonts w:ascii="Times New Roman" w:hAnsi="Times New Roman"/>
        </w:rPr>
        <w:t>,</w:t>
      </w:r>
      <w:r w:rsidR="00C8322D" w:rsidRPr="00737152">
        <w:rPr>
          <w:rFonts w:ascii="Times New Roman" w:hAnsi="Times New Roman"/>
        </w:rPr>
        <w:t xml:space="preserve"> he heard her cry, followed by the sound of </w:t>
      </w:r>
      <w:r w:rsidR="00637574" w:rsidRPr="00737152">
        <w:rPr>
          <w:rFonts w:ascii="Times New Roman" w:hAnsi="Times New Roman"/>
        </w:rPr>
        <w:t>the</w:t>
      </w:r>
      <w:r w:rsidR="00C8322D" w:rsidRPr="00737152">
        <w:rPr>
          <w:rFonts w:ascii="Times New Roman" w:hAnsi="Times New Roman"/>
        </w:rPr>
        <w:t xml:space="preserve"> doorknob</w:t>
      </w:r>
      <w:r w:rsidR="00AA4C93" w:rsidRPr="00737152">
        <w:rPr>
          <w:rFonts w:ascii="Times New Roman" w:hAnsi="Times New Roman"/>
        </w:rPr>
        <w:t xml:space="preserve"> </w:t>
      </w:r>
      <w:r w:rsidR="00CB5111" w:rsidRPr="00737152">
        <w:rPr>
          <w:rFonts w:ascii="Times New Roman" w:hAnsi="Times New Roman"/>
        </w:rPr>
        <w:t>of her bedroom door</w:t>
      </w:r>
      <w:r w:rsidR="00C8322D" w:rsidRPr="00737152">
        <w:rPr>
          <w:rFonts w:ascii="Times New Roman" w:hAnsi="Times New Roman"/>
        </w:rPr>
        <w:t>. When he went to check on her, she was standing at the doo</w:t>
      </w:r>
      <w:r w:rsidR="008C0CD8" w:rsidRPr="00737152">
        <w:rPr>
          <w:rFonts w:ascii="Times New Roman" w:hAnsi="Times New Roman"/>
        </w:rPr>
        <w:t>r</w:t>
      </w:r>
      <w:r w:rsidR="00C8322D" w:rsidRPr="00737152">
        <w:rPr>
          <w:rFonts w:ascii="Times New Roman" w:hAnsi="Times New Roman"/>
        </w:rPr>
        <w:t xml:space="preserve"> crying "like she needed a spew" and</w:t>
      </w:r>
      <w:r w:rsidR="009846BD" w:rsidRPr="00737152">
        <w:rPr>
          <w:rFonts w:ascii="Times New Roman" w:hAnsi="Times New Roman"/>
        </w:rPr>
        <w:t xml:space="preserve"> </w:t>
      </w:r>
      <w:r w:rsidR="0053583B" w:rsidRPr="00737152">
        <w:rPr>
          <w:rFonts w:ascii="Times New Roman" w:hAnsi="Times New Roman"/>
        </w:rPr>
        <w:t>some</w:t>
      </w:r>
      <w:r w:rsidR="009846BD" w:rsidRPr="00737152">
        <w:rPr>
          <w:rFonts w:ascii="Times New Roman" w:hAnsi="Times New Roman"/>
        </w:rPr>
        <w:t xml:space="preserve"> vomit or spit landed on his arm. He took her to the toilet</w:t>
      </w:r>
      <w:r w:rsidR="0025084B" w:rsidRPr="00737152">
        <w:rPr>
          <w:rFonts w:ascii="Times New Roman" w:hAnsi="Times New Roman"/>
        </w:rPr>
        <w:t>,</w:t>
      </w:r>
      <w:r w:rsidR="009846BD" w:rsidRPr="00737152">
        <w:rPr>
          <w:rFonts w:ascii="Times New Roman" w:hAnsi="Times New Roman"/>
        </w:rPr>
        <w:t xml:space="preserve"> where she made some gagging noises but did not </w:t>
      </w:r>
      <w:r w:rsidR="00A915B0" w:rsidRPr="00737152">
        <w:rPr>
          <w:rFonts w:ascii="Times New Roman" w:hAnsi="Times New Roman"/>
        </w:rPr>
        <w:t>"</w:t>
      </w:r>
      <w:r w:rsidR="009846BD" w:rsidRPr="00737152">
        <w:rPr>
          <w:rFonts w:ascii="Times New Roman" w:hAnsi="Times New Roman"/>
        </w:rPr>
        <w:t xml:space="preserve">spew at all", after which she said that she wanted to </w:t>
      </w:r>
      <w:r w:rsidR="00644D54" w:rsidRPr="00737152">
        <w:rPr>
          <w:rFonts w:ascii="Times New Roman" w:hAnsi="Times New Roman"/>
        </w:rPr>
        <w:t>return</w:t>
      </w:r>
      <w:r w:rsidR="009846BD" w:rsidRPr="00737152">
        <w:rPr>
          <w:rFonts w:ascii="Times New Roman" w:hAnsi="Times New Roman"/>
        </w:rPr>
        <w:t xml:space="preserve"> to bed. The appellant</w:t>
      </w:r>
      <w:r w:rsidR="00644D54" w:rsidRPr="00737152">
        <w:rPr>
          <w:rFonts w:ascii="Times New Roman" w:hAnsi="Times New Roman"/>
        </w:rPr>
        <w:t xml:space="preserve"> gave evidence that when he checked on her a second time, the victim was making a "panting noise</w:t>
      </w:r>
      <w:r w:rsidR="0037515A" w:rsidRPr="00737152">
        <w:rPr>
          <w:rFonts w:ascii="Times New Roman" w:hAnsi="Times New Roman"/>
        </w:rPr>
        <w:t xml:space="preserve"> that she had never made before", and a "weeping noise that sounded like she had something in her throat"</w:t>
      </w:r>
      <w:r w:rsidR="00644D54" w:rsidRPr="00737152">
        <w:rPr>
          <w:rFonts w:ascii="Times New Roman" w:hAnsi="Times New Roman"/>
        </w:rPr>
        <w:t xml:space="preserve">. When asked why, in those circumstances, he closed the door to the victim's bedroom and returned to the lounge room, he </w:t>
      </w:r>
      <w:proofErr w:type="gramStart"/>
      <w:r w:rsidR="00644D54" w:rsidRPr="00737152">
        <w:rPr>
          <w:rFonts w:ascii="Times New Roman" w:hAnsi="Times New Roman"/>
        </w:rPr>
        <w:t>said</w:t>
      </w:r>
      <w:proofErr w:type="gramEnd"/>
      <w:r w:rsidR="00644D54" w:rsidRPr="00737152">
        <w:rPr>
          <w:rFonts w:ascii="Times New Roman" w:hAnsi="Times New Roman"/>
        </w:rPr>
        <w:t xml:space="preserve"> "I can't answer that" and that he did not know why he did not pick her up and take her into the lounge room. </w:t>
      </w:r>
    </w:p>
    <w:p w14:paraId="11D571CA" w14:textId="6AE19A14" w:rsidR="00BC63D5" w:rsidRPr="00737152" w:rsidRDefault="00700870" w:rsidP="00737152">
      <w:pPr>
        <w:pStyle w:val="FixListStyle"/>
        <w:spacing w:after="260" w:line="280" w:lineRule="exact"/>
        <w:ind w:right="0"/>
        <w:jc w:val="both"/>
        <w:rPr>
          <w:rFonts w:ascii="Times New Roman" w:hAnsi="Times New Roman"/>
        </w:rPr>
      </w:pPr>
      <w:r w:rsidRPr="00737152">
        <w:rPr>
          <w:rFonts w:ascii="Times New Roman" w:hAnsi="Times New Roman"/>
        </w:rPr>
        <w:tab/>
        <w:t>Upon the return of the mother and the nephew, t</w:t>
      </w:r>
      <w:r w:rsidR="00644D54" w:rsidRPr="00737152">
        <w:rPr>
          <w:rFonts w:ascii="Times New Roman" w:hAnsi="Times New Roman"/>
        </w:rPr>
        <w:t xml:space="preserve">he </w:t>
      </w:r>
      <w:r w:rsidR="000F530E" w:rsidRPr="00737152">
        <w:rPr>
          <w:rFonts w:ascii="Times New Roman" w:hAnsi="Times New Roman"/>
        </w:rPr>
        <w:t xml:space="preserve">appellant </w:t>
      </w:r>
      <w:r w:rsidR="009C2C2E" w:rsidRPr="00737152">
        <w:rPr>
          <w:rFonts w:ascii="Times New Roman" w:hAnsi="Times New Roman"/>
        </w:rPr>
        <w:t>started to eat</w:t>
      </w:r>
      <w:r w:rsidR="000F530E" w:rsidRPr="00737152">
        <w:rPr>
          <w:rFonts w:ascii="Times New Roman" w:hAnsi="Times New Roman"/>
        </w:rPr>
        <w:t xml:space="preserve"> dinner in the lounge room with the</w:t>
      </w:r>
      <w:r w:rsidRPr="00737152">
        <w:rPr>
          <w:rFonts w:ascii="Times New Roman" w:hAnsi="Times New Roman"/>
        </w:rPr>
        <w:t>m</w:t>
      </w:r>
      <w:r w:rsidR="00DD067C" w:rsidRPr="00737152">
        <w:rPr>
          <w:rFonts w:ascii="Times New Roman" w:hAnsi="Times New Roman"/>
        </w:rPr>
        <w:t xml:space="preserve">. </w:t>
      </w:r>
      <w:r w:rsidR="001560A0" w:rsidRPr="00737152">
        <w:rPr>
          <w:rFonts w:ascii="Times New Roman" w:hAnsi="Times New Roman"/>
        </w:rPr>
        <w:t>Before any of them had finished, the mother decided to check on the victim</w:t>
      </w:r>
      <w:r w:rsidR="00443CF4" w:rsidRPr="00737152">
        <w:rPr>
          <w:rFonts w:ascii="Times New Roman" w:hAnsi="Times New Roman"/>
        </w:rPr>
        <w:t xml:space="preserve">. </w:t>
      </w:r>
      <w:r w:rsidR="003508E9" w:rsidRPr="00737152">
        <w:rPr>
          <w:rFonts w:ascii="Times New Roman" w:hAnsi="Times New Roman"/>
        </w:rPr>
        <w:t>As she got up to wash her hands</w:t>
      </w:r>
      <w:r w:rsidR="00616BCB" w:rsidRPr="00737152">
        <w:rPr>
          <w:rFonts w:ascii="Times New Roman" w:hAnsi="Times New Roman"/>
        </w:rPr>
        <w:t xml:space="preserve">, </w:t>
      </w:r>
      <w:r w:rsidR="000F530E" w:rsidRPr="00737152">
        <w:rPr>
          <w:rFonts w:ascii="Times New Roman" w:hAnsi="Times New Roman"/>
        </w:rPr>
        <w:t xml:space="preserve">the appellant </w:t>
      </w:r>
      <w:r w:rsidR="000F530E" w:rsidRPr="00737152">
        <w:rPr>
          <w:rFonts w:ascii="Times New Roman" w:hAnsi="Times New Roman"/>
        </w:rPr>
        <w:lastRenderedPageBreak/>
        <w:t>went into the victim's bedroom</w:t>
      </w:r>
      <w:r w:rsidR="00770BB5" w:rsidRPr="00737152">
        <w:rPr>
          <w:rFonts w:ascii="Times New Roman" w:hAnsi="Times New Roman"/>
        </w:rPr>
        <w:t>, and brought the victim</w:t>
      </w:r>
      <w:r w:rsidR="000F530E" w:rsidRPr="00737152">
        <w:rPr>
          <w:rFonts w:ascii="Times New Roman" w:hAnsi="Times New Roman"/>
        </w:rPr>
        <w:t xml:space="preserve"> into the bathroom</w:t>
      </w:r>
      <w:r w:rsidR="00B7453F" w:rsidRPr="00737152">
        <w:rPr>
          <w:rFonts w:ascii="Times New Roman" w:hAnsi="Times New Roman"/>
        </w:rPr>
        <w:t>,</w:t>
      </w:r>
      <w:r w:rsidR="000F530E" w:rsidRPr="00737152">
        <w:rPr>
          <w:rFonts w:ascii="Times New Roman" w:hAnsi="Times New Roman"/>
        </w:rPr>
        <w:t xml:space="preserve"> where she became "floppy"</w:t>
      </w:r>
      <w:r w:rsidR="00B12438" w:rsidRPr="00737152">
        <w:rPr>
          <w:rFonts w:ascii="Times New Roman" w:hAnsi="Times New Roman"/>
        </w:rPr>
        <w:t xml:space="preserve"> and grey in colour</w:t>
      </w:r>
      <w:r w:rsidR="000F530E" w:rsidRPr="00737152">
        <w:rPr>
          <w:rFonts w:ascii="Times New Roman" w:hAnsi="Times New Roman"/>
        </w:rPr>
        <w:t xml:space="preserve">. </w:t>
      </w:r>
      <w:r w:rsidR="00745F6B" w:rsidRPr="00737152">
        <w:rPr>
          <w:rFonts w:ascii="Times New Roman" w:hAnsi="Times New Roman"/>
        </w:rPr>
        <w:t>The appellant and</w:t>
      </w:r>
      <w:r w:rsidR="00642286" w:rsidRPr="00737152">
        <w:rPr>
          <w:rFonts w:ascii="Times New Roman" w:hAnsi="Times New Roman"/>
        </w:rPr>
        <w:t xml:space="preserve"> </w:t>
      </w:r>
      <w:r w:rsidR="008D1551" w:rsidRPr="00737152">
        <w:rPr>
          <w:rFonts w:ascii="Times New Roman" w:hAnsi="Times New Roman"/>
        </w:rPr>
        <w:t xml:space="preserve">the mother </w:t>
      </w:r>
      <w:r w:rsidR="000F530E" w:rsidRPr="00737152">
        <w:rPr>
          <w:rFonts w:ascii="Times New Roman" w:hAnsi="Times New Roman"/>
        </w:rPr>
        <w:t>immediately</w:t>
      </w:r>
      <w:r w:rsidR="008D1551" w:rsidRPr="00737152">
        <w:rPr>
          <w:rFonts w:ascii="Times New Roman" w:hAnsi="Times New Roman"/>
        </w:rPr>
        <w:t xml:space="preserve"> took the victim</w:t>
      </w:r>
      <w:r w:rsidR="00745F6B" w:rsidRPr="00737152">
        <w:rPr>
          <w:rFonts w:ascii="Times New Roman" w:hAnsi="Times New Roman"/>
        </w:rPr>
        <w:t xml:space="preserve"> to the emergency department at Coffs Harbour Hospital</w:t>
      </w:r>
      <w:r w:rsidR="009B236B" w:rsidRPr="00737152">
        <w:rPr>
          <w:rFonts w:ascii="Times New Roman" w:hAnsi="Times New Roman"/>
        </w:rPr>
        <w:t>, arriving at 8.25</w:t>
      </w:r>
      <w:r w:rsidR="00E17E0C" w:rsidRPr="00737152">
        <w:rPr>
          <w:rFonts w:ascii="Times New Roman" w:hAnsi="Times New Roman"/>
        </w:rPr>
        <w:t> </w:t>
      </w:r>
      <w:r w:rsidR="009B236B" w:rsidRPr="00737152">
        <w:rPr>
          <w:rFonts w:ascii="Times New Roman" w:hAnsi="Times New Roman"/>
        </w:rPr>
        <w:t>pm</w:t>
      </w:r>
      <w:r w:rsidR="00556F4D" w:rsidRPr="00737152">
        <w:rPr>
          <w:rFonts w:ascii="Times New Roman" w:hAnsi="Times New Roman"/>
        </w:rPr>
        <w:t>, at which point the victim was unconscious</w:t>
      </w:r>
      <w:r w:rsidR="00745F6B" w:rsidRPr="00737152">
        <w:rPr>
          <w:rFonts w:ascii="Times New Roman" w:hAnsi="Times New Roman"/>
        </w:rPr>
        <w:t xml:space="preserve">. </w:t>
      </w:r>
      <w:r w:rsidR="00B7791F" w:rsidRPr="00737152">
        <w:rPr>
          <w:rFonts w:ascii="Times New Roman" w:hAnsi="Times New Roman"/>
        </w:rPr>
        <w:t xml:space="preserve">After various procedures </w:t>
      </w:r>
      <w:r w:rsidR="00436115" w:rsidRPr="00737152">
        <w:rPr>
          <w:rFonts w:ascii="Times New Roman" w:hAnsi="Times New Roman"/>
        </w:rPr>
        <w:t>were performed, the victim was pronounced dead at 2.15</w:t>
      </w:r>
      <w:r w:rsidR="0053583B" w:rsidRPr="00737152">
        <w:rPr>
          <w:rFonts w:ascii="Times New Roman" w:hAnsi="Times New Roman"/>
        </w:rPr>
        <w:t> </w:t>
      </w:r>
      <w:r w:rsidR="00436115" w:rsidRPr="00737152">
        <w:rPr>
          <w:rFonts w:ascii="Times New Roman" w:hAnsi="Times New Roman"/>
        </w:rPr>
        <w:t>am on 21 April 2014.</w:t>
      </w:r>
    </w:p>
    <w:p w14:paraId="47074016" w14:textId="6C89E52C" w:rsidR="00133C0B" w:rsidRPr="00737152" w:rsidRDefault="00E57AB6"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8C2B33" w:rsidRPr="00737152">
        <w:rPr>
          <w:rFonts w:ascii="Times New Roman" w:hAnsi="Times New Roman"/>
        </w:rPr>
        <w:t>The prosecution adduced evidence</w:t>
      </w:r>
      <w:r w:rsidR="00BC7761" w:rsidRPr="00737152">
        <w:rPr>
          <w:rFonts w:ascii="Times New Roman" w:hAnsi="Times New Roman"/>
        </w:rPr>
        <w:t xml:space="preserve"> from a forensic pathologist</w:t>
      </w:r>
      <w:r w:rsidR="004801E2" w:rsidRPr="00737152">
        <w:rPr>
          <w:rFonts w:ascii="Times New Roman" w:hAnsi="Times New Roman"/>
        </w:rPr>
        <w:t>, Dr</w:t>
      </w:r>
      <w:r w:rsidR="00391B23" w:rsidRPr="00737152">
        <w:rPr>
          <w:rFonts w:ascii="Times New Roman" w:hAnsi="Times New Roman"/>
        </w:rPr>
        <w:t> </w:t>
      </w:r>
      <w:r w:rsidR="004801E2" w:rsidRPr="00737152">
        <w:rPr>
          <w:rFonts w:ascii="Times New Roman" w:hAnsi="Times New Roman"/>
        </w:rPr>
        <w:t>Allan Cala</w:t>
      </w:r>
      <w:r w:rsidR="003C6FDE" w:rsidRPr="00737152">
        <w:rPr>
          <w:rFonts w:ascii="Times New Roman" w:hAnsi="Times New Roman"/>
        </w:rPr>
        <w:t>,</w:t>
      </w:r>
      <w:r w:rsidR="00E25D5E" w:rsidRPr="00737152">
        <w:rPr>
          <w:rFonts w:ascii="Times New Roman" w:hAnsi="Times New Roman"/>
        </w:rPr>
        <w:t xml:space="preserve"> who performed an autopsy on the victim</w:t>
      </w:r>
      <w:r w:rsidR="00764AF6" w:rsidRPr="00737152">
        <w:rPr>
          <w:rFonts w:ascii="Times New Roman" w:hAnsi="Times New Roman"/>
        </w:rPr>
        <w:t>.</w:t>
      </w:r>
      <w:r w:rsidR="00BC7761" w:rsidRPr="00737152">
        <w:rPr>
          <w:rFonts w:ascii="Times New Roman" w:hAnsi="Times New Roman"/>
        </w:rPr>
        <w:t xml:space="preserve"> Dr</w:t>
      </w:r>
      <w:r w:rsidR="00391B23" w:rsidRPr="00737152">
        <w:rPr>
          <w:rFonts w:ascii="Times New Roman" w:hAnsi="Times New Roman"/>
        </w:rPr>
        <w:t> </w:t>
      </w:r>
      <w:r w:rsidR="00BC7761" w:rsidRPr="00737152">
        <w:rPr>
          <w:rFonts w:ascii="Times New Roman" w:hAnsi="Times New Roman"/>
        </w:rPr>
        <w:t>Cala</w:t>
      </w:r>
      <w:r w:rsidR="00E130D6" w:rsidRPr="00737152">
        <w:rPr>
          <w:rFonts w:ascii="Times New Roman" w:hAnsi="Times New Roman"/>
        </w:rPr>
        <w:t>'s evidence was</w:t>
      </w:r>
      <w:r w:rsidR="00941F83" w:rsidRPr="00737152">
        <w:rPr>
          <w:rFonts w:ascii="Times New Roman" w:hAnsi="Times New Roman"/>
        </w:rPr>
        <w:t xml:space="preserve"> that </w:t>
      </w:r>
      <w:r w:rsidR="008C2B33" w:rsidRPr="00737152">
        <w:rPr>
          <w:rFonts w:ascii="Times New Roman" w:hAnsi="Times New Roman"/>
        </w:rPr>
        <w:t>the victim</w:t>
      </w:r>
      <w:r w:rsidR="00941F83" w:rsidRPr="00737152">
        <w:rPr>
          <w:rFonts w:ascii="Times New Roman" w:hAnsi="Times New Roman"/>
        </w:rPr>
        <w:t xml:space="preserve"> would have been "immediately and severely incapacitated" after </w:t>
      </w:r>
      <w:r w:rsidR="007331B3" w:rsidRPr="00737152">
        <w:rPr>
          <w:rFonts w:ascii="Times New Roman" w:hAnsi="Times New Roman"/>
        </w:rPr>
        <w:t>she received</w:t>
      </w:r>
      <w:r w:rsidR="00081D40" w:rsidRPr="00737152">
        <w:rPr>
          <w:rFonts w:ascii="Times New Roman" w:hAnsi="Times New Roman"/>
        </w:rPr>
        <w:t xml:space="preserve"> </w:t>
      </w:r>
      <w:r w:rsidR="007331B3" w:rsidRPr="00737152">
        <w:rPr>
          <w:rFonts w:ascii="Times New Roman" w:hAnsi="Times New Roman"/>
        </w:rPr>
        <w:t xml:space="preserve">the </w:t>
      </w:r>
      <w:r w:rsidR="00081D40" w:rsidRPr="00737152">
        <w:rPr>
          <w:rFonts w:ascii="Times New Roman" w:hAnsi="Times New Roman"/>
        </w:rPr>
        <w:t xml:space="preserve">blunt force trauma to </w:t>
      </w:r>
      <w:r w:rsidR="007331B3" w:rsidRPr="00737152">
        <w:rPr>
          <w:rFonts w:ascii="Times New Roman" w:hAnsi="Times New Roman"/>
        </w:rPr>
        <w:t>her</w:t>
      </w:r>
      <w:r w:rsidR="00081D40" w:rsidRPr="00737152">
        <w:rPr>
          <w:rFonts w:ascii="Times New Roman" w:hAnsi="Times New Roman"/>
        </w:rPr>
        <w:t xml:space="preserve"> abdomen</w:t>
      </w:r>
      <w:r w:rsidR="00BC7761" w:rsidRPr="00737152">
        <w:rPr>
          <w:rFonts w:ascii="Times New Roman" w:hAnsi="Times New Roman"/>
        </w:rPr>
        <w:t>. Dr</w:t>
      </w:r>
      <w:r w:rsidR="00391B23" w:rsidRPr="00737152">
        <w:rPr>
          <w:rFonts w:ascii="Times New Roman" w:hAnsi="Times New Roman"/>
        </w:rPr>
        <w:t> </w:t>
      </w:r>
      <w:r w:rsidR="00BC7761" w:rsidRPr="00737152">
        <w:rPr>
          <w:rFonts w:ascii="Times New Roman" w:hAnsi="Times New Roman"/>
        </w:rPr>
        <w:t xml:space="preserve">Cala's evidence was that </w:t>
      </w:r>
      <w:r w:rsidR="008C2B33" w:rsidRPr="00737152">
        <w:rPr>
          <w:rFonts w:ascii="Times New Roman" w:hAnsi="Times New Roman"/>
        </w:rPr>
        <w:t>the victim</w:t>
      </w:r>
      <w:r w:rsidR="00761C5D" w:rsidRPr="00737152">
        <w:rPr>
          <w:rFonts w:ascii="Times New Roman" w:hAnsi="Times New Roman"/>
        </w:rPr>
        <w:t xml:space="preserve"> would not have appeared "normal" for any </w:t>
      </w:r>
      <w:proofErr w:type="gramStart"/>
      <w:r w:rsidR="00761C5D" w:rsidRPr="00737152">
        <w:rPr>
          <w:rFonts w:ascii="Times New Roman" w:hAnsi="Times New Roman"/>
        </w:rPr>
        <w:t>period of time</w:t>
      </w:r>
      <w:proofErr w:type="gramEnd"/>
      <w:r w:rsidR="00761C5D" w:rsidRPr="00737152">
        <w:rPr>
          <w:rFonts w:ascii="Times New Roman" w:hAnsi="Times New Roman"/>
        </w:rPr>
        <w:t xml:space="preserve"> after the </w:t>
      </w:r>
      <w:r w:rsidR="00917F64" w:rsidRPr="00737152">
        <w:rPr>
          <w:rFonts w:ascii="Times New Roman" w:hAnsi="Times New Roman"/>
        </w:rPr>
        <w:t>trauma, "before deteriorating". Dr</w:t>
      </w:r>
      <w:r w:rsidR="00391B23" w:rsidRPr="00737152">
        <w:rPr>
          <w:rFonts w:ascii="Times New Roman" w:hAnsi="Times New Roman"/>
        </w:rPr>
        <w:t> </w:t>
      </w:r>
      <w:r w:rsidR="00917F64" w:rsidRPr="00737152">
        <w:rPr>
          <w:rFonts w:ascii="Times New Roman" w:hAnsi="Times New Roman"/>
        </w:rPr>
        <w:t>Cala</w:t>
      </w:r>
      <w:r w:rsidR="00096B09" w:rsidRPr="00737152">
        <w:rPr>
          <w:rFonts w:ascii="Times New Roman" w:hAnsi="Times New Roman"/>
        </w:rPr>
        <w:t xml:space="preserve">'s evidence was that "[t]his type of very severe trauma is seldom seen in paediatric cases, even where large forces to the abdomen are acknowledged, such as in motor vehicle trauma". </w:t>
      </w:r>
      <w:r w:rsidR="00E8402A" w:rsidRPr="00737152">
        <w:rPr>
          <w:rFonts w:ascii="Times New Roman" w:hAnsi="Times New Roman"/>
        </w:rPr>
        <w:t>On the assumption that the victim conversed with her mother and the appellant as she was put to bed and said "</w:t>
      </w:r>
      <w:r w:rsidR="00F64F85" w:rsidRPr="00737152">
        <w:rPr>
          <w:rFonts w:ascii="Times New Roman" w:hAnsi="Times New Roman"/>
        </w:rPr>
        <w:t>[</w:t>
      </w:r>
      <w:r w:rsidR="00057094" w:rsidRPr="00737152">
        <w:rPr>
          <w:rFonts w:ascii="Times New Roman" w:hAnsi="Times New Roman"/>
        </w:rPr>
        <w:t>g</w:t>
      </w:r>
      <w:r w:rsidR="00F64F85" w:rsidRPr="00737152">
        <w:rPr>
          <w:rFonts w:ascii="Times New Roman" w:hAnsi="Times New Roman"/>
        </w:rPr>
        <w:t>]</w:t>
      </w:r>
      <w:proofErr w:type="spellStart"/>
      <w:r w:rsidR="00E8402A" w:rsidRPr="00737152">
        <w:rPr>
          <w:rFonts w:ascii="Times New Roman" w:hAnsi="Times New Roman"/>
        </w:rPr>
        <w:t>ood</w:t>
      </w:r>
      <w:proofErr w:type="spellEnd"/>
      <w:r w:rsidR="00E8402A" w:rsidRPr="00737152">
        <w:rPr>
          <w:rFonts w:ascii="Times New Roman" w:hAnsi="Times New Roman"/>
        </w:rPr>
        <w:t xml:space="preserve"> night" to the nephew, Dr</w:t>
      </w:r>
      <w:r w:rsidR="00391B23" w:rsidRPr="00737152">
        <w:rPr>
          <w:rFonts w:ascii="Times New Roman" w:hAnsi="Times New Roman"/>
        </w:rPr>
        <w:t> </w:t>
      </w:r>
      <w:r w:rsidR="00E8402A" w:rsidRPr="00737152">
        <w:rPr>
          <w:rFonts w:ascii="Times New Roman" w:hAnsi="Times New Roman"/>
        </w:rPr>
        <w:t>Cala</w:t>
      </w:r>
      <w:r w:rsidR="00CB2C7C" w:rsidRPr="00737152">
        <w:rPr>
          <w:rFonts w:ascii="Times New Roman" w:hAnsi="Times New Roman"/>
        </w:rPr>
        <w:t>'s</w:t>
      </w:r>
      <w:r w:rsidR="00E8402A" w:rsidRPr="00737152">
        <w:rPr>
          <w:rFonts w:ascii="Times New Roman" w:hAnsi="Times New Roman"/>
        </w:rPr>
        <w:t xml:space="preserve"> opinion </w:t>
      </w:r>
      <w:r w:rsidR="00CB2C7C" w:rsidRPr="00737152">
        <w:rPr>
          <w:rFonts w:ascii="Times New Roman" w:hAnsi="Times New Roman"/>
        </w:rPr>
        <w:t xml:space="preserve">was </w:t>
      </w:r>
      <w:r w:rsidR="00E8402A" w:rsidRPr="00737152">
        <w:rPr>
          <w:rFonts w:ascii="Times New Roman" w:hAnsi="Times New Roman"/>
        </w:rPr>
        <w:t>that she was not, at that point, suffering from the injuries he observed at autopsy</w:t>
      </w:r>
      <w:r w:rsidR="00BC4240" w:rsidRPr="00737152">
        <w:rPr>
          <w:rFonts w:ascii="Times New Roman" w:hAnsi="Times New Roman"/>
        </w:rPr>
        <w:t>.</w:t>
      </w:r>
      <w:r w:rsidR="00A65A06" w:rsidRPr="00737152">
        <w:rPr>
          <w:rFonts w:ascii="Times New Roman" w:hAnsi="Times New Roman"/>
        </w:rPr>
        <w:t xml:space="preserve"> Thus, his opinion was that the injuries were occasioned sometime after the victim was put to bed.</w:t>
      </w:r>
    </w:p>
    <w:p w14:paraId="577E2710" w14:textId="7C9BE479" w:rsidR="00091FEB" w:rsidRPr="00737152" w:rsidRDefault="00133C0B"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040CE6" w:rsidRPr="00737152">
        <w:rPr>
          <w:rFonts w:ascii="Times New Roman" w:hAnsi="Times New Roman"/>
        </w:rPr>
        <w:t>Dr</w:t>
      </w:r>
      <w:r w:rsidR="00391B23" w:rsidRPr="00737152">
        <w:rPr>
          <w:rFonts w:ascii="Times New Roman" w:hAnsi="Times New Roman"/>
        </w:rPr>
        <w:t> </w:t>
      </w:r>
      <w:r w:rsidR="00040CE6" w:rsidRPr="00737152">
        <w:rPr>
          <w:rFonts w:ascii="Times New Roman" w:hAnsi="Times New Roman"/>
        </w:rPr>
        <w:t xml:space="preserve">Cala gave evidence that, if she had </w:t>
      </w:r>
      <w:r w:rsidR="0072111F" w:rsidRPr="00737152">
        <w:rPr>
          <w:rFonts w:ascii="Times New Roman" w:hAnsi="Times New Roman"/>
        </w:rPr>
        <w:t xml:space="preserve">already </w:t>
      </w:r>
      <w:r w:rsidR="00040CE6" w:rsidRPr="00737152">
        <w:rPr>
          <w:rFonts w:ascii="Times New Roman" w:hAnsi="Times New Roman"/>
        </w:rPr>
        <w:t>sustained the injuries he observed, it was "highly unlikely" that the victim would have been capable of getting out of bed, walking to the bedroom door, playing with the doorknob and standing at the door</w:t>
      </w:r>
      <w:r w:rsidR="00CB36BB" w:rsidRPr="00737152">
        <w:rPr>
          <w:rFonts w:ascii="Times New Roman" w:hAnsi="Times New Roman"/>
        </w:rPr>
        <w:t xml:space="preserve"> while the appellant came and answered it. </w:t>
      </w:r>
      <w:r w:rsidR="00C52DFA" w:rsidRPr="00737152">
        <w:rPr>
          <w:rFonts w:ascii="Times New Roman" w:hAnsi="Times New Roman"/>
        </w:rPr>
        <w:t xml:space="preserve">If </w:t>
      </w:r>
      <w:r w:rsidR="00CB36BB" w:rsidRPr="00737152">
        <w:rPr>
          <w:rFonts w:ascii="Times New Roman" w:hAnsi="Times New Roman"/>
        </w:rPr>
        <w:t>the appellant's account of the victim's condition when he first went into her bedroom after the mother and the nephew left the unit</w:t>
      </w:r>
      <w:r w:rsidR="00C52DFA" w:rsidRPr="00737152">
        <w:rPr>
          <w:rFonts w:ascii="Times New Roman" w:hAnsi="Times New Roman"/>
        </w:rPr>
        <w:t xml:space="preserve"> </w:t>
      </w:r>
      <w:r w:rsidR="00CB36BB" w:rsidRPr="00737152">
        <w:rPr>
          <w:rFonts w:ascii="Times New Roman" w:hAnsi="Times New Roman"/>
        </w:rPr>
        <w:t>were accepted, it necessarily followed that the fatal injuries had not yet been inflicted</w:t>
      </w:r>
      <w:r w:rsidR="0070556B" w:rsidRPr="00737152">
        <w:rPr>
          <w:rFonts w:ascii="Times New Roman" w:hAnsi="Times New Roman"/>
        </w:rPr>
        <w:t xml:space="preserve">. On this basis, the respondent </w:t>
      </w:r>
      <w:r w:rsidR="005F16D7" w:rsidRPr="00737152">
        <w:rPr>
          <w:rFonts w:ascii="Times New Roman" w:hAnsi="Times New Roman"/>
        </w:rPr>
        <w:t xml:space="preserve">contended </w:t>
      </w:r>
      <w:r w:rsidR="0070556B" w:rsidRPr="00737152">
        <w:rPr>
          <w:rFonts w:ascii="Times New Roman" w:hAnsi="Times New Roman"/>
        </w:rPr>
        <w:t>that the injuries</w:t>
      </w:r>
      <w:r w:rsidR="00CB36BB" w:rsidRPr="00737152">
        <w:rPr>
          <w:rFonts w:ascii="Times New Roman" w:hAnsi="Times New Roman"/>
        </w:rPr>
        <w:t xml:space="preserve"> could only have been inflicted by the appellant</w:t>
      </w:r>
      <w:r w:rsidR="005A53AD" w:rsidRPr="00737152">
        <w:rPr>
          <w:rFonts w:ascii="Times New Roman" w:hAnsi="Times New Roman"/>
        </w:rPr>
        <w:t>,</w:t>
      </w:r>
      <w:r w:rsidR="00CB36BB" w:rsidRPr="00737152">
        <w:rPr>
          <w:rFonts w:ascii="Times New Roman" w:hAnsi="Times New Roman"/>
        </w:rPr>
        <w:t xml:space="preserve"> who was the only person </w:t>
      </w:r>
      <w:r w:rsidR="00FF5BD1" w:rsidRPr="00737152">
        <w:rPr>
          <w:rFonts w:ascii="Times New Roman" w:hAnsi="Times New Roman"/>
        </w:rPr>
        <w:t xml:space="preserve">known </w:t>
      </w:r>
      <w:r w:rsidR="00CB36BB" w:rsidRPr="00737152">
        <w:rPr>
          <w:rFonts w:ascii="Times New Roman" w:hAnsi="Times New Roman"/>
        </w:rPr>
        <w:t xml:space="preserve">to have </w:t>
      </w:r>
      <w:r w:rsidR="00FF5BD1" w:rsidRPr="00737152">
        <w:rPr>
          <w:rFonts w:ascii="Times New Roman" w:hAnsi="Times New Roman"/>
        </w:rPr>
        <w:t xml:space="preserve">had </w:t>
      </w:r>
      <w:r w:rsidR="00CB36BB" w:rsidRPr="00737152">
        <w:rPr>
          <w:rFonts w:ascii="Times New Roman" w:hAnsi="Times New Roman"/>
        </w:rPr>
        <w:t>contact with the victim after the mother and the neph</w:t>
      </w:r>
      <w:r w:rsidR="0010725E" w:rsidRPr="00737152">
        <w:rPr>
          <w:rFonts w:ascii="Times New Roman" w:hAnsi="Times New Roman"/>
        </w:rPr>
        <w:t xml:space="preserve">ew left to buy dinner. </w:t>
      </w:r>
      <w:r w:rsidR="005F16D7" w:rsidRPr="00737152">
        <w:rPr>
          <w:rFonts w:ascii="Times New Roman" w:hAnsi="Times New Roman"/>
        </w:rPr>
        <w:t xml:space="preserve">This contention was </w:t>
      </w:r>
      <w:r w:rsidR="002A6049" w:rsidRPr="00737152">
        <w:rPr>
          <w:rFonts w:ascii="Times New Roman" w:hAnsi="Times New Roman"/>
        </w:rPr>
        <w:t>dispute</w:t>
      </w:r>
      <w:r w:rsidR="005F16D7" w:rsidRPr="00737152">
        <w:rPr>
          <w:rFonts w:ascii="Times New Roman" w:hAnsi="Times New Roman"/>
        </w:rPr>
        <w:t>d by the appellant, who argued</w:t>
      </w:r>
      <w:r w:rsidR="000D12EC" w:rsidRPr="00737152">
        <w:rPr>
          <w:rFonts w:ascii="Times New Roman" w:hAnsi="Times New Roman"/>
        </w:rPr>
        <w:t xml:space="preserve"> that his</w:t>
      </w:r>
      <w:r w:rsidR="005F16D7" w:rsidRPr="00737152">
        <w:rPr>
          <w:rFonts w:ascii="Times New Roman" w:hAnsi="Times New Roman"/>
        </w:rPr>
        <w:t xml:space="preserve"> </w:t>
      </w:r>
      <w:r w:rsidR="006C61D4" w:rsidRPr="00737152">
        <w:rPr>
          <w:rFonts w:ascii="Times New Roman" w:hAnsi="Times New Roman"/>
        </w:rPr>
        <w:t xml:space="preserve">evidence that he could not recall the mother going into the victim's bedroom before or after going to buy dinner did not exclude the possibility that the mother </w:t>
      </w:r>
      <w:r w:rsidR="0096132A" w:rsidRPr="00737152">
        <w:rPr>
          <w:rFonts w:ascii="Times New Roman" w:hAnsi="Times New Roman"/>
        </w:rPr>
        <w:t>went</w:t>
      </w:r>
      <w:r w:rsidR="006C61D4" w:rsidRPr="00737152">
        <w:rPr>
          <w:rFonts w:ascii="Times New Roman" w:hAnsi="Times New Roman"/>
        </w:rPr>
        <w:t xml:space="preserve"> into the bedroom at some point after her return </w:t>
      </w:r>
      <w:r w:rsidR="0096132A" w:rsidRPr="00737152">
        <w:rPr>
          <w:rFonts w:ascii="Times New Roman" w:hAnsi="Times New Roman"/>
        </w:rPr>
        <w:t>from buying dinner</w:t>
      </w:r>
      <w:r w:rsidR="006C61D4" w:rsidRPr="00737152">
        <w:rPr>
          <w:rFonts w:ascii="Times New Roman" w:hAnsi="Times New Roman"/>
        </w:rPr>
        <w:t>.</w:t>
      </w:r>
    </w:p>
    <w:p w14:paraId="0C25148C" w14:textId="4129F7EA" w:rsidR="00AD4EF3" w:rsidRPr="00737152" w:rsidRDefault="00A20F2F" w:rsidP="00737152">
      <w:pPr>
        <w:pStyle w:val="HeadingL1"/>
        <w:spacing w:after="260" w:line="280" w:lineRule="exact"/>
        <w:ind w:right="0"/>
        <w:jc w:val="both"/>
        <w:rPr>
          <w:rFonts w:ascii="Times New Roman" w:hAnsi="Times New Roman"/>
        </w:rPr>
      </w:pPr>
      <w:r w:rsidRPr="00737152">
        <w:rPr>
          <w:rFonts w:ascii="Times New Roman" w:hAnsi="Times New Roman"/>
        </w:rPr>
        <w:t>Disputed</w:t>
      </w:r>
      <w:r w:rsidR="00AD4EF3" w:rsidRPr="00737152">
        <w:rPr>
          <w:rFonts w:ascii="Times New Roman" w:hAnsi="Times New Roman"/>
        </w:rPr>
        <w:t xml:space="preserve"> evidence and rulings</w:t>
      </w:r>
    </w:p>
    <w:p w14:paraId="469481AE" w14:textId="6ADE742B" w:rsidR="00572A1A" w:rsidRPr="00737152" w:rsidRDefault="004F22EC"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5A7B61" w:rsidRPr="00737152">
        <w:rPr>
          <w:rFonts w:ascii="Times New Roman" w:hAnsi="Times New Roman"/>
        </w:rPr>
        <w:t>The</w:t>
      </w:r>
      <w:r w:rsidR="005E5226" w:rsidRPr="00737152">
        <w:rPr>
          <w:rFonts w:ascii="Times New Roman" w:hAnsi="Times New Roman"/>
        </w:rPr>
        <w:t xml:space="preserve"> prosecution sought to adduce two categories of tendency evidence. </w:t>
      </w:r>
      <w:r w:rsidR="00512EF1" w:rsidRPr="00737152">
        <w:rPr>
          <w:rFonts w:ascii="Times New Roman" w:hAnsi="Times New Roman"/>
        </w:rPr>
        <w:t xml:space="preserve">The admissibility of both categories was disputed on the appeal to this Court. </w:t>
      </w:r>
      <w:r w:rsidR="00572A1A" w:rsidRPr="00737152">
        <w:rPr>
          <w:rFonts w:ascii="Times New Roman" w:hAnsi="Times New Roman"/>
        </w:rPr>
        <w:t>In an amended tendency notice dated 19 March 2017, given pursuant to s 97(1)(a) of the Act, the prosecution identified the tendency sought to be proved as the appellant's tendency to act in a particular way, namely to "deliberately inflict physical harm on the child", that is, the victim</w:t>
      </w:r>
      <w:r w:rsidR="00421DBC" w:rsidRPr="00737152">
        <w:rPr>
          <w:rFonts w:ascii="Times New Roman" w:hAnsi="Times New Roman"/>
        </w:rPr>
        <w:t>. That tendency notice was directed at the first category of evidence ("the burns evidence")</w:t>
      </w:r>
      <w:r w:rsidR="00671221" w:rsidRPr="00737152">
        <w:rPr>
          <w:rFonts w:ascii="Times New Roman" w:hAnsi="Times New Roman"/>
        </w:rPr>
        <w:t>.</w:t>
      </w:r>
      <w:r w:rsidR="003429F4" w:rsidRPr="00737152">
        <w:rPr>
          <w:rFonts w:ascii="Times New Roman" w:hAnsi="Times New Roman"/>
        </w:rPr>
        <w:t xml:space="preserve"> </w:t>
      </w:r>
    </w:p>
    <w:p w14:paraId="4F510DFC" w14:textId="2F0F4371" w:rsidR="000370E1" w:rsidRPr="00737152" w:rsidRDefault="003429F4" w:rsidP="00737152">
      <w:pPr>
        <w:pStyle w:val="FixListStyle"/>
        <w:spacing w:after="260" w:line="280" w:lineRule="exact"/>
        <w:ind w:right="0"/>
        <w:jc w:val="both"/>
        <w:rPr>
          <w:rFonts w:ascii="Times New Roman" w:hAnsi="Times New Roman"/>
        </w:rPr>
      </w:pPr>
      <w:r w:rsidRPr="00737152">
        <w:rPr>
          <w:rFonts w:ascii="Times New Roman" w:hAnsi="Times New Roman"/>
        </w:rPr>
        <w:lastRenderedPageBreak/>
        <w:tab/>
      </w:r>
      <w:r w:rsidR="009B700B" w:rsidRPr="00737152">
        <w:rPr>
          <w:rFonts w:ascii="Times New Roman" w:hAnsi="Times New Roman"/>
        </w:rPr>
        <w:t xml:space="preserve">As to the </w:t>
      </w:r>
      <w:r w:rsidR="005D6F4B" w:rsidRPr="00737152">
        <w:rPr>
          <w:rFonts w:ascii="Times New Roman" w:hAnsi="Times New Roman"/>
        </w:rPr>
        <w:t>burns evidence</w:t>
      </w:r>
      <w:r w:rsidR="009B700B" w:rsidRPr="00737152">
        <w:rPr>
          <w:rFonts w:ascii="Times New Roman" w:hAnsi="Times New Roman"/>
        </w:rPr>
        <w:t>, o</w:t>
      </w:r>
      <w:r w:rsidR="004F22EC" w:rsidRPr="00737152">
        <w:rPr>
          <w:rFonts w:ascii="Times New Roman" w:hAnsi="Times New Roman"/>
        </w:rPr>
        <w:t>n the first day of the trial, the trial judge</w:t>
      </w:r>
      <w:r w:rsidR="00E453FA" w:rsidRPr="00737152">
        <w:rPr>
          <w:rFonts w:ascii="Times New Roman" w:hAnsi="Times New Roman"/>
        </w:rPr>
        <w:t xml:space="preserve"> (Latham</w:t>
      </w:r>
      <w:r w:rsidR="0037750D" w:rsidRPr="00737152">
        <w:rPr>
          <w:rFonts w:ascii="Times New Roman" w:hAnsi="Times New Roman"/>
        </w:rPr>
        <w:t> </w:t>
      </w:r>
      <w:r w:rsidR="00E453FA" w:rsidRPr="00737152">
        <w:rPr>
          <w:rFonts w:ascii="Times New Roman" w:hAnsi="Times New Roman"/>
        </w:rPr>
        <w:t>J)</w:t>
      </w:r>
      <w:r w:rsidR="004F22EC" w:rsidRPr="00737152">
        <w:rPr>
          <w:rFonts w:ascii="Times New Roman" w:hAnsi="Times New Roman"/>
        </w:rPr>
        <w:t xml:space="preserve"> </w:t>
      </w:r>
      <w:r w:rsidR="00E83F38" w:rsidRPr="00737152">
        <w:rPr>
          <w:rFonts w:ascii="Times New Roman" w:hAnsi="Times New Roman"/>
        </w:rPr>
        <w:t>admitted into evidence a folder of documents comprising transcripts of interviews with lay witnesses, expert evidence and photographs</w:t>
      </w:r>
      <w:r w:rsidR="00BA6E80" w:rsidRPr="00737152">
        <w:rPr>
          <w:rFonts w:ascii="Times New Roman" w:hAnsi="Times New Roman"/>
        </w:rPr>
        <w:t xml:space="preserve">, </w:t>
      </w:r>
      <w:r w:rsidR="0085744F" w:rsidRPr="00737152">
        <w:rPr>
          <w:rFonts w:ascii="Times New Roman" w:hAnsi="Times New Roman"/>
        </w:rPr>
        <w:t>in support of a contention</w:t>
      </w:r>
      <w:r w:rsidR="00BA6E80" w:rsidRPr="00737152">
        <w:rPr>
          <w:rFonts w:ascii="Times New Roman" w:hAnsi="Times New Roman"/>
        </w:rPr>
        <w:t xml:space="preserve"> that the </w:t>
      </w:r>
      <w:r w:rsidR="005D10E6" w:rsidRPr="00737152">
        <w:rPr>
          <w:rFonts w:ascii="Times New Roman" w:hAnsi="Times New Roman"/>
        </w:rPr>
        <w:t>appellant</w:t>
      </w:r>
      <w:r w:rsidR="00BA6E80" w:rsidRPr="00737152">
        <w:rPr>
          <w:rFonts w:ascii="Times New Roman" w:hAnsi="Times New Roman"/>
        </w:rPr>
        <w:t xml:space="preserve"> was responsible for placing </w:t>
      </w:r>
      <w:r w:rsidR="00C43B25" w:rsidRPr="00737152">
        <w:rPr>
          <w:rFonts w:ascii="Times New Roman" w:hAnsi="Times New Roman"/>
        </w:rPr>
        <w:t>the victim</w:t>
      </w:r>
      <w:r w:rsidR="00BA6E80" w:rsidRPr="00737152">
        <w:rPr>
          <w:rFonts w:ascii="Times New Roman" w:hAnsi="Times New Roman"/>
        </w:rPr>
        <w:t xml:space="preserve"> in </w:t>
      </w:r>
      <w:r w:rsidR="005A0DC1" w:rsidRPr="00737152">
        <w:rPr>
          <w:rFonts w:ascii="Times New Roman" w:hAnsi="Times New Roman"/>
        </w:rPr>
        <w:t xml:space="preserve">scalding </w:t>
      </w:r>
      <w:r w:rsidR="00BA6E80" w:rsidRPr="00737152">
        <w:rPr>
          <w:rFonts w:ascii="Times New Roman" w:hAnsi="Times New Roman"/>
        </w:rPr>
        <w:t>hot water on the morning of 10</w:t>
      </w:r>
      <w:r w:rsidR="00F355F1" w:rsidRPr="00737152">
        <w:rPr>
          <w:rFonts w:ascii="Times New Roman" w:hAnsi="Times New Roman"/>
        </w:rPr>
        <w:t> </w:t>
      </w:r>
      <w:r w:rsidR="00BA6E80" w:rsidRPr="00737152">
        <w:rPr>
          <w:rFonts w:ascii="Times New Roman" w:hAnsi="Times New Roman"/>
        </w:rPr>
        <w:t xml:space="preserve">April 2014 </w:t>
      </w:r>
      <w:r w:rsidR="00906A8C" w:rsidRPr="00737152">
        <w:rPr>
          <w:rFonts w:ascii="Times New Roman" w:hAnsi="Times New Roman"/>
        </w:rPr>
        <w:t xml:space="preserve">– that is, </w:t>
      </w:r>
      <w:r w:rsidR="004E487F" w:rsidRPr="00737152">
        <w:rPr>
          <w:rFonts w:ascii="Times New Roman" w:hAnsi="Times New Roman"/>
        </w:rPr>
        <w:t>10</w:t>
      </w:r>
      <w:r w:rsidR="000F3952" w:rsidRPr="00737152">
        <w:rPr>
          <w:rFonts w:ascii="Times New Roman" w:hAnsi="Times New Roman"/>
        </w:rPr>
        <w:t xml:space="preserve"> days before the victim suffered the </w:t>
      </w:r>
      <w:r w:rsidR="001B6E59" w:rsidRPr="00737152">
        <w:rPr>
          <w:rFonts w:ascii="Times New Roman" w:hAnsi="Times New Roman"/>
        </w:rPr>
        <w:t xml:space="preserve">fatal </w:t>
      </w:r>
      <w:r w:rsidR="007D0049" w:rsidRPr="00737152">
        <w:rPr>
          <w:rFonts w:ascii="Times New Roman" w:hAnsi="Times New Roman"/>
        </w:rPr>
        <w:t>injur</w:t>
      </w:r>
      <w:r w:rsidR="001B6E59" w:rsidRPr="00737152">
        <w:rPr>
          <w:rFonts w:ascii="Times New Roman" w:hAnsi="Times New Roman"/>
        </w:rPr>
        <w:t>y or injur</w:t>
      </w:r>
      <w:r w:rsidR="007D0049" w:rsidRPr="00737152">
        <w:rPr>
          <w:rFonts w:ascii="Times New Roman" w:hAnsi="Times New Roman"/>
        </w:rPr>
        <w:t>ies</w:t>
      </w:r>
      <w:r w:rsidR="000F3952" w:rsidRPr="00737152">
        <w:rPr>
          <w:rFonts w:ascii="Times New Roman" w:hAnsi="Times New Roman"/>
        </w:rPr>
        <w:t xml:space="preserve"> –</w:t>
      </w:r>
      <w:r w:rsidR="00BA6E80" w:rsidRPr="00737152">
        <w:rPr>
          <w:rFonts w:ascii="Times New Roman" w:hAnsi="Times New Roman"/>
        </w:rPr>
        <w:t xml:space="preserve"> </w:t>
      </w:r>
      <w:r w:rsidR="00033632" w:rsidRPr="00737152">
        <w:rPr>
          <w:rFonts w:ascii="Times New Roman" w:hAnsi="Times New Roman"/>
        </w:rPr>
        <w:t>resulting</w:t>
      </w:r>
      <w:r w:rsidR="00BA6E80" w:rsidRPr="00737152">
        <w:rPr>
          <w:rFonts w:ascii="Times New Roman" w:hAnsi="Times New Roman"/>
        </w:rPr>
        <w:t xml:space="preserve"> in burns to the sides of </w:t>
      </w:r>
      <w:r w:rsidR="00FD0CF4" w:rsidRPr="00737152">
        <w:rPr>
          <w:rFonts w:ascii="Times New Roman" w:hAnsi="Times New Roman"/>
        </w:rPr>
        <w:t>her</w:t>
      </w:r>
      <w:r w:rsidR="00BA6E80" w:rsidRPr="00737152">
        <w:rPr>
          <w:rFonts w:ascii="Times New Roman" w:hAnsi="Times New Roman"/>
        </w:rPr>
        <w:t xml:space="preserve"> feet and buttocks, and that the burns were not accidentally sustained</w:t>
      </w:r>
      <w:r w:rsidR="00904A2A" w:rsidRPr="00737152">
        <w:rPr>
          <w:rStyle w:val="FootnoteReference"/>
          <w:rFonts w:ascii="Times New Roman" w:hAnsi="Times New Roman"/>
          <w:sz w:val="24"/>
        </w:rPr>
        <w:footnoteReference w:id="5"/>
      </w:r>
      <w:r w:rsidR="008D5233" w:rsidRPr="00737152">
        <w:rPr>
          <w:rFonts w:ascii="Times New Roman" w:hAnsi="Times New Roman"/>
        </w:rPr>
        <w:t>.</w:t>
      </w:r>
      <w:r w:rsidR="00F93A5C" w:rsidRPr="00737152">
        <w:rPr>
          <w:rFonts w:ascii="Times New Roman" w:hAnsi="Times New Roman"/>
        </w:rPr>
        <w:t xml:space="preserve"> </w:t>
      </w:r>
      <w:r w:rsidR="005D10E6" w:rsidRPr="00737152">
        <w:rPr>
          <w:rFonts w:ascii="Times New Roman" w:hAnsi="Times New Roman"/>
        </w:rPr>
        <w:t>There was no dispute that the victim had sustained some first degree burns and one third degree burn (to her right foot) while in the appellant's care</w:t>
      </w:r>
      <w:r w:rsidR="00114F57" w:rsidRPr="00737152">
        <w:rPr>
          <w:rFonts w:ascii="Times New Roman" w:hAnsi="Times New Roman"/>
        </w:rPr>
        <w:t xml:space="preserve">, by </w:t>
      </w:r>
      <w:proofErr w:type="gramStart"/>
      <w:r w:rsidR="00114F57" w:rsidRPr="00737152">
        <w:rPr>
          <w:rFonts w:ascii="Times New Roman" w:hAnsi="Times New Roman"/>
        </w:rPr>
        <w:t>coming into contact with</w:t>
      </w:r>
      <w:proofErr w:type="gramEnd"/>
      <w:r w:rsidR="00114F57" w:rsidRPr="00737152">
        <w:rPr>
          <w:rFonts w:ascii="Times New Roman" w:hAnsi="Times New Roman"/>
        </w:rPr>
        <w:t xml:space="preserve"> hot water</w:t>
      </w:r>
      <w:r w:rsidR="005D10E6" w:rsidRPr="00737152">
        <w:rPr>
          <w:rFonts w:ascii="Times New Roman" w:hAnsi="Times New Roman"/>
        </w:rPr>
        <w:t xml:space="preserve">. </w:t>
      </w:r>
    </w:p>
    <w:p w14:paraId="43977AB8" w14:textId="6503E7AE" w:rsidR="000370E1" w:rsidRPr="00737152" w:rsidRDefault="000370E1"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903F07" w:rsidRPr="00737152">
        <w:rPr>
          <w:rFonts w:ascii="Times New Roman" w:hAnsi="Times New Roman"/>
        </w:rPr>
        <w:t xml:space="preserve">The </w:t>
      </w:r>
      <w:r w:rsidRPr="00737152">
        <w:rPr>
          <w:rFonts w:ascii="Times New Roman" w:hAnsi="Times New Roman"/>
        </w:rPr>
        <w:t>burns evidence included</w:t>
      </w:r>
      <w:r w:rsidR="00903F07" w:rsidRPr="00737152">
        <w:rPr>
          <w:rFonts w:ascii="Times New Roman" w:hAnsi="Times New Roman"/>
        </w:rPr>
        <w:t xml:space="preserve"> evidence from Dr Christine Norrie, a forensic physician, that it would only take about five seconds for a child to suffer a third degree burn from water at a temperature of 60 degrees centigrade. Dr Norrie said that immediate and severe pain would result and that a child exposed to such hot water would "scream blue murder". Dr Norrie said that the patterns of the burns indicated that the victim was sitting in the bath when the hot water rose and burned around that part of the skin that was pressed against the floor of the bath. Dr Norrie's </w:t>
      </w:r>
      <w:proofErr w:type="gramStart"/>
      <w:r w:rsidR="00903F07" w:rsidRPr="00737152">
        <w:rPr>
          <w:rFonts w:ascii="Times New Roman" w:hAnsi="Times New Roman"/>
        </w:rPr>
        <w:t>ultimate conclusion</w:t>
      </w:r>
      <w:proofErr w:type="gramEnd"/>
      <w:r w:rsidR="00903F07" w:rsidRPr="00737152">
        <w:rPr>
          <w:rFonts w:ascii="Times New Roman" w:hAnsi="Times New Roman"/>
        </w:rPr>
        <w:t xml:space="preserve"> was that it appeared that the victim was forced to sit down in the bath.</w:t>
      </w:r>
      <w:r w:rsidR="007F6C63" w:rsidRPr="00737152">
        <w:rPr>
          <w:rFonts w:ascii="Times New Roman" w:hAnsi="Times New Roman"/>
        </w:rPr>
        <w:t xml:space="preserve"> The burns evidence </w:t>
      </w:r>
      <w:proofErr w:type="gramStart"/>
      <w:r w:rsidR="007F6C63" w:rsidRPr="00737152">
        <w:rPr>
          <w:rFonts w:ascii="Times New Roman" w:hAnsi="Times New Roman"/>
        </w:rPr>
        <w:t>was capable of establishing</w:t>
      </w:r>
      <w:proofErr w:type="gramEnd"/>
      <w:r w:rsidR="007F6C63" w:rsidRPr="00737152">
        <w:rPr>
          <w:rFonts w:ascii="Times New Roman" w:hAnsi="Times New Roman"/>
        </w:rPr>
        <w:t xml:space="preserve"> that the appellant had deliberately immersed the victim in scalding hot water, causing the burns.</w:t>
      </w:r>
    </w:p>
    <w:p w14:paraId="48D55D3A" w14:textId="02B88EBE" w:rsidR="00D10B84" w:rsidRPr="00737152" w:rsidRDefault="000370E1"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6039B5" w:rsidRPr="00737152">
        <w:rPr>
          <w:rFonts w:ascii="Times New Roman" w:hAnsi="Times New Roman"/>
        </w:rPr>
        <w:t>The trial judge rejected the appellant's principal objection to t</w:t>
      </w:r>
      <w:r w:rsidR="00E40F9D" w:rsidRPr="00737152">
        <w:rPr>
          <w:rFonts w:ascii="Times New Roman" w:hAnsi="Times New Roman"/>
        </w:rPr>
        <w:t xml:space="preserve">he burns evidence, being that the prevailing evidence established that the burns were accidentally inflicted and that the appellant enjoyed a positive and caring relationship with the </w:t>
      </w:r>
      <w:r w:rsidR="00BF37DB" w:rsidRPr="00737152">
        <w:rPr>
          <w:rFonts w:ascii="Times New Roman" w:hAnsi="Times New Roman"/>
        </w:rPr>
        <w:t>victim</w:t>
      </w:r>
      <w:r w:rsidR="00E40F9D" w:rsidRPr="00737152">
        <w:rPr>
          <w:rFonts w:ascii="Times New Roman" w:hAnsi="Times New Roman"/>
        </w:rPr>
        <w:t>, such that the evidence lacked significant probative value</w:t>
      </w:r>
      <w:r w:rsidR="003D5FDA" w:rsidRPr="00737152">
        <w:rPr>
          <w:rFonts w:ascii="Times New Roman" w:hAnsi="Times New Roman"/>
        </w:rPr>
        <w:t>.</w:t>
      </w:r>
      <w:r w:rsidR="00E453FA" w:rsidRPr="00737152">
        <w:rPr>
          <w:rFonts w:ascii="Times New Roman" w:hAnsi="Times New Roman"/>
        </w:rPr>
        <w:t xml:space="preserve"> Her Honour </w:t>
      </w:r>
      <w:r w:rsidR="00D421AE" w:rsidRPr="00737152">
        <w:rPr>
          <w:rFonts w:ascii="Times New Roman" w:hAnsi="Times New Roman"/>
        </w:rPr>
        <w:t xml:space="preserve">also </w:t>
      </w:r>
      <w:r w:rsidR="000D5D61" w:rsidRPr="00737152">
        <w:rPr>
          <w:rFonts w:ascii="Times New Roman" w:hAnsi="Times New Roman"/>
        </w:rPr>
        <w:t>rejected the appellant's objection</w:t>
      </w:r>
      <w:r w:rsidR="006678A2" w:rsidRPr="00737152">
        <w:rPr>
          <w:rFonts w:ascii="Times New Roman" w:hAnsi="Times New Roman"/>
        </w:rPr>
        <w:t xml:space="preserve"> under s</w:t>
      </w:r>
      <w:r w:rsidR="003D5FDA" w:rsidRPr="00737152">
        <w:rPr>
          <w:rFonts w:ascii="Times New Roman" w:hAnsi="Times New Roman"/>
        </w:rPr>
        <w:t> </w:t>
      </w:r>
      <w:r w:rsidR="006678A2" w:rsidRPr="00737152">
        <w:rPr>
          <w:rFonts w:ascii="Times New Roman" w:hAnsi="Times New Roman"/>
        </w:rPr>
        <w:t xml:space="preserve">101(2) of the Act, </w:t>
      </w:r>
      <w:r w:rsidR="00731BFD" w:rsidRPr="00737152">
        <w:rPr>
          <w:rFonts w:ascii="Times New Roman" w:hAnsi="Times New Roman"/>
        </w:rPr>
        <w:t>that</w:t>
      </w:r>
      <w:r w:rsidR="002631F7" w:rsidRPr="00737152">
        <w:rPr>
          <w:rFonts w:ascii="Times New Roman" w:hAnsi="Times New Roman"/>
        </w:rPr>
        <w:t xml:space="preserve"> the probative value of the evidence </w:t>
      </w:r>
      <w:r w:rsidR="00EE097A" w:rsidRPr="00737152">
        <w:rPr>
          <w:rFonts w:ascii="Times New Roman" w:hAnsi="Times New Roman"/>
        </w:rPr>
        <w:t xml:space="preserve">did not </w:t>
      </w:r>
      <w:r w:rsidR="002631F7" w:rsidRPr="00737152">
        <w:rPr>
          <w:rFonts w:ascii="Times New Roman" w:hAnsi="Times New Roman"/>
        </w:rPr>
        <w:t xml:space="preserve">substantially outweigh any prejudicial effect it may have on </w:t>
      </w:r>
      <w:r w:rsidR="00EE097A" w:rsidRPr="00737152">
        <w:rPr>
          <w:rFonts w:ascii="Times New Roman" w:hAnsi="Times New Roman"/>
        </w:rPr>
        <w:t>him</w:t>
      </w:r>
      <w:r w:rsidR="002631F7" w:rsidRPr="00737152">
        <w:rPr>
          <w:rFonts w:ascii="Times New Roman" w:hAnsi="Times New Roman"/>
        </w:rPr>
        <w:t xml:space="preserve">. </w:t>
      </w:r>
      <w:r w:rsidR="00FA6C1F" w:rsidRPr="00737152">
        <w:rPr>
          <w:rFonts w:ascii="Times New Roman" w:hAnsi="Times New Roman"/>
        </w:rPr>
        <w:t xml:space="preserve">In this Court, the appellant did not </w:t>
      </w:r>
      <w:r w:rsidR="0092525B" w:rsidRPr="00737152">
        <w:rPr>
          <w:rFonts w:ascii="Times New Roman" w:hAnsi="Times New Roman"/>
        </w:rPr>
        <w:t>challenge the trial judge's finding with respect to</w:t>
      </w:r>
      <w:r w:rsidR="006A713E" w:rsidRPr="00737152">
        <w:rPr>
          <w:rFonts w:ascii="Times New Roman" w:hAnsi="Times New Roman"/>
        </w:rPr>
        <w:t xml:space="preserve"> s</w:t>
      </w:r>
      <w:r w:rsidR="003D5FDA" w:rsidRPr="00737152">
        <w:rPr>
          <w:rFonts w:ascii="Times New Roman" w:hAnsi="Times New Roman"/>
        </w:rPr>
        <w:t> </w:t>
      </w:r>
      <w:r w:rsidR="006A713E" w:rsidRPr="00737152">
        <w:rPr>
          <w:rFonts w:ascii="Times New Roman" w:hAnsi="Times New Roman"/>
        </w:rPr>
        <w:t>101(2)</w:t>
      </w:r>
      <w:r w:rsidR="00141FBD" w:rsidRPr="00737152">
        <w:rPr>
          <w:rFonts w:ascii="Times New Roman" w:hAnsi="Times New Roman"/>
        </w:rPr>
        <w:t>.</w:t>
      </w:r>
      <w:r w:rsidR="00D10B84" w:rsidRPr="00737152">
        <w:rPr>
          <w:rFonts w:ascii="Times New Roman" w:hAnsi="Times New Roman"/>
        </w:rPr>
        <w:t xml:space="preserve"> In admitting the burns evidence, the trial judge foreshadowed a jury direction that the jury could not use the tendency evidence unless satisfied beyond reasonable doubt that the appellant deliberately place</w:t>
      </w:r>
      <w:r w:rsidR="00C53AF8" w:rsidRPr="00737152">
        <w:rPr>
          <w:rFonts w:ascii="Times New Roman" w:hAnsi="Times New Roman"/>
        </w:rPr>
        <w:t>d</w:t>
      </w:r>
      <w:r w:rsidR="00D10B84" w:rsidRPr="00737152">
        <w:rPr>
          <w:rFonts w:ascii="Times New Roman" w:hAnsi="Times New Roman"/>
        </w:rPr>
        <w:t xml:space="preserve"> the </w:t>
      </w:r>
      <w:r w:rsidR="005B0786" w:rsidRPr="00737152">
        <w:rPr>
          <w:rFonts w:ascii="Times New Roman" w:hAnsi="Times New Roman"/>
        </w:rPr>
        <w:t>victim</w:t>
      </w:r>
      <w:r w:rsidR="00D10B84" w:rsidRPr="00737152">
        <w:rPr>
          <w:rFonts w:ascii="Times New Roman" w:hAnsi="Times New Roman"/>
        </w:rPr>
        <w:t xml:space="preserve"> in hot water "with the intention to cause the child </w:t>
      </w:r>
      <w:r w:rsidR="00D10B84" w:rsidRPr="00737152">
        <w:rPr>
          <w:rFonts w:ascii="Times New Roman" w:hAnsi="Times New Roman"/>
          <w:i/>
          <w:iCs/>
        </w:rPr>
        <w:t>serious</w:t>
      </w:r>
      <w:r w:rsidR="00D10B84" w:rsidRPr="00737152">
        <w:rPr>
          <w:rFonts w:ascii="Times New Roman" w:hAnsi="Times New Roman"/>
        </w:rPr>
        <w:t xml:space="preserve"> harm</w:t>
      </w:r>
      <w:r w:rsidR="007C0EBB" w:rsidRPr="00737152">
        <w:rPr>
          <w:rFonts w:ascii="Times New Roman" w:hAnsi="Times New Roman"/>
        </w:rPr>
        <w:t>,</w:t>
      </w:r>
      <w:r w:rsidR="00D10B84" w:rsidRPr="00737152">
        <w:rPr>
          <w:rFonts w:ascii="Times New Roman" w:hAnsi="Times New Roman"/>
        </w:rPr>
        <w:t xml:space="preserve"> and that such harm was </w:t>
      </w:r>
      <w:r w:rsidR="007C0EBB" w:rsidRPr="00737152">
        <w:rPr>
          <w:rFonts w:ascii="Times New Roman" w:hAnsi="Times New Roman"/>
        </w:rPr>
        <w:t xml:space="preserve">thereby </w:t>
      </w:r>
      <w:r w:rsidR="00D10B84" w:rsidRPr="00737152">
        <w:rPr>
          <w:rFonts w:ascii="Times New Roman" w:hAnsi="Times New Roman"/>
        </w:rPr>
        <w:t xml:space="preserve">occasioned" </w:t>
      </w:r>
      <w:r w:rsidR="001330E1" w:rsidRPr="00737152">
        <w:rPr>
          <w:rFonts w:ascii="Times New Roman" w:hAnsi="Times New Roman"/>
        </w:rPr>
        <w:t>(emphasis added)</w:t>
      </w:r>
      <w:r w:rsidR="00D10B84" w:rsidRPr="00737152">
        <w:rPr>
          <w:rFonts w:ascii="Times New Roman" w:hAnsi="Times New Roman"/>
        </w:rPr>
        <w:t xml:space="preserve">. </w:t>
      </w:r>
      <w:r w:rsidR="007D09DD" w:rsidRPr="00737152">
        <w:rPr>
          <w:rFonts w:ascii="Times New Roman" w:hAnsi="Times New Roman"/>
        </w:rPr>
        <w:t xml:space="preserve">This statement indicates that the trial judge </w:t>
      </w:r>
      <w:r w:rsidR="009D39E2" w:rsidRPr="00737152">
        <w:rPr>
          <w:rFonts w:ascii="Times New Roman" w:hAnsi="Times New Roman"/>
        </w:rPr>
        <w:t xml:space="preserve">may have </w:t>
      </w:r>
      <w:r w:rsidR="007D09DD" w:rsidRPr="00737152">
        <w:rPr>
          <w:rFonts w:ascii="Times New Roman" w:hAnsi="Times New Roman"/>
        </w:rPr>
        <w:t xml:space="preserve">understood the asserted tendency to </w:t>
      </w:r>
      <w:r w:rsidR="00A55E75" w:rsidRPr="00737152">
        <w:rPr>
          <w:rFonts w:ascii="Times New Roman" w:hAnsi="Times New Roman"/>
        </w:rPr>
        <w:t xml:space="preserve">involve </w:t>
      </w:r>
      <w:r w:rsidR="00BF057C" w:rsidRPr="00737152">
        <w:rPr>
          <w:rFonts w:ascii="Times New Roman" w:hAnsi="Times New Roman"/>
        </w:rPr>
        <w:t xml:space="preserve">the deliberate infliction of serious physical harm upon the victim, and not merely physical harm. </w:t>
      </w:r>
    </w:p>
    <w:p w14:paraId="6374BC38" w14:textId="65AE07C0" w:rsidR="00D90AD2" w:rsidRPr="00737152" w:rsidRDefault="00BC2B2A" w:rsidP="00737152">
      <w:pPr>
        <w:pStyle w:val="FixListStyle"/>
        <w:spacing w:after="260" w:line="280" w:lineRule="exact"/>
        <w:ind w:right="0"/>
        <w:jc w:val="both"/>
        <w:rPr>
          <w:rFonts w:ascii="Times New Roman" w:hAnsi="Times New Roman"/>
        </w:rPr>
      </w:pPr>
      <w:r w:rsidRPr="00737152">
        <w:rPr>
          <w:rFonts w:ascii="Times New Roman" w:hAnsi="Times New Roman"/>
        </w:rPr>
        <w:lastRenderedPageBreak/>
        <w:tab/>
      </w:r>
      <w:r w:rsidR="00A939EE" w:rsidRPr="00737152">
        <w:rPr>
          <w:rFonts w:ascii="Times New Roman" w:hAnsi="Times New Roman"/>
        </w:rPr>
        <w:t xml:space="preserve">The second category of </w:t>
      </w:r>
      <w:r w:rsidR="003F5528" w:rsidRPr="00737152">
        <w:rPr>
          <w:rFonts w:ascii="Times New Roman" w:hAnsi="Times New Roman"/>
        </w:rPr>
        <w:t>tendency evidence</w:t>
      </w:r>
      <w:r w:rsidR="000A0AFB" w:rsidRPr="00737152">
        <w:rPr>
          <w:rFonts w:ascii="Times New Roman" w:hAnsi="Times New Roman"/>
        </w:rPr>
        <w:t xml:space="preserve"> ("the complaint evidence")</w:t>
      </w:r>
      <w:r w:rsidR="003F5528" w:rsidRPr="00737152">
        <w:rPr>
          <w:rFonts w:ascii="Times New Roman" w:hAnsi="Times New Roman"/>
        </w:rPr>
        <w:t xml:space="preserve"> was admitted </w:t>
      </w:r>
      <w:proofErr w:type="gramStart"/>
      <w:r w:rsidR="003F5528" w:rsidRPr="00737152">
        <w:rPr>
          <w:rFonts w:ascii="Times New Roman" w:hAnsi="Times New Roman"/>
        </w:rPr>
        <w:t>i</w:t>
      </w:r>
      <w:r w:rsidR="00996F18" w:rsidRPr="00737152">
        <w:rPr>
          <w:rFonts w:ascii="Times New Roman" w:hAnsi="Times New Roman"/>
        </w:rPr>
        <w:t>n the course of</w:t>
      </w:r>
      <w:proofErr w:type="gramEnd"/>
      <w:r w:rsidR="00996F18" w:rsidRPr="00737152">
        <w:rPr>
          <w:rFonts w:ascii="Times New Roman" w:hAnsi="Times New Roman"/>
        </w:rPr>
        <w:t xml:space="preserve"> the trial</w:t>
      </w:r>
      <w:r w:rsidR="003F5528" w:rsidRPr="00737152">
        <w:rPr>
          <w:rFonts w:ascii="Times New Roman" w:hAnsi="Times New Roman"/>
        </w:rPr>
        <w:t xml:space="preserve"> and comprised</w:t>
      </w:r>
      <w:r w:rsidR="003830F6" w:rsidRPr="00737152">
        <w:rPr>
          <w:rFonts w:ascii="Times New Roman" w:hAnsi="Times New Roman"/>
        </w:rPr>
        <w:t xml:space="preserve"> </w:t>
      </w:r>
      <w:r w:rsidR="00DF7445" w:rsidRPr="00737152">
        <w:rPr>
          <w:rFonts w:ascii="Times New Roman" w:hAnsi="Times New Roman"/>
        </w:rPr>
        <w:t xml:space="preserve">three pieces of </w:t>
      </w:r>
      <w:r w:rsidR="00AA3D05" w:rsidRPr="00737152">
        <w:rPr>
          <w:rFonts w:ascii="Times New Roman" w:hAnsi="Times New Roman"/>
        </w:rPr>
        <w:t xml:space="preserve">hearsay </w:t>
      </w:r>
      <w:r w:rsidR="00DF7445" w:rsidRPr="00737152">
        <w:rPr>
          <w:rFonts w:ascii="Times New Roman" w:hAnsi="Times New Roman"/>
        </w:rPr>
        <w:t>evidence</w:t>
      </w:r>
      <w:r w:rsidR="00E04F40" w:rsidRPr="00737152">
        <w:rPr>
          <w:rFonts w:ascii="Times New Roman" w:hAnsi="Times New Roman"/>
        </w:rPr>
        <w:t xml:space="preserve"> as evidence of the previously identified tendency</w:t>
      </w:r>
      <w:r w:rsidR="00DF7445" w:rsidRPr="00737152">
        <w:rPr>
          <w:rFonts w:ascii="Times New Roman" w:hAnsi="Times New Roman"/>
        </w:rPr>
        <w:t>.</w:t>
      </w:r>
      <w:r w:rsidR="0092525B" w:rsidRPr="00737152">
        <w:rPr>
          <w:rFonts w:ascii="Times New Roman" w:hAnsi="Times New Roman"/>
        </w:rPr>
        <w:t xml:space="preserve"> This complaint evidence was admitted without an additional tendency notice.</w:t>
      </w:r>
      <w:r w:rsidR="00DF7445" w:rsidRPr="00737152">
        <w:rPr>
          <w:rFonts w:ascii="Times New Roman" w:hAnsi="Times New Roman"/>
        </w:rPr>
        <w:t xml:space="preserve"> </w:t>
      </w:r>
      <w:r w:rsidR="00B43934" w:rsidRPr="00737152">
        <w:rPr>
          <w:rFonts w:ascii="Times New Roman" w:hAnsi="Times New Roman"/>
        </w:rPr>
        <w:t xml:space="preserve">The </w:t>
      </w:r>
      <w:r w:rsidR="00111CBD" w:rsidRPr="00737152">
        <w:rPr>
          <w:rFonts w:ascii="Times New Roman" w:hAnsi="Times New Roman"/>
        </w:rPr>
        <w:t xml:space="preserve">first piece </w:t>
      </w:r>
      <w:r w:rsidR="00240E4E" w:rsidRPr="00737152">
        <w:rPr>
          <w:rFonts w:ascii="Times New Roman" w:hAnsi="Times New Roman"/>
        </w:rPr>
        <w:t>comprised</w:t>
      </w:r>
      <w:r w:rsidR="00000895" w:rsidRPr="00737152">
        <w:rPr>
          <w:rFonts w:ascii="Times New Roman" w:hAnsi="Times New Roman"/>
        </w:rPr>
        <w:t xml:space="preserve"> </w:t>
      </w:r>
      <w:r w:rsidR="00111CBD" w:rsidRPr="00737152">
        <w:rPr>
          <w:rFonts w:ascii="Times New Roman" w:hAnsi="Times New Roman"/>
        </w:rPr>
        <w:t>e</w:t>
      </w:r>
      <w:r w:rsidR="00000895" w:rsidRPr="00737152">
        <w:rPr>
          <w:rFonts w:ascii="Times New Roman" w:hAnsi="Times New Roman"/>
        </w:rPr>
        <w:t xml:space="preserve">vidence from </w:t>
      </w:r>
      <w:r w:rsidR="000F43EA" w:rsidRPr="00737152">
        <w:rPr>
          <w:rFonts w:ascii="Times New Roman" w:hAnsi="Times New Roman"/>
        </w:rPr>
        <w:t>the partner of</w:t>
      </w:r>
      <w:r w:rsidR="00DE7DFF" w:rsidRPr="00737152">
        <w:rPr>
          <w:rFonts w:ascii="Times New Roman" w:hAnsi="Times New Roman"/>
        </w:rPr>
        <w:t xml:space="preserve"> the victim</w:t>
      </w:r>
      <w:r w:rsidR="00CA18AA" w:rsidRPr="00737152">
        <w:rPr>
          <w:rFonts w:ascii="Times New Roman" w:hAnsi="Times New Roman"/>
        </w:rPr>
        <w:t xml:space="preserve">'s maternal </w:t>
      </w:r>
      <w:r w:rsidR="002935E4" w:rsidRPr="00737152">
        <w:rPr>
          <w:rFonts w:ascii="Times New Roman" w:hAnsi="Times New Roman"/>
        </w:rPr>
        <w:t>uncle</w:t>
      </w:r>
      <w:r w:rsidR="00B27712" w:rsidRPr="00737152">
        <w:rPr>
          <w:rFonts w:ascii="Times New Roman" w:hAnsi="Times New Roman"/>
        </w:rPr>
        <w:t>, Ms</w:t>
      </w:r>
      <w:r w:rsidR="00AB0B24" w:rsidRPr="00737152">
        <w:rPr>
          <w:rFonts w:ascii="Times New Roman" w:hAnsi="Times New Roman"/>
        </w:rPr>
        <w:t> </w:t>
      </w:r>
      <w:r w:rsidR="00B27712" w:rsidRPr="00737152">
        <w:rPr>
          <w:rFonts w:ascii="Times New Roman" w:hAnsi="Times New Roman"/>
        </w:rPr>
        <w:t>S,</w:t>
      </w:r>
      <w:r w:rsidR="000F43EA" w:rsidRPr="00737152">
        <w:rPr>
          <w:rFonts w:ascii="Times New Roman" w:hAnsi="Times New Roman"/>
        </w:rPr>
        <w:t xml:space="preserve"> that, </w:t>
      </w:r>
      <w:r w:rsidR="004335D7" w:rsidRPr="00737152">
        <w:rPr>
          <w:rFonts w:ascii="Times New Roman" w:hAnsi="Times New Roman"/>
        </w:rPr>
        <w:t>in late March 2014</w:t>
      </w:r>
      <w:r w:rsidR="000F43EA" w:rsidRPr="00737152">
        <w:rPr>
          <w:rFonts w:ascii="Times New Roman" w:hAnsi="Times New Roman"/>
        </w:rPr>
        <w:t xml:space="preserve">, </w:t>
      </w:r>
      <w:r w:rsidR="0030751F" w:rsidRPr="00737152">
        <w:rPr>
          <w:rFonts w:ascii="Times New Roman" w:hAnsi="Times New Roman"/>
        </w:rPr>
        <w:t xml:space="preserve">the </w:t>
      </w:r>
      <w:r w:rsidR="004118FE" w:rsidRPr="00737152">
        <w:rPr>
          <w:rFonts w:ascii="Times New Roman" w:hAnsi="Times New Roman"/>
        </w:rPr>
        <w:t>victim</w:t>
      </w:r>
      <w:r w:rsidR="000F43EA" w:rsidRPr="00737152">
        <w:rPr>
          <w:rFonts w:ascii="Times New Roman" w:hAnsi="Times New Roman"/>
        </w:rPr>
        <w:t xml:space="preserve"> had stayed overnight </w:t>
      </w:r>
      <w:r w:rsidR="00D67F91" w:rsidRPr="00737152">
        <w:rPr>
          <w:rFonts w:ascii="Times New Roman" w:hAnsi="Times New Roman"/>
        </w:rPr>
        <w:t>at Ms</w:t>
      </w:r>
      <w:r w:rsidR="00AB0B24" w:rsidRPr="00737152">
        <w:rPr>
          <w:rFonts w:ascii="Times New Roman" w:hAnsi="Times New Roman"/>
        </w:rPr>
        <w:t> </w:t>
      </w:r>
      <w:r w:rsidR="00D67F91" w:rsidRPr="00737152">
        <w:rPr>
          <w:rFonts w:ascii="Times New Roman" w:hAnsi="Times New Roman"/>
        </w:rPr>
        <w:t xml:space="preserve">S's house </w:t>
      </w:r>
      <w:r w:rsidR="000F43EA" w:rsidRPr="00737152">
        <w:rPr>
          <w:rFonts w:ascii="Times New Roman" w:hAnsi="Times New Roman"/>
        </w:rPr>
        <w:t xml:space="preserve">and </w:t>
      </w:r>
      <w:r w:rsidR="00B27712" w:rsidRPr="00737152">
        <w:rPr>
          <w:rFonts w:ascii="Times New Roman" w:hAnsi="Times New Roman"/>
        </w:rPr>
        <w:t>Ms</w:t>
      </w:r>
      <w:r w:rsidR="00AB0B24" w:rsidRPr="00737152">
        <w:rPr>
          <w:rFonts w:ascii="Times New Roman" w:hAnsi="Times New Roman"/>
        </w:rPr>
        <w:t> </w:t>
      </w:r>
      <w:r w:rsidR="00B27712" w:rsidRPr="00737152">
        <w:rPr>
          <w:rFonts w:ascii="Times New Roman" w:hAnsi="Times New Roman"/>
        </w:rPr>
        <w:t>S</w:t>
      </w:r>
      <w:r w:rsidR="000F43EA" w:rsidRPr="00737152">
        <w:rPr>
          <w:rFonts w:ascii="Times New Roman" w:hAnsi="Times New Roman"/>
        </w:rPr>
        <w:t xml:space="preserve"> noticed a bruise on </w:t>
      </w:r>
      <w:r w:rsidR="004118FE" w:rsidRPr="00737152">
        <w:rPr>
          <w:rFonts w:ascii="Times New Roman" w:hAnsi="Times New Roman"/>
        </w:rPr>
        <w:t>the victim</w:t>
      </w:r>
      <w:r w:rsidR="000F43EA" w:rsidRPr="00737152">
        <w:rPr>
          <w:rFonts w:ascii="Times New Roman" w:hAnsi="Times New Roman"/>
        </w:rPr>
        <w:t xml:space="preserve">'s </w:t>
      </w:r>
      <w:r w:rsidR="007F350B" w:rsidRPr="00737152">
        <w:rPr>
          <w:rFonts w:ascii="Times New Roman" w:hAnsi="Times New Roman"/>
        </w:rPr>
        <w:t xml:space="preserve">right forearm. She asked </w:t>
      </w:r>
      <w:r w:rsidR="004118FE" w:rsidRPr="00737152">
        <w:rPr>
          <w:rFonts w:ascii="Times New Roman" w:hAnsi="Times New Roman"/>
        </w:rPr>
        <w:t>the victim</w:t>
      </w:r>
      <w:r w:rsidR="007F350B" w:rsidRPr="00737152">
        <w:rPr>
          <w:rFonts w:ascii="Times New Roman" w:hAnsi="Times New Roman"/>
        </w:rPr>
        <w:t xml:space="preserve"> what had </w:t>
      </w:r>
      <w:proofErr w:type="gramStart"/>
      <w:r w:rsidR="007F350B" w:rsidRPr="00737152">
        <w:rPr>
          <w:rFonts w:ascii="Times New Roman" w:hAnsi="Times New Roman"/>
        </w:rPr>
        <w:t>happened</w:t>
      </w:r>
      <w:proofErr w:type="gramEnd"/>
      <w:r w:rsidR="007F350B" w:rsidRPr="00737152">
        <w:rPr>
          <w:rFonts w:ascii="Times New Roman" w:hAnsi="Times New Roman"/>
        </w:rPr>
        <w:t xml:space="preserve"> and </w:t>
      </w:r>
      <w:r w:rsidR="004118FE" w:rsidRPr="00737152">
        <w:rPr>
          <w:rFonts w:ascii="Times New Roman" w:hAnsi="Times New Roman"/>
        </w:rPr>
        <w:t>the victim</w:t>
      </w:r>
      <w:r w:rsidR="007F350B" w:rsidRPr="00737152">
        <w:rPr>
          <w:rFonts w:ascii="Times New Roman" w:hAnsi="Times New Roman"/>
        </w:rPr>
        <w:t xml:space="preserve"> told her "</w:t>
      </w:r>
      <w:r w:rsidR="00C16FDB" w:rsidRPr="00737152">
        <w:rPr>
          <w:rFonts w:ascii="Times New Roman" w:hAnsi="Times New Roman"/>
        </w:rPr>
        <w:t xml:space="preserve">[the appellant] did it, </w:t>
      </w:r>
      <w:r w:rsidR="004118FE" w:rsidRPr="00737152">
        <w:rPr>
          <w:rFonts w:ascii="Times New Roman" w:hAnsi="Times New Roman"/>
        </w:rPr>
        <w:t>[</w:t>
      </w:r>
      <w:r w:rsidR="00AB0B24" w:rsidRPr="00737152">
        <w:rPr>
          <w:rFonts w:ascii="Times New Roman" w:hAnsi="Times New Roman"/>
        </w:rPr>
        <w:t>t</w:t>
      </w:r>
      <w:r w:rsidR="004118FE" w:rsidRPr="00737152">
        <w:rPr>
          <w:rFonts w:ascii="Times New Roman" w:hAnsi="Times New Roman"/>
        </w:rPr>
        <w:t>he appellant]</w:t>
      </w:r>
      <w:r w:rsidR="007F350B" w:rsidRPr="00737152">
        <w:rPr>
          <w:rFonts w:ascii="Times New Roman" w:hAnsi="Times New Roman"/>
        </w:rPr>
        <w:t xml:space="preserve"> hurt me". </w:t>
      </w:r>
      <w:r w:rsidR="00B27712" w:rsidRPr="00737152">
        <w:rPr>
          <w:rFonts w:ascii="Times New Roman" w:hAnsi="Times New Roman"/>
        </w:rPr>
        <w:t>Ms</w:t>
      </w:r>
      <w:r w:rsidR="00AB0B24" w:rsidRPr="00737152">
        <w:rPr>
          <w:rFonts w:ascii="Times New Roman" w:hAnsi="Times New Roman"/>
        </w:rPr>
        <w:t> </w:t>
      </w:r>
      <w:r w:rsidR="00B27712" w:rsidRPr="00737152">
        <w:rPr>
          <w:rFonts w:ascii="Times New Roman" w:hAnsi="Times New Roman"/>
        </w:rPr>
        <w:t xml:space="preserve">S asked her "when did he hurt you" and </w:t>
      </w:r>
      <w:r w:rsidR="004118FE" w:rsidRPr="00737152">
        <w:rPr>
          <w:rFonts w:ascii="Times New Roman" w:hAnsi="Times New Roman"/>
        </w:rPr>
        <w:t>the victim</w:t>
      </w:r>
      <w:r w:rsidR="00B27712" w:rsidRPr="00737152">
        <w:rPr>
          <w:rFonts w:ascii="Times New Roman" w:hAnsi="Times New Roman"/>
        </w:rPr>
        <w:t xml:space="preserve"> did not answer and w</w:t>
      </w:r>
      <w:r w:rsidR="00C12799" w:rsidRPr="00737152">
        <w:rPr>
          <w:rFonts w:ascii="Times New Roman" w:hAnsi="Times New Roman"/>
        </w:rPr>
        <w:t>ent</w:t>
      </w:r>
      <w:r w:rsidR="00B27712" w:rsidRPr="00737152">
        <w:rPr>
          <w:rFonts w:ascii="Times New Roman" w:hAnsi="Times New Roman"/>
        </w:rPr>
        <w:t xml:space="preserve"> off and played</w:t>
      </w:r>
      <w:r w:rsidR="00AB0B24" w:rsidRPr="00737152">
        <w:rPr>
          <w:rFonts w:ascii="Times New Roman" w:hAnsi="Times New Roman"/>
        </w:rPr>
        <w:t>.</w:t>
      </w:r>
      <w:r w:rsidR="00B27712" w:rsidRPr="00737152">
        <w:rPr>
          <w:rFonts w:ascii="Times New Roman" w:hAnsi="Times New Roman"/>
        </w:rPr>
        <w:t xml:space="preserve"> </w:t>
      </w:r>
      <w:r w:rsidR="00AB0B24" w:rsidRPr="00737152">
        <w:rPr>
          <w:rFonts w:ascii="Times New Roman" w:hAnsi="Times New Roman"/>
        </w:rPr>
        <w:t>The second piece of complaint evidence was a</w:t>
      </w:r>
      <w:r w:rsidR="001B61A7" w:rsidRPr="00737152">
        <w:rPr>
          <w:rFonts w:ascii="Times New Roman" w:hAnsi="Times New Roman"/>
        </w:rPr>
        <w:t xml:space="preserve"> text message sent </w:t>
      </w:r>
      <w:r w:rsidR="00C12799" w:rsidRPr="00737152">
        <w:rPr>
          <w:rFonts w:ascii="Times New Roman" w:hAnsi="Times New Roman"/>
        </w:rPr>
        <w:t>at</w:t>
      </w:r>
      <w:r w:rsidR="001B61A7" w:rsidRPr="00737152">
        <w:rPr>
          <w:rFonts w:ascii="Times New Roman" w:hAnsi="Times New Roman"/>
        </w:rPr>
        <w:t xml:space="preserve"> 7.25</w:t>
      </w:r>
      <w:r w:rsidR="00AB0B24" w:rsidRPr="00737152">
        <w:rPr>
          <w:rFonts w:ascii="Times New Roman" w:hAnsi="Times New Roman"/>
        </w:rPr>
        <w:t> </w:t>
      </w:r>
      <w:r w:rsidR="001B61A7" w:rsidRPr="00737152">
        <w:rPr>
          <w:rFonts w:ascii="Times New Roman" w:hAnsi="Times New Roman"/>
        </w:rPr>
        <w:t>am on 10</w:t>
      </w:r>
      <w:r w:rsidR="00AB0B24" w:rsidRPr="00737152">
        <w:rPr>
          <w:rFonts w:ascii="Times New Roman" w:hAnsi="Times New Roman"/>
        </w:rPr>
        <w:t> </w:t>
      </w:r>
      <w:r w:rsidR="001B61A7" w:rsidRPr="00737152">
        <w:rPr>
          <w:rFonts w:ascii="Times New Roman" w:hAnsi="Times New Roman"/>
        </w:rPr>
        <w:t xml:space="preserve">April 2014 from </w:t>
      </w:r>
      <w:r w:rsidR="00016A15" w:rsidRPr="00737152">
        <w:rPr>
          <w:rFonts w:ascii="Times New Roman" w:hAnsi="Times New Roman"/>
        </w:rPr>
        <w:t>the</w:t>
      </w:r>
      <w:r w:rsidR="00CA18AA" w:rsidRPr="00737152">
        <w:rPr>
          <w:rFonts w:ascii="Times New Roman" w:hAnsi="Times New Roman"/>
        </w:rPr>
        <w:t xml:space="preserve"> mother</w:t>
      </w:r>
      <w:r w:rsidR="001B61A7" w:rsidRPr="00737152">
        <w:rPr>
          <w:rFonts w:ascii="Times New Roman" w:hAnsi="Times New Roman"/>
        </w:rPr>
        <w:t xml:space="preserve"> to the appellant</w:t>
      </w:r>
      <w:r w:rsidR="005E307E" w:rsidRPr="00737152">
        <w:rPr>
          <w:rFonts w:ascii="Times New Roman" w:hAnsi="Times New Roman"/>
        </w:rPr>
        <w:t>, stating "[</w:t>
      </w:r>
      <w:r w:rsidR="00AB0B24" w:rsidRPr="00737152">
        <w:rPr>
          <w:rFonts w:ascii="Times New Roman" w:hAnsi="Times New Roman"/>
        </w:rPr>
        <w:t>t</w:t>
      </w:r>
      <w:r w:rsidR="004118FE" w:rsidRPr="00737152">
        <w:rPr>
          <w:rFonts w:ascii="Times New Roman" w:hAnsi="Times New Roman"/>
        </w:rPr>
        <w:t>he victim</w:t>
      </w:r>
      <w:r w:rsidR="005E307E" w:rsidRPr="00737152">
        <w:rPr>
          <w:rFonts w:ascii="Times New Roman" w:hAnsi="Times New Roman"/>
        </w:rPr>
        <w:t>] just came in telling me you hurt her neck again</w:t>
      </w:r>
      <w:r w:rsidR="001479EE" w:rsidRPr="00737152">
        <w:rPr>
          <w:rFonts w:ascii="Times New Roman" w:hAnsi="Times New Roman"/>
        </w:rPr>
        <w:t xml:space="preserve"> [sad face]</w:t>
      </w:r>
      <w:r w:rsidR="005E307E" w:rsidRPr="00737152">
        <w:rPr>
          <w:rFonts w:ascii="Times New Roman" w:hAnsi="Times New Roman"/>
        </w:rPr>
        <w:t>"</w:t>
      </w:r>
      <w:r w:rsidR="00AB0B24" w:rsidRPr="00737152">
        <w:rPr>
          <w:rFonts w:ascii="Times New Roman" w:hAnsi="Times New Roman"/>
        </w:rPr>
        <w:t>.</w:t>
      </w:r>
      <w:r w:rsidR="00F636FE" w:rsidRPr="00737152">
        <w:rPr>
          <w:rFonts w:ascii="Times New Roman" w:hAnsi="Times New Roman"/>
        </w:rPr>
        <w:t xml:space="preserve"> </w:t>
      </w:r>
      <w:r w:rsidR="00AB0B24" w:rsidRPr="00737152">
        <w:rPr>
          <w:rFonts w:ascii="Times New Roman" w:hAnsi="Times New Roman"/>
        </w:rPr>
        <w:t>The third piece of complaint evidence was</w:t>
      </w:r>
      <w:r w:rsidR="00F636FE" w:rsidRPr="00737152">
        <w:rPr>
          <w:rFonts w:ascii="Times New Roman" w:hAnsi="Times New Roman"/>
        </w:rPr>
        <w:t xml:space="preserve"> </w:t>
      </w:r>
      <w:r w:rsidR="00DE4396" w:rsidRPr="00737152">
        <w:rPr>
          <w:rFonts w:ascii="Times New Roman" w:hAnsi="Times New Roman"/>
        </w:rPr>
        <w:t>e</w:t>
      </w:r>
      <w:r w:rsidR="001D140C" w:rsidRPr="00737152">
        <w:rPr>
          <w:rFonts w:ascii="Times New Roman" w:hAnsi="Times New Roman"/>
        </w:rPr>
        <w:t>vidence from Ms</w:t>
      </w:r>
      <w:r w:rsidR="00DE4396" w:rsidRPr="00737152">
        <w:rPr>
          <w:rFonts w:ascii="Times New Roman" w:hAnsi="Times New Roman"/>
        </w:rPr>
        <w:t> </w:t>
      </w:r>
      <w:r w:rsidR="001D140C" w:rsidRPr="00737152">
        <w:rPr>
          <w:rFonts w:ascii="Times New Roman" w:hAnsi="Times New Roman"/>
        </w:rPr>
        <w:t>W,</w:t>
      </w:r>
      <w:r w:rsidR="00803EAB" w:rsidRPr="00737152">
        <w:rPr>
          <w:rFonts w:ascii="Times New Roman" w:hAnsi="Times New Roman"/>
        </w:rPr>
        <w:t xml:space="preserve"> the </w:t>
      </w:r>
      <w:r w:rsidR="00CA18AA" w:rsidRPr="00737152">
        <w:rPr>
          <w:rFonts w:ascii="Times New Roman" w:hAnsi="Times New Roman"/>
        </w:rPr>
        <w:t xml:space="preserve">maternal </w:t>
      </w:r>
      <w:r w:rsidR="00803EAB" w:rsidRPr="00737152">
        <w:rPr>
          <w:rFonts w:ascii="Times New Roman" w:hAnsi="Times New Roman"/>
        </w:rPr>
        <w:t xml:space="preserve">grandmother of </w:t>
      </w:r>
      <w:r w:rsidR="00F770E5" w:rsidRPr="00737152">
        <w:rPr>
          <w:rFonts w:ascii="Times New Roman" w:hAnsi="Times New Roman"/>
        </w:rPr>
        <w:t>the victim</w:t>
      </w:r>
      <w:r w:rsidR="00FF1328" w:rsidRPr="00737152">
        <w:rPr>
          <w:rFonts w:ascii="Times New Roman" w:hAnsi="Times New Roman"/>
        </w:rPr>
        <w:t>. The evidence was</w:t>
      </w:r>
      <w:r w:rsidR="00803EAB" w:rsidRPr="00737152">
        <w:rPr>
          <w:rFonts w:ascii="Times New Roman" w:hAnsi="Times New Roman"/>
        </w:rPr>
        <w:t xml:space="preserve"> </w:t>
      </w:r>
      <w:proofErr w:type="gramStart"/>
      <w:r w:rsidR="0016563C" w:rsidRPr="00737152">
        <w:rPr>
          <w:rFonts w:ascii="Times New Roman" w:hAnsi="Times New Roman"/>
        </w:rPr>
        <w:t>that</w:t>
      </w:r>
      <w:r w:rsidR="00650B9E" w:rsidRPr="00737152">
        <w:rPr>
          <w:rFonts w:ascii="Times New Roman" w:hAnsi="Times New Roman"/>
        </w:rPr>
        <w:t>,</w:t>
      </w:r>
      <w:proofErr w:type="gramEnd"/>
      <w:r w:rsidR="00650B9E" w:rsidRPr="00737152">
        <w:rPr>
          <w:rFonts w:ascii="Times New Roman" w:hAnsi="Times New Roman"/>
        </w:rPr>
        <w:t xml:space="preserve"> some weeks before Easter 2014,</w:t>
      </w:r>
      <w:r w:rsidR="0016563C" w:rsidRPr="00737152">
        <w:rPr>
          <w:rFonts w:ascii="Times New Roman" w:hAnsi="Times New Roman"/>
        </w:rPr>
        <w:t xml:space="preserve"> </w:t>
      </w:r>
      <w:r w:rsidR="00F770E5" w:rsidRPr="00737152">
        <w:rPr>
          <w:rFonts w:ascii="Times New Roman" w:hAnsi="Times New Roman"/>
        </w:rPr>
        <w:t>the victim</w:t>
      </w:r>
      <w:r w:rsidR="0016563C" w:rsidRPr="00737152">
        <w:rPr>
          <w:rFonts w:ascii="Times New Roman" w:hAnsi="Times New Roman"/>
        </w:rPr>
        <w:t xml:space="preserve"> said </w:t>
      </w:r>
      <w:r w:rsidR="00DC1EDD" w:rsidRPr="00737152">
        <w:rPr>
          <w:rFonts w:ascii="Times New Roman" w:hAnsi="Times New Roman"/>
        </w:rPr>
        <w:t>"</w:t>
      </w:r>
      <w:r w:rsidR="00DE4396" w:rsidRPr="00737152">
        <w:rPr>
          <w:rFonts w:ascii="Times New Roman" w:hAnsi="Times New Roman"/>
        </w:rPr>
        <w:t>[t]</w:t>
      </w:r>
      <w:r w:rsidR="00DC1EDD" w:rsidRPr="00737152">
        <w:rPr>
          <w:rFonts w:ascii="Times New Roman" w:hAnsi="Times New Roman"/>
        </w:rPr>
        <w:t xml:space="preserve">hat's it Grandma, you've been naughty. I am going to ring </w:t>
      </w:r>
      <w:r w:rsidR="00165040" w:rsidRPr="00737152">
        <w:rPr>
          <w:rFonts w:ascii="Times New Roman" w:hAnsi="Times New Roman"/>
        </w:rPr>
        <w:t>[the</w:t>
      </w:r>
      <w:r w:rsidR="007D6F70" w:rsidRPr="00737152">
        <w:rPr>
          <w:rFonts w:ascii="Times New Roman" w:hAnsi="Times New Roman"/>
        </w:rPr>
        <w:t xml:space="preserve"> appellant]</w:t>
      </w:r>
      <w:r w:rsidR="00DC1EDD" w:rsidRPr="00737152">
        <w:rPr>
          <w:rFonts w:ascii="Times New Roman" w:hAnsi="Times New Roman"/>
        </w:rPr>
        <w:t xml:space="preserve"> and he will punch you in the face like he does to me"</w:t>
      </w:r>
      <w:r w:rsidR="00445AD3" w:rsidRPr="00737152">
        <w:rPr>
          <w:rFonts w:ascii="Times New Roman" w:hAnsi="Times New Roman"/>
        </w:rPr>
        <w:t xml:space="preserve">, and </w:t>
      </w:r>
      <w:r w:rsidR="007D6F70" w:rsidRPr="00737152">
        <w:rPr>
          <w:rFonts w:ascii="Times New Roman" w:hAnsi="Times New Roman"/>
        </w:rPr>
        <w:t>the victim</w:t>
      </w:r>
      <w:r w:rsidR="00445AD3" w:rsidRPr="00737152">
        <w:rPr>
          <w:rFonts w:ascii="Times New Roman" w:hAnsi="Times New Roman"/>
        </w:rPr>
        <w:t xml:space="preserve"> then pretended to punch herself</w:t>
      </w:r>
      <w:r w:rsidR="006F7BE3" w:rsidRPr="00737152">
        <w:rPr>
          <w:rFonts w:ascii="Times New Roman" w:hAnsi="Times New Roman"/>
        </w:rPr>
        <w:t>.</w:t>
      </w:r>
    </w:p>
    <w:p w14:paraId="1F0851E4" w14:textId="3CDB6E00" w:rsidR="00B352E3" w:rsidRPr="00737152" w:rsidRDefault="00B962E2"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2069BF" w:rsidRPr="00737152">
        <w:rPr>
          <w:rFonts w:ascii="Times New Roman" w:hAnsi="Times New Roman"/>
        </w:rPr>
        <w:t xml:space="preserve">In </w:t>
      </w:r>
      <w:r w:rsidR="00B6469B" w:rsidRPr="00737152">
        <w:rPr>
          <w:rFonts w:ascii="Times New Roman" w:hAnsi="Times New Roman"/>
        </w:rPr>
        <w:t xml:space="preserve">admitting the </w:t>
      </w:r>
      <w:r w:rsidR="003B250C" w:rsidRPr="00737152">
        <w:rPr>
          <w:rFonts w:ascii="Times New Roman" w:hAnsi="Times New Roman"/>
        </w:rPr>
        <w:t>complaint</w:t>
      </w:r>
      <w:r w:rsidR="00583B92" w:rsidRPr="00737152">
        <w:rPr>
          <w:rFonts w:ascii="Times New Roman" w:hAnsi="Times New Roman"/>
        </w:rPr>
        <w:t xml:space="preserve"> </w:t>
      </w:r>
      <w:r w:rsidR="00B6469B" w:rsidRPr="00737152">
        <w:rPr>
          <w:rFonts w:ascii="Times New Roman" w:hAnsi="Times New Roman"/>
        </w:rPr>
        <w:t xml:space="preserve">evidence, the trial judge </w:t>
      </w:r>
      <w:r w:rsidR="00D10B84" w:rsidRPr="00737152">
        <w:rPr>
          <w:rFonts w:ascii="Times New Roman" w:hAnsi="Times New Roman"/>
        </w:rPr>
        <w:t xml:space="preserve">described the asserted tendency as the tendency to behave towards the victim in an "inappropriately physical </w:t>
      </w:r>
      <w:r w:rsidR="00D10B84" w:rsidRPr="00737152">
        <w:rPr>
          <w:rFonts w:ascii="Times New Roman" w:hAnsi="Times New Roman"/>
          <w:i/>
          <w:iCs/>
        </w:rPr>
        <w:t>and violent</w:t>
      </w:r>
      <w:r w:rsidR="00D10B84" w:rsidRPr="00737152">
        <w:rPr>
          <w:rFonts w:ascii="Times New Roman" w:hAnsi="Times New Roman"/>
        </w:rPr>
        <w:t xml:space="preserve"> fashion" </w:t>
      </w:r>
      <w:r w:rsidR="00E37126" w:rsidRPr="00737152">
        <w:rPr>
          <w:rFonts w:ascii="Times New Roman" w:hAnsi="Times New Roman"/>
        </w:rPr>
        <w:t>(emphasis added)</w:t>
      </w:r>
      <w:r w:rsidR="00D10B84" w:rsidRPr="00737152">
        <w:rPr>
          <w:rFonts w:ascii="Times New Roman" w:hAnsi="Times New Roman"/>
        </w:rPr>
        <w:t xml:space="preserve">. </w:t>
      </w:r>
      <w:r w:rsidR="00BF057C" w:rsidRPr="00737152">
        <w:rPr>
          <w:rFonts w:ascii="Times New Roman" w:hAnsi="Times New Roman"/>
        </w:rPr>
        <w:t xml:space="preserve">Again, this language indicates that her Honour </w:t>
      </w:r>
      <w:r w:rsidR="009D39E2" w:rsidRPr="00737152">
        <w:rPr>
          <w:rFonts w:ascii="Times New Roman" w:hAnsi="Times New Roman"/>
        </w:rPr>
        <w:t xml:space="preserve">may have </w:t>
      </w:r>
      <w:r w:rsidR="00431931" w:rsidRPr="00737152">
        <w:rPr>
          <w:rFonts w:ascii="Times New Roman" w:hAnsi="Times New Roman"/>
        </w:rPr>
        <w:t xml:space="preserve">conceived the asserted tendency as </w:t>
      </w:r>
      <w:r w:rsidR="002C0D77" w:rsidRPr="00737152">
        <w:rPr>
          <w:rFonts w:ascii="Times New Roman" w:hAnsi="Times New Roman"/>
        </w:rPr>
        <w:t>graver</w:t>
      </w:r>
      <w:r w:rsidR="00431931" w:rsidRPr="00737152">
        <w:rPr>
          <w:rFonts w:ascii="Times New Roman" w:hAnsi="Times New Roman"/>
        </w:rPr>
        <w:t xml:space="preserve"> than the tendency stated in the amended tendency notice. </w:t>
      </w:r>
      <w:r w:rsidR="00D10B84" w:rsidRPr="00737152">
        <w:rPr>
          <w:rFonts w:ascii="Times New Roman" w:hAnsi="Times New Roman"/>
        </w:rPr>
        <w:t xml:space="preserve">Her Honour </w:t>
      </w:r>
      <w:r w:rsidR="00B6469B" w:rsidRPr="00737152">
        <w:rPr>
          <w:rFonts w:ascii="Times New Roman" w:hAnsi="Times New Roman"/>
        </w:rPr>
        <w:t>rejected the appellant's objection, under s</w:t>
      </w:r>
      <w:r w:rsidR="00167AF2" w:rsidRPr="00737152">
        <w:rPr>
          <w:rFonts w:ascii="Times New Roman" w:hAnsi="Times New Roman"/>
        </w:rPr>
        <w:t> </w:t>
      </w:r>
      <w:r w:rsidR="00B6469B" w:rsidRPr="00737152">
        <w:rPr>
          <w:rFonts w:ascii="Times New Roman" w:hAnsi="Times New Roman"/>
        </w:rPr>
        <w:t>137 of the Act,</w:t>
      </w:r>
      <w:r w:rsidR="00B6469B" w:rsidRPr="00737152">
        <w:rPr>
          <w:rFonts w:ascii="Times New Roman" w:hAnsi="Times New Roman"/>
          <w:i/>
          <w:iCs/>
        </w:rPr>
        <w:t xml:space="preserve"> </w:t>
      </w:r>
      <w:r w:rsidR="00B6469B" w:rsidRPr="00737152">
        <w:rPr>
          <w:rFonts w:ascii="Times New Roman" w:hAnsi="Times New Roman"/>
        </w:rPr>
        <w:t xml:space="preserve">that </w:t>
      </w:r>
      <w:r w:rsidR="002069BF" w:rsidRPr="00737152">
        <w:rPr>
          <w:rFonts w:ascii="Times New Roman" w:hAnsi="Times New Roman"/>
        </w:rPr>
        <w:t xml:space="preserve">the probative value of the evidence </w:t>
      </w:r>
      <w:r w:rsidR="00FF7ED1">
        <w:rPr>
          <w:rFonts w:ascii="Times New Roman" w:hAnsi="Times New Roman"/>
        </w:rPr>
        <w:t xml:space="preserve">was </w:t>
      </w:r>
      <w:r w:rsidR="002069BF" w:rsidRPr="00737152">
        <w:rPr>
          <w:rFonts w:ascii="Times New Roman" w:hAnsi="Times New Roman"/>
        </w:rPr>
        <w:t>outweighed</w:t>
      </w:r>
      <w:r w:rsidR="00FF7ED1">
        <w:rPr>
          <w:rFonts w:ascii="Times New Roman" w:hAnsi="Times New Roman"/>
        </w:rPr>
        <w:t xml:space="preserve"> by</w:t>
      </w:r>
      <w:r w:rsidR="002069BF" w:rsidRPr="00737152">
        <w:rPr>
          <w:rFonts w:ascii="Times New Roman" w:hAnsi="Times New Roman"/>
        </w:rPr>
        <w:t xml:space="preserve"> </w:t>
      </w:r>
      <w:r w:rsidR="005438E5" w:rsidRPr="00737152">
        <w:rPr>
          <w:rFonts w:ascii="Times New Roman" w:hAnsi="Times New Roman"/>
        </w:rPr>
        <w:t>the danger of unfair prejudice to the appellant</w:t>
      </w:r>
      <w:r w:rsidR="002069BF" w:rsidRPr="00737152">
        <w:rPr>
          <w:rFonts w:ascii="Times New Roman" w:hAnsi="Times New Roman"/>
        </w:rPr>
        <w:t>.</w:t>
      </w:r>
      <w:r w:rsidR="004E70ED" w:rsidRPr="00737152">
        <w:rPr>
          <w:rFonts w:ascii="Times New Roman" w:hAnsi="Times New Roman"/>
        </w:rPr>
        <w:t xml:space="preserve"> That conclusion </w:t>
      </w:r>
      <w:r w:rsidR="007E7BF6" w:rsidRPr="00737152">
        <w:rPr>
          <w:rFonts w:ascii="Times New Roman" w:hAnsi="Times New Roman"/>
        </w:rPr>
        <w:t>wa</w:t>
      </w:r>
      <w:r w:rsidR="004E70ED" w:rsidRPr="00737152">
        <w:rPr>
          <w:rFonts w:ascii="Times New Roman" w:hAnsi="Times New Roman"/>
        </w:rPr>
        <w:t xml:space="preserve">s not </w:t>
      </w:r>
      <w:r w:rsidR="007E7BF6" w:rsidRPr="00737152">
        <w:rPr>
          <w:rFonts w:ascii="Times New Roman" w:hAnsi="Times New Roman"/>
        </w:rPr>
        <w:t>challenged in</w:t>
      </w:r>
      <w:r w:rsidR="004E70ED" w:rsidRPr="00737152">
        <w:rPr>
          <w:rFonts w:ascii="Times New Roman" w:hAnsi="Times New Roman"/>
        </w:rPr>
        <w:t xml:space="preserve"> this Court.</w:t>
      </w:r>
      <w:r w:rsidR="006410BF" w:rsidRPr="00737152">
        <w:rPr>
          <w:rFonts w:ascii="Times New Roman" w:hAnsi="Times New Roman"/>
        </w:rPr>
        <w:t xml:space="preserve"> </w:t>
      </w:r>
      <w:r w:rsidR="00B45B94" w:rsidRPr="00737152">
        <w:rPr>
          <w:rFonts w:ascii="Times New Roman" w:hAnsi="Times New Roman"/>
        </w:rPr>
        <w:t>As is apparent, the trial judge imported additional elements into the asserted tendency. These additional elements were that the tendency involved violence and the infliction of serious physical harm.</w:t>
      </w:r>
    </w:p>
    <w:p w14:paraId="018225D9" w14:textId="5F9ACEE2" w:rsidR="001038EB" w:rsidRPr="00737152" w:rsidRDefault="001038EB"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1A564C" w:rsidRPr="00737152">
        <w:rPr>
          <w:rFonts w:ascii="Times New Roman" w:hAnsi="Times New Roman"/>
        </w:rPr>
        <w:t xml:space="preserve">Ultimately, in the trial judge's summing up, her Honour identified the relevant tendency to the jury as </w:t>
      </w:r>
      <w:r w:rsidR="00796E21" w:rsidRPr="00737152">
        <w:rPr>
          <w:rFonts w:ascii="Times New Roman" w:hAnsi="Times New Roman"/>
        </w:rPr>
        <w:t xml:space="preserve">a tendency to </w:t>
      </w:r>
      <w:r w:rsidR="00E56EF0" w:rsidRPr="00737152">
        <w:rPr>
          <w:rFonts w:ascii="Times New Roman" w:hAnsi="Times New Roman"/>
        </w:rPr>
        <w:t>deliberately inflict</w:t>
      </w:r>
      <w:r w:rsidR="00B45B94" w:rsidRPr="00737152">
        <w:rPr>
          <w:rFonts w:ascii="Times New Roman" w:hAnsi="Times New Roman"/>
        </w:rPr>
        <w:t xml:space="preserve"> physical</w:t>
      </w:r>
      <w:r w:rsidR="00E56EF0" w:rsidRPr="00737152">
        <w:rPr>
          <w:rFonts w:ascii="Times New Roman" w:hAnsi="Times New Roman"/>
        </w:rPr>
        <w:t xml:space="preserve"> harm upon the child.</w:t>
      </w:r>
    </w:p>
    <w:p w14:paraId="6C3AA018" w14:textId="690C2B72" w:rsidR="00FF1C42" w:rsidRPr="00737152" w:rsidRDefault="00FF1C42" w:rsidP="00737152">
      <w:pPr>
        <w:pStyle w:val="HeadingL1"/>
        <w:spacing w:after="260" w:line="280" w:lineRule="exact"/>
        <w:ind w:right="0"/>
        <w:jc w:val="both"/>
        <w:rPr>
          <w:rFonts w:ascii="Times New Roman" w:hAnsi="Times New Roman"/>
        </w:rPr>
      </w:pPr>
      <w:r w:rsidRPr="00737152">
        <w:rPr>
          <w:rFonts w:ascii="Times New Roman" w:hAnsi="Times New Roman"/>
        </w:rPr>
        <w:t xml:space="preserve">Reasoning of the </w:t>
      </w:r>
      <w:r w:rsidR="007519BA" w:rsidRPr="00737152">
        <w:rPr>
          <w:rFonts w:ascii="Times New Roman" w:hAnsi="Times New Roman"/>
        </w:rPr>
        <w:t>Court of Criminal Appeal</w:t>
      </w:r>
    </w:p>
    <w:p w14:paraId="6E22101A" w14:textId="50FFA64B" w:rsidR="00CA4EED" w:rsidRPr="00737152" w:rsidRDefault="00AD13C8"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CA4EED" w:rsidRPr="00737152">
        <w:rPr>
          <w:rFonts w:ascii="Times New Roman" w:hAnsi="Times New Roman"/>
        </w:rPr>
        <w:t>Hoeben CJ at CL delivered the principal judgment of the Court of Criminal Appeal on the appeal against conviction. Adamson</w:t>
      </w:r>
      <w:r w:rsidR="00391B23" w:rsidRPr="00737152">
        <w:rPr>
          <w:rFonts w:ascii="Times New Roman" w:hAnsi="Times New Roman"/>
        </w:rPr>
        <w:t> </w:t>
      </w:r>
      <w:r w:rsidR="00CA4EED" w:rsidRPr="00737152">
        <w:rPr>
          <w:rFonts w:ascii="Times New Roman" w:hAnsi="Times New Roman"/>
        </w:rPr>
        <w:t xml:space="preserve">J substantially </w:t>
      </w:r>
      <w:proofErr w:type="gramStart"/>
      <w:r w:rsidR="00CA4EED" w:rsidRPr="00737152">
        <w:rPr>
          <w:rFonts w:ascii="Times New Roman" w:hAnsi="Times New Roman"/>
        </w:rPr>
        <w:t>agreed</w:t>
      </w:r>
      <w:proofErr w:type="gramEnd"/>
      <w:r w:rsidR="001E5C47" w:rsidRPr="00737152">
        <w:rPr>
          <w:rFonts w:ascii="Times New Roman" w:hAnsi="Times New Roman"/>
        </w:rPr>
        <w:t xml:space="preserve"> </w:t>
      </w:r>
      <w:r w:rsidR="00CA4EED" w:rsidRPr="00737152">
        <w:rPr>
          <w:rFonts w:ascii="Times New Roman" w:hAnsi="Times New Roman"/>
        </w:rPr>
        <w:t>and Bellew</w:t>
      </w:r>
      <w:r w:rsidR="00391B23" w:rsidRPr="00737152">
        <w:rPr>
          <w:rFonts w:ascii="Times New Roman" w:hAnsi="Times New Roman"/>
        </w:rPr>
        <w:t> </w:t>
      </w:r>
      <w:r w:rsidR="00CA4EED" w:rsidRPr="00737152">
        <w:rPr>
          <w:rFonts w:ascii="Times New Roman" w:hAnsi="Times New Roman"/>
        </w:rPr>
        <w:t xml:space="preserve">J </w:t>
      </w:r>
      <w:r w:rsidR="001E5C47" w:rsidRPr="00737152">
        <w:rPr>
          <w:rFonts w:ascii="Times New Roman" w:hAnsi="Times New Roman"/>
        </w:rPr>
        <w:t xml:space="preserve">wholly </w:t>
      </w:r>
      <w:r w:rsidR="00CA4EED" w:rsidRPr="00737152">
        <w:rPr>
          <w:rFonts w:ascii="Times New Roman" w:hAnsi="Times New Roman"/>
        </w:rPr>
        <w:t>agreed.</w:t>
      </w:r>
      <w:r w:rsidR="00AF7CDF" w:rsidRPr="00737152">
        <w:rPr>
          <w:rFonts w:ascii="Times New Roman" w:hAnsi="Times New Roman"/>
        </w:rPr>
        <w:t xml:space="preserve"> </w:t>
      </w:r>
      <w:r w:rsidR="00463058" w:rsidRPr="00737152">
        <w:rPr>
          <w:rFonts w:ascii="Times New Roman" w:hAnsi="Times New Roman"/>
        </w:rPr>
        <w:t>The grounds of appeal included, relevantly, that the trial judge had erred in admitting the burns evidence and the complaint evidence as tendency evidence.</w:t>
      </w:r>
    </w:p>
    <w:p w14:paraId="13C34CA9" w14:textId="34D9674C" w:rsidR="00B85FBA" w:rsidRPr="00737152" w:rsidRDefault="00B85FBA" w:rsidP="00737152">
      <w:pPr>
        <w:pStyle w:val="HeadingL2"/>
        <w:spacing w:after="260" w:line="280" w:lineRule="exact"/>
        <w:ind w:right="0"/>
        <w:jc w:val="both"/>
        <w:rPr>
          <w:rFonts w:ascii="Times New Roman" w:hAnsi="Times New Roman"/>
        </w:rPr>
      </w:pPr>
      <w:r w:rsidRPr="00737152">
        <w:rPr>
          <w:rFonts w:ascii="Times New Roman" w:hAnsi="Times New Roman"/>
        </w:rPr>
        <w:lastRenderedPageBreak/>
        <w:t>Burns evidence</w:t>
      </w:r>
    </w:p>
    <w:p w14:paraId="31DB7CF7" w14:textId="7A9B5E30" w:rsidR="00BF161D" w:rsidRPr="00737152" w:rsidRDefault="00CA4EED"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C163BB" w:rsidRPr="00737152">
        <w:rPr>
          <w:rFonts w:ascii="Times New Roman" w:hAnsi="Times New Roman"/>
        </w:rPr>
        <w:t xml:space="preserve">Before the Court of Criminal Appeal, the appellant contended that the burns evidence was not sufficiently </w:t>
      </w:r>
      <w:proofErr w:type="gramStart"/>
      <w:r w:rsidR="00C163BB" w:rsidRPr="00737152">
        <w:rPr>
          <w:rFonts w:ascii="Times New Roman" w:hAnsi="Times New Roman"/>
        </w:rPr>
        <w:t xml:space="preserve">similar </w:t>
      </w:r>
      <w:r w:rsidR="00A2525D" w:rsidRPr="00737152">
        <w:rPr>
          <w:rFonts w:ascii="Times New Roman" w:hAnsi="Times New Roman"/>
        </w:rPr>
        <w:t>to</w:t>
      </w:r>
      <w:proofErr w:type="gramEnd"/>
      <w:r w:rsidR="00A2525D" w:rsidRPr="00737152">
        <w:rPr>
          <w:rFonts w:ascii="Times New Roman" w:hAnsi="Times New Roman"/>
        </w:rPr>
        <w:t xml:space="preserve"> the blunt force trauma that caused the victim's death such that it </w:t>
      </w:r>
      <w:r w:rsidR="00806CF3" w:rsidRPr="00737152">
        <w:rPr>
          <w:rFonts w:ascii="Times New Roman" w:hAnsi="Times New Roman"/>
        </w:rPr>
        <w:t>was not admissible as tendency evidence.</w:t>
      </w:r>
      <w:r w:rsidR="007E7BF6" w:rsidRPr="00737152">
        <w:rPr>
          <w:rFonts w:ascii="Times New Roman" w:hAnsi="Times New Roman"/>
        </w:rPr>
        <w:t xml:space="preserve"> </w:t>
      </w:r>
      <w:r w:rsidR="00860E2F" w:rsidRPr="00737152">
        <w:rPr>
          <w:rFonts w:ascii="Times New Roman" w:hAnsi="Times New Roman"/>
        </w:rPr>
        <w:t>H</w:t>
      </w:r>
      <w:r w:rsidR="005F7317" w:rsidRPr="00737152">
        <w:rPr>
          <w:rFonts w:ascii="Times New Roman" w:hAnsi="Times New Roman"/>
        </w:rPr>
        <w:t>oeben</w:t>
      </w:r>
      <w:r w:rsidR="00391B23" w:rsidRPr="00737152">
        <w:rPr>
          <w:rFonts w:ascii="Times New Roman" w:hAnsi="Times New Roman"/>
        </w:rPr>
        <w:t> </w:t>
      </w:r>
      <w:r w:rsidR="005F7317" w:rsidRPr="00737152">
        <w:rPr>
          <w:rFonts w:ascii="Times New Roman" w:hAnsi="Times New Roman"/>
        </w:rPr>
        <w:t xml:space="preserve">CJ at CL </w:t>
      </w:r>
      <w:r w:rsidR="00426538" w:rsidRPr="00737152">
        <w:rPr>
          <w:rFonts w:ascii="Times New Roman" w:hAnsi="Times New Roman"/>
        </w:rPr>
        <w:t xml:space="preserve">concluded that the differences in nature and degree between the </w:t>
      </w:r>
      <w:r w:rsidR="00370640" w:rsidRPr="00737152">
        <w:rPr>
          <w:rFonts w:ascii="Times New Roman" w:hAnsi="Times New Roman"/>
        </w:rPr>
        <w:t xml:space="preserve">burns </w:t>
      </w:r>
      <w:r w:rsidR="000B7C93" w:rsidRPr="00737152">
        <w:rPr>
          <w:rFonts w:ascii="Times New Roman" w:hAnsi="Times New Roman"/>
        </w:rPr>
        <w:t>sustained by the victim</w:t>
      </w:r>
      <w:r w:rsidR="00370640" w:rsidRPr="00737152">
        <w:rPr>
          <w:rFonts w:ascii="Times New Roman" w:hAnsi="Times New Roman"/>
        </w:rPr>
        <w:t xml:space="preserve"> and the blunt force trauma that caused </w:t>
      </w:r>
      <w:r w:rsidR="000B7C93" w:rsidRPr="00737152">
        <w:rPr>
          <w:rFonts w:ascii="Times New Roman" w:hAnsi="Times New Roman"/>
        </w:rPr>
        <w:t>her</w:t>
      </w:r>
      <w:r w:rsidR="00370640" w:rsidRPr="00737152">
        <w:rPr>
          <w:rFonts w:ascii="Times New Roman" w:hAnsi="Times New Roman"/>
        </w:rPr>
        <w:t xml:space="preserve"> death were not fatal to the admissibility of the </w:t>
      </w:r>
      <w:r w:rsidR="000B7C93" w:rsidRPr="00737152">
        <w:rPr>
          <w:rFonts w:ascii="Times New Roman" w:hAnsi="Times New Roman"/>
        </w:rPr>
        <w:t>burns evidence</w:t>
      </w:r>
      <w:r w:rsidR="006A792E" w:rsidRPr="00737152">
        <w:rPr>
          <w:rStyle w:val="FootnoteReference"/>
          <w:rFonts w:ascii="Times New Roman" w:hAnsi="Times New Roman"/>
          <w:sz w:val="24"/>
        </w:rPr>
        <w:footnoteReference w:id="6"/>
      </w:r>
      <w:r w:rsidR="000B7C93" w:rsidRPr="00737152">
        <w:rPr>
          <w:rFonts w:ascii="Times New Roman" w:hAnsi="Times New Roman"/>
        </w:rPr>
        <w:t xml:space="preserve">. </w:t>
      </w:r>
      <w:r w:rsidR="00EC5B17" w:rsidRPr="00737152">
        <w:rPr>
          <w:rFonts w:ascii="Times New Roman" w:hAnsi="Times New Roman"/>
        </w:rPr>
        <w:t xml:space="preserve">His Honour considered that the burns evidence was to be </w:t>
      </w:r>
      <w:r w:rsidR="000400A0" w:rsidRPr="00737152">
        <w:rPr>
          <w:rFonts w:ascii="Times New Roman" w:hAnsi="Times New Roman"/>
        </w:rPr>
        <w:t xml:space="preserve">assessed with the other evidence that the appellant was one of only three persons who had the opportunity to commit the </w:t>
      </w:r>
      <w:r w:rsidR="00BE4978" w:rsidRPr="00737152">
        <w:rPr>
          <w:rFonts w:ascii="Times New Roman" w:hAnsi="Times New Roman"/>
        </w:rPr>
        <w:t>alleged offence</w:t>
      </w:r>
      <w:r w:rsidR="006A792E" w:rsidRPr="00737152">
        <w:rPr>
          <w:rStyle w:val="FootnoteReference"/>
          <w:rFonts w:ascii="Times New Roman" w:hAnsi="Times New Roman"/>
          <w:sz w:val="24"/>
        </w:rPr>
        <w:footnoteReference w:id="7"/>
      </w:r>
      <w:r w:rsidR="00BE4978" w:rsidRPr="00737152">
        <w:rPr>
          <w:rFonts w:ascii="Times New Roman" w:hAnsi="Times New Roman"/>
        </w:rPr>
        <w:t xml:space="preserve">. </w:t>
      </w:r>
      <w:r w:rsidR="000C7877" w:rsidRPr="00737152">
        <w:rPr>
          <w:rFonts w:ascii="Times New Roman" w:hAnsi="Times New Roman"/>
        </w:rPr>
        <w:t xml:space="preserve">Considered in that context, </w:t>
      </w:r>
      <w:r w:rsidR="00356E72" w:rsidRPr="00737152">
        <w:rPr>
          <w:rFonts w:ascii="Times New Roman" w:hAnsi="Times New Roman"/>
        </w:rPr>
        <w:t xml:space="preserve">his Honour concluded </w:t>
      </w:r>
      <w:r w:rsidR="006B5FAA" w:rsidRPr="00737152">
        <w:rPr>
          <w:rFonts w:ascii="Times New Roman" w:hAnsi="Times New Roman"/>
        </w:rPr>
        <w:t xml:space="preserve">that </w:t>
      </w:r>
      <w:r w:rsidR="00BB5FDD" w:rsidRPr="00737152">
        <w:rPr>
          <w:rFonts w:ascii="Times New Roman" w:hAnsi="Times New Roman"/>
        </w:rPr>
        <w:t xml:space="preserve">the burns evidence had significant probative value. </w:t>
      </w:r>
    </w:p>
    <w:p w14:paraId="6F0382D1" w14:textId="4B4EA27C" w:rsidR="00BB5FDD" w:rsidRPr="00737152" w:rsidRDefault="00BB5FDD" w:rsidP="00737152">
      <w:pPr>
        <w:pStyle w:val="FixListStyle"/>
        <w:spacing w:after="260" w:line="280" w:lineRule="exact"/>
        <w:ind w:right="0"/>
        <w:jc w:val="both"/>
        <w:rPr>
          <w:rFonts w:ascii="Times New Roman" w:hAnsi="Times New Roman"/>
        </w:rPr>
      </w:pPr>
      <w:r w:rsidRPr="00737152">
        <w:rPr>
          <w:rFonts w:ascii="Times New Roman" w:hAnsi="Times New Roman"/>
        </w:rPr>
        <w:tab/>
        <w:t xml:space="preserve">Hoeben CJ at CL </w:t>
      </w:r>
      <w:r w:rsidR="0085644C" w:rsidRPr="00737152">
        <w:rPr>
          <w:rFonts w:ascii="Times New Roman" w:hAnsi="Times New Roman"/>
        </w:rPr>
        <w:t xml:space="preserve">considered that the requirement for "close similarity" </w:t>
      </w:r>
      <w:r w:rsidR="00D64FFA" w:rsidRPr="00737152">
        <w:rPr>
          <w:rFonts w:ascii="Times New Roman" w:hAnsi="Times New Roman"/>
        </w:rPr>
        <w:t>between the conduct evidencing the tendency and the charged offence</w:t>
      </w:r>
      <w:r w:rsidR="00B323AC" w:rsidRPr="00737152">
        <w:rPr>
          <w:rFonts w:ascii="Times New Roman" w:hAnsi="Times New Roman"/>
        </w:rPr>
        <w:t xml:space="preserve">, </w:t>
      </w:r>
      <w:r w:rsidR="003060F5" w:rsidRPr="00737152">
        <w:rPr>
          <w:rFonts w:ascii="Times New Roman" w:hAnsi="Times New Roman"/>
        </w:rPr>
        <w:t>identified in</w:t>
      </w:r>
      <w:r w:rsidR="00B323AC" w:rsidRPr="00737152">
        <w:rPr>
          <w:rFonts w:ascii="Times New Roman" w:hAnsi="Times New Roman"/>
        </w:rPr>
        <w:t xml:space="preserve"> the </w:t>
      </w:r>
      <w:r w:rsidR="00DE2EEB" w:rsidRPr="00737152">
        <w:rPr>
          <w:rFonts w:ascii="Times New Roman" w:hAnsi="Times New Roman"/>
        </w:rPr>
        <w:t>majority</w:t>
      </w:r>
      <w:r w:rsidR="00B323AC" w:rsidRPr="00737152">
        <w:rPr>
          <w:rFonts w:ascii="Times New Roman" w:hAnsi="Times New Roman"/>
        </w:rPr>
        <w:t xml:space="preserve">'s reasoning in </w:t>
      </w:r>
      <w:r w:rsidR="00B323AC" w:rsidRPr="00737152">
        <w:rPr>
          <w:rFonts w:ascii="Times New Roman" w:hAnsi="Times New Roman"/>
          <w:i/>
          <w:iCs/>
        </w:rPr>
        <w:t>Hughes</w:t>
      </w:r>
      <w:r w:rsidR="00B323AC" w:rsidRPr="00737152">
        <w:rPr>
          <w:rFonts w:ascii="Times New Roman" w:hAnsi="Times New Roman"/>
        </w:rPr>
        <w:t>,</w:t>
      </w:r>
      <w:r w:rsidR="00D64FFA" w:rsidRPr="00737152">
        <w:rPr>
          <w:rFonts w:ascii="Times New Roman" w:hAnsi="Times New Roman"/>
        </w:rPr>
        <w:t xml:space="preserve"> </w:t>
      </w:r>
      <w:r w:rsidR="0085644C" w:rsidRPr="00737152">
        <w:rPr>
          <w:rFonts w:ascii="Times New Roman" w:hAnsi="Times New Roman"/>
        </w:rPr>
        <w:t xml:space="preserve">should arise when the tendency evidence is the only or predominant evidence that goes to </w:t>
      </w:r>
      <w:r w:rsidR="00D64FFA" w:rsidRPr="00737152">
        <w:rPr>
          <w:rFonts w:ascii="Times New Roman" w:hAnsi="Times New Roman"/>
        </w:rPr>
        <w:t xml:space="preserve">the </w:t>
      </w:r>
      <w:r w:rsidR="0085644C" w:rsidRPr="00737152">
        <w:rPr>
          <w:rFonts w:ascii="Times New Roman" w:hAnsi="Times New Roman"/>
        </w:rPr>
        <w:t xml:space="preserve">identity </w:t>
      </w:r>
      <w:r w:rsidR="00D64FFA" w:rsidRPr="00737152">
        <w:rPr>
          <w:rFonts w:ascii="Times New Roman" w:hAnsi="Times New Roman"/>
        </w:rPr>
        <w:t>of the offender</w:t>
      </w:r>
      <w:r w:rsidR="006A792E" w:rsidRPr="00737152">
        <w:rPr>
          <w:rStyle w:val="FootnoteReference"/>
          <w:rFonts w:ascii="Times New Roman" w:hAnsi="Times New Roman"/>
          <w:sz w:val="24"/>
        </w:rPr>
        <w:footnoteReference w:id="8"/>
      </w:r>
      <w:r w:rsidR="000E2E4F" w:rsidRPr="00737152">
        <w:rPr>
          <w:rFonts w:ascii="Times New Roman" w:hAnsi="Times New Roman"/>
        </w:rPr>
        <w:t>.</w:t>
      </w:r>
      <w:r w:rsidR="00731A28" w:rsidRPr="00737152">
        <w:rPr>
          <w:rFonts w:ascii="Times New Roman" w:hAnsi="Times New Roman"/>
        </w:rPr>
        <w:t xml:space="preserve"> </w:t>
      </w:r>
      <w:r w:rsidR="000E2E4F" w:rsidRPr="00737152">
        <w:rPr>
          <w:rFonts w:ascii="Times New Roman" w:hAnsi="Times New Roman"/>
        </w:rPr>
        <w:t>T</w:t>
      </w:r>
      <w:r w:rsidR="00731A28" w:rsidRPr="00737152">
        <w:rPr>
          <w:rFonts w:ascii="Times New Roman" w:hAnsi="Times New Roman"/>
        </w:rPr>
        <w:t xml:space="preserve">his case fell within the </w:t>
      </w:r>
      <w:r w:rsidR="008F78BE" w:rsidRPr="00737152">
        <w:rPr>
          <w:rFonts w:ascii="Times New Roman" w:hAnsi="Times New Roman"/>
        </w:rPr>
        <w:t>"</w:t>
      </w:r>
      <w:r w:rsidR="00731A28" w:rsidRPr="00737152">
        <w:rPr>
          <w:rFonts w:ascii="Times New Roman" w:hAnsi="Times New Roman"/>
        </w:rPr>
        <w:t>class of exceptions</w:t>
      </w:r>
      <w:r w:rsidR="008F78BE" w:rsidRPr="00737152">
        <w:rPr>
          <w:rFonts w:ascii="Times New Roman" w:hAnsi="Times New Roman"/>
        </w:rPr>
        <w:t>"</w:t>
      </w:r>
      <w:r w:rsidR="00731A28" w:rsidRPr="00737152">
        <w:rPr>
          <w:rFonts w:ascii="Times New Roman" w:hAnsi="Times New Roman"/>
        </w:rPr>
        <w:t xml:space="preserve"> </w:t>
      </w:r>
      <w:r w:rsidR="005830A5" w:rsidRPr="00737152">
        <w:rPr>
          <w:rFonts w:ascii="Times New Roman" w:hAnsi="Times New Roman"/>
        </w:rPr>
        <w:t xml:space="preserve">to that requirement </w:t>
      </w:r>
      <w:r w:rsidR="00731A28" w:rsidRPr="00737152">
        <w:rPr>
          <w:rFonts w:ascii="Times New Roman" w:hAnsi="Times New Roman"/>
        </w:rPr>
        <w:t xml:space="preserve">contemplated by </w:t>
      </w:r>
      <w:r w:rsidR="005618A3" w:rsidRPr="00737152">
        <w:rPr>
          <w:rFonts w:ascii="Times New Roman" w:hAnsi="Times New Roman"/>
        </w:rPr>
        <w:t xml:space="preserve">the </w:t>
      </w:r>
      <w:r w:rsidR="00DE2EEB" w:rsidRPr="00737152">
        <w:rPr>
          <w:rFonts w:ascii="Times New Roman" w:hAnsi="Times New Roman"/>
        </w:rPr>
        <w:t>majority</w:t>
      </w:r>
      <w:r w:rsidR="005618A3" w:rsidRPr="00737152">
        <w:rPr>
          <w:rFonts w:ascii="Times New Roman" w:hAnsi="Times New Roman"/>
        </w:rPr>
        <w:t xml:space="preserve"> in </w:t>
      </w:r>
      <w:r w:rsidR="00731A28" w:rsidRPr="00737152">
        <w:rPr>
          <w:rFonts w:ascii="Times New Roman" w:hAnsi="Times New Roman"/>
          <w:i/>
          <w:iCs/>
        </w:rPr>
        <w:t>Hughes</w:t>
      </w:r>
      <w:r w:rsidR="005F22C8" w:rsidRPr="00737152">
        <w:rPr>
          <w:rFonts w:ascii="Times New Roman" w:hAnsi="Times New Roman"/>
        </w:rPr>
        <w:t>, noting that the undisputed fact that only three persons had the opportunity to kill the victim was "decisive evidence"</w:t>
      </w:r>
      <w:r w:rsidR="00EB69B9" w:rsidRPr="00737152">
        <w:rPr>
          <w:rStyle w:val="FootnoteReference"/>
          <w:rFonts w:ascii="Times New Roman" w:hAnsi="Times New Roman"/>
          <w:sz w:val="24"/>
        </w:rPr>
        <w:footnoteReference w:id="9"/>
      </w:r>
      <w:r w:rsidR="00E91D10" w:rsidRPr="00737152">
        <w:rPr>
          <w:rFonts w:ascii="Times New Roman" w:hAnsi="Times New Roman"/>
        </w:rPr>
        <w:t xml:space="preserve">, and </w:t>
      </w:r>
      <w:r w:rsidR="008357D3" w:rsidRPr="00737152">
        <w:rPr>
          <w:rFonts w:ascii="Times New Roman" w:hAnsi="Times New Roman"/>
        </w:rPr>
        <w:t>"of fundamental importance</w:t>
      </w:r>
      <w:r w:rsidR="005830A5" w:rsidRPr="00737152">
        <w:rPr>
          <w:rFonts w:ascii="Times New Roman" w:hAnsi="Times New Roman"/>
        </w:rPr>
        <w:t>"</w:t>
      </w:r>
      <w:r w:rsidR="006A792E" w:rsidRPr="00737152">
        <w:rPr>
          <w:rStyle w:val="FootnoteReference"/>
          <w:rFonts w:ascii="Times New Roman" w:hAnsi="Times New Roman"/>
          <w:sz w:val="24"/>
        </w:rPr>
        <w:footnoteReference w:id="10"/>
      </w:r>
      <w:r w:rsidR="005F22C8" w:rsidRPr="00737152">
        <w:rPr>
          <w:rFonts w:ascii="Times New Roman" w:hAnsi="Times New Roman"/>
        </w:rPr>
        <w:t xml:space="preserve">. </w:t>
      </w:r>
      <w:r w:rsidR="00A9133D" w:rsidRPr="00737152">
        <w:rPr>
          <w:rFonts w:ascii="Times New Roman" w:hAnsi="Times New Roman"/>
        </w:rPr>
        <w:t>Hoeben</w:t>
      </w:r>
      <w:r w:rsidR="00391B23" w:rsidRPr="00737152">
        <w:rPr>
          <w:rFonts w:ascii="Times New Roman" w:hAnsi="Times New Roman"/>
        </w:rPr>
        <w:t> </w:t>
      </w:r>
      <w:r w:rsidR="00A9133D" w:rsidRPr="00737152">
        <w:rPr>
          <w:rFonts w:ascii="Times New Roman" w:hAnsi="Times New Roman"/>
        </w:rPr>
        <w:t xml:space="preserve">CJ at CL noted that the burns evidence </w:t>
      </w:r>
      <w:r w:rsidR="003414C0" w:rsidRPr="00737152">
        <w:rPr>
          <w:rFonts w:ascii="Times New Roman" w:hAnsi="Times New Roman"/>
        </w:rPr>
        <w:t>"involved the same victim in the same house in the same family and they were close in time"</w:t>
      </w:r>
      <w:r w:rsidR="00CB0101" w:rsidRPr="00737152">
        <w:rPr>
          <w:rStyle w:val="FootnoteReference"/>
          <w:rFonts w:ascii="Times New Roman" w:hAnsi="Times New Roman"/>
          <w:sz w:val="24"/>
        </w:rPr>
        <w:footnoteReference w:id="11"/>
      </w:r>
      <w:r w:rsidR="002E169B" w:rsidRPr="00737152">
        <w:rPr>
          <w:rFonts w:ascii="Times New Roman" w:hAnsi="Times New Roman"/>
        </w:rPr>
        <w:t xml:space="preserve">, </w:t>
      </w:r>
      <w:r w:rsidR="00D64FFA" w:rsidRPr="00737152">
        <w:rPr>
          <w:rFonts w:ascii="Times New Roman" w:hAnsi="Times New Roman"/>
        </w:rPr>
        <w:t>and concluded</w:t>
      </w:r>
      <w:r w:rsidR="002E169B" w:rsidRPr="00737152">
        <w:rPr>
          <w:rFonts w:ascii="Times New Roman" w:hAnsi="Times New Roman"/>
        </w:rPr>
        <w:t xml:space="preserve"> that the identity of the victim was a matter of "close similarity"</w:t>
      </w:r>
      <w:r w:rsidR="00DF0936" w:rsidRPr="00737152">
        <w:rPr>
          <w:rFonts w:ascii="Times New Roman" w:hAnsi="Times New Roman"/>
        </w:rPr>
        <w:t xml:space="preserve"> </w:t>
      </w:r>
      <w:r w:rsidR="003E4BB6" w:rsidRPr="00737152">
        <w:rPr>
          <w:rFonts w:ascii="Times New Roman" w:hAnsi="Times New Roman"/>
        </w:rPr>
        <w:t>and that the burns evidence otherwise disclosed "some similarities"</w:t>
      </w:r>
      <w:r w:rsidR="006A792E" w:rsidRPr="00737152">
        <w:rPr>
          <w:rStyle w:val="FootnoteReference"/>
          <w:rFonts w:ascii="Times New Roman" w:hAnsi="Times New Roman"/>
          <w:sz w:val="24"/>
        </w:rPr>
        <w:footnoteReference w:id="12"/>
      </w:r>
      <w:r w:rsidR="00C57C92" w:rsidRPr="00737152">
        <w:rPr>
          <w:rFonts w:ascii="Times New Roman" w:hAnsi="Times New Roman"/>
        </w:rPr>
        <w:t xml:space="preserve">. </w:t>
      </w:r>
      <w:r w:rsidR="00AA1243" w:rsidRPr="00737152">
        <w:rPr>
          <w:rFonts w:ascii="Times New Roman" w:hAnsi="Times New Roman"/>
        </w:rPr>
        <w:t xml:space="preserve">His Honour </w:t>
      </w:r>
      <w:r w:rsidR="009D189B" w:rsidRPr="00737152">
        <w:rPr>
          <w:rFonts w:ascii="Times New Roman" w:hAnsi="Times New Roman"/>
        </w:rPr>
        <w:t>identified</w:t>
      </w:r>
      <w:r w:rsidR="00A11C11" w:rsidRPr="00737152">
        <w:rPr>
          <w:rFonts w:ascii="Times New Roman" w:hAnsi="Times New Roman"/>
        </w:rPr>
        <w:t xml:space="preserve"> as a further similarity</w:t>
      </w:r>
      <w:r w:rsidR="00AA1243" w:rsidRPr="00737152">
        <w:rPr>
          <w:rFonts w:ascii="Times New Roman" w:hAnsi="Times New Roman"/>
        </w:rPr>
        <w:t xml:space="preserve"> that, on the prosecution case, the incident in the bath involved a deliberate act of cruelty which was not spontaneous, </w:t>
      </w:r>
      <w:r w:rsidR="002116EE" w:rsidRPr="00737152">
        <w:rPr>
          <w:rFonts w:ascii="Times New Roman" w:hAnsi="Times New Roman"/>
        </w:rPr>
        <w:t xml:space="preserve">because of the time required for </w:t>
      </w:r>
      <w:proofErr w:type="gramStart"/>
      <w:r w:rsidR="002116EE" w:rsidRPr="00737152">
        <w:rPr>
          <w:rFonts w:ascii="Times New Roman" w:hAnsi="Times New Roman"/>
        </w:rPr>
        <w:t>a sufficient quantity of</w:t>
      </w:r>
      <w:proofErr w:type="gramEnd"/>
      <w:r w:rsidR="002116EE" w:rsidRPr="00737152">
        <w:rPr>
          <w:rFonts w:ascii="Times New Roman" w:hAnsi="Times New Roman"/>
        </w:rPr>
        <w:t xml:space="preserve"> hot water to accumulate in the bath to </w:t>
      </w:r>
      <w:r w:rsidR="002116EE" w:rsidRPr="00737152">
        <w:rPr>
          <w:rFonts w:ascii="Times New Roman" w:hAnsi="Times New Roman"/>
        </w:rPr>
        <w:lastRenderedPageBreak/>
        <w:t>cause the burns that were observed</w:t>
      </w:r>
      <w:r w:rsidR="008F78BE" w:rsidRPr="00737152">
        <w:rPr>
          <w:rStyle w:val="FootnoteReference"/>
          <w:rFonts w:ascii="Times New Roman" w:hAnsi="Times New Roman"/>
          <w:sz w:val="24"/>
        </w:rPr>
        <w:footnoteReference w:id="13"/>
      </w:r>
      <w:r w:rsidR="002116EE" w:rsidRPr="00737152">
        <w:rPr>
          <w:rFonts w:ascii="Times New Roman" w:hAnsi="Times New Roman"/>
        </w:rPr>
        <w:t xml:space="preserve">. </w:t>
      </w:r>
      <w:r w:rsidR="00A11C11" w:rsidRPr="00737152">
        <w:rPr>
          <w:rFonts w:ascii="Times New Roman" w:hAnsi="Times New Roman"/>
        </w:rPr>
        <w:t>Similarly, the force needed to cause the victim's substantial injuries could only have been deliberate and not accidental</w:t>
      </w:r>
      <w:r w:rsidR="00BA543F" w:rsidRPr="00737152">
        <w:rPr>
          <w:rStyle w:val="FootnoteReference"/>
          <w:rFonts w:ascii="Times New Roman" w:hAnsi="Times New Roman"/>
          <w:sz w:val="24"/>
        </w:rPr>
        <w:footnoteReference w:id="14"/>
      </w:r>
      <w:r w:rsidR="00A11C11" w:rsidRPr="00737152">
        <w:rPr>
          <w:rFonts w:ascii="Times New Roman" w:hAnsi="Times New Roman"/>
        </w:rPr>
        <w:t xml:space="preserve">. </w:t>
      </w:r>
      <w:r w:rsidR="00914186" w:rsidRPr="00737152">
        <w:rPr>
          <w:rFonts w:ascii="Times New Roman" w:hAnsi="Times New Roman"/>
        </w:rPr>
        <w:t>Finally, Hoeben</w:t>
      </w:r>
      <w:r w:rsidR="008F78BE" w:rsidRPr="00737152">
        <w:rPr>
          <w:rFonts w:ascii="Times New Roman" w:hAnsi="Times New Roman"/>
        </w:rPr>
        <w:t> </w:t>
      </w:r>
      <w:r w:rsidR="00914186" w:rsidRPr="00737152">
        <w:rPr>
          <w:rFonts w:ascii="Times New Roman" w:hAnsi="Times New Roman"/>
        </w:rPr>
        <w:t xml:space="preserve">CJ at CL considered that </w:t>
      </w:r>
      <w:r w:rsidR="00E11D85" w:rsidRPr="00737152">
        <w:rPr>
          <w:rFonts w:ascii="Times New Roman" w:hAnsi="Times New Roman"/>
        </w:rPr>
        <w:t xml:space="preserve">the </w:t>
      </w:r>
      <w:r w:rsidR="00C653AA" w:rsidRPr="00737152">
        <w:rPr>
          <w:rFonts w:ascii="Times New Roman" w:hAnsi="Times New Roman"/>
        </w:rPr>
        <w:t xml:space="preserve">fact that the bath incident and the victim's death were </w:t>
      </w:r>
      <w:r w:rsidR="00E11D85" w:rsidRPr="00737152">
        <w:rPr>
          <w:rFonts w:ascii="Times New Roman" w:hAnsi="Times New Roman"/>
        </w:rPr>
        <w:t xml:space="preserve">"very close" </w:t>
      </w:r>
      <w:r w:rsidR="00914186" w:rsidRPr="00737152">
        <w:rPr>
          <w:rFonts w:ascii="Times New Roman" w:hAnsi="Times New Roman"/>
        </w:rPr>
        <w:t>in time</w:t>
      </w:r>
      <w:r w:rsidR="00C653AA" w:rsidRPr="00737152">
        <w:rPr>
          <w:rFonts w:ascii="Times New Roman" w:hAnsi="Times New Roman"/>
        </w:rPr>
        <w:t>, and the fact that they involved the same victim,</w:t>
      </w:r>
      <w:r w:rsidR="00914186" w:rsidRPr="00737152">
        <w:rPr>
          <w:rFonts w:ascii="Times New Roman" w:hAnsi="Times New Roman"/>
        </w:rPr>
        <w:t xml:space="preserve"> </w:t>
      </w:r>
      <w:r w:rsidR="00E11D85" w:rsidRPr="00737152">
        <w:rPr>
          <w:rFonts w:ascii="Times New Roman" w:hAnsi="Times New Roman"/>
        </w:rPr>
        <w:t xml:space="preserve">"meant that even one previous episode of </w:t>
      </w:r>
      <w:r w:rsidR="00E11D85" w:rsidRPr="00737152">
        <w:rPr>
          <w:rFonts w:ascii="Times New Roman" w:hAnsi="Times New Roman"/>
          <w:i/>
          <w:iCs/>
        </w:rPr>
        <w:t>abuse</w:t>
      </w:r>
      <w:r w:rsidR="00E11D85" w:rsidRPr="00737152">
        <w:rPr>
          <w:rFonts w:ascii="Times New Roman" w:hAnsi="Times New Roman"/>
        </w:rPr>
        <w:t xml:space="preserve"> by the [appellant] would have significant probative value in determining from the three possible suspects</w:t>
      </w:r>
      <w:r w:rsidR="004658AA" w:rsidRPr="00737152">
        <w:rPr>
          <w:rFonts w:ascii="Times New Roman" w:hAnsi="Times New Roman"/>
        </w:rPr>
        <w:t>, who it was who murdered [the victim]"</w:t>
      </w:r>
      <w:r w:rsidR="006A792E" w:rsidRPr="00737152">
        <w:rPr>
          <w:rStyle w:val="FootnoteReference"/>
          <w:rFonts w:ascii="Times New Roman" w:hAnsi="Times New Roman"/>
          <w:sz w:val="24"/>
        </w:rPr>
        <w:footnoteReference w:id="15"/>
      </w:r>
      <w:r w:rsidR="006A558E" w:rsidRPr="00737152">
        <w:rPr>
          <w:rFonts w:ascii="Times New Roman" w:hAnsi="Times New Roman"/>
        </w:rPr>
        <w:t>.</w:t>
      </w:r>
      <w:r w:rsidR="003163EE" w:rsidRPr="00737152">
        <w:rPr>
          <w:rFonts w:ascii="Times New Roman" w:hAnsi="Times New Roman"/>
        </w:rPr>
        <w:t xml:space="preserve"> </w:t>
      </w:r>
    </w:p>
    <w:p w14:paraId="11938066" w14:textId="2A3415EF" w:rsidR="00BF2832" w:rsidRPr="00737152" w:rsidRDefault="00BF2832" w:rsidP="00737152">
      <w:pPr>
        <w:pStyle w:val="FixListStyle"/>
        <w:spacing w:after="260" w:line="280" w:lineRule="exact"/>
        <w:ind w:right="0"/>
        <w:jc w:val="both"/>
        <w:rPr>
          <w:rFonts w:ascii="Times New Roman" w:hAnsi="Times New Roman"/>
        </w:rPr>
      </w:pPr>
      <w:r w:rsidRPr="00737152">
        <w:rPr>
          <w:rFonts w:ascii="Times New Roman" w:hAnsi="Times New Roman"/>
        </w:rPr>
        <w:tab/>
        <w:t xml:space="preserve">Adamson J </w:t>
      </w:r>
      <w:r w:rsidR="00A01DFE" w:rsidRPr="00737152">
        <w:rPr>
          <w:rFonts w:ascii="Times New Roman" w:hAnsi="Times New Roman"/>
        </w:rPr>
        <w:t>considered that, in th</w:t>
      </w:r>
      <w:r w:rsidR="00BA407C" w:rsidRPr="00737152">
        <w:rPr>
          <w:rFonts w:ascii="Times New Roman" w:hAnsi="Times New Roman"/>
        </w:rPr>
        <w:t xml:space="preserve">e context of the appellant's case at trial, </w:t>
      </w:r>
      <w:r w:rsidR="00FB70DB" w:rsidRPr="00737152">
        <w:rPr>
          <w:rFonts w:ascii="Times New Roman" w:hAnsi="Times New Roman"/>
        </w:rPr>
        <w:t xml:space="preserve">it was not necessary for the tendency evidence to bear </w:t>
      </w:r>
      <w:proofErr w:type="gramStart"/>
      <w:r w:rsidR="00FB70DB" w:rsidRPr="00737152">
        <w:rPr>
          <w:rFonts w:ascii="Times New Roman" w:hAnsi="Times New Roman"/>
        </w:rPr>
        <w:t>particular hallmarks</w:t>
      </w:r>
      <w:proofErr w:type="gramEnd"/>
      <w:r w:rsidR="00FB70DB" w:rsidRPr="00737152">
        <w:rPr>
          <w:rFonts w:ascii="Times New Roman" w:hAnsi="Times New Roman"/>
        </w:rPr>
        <w:t xml:space="preserve">, </w:t>
      </w:r>
      <w:r w:rsidR="00DF7987" w:rsidRPr="00737152">
        <w:rPr>
          <w:rFonts w:ascii="Times New Roman" w:hAnsi="Times New Roman"/>
        </w:rPr>
        <w:t xml:space="preserve">which could identify a perpetrator </w:t>
      </w:r>
      <w:r w:rsidR="00DE669F" w:rsidRPr="00737152">
        <w:rPr>
          <w:rFonts w:ascii="Times New Roman" w:hAnsi="Times New Roman"/>
        </w:rPr>
        <w:t>(</w:t>
      </w:r>
      <w:r w:rsidR="00DF7987" w:rsidRPr="00737152">
        <w:rPr>
          <w:rFonts w:ascii="Times New Roman" w:hAnsi="Times New Roman"/>
        </w:rPr>
        <w:t>by distinguishing them from others</w:t>
      </w:r>
      <w:r w:rsidR="00DE669F" w:rsidRPr="00737152">
        <w:rPr>
          <w:rFonts w:ascii="Times New Roman" w:hAnsi="Times New Roman"/>
        </w:rPr>
        <w:t>)</w:t>
      </w:r>
      <w:r w:rsidR="00DF7987" w:rsidRPr="00737152">
        <w:rPr>
          <w:rFonts w:ascii="Times New Roman" w:hAnsi="Times New Roman"/>
        </w:rPr>
        <w:t xml:space="preserve"> on the basis of similarity of conduct, as long as the tendency evidence was significant</w:t>
      </w:r>
      <w:r w:rsidR="00A94F55" w:rsidRPr="00737152">
        <w:rPr>
          <w:rFonts w:ascii="Times New Roman" w:hAnsi="Times New Roman"/>
        </w:rPr>
        <w:t>ly</w:t>
      </w:r>
      <w:r w:rsidR="00DF7987" w:rsidRPr="00737152">
        <w:rPr>
          <w:rFonts w:ascii="Times New Roman" w:hAnsi="Times New Roman"/>
        </w:rPr>
        <w:t xml:space="preserve"> probative of the alleged tendency</w:t>
      </w:r>
      <w:r w:rsidR="006A792E" w:rsidRPr="00737152">
        <w:rPr>
          <w:rStyle w:val="FootnoteReference"/>
          <w:rFonts w:ascii="Times New Roman" w:hAnsi="Times New Roman"/>
          <w:sz w:val="24"/>
        </w:rPr>
        <w:footnoteReference w:id="16"/>
      </w:r>
      <w:r w:rsidR="00DF7987" w:rsidRPr="00737152">
        <w:rPr>
          <w:rFonts w:ascii="Times New Roman" w:hAnsi="Times New Roman"/>
        </w:rPr>
        <w:t xml:space="preserve">. </w:t>
      </w:r>
      <w:r w:rsidR="0092121D" w:rsidRPr="00737152">
        <w:rPr>
          <w:rFonts w:ascii="Times New Roman" w:hAnsi="Times New Roman"/>
        </w:rPr>
        <w:t xml:space="preserve">Her Honour considered that </w:t>
      </w:r>
      <w:r w:rsidR="006E7C78" w:rsidRPr="00737152">
        <w:rPr>
          <w:rFonts w:ascii="Times New Roman" w:hAnsi="Times New Roman"/>
        </w:rPr>
        <w:t xml:space="preserve">evidence of other </w:t>
      </w:r>
      <w:r w:rsidR="0092121D" w:rsidRPr="00737152">
        <w:rPr>
          <w:rFonts w:ascii="Times New Roman" w:hAnsi="Times New Roman"/>
        </w:rPr>
        <w:t xml:space="preserve">acts of </w:t>
      </w:r>
      <w:r w:rsidR="006E7C78" w:rsidRPr="00737152">
        <w:rPr>
          <w:rFonts w:ascii="Times New Roman" w:hAnsi="Times New Roman"/>
        </w:rPr>
        <w:t xml:space="preserve">"spontaneous cruelty or intentional harm to the deceased were </w:t>
      </w:r>
      <w:r w:rsidR="00273FDB" w:rsidRPr="00737152">
        <w:rPr>
          <w:rFonts w:ascii="Times New Roman" w:hAnsi="Times New Roman"/>
        </w:rPr>
        <w:t>therefore highly relevant to establish the identity of the deceased's killer by establishing the alleged tendency to deliberately inflict physical harm on the deceased"</w:t>
      </w:r>
      <w:r w:rsidR="006A792E" w:rsidRPr="00737152">
        <w:rPr>
          <w:rStyle w:val="FootnoteReference"/>
          <w:rFonts w:ascii="Times New Roman" w:hAnsi="Times New Roman"/>
          <w:sz w:val="24"/>
        </w:rPr>
        <w:footnoteReference w:id="17"/>
      </w:r>
      <w:r w:rsidR="00273FDB" w:rsidRPr="00737152">
        <w:rPr>
          <w:rFonts w:ascii="Times New Roman" w:hAnsi="Times New Roman"/>
        </w:rPr>
        <w:t xml:space="preserve">. </w:t>
      </w:r>
    </w:p>
    <w:p w14:paraId="1F293487" w14:textId="5549FBA3" w:rsidR="00A11C11" w:rsidRPr="00737152" w:rsidRDefault="00B85FBA" w:rsidP="00737152">
      <w:pPr>
        <w:pStyle w:val="HeadingL2"/>
        <w:spacing w:after="260" w:line="280" w:lineRule="exact"/>
        <w:ind w:right="0"/>
        <w:jc w:val="both"/>
        <w:rPr>
          <w:rFonts w:ascii="Times New Roman" w:hAnsi="Times New Roman"/>
        </w:rPr>
      </w:pPr>
      <w:r w:rsidRPr="00737152">
        <w:rPr>
          <w:rFonts w:ascii="Times New Roman" w:hAnsi="Times New Roman"/>
        </w:rPr>
        <w:t>Complaint evidence</w:t>
      </w:r>
    </w:p>
    <w:p w14:paraId="5D2F2A3C" w14:textId="750B5AB9" w:rsidR="00B85FBA" w:rsidRPr="00737152" w:rsidRDefault="00961086"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044336" w:rsidRPr="00737152">
        <w:rPr>
          <w:rFonts w:ascii="Times New Roman" w:hAnsi="Times New Roman"/>
        </w:rPr>
        <w:t>T</w:t>
      </w:r>
      <w:r w:rsidRPr="00737152">
        <w:rPr>
          <w:rFonts w:ascii="Times New Roman" w:hAnsi="Times New Roman"/>
        </w:rPr>
        <w:t xml:space="preserve">he Court of Criminal Appeal </w:t>
      </w:r>
      <w:r w:rsidR="00044336" w:rsidRPr="00737152">
        <w:rPr>
          <w:rFonts w:ascii="Times New Roman" w:hAnsi="Times New Roman"/>
        </w:rPr>
        <w:t xml:space="preserve">refused leave to </w:t>
      </w:r>
      <w:r w:rsidRPr="00737152">
        <w:rPr>
          <w:rFonts w:ascii="Times New Roman" w:hAnsi="Times New Roman"/>
        </w:rPr>
        <w:t xml:space="preserve">the appellant </w:t>
      </w:r>
      <w:r w:rsidR="00C4092F" w:rsidRPr="00737152">
        <w:rPr>
          <w:rFonts w:ascii="Times New Roman" w:hAnsi="Times New Roman"/>
        </w:rPr>
        <w:t>to argue</w:t>
      </w:r>
      <w:r w:rsidRPr="00737152">
        <w:rPr>
          <w:rFonts w:ascii="Times New Roman" w:hAnsi="Times New Roman"/>
        </w:rPr>
        <w:t xml:space="preserve"> that the </w:t>
      </w:r>
      <w:r w:rsidR="003C1B91" w:rsidRPr="00737152">
        <w:rPr>
          <w:rFonts w:ascii="Times New Roman" w:hAnsi="Times New Roman"/>
        </w:rPr>
        <w:t>complaint evidence was inadmissible hearsay evidence</w:t>
      </w:r>
      <w:r w:rsidR="009E28D7" w:rsidRPr="00737152">
        <w:rPr>
          <w:rFonts w:ascii="Times New Roman" w:hAnsi="Times New Roman"/>
        </w:rPr>
        <w:t xml:space="preserve"> on the basis that it did not satisfy the exceptions in s 65</w:t>
      </w:r>
      <w:r w:rsidR="00E864D5" w:rsidRPr="00737152">
        <w:rPr>
          <w:rFonts w:ascii="Times New Roman" w:hAnsi="Times New Roman"/>
        </w:rPr>
        <w:t xml:space="preserve"> or </w:t>
      </w:r>
      <w:r w:rsidR="00E16D1A" w:rsidRPr="00737152">
        <w:rPr>
          <w:rFonts w:ascii="Times New Roman" w:hAnsi="Times New Roman"/>
        </w:rPr>
        <w:t>s </w:t>
      </w:r>
      <w:r w:rsidR="00E864D5" w:rsidRPr="00737152">
        <w:rPr>
          <w:rFonts w:ascii="Times New Roman" w:hAnsi="Times New Roman"/>
        </w:rPr>
        <w:t>66 of the Act</w:t>
      </w:r>
      <w:r w:rsidR="00A12F2E" w:rsidRPr="00737152">
        <w:rPr>
          <w:rStyle w:val="FootnoteReference"/>
          <w:rFonts w:ascii="Times New Roman" w:hAnsi="Times New Roman"/>
          <w:sz w:val="24"/>
        </w:rPr>
        <w:footnoteReference w:id="18"/>
      </w:r>
      <w:r w:rsidR="003F1C4F" w:rsidRPr="00737152">
        <w:rPr>
          <w:rFonts w:ascii="Times New Roman" w:hAnsi="Times New Roman"/>
        </w:rPr>
        <w:t xml:space="preserve">. </w:t>
      </w:r>
      <w:r w:rsidR="0081184A" w:rsidRPr="00737152">
        <w:rPr>
          <w:rFonts w:ascii="Times New Roman" w:hAnsi="Times New Roman"/>
        </w:rPr>
        <w:t>Hoeben</w:t>
      </w:r>
      <w:r w:rsidR="00582D2E" w:rsidRPr="00737152">
        <w:rPr>
          <w:rFonts w:ascii="Times New Roman" w:hAnsi="Times New Roman"/>
        </w:rPr>
        <w:t> </w:t>
      </w:r>
      <w:r w:rsidR="0081184A" w:rsidRPr="00737152">
        <w:rPr>
          <w:rFonts w:ascii="Times New Roman" w:hAnsi="Times New Roman"/>
        </w:rPr>
        <w:t>CJ at CL observed that, once the complaint evidence was admitted</w:t>
      </w:r>
      <w:r w:rsidR="00B931BB" w:rsidRPr="00737152">
        <w:rPr>
          <w:rFonts w:ascii="Times New Roman" w:hAnsi="Times New Roman"/>
        </w:rPr>
        <w:t>, it was available for use as tendency evidence</w:t>
      </w:r>
      <w:r w:rsidR="00F27D21" w:rsidRPr="00737152">
        <w:rPr>
          <w:rStyle w:val="FootnoteReference"/>
          <w:rFonts w:ascii="Times New Roman" w:hAnsi="Times New Roman"/>
          <w:sz w:val="24"/>
        </w:rPr>
        <w:footnoteReference w:id="19"/>
      </w:r>
      <w:r w:rsidR="00B931BB" w:rsidRPr="00737152">
        <w:rPr>
          <w:rFonts w:ascii="Times New Roman" w:hAnsi="Times New Roman"/>
        </w:rPr>
        <w:t xml:space="preserve">. </w:t>
      </w:r>
      <w:r w:rsidR="001B53CE" w:rsidRPr="00737152">
        <w:rPr>
          <w:rFonts w:ascii="Times New Roman" w:hAnsi="Times New Roman"/>
        </w:rPr>
        <w:t xml:space="preserve">In his view, the combination of the complaint evidence and the fact that there were only three persons who could have committed the </w:t>
      </w:r>
      <w:r w:rsidR="00E401BA" w:rsidRPr="00737152">
        <w:rPr>
          <w:rFonts w:ascii="Times New Roman" w:hAnsi="Times New Roman"/>
        </w:rPr>
        <w:t xml:space="preserve">offence </w:t>
      </w:r>
      <w:r w:rsidR="001B53CE" w:rsidRPr="00737152">
        <w:rPr>
          <w:rFonts w:ascii="Times New Roman" w:hAnsi="Times New Roman"/>
        </w:rPr>
        <w:t xml:space="preserve">gave the complaint evidence significant probative value because it </w:t>
      </w:r>
      <w:proofErr w:type="gramStart"/>
      <w:r w:rsidR="001B53CE" w:rsidRPr="00737152">
        <w:rPr>
          <w:rFonts w:ascii="Times New Roman" w:hAnsi="Times New Roman"/>
        </w:rPr>
        <w:t>was capable of separating</w:t>
      </w:r>
      <w:proofErr w:type="gramEnd"/>
      <w:r w:rsidR="001B53CE" w:rsidRPr="00737152">
        <w:rPr>
          <w:rFonts w:ascii="Times New Roman" w:hAnsi="Times New Roman"/>
        </w:rPr>
        <w:t xml:space="preserve"> the appellant from the other two persons and identifying him as the perpetrator of the crime. </w:t>
      </w:r>
      <w:r w:rsidR="007E7F7F" w:rsidRPr="00737152">
        <w:rPr>
          <w:rFonts w:ascii="Times New Roman" w:hAnsi="Times New Roman"/>
        </w:rPr>
        <w:t>H</w:t>
      </w:r>
      <w:r w:rsidR="009A00F6" w:rsidRPr="00737152">
        <w:rPr>
          <w:rFonts w:ascii="Times New Roman" w:hAnsi="Times New Roman"/>
        </w:rPr>
        <w:t>is</w:t>
      </w:r>
      <w:r w:rsidR="007E7F7F" w:rsidRPr="00737152">
        <w:rPr>
          <w:rFonts w:ascii="Times New Roman" w:hAnsi="Times New Roman"/>
        </w:rPr>
        <w:t xml:space="preserve"> Honour concluded that the complaint evidence "taken </w:t>
      </w:r>
      <w:r w:rsidR="007E7F7F" w:rsidRPr="00737152">
        <w:rPr>
          <w:rFonts w:ascii="Times New Roman" w:hAnsi="Times New Roman"/>
        </w:rPr>
        <w:lastRenderedPageBreak/>
        <w:t xml:space="preserve">at its highest does indicate a tendency to act </w:t>
      </w:r>
      <w:r w:rsidR="007E7F7F" w:rsidRPr="00737152">
        <w:rPr>
          <w:rFonts w:ascii="Times New Roman" w:hAnsi="Times New Roman"/>
          <w:i/>
          <w:iCs/>
        </w:rPr>
        <w:t>violently</w:t>
      </w:r>
      <w:r w:rsidR="007E7F7F" w:rsidRPr="00737152">
        <w:rPr>
          <w:rFonts w:ascii="Times New Roman" w:hAnsi="Times New Roman"/>
        </w:rPr>
        <w:t xml:space="preserve"> towards [the victim] and if accepted by the jury, was capable of identifying the [appellant] as the person responsible for [the victim's] death"</w:t>
      </w:r>
      <w:r w:rsidR="002E5FE2" w:rsidRPr="00737152">
        <w:rPr>
          <w:rStyle w:val="FootnoteReference"/>
          <w:rFonts w:ascii="Times New Roman" w:hAnsi="Times New Roman"/>
          <w:sz w:val="24"/>
        </w:rPr>
        <w:footnoteReference w:id="20"/>
      </w:r>
      <w:r w:rsidR="007E7F7F" w:rsidRPr="00737152">
        <w:rPr>
          <w:rFonts w:ascii="Times New Roman" w:hAnsi="Times New Roman"/>
        </w:rPr>
        <w:t>.</w:t>
      </w:r>
      <w:r w:rsidR="00345F22" w:rsidRPr="00737152">
        <w:rPr>
          <w:rFonts w:ascii="Times New Roman" w:hAnsi="Times New Roman"/>
        </w:rPr>
        <w:t xml:space="preserve"> </w:t>
      </w:r>
      <w:proofErr w:type="gramStart"/>
      <w:r w:rsidR="00345F22" w:rsidRPr="00737152">
        <w:rPr>
          <w:rFonts w:ascii="Times New Roman" w:hAnsi="Times New Roman"/>
        </w:rPr>
        <w:t>Similarly</w:t>
      </w:r>
      <w:proofErr w:type="gramEnd"/>
      <w:r w:rsidR="00345F22" w:rsidRPr="00737152">
        <w:rPr>
          <w:rFonts w:ascii="Times New Roman" w:hAnsi="Times New Roman"/>
        </w:rPr>
        <w:t xml:space="preserve"> to the trial judge, his Honour's </w:t>
      </w:r>
      <w:r w:rsidR="00490684" w:rsidRPr="00737152">
        <w:rPr>
          <w:rFonts w:ascii="Times New Roman" w:hAnsi="Times New Roman"/>
        </w:rPr>
        <w:t>reasoning</w:t>
      </w:r>
      <w:r w:rsidR="00345F22" w:rsidRPr="00737152">
        <w:rPr>
          <w:rFonts w:ascii="Times New Roman" w:hAnsi="Times New Roman"/>
        </w:rPr>
        <w:t xml:space="preserve"> </w:t>
      </w:r>
      <w:r w:rsidR="009A117E" w:rsidRPr="00737152">
        <w:rPr>
          <w:rFonts w:ascii="Times New Roman" w:hAnsi="Times New Roman"/>
        </w:rPr>
        <w:t>wa</w:t>
      </w:r>
      <w:r w:rsidR="00823770" w:rsidRPr="00737152">
        <w:rPr>
          <w:rFonts w:ascii="Times New Roman" w:hAnsi="Times New Roman"/>
        </w:rPr>
        <w:t>s based on a diff</w:t>
      </w:r>
      <w:r w:rsidR="0011774D" w:rsidRPr="00737152">
        <w:rPr>
          <w:rFonts w:ascii="Times New Roman" w:hAnsi="Times New Roman"/>
        </w:rPr>
        <w:t>erent and more specific tendency than appeared in the prosecution's amended tendency notice.</w:t>
      </w:r>
    </w:p>
    <w:p w14:paraId="60E900A1" w14:textId="045E593E" w:rsidR="00887D07" w:rsidRPr="00737152" w:rsidRDefault="00887D07" w:rsidP="00737152">
      <w:pPr>
        <w:pStyle w:val="FixListStyle"/>
        <w:spacing w:after="260" w:line="280" w:lineRule="exact"/>
        <w:ind w:right="0"/>
        <w:jc w:val="both"/>
        <w:rPr>
          <w:rFonts w:ascii="Times New Roman" w:hAnsi="Times New Roman"/>
        </w:rPr>
      </w:pPr>
      <w:r w:rsidRPr="00737152">
        <w:rPr>
          <w:rFonts w:ascii="Times New Roman" w:hAnsi="Times New Roman"/>
        </w:rPr>
        <w:tab/>
        <w:t xml:space="preserve">Adamson J </w:t>
      </w:r>
      <w:r w:rsidR="001A155E" w:rsidRPr="00737152">
        <w:rPr>
          <w:rFonts w:ascii="Times New Roman" w:hAnsi="Times New Roman"/>
        </w:rPr>
        <w:t xml:space="preserve">considered that </w:t>
      </w:r>
      <w:r w:rsidR="00525853" w:rsidRPr="00737152">
        <w:rPr>
          <w:rFonts w:ascii="Times New Roman" w:hAnsi="Times New Roman"/>
        </w:rPr>
        <w:t xml:space="preserve">her Honour's reasons in relation to the burns evidence also applied to </w:t>
      </w:r>
      <w:r w:rsidRPr="00737152">
        <w:rPr>
          <w:rFonts w:ascii="Times New Roman" w:hAnsi="Times New Roman"/>
        </w:rPr>
        <w:t>the admissibility of the complaint evidence</w:t>
      </w:r>
      <w:r w:rsidRPr="00737152">
        <w:rPr>
          <w:rStyle w:val="FootnoteReference"/>
          <w:rFonts w:ascii="Times New Roman" w:hAnsi="Times New Roman"/>
          <w:sz w:val="24"/>
        </w:rPr>
        <w:footnoteReference w:id="21"/>
      </w:r>
      <w:r w:rsidR="00776A7A" w:rsidRPr="00737152">
        <w:rPr>
          <w:rFonts w:ascii="Times New Roman" w:hAnsi="Times New Roman"/>
        </w:rPr>
        <w:t>.</w:t>
      </w:r>
    </w:p>
    <w:p w14:paraId="782EA800" w14:textId="04F217DD" w:rsidR="003D081E" w:rsidRPr="00737152" w:rsidRDefault="003D081E" w:rsidP="00737152">
      <w:pPr>
        <w:pStyle w:val="HeadingL1"/>
        <w:spacing w:after="260" w:line="280" w:lineRule="exact"/>
        <w:ind w:right="0"/>
        <w:jc w:val="both"/>
        <w:rPr>
          <w:rFonts w:ascii="Times New Roman" w:hAnsi="Times New Roman"/>
        </w:rPr>
      </w:pPr>
      <w:r w:rsidRPr="00737152">
        <w:rPr>
          <w:rFonts w:ascii="Times New Roman" w:hAnsi="Times New Roman"/>
        </w:rPr>
        <w:t xml:space="preserve">Assessment of </w:t>
      </w:r>
      <w:r w:rsidR="00724F1C" w:rsidRPr="00737152">
        <w:rPr>
          <w:rFonts w:ascii="Times New Roman" w:hAnsi="Times New Roman"/>
        </w:rPr>
        <w:t xml:space="preserve">the </w:t>
      </w:r>
      <w:r w:rsidRPr="00737152">
        <w:rPr>
          <w:rFonts w:ascii="Times New Roman" w:hAnsi="Times New Roman"/>
        </w:rPr>
        <w:t>significant probative value of tendency evidence</w:t>
      </w:r>
    </w:p>
    <w:p w14:paraId="5432193C" w14:textId="29F6A997" w:rsidR="004721AB" w:rsidRPr="00737152" w:rsidRDefault="003D081E"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765161" w:rsidRPr="00737152">
        <w:rPr>
          <w:rFonts w:ascii="Times New Roman" w:hAnsi="Times New Roman"/>
        </w:rPr>
        <w:t>A</w:t>
      </w:r>
      <w:r w:rsidR="00CB3D07" w:rsidRPr="00737152">
        <w:rPr>
          <w:rFonts w:ascii="Times New Roman" w:hAnsi="Times New Roman"/>
        </w:rPr>
        <w:t xml:space="preserve">ssessment of </w:t>
      </w:r>
      <w:r w:rsidR="00B323AC" w:rsidRPr="00737152">
        <w:rPr>
          <w:rFonts w:ascii="Times New Roman" w:hAnsi="Times New Roman"/>
        </w:rPr>
        <w:t>the</w:t>
      </w:r>
      <w:r w:rsidR="00CB3D07" w:rsidRPr="00737152">
        <w:rPr>
          <w:rFonts w:ascii="Times New Roman" w:hAnsi="Times New Roman"/>
        </w:rPr>
        <w:t xml:space="preserve"> probative value of evidence requires that the possible use to which the evidence might be put be taken at its highest</w:t>
      </w:r>
      <w:r w:rsidR="00CB3D07" w:rsidRPr="00737152">
        <w:rPr>
          <w:rStyle w:val="FootnoteReference"/>
          <w:rFonts w:ascii="Times New Roman" w:hAnsi="Times New Roman"/>
          <w:sz w:val="24"/>
        </w:rPr>
        <w:footnoteReference w:id="22"/>
      </w:r>
      <w:r w:rsidR="00CB3D07" w:rsidRPr="00737152">
        <w:rPr>
          <w:rFonts w:ascii="Times New Roman" w:hAnsi="Times New Roman"/>
        </w:rPr>
        <w:t>.</w:t>
      </w:r>
      <w:r w:rsidR="00776785" w:rsidRPr="00737152">
        <w:rPr>
          <w:rFonts w:ascii="Times New Roman" w:hAnsi="Times New Roman"/>
        </w:rPr>
        <w:t xml:space="preserve"> Taking evidence at its highest assumes that the evidence is reliable and credible</w:t>
      </w:r>
      <w:r w:rsidR="00776785" w:rsidRPr="00737152">
        <w:rPr>
          <w:rStyle w:val="FootnoteReference"/>
          <w:rFonts w:ascii="Times New Roman" w:hAnsi="Times New Roman"/>
          <w:sz w:val="24"/>
        </w:rPr>
        <w:footnoteReference w:id="23"/>
      </w:r>
      <w:r w:rsidR="00776785" w:rsidRPr="00737152">
        <w:rPr>
          <w:rFonts w:ascii="Times New Roman" w:hAnsi="Times New Roman"/>
        </w:rPr>
        <w:t>. This assumption will only be displaced where the evidence could not be accepted by a rational jury</w:t>
      </w:r>
      <w:r w:rsidR="00776785" w:rsidRPr="00737152">
        <w:rPr>
          <w:rStyle w:val="FootnoteReference"/>
          <w:rFonts w:ascii="Times New Roman" w:hAnsi="Times New Roman"/>
          <w:sz w:val="24"/>
        </w:rPr>
        <w:footnoteReference w:id="24"/>
      </w:r>
      <w:r w:rsidR="00776785" w:rsidRPr="00737152">
        <w:rPr>
          <w:rFonts w:ascii="Times New Roman" w:hAnsi="Times New Roman"/>
        </w:rPr>
        <w:t>.</w:t>
      </w:r>
      <w:r w:rsidR="00CB3D07" w:rsidRPr="00737152">
        <w:rPr>
          <w:rFonts w:ascii="Times New Roman" w:hAnsi="Times New Roman"/>
        </w:rPr>
        <w:t xml:space="preserve"> </w:t>
      </w:r>
      <w:r w:rsidR="00E507F1" w:rsidRPr="00737152">
        <w:rPr>
          <w:rFonts w:ascii="Times New Roman" w:hAnsi="Times New Roman"/>
        </w:rPr>
        <w:t>To be admissible under s</w:t>
      </w:r>
      <w:r w:rsidR="00F12D36" w:rsidRPr="00737152">
        <w:rPr>
          <w:rFonts w:ascii="Times New Roman" w:hAnsi="Times New Roman"/>
        </w:rPr>
        <w:t> </w:t>
      </w:r>
      <w:r w:rsidR="00923DF0" w:rsidRPr="00737152">
        <w:rPr>
          <w:rFonts w:ascii="Times New Roman" w:hAnsi="Times New Roman"/>
        </w:rPr>
        <w:t>97(1)(b)</w:t>
      </w:r>
      <w:r w:rsidR="00E507F1" w:rsidRPr="00737152">
        <w:rPr>
          <w:rFonts w:ascii="Times New Roman" w:hAnsi="Times New Roman"/>
        </w:rPr>
        <w:t xml:space="preserve">, </w:t>
      </w:r>
      <w:r w:rsidR="000E16F9" w:rsidRPr="00737152">
        <w:rPr>
          <w:rFonts w:ascii="Times New Roman" w:hAnsi="Times New Roman"/>
        </w:rPr>
        <w:t>the court must think that the evidence will have significant probative value</w:t>
      </w:r>
      <w:r w:rsidR="00D33330" w:rsidRPr="00737152">
        <w:rPr>
          <w:rFonts w:ascii="Times New Roman" w:hAnsi="Times New Roman"/>
        </w:rPr>
        <w:t>, based on an assessment of the</w:t>
      </w:r>
      <w:r w:rsidR="000E16F9" w:rsidRPr="00737152">
        <w:rPr>
          <w:rFonts w:ascii="Times New Roman" w:hAnsi="Times New Roman"/>
        </w:rPr>
        <w:t xml:space="preserve"> </w:t>
      </w:r>
      <w:r w:rsidR="00171D33" w:rsidRPr="00737152">
        <w:rPr>
          <w:rFonts w:ascii="Times New Roman" w:hAnsi="Times New Roman"/>
        </w:rPr>
        <w:t xml:space="preserve">evidence </w:t>
      </w:r>
      <w:r w:rsidR="00E2581E" w:rsidRPr="00737152">
        <w:rPr>
          <w:rFonts w:ascii="Times New Roman" w:hAnsi="Times New Roman"/>
        </w:rPr>
        <w:t>both by itself and</w:t>
      </w:r>
      <w:r w:rsidR="00717170" w:rsidRPr="00737152">
        <w:rPr>
          <w:rFonts w:ascii="Times New Roman" w:hAnsi="Times New Roman"/>
        </w:rPr>
        <w:t xml:space="preserve"> </w:t>
      </w:r>
      <w:r w:rsidRPr="00737152">
        <w:rPr>
          <w:rFonts w:ascii="Times New Roman" w:hAnsi="Times New Roman"/>
        </w:rPr>
        <w:t>"having regard to other evidence adduced or to be adduced by the party seeking to adduce the evidence".</w:t>
      </w:r>
      <w:r w:rsidR="00DC17C8" w:rsidRPr="00737152">
        <w:rPr>
          <w:rFonts w:ascii="Times New Roman" w:hAnsi="Times New Roman"/>
        </w:rPr>
        <w:t xml:space="preserve"> </w:t>
      </w:r>
      <w:r w:rsidR="00AD23F2" w:rsidRPr="00737152">
        <w:rPr>
          <w:rFonts w:ascii="Times New Roman" w:hAnsi="Times New Roman"/>
        </w:rPr>
        <w:t xml:space="preserve">For evidence </w:t>
      </w:r>
      <w:r w:rsidR="00E92413" w:rsidRPr="00737152">
        <w:rPr>
          <w:rFonts w:ascii="Times New Roman" w:hAnsi="Times New Roman"/>
        </w:rPr>
        <w:t xml:space="preserve">to have </w:t>
      </w:r>
      <w:r w:rsidR="00F12A7F" w:rsidRPr="00737152">
        <w:rPr>
          <w:rFonts w:ascii="Times New Roman" w:hAnsi="Times New Roman"/>
        </w:rPr>
        <w:t>"</w:t>
      </w:r>
      <w:r w:rsidR="00E92413" w:rsidRPr="00737152">
        <w:rPr>
          <w:rFonts w:ascii="Times New Roman" w:hAnsi="Times New Roman"/>
        </w:rPr>
        <w:t>s</w:t>
      </w:r>
      <w:r w:rsidR="004721AB" w:rsidRPr="00737152">
        <w:rPr>
          <w:rFonts w:ascii="Times New Roman" w:hAnsi="Times New Roman"/>
        </w:rPr>
        <w:t>ignificant probative value</w:t>
      </w:r>
      <w:r w:rsidR="00F12A7F" w:rsidRPr="00737152">
        <w:rPr>
          <w:rFonts w:ascii="Times New Roman" w:hAnsi="Times New Roman"/>
        </w:rPr>
        <w:t>"</w:t>
      </w:r>
      <w:r w:rsidR="00E92413" w:rsidRPr="00737152">
        <w:rPr>
          <w:rFonts w:ascii="Times New Roman" w:hAnsi="Times New Roman"/>
        </w:rPr>
        <w:t xml:space="preserve">, it </w:t>
      </w:r>
      <w:r w:rsidR="00B82A48" w:rsidRPr="00737152">
        <w:rPr>
          <w:rFonts w:ascii="Times New Roman" w:hAnsi="Times New Roman"/>
        </w:rPr>
        <w:t xml:space="preserve">"should make more likely, to a significant extent, the facts that make up the elements of the </w:t>
      </w:r>
      <w:r w:rsidR="00CC3F38" w:rsidRPr="00737152">
        <w:rPr>
          <w:rFonts w:ascii="Times New Roman" w:hAnsi="Times New Roman"/>
        </w:rPr>
        <w:t>offence charged"</w:t>
      </w:r>
      <w:r w:rsidR="00CC3F38" w:rsidRPr="00737152">
        <w:rPr>
          <w:rStyle w:val="FootnoteReference"/>
          <w:rFonts w:ascii="Times New Roman" w:hAnsi="Times New Roman"/>
          <w:sz w:val="24"/>
        </w:rPr>
        <w:footnoteReference w:id="25"/>
      </w:r>
      <w:r w:rsidR="00464FE0" w:rsidRPr="00737152">
        <w:rPr>
          <w:rFonts w:ascii="Times New Roman" w:hAnsi="Times New Roman"/>
        </w:rPr>
        <w:t>; in other words, the evidence</w:t>
      </w:r>
      <w:r w:rsidR="00CC3F38" w:rsidRPr="00737152">
        <w:rPr>
          <w:rFonts w:ascii="Times New Roman" w:hAnsi="Times New Roman"/>
        </w:rPr>
        <w:t xml:space="preserve"> </w:t>
      </w:r>
      <w:r w:rsidR="004721AB" w:rsidRPr="00737152">
        <w:rPr>
          <w:rFonts w:ascii="Times New Roman" w:hAnsi="Times New Roman"/>
        </w:rPr>
        <w:t>must be "important" or "of consequence" to the assessment of the probability of the existence of a fact in issue</w:t>
      </w:r>
      <w:r w:rsidR="00E92413" w:rsidRPr="00737152">
        <w:rPr>
          <w:rStyle w:val="FootnoteReference"/>
          <w:rFonts w:ascii="Times New Roman" w:hAnsi="Times New Roman"/>
          <w:sz w:val="24"/>
        </w:rPr>
        <w:footnoteReference w:id="26"/>
      </w:r>
      <w:r w:rsidR="009307E3" w:rsidRPr="00737152">
        <w:rPr>
          <w:rFonts w:ascii="Times New Roman" w:hAnsi="Times New Roman"/>
        </w:rPr>
        <w:t>.</w:t>
      </w:r>
      <w:r w:rsidR="00733AB9" w:rsidRPr="00737152">
        <w:rPr>
          <w:rFonts w:ascii="Times New Roman" w:hAnsi="Times New Roman"/>
        </w:rPr>
        <w:t xml:space="preserve"> </w:t>
      </w:r>
      <w:r w:rsidR="00C7313F" w:rsidRPr="00737152">
        <w:rPr>
          <w:rFonts w:ascii="Times New Roman" w:hAnsi="Times New Roman"/>
        </w:rPr>
        <w:t>It is sufficient if the disputed evidence toge</w:t>
      </w:r>
      <w:r w:rsidR="004C3238" w:rsidRPr="00737152">
        <w:rPr>
          <w:rFonts w:ascii="Times New Roman" w:hAnsi="Times New Roman"/>
        </w:rPr>
        <w:t>th</w:t>
      </w:r>
      <w:r w:rsidR="00C7313F" w:rsidRPr="00737152">
        <w:rPr>
          <w:rFonts w:ascii="Times New Roman" w:hAnsi="Times New Roman"/>
        </w:rPr>
        <w:t xml:space="preserve">er with </w:t>
      </w:r>
      <w:r w:rsidR="00C7313F" w:rsidRPr="00737152">
        <w:rPr>
          <w:rFonts w:ascii="Times New Roman" w:hAnsi="Times New Roman"/>
        </w:rPr>
        <w:lastRenderedPageBreak/>
        <w:t>other evidence</w:t>
      </w:r>
      <w:r w:rsidR="00C7313F" w:rsidRPr="00737152">
        <w:rPr>
          <w:rFonts w:ascii="Times New Roman" w:hAnsi="Times New Roman"/>
          <w:i/>
          <w:iCs/>
        </w:rPr>
        <w:t xml:space="preserve"> </w:t>
      </w:r>
      <w:r w:rsidR="00C7313F" w:rsidRPr="00737152">
        <w:rPr>
          <w:rFonts w:ascii="Times New Roman" w:hAnsi="Times New Roman"/>
        </w:rPr>
        <w:t>makes significantly more likely any facts making up the elements of the offence charged</w:t>
      </w:r>
      <w:r w:rsidR="00C7313F" w:rsidRPr="00737152">
        <w:rPr>
          <w:rStyle w:val="FootnoteReference"/>
          <w:rFonts w:ascii="Times New Roman" w:hAnsi="Times New Roman"/>
          <w:sz w:val="24"/>
        </w:rPr>
        <w:footnoteReference w:id="27"/>
      </w:r>
      <w:r w:rsidR="00C7313F" w:rsidRPr="00737152">
        <w:rPr>
          <w:rFonts w:ascii="Times New Roman" w:hAnsi="Times New Roman"/>
        </w:rPr>
        <w:t>.</w:t>
      </w:r>
    </w:p>
    <w:p w14:paraId="1E0D5487" w14:textId="6EFC0C72" w:rsidR="00F43485" w:rsidRPr="00737152" w:rsidRDefault="008B3762"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574102" w:rsidRPr="00737152">
        <w:rPr>
          <w:rFonts w:ascii="Times New Roman" w:hAnsi="Times New Roman"/>
        </w:rPr>
        <w:t>There is no general rule that demands or requires close similarity between the conduct evidencing the tendency and the offence</w:t>
      </w:r>
      <w:r w:rsidR="00574102" w:rsidRPr="00737152">
        <w:rPr>
          <w:rStyle w:val="FootnoteReference"/>
          <w:rFonts w:ascii="Times New Roman" w:hAnsi="Times New Roman"/>
          <w:sz w:val="24"/>
        </w:rPr>
        <w:footnoteReference w:id="28"/>
      </w:r>
      <w:r w:rsidR="00574102" w:rsidRPr="00737152">
        <w:rPr>
          <w:rFonts w:ascii="Times New Roman" w:hAnsi="Times New Roman"/>
        </w:rPr>
        <w:t>. Such a rule is not required by the text of s 97. The authorities establish that similarity is relevant to, but not determinative of, probative value</w:t>
      </w:r>
      <w:r w:rsidR="00574102" w:rsidRPr="00737152">
        <w:rPr>
          <w:rStyle w:val="FootnoteReference"/>
          <w:rFonts w:ascii="Times New Roman" w:hAnsi="Times New Roman"/>
          <w:sz w:val="24"/>
        </w:rPr>
        <w:footnoteReference w:id="29"/>
      </w:r>
      <w:r w:rsidR="00574102" w:rsidRPr="00737152">
        <w:rPr>
          <w:rFonts w:ascii="Times New Roman" w:hAnsi="Times New Roman"/>
        </w:rPr>
        <w:t>.</w:t>
      </w:r>
      <w:r w:rsidR="005E6326" w:rsidRPr="00737152">
        <w:rPr>
          <w:rFonts w:ascii="Times New Roman" w:hAnsi="Times New Roman"/>
        </w:rPr>
        <w:t xml:space="preserve"> Indeed, universal rules are to be avoided</w:t>
      </w:r>
      <w:r w:rsidR="0031171D" w:rsidRPr="00737152">
        <w:rPr>
          <w:rFonts w:ascii="Times New Roman" w:hAnsi="Times New Roman"/>
        </w:rPr>
        <w:t>,</w:t>
      </w:r>
      <w:r w:rsidR="005E6326" w:rsidRPr="00737152">
        <w:rPr>
          <w:rFonts w:ascii="Times New Roman" w:hAnsi="Times New Roman"/>
        </w:rPr>
        <w:t xml:space="preserve"> as the relevant facts are determinative in tendency cases</w:t>
      </w:r>
      <w:r w:rsidR="005E6326" w:rsidRPr="00737152">
        <w:rPr>
          <w:rStyle w:val="FootnoteReference"/>
          <w:rFonts w:ascii="Times New Roman" w:hAnsi="Times New Roman"/>
          <w:sz w:val="24"/>
        </w:rPr>
        <w:footnoteReference w:id="30"/>
      </w:r>
      <w:r w:rsidR="005E6326" w:rsidRPr="00737152">
        <w:rPr>
          <w:rFonts w:ascii="Times New Roman" w:hAnsi="Times New Roman"/>
        </w:rPr>
        <w:t>.</w:t>
      </w:r>
      <w:r w:rsidR="00574102" w:rsidRPr="00737152">
        <w:rPr>
          <w:rFonts w:ascii="Times New Roman" w:hAnsi="Times New Roman"/>
        </w:rPr>
        <w:t xml:space="preserve"> </w:t>
      </w:r>
      <w:r w:rsidR="00A079DB" w:rsidRPr="00737152">
        <w:rPr>
          <w:rFonts w:ascii="Times New Roman" w:hAnsi="Times New Roman"/>
        </w:rPr>
        <w:t xml:space="preserve">Other things being equal, </w:t>
      </w:r>
      <w:r w:rsidR="002F5861" w:rsidRPr="00737152">
        <w:rPr>
          <w:rFonts w:ascii="Times New Roman" w:hAnsi="Times New Roman"/>
        </w:rPr>
        <w:t>e</w:t>
      </w:r>
      <w:r w:rsidR="008D0598" w:rsidRPr="00737152">
        <w:rPr>
          <w:rFonts w:ascii="Times New Roman" w:hAnsi="Times New Roman"/>
        </w:rPr>
        <w:t>vidence of a more general</w:t>
      </w:r>
      <w:r w:rsidR="007F7BF6" w:rsidRPr="00737152">
        <w:rPr>
          <w:rFonts w:ascii="Times New Roman" w:hAnsi="Times New Roman"/>
        </w:rPr>
        <w:t>ly expressed</w:t>
      </w:r>
      <w:r w:rsidR="008D0598" w:rsidRPr="00737152">
        <w:rPr>
          <w:rFonts w:ascii="Times New Roman" w:hAnsi="Times New Roman"/>
        </w:rPr>
        <w:t xml:space="preserve"> tendency </w:t>
      </w:r>
      <w:r w:rsidR="00D75589" w:rsidRPr="00737152">
        <w:rPr>
          <w:rFonts w:ascii="Times New Roman" w:hAnsi="Times New Roman"/>
        </w:rPr>
        <w:t>is less likely to satisfy the threshold of "significant probative value"</w:t>
      </w:r>
      <w:r w:rsidR="005F6990" w:rsidRPr="00737152">
        <w:rPr>
          <w:rStyle w:val="FootnoteReference"/>
          <w:rFonts w:ascii="Times New Roman" w:hAnsi="Times New Roman"/>
          <w:sz w:val="24"/>
        </w:rPr>
        <w:footnoteReference w:id="31"/>
      </w:r>
      <w:r w:rsidR="00A079DB" w:rsidRPr="00737152">
        <w:rPr>
          <w:rFonts w:ascii="Times New Roman" w:hAnsi="Times New Roman"/>
        </w:rPr>
        <w:t>.</w:t>
      </w:r>
      <w:r w:rsidR="00D75589" w:rsidRPr="00737152">
        <w:rPr>
          <w:rFonts w:ascii="Times New Roman" w:hAnsi="Times New Roman"/>
        </w:rPr>
        <w:t xml:space="preserve"> </w:t>
      </w:r>
      <w:r w:rsidR="00604A3A" w:rsidRPr="00737152">
        <w:rPr>
          <w:rFonts w:ascii="Times New Roman" w:hAnsi="Times New Roman"/>
        </w:rPr>
        <w:t>That is because</w:t>
      </w:r>
      <w:r w:rsidR="001B4928" w:rsidRPr="00737152">
        <w:rPr>
          <w:rFonts w:ascii="Times New Roman" w:hAnsi="Times New Roman"/>
        </w:rPr>
        <w:t>, while</w:t>
      </w:r>
      <w:r w:rsidR="00604A3A" w:rsidRPr="00737152">
        <w:rPr>
          <w:rFonts w:ascii="Times New Roman" w:hAnsi="Times New Roman"/>
        </w:rPr>
        <w:t xml:space="preserve"> generalised tendency notices may be supported by a broader array of evidence</w:t>
      </w:r>
      <w:r w:rsidR="00913BF0" w:rsidRPr="00737152">
        <w:rPr>
          <w:rFonts w:ascii="Times New Roman" w:hAnsi="Times New Roman"/>
        </w:rPr>
        <w:t>,</w:t>
      </w:r>
      <w:r w:rsidR="00604A3A" w:rsidRPr="00737152">
        <w:rPr>
          <w:rFonts w:ascii="Times New Roman" w:hAnsi="Times New Roman"/>
        </w:rPr>
        <w:t xml:space="preserve"> th</w:t>
      </w:r>
      <w:r w:rsidR="00752EEE" w:rsidRPr="00737152">
        <w:rPr>
          <w:rFonts w:ascii="Times New Roman" w:hAnsi="Times New Roman"/>
        </w:rPr>
        <w:t>at evidence</w:t>
      </w:r>
      <w:r w:rsidR="001639A1" w:rsidRPr="00737152">
        <w:rPr>
          <w:rFonts w:ascii="Times New Roman" w:hAnsi="Times New Roman"/>
        </w:rPr>
        <w:t xml:space="preserve"> w</w:t>
      </w:r>
      <w:r w:rsidR="006A735E" w:rsidRPr="00737152">
        <w:rPr>
          <w:rFonts w:ascii="Times New Roman" w:hAnsi="Times New Roman"/>
        </w:rPr>
        <w:t>ill</w:t>
      </w:r>
      <w:r w:rsidR="00604A3A" w:rsidRPr="00737152">
        <w:rPr>
          <w:rFonts w:ascii="Times New Roman" w:hAnsi="Times New Roman"/>
        </w:rPr>
        <w:t xml:space="preserve"> often not </w:t>
      </w:r>
      <w:r w:rsidR="006A735E" w:rsidRPr="00737152">
        <w:rPr>
          <w:rFonts w:ascii="Times New Roman" w:hAnsi="Times New Roman"/>
        </w:rPr>
        <w:t xml:space="preserve">be </w:t>
      </w:r>
      <w:r w:rsidR="00604A3A" w:rsidRPr="00737152">
        <w:rPr>
          <w:rFonts w:ascii="Times New Roman" w:hAnsi="Times New Roman"/>
        </w:rPr>
        <w:t>significantly probative of the fact or facts in issue</w:t>
      </w:r>
      <w:r w:rsidR="00604A3A" w:rsidRPr="00737152">
        <w:rPr>
          <w:rStyle w:val="FootnoteReference"/>
          <w:rFonts w:ascii="Times New Roman" w:hAnsi="Times New Roman"/>
          <w:sz w:val="24"/>
        </w:rPr>
        <w:footnoteReference w:id="32"/>
      </w:r>
      <w:r w:rsidR="00604A3A" w:rsidRPr="00737152">
        <w:rPr>
          <w:rFonts w:ascii="Times New Roman" w:hAnsi="Times New Roman"/>
        </w:rPr>
        <w:t>. The specificity of the tendency has a direct impact on the strength of the inferential mode of reasoning</w:t>
      </w:r>
      <w:r w:rsidR="00DB2AE7" w:rsidRPr="00737152">
        <w:rPr>
          <w:rStyle w:val="FootnoteReference"/>
          <w:rFonts w:ascii="Times New Roman" w:hAnsi="Times New Roman"/>
          <w:sz w:val="24"/>
        </w:rPr>
        <w:footnoteReference w:id="33"/>
      </w:r>
      <w:r w:rsidR="00604A3A" w:rsidRPr="00737152">
        <w:rPr>
          <w:rFonts w:ascii="Times New Roman" w:hAnsi="Times New Roman"/>
        </w:rPr>
        <w:t>. Put in different terms, that is why tendency evidence must have significant probative value</w:t>
      </w:r>
      <w:r w:rsidR="00DB2AE7" w:rsidRPr="00737152">
        <w:rPr>
          <w:rStyle w:val="FootnoteReference"/>
          <w:rFonts w:ascii="Times New Roman" w:hAnsi="Times New Roman"/>
          <w:sz w:val="24"/>
        </w:rPr>
        <w:footnoteReference w:id="34"/>
      </w:r>
      <w:r w:rsidR="00604A3A" w:rsidRPr="00737152">
        <w:rPr>
          <w:rFonts w:ascii="Times New Roman" w:hAnsi="Times New Roman"/>
        </w:rPr>
        <w:t>. Otherwise, s 97 is reduced to relevance</w:t>
      </w:r>
      <w:r w:rsidR="00474432" w:rsidRPr="00737152">
        <w:rPr>
          <w:rFonts w:ascii="Times New Roman" w:hAnsi="Times New Roman"/>
        </w:rPr>
        <w:t>,</w:t>
      </w:r>
      <w:r w:rsidR="00604A3A" w:rsidRPr="00737152">
        <w:rPr>
          <w:rFonts w:ascii="Times New Roman" w:hAnsi="Times New Roman"/>
        </w:rPr>
        <w:t xml:space="preserve"> which is addressed in s 55</w:t>
      </w:r>
      <w:r w:rsidR="00DB2AE7" w:rsidRPr="00737152">
        <w:rPr>
          <w:rStyle w:val="FootnoteReference"/>
          <w:rFonts w:ascii="Times New Roman" w:hAnsi="Times New Roman"/>
          <w:sz w:val="24"/>
        </w:rPr>
        <w:footnoteReference w:id="35"/>
      </w:r>
      <w:r w:rsidR="00604A3A" w:rsidRPr="00737152">
        <w:rPr>
          <w:rFonts w:ascii="Times New Roman" w:hAnsi="Times New Roman"/>
        </w:rPr>
        <w:t>.</w:t>
      </w:r>
    </w:p>
    <w:p w14:paraId="70D5D559" w14:textId="567659DD" w:rsidR="006E23A5" w:rsidRPr="00737152" w:rsidRDefault="00773276"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D7098E" w:rsidRPr="00737152">
        <w:rPr>
          <w:rFonts w:ascii="Times New Roman" w:hAnsi="Times New Roman"/>
        </w:rPr>
        <w:t xml:space="preserve">The </w:t>
      </w:r>
      <w:r w:rsidR="008D3A01" w:rsidRPr="00737152">
        <w:rPr>
          <w:rFonts w:ascii="Times New Roman" w:hAnsi="Times New Roman"/>
        </w:rPr>
        <w:t>majority</w:t>
      </w:r>
      <w:r w:rsidR="00D7098E" w:rsidRPr="00737152">
        <w:rPr>
          <w:rFonts w:ascii="Times New Roman" w:hAnsi="Times New Roman"/>
        </w:rPr>
        <w:t xml:space="preserve">'s observation in </w:t>
      </w:r>
      <w:r w:rsidR="00D7098E" w:rsidRPr="00737152">
        <w:rPr>
          <w:rFonts w:ascii="Times New Roman" w:hAnsi="Times New Roman"/>
          <w:i/>
          <w:iCs/>
        </w:rPr>
        <w:t xml:space="preserve">Hughes </w:t>
      </w:r>
      <w:r w:rsidR="00D7098E" w:rsidRPr="00737152">
        <w:rPr>
          <w:rFonts w:ascii="Times New Roman" w:hAnsi="Times New Roman"/>
        </w:rPr>
        <w:t>as to the general requirement for "close similarity" whe</w:t>
      </w:r>
      <w:r w:rsidR="00FF235E" w:rsidRPr="00737152">
        <w:rPr>
          <w:rFonts w:ascii="Times New Roman" w:hAnsi="Times New Roman"/>
        </w:rPr>
        <w:t>re</w:t>
      </w:r>
      <w:r w:rsidR="00D7098E" w:rsidRPr="00737152">
        <w:rPr>
          <w:rFonts w:ascii="Times New Roman" w:hAnsi="Times New Roman"/>
        </w:rPr>
        <w:t xml:space="preserve"> identi</w:t>
      </w:r>
      <w:r w:rsidR="00FF235E" w:rsidRPr="00737152">
        <w:rPr>
          <w:rFonts w:ascii="Times New Roman" w:hAnsi="Times New Roman"/>
        </w:rPr>
        <w:t xml:space="preserve">ty is the relevant fact in issue should be understood </w:t>
      </w:r>
      <w:r w:rsidR="006162F4" w:rsidRPr="00737152">
        <w:rPr>
          <w:rFonts w:ascii="Times New Roman" w:hAnsi="Times New Roman"/>
        </w:rPr>
        <w:lastRenderedPageBreak/>
        <w:t>as postulating</w:t>
      </w:r>
      <w:r w:rsidR="0029340C" w:rsidRPr="00737152">
        <w:rPr>
          <w:rFonts w:ascii="Times New Roman" w:hAnsi="Times New Roman"/>
        </w:rPr>
        <w:t xml:space="preserve"> </w:t>
      </w:r>
      <w:r w:rsidR="00897C13" w:rsidRPr="00737152">
        <w:rPr>
          <w:rFonts w:ascii="Times New Roman" w:hAnsi="Times New Roman"/>
        </w:rPr>
        <w:t>a</w:t>
      </w:r>
      <w:r w:rsidR="0029340C" w:rsidRPr="00737152">
        <w:rPr>
          <w:rFonts w:ascii="Times New Roman" w:hAnsi="Times New Roman"/>
        </w:rPr>
        <w:t xml:space="preserve"> </w:t>
      </w:r>
      <w:r w:rsidR="008D7E71" w:rsidRPr="00737152">
        <w:rPr>
          <w:rFonts w:ascii="Times New Roman" w:hAnsi="Times New Roman"/>
        </w:rPr>
        <w:t xml:space="preserve">situation in which there is </w:t>
      </w:r>
      <w:r w:rsidR="005D3C5C" w:rsidRPr="00737152">
        <w:rPr>
          <w:rFonts w:ascii="Times New Roman" w:hAnsi="Times New Roman"/>
        </w:rPr>
        <w:t>little or no other evidence</w:t>
      </w:r>
      <w:r w:rsidR="005D7349" w:rsidRPr="00737152">
        <w:rPr>
          <w:rFonts w:ascii="Times New Roman" w:hAnsi="Times New Roman"/>
        </w:rPr>
        <w:t xml:space="preserve"> of identity apart from the tendency evidence</w:t>
      </w:r>
      <w:r w:rsidR="008A404C" w:rsidRPr="00737152">
        <w:rPr>
          <w:rFonts w:ascii="Times New Roman" w:hAnsi="Times New Roman"/>
        </w:rPr>
        <w:t>, and the identity of the perpetrator is "at large"</w:t>
      </w:r>
      <w:r w:rsidR="008D7E71" w:rsidRPr="00737152">
        <w:rPr>
          <w:rStyle w:val="FootnoteReference"/>
          <w:rFonts w:ascii="Times New Roman" w:hAnsi="Times New Roman"/>
          <w:sz w:val="24"/>
        </w:rPr>
        <w:footnoteReference w:id="36"/>
      </w:r>
      <w:r w:rsidR="005D7349" w:rsidRPr="00737152">
        <w:rPr>
          <w:rFonts w:ascii="Times New Roman" w:hAnsi="Times New Roman"/>
        </w:rPr>
        <w:t>.</w:t>
      </w:r>
      <w:r w:rsidR="00FF235E" w:rsidRPr="00737152">
        <w:rPr>
          <w:rFonts w:ascii="Times New Roman" w:hAnsi="Times New Roman"/>
        </w:rPr>
        <w:t xml:space="preserve"> </w:t>
      </w:r>
      <w:r w:rsidR="00D07027" w:rsidRPr="00737152">
        <w:rPr>
          <w:rFonts w:ascii="Times New Roman" w:hAnsi="Times New Roman"/>
        </w:rPr>
        <w:t xml:space="preserve">In this case, </w:t>
      </w:r>
      <w:r w:rsidR="00FF37FA" w:rsidRPr="00737152">
        <w:rPr>
          <w:rFonts w:ascii="Times New Roman" w:hAnsi="Times New Roman"/>
        </w:rPr>
        <w:t>the</w:t>
      </w:r>
      <w:r w:rsidR="00CE3722" w:rsidRPr="00737152">
        <w:rPr>
          <w:rFonts w:ascii="Times New Roman" w:hAnsi="Times New Roman"/>
        </w:rPr>
        <w:t xml:space="preserve">re was important evidence of identity, </w:t>
      </w:r>
      <w:r w:rsidR="00EC2065" w:rsidRPr="00737152">
        <w:rPr>
          <w:rFonts w:ascii="Times New Roman" w:hAnsi="Times New Roman"/>
        </w:rPr>
        <w:t xml:space="preserve">including </w:t>
      </w:r>
      <w:r w:rsidR="00CE3722" w:rsidRPr="00737152">
        <w:rPr>
          <w:rFonts w:ascii="Times New Roman" w:hAnsi="Times New Roman"/>
        </w:rPr>
        <w:t>the</w:t>
      </w:r>
      <w:r w:rsidR="00FF37FA" w:rsidRPr="00737152">
        <w:rPr>
          <w:rFonts w:ascii="Times New Roman" w:hAnsi="Times New Roman"/>
        </w:rPr>
        <w:t xml:space="preserve"> evidence that </w:t>
      </w:r>
      <w:r w:rsidR="00EC2065" w:rsidRPr="00737152">
        <w:rPr>
          <w:rFonts w:ascii="Times New Roman" w:hAnsi="Times New Roman"/>
        </w:rPr>
        <w:t xml:space="preserve">the appellant was one of </w:t>
      </w:r>
      <w:r w:rsidR="00FF37FA" w:rsidRPr="00737152">
        <w:rPr>
          <w:rFonts w:ascii="Times New Roman" w:hAnsi="Times New Roman"/>
        </w:rPr>
        <w:t>only three persons</w:t>
      </w:r>
      <w:r w:rsidR="00441399" w:rsidRPr="00737152">
        <w:rPr>
          <w:rFonts w:ascii="Times New Roman" w:hAnsi="Times New Roman"/>
        </w:rPr>
        <w:t xml:space="preserve"> who</w:t>
      </w:r>
      <w:r w:rsidR="00FF37FA" w:rsidRPr="00737152">
        <w:rPr>
          <w:rFonts w:ascii="Times New Roman" w:hAnsi="Times New Roman"/>
        </w:rPr>
        <w:t xml:space="preserve"> had the opportunity to </w:t>
      </w:r>
      <w:r w:rsidR="009663E3" w:rsidRPr="00737152">
        <w:rPr>
          <w:rFonts w:ascii="Times New Roman" w:hAnsi="Times New Roman"/>
        </w:rPr>
        <w:t xml:space="preserve">inflict the fatal injuries </w:t>
      </w:r>
      <w:r w:rsidR="0033310F" w:rsidRPr="00737152">
        <w:rPr>
          <w:rFonts w:ascii="Times New Roman" w:hAnsi="Times New Roman"/>
        </w:rPr>
        <w:t xml:space="preserve">and the </w:t>
      </w:r>
      <w:r w:rsidR="00B703BC" w:rsidRPr="00737152">
        <w:rPr>
          <w:rFonts w:ascii="Times New Roman" w:hAnsi="Times New Roman"/>
        </w:rPr>
        <w:t xml:space="preserve">evidence pointing against the likelihood that </w:t>
      </w:r>
      <w:r w:rsidR="00111167" w:rsidRPr="00737152">
        <w:rPr>
          <w:rFonts w:ascii="Times New Roman" w:hAnsi="Times New Roman"/>
        </w:rPr>
        <w:t>either the mother or the nephew was the perpetrator</w:t>
      </w:r>
      <w:r w:rsidR="00CE3722" w:rsidRPr="00737152">
        <w:rPr>
          <w:rFonts w:ascii="Times New Roman" w:hAnsi="Times New Roman"/>
        </w:rPr>
        <w:t>.</w:t>
      </w:r>
      <w:r w:rsidR="0033310F" w:rsidRPr="00737152">
        <w:rPr>
          <w:rFonts w:ascii="Times New Roman" w:hAnsi="Times New Roman"/>
        </w:rPr>
        <w:t xml:space="preserve"> In the fac</w:t>
      </w:r>
      <w:r w:rsidR="00CE3722" w:rsidRPr="00737152">
        <w:rPr>
          <w:rFonts w:ascii="Times New Roman" w:hAnsi="Times New Roman"/>
        </w:rPr>
        <w:t>e</w:t>
      </w:r>
      <w:r w:rsidR="0033310F" w:rsidRPr="00737152">
        <w:rPr>
          <w:rFonts w:ascii="Times New Roman" w:hAnsi="Times New Roman"/>
        </w:rPr>
        <w:t xml:space="preserve"> of this </w:t>
      </w:r>
      <w:r w:rsidR="00CE3722" w:rsidRPr="00737152">
        <w:rPr>
          <w:rFonts w:ascii="Times New Roman" w:hAnsi="Times New Roman"/>
        </w:rPr>
        <w:t xml:space="preserve">important </w:t>
      </w:r>
      <w:r w:rsidR="0033310F" w:rsidRPr="00737152">
        <w:rPr>
          <w:rFonts w:ascii="Times New Roman" w:hAnsi="Times New Roman"/>
        </w:rPr>
        <w:t>evidence</w:t>
      </w:r>
      <w:r w:rsidR="00EC7459" w:rsidRPr="00737152">
        <w:rPr>
          <w:rFonts w:ascii="Times New Roman" w:hAnsi="Times New Roman"/>
        </w:rPr>
        <w:t xml:space="preserve">, it </w:t>
      </w:r>
      <w:r w:rsidR="00552DC4" w:rsidRPr="00737152">
        <w:rPr>
          <w:rFonts w:ascii="Times New Roman" w:hAnsi="Times New Roman"/>
        </w:rPr>
        <w:t xml:space="preserve">could not </w:t>
      </w:r>
      <w:r w:rsidR="00421FDA" w:rsidRPr="00737152">
        <w:rPr>
          <w:rFonts w:ascii="Times New Roman" w:hAnsi="Times New Roman"/>
        </w:rPr>
        <w:t>be assumed</w:t>
      </w:r>
      <w:r w:rsidR="00EC7459" w:rsidRPr="00737152">
        <w:rPr>
          <w:rFonts w:ascii="Times New Roman" w:hAnsi="Times New Roman"/>
        </w:rPr>
        <w:t xml:space="preserve"> that "close similarity" </w:t>
      </w:r>
      <w:r w:rsidR="00F2300F" w:rsidRPr="00737152">
        <w:rPr>
          <w:rFonts w:ascii="Times New Roman" w:hAnsi="Times New Roman"/>
        </w:rPr>
        <w:t>between the conduct evidencing the tendency and the offence</w:t>
      </w:r>
      <w:r w:rsidR="00EC7459" w:rsidRPr="00737152">
        <w:rPr>
          <w:rFonts w:ascii="Times New Roman" w:hAnsi="Times New Roman"/>
        </w:rPr>
        <w:t xml:space="preserve"> </w:t>
      </w:r>
      <w:r w:rsidR="00552DC4" w:rsidRPr="00737152">
        <w:rPr>
          <w:rFonts w:ascii="Times New Roman" w:hAnsi="Times New Roman"/>
        </w:rPr>
        <w:t>was</w:t>
      </w:r>
      <w:r w:rsidR="0031543E" w:rsidRPr="00737152">
        <w:rPr>
          <w:rFonts w:ascii="Times New Roman" w:hAnsi="Times New Roman"/>
        </w:rPr>
        <w:t xml:space="preserve"> required to meet the threshold of significant probative value</w:t>
      </w:r>
      <w:r w:rsidR="00111167" w:rsidRPr="00737152">
        <w:rPr>
          <w:rFonts w:ascii="Times New Roman" w:hAnsi="Times New Roman"/>
        </w:rPr>
        <w:t>.</w:t>
      </w:r>
    </w:p>
    <w:p w14:paraId="3091F5DC" w14:textId="1B81911B" w:rsidR="009652AC" w:rsidRPr="00737152" w:rsidRDefault="00A51E23" w:rsidP="00737152">
      <w:pPr>
        <w:pStyle w:val="FixListStyle"/>
        <w:spacing w:after="260" w:line="280" w:lineRule="exact"/>
        <w:ind w:right="0"/>
        <w:jc w:val="both"/>
        <w:rPr>
          <w:rFonts w:ascii="Times New Roman" w:hAnsi="Times New Roman"/>
        </w:rPr>
      </w:pPr>
      <w:r w:rsidRPr="00737152">
        <w:rPr>
          <w:rFonts w:ascii="Times New Roman" w:hAnsi="Times New Roman"/>
        </w:rPr>
        <w:tab/>
        <w:t xml:space="preserve">The appellant's contention </w:t>
      </w:r>
      <w:r w:rsidR="00D2547E" w:rsidRPr="00737152">
        <w:rPr>
          <w:rFonts w:ascii="Times New Roman" w:hAnsi="Times New Roman"/>
        </w:rPr>
        <w:t>that</w:t>
      </w:r>
      <w:r w:rsidR="001E48A5" w:rsidRPr="00737152">
        <w:rPr>
          <w:rFonts w:ascii="Times New Roman" w:hAnsi="Times New Roman"/>
        </w:rPr>
        <w:t>,</w:t>
      </w:r>
      <w:r w:rsidR="00C323B6" w:rsidRPr="00737152">
        <w:rPr>
          <w:rFonts w:ascii="Times New Roman" w:hAnsi="Times New Roman"/>
        </w:rPr>
        <w:t xml:space="preserve"> </w:t>
      </w:r>
      <w:r w:rsidR="001E48A5" w:rsidRPr="00737152">
        <w:rPr>
          <w:rFonts w:ascii="Times New Roman" w:hAnsi="Times New Roman"/>
        </w:rPr>
        <w:t xml:space="preserve">to meet the threshold of significant probative value of identity, </w:t>
      </w:r>
      <w:r w:rsidR="00F92FD0" w:rsidRPr="00737152">
        <w:rPr>
          <w:rFonts w:ascii="Times New Roman" w:hAnsi="Times New Roman"/>
        </w:rPr>
        <w:t xml:space="preserve">the asserted tendency must be able to identify </w:t>
      </w:r>
      <w:r w:rsidR="00055219" w:rsidRPr="00737152">
        <w:rPr>
          <w:rFonts w:ascii="Times New Roman" w:hAnsi="Times New Roman"/>
        </w:rPr>
        <w:t>an</w:t>
      </w:r>
      <w:r w:rsidR="00F92FD0" w:rsidRPr="00737152">
        <w:rPr>
          <w:rFonts w:ascii="Times New Roman" w:hAnsi="Times New Roman"/>
        </w:rPr>
        <w:t xml:space="preserve"> accused from the other potential perpetrators of the charged offence</w:t>
      </w:r>
      <w:r w:rsidR="00FE0F22" w:rsidRPr="00737152">
        <w:rPr>
          <w:rFonts w:ascii="Times New Roman" w:hAnsi="Times New Roman"/>
        </w:rPr>
        <w:t xml:space="preserve"> </w:t>
      </w:r>
      <w:r w:rsidR="001D4DE6" w:rsidRPr="00737152">
        <w:rPr>
          <w:rFonts w:ascii="Times New Roman" w:hAnsi="Times New Roman"/>
        </w:rPr>
        <w:t xml:space="preserve">tends to </w:t>
      </w:r>
      <w:r w:rsidR="004B2B21" w:rsidRPr="00737152">
        <w:rPr>
          <w:rFonts w:ascii="Times New Roman" w:hAnsi="Times New Roman"/>
        </w:rPr>
        <w:t xml:space="preserve">conflate probative value and proof. </w:t>
      </w:r>
      <w:r w:rsidR="00631B8E" w:rsidRPr="00737152">
        <w:rPr>
          <w:rFonts w:ascii="Times New Roman" w:hAnsi="Times New Roman"/>
        </w:rPr>
        <w:t>I</w:t>
      </w:r>
      <w:r w:rsidR="00BF6857" w:rsidRPr="00737152">
        <w:rPr>
          <w:rFonts w:ascii="Times New Roman" w:hAnsi="Times New Roman"/>
        </w:rPr>
        <w:t>n this case, the issue is</w:t>
      </w:r>
      <w:r w:rsidR="00106BA9" w:rsidRPr="00737152">
        <w:rPr>
          <w:rFonts w:ascii="Times New Roman" w:hAnsi="Times New Roman"/>
        </w:rPr>
        <w:t xml:space="preserve"> </w:t>
      </w:r>
      <w:r w:rsidR="00984EF5" w:rsidRPr="00737152">
        <w:rPr>
          <w:rFonts w:ascii="Times New Roman" w:hAnsi="Times New Roman"/>
        </w:rPr>
        <w:t>whether</w:t>
      </w:r>
      <w:r w:rsidR="00106BA9" w:rsidRPr="00737152">
        <w:rPr>
          <w:rFonts w:ascii="Times New Roman" w:hAnsi="Times New Roman"/>
        </w:rPr>
        <w:t xml:space="preserve"> the tendency evidence could rationally </w:t>
      </w:r>
      <w:r w:rsidR="001A61E3" w:rsidRPr="00737152">
        <w:rPr>
          <w:rFonts w:ascii="Times New Roman" w:hAnsi="Times New Roman"/>
        </w:rPr>
        <w:t xml:space="preserve">make </w:t>
      </w:r>
      <w:r w:rsidR="00BF190C" w:rsidRPr="00737152">
        <w:rPr>
          <w:rFonts w:ascii="Times New Roman" w:hAnsi="Times New Roman"/>
        </w:rPr>
        <w:t xml:space="preserve">it </w:t>
      </w:r>
      <w:r w:rsidR="001A61E3" w:rsidRPr="00737152">
        <w:rPr>
          <w:rFonts w:ascii="Times New Roman" w:hAnsi="Times New Roman"/>
        </w:rPr>
        <w:t>more likely, to a significant extent,</w:t>
      </w:r>
      <w:r w:rsidR="00106BA9" w:rsidRPr="00737152">
        <w:rPr>
          <w:rFonts w:ascii="Times New Roman" w:hAnsi="Times New Roman"/>
        </w:rPr>
        <w:t xml:space="preserve"> that the appellant </w:t>
      </w:r>
      <w:r w:rsidR="00EC0895" w:rsidRPr="00737152">
        <w:rPr>
          <w:rFonts w:ascii="Times New Roman" w:hAnsi="Times New Roman"/>
        </w:rPr>
        <w:t>inflicted the blunt force trauma (or</w:t>
      </w:r>
      <w:r w:rsidR="00115C70" w:rsidRPr="00737152">
        <w:rPr>
          <w:rFonts w:ascii="Times New Roman" w:hAnsi="Times New Roman"/>
        </w:rPr>
        <w:t>, conversely,</w:t>
      </w:r>
      <w:r w:rsidR="00EC0895" w:rsidRPr="00737152">
        <w:rPr>
          <w:rFonts w:ascii="Times New Roman" w:hAnsi="Times New Roman"/>
        </w:rPr>
        <w:t xml:space="preserve"> </w:t>
      </w:r>
      <w:r w:rsidR="009324EB" w:rsidRPr="00737152">
        <w:rPr>
          <w:rFonts w:ascii="Times New Roman" w:hAnsi="Times New Roman"/>
        </w:rPr>
        <w:t>make</w:t>
      </w:r>
      <w:r w:rsidR="00351DFB" w:rsidRPr="00737152">
        <w:rPr>
          <w:rFonts w:ascii="Times New Roman" w:hAnsi="Times New Roman"/>
        </w:rPr>
        <w:t xml:space="preserve"> it</w:t>
      </w:r>
      <w:r w:rsidR="009324EB" w:rsidRPr="00737152">
        <w:rPr>
          <w:rFonts w:ascii="Times New Roman" w:hAnsi="Times New Roman"/>
        </w:rPr>
        <w:t xml:space="preserve"> </w:t>
      </w:r>
      <w:r w:rsidR="00FF7429" w:rsidRPr="00737152">
        <w:rPr>
          <w:rFonts w:ascii="Times New Roman" w:hAnsi="Times New Roman"/>
        </w:rPr>
        <w:t xml:space="preserve">more </w:t>
      </w:r>
      <w:r w:rsidR="009324EB" w:rsidRPr="00737152">
        <w:rPr>
          <w:rFonts w:ascii="Times New Roman" w:hAnsi="Times New Roman"/>
        </w:rPr>
        <w:t xml:space="preserve">likely, to a significant extent, </w:t>
      </w:r>
      <w:r w:rsidR="00EC0895" w:rsidRPr="00737152">
        <w:rPr>
          <w:rFonts w:ascii="Times New Roman" w:hAnsi="Times New Roman"/>
        </w:rPr>
        <w:t xml:space="preserve">that the mother </w:t>
      </w:r>
      <w:r w:rsidR="00502C45" w:rsidRPr="00737152">
        <w:rPr>
          <w:rFonts w:ascii="Times New Roman" w:hAnsi="Times New Roman"/>
        </w:rPr>
        <w:t>and</w:t>
      </w:r>
      <w:r w:rsidR="00EC0895" w:rsidRPr="00737152">
        <w:rPr>
          <w:rFonts w:ascii="Times New Roman" w:hAnsi="Times New Roman"/>
        </w:rPr>
        <w:t xml:space="preserve"> the nephew </w:t>
      </w:r>
      <w:r w:rsidR="00EC0895" w:rsidRPr="00737152" w:rsidDel="00305423">
        <w:rPr>
          <w:rFonts w:ascii="Times New Roman" w:hAnsi="Times New Roman"/>
        </w:rPr>
        <w:t xml:space="preserve">did not </w:t>
      </w:r>
      <w:r w:rsidR="00EC0895" w:rsidRPr="00737152">
        <w:rPr>
          <w:rFonts w:ascii="Times New Roman" w:hAnsi="Times New Roman"/>
        </w:rPr>
        <w:t>inflict the blunt force trauma).</w:t>
      </w:r>
      <w:r w:rsidR="00421FDA" w:rsidRPr="00737152">
        <w:rPr>
          <w:rFonts w:ascii="Times New Roman" w:hAnsi="Times New Roman"/>
        </w:rPr>
        <w:t xml:space="preserve"> </w:t>
      </w:r>
      <w:r w:rsidR="00ED7F2B" w:rsidRPr="00737152">
        <w:rPr>
          <w:rFonts w:ascii="Times New Roman" w:hAnsi="Times New Roman"/>
        </w:rPr>
        <w:t xml:space="preserve">As in </w:t>
      </w:r>
      <w:r w:rsidR="00ED7F2B" w:rsidRPr="00737152">
        <w:rPr>
          <w:rFonts w:ascii="Times New Roman" w:hAnsi="Times New Roman"/>
          <w:i/>
          <w:iCs/>
        </w:rPr>
        <w:t>Hughes</w:t>
      </w:r>
      <w:r w:rsidR="00343F8C" w:rsidRPr="00737152">
        <w:rPr>
          <w:rFonts w:ascii="Times New Roman" w:hAnsi="Times New Roman"/>
        </w:rPr>
        <w:t xml:space="preserve">, </w:t>
      </w:r>
      <w:r w:rsidR="003E43F4" w:rsidRPr="00737152">
        <w:rPr>
          <w:rFonts w:ascii="Times New Roman" w:hAnsi="Times New Roman"/>
        </w:rPr>
        <w:t>that question</w:t>
      </w:r>
      <w:r w:rsidR="00421FDA" w:rsidRPr="00737152">
        <w:rPr>
          <w:rFonts w:ascii="Times New Roman" w:hAnsi="Times New Roman"/>
          <w:i/>
          <w:iCs/>
        </w:rPr>
        <w:t xml:space="preserve"> </w:t>
      </w:r>
      <w:r w:rsidR="00421FDA" w:rsidRPr="00737152">
        <w:rPr>
          <w:rFonts w:ascii="Times New Roman" w:hAnsi="Times New Roman"/>
        </w:rPr>
        <w:t>requires consideration of two interrelated but separate matters: (1)</w:t>
      </w:r>
      <w:r w:rsidR="009170F8" w:rsidRPr="00737152">
        <w:rPr>
          <w:rFonts w:ascii="Times New Roman" w:hAnsi="Times New Roman"/>
        </w:rPr>
        <w:t> </w:t>
      </w:r>
      <w:r w:rsidR="00421FDA" w:rsidRPr="00737152">
        <w:rPr>
          <w:rFonts w:ascii="Times New Roman" w:hAnsi="Times New Roman"/>
        </w:rPr>
        <w:t>the extent to which the evidence supports the asserted tendency; and (2)</w:t>
      </w:r>
      <w:r w:rsidR="009170F8" w:rsidRPr="00737152">
        <w:rPr>
          <w:rFonts w:ascii="Times New Roman" w:hAnsi="Times New Roman"/>
        </w:rPr>
        <w:t> </w:t>
      </w:r>
      <w:r w:rsidR="00421FDA" w:rsidRPr="00737152">
        <w:rPr>
          <w:rFonts w:ascii="Times New Roman" w:hAnsi="Times New Roman"/>
        </w:rPr>
        <w:t>the extent to which the asserted tendency makes more likely the fact or facts sought to be proved by the evidence</w:t>
      </w:r>
      <w:r w:rsidR="00421FDA" w:rsidRPr="00737152">
        <w:rPr>
          <w:rStyle w:val="FootnoteReference"/>
          <w:rFonts w:ascii="Times New Roman" w:hAnsi="Times New Roman"/>
          <w:sz w:val="24"/>
        </w:rPr>
        <w:footnoteReference w:id="37"/>
      </w:r>
      <w:r w:rsidR="00421FDA" w:rsidRPr="00737152">
        <w:rPr>
          <w:rFonts w:ascii="Times New Roman" w:hAnsi="Times New Roman"/>
        </w:rPr>
        <w:t>.</w:t>
      </w:r>
    </w:p>
    <w:p w14:paraId="7A932D83" w14:textId="68792C41" w:rsidR="000E3335" w:rsidRPr="00737152" w:rsidRDefault="000E3335" w:rsidP="00737152">
      <w:pPr>
        <w:pStyle w:val="FixListStyle"/>
        <w:spacing w:after="260" w:line="280" w:lineRule="exact"/>
        <w:ind w:right="0"/>
        <w:jc w:val="both"/>
        <w:rPr>
          <w:rFonts w:ascii="Times New Roman" w:hAnsi="Times New Roman"/>
        </w:rPr>
      </w:pPr>
      <w:r w:rsidRPr="00737152">
        <w:rPr>
          <w:rFonts w:ascii="Times New Roman" w:hAnsi="Times New Roman"/>
        </w:rPr>
        <w:tab/>
        <w:t xml:space="preserve">Ultimately, the appellant did not complain that the tendency evidence lacked substantial probative value because it was directed to a tendency to deliberately inflict physical harm upon the victim, without </w:t>
      </w:r>
      <w:r w:rsidR="00E60F31" w:rsidRPr="00737152">
        <w:rPr>
          <w:rFonts w:ascii="Times New Roman" w:hAnsi="Times New Roman"/>
        </w:rPr>
        <w:t xml:space="preserve">the </w:t>
      </w:r>
      <w:r w:rsidRPr="00737152">
        <w:rPr>
          <w:rFonts w:ascii="Times New Roman" w:hAnsi="Times New Roman"/>
        </w:rPr>
        <w:t>further specifications that the tendency involved violence and the infliction of serious harm. Those additional specifications would have significantly reduced the generality of the asserted tendency.</w:t>
      </w:r>
    </w:p>
    <w:p w14:paraId="1E2B9181" w14:textId="1A2AF99F" w:rsidR="00731915" w:rsidRPr="00737152" w:rsidRDefault="00773276"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731915" w:rsidRPr="00737152">
        <w:rPr>
          <w:rFonts w:ascii="Times New Roman" w:hAnsi="Times New Roman"/>
        </w:rPr>
        <w:t>As has been explained</w:t>
      </w:r>
      <w:r w:rsidR="00731915" w:rsidRPr="00737152">
        <w:rPr>
          <w:rStyle w:val="FootnoteReference"/>
          <w:rFonts w:ascii="Times New Roman" w:hAnsi="Times New Roman"/>
          <w:sz w:val="24"/>
        </w:rPr>
        <w:footnoteReference w:id="38"/>
      </w:r>
      <w:r w:rsidR="00731915" w:rsidRPr="00737152">
        <w:rPr>
          <w:rFonts w:ascii="Times New Roman" w:hAnsi="Times New Roman"/>
        </w:rPr>
        <w:t xml:space="preserve">, the trial judge and the prosecution imported elements into the asserted tendency in addition to those stated in the amended </w:t>
      </w:r>
      <w:r w:rsidR="00731915" w:rsidRPr="00737152">
        <w:rPr>
          <w:rFonts w:ascii="Times New Roman" w:hAnsi="Times New Roman"/>
        </w:rPr>
        <w:lastRenderedPageBreak/>
        <w:t>tendency notice. So, for example, the trial judge described it as a tendency to "behave towards the child in an inappropriately physical and violent fashion". The Court of Criminal Appeal described it as a tendency to "act violently towards [the victim]"</w:t>
      </w:r>
      <w:r w:rsidR="0011653B" w:rsidRPr="00737152">
        <w:rPr>
          <w:rStyle w:val="FootnoteReference"/>
          <w:rFonts w:ascii="Times New Roman" w:hAnsi="Times New Roman"/>
          <w:sz w:val="24"/>
        </w:rPr>
        <w:footnoteReference w:id="39"/>
      </w:r>
      <w:r w:rsidR="00731915" w:rsidRPr="00737152">
        <w:rPr>
          <w:rFonts w:ascii="Times New Roman" w:hAnsi="Times New Roman"/>
        </w:rPr>
        <w:t>. There were two problems with that approach. The asserted tendency in the notice</w:t>
      </w:r>
      <w:r w:rsidR="0044535A" w:rsidRPr="00737152">
        <w:rPr>
          <w:rFonts w:ascii="Times New Roman" w:hAnsi="Times New Roman"/>
        </w:rPr>
        <w:t xml:space="preserve"> </w:t>
      </w:r>
      <w:r w:rsidR="007A78D7" w:rsidRPr="00737152">
        <w:rPr>
          <w:rFonts w:ascii="Times New Roman" w:hAnsi="Times New Roman"/>
        </w:rPr>
        <w:t>was too general, covering</w:t>
      </w:r>
      <w:r w:rsidR="00983E46" w:rsidRPr="00737152">
        <w:rPr>
          <w:rFonts w:ascii="Times New Roman" w:hAnsi="Times New Roman"/>
        </w:rPr>
        <w:t xml:space="preserve"> acts that </w:t>
      </w:r>
      <w:r w:rsidR="004858FB" w:rsidRPr="00737152">
        <w:rPr>
          <w:rFonts w:ascii="Times New Roman" w:hAnsi="Times New Roman"/>
        </w:rPr>
        <w:t xml:space="preserve">did not necessarily involve </w:t>
      </w:r>
      <w:r w:rsidR="00BD616A" w:rsidRPr="00737152">
        <w:rPr>
          <w:rFonts w:ascii="Times New Roman" w:hAnsi="Times New Roman"/>
        </w:rPr>
        <w:t>violence</w:t>
      </w:r>
      <w:r w:rsidR="00731915" w:rsidRPr="00737152">
        <w:rPr>
          <w:rFonts w:ascii="Times New Roman" w:hAnsi="Times New Roman"/>
        </w:rPr>
        <w:t xml:space="preserve">; the </w:t>
      </w:r>
      <w:r w:rsidR="00146589" w:rsidRPr="00737152">
        <w:rPr>
          <w:rFonts w:ascii="Times New Roman" w:hAnsi="Times New Roman"/>
        </w:rPr>
        <w:t>prosecution</w:t>
      </w:r>
      <w:r w:rsidR="00731915" w:rsidRPr="00737152">
        <w:rPr>
          <w:rFonts w:ascii="Times New Roman" w:hAnsi="Times New Roman"/>
        </w:rPr>
        <w:t xml:space="preserve"> accepted it could have included a smack, limiting its capacity to separate the appellant from the mother</w:t>
      </w:r>
      <w:r w:rsidR="00D04B2D" w:rsidRPr="00737152">
        <w:rPr>
          <w:rFonts w:ascii="Times New Roman" w:hAnsi="Times New Roman"/>
        </w:rPr>
        <w:t>,</w:t>
      </w:r>
      <w:r w:rsidR="005065EC" w:rsidRPr="00737152">
        <w:rPr>
          <w:rFonts w:ascii="Times New Roman" w:hAnsi="Times New Roman"/>
        </w:rPr>
        <w:t xml:space="preserve"> </w:t>
      </w:r>
      <w:r w:rsidR="00602033" w:rsidRPr="00737152">
        <w:rPr>
          <w:rFonts w:ascii="Times New Roman" w:hAnsi="Times New Roman"/>
        </w:rPr>
        <w:t>"</w:t>
      </w:r>
      <w:r w:rsidR="00B43B9F" w:rsidRPr="00737152">
        <w:rPr>
          <w:rFonts w:ascii="Times New Roman" w:hAnsi="Times New Roman"/>
        </w:rPr>
        <w:t>who, on the appellant</w:t>
      </w:r>
      <w:r w:rsidR="00602033" w:rsidRPr="00737152">
        <w:rPr>
          <w:rFonts w:ascii="Times New Roman" w:hAnsi="Times New Roman"/>
        </w:rPr>
        <w:t>'</w:t>
      </w:r>
      <w:r w:rsidR="00B43B9F" w:rsidRPr="00737152">
        <w:rPr>
          <w:rFonts w:ascii="Times New Roman" w:hAnsi="Times New Roman"/>
        </w:rPr>
        <w:t>s evidence, had occasionally smacked the child on the leg or thereabouts</w:t>
      </w:r>
      <w:r w:rsidR="00602033" w:rsidRPr="00737152">
        <w:rPr>
          <w:rFonts w:ascii="Times New Roman" w:hAnsi="Times New Roman"/>
        </w:rPr>
        <w:t>"</w:t>
      </w:r>
      <w:r w:rsidR="00FE0F22" w:rsidRPr="00737152">
        <w:rPr>
          <w:rFonts w:ascii="Times New Roman" w:hAnsi="Times New Roman"/>
        </w:rPr>
        <w:t xml:space="preserve">. </w:t>
      </w:r>
      <w:r w:rsidR="00731915" w:rsidRPr="00737152">
        <w:rPr>
          <w:rFonts w:ascii="Times New Roman" w:hAnsi="Times New Roman"/>
        </w:rPr>
        <w:t>Second, reformulation of a tendency without providing a notice under s 97(1)(a) may render evidence inadmissible</w:t>
      </w:r>
      <w:r w:rsidR="00723DFC" w:rsidRPr="00737152">
        <w:rPr>
          <w:rStyle w:val="FootnoteReference"/>
          <w:rFonts w:ascii="Times New Roman" w:hAnsi="Times New Roman"/>
          <w:sz w:val="24"/>
        </w:rPr>
        <w:footnoteReference w:id="40"/>
      </w:r>
      <w:r w:rsidR="00731915" w:rsidRPr="00737152">
        <w:rPr>
          <w:rFonts w:ascii="Times New Roman" w:hAnsi="Times New Roman"/>
        </w:rPr>
        <w:t xml:space="preserve">. </w:t>
      </w:r>
      <w:r w:rsidR="00002035" w:rsidRPr="00737152">
        <w:rPr>
          <w:rFonts w:ascii="Times New Roman" w:hAnsi="Times New Roman"/>
        </w:rPr>
        <w:t>The insufficient</w:t>
      </w:r>
      <w:r w:rsidR="00731915" w:rsidRPr="00737152">
        <w:rPr>
          <w:rFonts w:ascii="Times New Roman" w:hAnsi="Times New Roman"/>
        </w:rPr>
        <w:t xml:space="preserve"> particularisation </w:t>
      </w:r>
      <w:r w:rsidR="00002035" w:rsidRPr="00737152">
        <w:rPr>
          <w:rFonts w:ascii="Times New Roman" w:hAnsi="Times New Roman"/>
        </w:rPr>
        <w:t xml:space="preserve">of the asserted tendency </w:t>
      </w:r>
      <w:r w:rsidR="00731915" w:rsidRPr="00737152">
        <w:rPr>
          <w:rFonts w:ascii="Times New Roman" w:hAnsi="Times New Roman"/>
        </w:rPr>
        <w:t xml:space="preserve">in the amended notice, the subsequent reformulation of </w:t>
      </w:r>
      <w:r w:rsidR="00002035" w:rsidRPr="00737152">
        <w:rPr>
          <w:rFonts w:ascii="Times New Roman" w:hAnsi="Times New Roman"/>
        </w:rPr>
        <w:t>that tendency</w:t>
      </w:r>
      <w:r w:rsidR="00731915" w:rsidRPr="00737152">
        <w:rPr>
          <w:rFonts w:ascii="Times New Roman" w:hAnsi="Times New Roman"/>
        </w:rPr>
        <w:t xml:space="preserve"> absent formal amendment, the absence of a separate tendency notice for the complaint evidence, and the resulting non-compliance with s 97(1)(a), should not be condoned.</w:t>
      </w:r>
    </w:p>
    <w:p w14:paraId="5DC98885" w14:textId="4A671B97" w:rsidR="00551B12" w:rsidRPr="00737152" w:rsidRDefault="000A35E6" w:rsidP="00737152">
      <w:pPr>
        <w:pStyle w:val="HeadingL1"/>
        <w:spacing w:after="260" w:line="280" w:lineRule="exact"/>
        <w:ind w:right="0"/>
        <w:jc w:val="both"/>
        <w:rPr>
          <w:rFonts w:ascii="Times New Roman" w:hAnsi="Times New Roman"/>
        </w:rPr>
      </w:pPr>
      <w:r w:rsidRPr="00737152">
        <w:rPr>
          <w:rFonts w:ascii="Times New Roman" w:hAnsi="Times New Roman"/>
        </w:rPr>
        <w:t>E</w:t>
      </w:r>
      <w:r w:rsidR="00551B12" w:rsidRPr="00737152">
        <w:rPr>
          <w:rFonts w:ascii="Times New Roman" w:hAnsi="Times New Roman"/>
        </w:rPr>
        <w:t xml:space="preserve">xtent to which </w:t>
      </w:r>
      <w:r w:rsidR="00115C70" w:rsidRPr="00737152">
        <w:rPr>
          <w:rFonts w:ascii="Times New Roman" w:hAnsi="Times New Roman"/>
        </w:rPr>
        <w:t xml:space="preserve">the </w:t>
      </w:r>
      <w:r w:rsidR="00551B12" w:rsidRPr="00737152">
        <w:rPr>
          <w:rFonts w:ascii="Times New Roman" w:hAnsi="Times New Roman"/>
        </w:rPr>
        <w:t xml:space="preserve">evidence supported </w:t>
      </w:r>
      <w:r w:rsidR="00115C70" w:rsidRPr="00737152">
        <w:rPr>
          <w:rFonts w:ascii="Times New Roman" w:hAnsi="Times New Roman"/>
        </w:rPr>
        <w:t xml:space="preserve">the </w:t>
      </w:r>
      <w:r w:rsidR="00551B12" w:rsidRPr="00737152">
        <w:rPr>
          <w:rFonts w:ascii="Times New Roman" w:hAnsi="Times New Roman"/>
        </w:rPr>
        <w:t>tendency</w:t>
      </w:r>
      <w:r w:rsidR="0021648F" w:rsidRPr="00737152">
        <w:rPr>
          <w:rFonts w:ascii="Times New Roman" w:hAnsi="Times New Roman"/>
        </w:rPr>
        <w:t xml:space="preserve"> to </w:t>
      </w:r>
      <w:r w:rsidR="00FD5535" w:rsidRPr="00737152">
        <w:rPr>
          <w:rFonts w:ascii="Times New Roman" w:hAnsi="Times New Roman"/>
        </w:rPr>
        <w:t>deliberately inflict physical harm on the victim</w:t>
      </w:r>
    </w:p>
    <w:p w14:paraId="51F6AFAE" w14:textId="3969BEA9" w:rsidR="00D1570D" w:rsidRPr="00737152" w:rsidRDefault="00800755" w:rsidP="00737152">
      <w:pPr>
        <w:pStyle w:val="FixListStyle"/>
        <w:spacing w:after="260" w:line="280" w:lineRule="exact"/>
        <w:ind w:right="0"/>
        <w:jc w:val="both"/>
        <w:rPr>
          <w:rFonts w:ascii="Times New Roman" w:hAnsi="Times New Roman"/>
        </w:rPr>
      </w:pPr>
      <w:r w:rsidRPr="00737152">
        <w:rPr>
          <w:rFonts w:ascii="Times New Roman" w:hAnsi="Times New Roman"/>
        </w:rPr>
        <w:tab/>
        <w:t>Ultimately, the appellant did not dispute that the burns evidence supported the asserted tendenc</w:t>
      </w:r>
      <w:r w:rsidR="00FE0F22" w:rsidRPr="00737152">
        <w:rPr>
          <w:rFonts w:ascii="Times New Roman" w:hAnsi="Times New Roman"/>
        </w:rPr>
        <w:t xml:space="preserve">y </w:t>
      </w:r>
      <w:r w:rsidR="00A81AC4" w:rsidRPr="00737152">
        <w:rPr>
          <w:rFonts w:ascii="Times New Roman" w:hAnsi="Times New Roman"/>
        </w:rPr>
        <w:t>and, further, that</w:t>
      </w:r>
      <w:r w:rsidR="00D501D0" w:rsidRPr="00737152">
        <w:rPr>
          <w:rFonts w:ascii="Times New Roman" w:hAnsi="Times New Roman"/>
        </w:rPr>
        <w:t xml:space="preserve"> the </w:t>
      </w:r>
      <w:proofErr w:type="gramStart"/>
      <w:r w:rsidR="00D501D0" w:rsidRPr="00737152">
        <w:rPr>
          <w:rFonts w:ascii="Times New Roman" w:hAnsi="Times New Roman"/>
        </w:rPr>
        <w:t>third degree</w:t>
      </w:r>
      <w:proofErr w:type="gramEnd"/>
      <w:r w:rsidR="00D501D0" w:rsidRPr="00737152">
        <w:rPr>
          <w:rFonts w:ascii="Times New Roman" w:hAnsi="Times New Roman"/>
        </w:rPr>
        <w:t xml:space="preserve"> burn was evidence of </w:t>
      </w:r>
      <w:r w:rsidR="00080063" w:rsidRPr="00737152">
        <w:rPr>
          <w:rFonts w:ascii="Times New Roman" w:hAnsi="Times New Roman"/>
        </w:rPr>
        <w:t xml:space="preserve">the </w:t>
      </w:r>
      <w:r w:rsidR="00DE200F" w:rsidRPr="00737152">
        <w:rPr>
          <w:rFonts w:ascii="Times New Roman" w:hAnsi="Times New Roman"/>
        </w:rPr>
        <w:t xml:space="preserve">deliberate infliction of </w:t>
      </w:r>
      <w:r w:rsidR="00E660F6" w:rsidRPr="00737152">
        <w:rPr>
          <w:rFonts w:ascii="Times New Roman" w:hAnsi="Times New Roman"/>
        </w:rPr>
        <w:t>serious</w:t>
      </w:r>
      <w:r w:rsidR="00A81AC4" w:rsidRPr="00737152">
        <w:rPr>
          <w:rFonts w:ascii="Times New Roman" w:hAnsi="Times New Roman"/>
        </w:rPr>
        <w:t xml:space="preserve"> physical</w:t>
      </w:r>
      <w:r w:rsidR="00E660F6" w:rsidRPr="00737152">
        <w:rPr>
          <w:rFonts w:ascii="Times New Roman" w:hAnsi="Times New Roman"/>
        </w:rPr>
        <w:t xml:space="preserve"> harm to the victim</w:t>
      </w:r>
      <w:r w:rsidR="001A5B24" w:rsidRPr="00737152">
        <w:rPr>
          <w:rFonts w:ascii="Times New Roman" w:hAnsi="Times New Roman"/>
        </w:rPr>
        <w:t>.</w:t>
      </w:r>
      <w:r w:rsidR="00DE200F" w:rsidRPr="00737152">
        <w:rPr>
          <w:rFonts w:ascii="Times New Roman" w:hAnsi="Times New Roman"/>
        </w:rPr>
        <w:t xml:space="preserve"> </w:t>
      </w:r>
    </w:p>
    <w:p w14:paraId="3C381912" w14:textId="28C41C4F" w:rsidR="006F610E" w:rsidRPr="00737152" w:rsidRDefault="00053D4D"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05651D" w:rsidRPr="00737152">
        <w:rPr>
          <w:rFonts w:ascii="Times New Roman" w:hAnsi="Times New Roman"/>
        </w:rPr>
        <w:t>By contrast, t</w:t>
      </w:r>
      <w:r w:rsidR="00D91C9A" w:rsidRPr="00737152">
        <w:rPr>
          <w:rFonts w:ascii="Times New Roman" w:hAnsi="Times New Roman"/>
        </w:rPr>
        <w:t xml:space="preserve">he appellant argued that </w:t>
      </w:r>
      <w:r w:rsidR="00D62267" w:rsidRPr="00737152">
        <w:rPr>
          <w:rFonts w:ascii="Times New Roman" w:hAnsi="Times New Roman"/>
        </w:rPr>
        <w:t xml:space="preserve">the complaint evidence disclosed nothing about </w:t>
      </w:r>
      <w:r w:rsidR="00C91134" w:rsidRPr="00737152">
        <w:rPr>
          <w:rFonts w:ascii="Times New Roman" w:hAnsi="Times New Roman"/>
        </w:rPr>
        <w:t>his</w:t>
      </w:r>
      <w:r w:rsidR="00D62267" w:rsidRPr="00737152">
        <w:rPr>
          <w:rFonts w:ascii="Times New Roman" w:hAnsi="Times New Roman"/>
        </w:rPr>
        <w:t xml:space="preserve"> state of mind which could provide a cogent and logical basis to infer that </w:t>
      </w:r>
      <w:r w:rsidR="00C91134" w:rsidRPr="00737152">
        <w:rPr>
          <w:rFonts w:ascii="Times New Roman" w:hAnsi="Times New Roman"/>
        </w:rPr>
        <w:t>he</w:t>
      </w:r>
      <w:r w:rsidR="00D62267" w:rsidRPr="00737152">
        <w:rPr>
          <w:rFonts w:ascii="Times New Roman" w:hAnsi="Times New Roman"/>
        </w:rPr>
        <w:t xml:space="preserve"> </w:t>
      </w:r>
      <w:r w:rsidR="00D62267" w:rsidRPr="00737152">
        <w:rPr>
          <w:rFonts w:ascii="Times New Roman" w:hAnsi="Times New Roman"/>
          <w:i/>
          <w:iCs/>
        </w:rPr>
        <w:t xml:space="preserve">deliberately </w:t>
      </w:r>
      <w:r w:rsidR="00D62267" w:rsidRPr="00737152">
        <w:rPr>
          <w:rFonts w:ascii="Times New Roman" w:hAnsi="Times New Roman"/>
        </w:rPr>
        <w:t>hurt the victim on previous occasions</w:t>
      </w:r>
      <w:r w:rsidR="0005651D" w:rsidRPr="00737152">
        <w:rPr>
          <w:rFonts w:ascii="Times New Roman" w:hAnsi="Times New Roman"/>
        </w:rPr>
        <w:t xml:space="preserve">, such that it </w:t>
      </w:r>
      <w:r w:rsidR="00EC39DE" w:rsidRPr="00737152">
        <w:rPr>
          <w:rFonts w:ascii="Times New Roman" w:hAnsi="Times New Roman"/>
        </w:rPr>
        <w:t>could not provide proof of the asserted tendency</w:t>
      </w:r>
      <w:r w:rsidR="00D62267" w:rsidRPr="00737152">
        <w:rPr>
          <w:rFonts w:ascii="Times New Roman" w:hAnsi="Times New Roman"/>
        </w:rPr>
        <w:t>.</w:t>
      </w:r>
      <w:r w:rsidR="005370AC" w:rsidRPr="00737152">
        <w:rPr>
          <w:rFonts w:ascii="Times New Roman" w:hAnsi="Times New Roman"/>
        </w:rPr>
        <w:t xml:space="preserve"> </w:t>
      </w:r>
      <w:r w:rsidR="00B33122" w:rsidRPr="00737152">
        <w:rPr>
          <w:rFonts w:ascii="Times New Roman" w:hAnsi="Times New Roman"/>
        </w:rPr>
        <w:t xml:space="preserve">This submission fails to take the complaint evidence at its highest. </w:t>
      </w:r>
      <w:r w:rsidR="00AE6152" w:rsidRPr="00737152">
        <w:rPr>
          <w:rFonts w:ascii="Times New Roman" w:hAnsi="Times New Roman"/>
        </w:rPr>
        <w:t xml:space="preserve">Each </w:t>
      </w:r>
      <w:r w:rsidR="00095AB6" w:rsidRPr="00737152">
        <w:rPr>
          <w:rFonts w:ascii="Times New Roman" w:hAnsi="Times New Roman"/>
        </w:rPr>
        <w:t xml:space="preserve">item of complaint evidence </w:t>
      </w:r>
      <w:proofErr w:type="gramStart"/>
      <w:r w:rsidR="00C50563" w:rsidRPr="00737152">
        <w:rPr>
          <w:rFonts w:ascii="Times New Roman" w:hAnsi="Times New Roman"/>
        </w:rPr>
        <w:t xml:space="preserve">was capable of </w:t>
      </w:r>
      <w:r w:rsidR="00A44DFC" w:rsidRPr="00737152">
        <w:rPr>
          <w:rFonts w:ascii="Times New Roman" w:hAnsi="Times New Roman"/>
        </w:rPr>
        <w:t>supporting</w:t>
      </w:r>
      <w:proofErr w:type="gramEnd"/>
      <w:r w:rsidR="00A44DFC" w:rsidRPr="00737152">
        <w:rPr>
          <w:rFonts w:ascii="Times New Roman" w:hAnsi="Times New Roman"/>
        </w:rPr>
        <w:t xml:space="preserve"> a conclusion that the a</w:t>
      </w:r>
      <w:r w:rsidR="006D4726" w:rsidRPr="00737152">
        <w:rPr>
          <w:rFonts w:ascii="Times New Roman" w:hAnsi="Times New Roman"/>
        </w:rPr>
        <w:t>ppellant</w:t>
      </w:r>
      <w:r w:rsidR="00A44DFC" w:rsidRPr="00737152">
        <w:rPr>
          <w:rFonts w:ascii="Times New Roman" w:hAnsi="Times New Roman"/>
        </w:rPr>
        <w:t xml:space="preserve"> had deliberately caused </w:t>
      </w:r>
      <w:r w:rsidR="001761D1" w:rsidRPr="00737152">
        <w:rPr>
          <w:rFonts w:ascii="Times New Roman" w:hAnsi="Times New Roman"/>
        </w:rPr>
        <w:t xml:space="preserve">serious physical harm </w:t>
      </w:r>
      <w:r w:rsidR="00A44DFC" w:rsidRPr="00737152">
        <w:rPr>
          <w:rFonts w:ascii="Times New Roman" w:hAnsi="Times New Roman"/>
        </w:rPr>
        <w:t xml:space="preserve">to the victim. </w:t>
      </w:r>
      <w:r w:rsidR="00422695" w:rsidRPr="00737152">
        <w:rPr>
          <w:rFonts w:ascii="Times New Roman" w:hAnsi="Times New Roman"/>
        </w:rPr>
        <w:t xml:space="preserve">Having regard to the short </w:t>
      </w:r>
      <w:r w:rsidR="00FB5B72" w:rsidRPr="00737152">
        <w:rPr>
          <w:rFonts w:ascii="Times New Roman" w:hAnsi="Times New Roman"/>
        </w:rPr>
        <w:t>period in which the complaints were made,</w:t>
      </w:r>
      <w:r w:rsidR="00422695" w:rsidRPr="00737152">
        <w:rPr>
          <w:rFonts w:ascii="Times New Roman" w:hAnsi="Times New Roman"/>
        </w:rPr>
        <w:t xml:space="preserve"> </w:t>
      </w:r>
      <w:r w:rsidR="006E3483" w:rsidRPr="00737152">
        <w:rPr>
          <w:rFonts w:ascii="Times New Roman" w:hAnsi="Times New Roman"/>
        </w:rPr>
        <w:t xml:space="preserve">between about late March 2014 and </w:t>
      </w:r>
      <w:r w:rsidR="001906BE" w:rsidRPr="00737152">
        <w:rPr>
          <w:rFonts w:ascii="Times New Roman" w:hAnsi="Times New Roman"/>
        </w:rPr>
        <w:t>about 10</w:t>
      </w:r>
      <w:r w:rsidR="00282BEF" w:rsidRPr="00737152">
        <w:rPr>
          <w:rFonts w:ascii="Times New Roman" w:hAnsi="Times New Roman"/>
        </w:rPr>
        <w:t> </w:t>
      </w:r>
      <w:r w:rsidR="001906BE" w:rsidRPr="00737152">
        <w:rPr>
          <w:rFonts w:ascii="Times New Roman" w:hAnsi="Times New Roman"/>
        </w:rPr>
        <w:t xml:space="preserve">April 2014, </w:t>
      </w:r>
      <w:r w:rsidR="00993F73" w:rsidRPr="00737152">
        <w:rPr>
          <w:rFonts w:ascii="Times New Roman" w:hAnsi="Times New Roman"/>
        </w:rPr>
        <w:t xml:space="preserve">the evidence </w:t>
      </w:r>
      <w:proofErr w:type="gramStart"/>
      <w:r w:rsidR="00993F73" w:rsidRPr="00737152">
        <w:rPr>
          <w:rFonts w:ascii="Times New Roman" w:hAnsi="Times New Roman"/>
        </w:rPr>
        <w:t xml:space="preserve">was capable of </w:t>
      </w:r>
      <w:r w:rsidR="00E97DDF" w:rsidRPr="00737152">
        <w:rPr>
          <w:rFonts w:ascii="Times New Roman" w:hAnsi="Times New Roman"/>
        </w:rPr>
        <w:t>supporting</w:t>
      </w:r>
      <w:proofErr w:type="gramEnd"/>
      <w:r w:rsidR="00E97DDF" w:rsidRPr="00737152">
        <w:rPr>
          <w:rFonts w:ascii="Times New Roman" w:hAnsi="Times New Roman"/>
        </w:rPr>
        <w:t xml:space="preserve"> a conclusion that the appellant had a </w:t>
      </w:r>
      <w:r w:rsidR="007C51C1" w:rsidRPr="00737152">
        <w:rPr>
          <w:rFonts w:ascii="Times New Roman" w:hAnsi="Times New Roman"/>
        </w:rPr>
        <w:t xml:space="preserve">tendency to deliberately inflict </w:t>
      </w:r>
      <w:r w:rsidR="009518FE" w:rsidRPr="00737152">
        <w:rPr>
          <w:rFonts w:ascii="Times New Roman" w:hAnsi="Times New Roman"/>
        </w:rPr>
        <w:t xml:space="preserve">serious </w:t>
      </w:r>
      <w:r w:rsidR="007C51C1" w:rsidRPr="00737152">
        <w:rPr>
          <w:rFonts w:ascii="Times New Roman" w:hAnsi="Times New Roman"/>
        </w:rPr>
        <w:t>physical harm on the victim</w:t>
      </w:r>
      <w:r w:rsidR="00301415" w:rsidRPr="00737152">
        <w:rPr>
          <w:rFonts w:ascii="Times New Roman" w:hAnsi="Times New Roman"/>
        </w:rPr>
        <w:t>.</w:t>
      </w:r>
      <w:r w:rsidR="003E7D6C" w:rsidRPr="00737152">
        <w:rPr>
          <w:rFonts w:ascii="Times New Roman" w:hAnsi="Times New Roman"/>
        </w:rPr>
        <w:t xml:space="preserve"> </w:t>
      </w:r>
    </w:p>
    <w:p w14:paraId="014ED6A7" w14:textId="7E2B81A7" w:rsidR="00732CE8" w:rsidRPr="00737152" w:rsidRDefault="00393759" w:rsidP="00737152">
      <w:pPr>
        <w:pStyle w:val="HeadingL1"/>
        <w:spacing w:after="260" w:line="280" w:lineRule="exact"/>
        <w:ind w:right="0"/>
        <w:jc w:val="both"/>
        <w:rPr>
          <w:rFonts w:ascii="Times New Roman" w:hAnsi="Times New Roman"/>
        </w:rPr>
      </w:pPr>
      <w:r w:rsidRPr="00737152">
        <w:rPr>
          <w:rFonts w:ascii="Times New Roman" w:hAnsi="Times New Roman"/>
        </w:rPr>
        <w:t>E</w:t>
      </w:r>
      <w:r w:rsidR="00487807" w:rsidRPr="00737152">
        <w:rPr>
          <w:rFonts w:ascii="Times New Roman" w:hAnsi="Times New Roman"/>
        </w:rPr>
        <w:t xml:space="preserve">xtent to which </w:t>
      </w:r>
      <w:r w:rsidR="00320F7A" w:rsidRPr="00737152">
        <w:rPr>
          <w:rFonts w:ascii="Times New Roman" w:hAnsi="Times New Roman"/>
        </w:rPr>
        <w:t xml:space="preserve">the </w:t>
      </w:r>
      <w:r w:rsidR="00487807" w:rsidRPr="00737152">
        <w:rPr>
          <w:rFonts w:ascii="Times New Roman" w:hAnsi="Times New Roman"/>
        </w:rPr>
        <w:t>tendency ma</w:t>
      </w:r>
      <w:r w:rsidR="00320F7A" w:rsidRPr="00737152">
        <w:rPr>
          <w:rFonts w:ascii="Times New Roman" w:hAnsi="Times New Roman"/>
        </w:rPr>
        <w:t>d</w:t>
      </w:r>
      <w:r w:rsidR="00487807" w:rsidRPr="00737152">
        <w:rPr>
          <w:rFonts w:ascii="Times New Roman" w:hAnsi="Times New Roman"/>
        </w:rPr>
        <w:t xml:space="preserve">e </w:t>
      </w:r>
      <w:r w:rsidR="00D61082" w:rsidRPr="00737152">
        <w:rPr>
          <w:rFonts w:ascii="Times New Roman" w:hAnsi="Times New Roman"/>
        </w:rPr>
        <w:t xml:space="preserve">it </w:t>
      </w:r>
      <w:r w:rsidR="00487807" w:rsidRPr="00737152">
        <w:rPr>
          <w:rFonts w:ascii="Times New Roman" w:hAnsi="Times New Roman"/>
        </w:rPr>
        <w:t>more likely th</w:t>
      </w:r>
      <w:r w:rsidR="008A2849" w:rsidRPr="00737152">
        <w:rPr>
          <w:rFonts w:ascii="Times New Roman" w:hAnsi="Times New Roman"/>
        </w:rPr>
        <w:t xml:space="preserve">at </w:t>
      </w:r>
      <w:r w:rsidR="00320F7A" w:rsidRPr="00737152">
        <w:rPr>
          <w:rFonts w:ascii="Times New Roman" w:hAnsi="Times New Roman"/>
        </w:rPr>
        <w:t xml:space="preserve">the </w:t>
      </w:r>
      <w:r w:rsidR="008A2849" w:rsidRPr="00737152">
        <w:rPr>
          <w:rFonts w:ascii="Times New Roman" w:hAnsi="Times New Roman"/>
        </w:rPr>
        <w:t xml:space="preserve">appellant </w:t>
      </w:r>
      <w:r w:rsidR="009518FE" w:rsidRPr="00737152">
        <w:rPr>
          <w:rFonts w:ascii="Times New Roman" w:hAnsi="Times New Roman"/>
        </w:rPr>
        <w:t xml:space="preserve">intentionally </w:t>
      </w:r>
      <w:r w:rsidR="00106A38" w:rsidRPr="00737152">
        <w:rPr>
          <w:rFonts w:ascii="Times New Roman" w:hAnsi="Times New Roman"/>
        </w:rPr>
        <w:t xml:space="preserve">inflicted </w:t>
      </w:r>
      <w:r w:rsidR="00127363" w:rsidRPr="00737152">
        <w:rPr>
          <w:rFonts w:ascii="Times New Roman" w:hAnsi="Times New Roman"/>
        </w:rPr>
        <w:t>the injuries that caused the victim's death</w:t>
      </w:r>
    </w:p>
    <w:p w14:paraId="4278FFDC" w14:textId="15C391BA" w:rsidR="008B42B5" w:rsidRPr="00737152" w:rsidRDefault="00032828"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732CE8" w:rsidRPr="00737152">
        <w:rPr>
          <w:rFonts w:ascii="Times New Roman" w:hAnsi="Times New Roman"/>
        </w:rPr>
        <w:t xml:space="preserve">The appellant argued that the </w:t>
      </w:r>
      <w:r w:rsidR="004355B6" w:rsidRPr="00737152">
        <w:rPr>
          <w:rFonts w:ascii="Times New Roman" w:hAnsi="Times New Roman"/>
        </w:rPr>
        <w:t xml:space="preserve">burns and complaint </w:t>
      </w:r>
      <w:r w:rsidR="00732CE8" w:rsidRPr="00737152">
        <w:rPr>
          <w:rFonts w:ascii="Times New Roman" w:hAnsi="Times New Roman"/>
        </w:rPr>
        <w:t xml:space="preserve">evidence lacked significant probative value because it did not exhibit </w:t>
      </w:r>
      <w:r w:rsidR="00063EB6" w:rsidRPr="00737152">
        <w:rPr>
          <w:rFonts w:ascii="Times New Roman" w:hAnsi="Times New Roman"/>
        </w:rPr>
        <w:t>"</w:t>
      </w:r>
      <w:r w:rsidR="00732CE8" w:rsidRPr="00737152">
        <w:rPr>
          <w:rFonts w:ascii="Times New Roman" w:hAnsi="Times New Roman"/>
        </w:rPr>
        <w:t>close similarity</w:t>
      </w:r>
      <w:r w:rsidR="00063EB6" w:rsidRPr="00737152">
        <w:rPr>
          <w:rFonts w:ascii="Times New Roman" w:hAnsi="Times New Roman"/>
        </w:rPr>
        <w:t>"</w:t>
      </w:r>
      <w:r w:rsidR="00732CE8" w:rsidRPr="00737152">
        <w:rPr>
          <w:rFonts w:ascii="Times New Roman" w:hAnsi="Times New Roman"/>
        </w:rPr>
        <w:t xml:space="preserve"> </w:t>
      </w:r>
      <w:r w:rsidR="00594983" w:rsidRPr="00737152">
        <w:rPr>
          <w:rFonts w:ascii="Times New Roman" w:hAnsi="Times New Roman"/>
        </w:rPr>
        <w:t xml:space="preserve">to the </w:t>
      </w:r>
      <w:r w:rsidR="002D45D4" w:rsidRPr="00737152">
        <w:rPr>
          <w:rFonts w:ascii="Times New Roman" w:hAnsi="Times New Roman"/>
        </w:rPr>
        <w:lastRenderedPageBreak/>
        <w:t>inflicti</w:t>
      </w:r>
      <w:r w:rsidR="00F94D00" w:rsidRPr="00737152">
        <w:rPr>
          <w:rFonts w:ascii="Times New Roman" w:hAnsi="Times New Roman"/>
        </w:rPr>
        <w:t>on</w:t>
      </w:r>
      <w:r w:rsidR="002D45D4" w:rsidRPr="00737152">
        <w:rPr>
          <w:rFonts w:ascii="Times New Roman" w:hAnsi="Times New Roman"/>
        </w:rPr>
        <w:t xml:space="preserve"> of blunt force trauma</w:t>
      </w:r>
      <w:r w:rsidR="00121382" w:rsidRPr="00737152">
        <w:rPr>
          <w:rFonts w:ascii="Times New Roman" w:hAnsi="Times New Roman"/>
        </w:rPr>
        <w:t xml:space="preserve"> that </w:t>
      </w:r>
      <w:r w:rsidR="00012578" w:rsidRPr="00737152">
        <w:rPr>
          <w:rFonts w:ascii="Times New Roman" w:hAnsi="Times New Roman"/>
        </w:rPr>
        <w:t>caused</w:t>
      </w:r>
      <w:r w:rsidR="00862DCF" w:rsidRPr="00737152">
        <w:rPr>
          <w:rFonts w:ascii="Times New Roman" w:hAnsi="Times New Roman"/>
        </w:rPr>
        <w:t xml:space="preserve"> the victim's death</w:t>
      </w:r>
      <w:r w:rsidR="00012578" w:rsidRPr="00737152">
        <w:rPr>
          <w:rFonts w:ascii="Times New Roman" w:hAnsi="Times New Roman"/>
        </w:rPr>
        <w:t>.</w:t>
      </w:r>
      <w:r w:rsidR="00DA0CDE" w:rsidRPr="00737152">
        <w:rPr>
          <w:rFonts w:ascii="Times New Roman" w:hAnsi="Times New Roman"/>
        </w:rPr>
        <w:t xml:space="preserve"> </w:t>
      </w:r>
      <w:r w:rsidR="006E0395" w:rsidRPr="00737152">
        <w:rPr>
          <w:rFonts w:ascii="Times New Roman" w:hAnsi="Times New Roman"/>
        </w:rPr>
        <w:t>According to the appellant, t</w:t>
      </w:r>
      <w:r w:rsidR="008B42B5" w:rsidRPr="00737152">
        <w:rPr>
          <w:rFonts w:ascii="Times New Roman" w:hAnsi="Times New Roman"/>
        </w:rPr>
        <w:t xml:space="preserve">he </w:t>
      </w:r>
      <w:r w:rsidR="005211B4" w:rsidRPr="00737152">
        <w:rPr>
          <w:rFonts w:ascii="Times New Roman" w:hAnsi="Times New Roman"/>
        </w:rPr>
        <w:t>conduct</w:t>
      </w:r>
      <w:r w:rsidR="00027C82" w:rsidRPr="00737152">
        <w:rPr>
          <w:rFonts w:ascii="Times New Roman" w:hAnsi="Times New Roman"/>
        </w:rPr>
        <w:t xml:space="preserve"> that killed the </w:t>
      </w:r>
      <w:r w:rsidR="00FF7ED1">
        <w:rPr>
          <w:rFonts w:ascii="Times New Roman" w:hAnsi="Times New Roman"/>
        </w:rPr>
        <w:t>victim</w:t>
      </w:r>
      <w:r w:rsidR="00027C82" w:rsidRPr="00737152">
        <w:rPr>
          <w:rFonts w:ascii="Times New Roman" w:hAnsi="Times New Roman"/>
        </w:rPr>
        <w:t xml:space="preserve"> was so unprecedented</w:t>
      </w:r>
      <w:r w:rsidR="00265732" w:rsidRPr="00737152">
        <w:rPr>
          <w:rFonts w:ascii="Times New Roman" w:hAnsi="Times New Roman"/>
        </w:rPr>
        <w:t>, or so extreme,</w:t>
      </w:r>
      <w:r w:rsidR="00027C82" w:rsidRPr="00737152">
        <w:rPr>
          <w:rFonts w:ascii="Times New Roman" w:hAnsi="Times New Roman"/>
        </w:rPr>
        <w:t xml:space="preserve"> that nothing that had happened in the past </w:t>
      </w:r>
      <w:r w:rsidR="00BD7BAF" w:rsidRPr="00737152">
        <w:rPr>
          <w:rFonts w:ascii="Times New Roman" w:hAnsi="Times New Roman"/>
        </w:rPr>
        <w:t xml:space="preserve">made it more likely that </w:t>
      </w:r>
      <w:r w:rsidR="00415751" w:rsidRPr="00737152">
        <w:rPr>
          <w:rFonts w:ascii="Times New Roman" w:hAnsi="Times New Roman"/>
        </w:rPr>
        <w:t xml:space="preserve">it was the </w:t>
      </w:r>
      <w:r w:rsidR="006D4726" w:rsidRPr="00737152">
        <w:rPr>
          <w:rFonts w:ascii="Times New Roman" w:hAnsi="Times New Roman"/>
        </w:rPr>
        <w:t>appellant</w:t>
      </w:r>
      <w:r w:rsidR="00415751" w:rsidRPr="00737152">
        <w:rPr>
          <w:rFonts w:ascii="Times New Roman" w:hAnsi="Times New Roman"/>
        </w:rPr>
        <w:t xml:space="preserve">, rather than the mother or the nephew, who had </w:t>
      </w:r>
      <w:r w:rsidR="005211B4" w:rsidRPr="00737152">
        <w:rPr>
          <w:rFonts w:ascii="Times New Roman" w:hAnsi="Times New Roman"/>
        </w:rPr>
        <w:t>engaged in that conduct.</w:t>
      </w:r>
    </w:p>
    <w:p w14:paraId="098C5290" w14:textId="4484A084" w:rsidR="009C7EA9" w:rsidRPr="00737152" w:rsidRDefault="008B42B5"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9C7EA9" w:rsidRPr="00737152">
        <w:rPr>
          <w:rFonts w:ascii="Times New Roman" w:hAnsi="Times New Roman"/>
        </w:rPr>
        <w:t xml:space="preserve">Without the additional elements of violent conduct inflicting serious physical harm, it is doubtful that the tendency evidence could have met the threshold of </w:t>
      </w:r>
      <w:r w:rsidR="00927559" w:rsidRPr="00737152">
        <w:rPr>
          <w:rFonts w:ascii="Times New Roman" w:hAnsi="Times New Roman"/>
        </w:rPr>
        <w:t>significant</w:t>
      </w:r>
      <w:r w:rsidR="009C7EA9" w:rsidRPr="00737152">
        <w:rPr>
          <w:rFonts w:ascii="Times New Roman" w:hAnsi="Times New Roman"/>
        </w:rPr>
        <w:t xml:space="preserve"> probative value. However, the appellant did not complain about the incorporation of those elements by the trial judge and there was no serious suggestion that both the burns evidence and the complaint evidence did not concern acts of violence and the infliction of serious physical harm. When these aspects of the tendency evidence are recognised, and having regard to the other evidence of identity, the tendency was sufficiently striking that its existence was capable of being important to a conclusion that the appellant was the perpetrator and, accordingly, the burns and complaint evidence had the requisite significant probative value for admissibility under s 97(1)(b). First, the tendency to deliberately and violently inflict serious physical harm on the victim concerned acts directed to a single person, suggesting hostility on the part of the appellant towards the victim</w:t>
      </w:r>
      <w:r w:rsidR="009C7EA9" w:rsidRPr="00737152">
        <w:rPr>
          <w:rStyle w:val="FootnoteReference"/>
          <w:rFonts w:ascii="Times New Roman" w:hAnsi="Times New Roman"/>
          <w:sz w:val="24"/>
        </w:rPr>
        <w:footnoteReference w:id="41"/>
      </w:r>
      <w:r w:rsidR="009C7EA9" w:rsidRPr="00737152">
        <w:rPr>
          <w:rFonts w:ascii="Times New Roman" w:hAnsi="Times New Roman"/>
        </w:rPr>
        <w:t xml:space="preserve">. Second, and noting the caution required in </w:t>
      </w:r>
      <w:proofErr w:type="gramStart"/>
      <w:r w:rsidR="009C7EA9" w:rsidRPr="00737152">
        <w:rPr>
          <w:rFonts w:ascii="Times New Roman" w:hAnsi="Times New Roman"/>
        </w:rPr>
        <w:t>making an observation about</w:t>
      </w:r>
      <w:proofErr w:type="gramEnd"/>
      <w:r w:rsidR="009C7EA9" w:rsidRPr="00737152">
        <w:rPr>
          <w:rFonts w:ascii="Times New Roman" w:hAnsi="Times New Roman"/>
        </w:rPr>
        <w:t xml:space="preserve"> human experience where there is a normal abhorrence of such a tendency</w:t>
      </w:r>
      <w:r w:rsidR="009C7EA9" w:rsidRPr="00737152">
        <w:rPr>
          <w:rStyle w:val="FootnoteReference"/>
          <w:rFonts w:ascii="Times New Roman" w:hAnsi="Times New Roman"/>
          <w:sz w:val="24"/>
        </w:rPr>
        <w:footnoteReference w:id="42"/>
      </w:r>
      <w:r w:rsidR="009C7EA9" w:rsidRPr="00737152">
        <w:rPr>
          <w:rFonts w:ascii="Times New Roman" w:hAnsi="Times New Roman"/>
        </w:rPr>
        <w:t>, that tendency in relation to a victim who was a very young, and necessarily defenceless, child is abnormal and therefore unlikely to be shared by other persons who had the opportunity to inflict the fatal injuries. In order to conclude that the tendency evidence had significant probative value, it was not necessary for the prosecution to neutralise or disprove the existence of the same tendency on the part of the other possible perpetrators</w:t>
      </w:r>
      <w:r w:rsidR="00873C93" w:rsidRPr="00737152">
        <w:rPr>
          <w:rFonts w:ascii="Times New Roman" w:hAnsi="Times New Roman"/>
        </w:rPr>
        <w:t>,</w:t>
      </w:r>
      <w:r w:rsidR="00346F21" w:rsidRPr="00737152">
        <w:rPr>
          <w:rFonts w:ascii="Times New Roman" w:hAnsi="Times New Roman"/>
        </w:rPr>
        <w:t xml:space="preserve"> </w:t>
      </w:r>
      <w:r w:rsidR="009C7EA9" w:rsidRPr="00737152">
        <w:rPr>
          <w:rFonts w:ascii="Times New Roman" w:hAnsi="Times New Roman"/>
        </w:rPr>
        <w:t xml:space="preserve">although, as set out above, there was evidence that made it less likely that either the mother or the nephew had the asserted tendency. Third, the probative value of the evidence was increased by the </w:t>
      </w:r>
      <w:proofErr w:type="gramStart"/>
      <w:r w:rsidR="009C7EA9" w:rsidRPr="00737152">
        <w:rPr>
          <w:rFonts w:ascii="Times New Roman" w:hAnsi="Times New Roman"/>
        </w:rPr>
        <w:t>close proximity</w:t>
      </w:r>
      <w:proofErr w:type="gramEnd"/>
      <w:r w:rsidR="009C7EA9" w:rsidRPr="00737152">
        <w:rPr>
          <w:rFonts w:ascii="Times New Roman" w:hAnsi="Times New Roman"/>
        </w:rPr>
        <w:t xml:space="preserve"> in time between the charged offence</w:t>
      </w:r>
      <w:r w:rsidR="002B2ADB" w:rsidRPr="00737152">
        <w:rPr>
          <w:rFonts w:ascii="Times New Roman" w:hAnsi="Times New Roman"/>
        </w:rPr>
        <w:t>, the</w:t>
      </w:r>
      <w:r w:rsidR="009C7EA9" w:rsidRPr="00737152">
        <w:rPr>
          <w:rFonts w:ascii="Times New Roman" w:hAnsi="Times New Roman"/>
        </w:rPr>
        <w:t xml:space="preserve"> burns incident and the complaints: all relevant events occurred within the space of about one month.</w:t>
      </w:r>
    </w:p>
    <w:p w14:paraId="5160285E" w14:textId="662463C9" w:rsidR="001B2BBC" w:rsidRPr="00737152" w:rsidRDefault="005D1FF1" w:rsidP="00737152">
      <w:pPr>
        <w:pStyle w:val="FixListStyle"/>
        <w:spacing w:after="260" w:line="280" w:lineRule="exact"/>
        <w:ind w:right="0"/>
        <w:jc w:val="both"/>
        <w:rPr>
          <w:rFonts w:ascii="Times New Roman" w:hAnsi="Times New Roman"/>
        </w:rPr>
      </w:pPr>
      <w:r w:rsidRPr="00737152">
        <w:rPr>
          <w:rFonts w:ascii="Times New Roman" w:hAnsi="Times New Roman"/>
        </w:rPr>
        <w:tab/>
      </w:r>
      <w:r w:rsidR="005D3E0E" w:rsidRPr="00737152">
        <w:rPr>
          <w:rFonts w:ascii="Times New Roman" w:hAnsi="Times New Roman"/>
        </w:rPr>
        <w:t>T</w:t>
      </w:r>
      <w:r w:rsidR="00A7780C" w:rsidRPr="00737152">
        <w:rPr>
          <w:rFonts w:ascii="Times New Roman" w:hAnsi="Times New Roman"/>
        </w:rPr>
        <w:t xml:space="preserve">his is a case in which </w:t>
      </w:r>
      <w:r w:rsidR="00D32CC6" w:rsidRPr="00737152">
        <w:rPr>
          <w:rFonts w:ascii="Times New Roman" w:hAnsi="Times New Roman"/>
        </w:rPr>
        <w:t xml:space="preserve">the threshold of </w:t>
      </w:r>
      <w:r w:rsidR="00D475CC" w:rsidRPr="00737152">
        <w:rPr>
          <w:rFonts w:ascii="Times New Roman" w:hAnsi="Times New Roman"/>
        </w:rPr>
        <w:t xml:space="preserve">significant probative value was capable of being met without </w:t>
      </w:r>
      <w:r w:rsidR="00506F3B" w:rsidRPr="00737152">
        <w:rPr>
          <w:rFonts w:ascii="Times New Roman" w:hAnsi="Times New Roman"/>
        </w:rPr>
        <w:t xml:space="preserve">the </w:t>
      </w:r>
      <w:r w:rsidR="00855D42" w:rsidRPr="00737152">
        <w:rPr>
          <w:rFonts w:ascii="Times New Roman" w:hAnsi="Times New Roman"/>
        </w:rPr>
        <w:t xml:space="preserve">close similarity </w:t>
      </w:r>
      <w:r w:rsidR="00097746" w:rsidRPr="00737152">
        <w:rPr>
          <w:rFonts w:ascii="Times New Roman" w:hAnsi="Times New Roman"/>
        </w:rPr>
        <w:t xml:space="preserve">insisted upon by the appellant. </w:t>
      </w:r>
      <w:r w:rsidR="00906A90" w:rsidRPr="00737152">
        <w:rPr>
          <w:rFonts w:ascii="Times New Roman" w:hAnsi="Times New Roman"/>
        </w:rPr>
        <w:t>A</w:t>
      </w:r>
      <w:r w:rsidR="000A7091" w:rsidRPr="00737152">
        <w:rPr>
          <w:rFonts w:ascii="Times New Roman" w:hAnsi="Times New Roman"/>
        </w:rPr>
        <w:t xml:space="preserve">part from the </w:t>
      </w:r>
      <w:r w:rsidR="009C7EA9" w:rsidRPr="00737152">
        <w:rPr>
          <w:rFonts w:ascii="Times New Roman" w:hAnsi="Times New Roman"/>
        </w:rPr>
        <w:t xml:space="preserve">burns and complaint </w:t>
      </w:r>
      <w:r w:rsidR="000A7091" w:rsidRPr="00737152">
        <w:rPr>
          <w:rFonts w:ascii="Times New Roman" w:hAnsi="Times New Roman"/>
        </w:rPr>
        <w:t xml:space="preserve">evidence, there was strong evidence </w:t>
      </w:r>
      <w:r w:rsidR="0098184F" w:rsidRPr="00737152">
        <w:rPr>
          <w:rFonts w:ascii="Times New Roman" w:hAnsi="Times New Roman"/>
        </w:rPr>
        <w:t>identifying</w:t>
      </w:r>
      <w:r w:rsidR="000A7091" w:rsidRPr="00737152">
        <w:rPr>
          <w:rFonts w:ascii="Times New Roman" w:hAnsi="Times New Roman"/>
        </w:rPr>
        <w:t xml:space="preserve"> </w:t>
      </w:r>
      <w:r w:rsidR="001D7EC1" w:rsidRPr="00737152">
        <w:rPr>
          <w:rFonts w:ascii="Times New Roman" w:hAnsi="Times New Roman"/>
        </w:rPr>
        <w:t xml:space="preserve">the </w:t>
      </w:r>
      <w:r w:rsidR="0098184F" w:rsidRPr="00737152">
        <w:rPr>
          <w:rFonts w:ascii="Times New Roman" w:hAnsi="Times New Roman"/>
        </w:rPr>
        <w:t>a</w:t>
      </w:r>
      <w:r w:rsidR="0005501E" w:rsidRPr="00737152">
        <w:rPr>
          <w:rFonts w:ascii="Times New Roman" w:hAnsi="Times New Roman"/>
        </w:rPr>
        <w:t>ppellant</w:t>
      </w:r>
      <w:r w:rsidR="001D7EC1" w:rsidRPr="00737152">
        <w:rPr>
          <w:rFonts w:ascii="Times New Roman" w:hAnsi="Times New Roman"/>
        </w:rPr>
        <w:t xml:space="preserve"> </w:t>
      </w:r>
      <w:r w:rsidR="0098184F" w:rsidRPr="00737152">
        <w:rPr>
          <w:rFonts w:ascii="Times New Roman" w:hAnsi="Times New Roman"/>
        </w:rPr>
        <w:t>as</w:t>
      </w:r>
      <w:r w:rsidR="00EC2F8B" w:rsidRPr="00737152">
        <w:rPr>
          <w:rFonts w:ascii="Times New Roman" w:hAnsi="Times New Roman"/>
        </w:rPr>
        <w:t xml:space="preserve"> the perpetrator</w:t>
      </w:r>
      <w:r w:rsidR="008A5526" w:rsidRPr="00737152">
        <w:rPr>
          <w:rFonts w:ascii="Times New Roman" w:hAnsi="Times New Roman"/>
        </w:rPr>
        <w:t xml:space="preserve">. First, there was </w:t>
      </w:r>
      <w:r w:rsidR="0098184F" w:rsidRPr="00737152">
        <w:rPr>
          <w:rFonts w:ascii="Times New Roman" w:hAnsi="Times New Roman"/>
        </w:rPr>
        <w:t xml:space="preserve">evidence that </w:t>
      </w:r>
      <w:r w:rsidR="008A5526" w:rsidRPr="00737152">
        <w:rPr>
          <w:rFonts w:ascii="Times New Roman" w:hAnsi="Times New Roman"/>
        </w:rPr>
        <w:t xml:space="preserve">the </w:t>
      </w:r>
      <w:r w:rsidR="008A5526" w:rsidRPr="00737152">
        <w:rPr>
          <w:rFonts w:ascii="Times New Roman" w:hAnsi="Times New Roman"/>
        </w:rPr>
        <w:lastRenderedPageBreak/>
        <w:t>appellant</w:t>
      </w:r>
      <w:r w:rsidR="00DC264D" w:rsidRPr="00737152">
        <w:rPr>
          <w:rFonts w:ascii="Times New Roman" w:hAnsi="Times New Roman"/>
        </w:rPr>
        <w:t xml:space="preserve"> was one of only three people with the </w:t>
      </w:r>
      <w:r w:rsidR="00EE1A1F" w:rsidRPr="00737152">
        <w:rPr>
          <w:rFonts w:ascii="Times New Roman" w:hAnsi="Times New Roman"/>
        </w:rPr>
        <w:t xml:space="preserve">requisite </w:t>
      </w:r>
      <w:r w:rsidR="00DC264D" w:rsidRPr="00737152">
        <w:rPr>
          <w:rFonts w:ascii="Times New Roman" w:hAnsi="Times New Roman"/>
        </w:rPr>
        <w:t>opportunity</w:t>
      </w:r>
      <w:r w:rsidR="00EE1A1F" w:rsidRPr="00737152">
        <w:rPr>
          <w:rFonts w:ascii="Times New Roman" w:hAnsi="Times New Roman"/>
        </w:rPr>
        <w:t>.</w:t>
      </w:r>
      <w:r w:rsidR="00DC264D" w:rsidRPr="00737152">
        <w:rPr>
          <w:rFonts w:ascii="Times New Roman" w:hAnsi="Times New Roman"/>
        </w:rPr>
        <w:t xml:space="preserve"> </w:t>
      </w:r>
      <w:r w:rsidR="008A5526" w:rsidRPr="00737152">
        <w:rPr>
          <w:rFonts w:ascii="Times New Roman" w:hAnsi="Times New Roman"/>
        </w:rPr>
        <w:t>Second</w:t>
      </w:r>
      <w:r w:rsidR="005F2067" w:rsidRPr="00737152">
        <w:rPr>
          <w:rFonts w:ascii="Times New Roman" w:hAnsi="Times New Roman"/>
        </w:rPr>
        <w:t xml:space="preserve">, as explained above, </w:t>
      </w:r>
      <w:r w:rsidR="00E0761E" w:rsidRPr="00737152">
        <w:rPr>
          <w:rFonts w:ascii="Times New Roman" w:hAnsi="Times New Roman"/>
        </w:rPr>
        <w:t xml:space="preserve">the </w:t>
      </w:r>
      <w:r w:rsidR="0005501E" w:rsidRPr="00737152">
        <w:rPr>
          <w:rFonts w:ascii="Times New Roman" w:hAnsi="Times New Roman"/>
        </w:rPr>
        <w:t>appellant was the only person w</w:t>
      </w:r>
      <w:r w:rsidR="00A0635C" w:rsidRPr="00737152">
        <w:rPr>
          <w:rFonts w:ascii="Times New Roman" w:hAnsi="Times New Roman"/>
        </w:rPr>
        <w:t xml:space="preserve">ho </w:t>
      </w:r>
      <w:r w:rsidR="008418F9" w:rsidRPr="00737152">
        <w:rPr>
          <w:rFonts w:ascii="Times New Roman" w:hAnsi="Times New Roman"/>
        </w:rPr>
        <w:t xml:space="preserve">had an opportunity to </w:t>
      </w:r>
      <w:r w:rsidR="00C42D85" w:rsidRPr="00737152">
        <w:rPr>
          <w:rFonts w:ascii="Times New Roman" w:hAnsi="Times New Roman"/>
        </w:rPr>
        <w:t xml:space="preserve">inflict the </w:t>
      </w:r>
      <w:r w:rsidR="007F10CE" w:rsidRPr="00737152">
        <w:rPr>
          <w:rFonts w:ascii="Times New Roman" w:hAnsi="Times New Roman"/>
        </w:rPr>
        <w:t xml:space="preserve">fatal injuries when </w:t>
      </w:r>
      <w:r w:rsidR="00382FD9" w:rsidRPr="00737152">
        <w:rPr>
          <w:rFonts w:ascii="Times New Roman" w:hAnsi="Times New Roman"/>
        </w:rPr>
        <w:t xml:space="preserve">the others were not present, either in the unit or immediately outside the open window to the victim's bedroom. </w:t>
      </w:r>
      <w:r w:rsidR="00536837" w:rsidRPr="00737152">
        <w:rPr>
          <w:rFonts w:ascii="Times New Roman" w:hAnsi="Times New Roman"/>
        </w:rPr>
        <w:t>T</w:t>
      </w:r>
      <w:r w:rsidR="00C525C5" w:rsidRPr="00737152">
        <w:rPr>
          <w:rFonts w:ascii="Times New Roman" w:hAnsi="Times New Roman"/>
        </w:rPr>
        <w:t xml:space="preserve">hird, </w:t>
      </w:r>
      <w:r w:rsidR="00DD5E99" w:rsidRPr="00737152">
        <w:rPr>
          <w:rFonts w:ascii="Times New Roman" w:hAnsi="Times New Roman"/>
        </w:rPr>
        <w:t>there was</w:t>
      </w:r>
      <w:r w:rsidR="00536837" w:rsidRPr="00737152">
        <w:rPr>
          <w:rFonts w:ascii="Times New Roman" w:hAnsi="Times New Roman"/>
        </w:rPr>
        <w:t xml:space="preserve"> evidence that tended to </w:t>
      </w:r>
      <w:r w:rsidR="00563F08" w:rsidRPr="00737152">
        <w:rPr>
          <w:rFonts w:ascii="Times New Roman" w:hAnsi="Times New Roman"/>
        </w:rPr>
        <w:t>exclude</w:t>
      </w:r>
      <w:r w:rsidR="00A14762" w:rsidRPr="00737152">
        <w:rPr>
          <w:rFonts w:ascii="Times New Roman" w:hAnsi="Times New Roman"/>
        </w:rPr>
        <w:t xml:space="preserve"> the mother </w:t>
      </w:r>
      <w:r w:rsidR="00563F08" w:rsidRPr="00737152">
        <w:rPr>
          <w:rFonts w:ascii="Times New Roman" w:hAnsi="Times New Roman"/>
        </w:rPr>
        <w:t>and</w:t>
      </w:r>
      <w:r w:rsidR="00A14762" w:rsidRPr="00737152">
        <w:rPr>
          <w:rFonts w:ascii="Times New Roman" w:hAnsi="Times New Roman"/>
        </w:rPr>
        <w:t xml:space="preserve"> the </w:t>
      </w:r>
      <w:r w:rsidR="00FE6DBA" w:rsidRPr="00737152">
        <w:rPr>
          <w:rFonts w:ascii="Times New Roman" w:hAnsi="Times New Roman"/>
        </w:rPr>
        <w:t xml:space="preserve">nephew </w:t>
      </w:r>
      <w:r w:rsidR="00563F08" w:rsidRPr="00737152">
        <w:rPr>
          <w:rFonts w:ascii="Times New Roman" w:hAnsi="Times New Roman"/>
        </w:rPr>
        <w:t>as the perpetrator</w:t>
      </w:r>
      <w:r w:rsidR="0021631D" w:rsidRPr="00737152">
        <w:rPr>
          <w:rFonts w:ascii="Times New Roman" w:hAnsi="Times New Roman"/>
        </w:rPr>
        <w:t xml:space="preserve">. In </w:t>
      </w:r>
      <w:r w:rsidR="00563F08" w:rsidRPr="00737152">
        <w:rPr>
          <w:rFonts w:ascii="Times New Roman" w:hAnsi="Times New Roman"/>
        </w:rPr>
        <w:t xml:space="preserve">each case, </w:t>
      </w:r>
      <w:r w:rsidR="00CC60A4" w:rsidRPr="00737152">
        <w:rPr>
          <w:rFonts w:ascii="Times New Roman" w:hAnsi="Times New Roman"/>
        </w:rPr>
        <w:t xml:space="preserve">their opportunity </w:t>
      </w:r>
      <w:r w:rsidR="00D7213F" w:rsidRPr="00737152">
        <w:rPr>
          <w:rFonts w:ascii="Times New Roman" w:hAnsi="Times New Roman"/>
        </w:rPr>
        <w:t xml:space="preserve">to inflict the abdominal injuries was restricted to </w:t>
      </w:r>
      <w:r w:rsidR="00203959" w:rsidRPr="00737152">
        <w:rPr>
          <w:rFonts w:ascii="Times New Roman" w:hAnsi="Times New Roman"/>
        </w:rPr>
        <w:t xml:space="preserve">a </w:t>
      </w:r>
      <w:r w:rsidR="009921A2" w:rsidRPr="00737152">
        <w:rPr>
          <w:rFonts w:ascii="Times New Roman" w:hAnsi="Times New Roman"/>
        </w:rPr>
        <w:t xml:space="preserve">time when </w:t>
      </w:r>
      <w:r w:rsidR="004240F2" w:rsidRPr="00737152">
        <w:rPr>
          <w:rFonts w:ascii="Times New Roman" w:hAnsi="Times New Roman"/>
        </w:rPr>
        <w:t>the</w:t>
      </w:r>
      <w:r w:rsidR="00BE15EA" w:rsidRPr="00737152">
        <w:rPr>
          <w:rFonts w:ascii="Times New Roman" w:hAnsi="Times New Roman"/>
        </w:rPr>
        <w:t xml:space="preserve">re were two other persons in </w:t>
      </w:r>
      <w:proofErr w:type="gramStart"/>
      <w:r w:rsidR="00BE15EA" w:rsidRPr="00737152">
        <w:rPr>
          <w:rFonts w:ascii="Times New Roman" w:hAnsi="Times New Roman"/>
        </w:rPr>
        <w:t>close proximity</w:t>
      </w:r>
      <w:proofErr w:type="gramEnd"/>
      <w:r w:rsidR="000675D0" w:rsidRPr="00737152">
        <w:rPr>
          <w:rFonts w:ascii="Times New Roman" w:hAnsi="Times New Roman"/>
        </w:rPr>
        <w:t xml:space="preserve"> and there was no evidence to suggest that either of them had acted </w:t>
      </w:r>
      <w:r w:rsidR="00E52DEA" w:rsidRPr="00737152">
        <w:rPr>
          <w:rFonts w:ascii="Times New Roman" w:hAnsi="Times New Roman"/>
        </w:rPr>
        <w:t xml:space="preserve">on that limited opportunity. </w:t>
      </w:r>
      <w:r w:rsidR="00BE26CE" w:rsidRPr="00737152">
        <w:rPr>
          <w:rFonts w:ascii="Times New Roman" w:hAnsi="Times New Roman"/>
        </w:rPr>
        <w:t>In</w:t>
      </w:r>
      <w:r w:rsidR="00E52DEA" w:rsidRPr="00737152">
        <w:rPr>
          <w:rFonts w:ascii="Times New Roman" w:hAnsi="Times New Roman"/>
        </w:rPr>
        <w:t xml:space="preserve"> </w:t>
      </w:r>
      <w:r w:rsidR="0021631D" w:rsidRPr="00737152">
        <w:rPr>
          <w:rFonts w:ascii="Times New Roman" w:hAnsi="Times New Roman"/>
        </w:rPr>
        <w:t xml:space="preserve">the case of the mother, </w:t>
      </w:r>
      <w:r w:rsidR="004925C4" w:rsidRPr="00737152">
        <w:rPr>
          <w:rFonts w:ascii="Times New Roman" w:hAnsi="Times New Roman"/>
        </w:rPr>
        <w:t>th</w:t>
      </w:r>
      <w:r w:rsidR="00CF53F2" w:rsidRPr="00737152">
        <w:rPr>
          <w:rFonts w:ascii="Times New Roman" w:hAnsi="Times New Roman"/>
        </w:rPr>
        <w:t>e evidence was that she was an attentive and caring mother who regularly sought medical attention for the victim when she was concerned for her welf</w:t>
      </w:r>
      <w:r w:rsidR="00FA5BD1" w:rsidRPr="00737152">
        <w:rPr>
          <w:rFonts w:ascii="Times New Roman" w:hAnsi="Times New Roman"/>
        </w:rPr>
        <w:t xml:space="preserve">are. </w:t>
      </w:r>
      <w:r w:rsidR="008F67F4" w:rsidRPr="00737152">
        <w:rPr>
          <w:rFonts w:ascii="Times New Roman" w:hAnsi="Times New Roman"/>
        </w:rPr>
        <w:t xml:space="preserve">In the case of the nephew, </w:t>
      </w:r>
      <w:r w:rsidR="00DE12C9" w:rsidRPr="00737152">
        <w:rPr>
          <w:rFonts w:ascii="Times New Roman" w:hAnsi="Times New Roman"/>
        </w:rPr>
        <w:t xml:space="preserve">the </w:t>
      </w:r>
      <w:r w:rsidR="002B3A26" w:rsidRPr="00737152">
        <w:rPr>
          <w:rFonts w:ascii="Times New Roman" w:hAnsi="Times New Roman"/>
        </w:rPr>
        <w:t>appellant</w:t>
      </w:r>
      <w:r w:rsidR="00DE12C9" w:rsidRPr="00737152">
        <w:rPr>
          <w:rFonts w:ascii="Times New Roman" w:hAnsi="Times New Roman"/>
        </w:rPr>
        <w:t xml:space="preserve"> himself had discounted the nephew as</w:t>
      </w:r>
      <w:r w:rsidR="00C347E1" w:rsidRPr="00737152">
        <w:rPr>
          <w:rFonts w:ascii="Times New Roman" w:hAnsi="Times New Roman"/>
        </w:rPr>
        <w:t xml:space="preserve"> being</w:t>
      </w:r>
      <w:r w:rsidR="00DE12C9" w:rsidRPr="00737152">
        <w:rPr>
          <w:rFonts w:ascii="Times New Roman" w:hAnsi="Times New Roman"/>
        </w:rPr>
        <w:t xml:space="preserve"> in any way responsible for the infliction of the abdominal injuries.</w:t>
      </w:r>
    </w:p>
    <w:p w14:paraId="7335F677" w14:textId="75F934DC" w:rsidR="0010725E" w:rsidRPr="00737152" w:rsidRDefault="006A18C6" w:rsidP="00737152">
      <w:pPr>
        <w:pStyle w:val="HeadingL1"/>
        <w:spacing w:after="260" w:line="280" w:lineRule="exact"/>
        <w:ind w:right="0"/>
        <w:jc w:val="both"/>
        <w:rPr>
          <w:rFonts w:ascii="Times New Roman" w:hAnsi="Times New Roman"/>
        </w:rPr>
      </w:pPr>
      <w:r w:rsidRPr="00737152">
        <w:rPr>
          <w:rFonts w:ascii="Times New Roman" w:hAnsi="Times New Roman"/>
        </w:rPr>
        <w:t>Conclusion</w:t>
      </w:r>
    </w:p>
    <w:p w14:paraId="56E8DAFA" w14:textId="77777777" w:rsidR="00B75BD7" w:rsidRDefault="00617931" w:rsidP="00737152">
      <w:pPr>
        <w:pStyle w:val="FixListStyle"/>
        <w:spacing w:after="260" w:line="280" w:lineRule="exact"/>
        <w:ind w:right="0"/>
        <w:jc w:val="both"/>
        <w:rPr>
          <w:rFonts w:ascii="Times New Roman" w:hAnsi="Times New Roman"/>
        </w:rPr>
      </w:pPr>
      <w:r w:rsidRPr="00737152">
        <w:rPr>
          <w:rFonts w:ascii="Times New Roman" w:hAnsi="Times New Roman"/>
        </w:rPr>
        <w:tab/>
        <w:t>The appeal must be dismissed.</w:t>
      </w:r>
    </w:p>
    <w:p w14:paraId="64732FA7" w14:textId="00BC67DB" w:rsidR="00B75BD7" w:rsidRDefault="00B75BD7" w:rsidP="00737152">
      <w:pPr>
        <w:pStyle w:val="FixListStyle"/>
        <w:spacing w:after="260" w:line="280" w:lineRule="exact"/>
        <w:ind w:right="0"/>
        <w:jc w:val="both"/>
        <w:rPr>
          <w:rFonts w:ascii="Times New Roman" w:hAnsi="Times New Roman"/>
        </w:rPr>
        <w:sectPr w:rsidR="00B75BD7" w:rsidSect="00410E92">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39F119C" w14:textId="5D38BB38" w:rsidR="003F1883" w:rsidRPr="00737152" w:rsidRDefault="003F1883" w:rsidP="00B75BD7">
      <w:pPr>
        <w:pStyle w:val="NormalBody"/>
      </w:pPr>
    </w:p>
    <w:sectPr w:rsidR="003F1883" w:rsidRPr="00737152" w:rsidSect="00737152">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2CF5" w14:textId="77777777" w:rsidR="00BC1FAF" w:rsidRDefault="00BC1FAF">
      <w:pPr>
        <w:spacing w:line="240" w:lineRule="auto"/>
      </w:pPr>
      <w:r>
        <w:separator/>
      </w:r>
    </w:p>
  </w:endnote>
  <w:endnote w:type="continuationSeparator" w:id="0">
    <w:p w14:paraId="54424411" w14:textId="77777777" w:rsidR="00BC1FAF" w:rsidRDefault="00BC1FAF">
      <w:pPr>
        <w:spacing w:line="240" w:lineRule="auto"/>
      </w:pPr>
      <w:r>
        <w:continuationSeparator/>
      </w:r>
    </w:p>
  </w:endnote>
  <w:endnote w:type="continuationNotice" w:id="1">
    <w:p w14:paraId="0838C650" w14:textId="77777777" w:rsidR="00BC1FAF" w:rsidRDefault="00BC1F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23F7" w14:textId="77777777" w:rsidR="00410E92" w:rsidRDefault="00410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D728" w14:textId="77777777" w:rsidR="00410E92" w:rsidRDefault="00410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A3ED" w14:textId="77777777" w:rsidR="00410E92" w:rsidRDefault="00410E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7B73" w14:textId="77777777" w:rsidR="00410E92" w:rsidRDefault="00410E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872A" w14:textId="77777777" w:rsidR="00410E92" w:rsidRDefault="00410E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0D4E" w14:textId="77777777" w:rsidR="00410E92" w:rsidRDefault="00410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05F1" w14:textId="77777777" w:rsidR="00BC1FAF" w:rsidRPr="00737152" w:rsidRDefault="00BC1FAF" w:rsidP="00737152">
      <w:pPr>
        <w:pStyle w:val="Footer"/>
        <w:spacing w:before="120" w:after="20"/>
        <w:ind w:right="0"/>
        <w:rPr>
          <w:rFonts w:ascii="Times New Roman" w:hAnsi="Times New Roman"/>
        </w:rPr>
      </w:pPr>
      <w:r>
        <w:continuationSeparator/>
      </w:r>
    </w:p>
  </w:footnote>
  <w:footnote w:type="continuationSeparator" w:id="0">
    <w:p w14:paraId="1A8F6CA2" w14:textId="77777777" w:rsidR="00BC1FAF" w:rsidRPr="00737152" w:rsidRDefault="00BC1FAF" w:rsidP="00737152">
      <w:pPr>
        <w:pStyle w:val="Footer"/>
        <w:spacing w:before="120" w:after="20"/>
        <w:ind w:right="0"/>
        <w:rPr>
          <w:rFonts w:ascii="Times New Roman" w:hAnsi="Times New Roman"/>
        </w:rPr>
      </w:pPr>
      <w:r w:rsidRPr="00737152">
        <w:rPr>
          <w:rFonts w:ascii="Times New Roman" w:hAnsi="Times New Roman"/>
        </w:rPr>
        <w:continuationSeparator/>
      </w:r>
    </w:p>
  </w:footnote>
  <w:footnote w:type="continuationNotice" w:id="1">
    <w:p w14:paraId="4A827212" w14:textId="77777777" w:rsidR="00BC1FAF" w:rsidRPr="00737152" w:rsidRDefault="00BC1FAF">
      <w:pPr>
        <w:jc w:val="right"/>
        <w:rPr>
          <w:rFonts w:ascii="Times Roman" w:hAnsi="Times Roman"/>
          <w:sz w:val="24"/>
        </w:rPr>
      </w:pPr>
    </w:p>
  </w:footnote>
  <w:footnote w:id="2">
    <w:p w14:paraId="5B9A008E" w14:textId="55DAA87E" w:rsidR="00BD7638" w:rsidRPr="00737152" w:rsidRDefault="00BD7638"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TL v The Queen </w:t>
      </w:r>
      <w:r w:rsidRPr="00737152">
        <w:rPr>
          <w:rFonts w:ascii="Times New Roman" w:hAnsi="Times New Roman"/>
          <w:sz w:val="24"/>
        </w:rPr>
        <w:t>[2020] NSWCCA 265.</w:t>
      </w:r>
    </w:p>
  </w:footnote>
  <w:footnote w:id="3">
    <w:p w14:paraId="40F779DC" w14:textId="77E2C49D" w:rsidR="008770A2" w:rsidRPr="00737152" w:rsidRDefault="008770A2"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00CC7819" w:rsidRPr="00737152">
        <w:rPr>
          <w:rFonts w:ascii="Times New Roman" w:hAnsi="Times New Roman"/>
          <w:sz w:val="24"/>
        </w:rPr>
        <w:t>(2017) 263 CLR 338 a</w:t>
      </w:r>
      <w:r w:rsidR="00064BE5" w:rsidRPr="00737152">
        <w:rPr>
          <w:rFonts w:ascii="Times New Roman" w:hAnsi="Times New Roman"/>
          <w:sz w:val="24"/>
        </w:rPr>
        <w:t xml:space="preserve">t </w:t>
      </w:r>
      <w:r w:rsidR="00966860" w:rsidRPr="00737152">
        <w:rPr>
          <w:rFonts w:ascii="Times New Roman" w:hAnsi="Times New Roman"/>
          <w:sz w:val="24"/>
        </w:rPr>
        <w:t xml:space="preserve">356 </w:t>
      </w:r>
      <w:r w:rsidR="00064BE5" w:rsidRPr="00737152">
        <w:rPr>
          <w:rFonts w:ascii="Times New Roman" w:hAnsi="Times New Roman"/>
          <w:sz w:val="24"/>
        </w:rPr>
        <w:t>[39]</w:t>
      </w:r>
      <w:r w:rsidR="00695898" w:rsidRPr="00737152">
        <w:rPr>
          <w:rFonts w:ascii="Times New Roman" w:hAnsi="Times New Roman"/>
          <w:sz w:val="24"/>
        </w:rPr>
        <w:t xml:space="preserve"> (emphasis added)</w:t>
      </w:r>
      <w:r w:rsidR="00064BE5" w:rsidRPr="00737152">
        <w:rPr>
          <w:rFonts w:ascii="Times New Roman" w:hAnsi="Times New Roman"/>
          <w:sz w:val="24"/>
        </w:rPr>
        <w:t>.</w:t>
      </w:r>
    </w:p>
  </w:footnote>
  <w:footnote w:id="4">
    <w:p w14:paraId="45087C34" w14:textId="0BCFCEE5" w:rsidR="00662794" w:rsidRPr="00737152" w:rsidRDefault="00662794"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TL </w:t>
      </w:r>
      <w:r w:rsidRPr="00737152">
        <w:rPr>
          <w:rFonts w:ascii="Times New Roman" w:hAnsi="Times New Roman"/>
          <w:sz w:val="24"/>
        </w:rPr>
        <w:t>[2020] NSWCCA 265 at [207]</w:t>
      </w:r>
      <w:r w:rsidR="00DF2276" w:rsidRPr="00737152">
        <w:rPr>
          <w:rFonts w:ascii="Times New Roman" w:hAnsi="Times New Roman"/>
          <w:sz w:val="24"/>
        </w:rPr>
        <w:t>.</w:t>
      </w:r>
    </w:p>
  </w:footnote>
  <w:footnote w:id="5">
    <w:p w14:paraId="7622838A" w14:textId="107C8130" w:rsidR="00904A2A" w:rsidRPr="00737152" w:rsidRDefault="00904A2A"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R v TL </w:t>
      </w:r>
      <w:r w:rsidRPr="00737152">
        <w:rPr>
          <w:rFonts w:ascii="Times New Roman" w:hAnsi="Times New Roman"/>
          <w:sz w:val="24"/>
        </w:rPr>
        <w:t>[2017] NSWSC 426.</w:t>
      </w:r>
    </w:p>
  </w:footnote>
  <w:footnote w:id="6">
    <w:p w14:paraId="2B8E640C" w14:textId="35795A90" w:rsidR="006A792E" w:rsidRPr="00737152" w:rsidRDefault="006A792E"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TL </w:t>
      </w:r>
      <w:r w:rsidRPr="00737152">
        <w:rPr>
          <w:rFonts w:ascii="Times New Roman" w:hAnsi="Times New Roman"/>
          <w:sz w:val="24"/>
        </w:rPr>
        <w:t>[2020] NSWCCA 265 at [195].</w:t>
      </w:r>
    </w:p>
  </w:footnote>
  <w:footnote w:id="7">
    <w:p w14:paraId="2BCCFF1C" w14:textId="0B941B5C" w:rsidR="006A792E" w:rsidRPr="00737152" w:rsidRDefault="006A792E"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TL </w:t>
      </w:r>
      <w:r w:rsidRPr="00737152">
        <w:rPr>
          <w:rFonts w:ascii="Times New Roman" w:hAnsi="Times New Roman"/>
          <w:sz w:val="24"/>
        </w:rPr>
        <w:t>[2020] NSWCCA 265 at [203].</w:t>
      </w:r>
    </w:p>
  </w:footnote>
  <w:footnote w:id="8">
    <w:p w14:paraId="42645CB7" w14:textId="52F1105F" w:rsidR="006A792E" w:rsidRPr="00737152" w:rsidRDefault="006A792E"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TL </w:t>
      </w:r>
      <w:r w:rsidRPr="00737152">
        <w:rPr>
          <w:rFonts w:ascii="Times New Roman" w:hAnsi="Times New Roman"/>
          <w:sz w:val="24"/>
        </w:rPr>
        <w:t>[2020] NSWCCA 265 at [207].</w:t>
      </w:r>
    </w:p>
  </w:footnote>
  <w:footnote w:id="9">
    <w:p w14:paraId="1BEEEEDA" w14:textId="050DE4C8" w:rsidR="00EB69B9" w:rsidRPr="00737152" w:rsidRDefault="00EB69B9"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TL </w:t>
      </w:r>
      <w:r w:rsidRPr="00737152">
        <w:rPr>
          <w:rFonts w:ascii="Times New Roman" w:hAnsi="Times New Roman"/>
          <w:sz w:val="24"/>
        </w:rPr>
        <w:t>[2020] NSWCCA 265 at [207]</w:t>
      </w:r>
      <w:r w:rsidR="000611AA" w:rsidRPr="00737152">
        <w:rPr>
          <w:rFonts w:ascii="Times New Roman" w:hAnsi="Times New Roman"/>
          <w:sz w:val="24"/>
        </w:rPr>
        <w:t>.</w:t>
      </w:r>
    </w:p>
  </w:footnote>
  <w:footnote w:id="10">
    <w:p w14:paraId="6C76CFC8" w14:textId="010E7F16" w:rsidR="006A792E" w:rsidRPr="00737152" w:rsidRDefault="006A792E"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TL </w:t>
      </w:r>
      <w:r w:rsidRPr="00737152">
        <w:rPr>
          <w:rFonts w:ascii="Times New Roman" w:hAnsi="Times New Roman"/>
          <w:sz w:val="24"/>
        </w:rPr>
        <w:t>[2020] NSWCCA 265 at [215].</w:t>
      </w:r>
    </w:p>
  </w:footnote>
  <w:footnote w:id="11">
    <w:p w14:paraId="4499330A" w14:textId="242E2BD6" w:rsidR="00CB0101" w:rsidRPr="00737152" w:rsidRDefault="00CB0101"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00FA7380" w:rsidRPr="00737152">
        <w:rPr>
          <w:rFonts w:ascii="Times New Roman" w:hAnsi="Times New Roman"/>
          <w:i/>
          <w:iCs/>
          <w:sz w:val="24"/>
        </w:rPr>
        <w:t xml:space="preserve">TL </w:t>
      </w:r>
      <w:r w:rsidR="00FA7380" w:rsidRPr="00737152">
        <w:rPr>
          <w:rFonts w:ascii="Times New Roman" w:hAnsi="Times New Roman"/>
          <w:sz w:val="24"/>
        </w:rPr>
        <w:t xml:space="preserve">[2020] NSWCCA 265 at </w:t>
      </w:r>
      <w:r w:rsidRPr="00737152">
        <w:rPr>
          <w:rFonts w:ascii="Times New Roman" w:hAnsi="Times New Roman"/>
          <w:sz w:val="24"/>
        </w:rPr>
        <w:t>[208].</w:t>
      </w:r>
    </w:p>
  </w:footnote>
  <w:footnote w:id="12">
    <w:p w14:paraId="13C0ABF6" w14:textId="1A54771B" w:rsidR="006A792E" w:rsidRPr="00737152" w:rsidRDefault="006A792E"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TL </w:t>
      </w:r>
      <w:r w:rsidRPr="00737152">
        <w:rPr>
          <w:rFonts w:ascii="Times New Roman" w:hAnsi="Times New Roman"/>
          <w:sz w:val="24"/>
        </w:rPr>
        <w:t>[2020] NSWCCA 265 at [215].</w:t>
      </w:r>
    </w:p>
  </w:footnote>
  <w:footnote w:id="13">
    <w:p w14:paraId="71890518" w14:textId="3569F4EE" w:rsidR="008F78BE" w:rsidRPr="00737152" w:rsidRDefault="008F78BE"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TL </w:t>
      </w:r>
      <w:r w:rsidRPr="00737152">
        <w:rPr>
          <w:rFonts w:ascii="Times New Roman" w:hAnsi="Times New Roman"/>
          <w:sz w:val="24"/>
        </w:rPr>
        <w:t>[2020] NSWCCA 265 at [209].</w:t>
      </w:r>
    </w:p>
  </w:footnote>
  <w:footnote w:id="14">
    <w:p w14:paraId="3D01E026" w14:textId="3CE60D70" w:rsidR="00BA543F" w:rsidRPr="00737152" w:rsidRDefault="00BA543F"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TL </w:t>
      </w:r>
      <w:r w:rsidRPr="00737152">
        <w:rPr>
          <w:rFonts w:ascii="Times New Roman" w:hAnsi="Times New Roman"/>
          <w:sz w:val="24"/>
        </w:rPr>
        <w:t>[2020] NSWCCA 265 at</w:t>
      </w:r>
      <w:r w:rsidR="00015432" w:rsidRPr="00737152">
        <w:rPr>
          <w:rFonts w:ascii="Times New Roman" w:hAnsi="Times New Roman"/>
          <w:sz w:val="24"/>
        </w:rPr>
        <w:t xml:space="preserve"> [209].</w:t>
      </w:r>
    </w:p>
  </w:footnote>
  <w:footnote w:id="15">
    <w:p w14:paraId="21696E37" w14:textId="609E620B" w:rsidR="006A792E" w:rsidRPr="00737152" w:rsidRDefault="006A792E"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TL </w:t>
      </w:r>
      <w:r w:rsidRPr="00737152">
        <w:rPr>
          <w:rFonts w:ascii="Times New Roman" w:hAnsi="Times New Roman"/>
          <w:sz w:val="24"/>
        </w:rPr>
        <w:t>[2020] NSWCCA 265 at [224]</w:t>
      </w:r>
      <w:r w:rsidR="00CB0101" w:rsidRPr="00737152">
        <w:rPr>
          <w:rFonts w:ascii="Times New Roman" w:hAnsi="Times New Roman"/>
          <w:sz w:val="24"/>
        </w:rPr>
        <w:t xml:space="preserve"> (emphasis added)</w:t>
      </w:r>
      <w:r w:rsidRPr="00737152">
        <w:rPr>
          <w:rFonts w:ascii="Times New Roman" w:hAnsi="Times New Roman"/>
          <w:sz w:val="24"/>
        </w:rPr>
        <w:t>.</w:t>
      </w:r>
    </w:p>
  </w:footnote>
  <w:footnote w:id="16">
    <w:p w14:paraId="16956340" w14:textId="37243077" w:rsidR="006A792E" w:rsidRPr="00737152" w:rsidRDefault="006A792E"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TL </w:t>
      </w:r>
      <w:r w:rsidRPr="00737152">
        <w:rPr>
          <w:rFonts w:ascii="Times New Roman" w:hAnsi="Times New Roman"/>
          <w:sz w:val="24"/>
        </w:rPr>
        <w:t>[2020] NSWCCA 265 at [307].</w:t>
      </w:r>
    </w:p>
  </w:footnote>
  <w:footnote w:id="17">
    <w:p w14:paraId="3406931D" w14:textId="0264115D" w:rsidR="006A792E" w:rsidRPr="00737152" w:rsidRDefault="006A792E"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TL </w:t>
      </w:r>
      <w:r w:rsidRPr="00737152">
        <w:rPr>
          <w:rFonts w:ascii="Times New Roman" w:hAnsi="Times New Roman"/>
          <w:sz w:val="24"/>
        </w:rPr>
        <w:t>[2020] NSWCCA 265 at [308].</w:t>
      </w:r>
    </w:p>
  </w:footnote>
  <w:footnote w:id="18">
    <w:p w14:paraId="06352959" w14:textId="72E82D0B" w:rsidR="00A12F2E" w:rsidRPr="00737152" w:rsidRDefault="00A12F2E"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TL </w:t>
      </w:r>
      <w:r w:rsidRPr="00737152">
        <w:rPr>
          <w:rFonts w:ascii="Times New Roman" w:hAnsi="Times New Roman"/>
          <w:sz w:val="24"/>
        </w:rPr>
        <w:t>[2020] NSWCCA 265 at [230], [266].</w:t>
      </w:r>
    </w:p>
  </w:footnote>
  <w:footnote w:id="19">
    <w:p w14:paraId="6793FB8D" w14:textId="5014E353" w:rsidR="00F27D21" w:rsidRPr="00737152" w:rsidRDefault="00F27D21"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000F7D5C" w:rsidRPr="00737152">
        <w:rPr>
          <w:rFonts w:ascii="Times New Roman" w:hAnsi="Times New Roman"/>
          <w:sz w:val="24"/>
        </w:rPr>
        <w:tab/>
      </w:r>
      <w:r w:rsidR="000F7D5C" w:rsidRPr="00737152">
        <w:rPr>
          <w:rFonts w:ascii="Times New Roman" w:hAnsi="Times New Roman"/>
          <w:i/>
          <w:iCs/>
          <w:sz w:val="24"/>
        </w:rPr>
        <w:t xml:space="preserve">TL </w:t>
      </w:r>
      <w:r w:rsidR="000F7D5C" w:rsidRPr="00737152">
        <w:rPr>
          <w:rFonts w:ascii="Times New Roman" w:hAnsi="Times New Roman"/>
          <w:sz w:val="24"/>
        </w:rPr>
        <w:t xml:space="preserve">[2020] NSWCCA 265 at [273]. </w:t>
      </w:r>
    </w:p>
  </w:footnote>
  <w:footnote w:id="20">
    <w:p w14:paraId="66FFA8FF" w14:textId="4C61C962" w:rsidR="002E5FE2" w:rsidRPr="00737152" w:rsidRDefault="002E5FE2"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TL </w:t>
      </w:r>
      <w:r w:rsidRPr="00737152">
        <w:rPr>
          <w:rFonts w:ascii="Times New Roman" w:hAnsi="Times New Roman"/>
          <w:sz w:val="24"/>
        </w:rPr>
        <w:t>[2020] NSWCCA 265 at [276]</w:t>
      </w:r>
      <w:r w:rsidR="000F1F6E" w:rsidRPr="00737152">
        <w:rPr>
          <w:rFonts w:ascii="Times New Roman" w:hAnsi="Times New Roman"/>
          <w:sz w:val="24"/>
        </w:rPr>
        <w:t xml:space="preserve"> (emphasis added)</w:t>
      </w:r>
      <w:r w:rsidRPr="00737152">
        <w:rPr>
          <w:rFonts w:ascii="Times New Roman" w:hAnsi="Times New Roman"/>
          <w:sz w:val="24"/>
        </w:rPr>
        <w:t>.</w:t>
      </w:r>
    </w:p>
  </w:footnote>
  <w:footnote w:id="21">
    <w:p w14:paraId="59F0D6AF" w14:textId="5E779376" w:rsidR="00887D07" w:rsidRPr="00737152" w:rsidRDefault="00887D07"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00776A7A" w:rsidRPr="00737152">
        <w:rPr>
          <w:rFonts w:ascii="Times New Roman" w:hAnsi="Times New Roman"/>
          <w:sz w:val="24"/>
        </w:rPr>
        <w:tab/>
      </w:r>
      <w:r w:rsidR="00776A7A" w:rsidRPr="00737152">
        <w:rPr>
          <w:rFonts w:ascii="Times New Roman" w:hAnsi="Times New Roman"/>
          <w:i/>
          <w:iCs/>
          <w:sz w:val="24"/>
        </w:rPr>
        <w:t xml:space="preserve">TL </w:t>
      </w:r>
      <w:r w:rsidR="00BE3934" w:rsidRPr="00737152">
        <w:rPr>
          <w:rFonts w:ascii="Times New Roman" w:hAnsi="Times New Roman"/>
          <w:sz w:val="24"/>
        </w:rPr>
        <w:t>[2020] NSWCCA 265 a</w:t>
      </w:r>
      <w:r w:rsidR="00525853" w:rsidRPr="00737152">
        <w:rPr>
          <w:rFonts w:ascii="Times New Roman" w:hAnsi="Times New Roman"/>
          <w:sz w:val="24"/>
        </w:rPr>
        <w:t>t [312].</w:t>
      </w:r>
    </w:p>
  </w:footnote>
  <w:footnote w:id="22">
    <w:p w14:paraId="5FF47C10" w14:textId="54F44C51" w:rsidR="00CB3D07" w:rsidRPr="00737152" w:rsidRDefault="00CB3D07"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00BE74B2" w:rsidRPr="00737152">
        <w:rPr>
          <w:rFonts w:ascii="Times New Roman" w:hAnsi="Times New Roman"/>
          <w:sz w:val="24"/>
        </w:rPr>
        <w:tab/>
      </w:r>
      <w:r w:rsidRPr="00737152">
        <w:rPr>
          <w:rFonts w:ascii="Times New Roman" w:hAnsi="Times New Roman"/>
          <w:i/>
          <w:iCs/>
          <w:sz w:val="24"/>
        </w:rPr>
        <w:t>IMM</w:t>
      </w:r>
      <w:r w:rsidR="00F050A0" w:rsidRPr="00737152">
        <w:rPr>
          <w:rFonts w:ascii="Times New Roman" w:hAnsi="Times New Roman"/>
          <w:i/>
          <w:iCs/>
          <w:sz w:val="24"/>
        </w:rPr>
        <w:t xml:space="preserve"> v The Queen </w:t>
      </w:r>
      <w:r w:rsidR="00F050A0" w:rsidRPr="00737152">
        <w:rPr>
          <w:rFonts w:ascii="Times New Roman" w:hAnsi="Times New Roman"/>
          <w:sz w:val="24"/>
        </w:rPr>
        <w:t>(2016) 257 CLR 300</w:t>
      </w:r>
      <w:r w:rsidRPr="00737152">
        <w:rPr>
          <w:rFonts w:ascii="Times New Roman" w:hAnsi="Times New Roman"/>
          <w:sz w:val="24"/>
        </w:rPr>
        <w:t xml:space="preserve"> at </w:t>
      </w:r>
      <w:r w:rsidR="009F1A1E" w:rsidRPr="00737152">
        <w:rPr>
          <w:rFonts w:ascii="Times New Roman" w:hAnsi="Times New Roman"/>
          <w:sz w:val="24"/>
        </w:rPr>
        <w:t xml:space="preserve">313 </w:t>
      </w:r>
      <w:r w:rsidRPr="00737152">
        <w:rPr>
          <w:rFonts w:ascii="Times New Roman" w:hAnsi="Times New Roman"/>
          <w:sz w:val="24"/>
        </w:rPr>
        <w:t>[4</w:t>
      </w:r>
      <w:r w:rsidR="00081550" w:rsidRPr="00737152">
        <w:rPr>
          <w:rFonts w:ascii="Times New Roman" w:hAnsi="Times New Roman"/>
          <w:sz w:val="24"/>
        </w:rPr>
        <w:t>4]</w:t>
      </w:r>
      <w:r w:rsidR="009F1A1E" w:rsidRPr="00737152">
        <w:rPr>
          <w:rFonts w:ascii="Times New Roman" w:hAnsi="Times New Roman"/>
          <w:sz w:val="24"/>
        </w:rPr>
        <w:t>;</w:t>
      </w:r>
      <w:r w:rsidR="007300CD" w:rsidRPr="00737152">
        <w:rPr>
          <w:rFonts w:ascii="Times New Roman" w:hAnsi="Times New Roman"/>
          <w:sz w:val="24"/>
        </w:rPr>
        <w:t xml:space="preserve"> </w:t>
      </w:r>
      <w:r w:rsidR="009F1A1E" w:rsidRPr="00737152">
        <w:rPr>
          <w:rFonts w:ascii="Times New Roman" w:hAnsi="Times New Roman"/>
          <w:i/>
          <w:iCs/>
          <w:sz w:val="24"/>
        </w:rPr>
        <w:t xml:space="preserve">R v </w:t>
      </w:r>
      <w:r w:rsidR="007300CD" w:rsidRPr="00737152">
        <w:rPr>
          <w:rFonts w:ascii="Times New Roman" w:hAnsi="Times New Roman"/>
          <w:i/>
          <w:iCs/>
          <w:sz w:val="24"/>
        </w:rPr>
        <w:t>Bauer</w:t>
      </w:r>
      <w:r w:rsidR="00F84CEF" w:rsidRPr="00737152">
        <w:rPr>
          <w:rFonts w:ascii="Times New Roman" w:hAnsi="Times New Roman"/>
          <w:i/>
          <w:iCs/>
          <w:sz w:val="24"/>
        </w:rPr>
        <w:t xml:space="preserve"> (a pseudonym)</w:t>
      </w:r>
      <w:r w:rsidR="007300CD" w:rsidRPr="00737152">
        <w:rPr>
          <w:rFonts w:ascii="Times New Roman" w:hAnsi="Times New Roman"/>
          <w:sz w:val="24"/>
        </w:rPr>
        <w:t xml:space="preserve"> </w:t>
      </w:r>
      <w:r w:rsidR="009F1A1E" w:rsidRPr="00737152">
        <w:rPr>
          <w:rFonts w:ascii="Times New Roman" w:hAnsi="Times New Roman"/>
          <w:sz w:val="24"/>
        </w:rPr>
        <w:t xml:space="preserve">(2018) 266 CLR 56 </w:t>
      </w:r>
      <w:r w:rsidR="007300CD" w:rsidRPr="00737152">
        <w:rPr>
          <w:rFonts w:ascii="Times New Roman" w:hAnsi="Times New Roman"/>
          <w:sz w:val="24"/>
        </w:rPr>
        <w:t xml:space="preserve">at </w:t>
      </w:r>
      <w:r w:rsidR="00F12D36" w:rsidRPr="00737152">
        <w:rPr>
          <w:rFonts w:ascii="Times New Roman" w:hAnsi="Times New Roman"/>
          <w:sz w:val="24"/>
        </w:rPr>
        <w:t xml:space="preserve">91 </w:t>
      </w:r>
      <w:r w:rsidR="007300CD" w:rsidRPr="00737152">
        <w:rPr>
          <w:rFonts w:ascii="Times New Roman" w:hAnsi="Times New Roman"/>
          <w:sz w:val="24"/>
        </w:rPr>
        <w:t>[69]</w:t>
      </w:r>
      <w:r w:rsidR="00F12D36" w:rsidRPr="00737152">
        <w:rPr>
          <w:rFonts w:ascii="Times New Roman" w:hAnsi="Times New Roman"/>
          <w:sz w:val="24"/>
        </w:rPr>
        <w:t>.</w:t>
      </w:r>
    </w:p>
  </w:footnote>
  <w:footnote w:id="23">
    <w:p w14:paraId="2B0A177B" w14:textId="63395B10" w:rsidR="00776785" w:rsidRPr="00737152" w:rsidRDefault="00776785"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IMM</w:t>
      </w:r>
      <w:r w:rsidRPr="00737152">
        <w:rPr>
          <w:rFonts w:ascii="Times New Roman" w:hAnsi="Times New Roman"/>
          <w:sz w:val="24"/>
        </w:rPr>
        <w:t xml:space="preserve"> (2016) 257 CLR 300 at 312 [39], 315 [52].</w:t>
      </w:r>
    </w:p>
  </w:footnote>
  <w:footnote w:id="24">
    <w:p w14:paraId="76D4CB50" w14:textId="771BAAB6" w:rsidR="00776785" w:rsidRPr="00737152" w:rsidRDefault="00776785"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00662FF2" w:rsidRPr="00737152">
        <w:rPr>
          <w:rFonts w:ascii="Times New Roman" w:hAnsi="Times New Roman"/>
          <w:i/>
          <w:iCs/>
          <w:sz w:val="24"/>
        </w:rPr>
        <w:t xml:space="preserve">IMM </w:t>
      </w:r>
      <w:r w:rsidR="00662FF2" w:rsidRPr="00737152">
        <w:rPr>
          <w:rFonts w:ascii="Times New Roman" w:hAnsi="Times New Roman"/>
          <w:sz w:val="24"/>
        </w:rPr>
        <w:t xml:space="preserve">(2016) 257 CLR 300 at 312 [39]; </w:t>
      </w:r>
      <w:r w:rsidRPr="00737152">
        <w:rPr>
          <w:rFonts w:ascii="Times New Roman" w:hAnsi="Times New Roman"/>
          <w:i/>
          <w:iCs/>
          <w:sz w:val="24"/>
        </w:rPr>
        <w:t>Bauer</w:t>
      </w:r>
      <w:r w:rsidRPr="00737152">
        <w:rPr>
          <w:rFonts w:ascii="Times New Roman" w:hAnsi="Times New Roman"/>
          <w:sz w:val="24"/>
        </w:rPr>
        <w:t xml:space="preserve"> (2018) 266 CLR 56</w:t>
      </w:r>
      <w:r w:rsidR="00662FF2" w:rsidRPr="00737152">
        <w:rPr>
          <w:rFonts w:ascii="Times New Roman" w:hAnsi="Times New Roman"/>
          <w:sz w:val="24"/>
        </w:rPr>
        <w:t xml:space="preserve"> at 91-92 [69].</w:t>
      </w:r>
    </w:p>
  </w:footnote>
  <w:footnote w:id="25">
    <w:p w14:paraId="63F28309" w14:textId="665C8EB1" w:rsidR="00CC3F38" w:rsidRPr="00737152" w:rsidRDefault="00CC3F38"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Hughes </w:t>
      </w:r>
      <w:r w:rsidRPr="00737152">
        <w:rPr>
          <w:rFonts w:ascii="Times New Roman" w:hAnsi="Times New Roman"/>
          <w:sz w:val="24"/>
        </w:rPr>
        <w:t>(2017) 263 CLR 338 at 3</w:t>
      </w:r>
      <w:r w:rsidR="00D7086F" w:rsidRPr="00737152">
        <w:rPr>
          <w:rFonts w:ascii="Times New Roman" w:hAnsi="Times New Roman"/>
          <w:sz w:val="24"/>
        </w:rPr>
        <w:t>56 [40].</w:t>
      </w:r>
    </w:p>
  </w:footnote>
  <w:footnote w:id="26">
    <w:p w14:paraId="7E9358E2" w14:textId="1B45ED72" w:rsidR="00E92413" w:rsidRPr="00737152" w:rsidRDefault="00E92413"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Hughes</w:t>
      </w:r>
      <w:r w:rsidR="009262F6" w:rsidRPr="00737152">
        <w:rPr>
          <w:rFonts w:ascii="Times New Roman" w:hAnsi="Times New Roman"/>
          <w:i/>
          <w:iCs/>
          <w:sz w:val="24"/>
        </w:rPr>
        <w:t xml:space="preserve"> </w:t>
      </w:r>
      <w:r w:rsidR="009262F6" w:rsidRPr="00737152">
        <w:rPr>
          <w:rFonts w:ascii="Times New Roman" w:hAnsi="Times New Roman"/>
          <w:sz w:val="24"/>
        </w:rPr>
        <w:t>(2017) 263 CLR 338</w:t>
      </w:r>
      <w:r w:rsidRPr="00737152">
        <w:rPr>
          <w:rFonts w:ascii="Times New Roman" w:hAnsi="Times New Roman"/>
          <w:sz w:val="24"/>
        </w:rPr>
        <w:t xml:space="preserve"> at </w:t>
      </w:r>
      <w:r w:rsidR="009262F6" w:rsidRPr="00737152">
        <w:rPr>
          <w:rFonts w:ascii="Times New Roman" w:hAnsi="Times New Roman"/>
          <w:sz w:val="24"/>
        </w:rPr>
        <w:t xml:space="preserve">368-369 </w:t>
      </w:r>
      <w:r w:rsidRPr="00737152">
        <w:rPr>
          <w:rFonts w:ascii="Times New Roman" w:hAnsi="Times New Roman"/>
          <w:sz w:val="24"/>
        </w:rPr>
        <w:t>[81]</w:t>
      </w:r>
      <w:r w:rsidR="001366D0" w:rsidRPr="00737152">
        <w:rPr>
          <w:rFonts w:ascii="Times New Roman" w:hAnsi="Times New Roman"/>
          <w:sz w:val="24"/>
        </w:rPr>
        <w:t>,</w:t>
      </w:r>
      <w:r w:rsidR="00872FB9" w:rsidRPr="00737152">
        <w:rPr>
          <w:rFonts w:ascii="Times New Roman" w:hAnsi="Times New Roman"/>
          <w:sz w:val="24"/>
        </w:rPr>
        <w:t xml:space="preserve"> </w:t>
      </w:r>
      <w:r w:rsidR="0005678B" w:rsidRPr="00737152">
        <w:rPr>
          <w:rFonts w:ascii="Times New Roman" w:hAnsi="Times New Roman"/>
          <w:sz w:val="24"/>
        </w:rPr>
        <w:t xml:space="preserve">370 </w:t>
      </w:r>
      <w:r w:rsidR="00872FB9" w:rsidRPr="00737152">
        <w:rPr>
          <w:rFonts w:ascii="Times New Roman" w:hAnsi="Times New Roman"/>
          <w:sz w:val="24"/>
        </w:rPr>
        <w:t>[86]</w:t>
      </w:r>
      <w:r w:rsidR="001366D0" w:rsidRPr="00737152">
        <w:rPr>
          <w:rFonts w:ascii="Times New Roman" w:hAnsi="Times New Roman"/>
          <w:sz w:val="24"/>
        </w:rPr>
        <w:t>, 423 [215]</w:t>
      </w:r>
      <w:r w:rsidR="0005678B" w:rsidRPr="00737152">
        <w:rPr>
          <w:rFonts w:ascii="Times New Roman" w:hAnsi="Times New Roman"/>
          <w:sz w:val="24"/>
        </w:rPr>
        <w:t xml:space="preserve">. See also </w:t>
      </w:r>
      <w:r w:rsidR="00A92612" w:rsidRPr="00737152">
        <w:rPr>
          <w:rFonts w:ascii="Times New Roman" w:hAnsi="Times New Roman"/>
          <w:i/>
          <w:iCs/>
          <w:sz w:val="24"/>
        </w:rPr>
        <w:t>IMM</w:t>
      </w:r>
      <w:r w:rsidR="00A92612" w:rsidRPr="00737152">
        <w:rPr>
          <w:rFonts w:ascii="Times New Roman" w:hAnsi="Times New Roman"/>
          <w:sz w:val="24"/>
        </w:rPr>
        <w:t xml:space="preserve"> (2016) 257 CLR 300 at 314 [46], 327 [103].</w:t>
      </w:r>
      <w:r w:rsidRPr="00737152">
        <w:rPr>
          <w:rFonts w:ascii="Times New Roman" w:hAnsi="Times New Roman"/>
          <w:sz w:val="24"/>
        </w:rPr>
        <w:t xml:space="preserve"> </w:t>
      </w:r>
    </w:p>
  </w:footnote>
  <w:footnote w:id="27">
    <w:p w14:paraId="71ADE127" w14:textId="18A985BD" w:rsidR="00C7313F" w:rsidRPr="00737152" w:rsidRDefault="00C7313F"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Hughes </w:t>
      </w:r>
      <w:r w:rsidRPr="00737152">
        <w:rPr>
          <w:rFonts w:ascii="Times New Roman" w:hAnsi="Times New Roman"/>
          <w:sz w:val="24"/>
        </w:rPr>
        <w:t>(2017) 263 CLR 338 at 356 [40].</w:t>
      </w:r>
    </w:p>
  </w:footnote>
  <w:footnote w:id="28">
    <w:p w14:paraId="65436259" w14:textId="0D56CCC0" w:rsidR="00574102" w:rsidRPr="00737152" w:rsidRDefault="00574102"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Hughes</w:t>
      </w:r>
      <w:r w:rsidRPr="00737152">
        <w:rPr>
          <w:rFonts w:ascii="Times New Roman" w:hAnsi="Times New Roman"/>
          <w:sz w:val="24"/>
        </w:rPr>
        <w:t xml:space="preserve"> (2017) 263 CLR 338 at 354-356 [34], [37], [39].</w:t>
      </w:r>
    </w:p>
  </w:footnote>
  <w:footnote w:id="29">
    <w:p w14:paraId="209BB712" w14:textId="7A9C03B7" w:rsidR="00574102" w:rsidRPr="00737152" w:rsidRDefault="00574102"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t xml:space="preserve">See, </w:t>
      </w:r>
      <w:r w:rsidR="00AA11D5" w:rsidRPr="00737152">
        <w:rPr>
          <w:rFonts w:ascii="Times New Roman" w:hAnsi="Times New Roman"/>
          <w:sz w:val="24"/>
        </w:rPr>
        <w:t>eg</w:t>
      </w:r>
      <w:r w:rsidRPr="00737152">
        <w:rPr>
          <w:rFonts w:ascii="Times New Roman" w:hAnsi="Times New Roman"/>
          <w:sz w:val="24"/>
        </w:rPr>
        <w:t xml:space="preserve">, </w:t>
      </w:r>
      <w:r w:rsidRPr="00737152">
        <w:rPr>
          <w:rFonts w:ascii="Times New Roman" w:hAnsi="Times New Roman"/>
          <w:i/>
          <w:iCs/>
          <w:sz w:val="24"/>
        </w:rPr>
        <w:t>Hughes</w:t>
      </w:r>
      <w:r w:rsidRPr="00737152">
        <w:rPr>
          <w:rFonts w:ascii="Times New Roman" w:hAnsi="Times New Roman"/>
          <w:sz w:val="24"/>
        </w:rPr>
        <w:t xml:space="preserve"> (2017) 263 CLR 338 at 354-356 [</w:t>
      </w:r>
      <w:r w:rsidR="005E6326" w:rsidRPr="00737152">
        <w:rPr>
          <w:rFonts w:ascii="Times New Roman" w:hAnsi="Times New Roman"/>
          <w:sz w:val="24"/>
        </w:rPr>
        <w:t>34], [37], [39].</w:t>
      </w:r>
    </w:p>
  </w:footnote>
  <w:footnote w:id="30">
    <w:p w14:paraId="29ED7AE5" w14:textId="1F670F1D" w:rsidR="005E6326" w:rsidRPr="00737152" w:rsidRDefault="005E6326"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Hughes</w:t>
      </w:r>
      <w:r w:rsidRPr="00737152">
        <w:rPr>
          <w:rFonts w:ascii="Times New Roman" w:hAnsi="Times New Roman"/>
          <w:sz w:val="24"/>
        </w:rPr>
        <w:t xml:space="preserve"> (2017) 263 CLR 338 at 355-356 [39]-[40], 371 [92], 392 [154], 396 [159], 408 [179].</w:t>
      </w:r>
    </w:p>
  </w:footnote>
  <w:footnote w:id="31">
    <w:p w14:paraId="06458C27" w14:textId="635736B1" w:rsidR="005F6990" w:rsidRPr="00737152" w:rsidRDefault="005F6990"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Hughes</w:t>
      </w:r>
      <w:r w:rsidRPr="00737152">
        <w:rPr>
          <w:rFonts w:ascii="Times New Roman" w:hAnsi="Times New Roman"/>
          <w:sz w:val="24"/>
        </w:rPr>
        <w:t xml:space="preserve"> </w:t>
      </w:r>
      <w:r w:rsidR="00DB2A95" w:rsidRPr="00737152">
        <w:rPr>
          <w:rFonts w:ascii="Times New Roman" w:hAnsi="Times New Roman"/>
          <w:sz w:val="24"/>
        </w:rPr>
        <w:t xml:space="preserve">(2017) 263 CLR 338 </w:t>
      </w:r>
      <w:r w:rsidRPr="00737152">
        <w:rPr>
          <w:rFonts w:ascii="Times New Roman" w:hAnsi="Times New Roman"/>
          <w:sz w:val="24"/>
        </w:rPr>
        <w:t xml:space="preserve">at </w:t>
      </w:r>
      <w:r w:rsidR="00392B33" w:rsidRPr="00737152">
        <w:rPr>
          <w:rFonts w:ascii="Times New Roman" w:hAnsi="Times New Roman"/>
          <w:sz w:val="24"/>
        </w:rPr>
        <w:t xml:space="preserve">363 </w:t>
      </w:r>
      <w:r w:rsidRPr="00737152">
        <w:rPr>
          <w:rFonts w:ascii="Times New Roman" w:hAnsi="Times New Roman"/>
          <w:sz w:val="24"/>
        </w:rPr>
        <w:t>[64]</w:t>
      </w:r>
      <w:r w:rsidR="00F871E4" w:rsidRPr="00737152">
        <w:rPr>
          <w:rFonts w:ascii="Times New Roman" w:hAnsi="Times New Roman"/>
          <w:sz w:val="24"/>
        </w:rPr>
        <w:t xml:space="preserve">, </w:t>
      </w:r>
      <w:r w:rsidR="00392B33" w:rsidRPr="00737152">
        <w:rPr>
          <w:rFonts w:ascii="Times New Roman" w:hAnsi="Times New Roman"/>
          <w:sz w:val="24"/>
        </w:rPr>
        <w:t xml:space="preserve">421-422 </w:t>
      </w:r>
      <w:r w:rsidR="00F871E4" w:rsidRPr="00737152">
        <w:rPr>
          <w:rFonts w:ascii="Times New Roman" w:hAnsi="Times New Roman"/>
          <w:sz w:val="24"/>
        </w:rPr>
        <w:t>[208]</w:t>
      </w:r>
      <w:r w:rsidR="00CA12D3" w:rsidRPr="00737152">
        <w:rPr>
          <w:rFonts w:ascii="Times New Roman" w:hAnsi="Times New Roman"/>
          <w:sz w:val="24"/>
        </w:rPr>
        <w:t xml:space="preserve">, </w:t>
      </w:r>
      <w:r w:rsidR="00392B33" w:rsidRPr="00737152">
        <w:rPr>
          <w:rFonts w:ascii="Times New Roman" w:hAnsi="Times New Roman"/>
          <w:sz w:val="24"/>
        </w:rPr>
        <w:t xml:space="preserve">426 </w:t>
      </w:r>
      <w:r w:rsidR="00CA12D3" w:rsidRPr="00737152">
        <w:rPr>
          <w:rFonts w:ascii="Times New Roman" w:hAnsi="Times New Roman"/>
          <w:sz w:val="24"/>
        </w:rPr>
        <w:t>[224]</w:t>
      </w:r>
      <w:r w:rsidR="00392B33" w:rsidRPr="00737152">
        <w:rPr>
          <w:rFonts w:ascii="Times New Roman" w:hAnsi="Times New Roman"/>
          <w:sz w:val="24"/>
        </w:rPr>
        <w:t>. See also</w:t>
      </w:r>
      <w:r w:rsidR="000B62ED" w:rsidRPr="00737152">
        <w:rPr>
          <w:rFonts w:ascii="Times New Roman" w:hAnsi="Times New Roman"/>
          <w:sz w:val="24"/>
        </w:rPr>
        <w:t xml:space="preserve"> </w:t>
      </w:r>
      <w:r w:rsidR="00F42A8F" w:rsidRPr="00737152">
        <w:rPr>
          <w:rFonts w:ascii="Times New Roman" w:hAnsi="Times New Roman"/>
          <w:i/>
          <w:iCs/>
          <w:sz w:val="24"/>
        </w:rPr>
        <w:t>R v Nassif</w:t>
      </w:r>
      <w:r w:rsidR="00F42A8F" w:rsidRPr="00737152">
        <w:rPr>
          <w:rFonts w:ascii="Times New Roman" w:hAnsi="Times New Roman"/>
          <w:sz w:val="24"/>
        </w:rPr>
        <w:t xml:space="preserve"> [2004] NSWCCA 433 at [51]</w:t>
      </w:r>
      <w:r w:rsidR="004010EB" w:rsidRPr="00737152">
        <w:rPr>
          <w:rFonts w:ascii="Times New Roman" w:hAnsi="Times New Roman"/>
          <w:sz w:val="24"/>
        </w:rPr>
        <w:t xml:space="preserve">; </w:t>
      </w:r>
      <w:r w:rsidR="004010EB" w:rsidRPr="00737152">
        <w:rPr>
          <w:rFonts w:ascii="Times New Roman" w:hAnsi="Times New Roman"/>
          <w:i/>
          <w:iCs/>
          <w:sz w:val="24"/>
        </w:rPr>
        <w:t>O'Keef</w:t>
      </w:r>
      <w:r w:rsidR="00CD27B1" w:rsidRPr="00737152">
        <w:rPr>
          <w:rFonts w:ascii="Times New Roman" w:hAnsi="Times New Roman"/>
          <w:i/>
          <w:iCs/>
          <w:sz w:val="24"/>
        </w:rPr>
        <w:t xml:space="preserve">e v The Queen </w:t>
      </w:r>
      <w:r w:rsidR="00CD27B1" w:rsidRPr="00737152">
        <w:rPr>
          <w:rFonts w:ascii="Times New Roman" w:hAnsi="Times New Roman"/>
          <w:sz w:val="24"/>
        </w:rPr>
        <w:t>[2009] NSWCCA 121</w:t>
      </w:r>
      <w:r w:rsidR="004010EB" w:rsidRPr="00737152">
        <w:rPr>
          <w:rFonts w:ascii="Times New Roman" w:hAnsi="Times New Roman"/>
          <w:sz w:val="24"/>
        </w:rPr>
        <w:t xml:space="preserve"> at [64]</w:t>
      </w:r>
      <w:r w:rsidR="003D0CEF" w:rsidRPr="00737152">
        <w:rPr>
          <w:rFonts w:ascii="Times New Roman" w:hAnsi="Times New Roman"/>
          <w:sz w:val="24"/>
        </w:rPr>
        <w:t>;</w:t>
      </w:r>
      <w:r w:rsidR="004F6A9E" w:rsidRPr="00737152">
        <w:rPr>
          <w:rFonts w:ascii="Times New Roman" w:hAnsi="Times New Roman"/>
          <w:sz w:val="24"/>
        </w:rPr>
        <w:t xml:space="preserve"> </w:t>
      </w:r>
      <w:r w:rsidR="00383AA3" w:rsidRPr="00737152">
        <w:rPr>
          <w:rFonts w:ascii="Times New Roman" w:hAnsi="Times New Roman"/>
          <w:i/>
          <w:iCs/>
          <w:sz w:val="24"/>
        </w:rPr>
        <w:t>El-Haddad v The Queen</w:t>
      </w:r>
      <w:r w:rsidR="00383AA3" w:rsidRPr="00737152">
        <w:rPr>
          <w:rFonts w:ascii="Times New Roman" w:hAnsi="Times New Roman"/>
          <w:sz w:val="24"/>
        </w:rPr>
        <w:t xml:space="preserve"> (2015) 88 NSWLR 93 at 113 [72]; </w:t>
      </w:r>
      <w:r w:rsidR="004F6A9E" w:rsidRPr="00737152">
        <w:rPr>
          <w:rFonts w:ascii="Times New Roman" w:hAnsi="Times New Roman"/>
          <w:sz w:val="24"/>
        </w:rPr>
        <w:t xml:space="preserve">cf </w:t>
      </w:r>
      <w:r w:rsidR="003D0CEF" w:rsidRPr="00737152">
        <w:rPr>
          <w:rFonts w:ascii="Times New Roman" w:hAnsi="Times New Roman"/>
          <w:i/>
          <w:iCs/>
          <w:sz w:val="24"/>
        </w:rPr>
        <w:t>S</w:t>
      </w:r>
      <w:r w:rsidR="004F6A9E" w:rsidRPr="00737152">
        <w:rPr>
          <w:rFonts w:ascii="Times New Roman" w:hAnsi="Times New Roman"/>
          <w:i/>
          <w:iCs/>
          <w:sz w:val="24"/>
        </w:rPr>
        <w:t>utton</w:t>
      </w:r>
      <w:r w:rsidR="003D0CEF" w:rsidRPr="00737152">
        <w:rPr>
          <w:rFonts w:ascii="Times New Roman" w:hAnsi="Times New Roman"/>
          <w:i/>
          <w:iCs/>
          <w:sz w:val="24"/>
        </w:rPr>
        <w:t xml:space="preserve"> v The Queen</w:t>
      </w:r>
      <w:r w:rsidR="003D0CEF" w:rsidRPr="00737152">
        <w:rPr>
          <w:rFonts w:ascii="Times New Roman" w:hAnsi="Times New Roman"/>
          <w:sz w:val="24"/>
        </w:rPr>
        <w:t xml:space="preserve"> (1984)</w:t>
      </w:r>
      <w:r w:rsidR="004F6A9E" w:rsidRPr="00737152">
        <w:rPr>
          <w:rFonts w:ascii="Times New Roman" w:hAnsi="Times New Roman"/>
          <w:sz w:val="24"/>
        </w:rPr>
        <w:t xml:space="preserve"> 152 CLR</w:t>
      </w:r>
      <w:r w:rsidR="003D0CEF" w:rsidRPr="00737152">
        <w:rPr>
          <w:rFonts w:ascii="Times New Roman" w:hAnsi="Times New Roman"/>
          <w:sz w:val="24"/>
        </w:rPr>
        <w:t xml:space="preserve"> 528</w:t>
      </w:r>
      <w:r w:rsidR="004F6A9E" w:rsidRPr="00737152">
        <w:rPr>
          <w:rFonts w:ascii="Times New Roman" w:hAnsi="Times New Roman"/>
          <w:sz w:val="24"/>
        </w:rPr>
        <w:t xml:space="preserve"> at </w:t>
      </w:r>
      <w:r w:rsidR="00F740E4" w:rsidRPr="00737152">
        <w:rPr>
          <w:rFonts w:ascii="Times New Roman" w:hAnsi="Times New Roman"/>
          <w:sz w:val="24"/>
        </w:rPr>
        <w:t>535.</w:t>
      </w:r>
    </w:p>
  </w:footnote>
  <w:footnote w:id="32">
    <w:p w14:paraId="24A7FD2C" w14:textId="23DA1572" w:rsidR="00604A3A" w:rsidRPr="00737152" w:rsidRDefault="00604A3A"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Hughes </w:t>
      </w:r>
      <w:r w:rsidRPr="00737152">
        <w:rPr>
          <w:rFonts w:ascii="Times New Roman" w:hAnsi="Times New Roman"/>
          <w:sz w:val="24"/>
        </w:rPr>
        <w:t xml:space="preserve">(2017) 263 CLR 338 at 363 [64], 392 [153], 426 [224]; </w:t>
      </w:r>
      <w:r w:rsidRPr="00737152">
        <w:rPr>
          <w:rFonts w:ascii="Times New Roman" w:hAnsi="Times New Roman"/>
          <w:i/>
          <w:iCs/>
          <w:sz w:val="24"/>
        </w:rPr>
        <w:t xml:space="preserve">McPhillamy v The Queen </w:t>
      </w:r>
      <w:r w:rsidRPr="00737152">
        <w:rPr>
          <w:rFonts w:ascii="Times New Roman" w:hAnsi="Times New Roman"/>
          <w:sz w:val="24"/>
        </w:rPr>
        <w:t xml:space="preserve">(2018) 92 ALJR 1045 at </w:t>
      </w:r>
      <w:r w:rsidR="00383AA3" w:rsidRPr="00737152">
        <w:rPr>
          <w:rFonts w:ascii="Times New Roman" w:hAnsi="Times New Roman"/>
          <w:sz w:val="24"/>
        </w:rPr>
        <w:t xml:space="preserve">1052 </w:t>
      </w:r>
      <w:r w:rsidRPr="00737152">
        <w:rPr>
          <w:rFonts w:ascii="Times New Roman" w:hAnsi="Times New Roman"/>
          <w:sz w:val="24"/>
        </w:rPr>
        <w:t>[36]-[3</w:t>
      </w:r>
      <w:r w:rsidR="008D3A01" w:rsidRPr="00737152">
        <w:rPr>
          <w:rFonts w:ascii="Times New Roman" w:hAnsi="Times New Roman"/>
          <w:sz w:val="24"/>
        </w:rPr>
        <w:t>8</w:t>
      </w:r>
      <w:r w:rsidRPr="00737152">
        <w:rPr>
          <w:rFonts w:ascii="Times New Roman" w:hAnsi="Times New Roman"/>
          <w:sz w:val="24"/>
        </w:rPr>
        <w:t>]; 361 ALR 13 at 21.</w:t>
      </w:r>
    </w:p>
  </w:footnote>
  <w:footnote w:id="33">
    <w:p w14:paraId="672C1795" w14:textId="415248A3" w:rsidR="00DB2AE7" w:rsidRPr="00737152" w:rsidRDefault="00DB2AE7"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Cross on Evidence</w:t>
      </w:r>
      <w:r w:rsidRPr="00737152">
        <w:rPr>
          <w:rFonts w:ascii="Times New Roman" w:hAnsi="Times New Roman"/>
          <w:sz w:val="24"/>
        </w:rPr>
        <w:t xml:space="preserve">, 13th Aust ed (2021) at </w:t>
      </w:r>
      <w:r w:rsidR="009B21E8" w:rsidRPr="00737152">
        <w:rPr>
          <w:rFonts w:ascii="Times New Roman" w:hAnsi="Times New Roman"/>
          <w:sz w:val="24"/>
        </w:rPr>
        <w:t xml:space="preserve">842-843 </w:t>
      </w:r>
      <w:r w:rsidRPr="00737152">
        <w:rPr>
          <w:rFonts w:ascii="Times New Roman" w:hAnsi="Times New Roman"/>
          <w:sz w:val="24"/>
        </w:rPr>
        <w:t>[21252].</w:t>
      </w:r>
    </w:p>
  </w:footnote>
  <w:footnote w:id="34">
    <w:p w14:paraId="29945136" w14:textId="37135E66" w:rsidR="00DB2AE7" w:rsidRPr="00737152" w:rsidRDefault="00DB2AE7"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Hughes </w:t>
      </w:r>
      <w:r w:rsidRPr="00737152">
        <w:rPr>
          <w:rFonts w:ascii="Times New Roman" w:hAnsi="Times New Roman"/>
          <w:sz w:val="24"/>
        </w:rPr>
        <w:t>(2017) 263 CLR 338 at 377 [109], 393-394 [155].</w:t>
      </w:r>
    </w:p>
  </w:footnote>
  <w:footnote w:id="35">
    <w:p w14:paraId="66227BCF" w14:textId="6D7859CE" w:rsidR="00DB2AE7" w:rsidRPr="00737152" w:rsidRDefault="00DB2AE7"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Hughes </w:t>
      </w:r>
      <w:r w:rsidRPr="00737152">
        <w:rPr>
          <w:rFonts w:ascii="Times New Roman" w:hAnsi="Times New Roman"/>
          <w:sz w:val="24"/>
        </w:rPr>
        <w:t>(2017) 263 CLR 338 at 363 [64]</w:t>
      </w:r>
      <w:r w:rsidR="00DF77FA" w:rsidRPr="00737152">
        <w:rPr>
          <w:rFonts w:ascii="Times New Roman" w:hAnsi="Times New Roman"/>
          <w:sz w:val="24"/>
        </w:rPr>
        <w:t>, 375 [105], 391 [153].</w:t>
      </w:r>
    </w:p>
  </w:footnote>
  <w:footnote w:id="36">
    <w:p w14:paraId="101E18B1" w14:textId="14F889C0" w:rsidR="008D7E71" w:rsidRPr="00737152" w:rsidRDefault="008D7E71"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00621C27" w:rsidRPr="00737152">
        <w:rPr>
          <w:rFonts w:ascii="Times New Roman" w:hAnsi="Times New Roman"/>
          <w:sz w:val="24"/>
        </w:rPr>
        <w:tab/>
      </w:r>
      <w:r w:rsidR="00C54DE3" w:rsidRPr="00737152">
        <w:rPr>
          <w:rFonts w:ascii="Times New Roman" w:hAnsi="Times New Roman"/>
          <w:sz w:val="24"/>
        </w:rPr>
        <w:t xml:space="preserve">See, </w:t>
      </w:r>
      <w:r w:rsidR="00FB5B7A" w:rsidRPr="00737152">
        <w:rPr>
          <w:rFonts w:ascii="Times New Roman" w:hAnsi="Times New Roman"/>
          <w:sz w:val="24"/>
        </w:rPr>
        <w:t>eg</w:t>
      </w:r>
      <w:r w:rsidR="00C54DE3" w:rsidRPr="00737152">
        <w:rPr>
          <w:rFonts w:ascii="Times New Roman" w:hAnsi="Times New Roman"/>
          <w:sz w:val="24"/>
        </w:rPr>
        <w:t xml:space="preserve">, </w:t>
      </w:r>
      <w:r w:rsidR="00C54DE3" w:rsidRPr="00737152">
        <w:rPr>
          <w:rFonts w:ascii="Times New Roman" w:hAnsi="Times New Roman"/>
          <w:i/>
          <w:iCs/>
          <w:sz w:val="24"/>
        </w:rPr>
        <w:t xml:space="preserve">Ilievski v The Queen </w:t>
      </w:r>
      <w:r w:rsidR="00C54DE3" w:rsidRPr="00737152">
        <w:rPr>
          <w:rFonts w:ascii="Times New Roman" w:hAnsi="Times New Roman"/>
          <w:sz w:val="24"/>
        </w:rPr>
        <w:t>[2018] NSWCCA 164</w:t>
      </w:r>
      <w:r w:rsidR="005E32F8" w:rsidRPr="00737152">
        <w:rPr>
          <w:rFonts w:ascii="Times New Roman" w:hAnsi="Times New Roman"/>
          <w:sz w:val="24"/>
        </w:rPr>
        <w:t xml:space="preserve">; </w:t>
      </w:r>
      <w:r w:rsidR="005E32F8" w:rsidRPr="00737152">
        <w:rPr>
          <w:rFonts w:ascii="Times New Roman" w:hAnsi="Times New Roman"/>
          <w:i/>
          <w:iCs/>
          <w:sz w:val="24"/>
        </w:rPr>
        <w:t xml:space="preserve">R v UD </w:t>
      </w:r>
      <w:r w:rsidR="005E32F8" w:rsidRPr="00737152">
        <w:rPr>
          <w:rFonts w:ascii="Times New Roman" w:hAnsi="Times New Roman"/>
          <w:sz w:val="24"/>
        </w:rPr>
        <w:t>[2020] ACTSC 45</w:t>
      </w:r>
      <w:r w:rsidR="00B3635B" w:rsidRPr="00737152">
        <w:rPr>
          <w:rFonts w:ascii="Times New Roman" w:hAnsi="Times New Roman"/>
          <w:sz w:val="24"/>
        </w:rPr>
        <w:t xml:space="preserve">; </w:t>
      </w:r>
      <w:r w:rsidR="00B3635B" w:rsidRPr="00737152">
        <w:rPr>
          <w:rFonts w:ascii="Times New Roman" w:hAnsi="Times New Roman"/>
          <w:i/>
          <w:iCs/>
          <w:sz w:val="24"/>
        </w:rPr>
        <w:t xml:space="preserve">R v Lewis </w:t>
      </w:r>
      <w:r w:rsidR="00B3635B" w:rsidRPr="00737152">
        <w:rPr>
          <w:rFonts w:ascii="Times New Roman" w:hAnsi="Times New Roman"/>
          <w:sz w:val="24"/>
        </w:rPr>
        <w:t>[2021] NTSC 40</w:t>
      </w:r>
      <w:r w:rsidR="002641F6" w:rsidRPr="00737152">
        <w:rPr>
          <w:rFonts w:ascii="Times New Roman" w:hAnsi="Times New Roman"/>
          <w:sz w:val="24"/>
        </w:rPr>
        <w:t xml:space="preserve">. </w:t>
      </w:r>
      <w:r w:rsidR="00433841" w:rsidRPr="00737152">
        <w:rPr>
          <w:rFonts w:ascii="Times New Roman" w:hAnsi="Times New Roman"/>
          <w:sz w:val="24"/>
        </w:rPr>
        <w:t>See also</w:t>
      </w:r>
      <w:r w:rsidR="002641F6" w:rsidRPr="00737152">
        <w:rPr>
          <w:rFonts w:ascii="Times New Roman" w:hAnsi="Times New Roman"/>
          <w:sz w:val="24"/>
        </w:rPr>
        <w:t xml:space="preserve"> </w:t>
      </w:r>
      <w:r w:rsidR="00F200C4" w:rsidRPr="00737152">
        <w:rPr>
          <w:rFonts w:ascii="Times New Roman" w:hAnsi="Times New Roman"/>
          <w:i/>
          <w:iCs/>
          <w:sz w:val="24"/>
        </w:rPr>
        <w:t>O'Keefe</w:t>
      </w:r>
      <w:r w:rsidR="00F200C4" w:rsidRPr="00737152">
        <w:rPr>
          <w:rFonts w:ascii="Times New Roman" w:hAnsi="Times New Roman"/>
          <w:sz w:val="24"/>
        </w:rPr>
        <w:t xml:space="preserve"> [2009] NSWCCA 121</w:t>
      </w:r>
      <w:r w:rsidR="00E739F3" w:rsidRPr="00737152">
        <w:rPr>
          <w:rFonts w:ascii="Times New Roman" w:hAnsi="Times New Roman"/>
          <w:sz w:val="24"/>
        </w:rPr>
        <w:t xml:space="preserve">; </w:t>
      </w:r>
      <w:r w:rsidR="00E739F3" w:rsidRPr="00737152">
        <w:rPr>
          <w:rFonts w:ascii="Times New Roman" w:hAnsi="Times New Roman"/>
          <w:i/>
          <w:iCs/>
          <w:sz w:val="24"/>
        </w:rPr>
        <w:t xml:space="preserve">Bryant v The Queen </w:t>
      </w:r>
      <w:r w:rsidR="00E739F3" w:rsidRPr="00737152">
        <w:rPr>
          <w:rFonts w:ascii="Times New Roman" w:hAnsi="Times New Roman"/>
          <w:sz w:val="24"/>
        </w:rPr>
        <w:t>(2011) 205 A Crim R 531 at 545 [79]</w:t>
      </w:r>
      <w:r w:rsidR="00F200C4" w:rsidRPr="00737152">
        <w:rPr>
          <w:rFonts w:ascii="Times New Roman" w:hAnsi="Times New Roman"/>
          <w:sz w:val="24"/>
        </w:rPr>
        <w:t>.</w:t>
      </w:r>
    </w:p>
  </w:footnote>
  <w:footnote w:id="37">
    <w:p w14:paraId="4AA86922" w14:textId="3A65DB1A" w:rsidR="00421FDA" w:rsidRPr="00737152" w:rsidRDefault="00421FDA"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Hughes</w:t>
      </w:r>
      <w:r w:rsidRPr="00737152">
        <w:rPr>
          <w:rFonts w:ascii="Times New Roman" w:hAnsi="Times New Roman"/>
          <w:sz w:val="24"/>
        </w:rPr>
        <w:t xml:space="preserve"> (2017) 263 CLR 338 at 356 [41]; </w:t>
      </w:r>
      <w:r w:rsidRPr="00737152">
        <w:rPr>
          <w:rFonts w:ascii="Times New Roman" w:hAnsi="Times New Roman"/>
          <w:i/>
          <w:iCs/>
          <w:sz w:val="24"/>
        </w:rPr>
        <w:t xml:space="preserve">McPhillamy </w:t>
      </w:r>
      <w:r w:rsidRPr="00737152">
        <w:rPr>
          <w:rFonts w:ascii="Times New Roman" w:hAnsi="Times New Roman"/>
          <w:sz w:val="24"/>
        </w:rPr>
        <w:t xml:space="preserve">(2018) 92 ALJR 1045 at </w:t>
      </w:r>
      <w:r w:rsidR="0029098D" w:rsidRPr="00737152">
        <w:rPr>
          <w:rFonts w:ascii="Times New Roman" w:hAnsi="Times New Roman"/>
          <w:sz w:val="24"/>
        </w:rPr>
        <w:t>1050 [2</w:t>
      </w:r>
      <w:r w:rsidR="007E1232" w:rsidRPr="00737152">
        <w:rPr>
          <w:rFonts w:ascii="Times New Roman" w:hAnsi="Times New Roman"/>
          <w:sz w:val="24"/>
        </w:rPr>
        <w:t>6</w:t>
      </w:r>
      <w:r w:rsidR="0029098D" w:rsidRPr="00737152">
        <w:rPr>
          <w:rFonts w:ascii="Times New Roman" w:hAnsi="Times New Roman"/>
          <w:sz w:val="24"/>
        </w:rPr>
        <w:t xml:space="preserve">], </w:t>
      </w:r>
      <w:r w:rsidRPr="00737152">
        <w:rPr>
          <w:rFonts w:ascii="Times New Roman" w:hAnsi="Times New Roman"/>
          <w:sz w:val="24"/>
        </w:rPr>
        <w:t>1051-1052 [34]; 36</w:t>
      </w:r>
      <w:r w:rsidR="007E1232" w:rsidRPr="00737152">
        <w:rPr>
          <w:rFonts w:ascii="Times New Roman" w:hAnsi="Times New Roman"/>
          <w:sz w:val="24"/>
        </w:rPr>
        <w:t>1</w:t>
      </w:r>
      <w:r w:rsidRPr="00737152">
        <w:rPr>
          <w:rFonts w:ascii="Times New Roman" w:hAnsi="Times New Roman"/>
          <w:sz w:val="24"/>
        </w:rPr>
        <w:t xml:space="preserve"> ALR 13 at </w:t>
      </w:r>
      <w:r w:rsidR="00944B96" w:rsidRPr="00737152">
        <w:rPr>
          <w:rFonts w:ascii="Times New Roman" w:hAnsi="Times New Roman"/>
          <w:sz w:val="24"/>
        </w:rPr>
        <w:t>19</w:t>
      </w:r>
      <w:r w:rsidR="0029098D" w:rsidRPr="00737152">
        <w:rPr>
          <w:rFonts w:ascii="Times New Roman" w:hAnsi="Times New Roman"/>
          <w:sz w:val="24"/>
        </w:rPr>
        <w:t xml:space="preserve">, </w:t>
      </w:r>
      <w:r w:rsidRPr="00737152">
        <w:rPr>
          <w:rFonts w:ascii="Times New Roman" w:hAnsi="Times New Roman"/>
          <w:sz w:val="24"/>
        </w:rPr>
        <w:t>21.</w:t>
      </w:r>
      <w:r w:rsidR="00C37653" w:rsidRPr="00737152">
        <w:rPr>
          <w:rFonts w:ascii="Times New Roman" w:hAnsi="Times New Roman"/>
          <w:sz w:val="24"/>
        </w:rPr>
        <w:t xml:space="preserve"> See also </w:t>
      </w:r>
      <w:r w:rsidR="00C37653" w:rsidRPr="00737152">
        <w:rPr>
          <w:rFonts w:ascii="Times New Roman" w:hAnsi="Times New Roman"/>
          <w:i/>
          <w:iCs/>
          <w:sz w:val="24"/>
        </w:rPr>
        <w:t xml:space="preserve">Bauer </w:t>
      </w:r>
      <w:r w:rsidR="00C37653" w:rsidRPr="00737152">
        <w:rPr>
          <w:rFonts w:ascii="Times New Roman" w:hAnsi="Times New Roman"/>
          <w:sz w:val="24"/>
        </w:rPr>
        <w:t>(2018) 266 CLR 56 at 89 [62].</w:t>
      </w:r>
    </w:p>
  </w:footnote>
  <w:footnote w:id="38">
    <w:p w14:paraId="1056A1F4" w14:textId="001425E1" w:rsidR="00731915" w:rsidRPr="00737152" w:rsidRDefault="00731915"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t xml:space="preserve">See </w:t>
      </w:r>
      <w:r w:rsidR="00C420F4" w:rsidRPr="00737152">
        <w:rPr>
          <w:rFonts w:ascii="Times New Roman" w:hAnsi="Times New Roman"/>
          <w:sz w:val="24"/>
        </w:rPr>
        <w:t>[</w:t>
      </w:r>
      <w:r w:rsidR="006511E2" w:rsidRPr="00737152">
        <w:rPr>
          <w:rFonts w:ascii="Times New Roman" w:hAnsi="Times New Roman"/>
          <w:sz w:val="24"/>
        </w:rPr>
        <w:t xml:space="preserve">15], </w:t>
      </w:r>
      <w:r w:rsidR="00C420F4" w:rsidRPr="00737152">
        <w:rPr>
          <w:rFonts w:ascii="Times New Roman" w:hAnsi="Times New Roman"/>
          <w:sz w:val="24"/>
        </w:rPr>
        <w:t>[</w:t>
      </w:r>
      <w:r w:rsidR="005065EC" w:rsidRPr="00737152">
        <w:rPr>
          <w:rFonts w:ascii="Times New Roman" w:hAnsi="Times New Roman"/>
          <w:sz w:val="24"/>
        </w:rPr>
        <w:t>20</w:t>
      </w:r>
      <w:r w:rsidRPr="00737152">
        <w:rPr>
          <w:rFonts w:ascii="Times New Roman" w:hAnsi="Times New Roman"/>
          <w:sz w:val="24"/>
        </w:rPr>
        <w:t>].</w:t>
      </w:r>
    </w:p>
  </w:footnote>
  <w:footnote w:id="39">
    <w:p w14:paraId="1C1ABEDD" w14:textId="7DB70A3F" w:rsidR="0011653B" w:rsidRPr="00737152" w:rsidRDefault="0011653B"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 xml:space="preserve">TL </w:t>
      </w:r>
      <w:r w:rsidRPr="00737152">
        <w:rPr>
          <w:rFonts w:ascii="Times New Roman" w:hAnsi="Times New Roman"/>
          <w:sz w:val="24"/>
        </w:rPr>
        <w:t>[2020] NSWCCA 265 at [276].</w:t>
      </w:r>
    </w:p>
  </w:footnote>
  <w:footnote w:id="40">
    <w:p w14:paraId="79240B2D" w14:textId="0A733E02" w:rsidR="00723DFC" w:rsidRPr="00737152" w:rsidRDefault="00723DFC"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t xml:space="preserve">See, </w:t>
      </w:r>
      <w:r w:rsidR="00AA11D5" w:rsidRPr="00737152">
        <w:rPr>
          <w:rFonts w:ascii="Times New Roman" w:hAnsi="Times New Roman"/>
          <w:sz w:val="24"/>
        </w:rPr>
        <w:t>eg</w:t>
      </w:r>
      <w:r w:rsidRPr="00737152">
        <w:rPr>
          <w:rFonts w:ascii="Times New Roman" w:hAnsi="Times New Roman"/>
          <w:sz w:val="24"/>
        </w:rPr>
        <w:t xml:space="preserve">, </w:t>
      </w:r>
      <w:r w:rsidRPr="00737152">
        <w:rPr>
          <w:rFonts w:ascii="Times New Roman" w:hAnsi="Times New Roman"/>
          <w:i/>
          <w:iCs/>
          <w:sz w:val="24"/>
        </w:rPr>
        <w:t xml:space="preserve">Parkinson v Alexander </w:t>
      </w:r>
      <w:r w:rsidRPr="00737152">
        <w:rPr>
          <w:rFonts w:ascii="Times New Roman" w:hAnsi="Times New Roman"/>
          <w:sz w:val="24"/>
        </w:rPr>
        <w:t>[2017] ACTSC 201</w:t>
      </w:r>
      <w:r w:rsidR="00FE5B06" w:rsidRPr="00737152">
        <w:rPr>
          <w:rFonts w:ascii="Times New Roman" w:hAnsi="Times New Roman"/>
          <w:sz w:val="24"/>
        </w:rPr>
        <w:t xml:space="preserve"> at [66]-[</w:t>
      </w:r>
      <w:r w:rsidR="00F73EE3" w:rsidRPr="00737152">
        <w:rPr>
          <w:rFonts w:ascii="Times New Roman" w:hAnsi="Times New Roman"/>
          <w:sz w:val="24"/>
        </w:rPr>
        <w:t>70</w:t>
      </w:r>
      <w:r w:rsidR="00FE5B06" w:rsidRPr="00737152">
        <w:rPr>
          <w:rFonts w:ascii="Times New Roman" w:hAnsi="Times New Roman"/>
          <w:sz w:val="24"/>
        </w:rPr>
        <w:t>]</w:t>
      </w:r>
      <w:r w:rsidRPr="00737152">
        <w:rPr>
          <w:rFonts w:ascii="Times New Roman" w:hAnsi="Times New Roman"/>
          <w:sz w:val="24"/>
        </w:rPr>
        <w:t>.</w:t>
      </w:r>
    </w:p>
  </w:footnote>
  <w:footnote w:id="41">
    <w:p w14:paraId="518373B4" w14:textId="77777777" w:rsidR="009C7EA9" w:rsidRPr="00737152" w:rsidRDefault="009C7EA9"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iCs/>
          <w:sz w:val="24"/>
        </w:rPr>
        <w:t>Hughes</w:t>
      </w:r>
      <w:r w:rsidRPr="00737152">
        <w:rPr>
          <w:rFonts w:ascii="Times New Roman" w:hAnsi="Times New Roman"/>
          <w:sz w:val="24"/>
        </w:rPr>
        <w:t xml:space="preserve"> (2017) 263 CLR 338 at 392-393 [154]-[155]. See also </w:t>
      </w:r>
      <w:r w:rsidRPr="00737152">
        <w:rPr>
          <w:rFonts w:ascii="Times New Roman" w:hAnsi="Times New Roman"/>
          <w:i/>
          <w:iCs/>
          <w:sz w:val="24"/>
        </w:rPr>
        <w:t xml:space="preserve">Bauer </w:t>
      </w:r>
      <w:r w:rsidRPr="00737152">
        <w:rPr>
          <w:rFonts w:ascii="Times New Roman" w:hAnsi="Times New Roman"/>
          <w:sz w:val="24"/>
        </w:rPr>
        <w:t>(2018) 266 CLR 56 at 82 [48], 88 [60], concerning the sexual interest of an accused in a particular complainant.</w:t>
      </w:r>
    </w:p>
  </w:footnote>
  <w:footnote w:id="42">
    <w:p w14:paraId="3AFA99B5" w14:textId="77777777" w:rsidR="009C7EA9" w:rsidRPr="00737152" w:rsidRDefault="009C7EA9" w:rsidP="00737152">
      <w:pPr>
        <w:pStyle w:val="FootnoteText"/>
        <w:spacing w:line="280" w:lineRule="exact"/>
        <w:ind w:right="0"/>
        <w:jc w:val="both"/>
        <w:rPr>
          <w:rFonts w:ascii="Times New Roman" w:hAnsi="Times New Roman"/>
          <w:sz w:val="24"/>
        </w:rPr>
      </w:pPr>
      <w:r w:rsidRPr="00737152">
        <w:rPr>
          <w:rStyle w:val="FootnoteReference"/>
          <w:rFonts w:ascii="Times New Roman" w:hAnsi="Times New Roman"/>
          <w:sz w:val="22"/>
          <w:vertAlign w:val="baseline"/>
        </w:rPr>
        <w:footnoteRef/>
      </w:r>
      <w:r w:rsidRPr="00737152">
        <w:rPr>
          <w:rFonts w:ascii="Times New Roman" w:hAnsi="Times New Roman"/>
          <w:sz w:val="24"/>
        </w:rPr>
        <w:t xml:space="preserve"> </w:t>
      </w:r>
      <w:r w:rsidRPr="00737152">
        <w:rPr>
          <w:rFonts w:ascii="Times New Roman" w:hAnsi="Times New Roman"/>
          <w:sz w:val="24"/>
        </w:rPr>
        <w:tab/>
      </w:r>
      <w:r w:rsidRPr="00737152">
        <w:rPr>
          <w:rFonts w:ascii="Times New Roman" w:hAnsi="Times New Roman"/>
          <w:i/>
          <w:sz w:val="24"/>
        </w:rPr>
        <w:t>Hughes</w:t>
      </w:r>
      <w:r w:rsidRPr="00737152">
        <w:rPr>
          <w:rFonts w:ascii="Times New Roman" w:hAnsi="Times New Roman"/>
          <w:sz w:val="24"/>
        </w:rPr>
        <w:t xml:space="preserve"> (2017) 263 CLR 338 at 377 [109].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9EFA" w14:textId="77777777" w:rsidR="00737152" w:rsidRPr="00410E92" w:rsidRDefault="00737152" w:rsidP="00410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A62E" w14:textId="02FD7536" w:rsidR="00737152" w:rsidRPr="00410E92" w:rsidRDefault="00410E92" w:rsidP="00410E92">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9BE0" w14:textId="46F582C2" w:rsidR="005441C2" w:rsidRPr="00410E92" w:rsidRDefault="005441C2" w:rsidP="00410E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E123" w14:textId="77777777" w:rsidR="00410E92" w:rsidRPr="00737152" w:rsidRDefault="00410E92" w:rsidP="00737152">
    <w:pPr>
      <w:pStyle w:val="Header"/>
      <w:tabs>
        <w:tab w:val="clear" w:pos="4153"/>
        <w:tab w:val="clear" w:pos="8306"/>
        <w:tab w:val="right" w:pos="1304"/>
      </w:tabs>
      <w:spacing w:line="280" w:lineRule="exact"/>
      <w:ind w:firstLine="0"/>
      <w:rPr>
        <w:rFonts w:ascii="Times New Roman" w:hAnsi="Times New Roman"/>
        <w:i/>
        <w:sz w:val="22"/>
      </w:rPr>
    </w:pPr>
    <w:r w:rsidRPr="00737152">
      <w:rPr>
        <w:rFonts w:ascii="Times New Roman" w:hAnsi="Times New Roman"/>
        <w:i/>
        <w:sz w:val="22"/>
      </w:rPr>
      <w:t>Kiefel</w:t>
    </w:r>
    <w:r w:rsidRPr="00737152">
      <w:rPr>
        <w:rFonts w:ascii="Times New Roman" w:hAnsi="Times New Roman"/>
        <w:i/>
        <w:sz w:val="22"/>
      </w:rPr>
      <w:tab/>
      <w:t>CJ</w:t>
    </w:r>
  </w:p>
  <w:p w14:paraId="7E14CFC8" w14:textId="77777777" w:rsidR="00410E92" w:rsidRPr="00737152" w:rsidRDefault="00410E92" w:rsidP="00737152">
    <w:pPr>
      <w:pStyle w:val="Header"/>
      <w:tabs>
        <w:tab w:val="clear" w:pos="4153"/>
        <w:tab w:val="clear" w:pos="8306"/>
        <w:tab w:val="right" w:pos="1304"/>
      </w:tabs>
      <w:spacing w:line="280" w:lineRule="exact"/>
      <w:ind w:firstLine="0"/>
      <w:rPr>
        <w:rFonts w:ascii="Times New Roman" w:hAnsi="Times New Roman"/>
        <w:i/>
        <w:sz w:val="22"/>
      </w:rPr>
    </w:pPr>
    <w:proofErr w:type="spellStart"/>
    <w:r w:rsidRPr="00737152">
      <w:rPr>
        <w:rFonts w:ascii="Times New Roman" w:hAnsi="Times New Roman"/>
        <w:i/>
        <w:sz w:val="22"/>
      </w:rPr>
      <w:t>Gageler</w:t>
    </w:r>
    <w:proofErr w:type="spellEnd"/>
    <w:r w:rsidRPr="00737152">
      <w:rPr>
        <w:rFonts w:ascii="Times New Roman" w:hAnsi="Times New Roman"/>
        <w:i/>
        <w:sz w:val="22"/>
      </w:rPr>
      <w:tab/>
      <w:t>J</w:t>
    </w:r>
  </w:p>
  <w:p w14:paraId="7F742436" w14:textId="77777777" w:rsidR="00410E92" w:rsidRPr="00737152" w:rsidRDefault="00410E92" w:rsidP="00737152">
    <w:pPr>
      <w:pStyle w:val="Header"/>
      <w:tabs>
        <w:tab w:val="clear" w:pos="4153"/>
        <w:tab w:val="clear" w:pos="8306"/>
        <w:tab w:val="right" w:pos="1304"/>
      </w:tabs>
      <w:spacing w:line="280" w:lineRule="exact"/>
      <w:ind w:firstLine="0"/>
      <w:rPr>
        <w:rFonts w:ascii="Times New Roman" w:hAnsi="Times New Roman"/>
        <w:i/>
        <w:sz w:val="22"/>
      </w:rPr>
    </w:pPr>
    <w:r w:rsidRPr="00737152">
      <w:rPr>
        <w:rFonts w:ascii="Times New Roman" w:hAnsi="Times New Roman"/>
        <w:i/>
        <w:sz w:val="22"/>
      </w:rPr>
      <w:t>Gordon</w:t>
    </w:r>
    <w:r w:rsidRPr="00737152">
      <w:rPr>
        <w:rFonts w:ascii="Times New Roman" w:hAnsi="Times New Roman"/>
        <w:i/>
        <w:sz w:val="22"/>
      </w:rPr>
      <w:tab/>
      <w:t>J</w:t>
    </w:r>
  </w:p>
  <w:p w14:paraId="259E35DD" w14:textId="77777777" w:rsidR="00410E92" w:rsidRPr="00737152" w:rsidRDefault="00410E92" w:rsidP="00737152">
    <w:pPr>
      <w:pStyle w:val="Header"/>
      <w:tabs>
        <w:tab w:val="clear" w:pos="4153"/>
        <w:tab w:val="clear" w:pos="8306"/>
        <w:tab w:val="right" w:pos="1304"/>
      </w:tabs>
      <w:spacing w:line="280" w:lineRule="exact"/>
      <w:ind w:firstLine="0"/>
      <w:rPr>
        <w:rFonts w:ascii="Times New Roman" w:hAnsi="Times New Roman"/>
        <w:i/>
        <w:sz w:val="22"/>
      </w:rPr>
    </w:pPr>
    <w:r w:rsidRPr="00737152">
      <w:rPr>
        <w:rFonts w:ascii="Times New Roman" w:hAnsi="Times New Roman"/>
        <w:i/>
        <w:sz w:val="22"/>
      </w:rPr>
      <w:t>Steward</w:t>
    </w:r>
    <w:r w:rsidRPr="00737152">
      <w:rPr>
        <w:rFonts w:ascii="Times New Roman" w:hAnsi="Times New Roman"/>
        <w:i/>
        <w:sz w:val="22"/>
      </w:rPr>
      <w:tab/>
      <w:t>J</w:t>
    </w:r>
  </w:p>
  <w:p w14:paraId="418517B5" w14:textId="77777777" w:rsidR="00410E92" w:rsidRDefault="00410E92" w:rsidP="0073715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29EB4BFA" w14:textId="77777777" w:rsidR="00410E92" w:rsidRDefault="00410E92" w:rsidP="00737152">
    <w:pPr>
      <w:pStyle w:val="Header"/>
      <w:tabs>
        <w:tab w:val="clear" w:pos="4153"/>
        <w:tab w:val="clear" w:pos="8306"/>
        <w:tab w:val="right" w:pos="1304"/>
      </w:tabs>
      <w:spacing w:line="280" w:lineRule="exact"/>
      <w:ind w:firstLine="0"/>
      <w:rPr>
        <w:rFonts w:ascii="Times New Roman" w:hAnsi="Times New Roman"/>
        <w:i/>
        <w:sz w:val="22"/>
      </w:rPr>
    </w:pPr>
  </w:p>
  <w:p w14:paraId="42CE8BC3" w14:textId="77777777" w:rsidR="00410E92" w:rsidRDefault="00410E92" w:rsidP="0073715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8D49ECC" w14:textId="77777777" w:rsidR="00410E92" w:rsidRPr="00737152" w:rsidRDefault="00410E92" w:rsidP="0073715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0D47" w14:textId="77777777" w:rsidR="00410E92" w:rsidRPr="00737152" w:rsidRDefault="00410E92" w:rsidP="00737152">
    <w:pPr>
      <w:pStyle w:val="Header"/>
      <w:tabs>
        <w:tab w:val="clear" w:pos="4153"/>
        <w:tab w:val="clear" w:pos="8306"/>
        <w:tab w:val="left" w:pos="7200"/>
        <w:tab w:val="right" w:pos="8504"/>
      </w:tabs>
      <w:spacing w:line="280" w:lineRule="exact"/>
      <w:jc w:val="right"/>
      <w:rPr>
        <w:rFonts w:ascii="Times New Roman" w:hAnsi="Times New Roman"/>
        <w:i/>
        <w:sz w:val="22"/>
      </w:rPr>
    </w:pPr>
    <w:r w:rsidRPr="00737152">
      <w:rPr>
        <w:rFonts w:ascii="Times New Roman" w:hAnsi="Times New Roman"/>
        <w:i/>
        <w:sz w:val="22"/>
      </w:rPr>
      <w:tab/>
      <w:t>Kiefel</w:t>
    </w:r>
    <w:r w:rsidRPr="00737152">
      <w:rPr>
        <w:rFonts w:ascii="Times New Roman" w:hAnsi="Times New Roman"/>
        <w:i/>
        <w:sz w:val="22"/>
      </w:rPr>
      <w:tab/>
      <w:t>CJ</w:t>
    </w:r>
  </w:p>
  <w:p w14:paraId="5E5B4205" w14:textId="77777777" w:rsidR="00410E92" w:rsidRPr="00737152" w:rsidRDefault="00410E92" w:rsidP="00737152">
    <w:pPr>
      <w:pStyle w:val="Header"/>
      <w:tabs>
        <w:tab w:val="clear" w:pos="4153"/>
        <w:tab w:val="clear" w:pos="8306"/>
        <w:tab w:val="left" w:pos="7200"/>
        <w:tab w:val="right" w:pos="8504"/>
      </w:tabs>
      <w:spacing w:line="280" w:lineRule="exact"/>
      <w:jc w:val="right"/>
      <w:rPr>
        <w:rFonts w:ascii="Times New Roman" w:hAnsi="Times New Roman"/>
        <w:i/>
        <w:sz w:val="22"/>
      </w:rPr>
    </w:pPr>
    <w:r w:rsidRPr="00737152">
      <w:rPr>
        <w:rFonts w:ascii="Times New Roman" w:hAnsi="Times New Roman"/>
        <w:i/>
        <w:sz w:val="22"/>
      </w:rPr>
      <w:tab/>
    </w:r>
    <w:proofErr w:type="spellStart"/>
    <w:r w:rsidRPr="00737152">
      <w:rPr>
        <w:rFonts w:ascii="Times New Roman" w:hAnsi="Times New Roman"/>
        <w:i/>
        <w:sz w:val="22"/>
      </w:rPr>
      <w:t>Gageler</w:t>
    </w:r>
    <w:proofErr w:type="spellEnd"/>
    <w:r w:rsidRPr="00737152">
      <w:rPr>
        <w:rFonts w:ascii="Times New Roman" w:hAnsi="Times New Roman"/>
        <w:i/>
        <w:sz w:val="22"/>
      </w:rPr>
      <w:tab/>
      <w:t>J</w:t>
    </w:r>
  </w:p>
  <w:p w14:paraId="6E00A2F0" w14:textId="77777777" w:rsidR="00410E92" w:rsidRPr="00737152" w:rsidRDefault="00410E92" w:rsidP="00737152">
    <w:pPr>
      <w:pStyle w:val="Header"/>
      <w:tabs>
        <w:tab w:val="clear" w:pos="4153"/>
        <w:tab w:val="clear" w:pos="8306"/>
        <w:tab w:val="left" w:pos="7200"/>
        <w:tab w:val="right" w:pos="8504"/>
      </w:tabs>
      <w:spacing w:line="280" w:lineRule="exact"/>
      <w:jc w:val="right"/>
      <w:rPr>
        <w:rFonts w:ascii="Times New Roman" w:hAnsi="Times New Roman"/>
        <w:i/>
        <w:sz w:val="22"/>
      </w:rPr>
    </w:pPr>
    <w:r w:rsidRPr="00737152">
      <w:rPr>
        <w:rFonts w:ascii="Times New Roman" w:hAnsi="Times New Roman"/>
        <w:i/>
        <w:sz w:val="22"/>
      </w:rPr>
      <w:tab/>
      <w:t>Gordon</w:t>
    </w:r>
    <w:r w:rsidRPr="00737152">
      <w:rPr>
        <w:rFonts w:ascii="Times New Roman" w:hAnsi="Times New Roman"/>
        <w:i/>
        <w:sz w:val="22"/>
      </w:rPr>
      <w:tab/>
      <w:t>J</w:t>
    </w:r>
  </w:p>
  <w:p w14:paraId="2977CB53" w14:textId="77777777" w:rsidR="00410E92" w:rsidRPr="00737152" w:rsidRDefault="00410E92" w:rsidP="00737152">
    <w:pPr>
      <w:pStyle w:val="Header"/>
      <w:tabs>
        <w:tab w:val="clear" w:pos="4153"/>
        <w:tab w:val="clear" w:pos="8306"/>
        <w:tab w:val="left" w:pos="7200"/>
        <w:tab w:val="right" w:pos="8504"/>
      </w:tabs>
      <w:spacing w:line="280" w:lineRule="exact"/>
      <w:jc w:val="right"/>
      <w:rPr>
        <w:rFonts w:ascii="Times New Roman" w:hAnsi="Times New Roman"/>
        <w:i/>
        <w:sz w:val="22"/>
      </w:rPr>
    </w:pPr>
    <w:r w:rsidRPr="00737152">
      <w:rPr>
        <w:rFonts w:ascii="Times New Roman" w:hAnsi="Times New Roman"/>
        <w:i/>
        <w:sz w:val="22"/>
      </w:rPr>
      <w:tab/>
      <w:t>Steward</w:t>
    </w:r>
    <w:r w:rsidRPr="00737152">
      <w:rPr>
        <w:rFonts w:ascii="Times New Roman" w:hAnsi="Times New Roman"/>
        <w:i/>
        <w:sz w:val="22"/>
      </w:rPr>
      <w:tab/>
      <w:t>J</w:t>
    </w:r>
  </w:p>
  <w:p w14:paraId="73BFE59F" w14:textId="77777777" w:rsidR="00410E92" w:rsidRDefault="00410E92" w:rsidP="0073715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23D906FD" w14:textId="77777777" w:rsidR="00410E92" w:rsidRDefault="00410E92" w:rsidP="00737152">
    <w:pPr>
      <w:pStyle w:val="Header"/>
      <w:tabs>
        <w:tab w:val="clear" w:pos="4153"/>
        <w:tab w:val="clear" w:pos="8306"/>
        <w:tab w:val="left" w:pos="7200"/>
        <w:tab w:val="right" w:pos="8504"/>
      </w:tabs>
      <w:spacing w:line="280" w:lineRule="exact"/>
      <w:jc w:val="right"/>
      <w:rPr>
        <w:rFonts w:ascii="Times New Roman" w:hAnsi="Times New Roman"/>
        <w:i/>
        <w:sz w:val="22"/>
      </w:rPr>
    </w:pPr>
  </w:p>
  <w:p w14:paraId="57EDE60F" w14:textId="77777777" w:rsidR="00410E92" w:rsidRDefault="00410E92" w:rsidP="0073715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C9FB898" w14:textId="77777777" w:rsidR="00410E92" w:rsidRPr="00737152" w:rsidRDefault="00410E92" w:rsidP="0073715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2DED" w14:textId="77777777" w:rsidR="00410E92" w:rsidRDefault="00410E92" w:rsidP="00737152">
    <w:pPr>
      <w:pStyle w:val="Header"/>
      <w:tabs>
        <w:tab w:val="clear" w:pos="4153"/>
        <w:tab w:val="clear" w:pos="8306"/>
        <w:tab w:val="center" w:pos="1134"/>
      </w:tabs>
      <w:spacing w:line="280" w:lineRule="exact"/>
      <w:ind w:firstLine="0"/>
      <w:rPr>
        <w:rFonts w:ascii="Times New Roman" w:hAnsi="Times New Roman"/>
        <w:i/>
        <w:sz w:val="22"/>
      </w:rPr>
    </w:pPr>
  </w:p>
  <w:p w14:paraId="11958C02" w14:textId="77777777" w:rsidR="00410E92" w:rsidRDefault="00410E92" w:rsidP="00737152">
    <w:pPr>
      <w:pStyle w:val="Header"/>
      <w:tabs>
        <w:tab w:val="clear" w:pos="4153"/>
        <w:tab w:val="clear" w:pos="8306"/>
        <w:tab w:val="center" w:pos="1134"/>
      </w:tabs>
      <w:spacing w:line="280" w:lineRule="exact"/>
      <w:ind w:firstLine="0"/>
      <w:rPr>
        <w:rFonts w:ascii="Times New Roman" w:hAnsi="Times New Roman"/>
        <w:i/>
        <w:sz w:val="22"/>
      </w:rPr>
    </w:pPr>
  </w:p>
  <w:p w14:paraId="3128D0F7" w14:textId="77777777" w:rsidR="00410E92" w:rsidRDefault="00410E92" w:rsidP="00737152">
    <w:pPr>
      <w:pStyle w:val="Header"/>
      <w:tabs>
        <w:tab w:val="clear" w:pos="4153"/>
        <w:tab w:val="clear" w:pos="8306"/>
        <w:tab w:val="center" w:pos="1134"/>
      </w:tabs>
      <w:spacing w:line="280" w:lineRule="exact"/>
      <w:ind w:firstLine="0"/>
      <w:rPr>
        <w:rFonts w:ascii="Times New Roman" w:hAnsi="Times New Roman"/>
        <w:i/>
        <w:sz w:val="22"/>
      </w:rPr>
    </w:pPr>
  </w:p>
  <w:p w14:paraId="05E55BF7" w14:textId="77777777" w:rsidR="00410E92" w:rsidRDefault="00410E92" w:rsidP="00737152">
    <w:pPr>
      <w:pStyle w:val="Header"/>
      <w:tabs>
        <w:tab w:val="clear" w:pos="4153"/>
        <w:tab w:val="clear" w:pos="8306"/>
        <w:tab w:val="center" w:pos="1134"/>
      </w:tabs>
      <w:spacing w:line="280" w:lineRule="exact"/>
      <w:ind w:firstLine="0"/>
      <w:rPr>
        <w:rFonts w:ascii="Times New Roman" w:hAnsi="Times New Roman"/>
        <w:i/>
        <w:sz w:val="22"/>
      </w:rPr>
    </w:pPr>
  </w:p>
  <w:p w14:paraId="4B05CA1A" w14:textId="77777777" w:rsidR="00410E92" w:rsidRDefault="00410E92" w:rsidP="00737152">
    <w:pPr>
      <w:pStyle w:val="Header"/>
      <w:tabs>
        <w:tab w:val="clear" w:pos="4153"/>
        <w:tab w:val="clear" w:pos="8306"/>
        <w:tab w:val="center" w:pos="1134"/>
      </w:tabs>
      <w:spacing w:line="280" w:lineRule="exact"/>
      <w:ind w:firstLine="0"/>
      <w:rPr>
        <w:rFonts w:ascii="Times New Roman" w:hAnsi="Times New Roman"/>
        <w:i/>
        <w:sz w:val="22"/>
      </w:rPr>
    </w:pPr>
  </w:p>
  <w:p w14:paraId="38272A34" w14:textId="77777777" w:rsidR="00410E92" w:rsidRDefault="00410E92" w:rsidP="00737152">
    <w:pPr>
      <w:pStyle w:val="Header"/>
      <w:tabs>
        <w:tab w:val="clear" w:pos="4153"/>
        <w:tab w:val="clear" w:pos="8306"/>
        <w:tab w:val="center" w:pos="1134"/>
      </w:tabs>
      <w:spacing w:line="280" w:lineRule="exact"/>
      <w:ind w:firstLine="0"/>
      <w:rPr>
        <w:rFonts w:ascii="Times New Roman" w:hAnsi="Times New Roman"/>
        <w:i/>
        <w:sz w:val="22"/>
      </w:rPr>
    </w:pPr>
  </w:p>
  <w:p w14:paraId="518ACFCD" w14:textId="77777777" w:rsidR="00410E92" w:rsidRDefault="00410E92" w:rsidP="00737152">
    <w:pPr>
      <w:pStyle w:val="Header"/>
      <w:tabs>
        <w:tab w:val="clear" w:pos="4153"/>
        <w:tab w:val="clear" w:pos="8306"/>
        <w:tab w:val="center" w:pos="1134"/>
      </w:tabs>
      <w:spacing w:line="280" w:lineRule="exact"/>
      <w:ind w:firstLine="0"/>
      <w:rPr>
        <w:rFonts w:ascii="Times New Roman" w:hAnsi="Times New Roman"/>
        <w:i/>
        <w:sz w:val="22"/>
      </w:rPr>
    </w:pPr>
  </w:p>
  <w:p w14:paraId="5552CD2E" w14:textId="77777777" w:rsidR="00410E92" w:rsidRPr="00737152" w:rsidRDefault="00410E92" w:rsidP="00737152">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DF"/>
    <w:rsid w:val="00000895"/>
    <w:rsid w:val="00002035"/>
    <w:rsid w:val="00002069"/>
    <w:rsid w:val="00002CE6"/>
    <w:rsid w:val="00002F46"/>
    <w:rsid w:val="0000316A"/>
    <w:rsid w:val="000031E3"/>
    <w:rsid w:val="0000336C"/>
    <w:rsid w:val="000049B7"/>
    <w:rsid w:val="00005CA1"/>
    <w:rsid w:val="00007320"/>
    <w:rsid w:val="000103DC"/>
    <w:rsid w:val="00012578"/>
    <w:rsid w:val="00012B20"/>
    <w:rsid w:val="000136C9"/>
    <w:rsid w:val="00013951"/>
    <w:rsid w:val="00014B34"/>
    <w:rsid w:val="00015432"/>
    <w:rsid w:val="0001568D"/>
    <w:rsid w:val="00016510"/>
    <w:rsid w:val="000168C9"/>
    <w:rsid w:val="0001690C"/>
    <w:rsid w:val="00016A15"/>
    <w:rsid w:val="00016C20"/>
    <w:rsid w:val="00016DBB"/>
    <w:rsid w:val="00017144"/>
    <w:rsid w:val="00017ED9"/>
    <w:rsid w:val="0002033A"/>
    <w:rsid w:val="0002245F"/>
    <w:rsid w:val="000239F3"/>
    <w:rsid w:val="000250AF"/>
    <w:rsid w:val="00025490"/>
    <w:rsid w:val="0002561E"/>
    <w:rsid w:val="000268E1"/>
    <w:rsid w:val="000274B9"/>
    <w:rsid w:val="00027A99"/>
    <w:rsid w:val="00027C82"/>
    <w:rsid w:val="00027CC5"/>
    <w:rsid w:val="00027D36"/>
    <w:rsid w:val="00030165"/>
    <w:rsid w:val="00032828"/>
    <w:rsid w:val="00033632"/>
    <w:rsid w:val="0003459B"/>
    <w:rsid w:val="00034C04"/>
    <w:rsid w:val="0003575A"/>
    <w:rsid w:val="000360EB"/>
    <w:rsid w:val="00036AF3"/>
    <w:rsid w:val="000370E1"/>
    <w:rsid w:val="000374B6"/>
    <w:rsid w:val="00037608"/>
    <w:rsid w:val="00037A5F"/>
    <w:rsid w:val="00037D87"/>
    <w:rsid w:val="000400A0"/>
    <w:rsid w:val="00040CE6"/>
    <w:rsid w:val="00040D51"/>
    <w:rsid w:val="00040F72"/>
    <w:rsid w:val="00041436"/>
    <w:rsid w:val="00041C39"/>
    <w:rsid w:val="00041E49"/>
    <w:rsid w:val="000423D4"/>
    <w:rsid w:val="00043D2C"/>
    <w:rsid w:val="00044336"/>
    <w:rsid w:val="00044AA0"/>
    <w:rsid w:val="00046812"/>
    <w:rsid w:val="00047AC8"/>
    <w:rsid w:val="00047CDF"/>
    <w:rsid w:val="000500B3"/>
    <w:rsid w:val="00051A78"/>
    <w:rsid w:val="00053C06"/>
    <w:rsid w:val="00053D4D"/>
    <w:rsid w:val="00053FE3"/>
    <w:rsid w:val="0005501E"/>
    <w:rsid w:val="00055219"/>
    <w:rsid w:val="000552C5"/>
    <w:rsid w:val="00055ACD"/>
    <w:rsid w:val="0005651D"/>
    <w:rsid w:val="0005678B"/>
    <w:rsid w:val="00056F27"/>
    <w:rsid w:val="00057094"/>
    <w:rsid w:val="000573AF"/>
    <w:rsid w:val="00057FEA"/>
    <w:rsid w:val="00060D18"/>
    <w:rsid w:val="000611AA"/>
    <w:rsid w:val="0006169E"/>
    <w:rsid w:val="0006238C"/>
    <w:rsid w:val="000626FD"/>
    <w:rsid w:val="00062B24"/>
    <w:rsid w:val="00063CED"/>
    <w:rsid w:val="00063EB6"/>
    <w:rsid w:val="00063FFE"/>
    <w:rsid w:val="0006432B"/>
    <w:rsid w:val="00064BE5"/>
    <w:rsid w:val="000653D4"/>
    <w:rsid w:val="000675D0"/>
    <w:rsid w:val="00070E3E"/>
    <w:rsid w:val="00071B0E"/>
    <w:rsid w:val="00071C35"/>
    <w:rsid w:val="0007238C"/>
    <w:rsid w:val="00074294"/>
    <w:rsid w:val="00075F50"/>
    <w:rsid w:val="000763EE"/>
    <w:rsid w:val="000766A4"/>
    <w:rsid w:val="00077DA1"/>
    <w:rsid w:val="00077F17"/>
    <w:rsid w:val="00080063"/>
    <w:rsid w:val="000808EB"/>
    <w:rsid w:val="00080D77"/>
    <w:rsid w:val="000813CB"/>
    <w:rsid w:val="00081550"/>
    <w:rsid w:val="00081C07"/>
    <w:rsid w:val="00081D40"/>
    <w:rsid w:val="000822E3"/>
    <w:rsid w:val="0008261D"/>
    <w:rsid w:val="000828D2"/>
    <w:rsid w:val="00082ADC"/>
    <w:rsid w:val="00083415"/>
    <w:rsid w:val="00083ADA"/>
    <w:rsid w:val="0008435D"/>
    <w:rsid w:val="00084E7D"/>
    <w:rsid w:val="0008558C"/>
    <w:rsid w:val="00085BA7"/>
    <w:rsid w:val="00085D72"/>
    <w:rsid w:val="00085F13"/>
    <w:rsid w:val="0009013B"/>
    <w:rsid w:val="00090283"/>
    <w:rsid w:val="00091A44"/>
    <w:rsid w:val="00091CC0"/>
    <w:rsid w:val="00091D1C"/>
    <w:rsid w:val="00091FEB"/>
    <w:rsid w:val="000932A5"/>
    <w:rsid w:val="000936DE"/>
    <w:rsid w:val="00094B74"/>
    <w:rsid w:val="00095553"/>
    <w:rsid w:val="00095AB6"/>
    <w:rsid w:val="00096B09"/>
    <w:rsid w:val="00096F0B"/>
    <w:rsid w:val="00097746"/>
    <w:rsid w:val="0009781F"/>
    <w:rsid w:val="00097AFC"/>
    <w:rsid w:val="000A0145"/>
    <w:rsid w:val="000A0AFB"/>
    <w:rsid w:val="000A121F"/>
    <w:rsid w:val="000A28D4"/>
    <w:rsid w:val="000A2EB4"/>
    <w:rsid w:val="000A35E6"/>
    <w:rsid w:val="000A3DA3"/>
    <w:rsid w:val="000A4035"/>
    <w:rsid w:val="000A53B7"/>
    <w:rsid w:val="000A63C6"/>
    <w:rsid w:val="000A7091"/>
    <w:rsid w:val="000A7617"/>
    <w:rsid w:val="000A79BF"/>
    <w:rsid w:val="000B090F"/>
    <w:rsid w:val="000B1D4E"/>
    <w:rsid w:val="000B2694"/>
    <w:rsid w:val="000B32E9"/>
    <w:rsid w:val="000B3845"/>
    <w:rsid w:val="000B3A1F"/>
    <w:rsid w:val="000B3E81"/>
    <w:rsid w:val="000B4630"/>
    <w:rsid w:val="000B497F"/>
    <w:rsid w:val="000B4B76"/>
    <w:rsid w:val="000B60E8"/>
    <w:rsid w:val="000B62ED"/>
    <w:rsid w:val="000B6A8A"/>
    <w:rsid w:val="000B6E9C"/>
    <w:rsid w:val="000B710D"/>
    <w:rsid w:val="000B7558"/>
    <w:rsid w:val="000B7C93"/>
    <w:rsid w:val="000B7E9C"/>
    <w:rsid w:val="000C04DC"/>
    <w:rsid w:val="000C0D98"/>
    <w:rsid w:val="000C0E2D"/>
    <w:rsid w:val="000C28D9"/>
    <w:rsid w:val="000C2CB3"/>
    <w:rsid w:val="000C2FC6"/>
    <w:rsid w:val="000C3467"/>
    <w:rsid w:val="000C35A8"/>
    <w:rsid w:val="000C3F9F"/>
    <w:rsid w:val="000C4A93"/>
    <w:rsid w:val="000C4DB5"/>
    <w:rsid w:val="000C7877"/>
    <w:rsid w:val="000D12EC"/>
    <w:rsid w:val="000D25E6"/>
    <w:rsid w:val="000D2B69"/>
    <w:rsid w:val="000D34CE"/>
    <w:rsid w:val="000D3BB9"/>
    <w:rsid w:val="000D58B9"/>
    <w:rsid w:val="000D598F"/>
    <w:rsid w:val="000D59F7"/>
    <w:rsid w:val="000D5B3C"/>
    <w:rsid w:val="000D5D61"/>
    <w:rsid w:val="000D7444"/>
    <w:rsid w:val="000D7E67"/>
    <w:rsid w:val="000E0C43"/>
    <w:rsid w:val="000E0C50"/>
    <w:rsid w:val="000E16F9"/>
    <w:rsid w:val="000E2431"/>
    <w:rsid w:val="000E29B4"/>
    <w:rsid w:val="000E2B33"/>
    <w:rsid w:val="000E2E4F"/>
    <w:rsid w:val="000E3335"/>
    <w:rsid w:val="000E5071"/>
    <w:rsid w:val="000E65F7"/>
    <w:rsid w:val="000E6B67"/>
    <w:rsid w:val="000E7517"/>
    <w:rsid w:val="000E77C9"/>
    <w:rsid w:val="000E7D58"/>
    <w:rsid w:val="000F0196"/>
    <w:rsid w:val="000F084F"/>
    <w:rsid w:val="000F1345"/>
    <w:rsid w:val="000F1AA3"/>
    <w:rsid w:val="000F1F6E"/>
    <w:rsid w:val="000F2659"/>
    <w:rsid w:val="000F2C22"/>
    <w:rsid w:val="000F34FC"/>
    <w:rsid w:val="000F3952"/>
    <w:rsid w:val="000F3AAD"/>
    <w:rsid w:val="000F3F07"/>
    <w:rsid w:val="000F4294"/>
    <w:rsid w:val="000F43EA"/>
    <w:rsid w:val="000F530E"/>
    <w:rsid w:val="000F58CA"/>
    <w:rsid w:val="000F6118"/>
    <w:rsid w:val="000F624C"/>
    <w:rsid w:val="000F73A1"/>
    <w:rsid w:val="000F7AE7"/>
    <w:rsid w:val="000F7D5C"/>
    <w:rsid w:val="001001B9"/>
    <w:rsid w:val="00102254"/>
    <w:rsid w:val="001037F2"/>
    <w:rsid w:val="001038EB"/>
    <w:rsid w:val="0010544F"/>
    <w:rsid w:val="00105DCA"/>
    <w:rsid w:val="00105DDF"/>
    <w:rsid w:val="001060D9"/>
    <w:rsid w:val="00106792"/>
    <w:rsid w:val="00106A38"/>
    <w:rsid w:val="00106BA9"/>
    <w:rsid w:val="00106DED"/>
    <w:rsid w:val="0010702C"/>
    <w:rsid w:val="0010725E"/>
    <w:rsid w:val="001079FE"/>
    <w:rsid w:val="00110970"/>
    <w:rsid w:val="00111041"/>
    <w:rsid w:val="00111167"/>
    <w:rsid w:val="001112E1"/>
    <w:rsid w:val="00111568"/>
    <w:rsid w:val="0011174F"/>
    <w:rsid w:val="00111CBD"/>
    <w:rsid w:val="00111DE4"/>
    <w:rsid w:val="00112001"/>
    <w:rsid w:val="001120C0"/>
    <w:rsid w:val="00112C27"/>
    <w:rsid w:val="00112F79"/>
    <w:rsid w:val="001133AD"/>
    <w:rsid w:val="00113CB4"/>
    <w:rsid w:val="0011445D"/>
    <w:rsid w:val="001148C8"/>
    <w:rsid w:val="00114F57"/>
    <w:rsid w:val="001150BF"/>
    <w:rsid w:val="00115C70"/>
    <w:rsid w:val="00115EB0"/>
    <w:rsid w:val="00116273"/>
    <w:rsid w:val="0011653B"/>
    <w:rsid w:val="001168E0"/>
    <w:rsid w:val="001168F2"/>
    <w:rsid w:val="0011774D"/>
    <w:rsid w:val="00120207"/>
    <w:rsid w:val="001203D5"/>
    <w:rsid w:val="00121382"/>
    <w:rsid w:val="001215AA"/>
    <w:rsid w:val="00122510"/>
    <w:rsid w:val="001233DC"/>
    <w:rsid w:val="00123494"/>
    <w:rsid w:val="00123C1B"/>
    <w:rsid w:val="00123E02"/>
    <w:rsid w:val="00123EF5"/>
    <w:rsid w:val="001249EA"/>
    <w:rsid w:val="00125E3C"/>
    <w:rsid w:val="00125F33"/>
    <w:rsid w:val="00126237"/>
    <w:rsid w:val="00127363"/>
    <w:rsid w:val="00127974"/>
    <w:rsid w:val="00130B17"/>
    <w:rsid w:val="001330E1"/>
    <w:rsid w:val="00133B60"/>
    <w:rsid w:val="00133C0B"/>
    <w:rsid w:val="00133E7E"/>
    <w:rsid w:val="0013408E"/>
    <w:rsid w:val="0013456F"/>
    <w:rsid w:val="00134A65"/>
    <w:rsid w:val="00134B92"/>
    <w:rsid w:val="001350DC"/>
    <w:rsid w:val="00135A78"/>
    <w:rsid w:val="001366D0"/>
    <w:rsid w:val="00136DC1"/>
    <w:rsid w:val="001371F5"/>
    <w:rsid w:val="0014026F"/>
    <w:rsid w:val="00140F96"/>
    <w:rsid w:val="0014191D"/>
    <w:rsid w:val="00141FBD"/>
    <w:rsid w:val="00142072"/>
    <w:rsid w:val="00142DEF"/>
    <w:rsid w:val="00143825"/>
    <w:rsid w:val="00143FCB"/>
    <w:rsid w:val="001448E0"/>
    <w:rsid w:val="00145258"/>
    <w:rsid w:val="00145627"/>
    <w:rsid w:val="00146589"/>
    <w:rsid w:val="00146A41"/>
    <w:rsid w:val="00146E1A"/>
    <w:rsid w:val="00146FFF"/>
    <w:rsid w:val="0014770D"/>
    <w:rsid w:val="001479EE"/>
    <w:rsid w:val="00150E33"/>
    <w:rsid w:val="00151679"/>
    <w:rsid w:val="001526C9"/>
    <w:rsid w:val="0015272F"/>
    <w:rsid w:val="0015318E"/>
    <w:rsid w:val="00153DB5"/>
    <w:rsid w:val="001549D2"/>
    <w:rsid w:val="00155154"/>
    <w:rsid w:val="00155A7E"/>
    <w:rsid w:val="00155BCB"/>
    <w:rsid w:val="001560A0"/>
    <w:rsid w:val="00156DF1"/>
    <w:rsid w:val="001577A1"/>
    <w:rsid w:val="001600DF"/>
    <w:rsid w:val="00160173"/>
    <w:rsid w:val="0016052D"/>
    <w:rsid w:val="00161B7C"/>
    <w:rsid w:val="00161ECB"/>
    <w:rsid w:val="0016245B"/>
    <w:rsid w:val="001639A1"/>
    <w:rsid w:val="00163C70"/>
    <w:rsid w:val="00163C79"/>
    <w:rsid w:val="00163D92"/>
    <w:rsid w:val="00164144"/>
    <w:rsid w:val="00165040"/>
    <w:rsid w:val="0016563C"/>
    <w:rsid w:val="0016570E"/>
    <w:rsid w:val="0016577C"/>
    <w:rsid w:val="001666E3"/>
    <w:rsid w:val="00167AF2"/>
    <w:rsid w:val="00171D33"/>
    <w:rsid w:val="00171E64"/>
    <w:rsid w:val="00172ADE"/>
    <w:rsid w:val="00173E1C"/>
    <w:rsid w:val="001746D8"/>
    <w:rsid w:val="001748DB"/>
    <w:rsid w:val="0017505D"/>
    <w:rsid w:val="00175703"/>
    <w:rsid w:val="001758DE"/>
    <w:rsid w:val="001761D1"/>
    <w:rsid w:val="00176D25"/>
    <w:rsid w:val="00177E55"/>
    <w:rsid w:val="00180710"/>
    <w:rsid w:val="00180D3C"/>
    <w:rsid w:val="00183124"/>
    <w:rsid w:val="00183185"/>
    <w:rsid w:val="0018342E"/>
    <w:rsid w:val="001840C2"/>
    <w:rsid w:val="0018422E"/>
    <w:rsid w:val="001846A1"/>
    <w:rsid w:val="0018496C"/>
    <w:rsid w:val="00184B46"/>
    <w:rsid w:val="00184EA4"/>
    <w:rsid w:val="00185939"/>
    <w:rsid w:val="00186680"/>
    <w:rsid w:val="00186D8B"/>
    <w:rsid w:val="001876F6"/>
    <w:rsid w:val="00187FFC"/>
    <w:rsid w:val="0019062D"/>
    <w:rsid w:val="001906BE"/>
    <w:rsid w:val="00190A1A"/>
    <w:rsid w:val="00191AD1"/>
    <w:rsid w:val="00191E23"/>
    <w:rsid w:val="0019251C"/>
    <w:rsid w:val="001926A0"/>
    <w:rsid w:val="00193E25"/>
    <w:rsid w:val="00194BF8"/>
    <w:rsid w:val="001953B1"/>
    <w:rsid w:val="001957AA"/>
    <w:rsid w:val="001963C0"/>
    <w:rsid w:val="00197956"/>
    <w:rsid w:val="001A042D"/>
    <w:rsid w:val="001A09E7"/>
    <w:rsid w:val="001A155E"/>
    <w:rsid w:val="001A15AE"/>
    <w:rsid w:val="001A2F21"/>
    <w:rsid w:val="001A4193"/>
    <w:rsid w:val="001A446E"/>
    <w:rsid w:val="001A564C"/>
    <w:rsid w:val="001A5B24"/>
    <w:rsid w:val="001A61E3"/>
    <w:rsid w:val="001A6343"/>
    <w:rsid w:val="001A7F6A"/>
    <w:rsid w:val="001B17A8"/>
    <w:rsid w:val="001B1B9A"/>
    <w:rsid w:val="001B2BBC"/>
    <w:rsid w:val="001B388E"/>
    <w:rsid w:val="001B47A4"/>
    <w:rsid w:val="001B4928"/>
    <w:rsid w:val="001B53CE"/>
    <w:rsid w:val="001B551B"/>
    <w:rsid w:val="001B61A7"/>
    <w:rsid w:val="001B63C6"/>
    <w:rsid w:val="001B63D6"/>
    <w:rsid w:val="001B6E59"/>
    <w:rsid w:val="001B7619"/>
    <w:rsid w:val="001B7B31"/>
    <w:rsid w:val="001C0EA8"/>
    <w:rsid w:val="001C1307"/>
    <w:rsid w:val="001C14C1"/>
    <w:rsid w:val="001C2FD9"/>
    <w:rsid w:val="001C48D4"/>
    <w:rsid w:val="001C54AA"/>
    <w:rsid w:val="001C62BE"/>
    <w:rsid w:val="001C6A1C"/>
    <w:rsid w:val="001C6DC7"/>
    <w:rsid w:val="001C7C93"/>
    <w:rsid w:val="001C7D5C"/>
    <w:rsid w:val="001D0A51"/>
    <w:rsid w:val="001D0CBD"/>
    <w:rsid w:val="001D140C"/>
    <w:rsid w:val="001D1A39"/>
    <w:rsid w:val="001D36CD"/>
    <w:rsid w:val="001D3932"/>
    <w:rsid w:val="001D4684"/>
    <w:rsid w:val="001D4DE6"/>
    <w:rsid w:val="001D4F49"/>
    <w:rsid w:val="001D5542"/>
    <w:rsid w:val="001D57CB"/>
    <w:rsid w:val="001D5EFA"/>
    <w:rsid w:val="001D6082"/>
    <w:rsid w:val="001D63A8"/>
    <w:rsid w:val="001D6DD8"/>
    <w:rsid w:val="001D7982"/>
    <w:rsid w:val="001D7994"/>
    <w:rsid w:val="001D7EC1"/>
    <w:rsid w:val="001E1B21"/>
    <w:rsid w:val="001E1D3D"/>
    <w:rsid w:val="001E2A5B"/>
    <w:rsid w:val="001E2ECD"/>
    <w:rsid w:val="001E3B32"/>
    <w:rsid w:val="001E47D1"/>
    <w:rsid w:val="001E48A5"/>
    <w:rsid w:val="001E4D8D"/>
    <w:rsid w:val="001E57D8"/>
    <w:rsid w:val="001E5C47"/>
    <w:rsid w:val="001E6A64"/>
    <w:rsid w:val="001E75C5"/>
    <w:rsid w:val="001F039C"/>
    <w:rsid w:val="001F054A"/>
    <w:rsid w:val="001F0AEF"/>
    <w:rsid w:val="001F1104"/>
    <w:rsid w:val="001F1C99"/>
    <w:rsid w:val="001F2774"/>
    <w:rsid w:val="001F3256"/>
    <w:rsid w:val="001F3A02"/>
    <w:rsid w:val="001F3F2A"/>
    <w:rsid w:val="001F3FE1"/>
    <w:rsid w:val="001F4910"/>
    <w:rsid w:val="001F5FD6"/>
    <w:rsid w:val="001F69C2"/>
    <w:rsid w:val="00200546"/>
    <w:rsid w:val="002026A6"/>
    <w:rsid w:val="00203959"/>
    <w:rsid w:val="00204513"/>
    <w:rsid w:val="002048D1"/>
    <w:rsid w:val="0020530E"/>
    <w:rsid w:val="002069BF"/>
    <w:rsid w:val="002079CB"/>
    <w:rsid w:val="002079E2"/>
    <w:rsid w:val="00207BEB"/>
    <w:rsid w:val="00210377"/>
    <w:rsid w:val="0021096E"/>
    <w:rsid w:val="00210DE8"/>
    <w:rsid w:val="002116EE"/>
    <w:rsid w:val="00211D32"/>
    <w:rsid w:val="00211D73"/>
    <w:rsid w:val="002120F2"/>
    <w:rsid w:val="00212A3E"/>
    <w:rsid w:val="00212AFB"/>
    <w:rsid w:val="002133F8"/>
    <w:rsid w:val="00214BF2"/>
    <w:rsid w:val="0021557C"/>
    <w:rsid w:val="00215A7F"/>
    <w:rsid w:val="00215C8E"/>
    <w:rsid w:val="0021631D"/>
    <w:rsid w:val="0021648F"/>
    <w:rsid w:val="00216522"/>
    <w:rsid w:val="0021658B"/>
    <w:rsid w:val="002168A0"/>
    <w:rsid w:val="00216924"/>
    <w:rsid w:val="00216BCF"/>
    <w:rsid w:val="002171A4"/>
    <w:rsid w:val="002179CC"/>
    <w:rsid w:val="002206F6"/>
    <w:rsid w:val="00221C04"/>
    <w:rsid w:val="00221D19"/>
    <w:rsid w:val="00222CBE"/>
    <w:rsid w:val="00222DA7"/>
    <w:rsid w:val="002232EF"/>
    <w:rsid w:val="002236C7"/>
    <w:rsid w:val="00223BD4"/>
    <w:rsid w:val="00225688"/>
    <w:rsid w:val="00225C44"/>
    <w:rsid w:val="0022666B"/>
    <w:rsid w:val="0022734D"/>
    <w:rsid w:val="00230AC4"/>
    <w:rsid w:val="00230CC8"/>
    <w:rsid w:val="0023118A"/>
    <w:rsid w:val="00231C72"/>
    <w:rsid w:val="00232A6A"/>
    <w:rsid w:val="00232ECF"/>
    <w:rsid w:val="0023447F"/>
    <w:rsid w:val="002345DE"/>
    <w:rsid w:val="002350B3"/>
    <w:rsid w:val="00235E23"/>
    <w:rsid w:val="00235FD7"/>
    <w:rsid w:val="002362CD"/>
    <w:rsid w:val="002367A2"/>
    <w:rsid w:val="002369C7"/>
    <w:rsid w:val="0023798E"/>
    <w:rsid w:val="00237A4C"/>
    <w:rsid w:val="00237B8A"/>
    <w:rsid w:val="002405AF"/>
    <w:rsid w:val="00240DC3"/>
    <w:rsid w:val="00240E4E"/>
    <w:rsid w:val="00241328"/>
    <w:rsid w:val="002419F4"/>
    <w:rsid w:val="00241C7B"/>
    <w:rsid w:val="0024203B"/>
    <w:rsid w:val="0024239F"/>
    <w:rsid w:val="00242EE4"/>
    <w:rsid w:val="00243BC0"/>
    <w:rsid w:val="0024462E"/>
    <w:rsid w:val="00245C27"/>
    <w:rsid w:val="00245EFF"/>
    <w:rsid w:val="002474FA"/>
    <w:rsid w:val="00247504"/>
    <w:rsid w:val="0024795A"/>
    <w:rsid w:val="00247F0F"/>
    <w:rsid w:val="00247F24"/>
    <w:rsid w:val="0025084B"/>
    <w:rsid w:val="00250A58"/>
    <w:rsid w:val="00250DA8"/>
    <w:rsid w:val="00251522"/>
    <w:rsid w:val="002515D4"/>
    <w:rsid w:val="00252B53"/>
    <w:rsid w:val="00253493"/>
    <w:rsid w:val="00253E4F"/>
    <w:rsid w:val="00254918"/>
    <w:rsid w:val="0025591B"/>
    <w:rsid w:val="002573B6"/>
    <w:rsid w:val="00257AFB"/>
    <w:rsid w:val="00257BB2"/>
    <w:rsid w:val="002602E4"/>
    <w:rsid w:val="00260A26"/>
    <w:rsid w:val="0026119D"/>
    <w:rsid w:val="00261FEC"/>
    <w:rsid w:val="002624D8"/>
    <w:rsid w:val="0026293D"/>
    <w:rsid w:val="002631F7"/>
    <w:rsid w:val="002641F6"/>
    <w:rsid w:val="00264BF5"/>
    <w:rsid w:val="0026568A"/>
    <w:rsid w:val="00265732"/>
    <w:rsid w:val="00265982"/>
    <w:rsid w:val="00270154"/>
    <w:rsid w:val="002703AA"/>
    <w:rsid w:val="002704BE"/>
    <w:rsid w:val="0027118E"/>
    <w:rsid w:val="00271F70"/>
    <w:rsid w:val="002727BE"/>
    <w:rsid w:val="00272B78"/>
    <w:rsid w:val="00273199"/>
    <w:rsid w:val="002738AE"/>
    <w:rsid w:val="002739FD"/>
    <w:rsid w:val="00273AEF"/>
    <w:rsid w:val="00273FDB"/>
    <w:rsid w:val="0027408B"/>
    <w:rsid w:val="00274364"/>
    <w:rsid w:val="00274C2E"/>
    <w:rsid w:val="00276B56"/>
    <w:rsid w:val="00276F13"/>
    <w:rsid w:val="00277D3B"/>
    <w:rsid w:val="0028080C"/>
    <w:rsid w:val="00280DC7"/>
    <w:rsid w:val="00280F46"/>
    <w:rsid w:val="00281731"/>
    <w:rsid w:val="002819FD"/>
    <w:rsid w:val="00281B32"/>
    <w:rsid w:val="00282089"/>
    <w:rsid w:val="00282A24"/>
    <w:rsid w:val="00282BEF"/>
    <w:rsid w:val="002831A2"/>
    <w:rsid w:val="00283E5D"/>
    <w:rsid w:val="00284BF9"/>
    <w:rsid w:val="0028583A"/>
    <w:rsid w:val="00286419"/>
    <w:rsid w:val="002871FB"/>
    <w:rsid w:val="00287368"/>
    <w:rsid w:val="00287873"/>
    <w:rsid w:val="0029061D"/>
    <w:rsid w:val="0029098D"/>
    <w:rsid w:val="002916CC"/>
    <w:rsid w:val="00291D51"/>
    <w:rsid w:val="00291DBB"/>
    <w:rsid w:val="00292705"/>
    <w:rsid w:val="0029278C"/>
    <w:rsid w:val="00292E65"/>
    <w:rsid w:val="0029340C"/>
    <w:rsid w:val="002935E4"/>
    <w:rsid w:val="00294A1A"/>
    <w:rsid w:val="002959F2"/>
    <w:rsid w:val="0029697C"/>
    <w:rsid w:val="002977A5"/>
    <w:rsid w:val="002979F1"/>
    <w:rsid w:val="00297F46"/>
    <w:rsid w:val="002A13E1"/>
    <w:rsid w:val="002A2AD0"/>
    <w:rsid w:val="002A3248"/>
    <w:rsid w:val="002A5218"/>
    <w:rsid w:val="002A6049"/>
    <w:rsid w:val="002A6205"/>
    <w:rsid w:val="002A66FF"/>
    <w:rsid w:val="002A7028"/>
    <w:rsid w:val="002A7065"/>
    <w:rsid w:val="002A70C2"/>
    <w:rsid w:val="002A7A0D"/>
    <w:rsid w:val="002A7E23"/>
    <w:rsid w:val="002B0846"/>
    <w:rsid w:val="002B1304"/>
    <w:rsid w:val="002B1CE2"/>
    <w:rsid w:val="002B1F85"/>
    <w:rsid w:val="002B2352"/>
    <w:rsid w:val="002B2ADB"/>
    <w:rsid w:val="002B302D"/>
    <w:rsid w:val="002B3A26"/>
    <w:rsid w:val="002B4121"/>
    <w:rsid w:val="002B47DF"/>
    <w:rsid w:val="002B5800"/>
    <w:rsid w:val="002B7934"/>
    <w:rsid w:val="002C00BC"/>
    <w:rsid w:val="002C0D77"/>
    <w:rsid w:val="002C0EE4"/>
    <w:rsid w:val="002C1E07"/>
    <w:rsid w:val="002C2899"/>
    <w:rsid w:val="002C5981"/>
    <w:rsid w:val="002C5CE2"/>
    <w:rsid w:val="002C5E12"/>
    <w:rsid w:val="002C6C2A"/>
    <w:rsid w:val="002C7C4F"/>
    <w:rsid w:val="002D0410"/>
    <w:rsid w:val="002D0899"/>
    <w:rsid w:val="002D1707"/>
    <w:rsid w:val="002D17E2"/>
    <w:rsid w:val="002D25F3"/>
    <w:rsid w:val="002D3414"/>
    <w:rsid w:val="002D3B00"/>
    <w:rsid w:val="002D3B93"/>
    <w:rsid w:val="002D3F5B"/>
    <w:rsid w:val="002D45D4"/>
    <w:rsid w:val="002D6F65"/>
    <w:rsid w:val="002E038A"/>
    <w:rsid w:val="002E0EC8"/>
    <w:rsid w:val="002E169B"/>
    <w:rsid w:val="002E278F"/>
    <w:rsid w:val="002E3B4D"/>
    <w:rsid w:val="002E3F58"/>
    <w:rsid w:val="002E4983"/>
    <w:rsid w:val="002E5D12"/>
    <w:rsid w:val="002E5FE2"/>
    <w:rsid w:val="002E5FE5"/>
    <w:rsid w:val="002E6894"/>
    <w:rsid w:val="002E69F7"/>
    <w:rsid w:val="002E6D95"/>
    <w:rsid w:val="002E6F29"/>
    <w:rsid w:val="002E74E6"/>
    <w:rsid w:val="002F0522"/>
    <w:rsid w:val="002F0734"/>
    <w:rsid w:val="002F0A36"/>
    <w:rsid w:val="002F1957"/>
    <w:rsid w:val="002F24F0"/>
    <w:rsid w:val="002F2D16"/>
    <w:rsid w:val="002F3D1E"/>
    <w:rsid w:val="002F421B"/>
    <w:rsid w:val="002F4286"/>
    <w:rsid w:val="002F50E8"/>
    <w:rsid w:val="002F5861"/>
    <w:rsid w:val="002F6EF3"/>
    <w:rsid w:val="002F7054"/>
    <w:rsid w:val="002F7767"/>
    <w:rsid w:val="00300E7C"/>
    <w:rsid w:val="00301415"/>
    <w:rsid w:val="00301975"/>
    <w:rsid w:val="003019C7"/>
    <w:rsid w:val="00304815"/>
    <w:rsid w:val="00304D39"/>
    <w:rsid w:val="00305423"/>
    <w:rsid w:val="0030542C"/>
    <w:rsid w:val="003060F5"/>
    <w:rsid w:val="0030751F"/>
    <w:rsid w:val="00310418"/>
    <w:rsid w:val="00310E96"/>
    <w:rsid w:val="00311493"/>
    <w:rsid w:val="0031171D"/>
    <w:rsid w:val="003119EB"/>
    <w:rsid w:val="00311E3C"/>
    <w:rsid w:val="003126C9"/>
    <w:rsid w:val="00312ACD"/>
    <w:rsid w:val="00312D69"/>
    <w:rsid w:val="00312FFC"/>
    <w:rsid w:val="00314C30"/>
    <w:rsid w:val="00314C3B"/>
    <w:rsid w:val="003150BF"/>
    <w:rsid w:val="003150CE"/>
    <w:rsid w:val="0031543E"/>
    <w:rsid w:val="003159B2"/>
    <w:rsid w:val="00315E92"/>
    <w:rsid w:val="003163EE"/>
    <w:rsid w:val="003200B7"/>
    <w:rsid w:val="00320AFC"/>
    <w:rsid w:val="00320F7A"/>
    <w:rsid w:val="00321294"/>
    <w:rsid w:val="0032161C"/>
    <w:rsid w:val="003217F3"/>
    <w:rsid w:val="00321D0E"/>
    <w:rsid w:val="003220A3"/>
    <w:rsid w:val="00322408"/>
    <w:rsid w:val="00323996"/>
    <w:rsid w:val="00323B9E"/>
    <w:rsid w:val="003266F2"/>
    <w:rsid w:val="00327620"/>
    <w:rsid w:val="00327E0B"/>
    <w:rsid w:val="00330804"/>
    <w:rsid w:val="00330B9D"/>
    <w:rsid w:val="003314F6"/>
    <w:rsid w:val="0033310F"/>
    <w:rsid w:val="00333568"/>
    <w:rsid w:val="00333754"/>
    <w:rsid w:val="003337CB"/>
    <w:rsid w:val="003341CA"/>
    <w:rsid w:val="00334A6B"/>
    <w:rsid w:val="003366B2"/>
    <w:rsid w:val="003374D1"/>
    <w:rsid w:val="00340066"/>
    <w:rsid w:val="00341120"/>
    <w:rsid w:val="003414C0"/>
    <w:rsid w:val="0034288B"/>
    <w:rsid w:val="003429F4"/>
    <w:rsid w:val="00342E1B"/>
    <w:rsid w:val="0034332B"/>
    <w:rsid w:val="00343F8C"/>
    <w:rsid w:val="00344242"/>
    <w:rsid w:val="00345B95"/>
    <w:rsid w:val="00345CED"/>
    <w:rsid w:val="00345F22"/>
    <w:rsid w:val="0034681C"/>
    <w:rsid w:val="00346F21"/>
    <w:rsid w:val="00347A66"/>
    <w:rsid w:val="00347AA8"/>
    <w:rsid w:val="003502C8"/>
    <w:rsid w:val="00350795"/>
    <w:rsid w:val="003508E9"/>
    <w:rsid w:val="00351ABA"/>
    <w:rsid w:val="00351DFB"/>
    <w:rsid w:val="00353291"/>
    <w:rsid w:val="0035410B"/>
    <w:rsid w:val="00354AC9"/>
    <w:rsid w:val="00354F7F"/>
    <w:rsid w:val="00355D55"/>
    <w:rsid w:val="00356E72"/>
    <w:rsid w:val="0035730E"/>
    <w:rsid w:val="003600A8"/>
    <w:rsid w:val="00361910"/>
    <w:rsid w:val="00361C18"/>
    <w:rsid w:val="003635A0"/>
    <w:rsid w:val="00363E14"/>
    <w:rsid w:val="003649D9"/>
    <w:rsid w:val="003651ED"/>
    <w:rsid w:val="00366252"/>
    <w:rsid w:val="00366524"/>
    <w:rsid w:val="0036662D"/>
    <w:rsid w:val="00367BB5"/>
    <w:rsid w:val="003705AF"/>
    <w:rsid w:val="00370640"/>
    <w:rsid w:val="0037256F"/>
    <w:rsid w:val="00372C5F"/>
    <w:rsid w:val="00373E58"/>
    <w:rsid w:val="00375037"/>
    <w:rsid w:val="0037515A"/>
    <w:rsid w:val="003754D5"/>
    <w:rsid w:val="003756A2"/>
    <w:rsid w:val="0037585D"/>
    <w:rsid w:val="003759DF"/>
    <w:rsid w:val="00376073"/>
    <w:rsid w:val="00376877"/>
    <w:rsid w:val="00377452"/>
    <w:rsid w:val="0037750D"/>
    <w:rsid w:val="0037754A"/>
    <w:rsid w:val="0037796F"/>
    <w:rsid w:val="003809C2"/>
    <w:rsid w:val="00381223"/>
    <w:rsid w:val="00381849"/>
    <w:rsid w:val="00381949"/>
    <w:rsid w:val="003823A0"/>
    <w:rsid w:val="00382969"/>
    <w:rsid w:val="00382FD9"/>
    <w:rsid w:val="003830F6"/>
    <w:rsid w:val="00383AA3"/>
    <w:rsid w:val="00383FCF"/>
    <w:rsid w:val="003846BE"/>
    <w:rsid w:val="00384F36"/>
    <w:rsid w:val="00385271"/>
    <w:rsid w:val="003855C2"/>
    <w:rsid w:val="00385FC7"/>
    <w:rsid w:val="0038759D"/>
    <w:rsid w:val="0038774E"/>
    <w:rsid w:val="00390D8D"/>
    <w:rsid w:val="003915D7"/>
    <w:rsid w:val="00391B23"/>
    <w:rsid w:val="0039226E"/>
    <w:rsid w:val="00392B33"/>
    <w:rsid w:val="00392CC8"/>
    <w:rsid w:val="00393759"/>
    <w:rsid w:val="003978E5"/>
    <w:rsid w:val="003A1E66"/>
    <w:rsid w:val="003A2017"/>
    <w:rsid w:val="003A21FD"/>
    <w:rsid w:val="003A3C68"/>
    <w:rsid w:val="003A4260"/>
    <w:rsid w:val="003A48CC"/>
    <w:rsid w:val="003A637B"/>
    <w:rsid w:val="003A6699"/>
    <w:rsid w:val="003A693D"/>
    <w:rsid w:val="003A6A01"/>
    <w:rsid w:val="003A6A42"/>
    <w:rsid w:val="003A6E4D"/>
    <w:rsid w:val="003A71A5"/>
    <w:rsid w:val="003A72EF"/>
    <w:rsid w:val="003B0F44"/>
    <w:rsid w:val="003B155A"/>
    <w:rsid w:val="003B2466"/>
    <w:rsid w:val="003B250C"/>
    <w:rsid w:val="003B379C"/>
    <w:rsid w:val="003B39C0"/>
    <w:rsid w:val="003B4513"/>
    <w:rsid w:val="003B4EED"/>
    <w:rsid w:val="003B5C8D"/>
    <w:rsid w:val="003B6032"/>
    <w:rsid w:val="003B6B2C"/>
    <w:rsid w:val="003B6C75"/>
    <w:rsid w:val="003B6FD7"/>
    <w:rsid w:val="003B7082"/>
    <w:rsid w:val="003C0595"/>
    <w:rsid w:val="003C0D29"/>
    <w:rsid w:val="003C11E9"/>
    <w:rsid w:val="003C1B91"/>
    <w:rsid w:val="003C2083"/>
    <w:rsid w:val="003C266A"/>
    <w:rsid w:val="003C333E"/>
    <w:rsid w:val="003C3719"/>
    <w:rsid w:val="003C3C49"/>
    <w:rsid w:val="003C4098"/>
    <w:rsid w:val="003C4E90"/>
    <w:rsid w:val="003C5244"/>
    <w:rsid w:val="003C5D15"/>
    <w:rsid w:val="003C602A"/>
    <w:rsid w:val="003C66AA"/>
    <w:rsid w:val="003C6979"/>
    <w:rsid w:val="003C6FDE"/>
    <w:rsid w:val="003C7D91"/>
    <w:rsid w:val="003D061A"/>
    <w:rsid w:val="003D081E"/>
    <w:rsid w:val="003D0CEF"/>
    <w:rsid w:val="003D1759"/>
    <w:rsid w:val="003D1896"/>
    <w:rsid w:val="003D3B14"/>
    <w:rsid w:val="003D4990"/>
    <w:rsid w:val="003D5123"/>
    <w:rsid w:val="003D530D"/>
    <w:rsid w:val="003D5381"/>
    <w:rsid w:val="003D5D47"/>
    <w:rsid w:val="003D5FDA"/>
    <w:rsid w:val="003D62F7"/>
    <w:rsid w:val="003D65A9"/>
    <w:rsid w:val="003D74E8"/>
    <w:rsid w:val="003D7720"/>
    <w:rsid w:val="003E008E"/>
    <w:rsid w:val="003E1035"/>
    <w:rsid w:val="003E146B"/>
    <w:rsid w:val="003E1688"/>
    <w:rsid w:val="003E17F2"/>
    <w:rsid w:val="003E19F7"/>
    <w:rsid w:val="003E1EB2"/>
    <w:rsid w:val="003E212C"/>
    <w:rsid w:val="003E3782"/>
    <w:rsid w:val="003E43F4"/>
    <w:rsid w:val="003E492C"/>
    <w:rsid w:val="003E4BB6"/>
    <w:rsid w:val="003E5A14"/>
    <w:rsid w:val="003E710D"/>
    <w:rsid w:val="003E722F"/>
    <w:rsid w:val="003E7A9C"/>
    <w:rsid w:val="003E7D6C"/>
    <w:rsid w:val="003F0E3A"/>
    <w:rsid w:val="003F134A"/>
    <w:rsid w:val="003F135E"/>
    <w:rsid w:val="003F1883"/>
    <w:rsid w:val="003F1C4F"/>
    <w:rsid w:val="003F328F"/>
    <w:rsid w:val="003F3D32"/>
    <w:rsid w:val="003F45C9"/>
    <w:rsid w:val="003F48E2"/>
    <w:rsid w:val="003F491F"/>
    <w:rsid w:val="003F531A"/>
    <w:rsid w:val="003F5528"/>
    <w:rsid w:val="003F68F4"/>
    <w:rsid w:val="003F6D7A"/>
    <w:rsid w:val="003F6DE0"/>
    <w:rsid w:val="003F708E"/>
    <w:rsid w:val="003F7C9E"/>
    <w:rsid w:val="004006EB"/>
    <w:rsid w:val="004010EB"/>
    <w:rsid w:val="00401A47"/>
    <w:rsid w:val="00401F68"/>
    <w:rsid w:val="004021E6"/>
    <w:rsid w:val="004025E8"/>
    <w:rsid w:val="00402768"/>
    <w:rsid w:val="00402BBA"/>
    <w:rsid w:val="00404C36"/>
    <w:rsid w:val="004050A3"/>
    <w:rsid w:val="0040567B"/>
    <w:rsid w:val="0040693C"/>
    <w:rsid w:val="00406EA1"/>
    <w:rsid w:val="00406F38"/>
    <w:rsid w:val="004107CA"/>
    <w:rsid w:val="00410E92"/>
    <w:rsid w:val="004111BC"/>
    <w:rsid w:val="004114CB"/>
    <w:rsid w:val="004118FE"/>
    <w:rsid w:val="00411B49"/>
    <w:rsid w:val="004125F4"/>
    <w:rsid w:val="004126D4"/>
    <w:rsid w:val="00412E1D"/>
    <w:rsid w:val="00412F0A"/>
    <w:rsid w:val="0041353A"/>
    <w:rsid w:val="00413C70"/>
    <w:rsid w:val="004141AA"/>
    <w:rsid w:val="00414703"/>
    <w:rsid w:val="00414A2F"/>
    <w:rsid w:val="00415751"/>
    <w:rsid w:val="00415D2B"/>
    <w:rsid w:val="00416C0A"/>
    <w:rsid w:val="00416EE3"/>
    <w:rsid w:val="00417495"/>
    <w:rsid w:val="00417C6C"/>
    <w:rsid w:val="00420DE3"/>
    <w:rsid w:val="00421941"/>
    <w:rsid w:val="00421DBC"/>
    <w:rsid w:val="00421EA1"/>
    <w:rsid w:val="00421F0F"/>
    <w:rsid w:val="00421FDA"/>
    <w:rsid w:val="00422695"/>
    <w:rsid w:val="004240F2"/>
    <w:rsid w:val="004249B4"/>
    <w:rsid w:val="00424DE2"/>
    <w:rsid w:val="00426538"/>
    <w:rsid w:val="0042669A"/>
    <w:rsid w:val="0042698B"/>
    <w:rsid w:val="004271E7"/>
    <w:rsid w:val="00430470"/>
    <w:rsid w:val="00431931"/>
    <w:rsid w:val="00431ECC"/>
    <w:rsid w:val="00432528"/>
    <w:rsid w:val="00432836"/>
    <w:rsid w:val="00432F26"/>
    <w:rsid w:val="004334A6"/>
    <w:rsid w:val="004335D7"/>
    <w:rsid w:val="00433807"/>
    <w:rsid w:val="00433841"/>
    <w:rsid w:val="00434238"/>
    <w:rsid w:val="004347A6"/>
    <w:rsid w:val="004355B6"/>
    <w:rsid w:val="00435D89"/>
    <w:rsid w:val="00436115"/>
    <w:rsid w:val="00436D60"/>
    <w:rsid w:val="004373D1"/>
    <w:rsid w:val="0043778D"/>
    <w:rsid w:val="00437A8A"/>
    <w:rsid w:val="00441399"/>
    <w:rsid w:val="004414EA"/>
    <w:rsid w:val="00442036"/>
    <w:rsid w:val="00442655"/>
    <w:rsid w:val="004435E4"/>
    <w:rsid w:val="00443706"/>
    <w:rsid w:val="00443CF4"/>
    <w:rsid w:val="00443EED"/>
    <w:rsid w:val="0044419E"/>
    <w:rsid w:val="00444996"/>
    <w:rsid w:val="0044535A"/>
    <w:rsid w:val="004454C2"/>
    <w:rsid w:val="00445AD3"/>
    <w:rsid w:val="004463CF"/>
    <w:rsid w:val="00447347"/>
    <w:rsid w:val="00447798"/>
    <w:rsid w:val="00447C7B"/>
    <w:rsid w:val="00447F33"/>
    <w:rsid w:val="0045009F"/>
    <w:rsid w:val="00450A27"/>
    <w:rsid w:val="00451EC2"/>
    <w:rsid w:val="004528E3"/>
    <w:rsid w:val="0045315B"/>
    <w:rsid w:val="00453FF6"/>
    <w:rsid w:val="004543C9"/>
    <w:rsid w:val="004543D1"/>
    <w:rsid w:val="004547C2"/>
    <w:rsid w:val="00455B6F"/>
    <w:rsid w:val="004566B0"/>
    <w:rsid w:val="0046077C"/>
    <w:rsid w:val="0046135E"/>
    <w:rsid w:val="004613F3"/>
    <w:rsid w:val="00461A44"/>
    <w:rsid w:val="004627E3"/>
    <w:rsid w:val="00463058"/>
    <w:rsid w:val="00463357"/>
    <w:rsid w:val="00463A04"/>
    <w:rsid w:val="00463A9E"/>
    <w:rsid w:val="00464244"/>
    <w:rsid w:val="00464635"/>
    <w:rsid w:val="004648D8"/>
    <w:rsid w:val="00464C92"/>
    <w:rsid w:val="00464FE0"/>
    <w:rsid w:val="00465253"/>
    <w:rsid w:val="00465255"/>
    <w:rsid w:val="004658AA"/>
    <w:rsid w:val="00465AB6"/>
    <w:rsid w:val="0046626B"/>
    <w:rsid w:val="0046675C"/>
    <w:rsid w:val="00467251"/>
    <w:rsid w:val="004674D9"/>
    <w:rsid w:val="0047083B"/>
    <w:rsid w:val="00470A20"/>
    <w:rsid w:val="00471877"/>
    <w:rsid w:val="004721AB"/>
    <w:rsid w:val="004721D1"/>
    <w:rsid w:val="00473718"/>
    <w:rsid w:val="00473869"/>
    <w:rsid w:val="00473AB6"/>
    <w:rsid w:val="0047410E"/>
    <w:rsid w:val="00474432"/>
    <w:rsid w:val="004754F8"/>
    <w:rsid w:val="0047581D"/>
    <w:rsid w:val="00475B35"/>
    <w:rsid w:val="00475E76"/>
    <w:rsid w:val="00476FE5"/>
    <w:rsid w:val="004801E2"/>
    <w:rsid w:val="00480294"/>
    <w:rsid w:val="0048054A"/>
    <w:rsid w:val="004818E8"/>
    <w:rsid w:val="004820DC"/>
    <w:rsid w:val="004823C9"/>
    <w:rsid w:val="00482F67"/>
    <w:rsid w:val="00483006"/>
    <w:rsid w:val="00483EB9"/>
    <w:rsid w:val="004843B3"/>
    <w:rsid w:val="0048444D"/>
    <w:rsid w:val="004848AD"/>
    <w:rsid w:val="00484915"/>
    <w:rsid w:val="00484B41"/>
    <w:rsid w:val="004858FB"/>
    <w:rsid w:val="00485961"/>
    <w:rsid w:val="00485A8C"/>
    <w:rsid w:val="00485D42"/>
    <w:rsid w:val="00485E6E"/>
    <w:rsid w:val="004870C2"/>
    <w:rsid w:val="00487387"/>
    <w:rsid w:val="0048758E"/>
    <w:rsid w:val="00487807"/>
    <w:rsid w:val="00490684"/>
    <w:rsid w:val="004919FD"/>
    <w:rsid w:val="004925C4"/>
    <w:rsid w:val="00492C97"/>
    <w:rsid w:val="00493D02"/>
    <w:rsid w:val="00494053"/>
    <w:rsid w:val="00494313"/>
    <w:rsid w:val="004963B3"/>
    <w:rsid w:val="00496C9D"/>
    <w:rsid w:val="00497315"/>
    <w:rsid w:val="00497504"/>
    <w:rsid w:val="00497EF9"/>
    <w:rsid w:val="004A001B"/>
    <w:rsid w:val="004A0267"/>
    <w:rsid w:val="004A0AEB"/>
    <w:rsid w:val="004A132C"/>
    <w:rsid w:val="004A16FD"/>
    <w:rsid w:val="004A1EAA"/>
    <w:rsid w:val="004A3E01"/>
    <w:rsid w:val="004A4476"/>
    <w:rsid w:val="004A79CC"/>
    <w:rsid w:val="004B06ED"/>
    <w:rsid w:val="004B174A"/>
    <w:rsid w:val="004B23A7"/>
    <w:rsid w:val="004B26D9"/>
    <w:rsid w:val="004B2AC4"/>
    <w:rsid w:val="004B2B21"/>
    <w:rsid w:val="004B2C5E"/>
    <w:rsid w:val="004B4485"/>
    <w:rsid w:val="004B4CCE"/>
    <w:rsid w:val="004B4F30"/>
    <w:rsid w:val="004B5277"/>
    <w:rsid w:val="004B576F"/>
    <w:rsid w:val="004B57E7"/>
    <w:rsid w:val="004B638B"/>
    <w:rsid w:val="004B774B"/>
    <w:rsid w:val="004B7EB8"/>
    <w:rsid w:val="004C0370"/>
    <w:rsid w:val="004C1E5C"/>
    <w:rsid w:val="004C20A0"/>
    <w:rsid w:val="004C25E0"/>
    <w:rsid w:val="004C2B49"/>
    <w:rsid w:val="004C3238"/>
    <w:rsid w:val="004C4629"/>
    <w:rsid w:val="004C4B71"/>
    <w:rsid w:val="004C5501"/>
    <w:rsid w:val="004C55FB"/>
    <w:rsid w:val="004C5D13"/>
    <w:rsid w:val="004C70AF"/>
    <w:rsid w:val="004D01EA"/>
    <w:rsid w:val="004D0664"/>
    <w:rsid w:val="004D087E"/>
    <w:rsid w:val="004D19DB"/>
    <w:rsid w:val="004D1E2F"/>
    <w:rsid w:val="004D1E88"/>
    <w:rsid w:val="004D2864"/>
    <w:rsid w:val="004D2DAC"/>
    <w:rsid w:val="004D3CD7"/>
    <w:rsid w:val="004D4283"/>
    <w:rsid w:val="004D43B3"/>
    <w:rsid w:val="004D58DE"/>
    <w:rsid w:val="004D61BC"/>
    <w:rsid w:val="004D63E2"/>
    <w:rsid w:val="004E0672"/>
    <w:rsid w:val="004E1EE2"/>
    <w:rsid w:val="004E3F30"/>
    <w:rsid w:val="004E41EB"/>
    <w:rsid w:val="004E46F8"/>
    <w:rsid w:val="004E487F"/>
    <w:rsid w:val="004E50C8"/>
    <w:rsid w:val="004E5509"/>
    <w:rsid w:val="004E56CB"/>
    <w:rsid w:val="004E653E"/>
    <w:rsid w:val="004E65F5"/>
    <w:rsid w:val="004E6DE2"/>
    <w:rsid w:val="004E7020"/>
    <w:rsid w:val="004E7040"/>
    <w:rsid w:val="004E70ED"/>
    <w:rsid w:val="004F0AA2"/>
    <w:rsid w:val="004F104C"/>
    <w:rsid w:val="004F195C"/>
    <w:rsid w:val="004F22EC"/>
    <w:rsid w:val="004F2BFA"/>
    <w:rsid w:val="004F2D2C"/>
    <w:rsid w:val="004F2D77"/>
    <w:rsid w:val="004F3E28"/>
    <w:rsid w:val="004F3EEC"/>
    <w:rsid w:val="004F621F"/>
    <w:rsid w:val="004F6302"/>
    <w:rsid w:val="004F6A9E"/>
    <w:rsid w:val="004F6E58"/>
    <w:rsid w:val="00501BBB"/>
    <w:rsid w:val="00502C45"/>
    <w:rsid w:val="00502EAE"/>
    <w:rsid w:val="00503A1B"/>
    <w:rsid w:val="00504F5B"/>
    <w:rsid w:val="0050500F"/>
    <w:rsid w:val="00505279"/>
    <w:rsid w:val="005063E1"/>
    <w:rsid w:val="005065EC"/>
    <w:rsid w:val="00506F3B"/>
    <w:rsid w:val="0050745C"/>
    <w:rsid w:val="00507735"/>
    <w:rsid w:val="005079E3"/>
    <w:rsid w:val="00507CC5"/>
    <w:rsid w:val="00510D48"/>
    <w:rsid w:val="005111AD"/>
    <w:rsid w:val="00511D4D"/>
    <w:rsid w:val="00512A8B"/>
    <w:rsid w:val="00512EF1"/>
    <w:rsid w:val="0051386B"/>
    <w:rsid w:val="00513DDF"/>
    <w:rsid w:val="00514441"/>
    <w:rsid w:val="00516BBB"/>
    <w:rsid w:val="00516EC9"/>
    <w:rsid w:val="0051795F"/>
    <w:rsid w:val="0052115D"/>
    <w:rsid w:val="005211B4"/>
    <w:rsid w:val="00521620"/>
    <w:rsid w:val="0052177C"/>
    <w:rsid w:val="00521F92"/>
    <w:rsid w:val="00522C54"/>
    <w:rsid w:val="00523E83"/>
    <w:rsid w:val="005248BB"/>
    <w:rsid w:val="00524D67"/>
    <w:rsid w:val="00524D82"/>
    <w:rsid w:val="00525853"/>
    <w:rsid w:val="00527823"/>
    <w:rsid w:val="005306DB"/>
    <w:rsid w:val="005308A5"/>
    <w:rsid w:val="00530F7A"/>
    <w:rsid w:val="005314E9"/>
    <w:rsid w:val="005316F7"/>
    <w:rsid w:val="00531723"/>
    <w:rsid w:val="005320F8"/>
    <w:rsid w:val="0053275E"/>
    <w:rsid w:val="0053324F"/>
    <w:rsid w:val="0053338D"/>
    <w:rsid w:val="005344BF"/>
    <w:rsid w:val="0053506F"/>
    <w:rsid w:val="00535777"/>
    <w:rsid w:val="0053583B"/>
    <w:rsid w:val="005366D5"/>
    <w:rsid w:val="00536837"/>
    <w:rsid w:val="005370AC"/>
    <w:rsid w:val="005402D9"/>
    <w:rsid w:val="00541224"/>
    <w:rsid w:val="00541EF9"/>
    <w:rsid w:val="005431CF"/>
    <w:rsid w:val="005431E2"/>
    <w:rsid w:val="005437F0"/>
    <w:rsid w:val="005438E5"/>
    <w:rsid w:val="00543D0A"/>
    <w:rsid w:val="005441C2"/>
    <w:rsid w:val="005454F3"/>
    <w:rsid w:val="005455E5"/>
    <w:rsid w:val="0054681B"/>
    <w:rsid w:val="0054779A"/>
    <w:rsid w:val="00547BA1"/>
    <w:rsid w:val="00547BF3"/>
    <w:rsid w:val="0055005E"/>
    <w:rsid w:val="005506B4"/>
    <w:rsid w:val="00550CDF"/>
    <w:rsid w:val="00551B12"/>
    <w:rsid w:val="00551F72"/>
    <w:rsid w:val="005526A9"/>
    <w:rsid w:val="00552DC4"/>
    <w:rsid w:val="005531F7"/>
    <w:rsid w:val="005537DA"/>
    <w:rsid w:val="00553C53"/>
    <w:rsid w:val="00554056"/>
    <w:rsid w:val="005547E0"/>
    <w:rsid w:val="005551CA"/>
    <w:rsid w:val="0055556E"/>
    <w:rsid w:val="00555730"/>
    <w:rsid w:val="00556101"/>
    <w:rsid w:val="005568F4"/>
    <w:rsid w:val="00556F4D"/>
    <w:rsid w:val="00557CB1"/>
    <w:rsid w:val="00557FC2"/>
    <w:rsid w:val="0056091E"/>
    <w:rsid w:val="00561371"/>
    <w:rsid w:val="0056172D"/>
    <w:rsid w:val="005618A3"/>
    <w:rsid w:val="00562978"/>
    <w:rsid w:val="00562FE4"/>
    <w:rsid w:val="00563084"/>
    <w:rsid w:val="005635F3"/>
    <w:rsid w:val="00563F08"/>
    <w:rsid w:val="00563F31"/>
    <w:rsid w:val="00564010"/>
    <w:rsid w:val="0056411C"/>
    <w:rsid w:val="005642E9"/>
    <w:rsid w:val="0056599D"/>
    <w:rsid w:val="00565B4C"/>
    <w:rsid w:val="00565BAC"/>
    <w:rsid w:val="00565BD2"/>
    <w:rsid w:val="00565E77"/>
    <w:rsid w:val="005663FF"/>
    <w:rsid w:val="00566AF1"/>
    <w:rsid w:val="005677E5"/>
    <w:rsid w:val="00570A09"/>
    <w:rsid w:val="00570D24"/>
    <w:rsid w:val="00572270"/>
    <w:rsid w:val="00572A1A"/>
    <w:rsid w:val="00572C97"/>
    <w:rsid w:val="00573FC9"/>
    <w:rsid w:val="00574102"/>
    <w:rsid w:val="00574C1A"/>
    <w:rsid w:val="005805E7"/>
    <w:rsid w:val="00580EEB"/>
    <w:rsid w:val="00580FCF"/>
    <w:rsid w:val="0058162D"/>
    <w:rsid w:val="00581862"/>
    <w:rsid w:val="00582108"/>
    <w:rsid w:val="00582D2E"/>
    <w:rsid w:val="005830A5"/>
    <w:rsid w:val="00583673"/>
    <w:rsid w:val="00583B92"/>
    <w:rsid w:val="00583D08"/>
    <w:rsid w:val="005847FD"/>
    <w:rsid w:val="00584B57"/>
    <w:rsid w:val="005857FE"/>
    <w:rsid w:val="00586E63"/>
    <w:rsid w:val="00587BE7"/>
    <w:rsid w:val="00587CBC"/>
    <w:rsid w:val="00590D25"/>
    <w:rsid w:val="00590E42"/>
    <w:rsid w:val="00590EA4"/>
    <w:rsid w:val="00591716"/>
    <w:rsid w:val="00591A89"/>
    <w:rsid w:val="00592F15"/>
    <w:rsid w:val="00594983"/>
    <w:rsid w:val="005955C3"/>
    <w:rsid w:val="00595DF1"/>
    <w:rsid w:val="00596524"/>
    <w:rsid w:val="005973D4"/>
    <w:rsid w:val="00597593"/>
    <w:rsid w:val="00597D35"/>
    <w:rsid w:val="00597E60"/>
    <w:rsid w:val="005A0784"/>
    <w:rsid w:val="005A0DC1"/>
    <w:rsid w:val="005A0F0B"/>
    <w:rsid w:val="005A1921"/>
    <w:rsid w:val="005A1AB6"/>
    <w:rsid w:val="005A2764"/>
    <w:rsid w:val="005A2A71"/>
    <w:rsid w:val="005A2A8A"/>
    <w:rsid w:val="005A38AC"/>
    <w:rsid w:val="005A3A78"/>
    <w:rsid w:val="005A4A36"/>
    <w:rsid w:val="005A53AD"/>
    <w:rsid w:val="005A6D6D"/>
    <w:rsid w:val="005A7264"/>
    <w:rsid w:val="005A7B61"/>
    <w:rsid w:val="005B0786"/>
    <w:rsid w:val="005B1080"/>
    <w:rsid w:val="005B1601"/>
    <w:rsid w:val="005B1AB8"/>
    <w:rsid w:val="005B3095"/>
    <w:rsid w:val="005B3413"/>
    <w:rsid w:val="005B35C7"/>
    <w:rsid w:val="005B3737"/>
    <w:rsid w:val="005B4CFC"/>
    <w:rsid w:val="005B4FB6"/>
    <w:rsid w:val="005B553E"/>
    <w:rsid w:val="005B58B0"/>
    <w:rsid w:val="005B6D15"/>
    <w:rsid w:val="005B7051"/>
    <w:rsid w:val="005C0298"/>
    <w:rsid w:val="005C0769"/>
    <w:rsid w:val="005C0CEA"/>
    <w:rsid w:val="005C0FDE"/>
    <w:rsid w:val="005C1A8F"/>
    <w:rsid w:val="005C1E25"/>
    <w:rsid w:val="005C2525"/>
    <w:rsid w:val="005C2D4F"/>
    <w:rsid w:val="005C2F65"/>
    <w:rsid w:val="005C360A"/>
    <w:rsid w:val="005C4391"/>
    <w:rsid w:val="005C44A7"/>
    <w:rsid w:val="005C469E"/>
    <w:rsid w:val="005C4D54"/>
    <w:rsid w:val="005C51DD"/>
    <w:rsid w:val="005C5956"/>
    <w:rsid w:val="005C6616"/>
    <w:rsid w:val="005C7D24"/>
    <w:rsid w:val="005D03EF"/>
    <w:rsid w:val="005D10E6"/>
    <w:rsid w:val="005D1FF1"/>
    <w:rsid w:val="005D221C"/>
    <w:rsid w:val="005D2A43"/>
    <w:rsid w:val="005D310A"/>
    <w:rsid w:val="005D3C5C"/>
    <w:rsid w:val="005D3E0E"/>
    <w:rsid w:val="005D4105"/>
    <w:rsid w:val="005D449D"/>
    <w:rsid w:val="005D6EA0"/>
    <w:rsid w:val="005D6F4B"/>
    <w:rsid w:val="005D7349"/>
    <w:rsid w:val="005D74D5"/>
    <w:rsid w:val="005D7914"/>
    <w:rsid w:val="005D7B71"/>
    <w:rsid w:val="005D7BA0"/>
    <w:rsid w:val="005E1BDC"/>
    <w:rsid w:val="005E307E"/>
    <w:rsid w:val="005E32F8"/>
    <w:rsid w:val="005E437C"/>
    <w:rsid w:val="005E466D"/>
    <w:rsid w:val="005E5226"/>
    <w:rsid w:val="005E5562"/>
    <w:rsid w:val="005E6326"/>
    <w:rsid w:val="005E6F22"/>
    <w:rsid w:val="005E7B36"/>
    <w:rsid w:val="005F02E6"/>
    <w:rsid w:val="005F0BF6"/>
    <w:rsid w:val="005F10C0"/>
    <w:rsid w:val="005F10F1"/>
    <w:rsid w:val="005F16D7"/>
    <w:rsid w:val="005F1911"/>
    <w:rsid w:val="005F2067"/>
    <w:rsid w:val="005F22C8"/>
    <w:rsid w:val="005F2527"/>
    <w:rsid w:val="005F2CBA"/>
    <w:rsid w:val="005F30C9"/>
    <w:rsid w:val="005F3216"/>
    <w:rsid w:val="005F3B03"/>
    <w:rsid w:val="005F4884"/>
    <w:rsid w:val="005F4DFE"/>
    <w:rsid w:val="005F4EF9"/>
    <w:rsid w:val="005F6454"/>
    <w:rsid w:val="005F6903"/>
    <w:rsid w:val="005F6990"/>
    <w:rsid w:val="005F7079"/>
    <w:rsid w:val="005F7317"/>
    <w:rsid w:val="00600EE3"/>
    <w:rsid w:val="00601575"/>
    <w:rsid w:val="006015AE"/>
    <w:rsid w:val="006017B1"/>
    <w:rsid w:val="00601D93"/>
    <w:rsid w:val="00602033"/>
    <w:rsid w:val="00602C97"/>
    <w:rsid w:val="006039B5"/>
    <w:rsid w:val="00603D9E"/>
    <w:rsid w:val="00604A3A"/>
    <w:rsid w:val="00604C68"/>
    <w:rsid w:val="006052B2"/>
    <w:rsid w:val="0060685F"/>
    <w:rsid w:val="00607066"/>
    <w:rsid w:val="00607197"/>
    <w:rsid w:val="00607A16"/>
    <w:rsid w:val="006109F8"/>
    <w:rsid w:val="00610F14"/>
    <w:rsid w:val="00611B35"/>
    <w:rsid w:val="00611B81"/>
    <w:rsid w:val="0061216F"/>
    <w:rsid w:val="00612601"/>
    <w:rsid w:val="0061313F"/>
    <w:rsid w:val="00613308"/>
    <w:rsid w:val="00613841"/>
    <w:rsid w:val="00614533"/>
    <w:rsid w:val="006147EA"/>
    <w:rsid w:val="00614F87"/>
    <w:rsid w:val="00615AAC"/>
    <w:rsid w:val="006162F4"/>
    <w:rsid w:val="00616A5C"/>
    <w:rsid w:val="00616BCB"/>
    <w:rsid w:val="00617931"/>
    <w:rsid w:val="00620CCE"/>
    <w:rsid w:val="00621C27"/>
    <w:rsid w:val="00622122"/>
    <w:rsid w:val="00623075"/>
    <w:rsid w:val="00623910"/>
    <w:rsid w:val="006246FD"/>
    <w:rsid w:val="00624A27"/>
    <w:rsid w:val="00624D74"/>
    <w:rsid w:val="00626269"/>
    <w:rsid w:val="00626831"/>
    <w:rsid w:val="0062716D"/>
    <w:rsid w:val="006276D9"/>
    <w:rsid w:val="00627AF2"/>
    <w:rsid w:val="00631088"/>
    <w:rsid w:val="006311A2"/>
    <w:rsid w:val="00631B8E"/>
    <w:rsid w:val="006329EC"/>
    <w:rsid w:val="00632F94"/>
    <w:rsid w:val="00633E92"/>
    <w:rsid w:val="0063632F"/>
    <w:rsid w:val="00637574"/>
    <w:rsid w:val="00637758"/>
    <w:rsid w:val="00637B77"/>
    <w:rsid w:val="006405FC"/>
    <w:rsid w:val="006410BF"/>
    <w:rsid w:val="00642286"/>
    <w:rsid w:val="006431BF"/>
    <w:rsid w:val="00643292"/>
    <w:rsid w:val="0064357A"/>
    <w:rsid w:val="00644D45"/>
    <w:rsid w:val="00644D54"/>
    <w:rsid w:val="006453BC"/>
    <w:rsid w:val="00646045"/>
    <w:rsid w:val="00646161"/>
    <w:rsid w:val="0064622D"/>
    <w:rsid w:val="00646936"/>
    <w:rsid w:val="006478A4"/>
    <w:rsid w:val="00650B37"/>
    <w:rsid w:val="00650B9E"/>
    <w:rsid w:val="00650C56"/>
    <w:rsid w:val="006511E2"/>
    <w:rsid w:val="006514E8"/>
    <w:rsid w:val="006525D3"/>
    <w:rsid w:val="00652858"/>
    <w:rsid w:val="00653092"/>
    <w:rsid w:val="006545E3"/>
    <w:rsid w:val="0065478B"/>
    <w:rsid w:val="006558DC"/>
    <w:rsid w:val="006567FB"/>
    <w:rsid w:val="00656B27"/>
    <w:rsid w:val="00657039"/>
    <w:rsid w:val="006571F2"/>
    <w:rsid w:val="00657652"/>
    <w:rsid w:val="006577CB"/>
    <w:rsid w:val="00657F8B"/>
    <w:rsid w:val="006603E8"/>
    <w:rsid w:val="00660401"/>
    <w:rsid w:val="006606E5"/>
    <w:rsid w:val="006618FC"/>
    <w:rsid w:val="00661A99"/>
    <w:rsid w:val="00662794"/>
    <w:rsid w:val="00662DB8"/>
    <w:rsid w:val="00662FF2"/>
    <w:rsid w:val="006630E6"/>
    <w:rsid w:val="006635A3"/>
    <w:rsid w:val="006636C0"/>
    <w:rsid w:val="00663989"/>
    <w:rsid w:val="00663C53"/>
    <w:rsid w:val="00663D00"/>
    <w:rsid w:val="00663E86"/>
    <w:rsid w:val="00664484"/>
    <w:rsid w:val="00665EF9"/>
    <w:rsid w:val="006663C7"/>
    <w:rsid w:val="00666497"/>
    <w:rsid w:val="0066677D"/>
    <w:rsid w:val="0066767D"/>
    <w:rsid w:val="006678A2"/>
    <w:rsid w:val="00667FE0"/>
    <w:rsid w:val="00671221"/>
    <w:rsid w:val="006713F8"/>
    <w:rsid w:val="00671B7E"/>
    <w:rsid w:val="00671C52"/>
    <w:rsid w:val="006754E0"/>
    <w:rsid w:val="0067582A"/>
    <w:rsid w:val="00675ED2"/>
    <w:rsid w:val="00676251"/>
    <w:rsid w:val="006767BC"/>
    <w:rsid w:val="00676A09"/>
    <w:rsid w:val="00676F42"/>
    <w:rsid w:val="006770B9"/>
    <w:rsid w:val="00677A85"/>
    <w:rsid w:val="0068048D"/>
    <w:rsid w:val="00681D75"/>
    <w:rsid w:val="0068242E"/>
    <w:rsid w:val="006824F6"/>
    <w:rsid w:val="00682A20"/>
    <w:rsid w:val="00682C59"/>
    <w:rsid w:val="00683076"/>
    <w:rsid w:val="00684BAF"/>
    <w:rsid w:val="00685B54"/>
    <w:rsid w:val="0068618F"/>
    <w:rsid w:val="00686DDD"/>
    <w:rsid w:val="006876BF"/>
    <w:rsid w:val="0069209E"/>
    <w:rsid w:val="00692689"/>
    <w:rsid w:val="00692713"/>
    <w:rsid w:val="006927AD"/>
    <w:rsid w:val="00692D66"/>
    <w:rsid w:val="00692F8C"/>
    <w:rsid w:val="0069411F"/>
    <w:rsid w:val="00694A25"/>
    <w:rsid w:val="00694DBD"/>
    <w:rsid w:val="00695898"/>
    <w:rsid w:val="00696EBB"/>
    <w:rsid w:val="0069710D"/>
    <w:rsid w:val="006A12A6"/>
    <w:rsid w:val="006A1412"/>
    <w:rsid w:val="006A145F"/>
    <w:rsid w:val="006A18C6"/>
    <w:rsid w:val="006A1F10"/>
    <w:rsid w:val="006A2A07"/>
    <w:rsid w:val="006A48CE"/>
    <w:rsid w:val="006A4D4E"/>
    <w:rsid w:val="006A5308"/>
    <w:rsid w:val="006A558E"/>
    <w:rsid w:val="006A5B92"/>
    <w:rsid w:val="006A6510"/>
    <w:rsid w:val="006A69A6"/>
    <w:rsid w:val="006A713E"/>
    <w:rsid w:val="006A735E"/>
    <w:rsid w:val="006A792E"/>
    <w:rsid w:val="006B0182"/>
    <w:rsid w:val="006B0855"/>
    <w:rsid w:val="006B0C7B"/>
    <w:rsid w:val="006B1A3C"/>
    <w:rsid w:val="006B1EBF"/>
    <w:rsid w:val="006B1EDF"/>
    <w:rsid w:val="006B1F55"/>
    <w:rsid w:val="006B31BC"/>
    <w:rsid w:val="006B4440"/>
    <w:rsid w:val="006B4BA1"/>
    <w:rsid w:val="006B561C"/>
    <w:rsid w:val="006B5FAA"/>
    <w:rsid w:val="006B630A"/>
    <w:rsid w:val="006B699E"/>
    <w:rsid w:val="006B7D26"/>
    <w:rsid w:val="006C1577"/>
    <w:rsid w:val="006C1918"/>
    <w:rsid w:val="006C1DB7"/>
    <w:rsid w:val="006C2D03"/>
    <w:rsid w:val="006C361D"/>
    <w:rsid w:val="006C3919"/>
    <w:rsid w:val="006C48B7"/>
    <w:rsid w:val="006C5ACD"/>
    <w:rsid w:val="006C61D4"/>
    <w:rsid w:val="006C6300"/>
    <w:rsid w:val="006C6601"/>
    <w:rsid w:val="006D1104"/>
    <w:rsid w:val="006D1544"/>
    <w:rsid w:val="006D1C3B"/>
    <w:rsid w:val="006D2622"/>
    <w:rsid w:val="006D2836"/>
    <w:rsid w:val="006D2EE3"/>
    <w:rsid w:val="006D2F26"/>
    <w:rsid w:val="006D36B7"/>
    <w:rsid w:val="006D3A49"/>
    <w:rsid w:val="006D4726"/>
    <w:rsid w:val="006D4B16"/>
    <w:rsid w:val="006D588D"/>
    <w:rsid w:val="006D5B00"/>
    <w:rsid w:val="006D68CE"/>
    <w:rsid w:val="006D7A15"/>
    <w:rsid w:val="006E0395"/>
    <w:rsid w:val="006E042D"/>
    <w:rsid w:val="006E16F1"/>
    <w:rsid w:val="006E232A"/>
    <w:rsid w:val="006E23A5"/>
    <w:rsid w:val="006E3129"/>
    <w:rsid w:val="006E3483"/>
    <w:rsid w:val="006E359B"/>
    <w:rsid w:val="006E4FD0"/>
    <w:rsid w:val="006E512E"/>
    <w:rsid w:val="006E6D5D"/>
    <w:rsid w:val="006E75BF"/>
    <w:rsid w:val="006E7C78"/>
    <w:rsid w:val="006E7E3F"/>
    <w:rsid w:val="006F03D9"/>
    <w:rsid w:val="006F09B5"/>
    <w:rsid w:val="006F0F1F"/>
    <w:rsid w:val="006F1349"/>
    <w:rsid w:val="006F1846"/>
    <w:rsid w:val="006F201F"/>
    <w:rsid w:val="006F27AC"/>
    <w:rsid w:val="006F2974"/>
    <w:rsid w:val="006F2C03"/>
    <w:rsid w:val="006F33E7"/>
    <w:rsid w:val="006F39F6"/>
    <w:rsid w:val="006F48B3"/>
    <w:rsid w:val="006F48B8"/>
    <w:rsid w:val="006F553C"/>
    <w:rsid w:val="006F5924"/>
    <w:rsid w:val="006F5E50"/>
    <w:rsid w:val="006F610E"/>
    <w:rsid w:val="006F6258"/>
    <w:rsid w:val="006F65E1"/>
    <w:rsid w:val="006F6C69"/>
    <w:rsid w:val="006F7BE3"/>
    <w:rsid w:val="006F7D9A"/>
    <w:rsid w:val="006F7F8E"/>
    <w:rsid w:val="00700870"/>
    <w:rsid w:val="0070106E"/>
    <w:rsid w:val="00701402"/>
    <w:rsid w:val="00701552"/>
    <w:rsid w:val="00702158"/>
    <w:rsid w:val="00702949"/>
    <w:rsid w:val="007030DF"/>
    <w:rsid w:val="00704E3E"/>
    <w:rsid w:val="00704FDE"/>
    <w:rsid w:val="00705448"/>
    <w:rsid w:val="0070556B"/>
    <w:rsid w:val="007107CD"/>
    <w:rsid w:val="00711421"/>
    <w:rsid w:val="00711F02"/>
    <w:rsid w:val="007122EC"/>
    <w:rsid w:val="00713AE5"/>
    <w:rsid w:val="00714504"/>
    <w:rsid w:val="00714F2D"/>
    <w:rsid w:val="00715E3B"/>
    <w:rsid w:val="0071672E"/>
    <w:rsid w:val="0071694A"/>
    <w:rsid w:val="00717170"/>
    <w:rsid w:val="0071742A"/>
    <w:rsid w:val="007179AF"/>
    <w:rsid w:val="0072058E"/>
    <w:rsid w:val="0072111F"/>
    <w:rsid w:val="00723B16"/>
    <w:rsid w:val="00723DFC"/>
    <w:rsid w:val="00724F1C"/>
    <w:rsid w:val="00726037"/>
    <w:rsid w:val="00726897"/>
    <w:rsid w:val="007300CD"/>
    <w:rsid w:val="00730E8F"/>
    <w:rsid w:val="007318B4"/>
    <w:rsid w:val="00731915"/>
    <w:rsid w:val="00731A28"/>
    <w:rsid w:val="00731BFD"/>
    <w:rsid w:val="00731D48"/>
    <w:rsid w:val="0073250C"/>
    <w:rsid w:val="00732CE8"/>
    <w:rsid w:val="007331B3"/>
    <w:rsid w:val="00733AB9"/>
    <w:rsid w:val="00734484"/>
    <w:rsid w:val="0073530D"/>
    <w:rsid w:val="00735F04"/>
    <w:rsid w:val="0073644B"/>
    <w:rsid w:val="00737152"/>
    <w:rsid w:val="007377E7"/>
    <w:rsid w:val="007379ED"/>
    <w:rsid w:val="00737F0B"/>
    <w:rsid w:val="00740272"/>
    <w:rsid w:val="007418BB"/>
    <w:rsid w:val="00741DA1"/>
    <w:rsid w:val="00742076"/>
    <w:rsid w:val="007430EB"/>
    <w:rsid w:val="00745136"/>
    <w:rsid w:val="00745A15"/>
    <w:rsid w:val="00745DB1"/>
    <w:rsid w:val="00745DD2"/>
    <w:rsid w:val="00745F6B"/>
    <w:rsid w:val="00747455"/>
    <w:rsid w:val="007474A9"/>
    <w:rsid w:val="00747C2A"/>
    <w:rsid w:val="00747EE4"/>
    <w:rsid w:val="00747EFE"/>
    <w:rsid w:val="00750366"/>
    <w:rsid w:val="007507B8"/>
    <w:rsid w:val="00751354"/>
    <w:rsid w:val="0075142A"/>
    <w:rsid w:val="007519BA"/>
    <w:rsid w:val="00751C87"/>
    <w:rsid w:val="00752142"/>
    <w:rsid w:val="00752EEE"/>
    <w:rsid w:val="007537DE"/>
    <w:rsid w:val="0075440B"/>
    <w:rsid w:val="00755756"/>
    <w:rsid w:val="00756909"/>
    <w:rsid w:val="00757C00"/>
    <w:rsid w:val="00757DE8"/>
    <w:rsid w:val="00760D10"/>
    <w:rsid w:val="00761C5D"/>
    <w:rsid w:val="00762108"/>
    <w:rsid w:val="00762390"/>
    <w:rsid w:val="00762DAC"/>
    <w:rsid w:val="00764AF6"/>
    <w:rsid w:val="00765161"/>
    <w:rsid w:val="00766845"/>
    <w:rsid w:val="00766AB0"/>
    <w:rsid w:val="00766ED7"/>
    <w:rsid w:val="00770BB5"/>
    <w:rsid w:val="00770E38"/>
    <w:rsid w:val="00771A0B"/>
    <w:rsid w:val="00772AA8"/>
    <w:rsid w:val="00773276"/>
    <w:rsid w:val="0077363E"/>
    <w:rsid w:val="007744CB"/>
    <w:rsid w:val="007751DE"/>
    <w:rsid w:val="00775BFD"/>
    <w:rsid w:val="00775EF2"/>
    <w:rsid w:val="00776785"/>
    <w:rsid w:val="00776A7A"/>
    <w:rsid w:val="00777B8E"/>
    <w:rsid w:val="00780113"/>
    <w:rsid w:val="00780C91"/>
    <w:rsid w:val="007812BA"/>
    <w:rsid w:val="0078133D"/>
    <w:rsid w:val="00781D29"/>
    <w:rsid w:val="00781E34"/>
    <w:rsid w:val="007840FC"/>
    <w:rsid w:val="0078536B"/>
    <w:rsid w:val="00785785"/>
    <w:rsid w:val="00785CD3"/>
    <w:rsid w:val="0078651A"/>
    <w:rsid w:val="00786739"/>
    <w:rsid w:val="00786ACD"/>
    <w:rsid w:val="007874E2"/>
    <w:rsid w:val="00791280"/>
    <w:rsid w:val="00791DED"/>
    <w:rsid w:val="0079247E"/>
    <w:rsid w:val="00792AA8"/>
    <w:rsid w:val="00793AAE"/>
    <w:rsid w:val="00793CC5"/>
    <w:rsid w:val="007941A8"/>
    <w:rsid w:val="00794582"/>
    <w:rsid w:val="00794972"/>
    <w:rsid w:val="00796E21"/>
    <w:rsid w:val="00796EE7"/>
    <w:rsid w:val="00797022"/>
    <w:rsid w:val="00797B8B"/>
    <w:rsid w:val="00797BF7"/>
    <w:rsid w:val="00797CED"/>
    <w:rsid w:val="007A03D3"/>
    <w:rsid w:val="007A102B"/>
    <w:rsid w:val="007A227E"/>
    <w:rsid w:val="007A281D"/>
    <w:rsid w:val="007A2958"/>
    <w:rsid w:val="007A2F5D"/>
    <w:rsid w:val="007A3ABE"/>
    <w:rsid w:val="007A3D00"/>
    <w:rsid w:val="007A4CB0"/>
    <w:rsid w:val="007A5B52"/>
    <w:rsid w:val="007A62C3"/>
    <w:rsid w:val="007A677C"/>
    <w:rsid w:val="007A6C33"/>
    <w:rsid w:val="007A73CC"/>
    <w:rsid w:val="007A78D7"/>
    <w:rsid w:val="007A7D7D"/>
    <w:rsid w:val="007B29E8"/>
    <w:rsid w:val="007B3638"/>
    <w:rsid w:val="007B3D13"/>
    <w:rsid w:val="007B402C"/>
    <w:rsid w:val="007B4102"/>
    <w:rsid w:val="007B48BC"/>
    <w:rsid w:val="007B49B4"/>
    <w:rsid w:val="007B4BCE"/>
    <w:rsid w:val="007B651A"/>
    <w:rsid w:val="007B6648"/>
    <w:rsid w:val="007B6669"/>
    <w:rsid w:val="007B6E1F"/>
    <w:rsid w:val="007B6EEE"/>
    <w:rsid w:val="007B6F68"/>
    <w:rsid w:val="007B72C4"/>
    <w:rsid w:val="007B76EA"/>
    <w:rsid w:val="007B7762"/>
    <w:rsid w:val="007C0C58"/>
    <w:rsid w:val="007C0EBB"/>
    <w:rsid w:val="007C1DEA"/>
    <w:rsid w:val="007C1EB5"/>
    <w:rsid w:val="007C311B"/>
    <w:rsid w:val="007C4EBD"/>
    <w:rsid w:val="007C506B"/>
    <w:rsid w:val="007C51C1"/>
    <w:rsid w:val="007C6964"/>
    <w:rsid w:val="007C7C46"/>
    <w:rsid w:val="007D0049"/>
    <w:rsid w:val="007D0986"/>
    <w:rsid w:val="007D09DD"/>
    <w:rsid w:val="007D1611"/>
    <w:rsid w:val="007D23E1"/>
    <w:rsid w:val="007D475E"/>
    <w:rsid w:val="007D59A7"/>
    <w:rsid w:val="007D63CC"/>
    <w:rsid w:val="007D698B"/>
    <w:rsid w:val="007D6F70"/>
    <w:rsid w:val="007D7BB6"/>
    <w:rsid w:val="007E02E5"/>
    <w:rsid w:val="007E0AE4"/>
    <w:rsid w:val="007E1232"/>
    <w:rsid w:val="007E165D"/>
    <w:rsid w:val="007E365C"/>
    <w:rsid w:val="007E3849"/>
    <w:rsid w:val="007E3EBF"/>
    <w:rsid w:val="007E406D"/>
    <w:rsid w:val="007E44A0"/>
    <w:rsid w:val="007E45DB"/>
    <w:rsid w:val="007E5137"/>
    <w:rsid w:val="007E5D35"/>
    <w:rsid w:val="007E7610"/>
    <w:rsid w:val="007E7BF6"/>
    <w:rsid w:val="007E7F7F"/>
    <w:rsid w:val="007F02C4"/>
    <w:rsid w:val="007F0ACB"/>
    <w:rsid w:val="007F10CE"/>
    <w:rsid w:val="007F1656"/>
    <w:rsid w:val="007F1AB6"/>
    <w:rsid w:val="007F1B3B"/>
    <w:rsid w:val="007F350B"/>
    <w:rsid w:val="007F52A6"/>
    <w:rsid w:val="007F5789"/>
    <w:rsid w:val="007F60D4"/>
    <w:rsid w:val="007F68DA"/>
    <w:rsid w:val="007F6C63"/>
    <w:rsid w:val="007F748C"/>
    <w:rsid w:val="007F7BF6"/>
    <w:rsid w:val="007F7CDD"/>
    <w:rsid w:val="008004E7"/>
    <w:rsid w:val="00800755"/>
    <w:rsid w:val="0080276C"/>
    <w:rsid w:val="00803D1C"/>
    <w:rsid w:val="00803EAB"/>
    <w:rsid w:val="00804A73"/>
    <w:rsid w:val="0080512D"/>
    <w:rsid w:val="008055DE"/>
    <w:rsid w:val="008060C8"/>
    <w:rsid w:val="00806823"/>
    <w:rsid w:val="00806CF3"/>
    <w:rsid w:val="00807963"/>
    <w:rsid w:val="00807CFF"/>
    <w:rsid w:val="00810422"/>
    <w:rsid w:val="00810D15"/>
    <w:rsid w:val="00810F5C"/>
    <w:rsid w:val="0081184A"/>
    <w:rsid w:val="008124CB"/>
    <w:rsid w:val="00812723"/>
    <w:rsid w:val="00813DEE"/>
    <w:rsid w:val="00814A6A"/>
    <w:rsid w:val="00814ED4"/>
    <w:rsid w:val="00815121"/>
    <w:rsid w:val="008152E3"/>
    <w:rsid w:val="0081557C"/>
    <w:rsid w:val="008159B1"/>
    <w:rsid w:val="00815E01"/>
    <w:rsid w:val="00816499"/>
    <w:rsid w:val="00816F7C"/>
    <w:rsid w:val="00817253"/>
    <w:rsid w:val="00817B2B"/>
    <w:rsid w:val="00820282"/>
    <w:rsid w:val="0082065C"/>
    <w:rsid w:val="0082117F"/>
    <w:rsid w:val="00821D68"/>
    <w:rsid w:val="008221A4"/>
    <w:rsid w:val="00822E82"/>
    <w:rsid w:val="00823770"/>
    <w:rsid w:val="008239EA"/>
    <w:rsid w:val="00825D4E"/>
    <w:rsid w:val="0082619C"/>
    <w:rsid w:val="00826812"/>
    <w:rsid w:val="00830482"/>
    <w:rsid w:val="008310B3"/>
    <w:rsid w:val="00831A0D"/>
    <w:rsid w:val="00832081"/>
    <w:rsid w:val="00832567"/>
    <w:rsid w:val="00833132"/>
    <w:rsid w:val="008349FC"/>
    <w:rsid w:val="008357D3"/>
    <w:rsid w:val="008362B3"/>
    <w:rsid w:val="00836302"/>
    <w:rsid w:val="00836AD2"/>
    <w:rsid w:val="008375CC"/>
    <w:rsid w:val="0083794C"/>
    <w:rsid w:val="008415CC"/>
    <w:rsid w:val="008418F9"/>
    <w:rsid w:val="00841F5D"/>
    <w:rsid w:val="00842032"/>
    <w:rsid w:val="008424F4"/>
    <w:rsid w:val="00842862"/>
    <w:rsid w:val="008434C8"/>
    <w:rsid w:val="00843803"/>
    <w:rsid w:val="00845199"/>
    <w:rsid w:val="00845482"/>
    <w:rsid w:val="008462FC"/>
    <w:rsid w:val="0084649D"/>
    <w:rsid w:val="0084770C"/>
    <w:rsid w:val="00847DFE"/>
    <w:rsid w:val="008507D4"/>
    <w:rsid w:val="00851111"/>
    <w:rsid w:val="008525CF"/>
    <w:rsid w:val="008542CC"/>
    <w:rsid w:val="00855D42"/>
    <w:rsid w:val="0085644C"/>
    <w:rsid w:val="0085695C"/>
    <w:rsid w:val="0085744F"/>
    <w:rsid w:val="00860559"/>
    <w:rsid w:val="00860973"/>
    <w:rsid w:val="00860B77"/>
    <w:rsid w:val="00860C76"/>
    <w:rsid w:val="00860E2F"/>
    <w:rsid w:val="00860FEA"/>
    <w:rsid w:val="0086183E"/>
    <w:rsid w:val="00861B36"/>
    <w:rsid w:val="008625DA"/>
    <w:rsid w:val="0086291F"/>
    <w:rsid w:val="00862C24"/>
    <w:rsid w:val="00862DCF"/>
    <w:rsid w:val="00862F37"/>
    <w:rsid w:val="008632E5"/>
    <w:rsid w:val="008637DB"/>
    <w:rsid w:val="008648B5"/>
    <w:rsid w:val="00865767"/>
    <w:rsid w:val="00865A13"/>
    <w:rsid w:val="0086641A"/>
    <w:rsid w:val="00866442"/>
    <w:rsid w:val="00867F68"/>
    <w:rsid w:val="00870472"/>
    <w:rsid w:val="00870A8A"/>
    <w:rsid w:val="00872FB9"/>
    <w:rsid w:val="008737D3"/>
    <w:rsid w:val="00873C93"/>
    <w:rsid w:val="008748AA"/>
    <w:rsid w:val="008769C0"/>
    <w:rsid w:val="008770A2"/>
    <w:rsid w:val="00877811"/>
    <w:rsid w:val="0087791D"/>
    <w:rsid w:val="00877CBF"/>
    <w:rsid w:val="00880CEC"/>
    <w:rsid w:val="00882D53"/>
    <w:rsid w:val="00882F47"/>
    <w:rsid w:val="00883437"/>
    <w:rsid w:val="008834C5"/>
    <w:rsid w:val="00883C24"/>
    <w:rsid w:val="00883C6D"/>
    <w:rsid w:val="00885052"/>
    <w:rsid w:val="008853F8"/>
    <w:rsid w:val="00885D0B"/>
    <w:rsid w:val="008861DF"/>
    <w:rsid w:val="00886591"/>
    <w:rsid w:val="00886DF9"/>
    <w:rsid w:val="00886F9C"/>
    <w:rsid w:val="00886FC9"/>
    <w:rsid w:val="00887D07"/>
    <w:rsid w:val="008904B6"/>
    <w:rsid w:val="00892FB4"/>
    <w:rsid w:val="00894332"/>
    <w:rsid w:val="008953BD"/>
    <w:rsid w:val="00895A24"/>
    <w:rsid w:val="00895F77"/>
    <w:rsid w:val="00896714"/>
    <w:rsid w:val="00896BFB"/>
    <w:rsid w:val="00896FDA"/>
    <w:rsid w:val="00897495"/>
    <w:rsid w:val="0089749F"/>
    <w:rsid w:val="00897C13"/>
    <w:rsid w:val="008A0931"/>
    <w:rsid w:val="008A0D04"/>
    <w:rsid w:val="008A1B41"/>
    <w:rsid w:val="008A2849"/>
    <w:rsid w:val="008A2942"/>
    <w:rsid w:val="008A3112"/>
    <w:rsid w:val="008A3E82"/>
    <w:rsid w:val="008A404C"/>
    <w:rsid w:val="008A45E3"/>
    <w:rsid w:val="008A4628"/>
    <w:rsid w:val="008A4A07"/>
    <w:rsid w:val="008A5526"/>
    <w:rsid w:val="008A5AAC"/>
    <w:rsid w:val="008A5DC9"/>
    <w:rsid w:val="008B2939"/>
    <w:rsid w:val="008B2A8C"/>
    <w:rsid w:val="008B2AC2"/>
    <w:rsid w:val="008B3762"/>
    <w:rsid w:val="008B42B5"/>
    <w:rsid w:val="008B47CB"/>
    <w:rsid w:val="008B4E74"/>
    <w:rsid w:val="008B68F8"/>
    <w:rsid w:val="008B6A6C"/>
    <w:rsid w:val="008B745E"/>
    <w:rsid w:val="008B7D35"/>
    <w:rsid w:val="008C0CD8"/>
    <w:rsid w:val="008C145F"/>
    <w:rsid w:val="008C15BB"/>
    <w:rsid w:val="008C232C"/>
    <w:rsid w:val="008C28E5"/>
    <w:rsid w:val="008C2B33"/>
    <w:rsid w:val="008C2B9A"/>
    <w:rsid w:val="008C40A1"/>
    <w:rsid w:val="008C4C95"/>
    <w:rsid w:val="008C4E5F"/>
    <w:rsid w:val="008C547D"/>
    <w:rsid w:val="008C6C82"/>
    <w:rsid w:val="008D0598"/>
    <w:rsid w:val="008D0F1F"/>
    <w:rsid w:val="008D1551"/>
    <w:rsid w:val="008D15F7"/>
    <w:rsid w:val="008D1F2F"/>
    <w:rsid w:val="008D1FDE"/>
    <w:rsid w:val="008D2245"/>
    <w:rsid w:val="008D25EE"/>
    <w:rsid w:val="008D325F"/>
    <w:rsid w:val="008D351D"/>
    <w:rsid w:val="008D3A01"/>
    <w:rsid w:val="008D4E43"/>
    <w:rsid w:val="008D5233"/>
    <w:rsid w:val="008D5346"/>
    <w:rsid w:val="008D5669"/>
    <w:rsid w:val="008D7E71"/>
    <w:rsid w:val="008E1C45"/>
    <w:rsid w:val="008E242E"/>
    <w:rsid w:val="008E59BA"/>
    <w:rsid w:val="008E5BE3"/>
    <w:rsid w:val="008E647B"/>
    <w:rsid w:val="008E74B8"/>
    <w:rsid w:val="008E7B61"/>
    <w:rsid w:val="008F0FAB"/>
    <w:rsid w:val="008F17BC"/>
    <w:rsid w:val="008F20AF"/>
    <w:rsid w:val="008F232A"/>
    <w:rsid w:val="008F2A99"/>
    <w:rsid w:val="008F2F71"/>
    <w:rsid w:val="008F2F8B"/>
    <w:rsid w:val="008F3A09"/>
    <w:rsid w:val="008F3AE2"/>
    <w:rsid w:val="008F49BF"/>
    <w:rsid w:val="008F59A5"/>
    <w:rsid w:val="008F6221"/>
    <w:rsid w:val="008F66C9"/>
    <w:rsid w:val="008F67F4"/>
    <w:rsid w:val="008F722B"/>
    <w:rsid w:val="008F777B"/>
    <w:rsid w:val="008F78BE"/>
    <w:rsid w:val="008F7CCE"/>
    <w:rsid w:val="0090194D"/>
    <w:rsid w:val="00901E78"/>
    <w:rsid w:val="0090280A"/>
    <w:rsid w:val="00902C22"/>
    <w:rsid w:val="009030E9"/>
    <w:rsid w:val="00903F07"/>
    <w:rsid w:val="00904A2A"/>
    <w:rsid w:val="00904BED"/>
    <w:rsid w:val="0090579E"/>
    <w:rsid w:val="009060D6"/>
    <w:rsid w:val="009064E2"/>
    <w:rsid w:val="00906A8C"/>
    <w:rsid w:val="00906A90"/>
    <w:rsid w:val="00906BC5"/>
    <w:rsid w:val="009077C7"/>
    <w:rsid w:val="00907925"/>
    <w:rsid w:val="00910DB0"/>
    <w:rsid w:val="00911F2E"/>
    <w:rsid w:val="0091220E"/>
    <w:rsid w:val="009135C4"/>
    <w:rsid w:val="00913BF0"/>
    <w:rsid w:val="00914186"/>
    <w:rsid w:val="0091465A"/>
    <w:rsid w:val="009166EC"/>
    <w:rsid w:val="009170B8"/>
    <w:rsid w:val="009170F8"/>
    <w:rsid w:val="00917F64"/>
    <w:rsid w:val="00920216"/>
    <w:rsid w:val="00920463"/>
    <w:rsid w:val="0092121D"/>
    <w:rsid w:val="00921644"/>
    <w:rsid w:val="00921943"/>
    <w:rsid w:val="00921D29"/>
    <w:rsid w:val="0092252A"/>
    <w:rsid w:val="0092275B"/>
    <w:rsid w:val="009231E5"/>
    <w:rsid w:val="00923848"/>
    <w:rsid w:val="009238C7"/>
    <w:rsid w:val="0092393B"/>
    <w:rsid w:val="00923D68"/>
    <w:rsid w:val="00923DF0"/>
    <w:rsid w:val="009245CA"/>
    <w:rsid w:val="0092525B"/>
    <w:rsid w:val="009257F8"/>
    <w:rsid w:val="009262F6"/>
    <w:rsid w:val="00926E4D"/>
    <w:rsid w:val="00927559"/>
    <w:rsid w:val="00927686"/>
    <w:rsid w:val="009307E3"/>
    <w:rsid w:val="00930F48"/>
    <w:rsid w:val="00931426"/>
    <w:rsid w:val="009324EB"/>
    <w:rsid w:val="0093352D"/>
    <w:rsid w:val="00933F83"/>
    <w:rsid w:val="00934F14"/>
    <w:rsid w:val="00935D39"/>
    <w:rsid w:val="009376FF"/>
    <w:rsid w:val="00940185"/>
    <w:rsid w:val="00940BCD"/>
    <w:rsid w:val="00941279"/>
    <w:rsid w:val="00941F83"/>
    <w:rsid w:val="00944B96"/>
    <w:rsid w:val="009462D5"/>
    <w:rsid w:val="0094655C"/>
    <w:rsid w:val="00946D01"/>
    <w:rsid w:val="00947019"/>
    <w:rsid w:val="00947C04"/>
    <w:rsid w:val="0095128D"/>
    <w:rsid w:val="009518FE"/>
    <w:rsid w:val="00951C86"/>
    <w:rsid w:val="00952ED8"/>
    <w:rsid w:val="009538D6"/>
    <w:rsid w:val="0095456C"/>
    <w:rsid w:val="009547B3"/>
    <w:rsid w:val="00954FDE"/>
    <w:rsid w:val="009560D5"/>
    <w:rsid w:val="0095611F"/>
    <w:rsid w:val="00956278"/>
    <w:rsid w:val="00956905"/>
    <w:rsid w:val="00956EE6"/>
    <w:rsid w:val="009573A4"/>
    <w:rsid w:val="0095758B"/>
    <w:rsid w:val="00957FA6"/>
    <w:rsid w:val="00961086"/>
    <w:rsid w:val="0096132A"/>
    <w:rsid w:val="009614C6"/>
    <w:rsid w:val="009618B6"/>
    <w:rsid w:val="00961DE6"/>
    <w:rsid w:val="00962BFB"/>
    <w:rsid w:val="00962C6C"/>
    <w:rsid w:val="00962E1C"/>
    <w:rsid w:val="009630F2"/>
    <w:rsid w:val="0096349D"/>
    <w:rsid w:val="00963D17"/>
    <w:rsid w:val="00963EE4"/>
    <w:rsid w:val="00963EF6"/>
    <w:rsid w:val="00964954"/>
    <w:rsid w:val="00964C01"/>
    <w:rsid w:val="00964F5B"/>
    <w:rsid w:val="009652AC"/>
    <w:rsid w:val="00965337"/>
    <w:rsid w:val="009663E3"/>
    <w:rsid w:val="00966525"/>
    <w:rsid w:val="00966860"/>
    <w:rsid w:val="00966CA6"/>
    <w:rsid w:val="00966DEC"/>
    <w:rsid w:val="00967DF6"/>
    <w:rsid w:val="0097061B"/>
    <w:rsid w:val="00970687"/>
    <w:rsid w:val="009714C7"/>
    <w:rsid w:val="00971839"/>
    <w:rsid w:val="009723B4"/>
    <w:rsid w:val="009731B6"/>
    <w:rsid w:val="00973911"/>
    <w:rsid w:val="00973D80"/>
    <w:rsid w:val="00974757"/>
    <w:rsid w:val="009759CB"/>
    <w:rsid w:val="009762A5"/>
    <w:rsid w:val="0097673B"/>
    <w:rsid w:val="00977FD4"/>
    <w:rsid w:val="00981645"/>
    <w:rsid w:val="0098184F"/>
    <w:rsid w:val="00982D76"/>
    <w:rsid w:val="00983E46"/>
    <w:rsid w:val="009846BD"/>
    <w:rsid w:val="00984EF5"/>
    <w:rsid w:val="009850CF"/>
    <w:rsid w:val="0098606F"/>
    <w:rsid w:val="00986548"/>
    <w:rsid w:val="00987229"/>
    <w:rsid w:val="00987C7D"/>
    <w:rsid w:val="00990380"/>
    <w:rsid w:val="009921A2"/>
    <w:rsid w:val="009921DB"/>
    <w:rsid w:val="00992361"/>
    <w:rsid w:val="0099236C"/>
    <w:rsid w:val="00993B23"/>
    <w:rsid w:val="00993F73"/>
    <w:rsid w:val="009940EF"/>
    <w:rsid w:val="00994A8D"/>
    <w:rsid w:val="00994D06"/>
    <w:rsid w:val="009953B6"/>
    <w:rsid w:val="00995C92"/>
    <w:rsid w:val="00996F18"/>
    <w:rsid w:val="00997CF0"/>
    <w:rsid w:val="009A00F6"/>
    <w:rsid w:val="009A0BBC"/>
    <w:rsid w:val="009A117E"/>
    <w:rsid w:val="009A1206"/>
    <w:rsid w:val="009A13CB"/>
    <w:rsid w:val="009A2958"/>
    <w:rsid w:val="009A3275"/>
    <w:rsid w:val="009A3926"/>
    <w:rsid w:val="009A3E3A"/>
    <w:rsid w:val="009A4865"/>
    <w:rsid w:val="009A5AFD"/>
    <w:rsid w:val="009A6EFD"/>
    <w:rsid w:val="009A7A45"/>
    <w:rsid w:val="009B164C"/>
    <w:rsid w:val="009B21E8"/>
    <w:rsid w:val="009B236B"/>
    <w:rsid w:val="009B2E18"/>
    <w:rsid w:val="009B31CE"/>
    <w:rsid w:val="009B39DC"/>
    <w:rsid w:val="009B3FFB"/>
    <w:rsid w:val="009B41DD"/>
    <w:rsid w:val="009B4B5C"/>
    <w:rsid w:val="009B5183"/>
    <w:rsid w:val="009B581C"/>
    <w:rsid w:val="009B5B2B"/>
    <w:rsid w:val="009B61E7"/>
    <w:rsid w:val="009B6EBC"/>
    <w:rsid w:val="009B700B"/>
    <w:rsid w:val="009C13B9"/>
    <w:rsid w:val="009C2028"/>
    <w:rsid w:val="009C2182"/>
    <w:rsid w:val="009C2C2E"/>
    <w:rsid w:val="009C3E79"/>
    <w:rsid w:val="009C5578"/>
    <w:rsid w:val="009C6E72"/>
    <w:rsid w:val="009C7EA9"/>
    <w:rsid w:val="009D1262"/>
    <w:rsid w:val="009D1285"/>
    <w:rsid w:val="009D189B"/>
    <w:rsid w:val="009D1A86"/>
    <w:rsid w:val="009D34CD"/>
    <w:rsid w:val="009D39E2"/>
    <w:rsid w:val="009D3C03"/>
    <w:rsid w:val="009D3C3F"/>
    <w:rsid w:val="009D41C0"/>
    <w:rsid w:val="009D4D67"/>
    <w:rsid w:val="009D57E4"/>
    <w:rsid w:val="009D57F8"/>
    <w:rsid w:val="009D635B"/>
    <w:rsid w:val="009D66DC"/>
    <w:rsid w:val="009D7D62"/>
    <w:rsid w:val="009D7F6F"/>
    <w:rsid w:val="009D7FA0"/>
    <w:rsid w:val="009E0393"/>
    <w:rsid w:val="009E07D3"/>
    <w:rsid w:val="009E1319"/>
    <w:rsid w:val="009E28D7"/>
    <w:rsid w:val="009E2FD7"/>
    <w:rsid w:val="009E3559"/>
    <w:rsid w:val="009E35B7"/>
    <w:rsid w:val="009E530F"/>
    <w:rsid w:val="009E54F3"/>
    <w:rsid w:val="009E56B1"/>
    <w:rsid w:val="009E591C"/>
    <w:rsid w:val="009F06F2"/>
    <w:rsid w:val="009F0B52"/>
    <w:rsid w:val="009F0B6D"/>
    <w:rsid w:val="009F0C83"/>
    <w:rsid w:val="009F1075"/>
    <w:rsid w:val="009F12C3"/>
    <w:rsid w:val="009F14AB"/>
    <w:rsid w:val="009F166F"/>
    <w:rsid w:val="009F1A1E"/>
    <w:rsid w:val="009F421C"/>
    <w:rsid w:val="009F44C8"/>
    <w:rsid w:val="009F45C4"/>
    <w:rsid w:val="009F471A"/>
    <w:rsid w:val="009F635E"/>
    <w:rsid w:val="009F6799"/>
    <w:rsid w:val="00A0049E"/>
    <w:rsid w:val="00A0128C"/>
    <w:rsid w:val="00A013CE"/>
    <w:rsid w:val="00A01D91"/>
    <w:rsid w:val="00A01DFE"/>
    <w:rsid w:val="00A0256B"/>
    <w:rsid w:val="00A02C5D"/>
    <w:rsid w:val="00A035DB"/>
    <w:rsid w:val="00A0384D"/>
    <w:rsid w:val="00A04958"/>
    <w:rsid w:val="00A05842"/>
    <w:rsid w:val="00A05F01"/>
    <w:rsid w:val="00A0635C"/>
    <w:rsid w:val="00A079DB"/>
    <w:rsid w:val="00A1050A"/>
    <w:rsid w:val="00A11614"/>
    <w:rsid w:val="00A1166B"/>
    <w:rsid w:val="00A11C11"/>
    <w:rsid w:val="00A11ECE"/>
    <w:rsid w:val="00A12F2E"/>
    <w:rsid w:val="00A140D3"/>
    <w:rsid w:val="00A1446B"/>
    <w:rsid w:val="00A14762"/>
    <w:rsid w:val="00A152E0"/>
    <w:rsid w:val="00A15DF0"/>
    <w:rsid w:val="00A167F2"/>
    <w:rsid w:val="00A17200"/>
    <w:rsid w:val="00A17EE7"/>
    <w:rsid w:val="00A17EFE"/>
    <w:rsid w:val="00A20166"/>
    <w:rsid w:val="00A20B11"/>
    <w:rsid w:val="00A20C78"/>
    <w:rsid w:val="00A20F2F"/>
    <w:rsid w:val="00A21CA3"/>
    <w:rsid w:val="00A21EEC"/>
    <w:rsid w:val="00A22328"/>
    <w:rsid w:val="00A227D2"/>
    <w:rsid w:val="00A22A40"/>
    <w:rsid w:val="00A2312E"/>
    <w:rsid w:val="00A23F2F"/>
    <w:rsid w:val="00A24323"/>
    <w:rsid w:val="00A24326"/>
    <w:rsid w:val="00A2512C"/>
    <w:rsid w:val="00A2515B"/>
    <w:rsid w:val="00A2525D"/>
    <w:rsid w:val="00A2588E"/>
    <w:rsid w:val="00A25DD3"/>
    <w:rsid w:val="00A2633E"/>
    <w:rsid w:val="00A26EDF"/>
    <w:rsid w:val="00A27452"/>
    <w:rsid w:val="00A3183A"/>
    <w:rsid w:val="00A318B6"/>
    <w:rsid w:val="00A3314A"/>
    <w:rsid w:val="00A334E3"/>
    <w:rsid w:val="00A33F70"/>
    <w:rsid w:val="00A33FFE"/>
    <w:rsid w:val="00A34789"/>
    <w:rsid w:val="00A34EFF"/>
    <w:rsid w:val="00A3509F"/>
    <w:rsid w:val="00A359F5"/>
    <w:rsid w:val="00A3630E"/>
    <w:rsid w:val="00A37423"/>
    <w:rsid w:val="00A37BB8"/>
    <w:rsid w:val="00A41916"/>
    <w:rsid w:val="00A4193A"/>
    <w:rsid w:val="00A41FF8"/>
    <w:rsid w:val="00A42D87"/>
    <w:rsid w:val="00A430DD"/>
    <w:rsid w:val="00A4333F"/>
    <w:rsid w:val="00A445D8"/>
    <w:rsid w:val="00A44AC3"/>
    <w:rsid w:val="00A44BD3"/>
    <w:rsid w:val="00A44DFC"/>
    <w:rsid w:val="00A44F5C"/>
    <w:rsid w:val="00A4521D"/>
    <w:rsid w:val="00A452DC"/>
    <w:rsid w:val="00A45385"/>
    <w:rsid w:val="00A454F8"/>
    <w:rsid w:val="00A46D6F"/>
    <w:rsid w:val="00A47488"/>
    <w:rsid w:val="00A47DEF"/>
    <w:rsid w:val="00A5018A"/>
    <w:rsid w:val="00A50852"/>
    <w:rsid w:val="00A51218"/>
    <w:rsid w:val="00A51370"/>
    <w:rsid w:val="00A51BAE"/>
    <w:rsid w:val="00A51BD0"/>
    <w:rsid w:val="00A51E23"/>
    <w:rsid w:val="00A51F0A"/>
    <w:rsid w:val="00A52FE1"/>
    <w:rsid w:val="00A530F4"/>
    <w:rsid w:val="00A536F7"/>
    <w:rsid w:val="00A53A8C"/>
    <w:rsid w:val="00A54955"/>
    <w:rsid w:val="00A54EF2"/>
    <w:rsid w:val="00A55481"/>
    <w:rsid w:val="00A55D48"/>
    <w:rsid w:val="00A55E75"/>
    <w:rsid w:val="00A564ED"/>
    <w:rsid w:val="00A57222"/>
    <w:rsid w:val="00A57872"/>
    <w:rsid w:val="00A57BEB"/>
    <w:rsid w:val="00A604F8"/>
    <w:rsid w:val="00A60D49"/>
    <w:rsid w:val="00A60F33"/>
    <w:rsid w:val="00A61673"/>
    <w:rsid w:val="00A61CC4"/>
    <w:rsid w:val="00A62887"/>
    <w:rsid w:val="00A63011"/>
    <w:rsid w:val="00A63513"/>
    <w:rsid w:val="00A64757"/>
    <w:rsid w:val="00A64926"/>
    <w:rsid w:val="00A6492C"/>
    <w:rsid w:val="00A65630"/>
    <w:rsid w:val="00A65A06"/>
    <w:rsid w:val="00A6651E"/>
    <w:rsid w:val="00A665CF"/>
    <w:rsid w:val="00A67CA7"/>
    <w:rsid w:val="00A70034"/>
    <w:rsid w:val="00A71461"/>
    <w:rsid w:val="00A727B4"/>
    <w:rsid w:val="00A73989"/>
    <w:rsid w:val="00A7404F"/>
    <w:rsid w:val="00A75F63"/>
    <w:rsid w:val="00A76E03"/>
    <w:rsid w:val="00A7752F"/>
    <w:rsid w:val="00A7780C"/>
    <w:rsid w:val="00A80B20"/>
    <w:rsid w:val="00A81582"/>
    <w:rsid w:val="00A81995"/>
    <w:rsid w:val="00A81AC4"/>
    <w:rsid w:val="00A84212"/>
    <w:rsid w:val="00A84D65"/>
    <w:rsid w:val="00A85C35"/>
    <w:rsid w:val="00A87628"/>
    <w:rsid w:val="00A87BF0"/>
    <w:rsid w:val="00A90287"/>
    <w:rsid w:val="00A9082D"/>
    <w:rsid w:val="00A9133D"/>
    <w:rsid w:val="00A915B0"/>
    <w:rsid w:val="00A92061"/>
    <w:rsid w:val="00A924F4"/>
    <w:rsid w:val="00A92612"/>
    <w:rsid w:val="00A92AC1"/>
    <w:rsid w:val="00A939EE"/>
    <w:rsid w:val="00A94249"/>
    <w:rsid w:val="00A94671"/>
    <w:rsid w:val="00A94BC9"/>
    <w:rsid w:val="00A94E9E"/>
    <w:rsid w:val="00A94F55"/>
    <w:rsid w:val="00A959BC"/>
    <w:rsid w:val="00A95C57"/>
    <w:rsid w:val="00A96612"/>
    <w:rsid w:val="00A97310"/>
    <w:rsid w:val="00A979B5"/>
    <w:rsid w:val="00AA0269"/>
    <w:rsid w:val="00AA11D5"/>
    <w:rsid w:val="00AA1243"/>
    <w:rsid w:val="00AA15E0"/>
    <w:rsid w:val="00AA1F0C"/>
    <w:rsid w:val="00AA240D"/>
    <w:rsid w:val="00AA3C60"/>
    <w:rsid w:val="00AA3C72"/>
    <w:rsid w:val="00AA3D05"/>
    <w:rsid w:val="00AA4C93"/>
    <w:rsid w:val="00AA5062"/>
    <w:rsid w:val="00AA66E2"/>
    <w:rsid w:val="00AB0B24"/>
    <w:rsid w:val="00AB1ECA"/>
    <w:rsid w:val="00AB2B69"/>
    <w:rsid w:val="00AB2FF4"/>
    <w:rsid w:val="00AB41D7"/>
    <w:rsid w:val="00AB43B4"/>
    <w:rsid w:val="00AB5686"/>
    <w:rsid w:val="00AB589C"/>
    <w:rsid w:val="00AB5F9C"/>
    <w:rsid w:val="00AB6853"/>
    <w:rsid w:val="00AB784F"/>
    <w:rsid w:val="00AC04EE"/>
    <w:rsid w:val="00AC1AD6"/>
    <w:rsid w:val="00AC2EBA"/>
    <w:rsid w:val="00AC33A4"/>
    <w:rsid w:val="00AC3623"/>
    <w:rsid w:val="00AC4586"/>
    <w:rsid w:val="00AC4E3B"/>
    <w:rsid w:val="00AC5167"/>
    <w:rsid w:val="00AC7001"/>
    <w:rsid w:val="00AD02C9"/>
    <w:rsid w:val="00AD04D5"/>
    <w:rsid w:val="00AD13C8"/>
    <w:rsid w:val="00AD23F2"/>
    <w:rsid w:val="00AD356E"/>
    <w:rsid w:val="00AD40C4"/>
    <w:rsid w:val="00AD4EF3"/>
    <w:rsid w:val="00AD4F58"/>
    <w:rsid w:val="00AD5115"/>
    <w:rsid w:val="00AD519C"/>
    <w:rsid w:val="00AD5830"/>
    <w:rsid w:val="00AD64DF"/>
    <w:rsid w:val="00AD78A6"/>
    <w:rsid w:val="00AE1025"/>
    <w:rsid w:val="00AE163F"/>
    <w:rsid w:val="00AE21D2"/>
    <w:rsid w:val="00AE2AA4"/>
    <w:rsid w:val="00AE3B43"/>
    <w:rsid w:val="00AE3F03"/>
    <w:rsid w:val="00AE4116"/>
    <w:rsid w:val="00AE4985"/>
    <w:rsid w:val="00AE4DF0"/>
    <w:rsid w:val="00AE6152"/>
    <w:rsid w:val="00AE64B3"/>
    <w:rsid w:val="00AE64F0"/>
    <w:rsid w:val="00AE6583"/>
    <w:rsid w:val="00AE70E8"/>
    <w:rsid w:val="00AE73EC"/>
    <w:rsid w:val="00AE77A9"/>
    <w:rsid w:val="00AE7970"/>
    <w:rsid w:val="00AF054A"/>
    <w:rsid w:val="00AF1E15"/>
    <w:rsid w:val="00AF23C8"/>
    <w:rsid w:val="00AF2AE2"/>
    <w:rsid w:val="00AF2B8A"/>
    <w:rsid w:val="00AF44B3"/>
    <w:rsid w:val="00AF4AE5"/>
    <w:rsid w:val="00AF4DE8"/>
    <w:rsid w:val="00AF5120"/>
    <w:rsid w:val="00AF56B7"/>
    <w:rsid w:val="00AF5926"/>
    <w:rsid w:val="00AF605D"/>
    <w:rsid w:val="00AF6D64"/>
    <w:rsid w:val="00AF7BBD"/>
    <w:rsid w:val="00AF7CDF"/>
    <w:rsid w:val="00B00D56"/>
    <w:rsid w:val="00B00D61"/>
    <w:rsid w:val="00B02F24"/>
    <w:rsid w:val="00B030BB"/>
    <w:rsid w:val="00B0377E"/>
    <w:rsid w:val="00B042CF"/>
    <w:rsid w:val="00B04306"/>
    <w:rsid w:val="00B04BFF"/>
    <w:rsid w:val="00B0509D"/>
    <w:rsid w:val="00B07060"/>
    <w:rsid w:val="00B07BA9"/>
    <w:rsid w:val="00B10055"/>
    <w:rsid w:val="00B10CDE"/>
    <w:rsid w:val="00B1141E"/>
    <w:rsid w:val="00B12438"/>
    <w:rsid w:val="00B1278B"/>
    <w:rsid w:val="00B12D82"/>
    <w:rsid w:val="00B146EF"/>
    <w:rsid w:val="00B14A3D"/>
    <w:rsid w:val="00B14BD6"/>
    <w:rsid w:val="00B153D7"/>
    <w:rsid w:val="00B16604"/>
    <w:rsid w:val="00B17295"/>
    <w:rsid w:val="00B17B18"/>
    <w:rsid w:val="00B215F5"/>
    <w:rsid w:val="00B221D2"/>
    <w:rsid w:val="00B22655"/>
    <w:rsid w:val="00B226E0"/>
    <w:rsid w:val="00B22DBF"/>
    <w:rsid w:val="00B23118"/>
    <w:rsid w:val="00B270E5"/>
    <w:rsid w:val="00B27712"/>
    <w:rsid w:val="00B278C7"/>
    <w:rsid w:val="00B2798E"/>
    <w:rsid w:val="00B27A54"/>
    <w:rsid w:val="00B30783"/>
    <w:rsid w:val="00B31D9C"/>
    <w:rsid w:val="00B323AC"/>
    <w:rsid w:val="00B3271D"/>
    <w:rsid w:val="00B32E2E"/>
    <w:rsid w:val="00B33122"/>
    <w:rsid w:val="00B33547"/>
    <w:rsid w:val="00B33C09"/>
    <w:rsid w:val="00B34519"/>
    <w:rsid w:val="00B34F79"/>
    <w:rsid w:val="00B352AD"/>
    <w:rsid w:val="00B352E3"/>
    <w:rsid w:val="00B358FB"/>
    <w:rsid w:val="00B35A94"/>
    <w:rsid w:val="00B3635B"/>
    <w:rsid w:val="00B403D6"/>
    <w:rsid w:val="00B41554"/>
    <w:rsid w:val="00B41C6E"/>
    <w:rsid w:val="00B41C8E"/>
    <w:rsid w:val="00B41F0F"/>
    <w:rsid w:val="00B42560"/>
    <w:rsid w:val="00B4259B"/>
    <w:rsid w:val="00B42FEB"/>
    <w:rsid w:val="00B43934"/>
    <w:rsid w:val="00B43B9F"/>
    <w:rsid w:val="00B44991"/>
    <w:rsid w:val="00B450ED"/>
    <w:rsid w:val="00B455AA"/>
    <w:rsid w:val="00B45778"/>
    <w:rsid w:val="00B457A1"/>
    <w:rsid w:val="00B45B94"/>
    <w:rsid w:val="00B4630F"/>
    <w:rsid w:val="00B464B1"/>
    <w:rsid w:val="00B46942"/>
    <w:rsid w:val="00B46B2D"/>
    <w:rsid w:val="00B46BBA"/>
    <w:rsid w:val="00B47A4A"/>
    <w:rsid w:val="00B47B99"/>
    <w:rsid w:val="00B505A8"/>
    <w:rsid w:val="00B506F2"/>
    <w:rsid w:val="00B50E67"/>
    <w:rsid w:val="00B510E3"/>
    <w:rsid w:val="00B521AC"/>
    <w:rsid w:val="00B52702"/>
    <w:rsid w:val="00B53C62"/>
    <w:rsid w:val="00B5498D"/>
    <w:rsid w:val="00B54E78"/>
    <w:rsid w:val="00B5501D"/>
    <w:rsid w:val="00B56955"/>
    <w:rsid w:val="00B57B1E"/>
    <w:rsid w:val="00B57BEB"/>
    <w:rsid w:val="00B604BE"/>
    <w:rsid w:val="00B6151E"/>
    <w:rsid w:val="00B61567"/>
    <w:rsid w:val="00B6334F"/>
    <w:rsid w:val="00B6469B"/>
    <w:rsid w:val="00B64962"/>
    <w:rsid w:val="00B64D4D"/>
    <w:rsid w:val="00B64D94"/>
    <w:rsid w:val="00B64F04"/>
    <w:rsid w:val="00B6563F"/>
    <w:rsid w:val="00B66796"/>
    <w:rsid w:val="00B676EC"/>
    <w:rsid w:val="00B7016C"/>
    <w:rsid w:val="00B7039B"/>
    <w:rsid w:val="00B703BC"/>
    <w:rsid w:val="00B711E7"/>
    <w:rsid w:val="00B7137D"/>
    <w:rsid w:val="00B7453F"/>
    <w:rsid w:val="00B74D1E"/>
    <w:rsid w:val="00B75586"/>
    <w:rsid w:val="00B7567D"/>
    <w:rsid w:val="00B75703"/>
    <w:rsid w:val="00B75BD7"/>
    <w:rsid w:val="00B76A18"/>
    <w:rsid w:val="00B7791F"/>
    <w:rsid w:val="00B80026"/>
    <w:rsid w:val="00B82A48"/>
    <w:rsid w:val="00B83E7C"/>
    <w:rsid w:val="00B83F82"/>
    <w:rsid w:val="00B84C6C"/>
    <w:rsid w:val="00B850F7"/>
    <w:rsid w:val="00B85213"/>
    <w:rsid w:val="00B85727"/>
    <w:rsid w:val="00B85D2C"/>
    <w:rsid w:val="00B85FBA"/>
    <w:rsid w:val="00B867C3"/>
    <w:rsid w:val="00B87A5C"/>
    <w:rsid w:val="00B9067A"/>
    <w:rsid w:val="00B91FDA"/>
    <w:rsid w:val="00B92687"/>
    <w:rsid w:val="00B931BB"/>
    <w:rsid w:val="00B932C3"/>
    <w:rsid w:val="00B93C54"/>
    <w:rsid w:val="00B94248"/>
    <w:rsid w:val="00B942A1"/>
    <w:rsid w:val="00B9434F"/>
    <w:rsid w:val="00B94B4F"/>
    <w:rsid w:val="00B956C5"/>
    <w:rsid w:val="00B95CFA"/>
    <w:rsid w:val="00B9620B"/>
    <w:rsid w:val="00B962E2"/>
    <w:rsid w:val="00B96826"/>
    <w:rsid w:val="00B976F6"/>
    <w:rsid w:val="00B97A1C"/>
    <w:rsid w:val="00BA062F"/>
    <w:rsid w:val="00BA0935"/>
    <w:rsid w:val="00BA2434"/>
    <w:rsid w:val="00BA24F3"/>
    <w:rsid w:val="00BA2652"/>
    <w:rsid w:val="00BA407C"/>
    <w:rsid w:val="00BA543F"/>
    <w:rsid w:val="00BA54B1"/>
    <w:rsid w:val="00BA57F5"/>
    <w:rsid w:val="00BA5F41"/>
    <w:rsid w:val="00BA604D"/>
    <w:rsid w:val="00BA65B4"/>
    <w:rsid w:val="00BA6934"/>
    <w:rsid w:val="00BA6A79"/>
    <w:rsid w:val="00BA6E80"/>
    <w:rsid w:val="00BA7385"/>
    <w:rsid w:val="00BA7E70"/>
    <w:rsid w:val="00BB0BE2"/>
    <w:rsid w:val="00BB187C"/>
    <w:rsid w:val="00BB1D57"/>
    <w:rsid w:val="00BB2849"/>
    <w:rsid w:val="00BB296B"/>
    <w:rsid w:val="00BB29CB"/>
    <w:rsid w:val="00BB358C"/>
    <w:rsid w:val="00BB3622"/>
    <w:rsid w:val="00BB455D"/>
    <w:rsid w:val="00BB51BC"/>
    <w:rsid w:val="00BB5FDD"/>
    <w:rsid w:val="00BB682C"/>
    <w:rsid w:val="00BB7484"/>
    <w:rsid w:val="00BB7CA9"/>
    <w:rsid w:val="00BB7CC4"/>
    <w:rsid w:val="00BC1FAF"/>
    <w:rsid w:val="00BC236B"/>
    <w:rsid w:val="00BC2484"/>
    <w:rsid w:val="00BC26B6"/>
    <w:rsid w:val="00BC282B"/>
    <w:rsid w:val="00BC2B2A"/>
    <w:rsid w:val="00BC2BB4"/>
    <w:rsid w:val="00BC4240"/>
    <w:rsid w:val="00BC63D5"/>
    <w:rsid w:val="00BC65A8"/>
    <w:rsid w:val="00BC65D9"/>
    <w:rsid w:val="00BC7761"/>
    <w:rsid w:val="00BC7C52"/>
    <w:rsid w:val="00BC7DA5"/>
    <w:rsid w:val="00BD0409"/>
    <w:rsid w:val="00BD0CF6"/>
    <w:rsid w:val="00BD1471"/>
    <w:rsid w:val="00BD14C5"/>
    <w:rsid w:val="00BD196A"/>
    <w:rsid w:val="00BD2081"/>
    <w:rsid w:val="00BD2311"/>
    <w:rsid w:val="00BD2366"/>
    <w:rsid w:val="00BD2689"/>
    <w:rsid w:val="00BD2B2C"/>
    <w:rsid w:val="00BD3466"/>
    <w:rsid w:val="00BD3B6D"/>
    <w:rsid w:val="00BD4A17"/>
    <w:rsid w:val="00BD572E"/>
    <w:rsid w:val="00BD616A"/>
    <w:rsid w:val="00BD6262"/>
    <w:rsid w:val="00BD7638"/>
    <w:rsid w:val="00BD7BAF"/>
    <w:rsid w:val="00BE0302"/>
    <w:rsid w:val="00BE04B9"/>
    <w:rsid w:val="00BE087A"/>
    <w:rsid w:val="00BE15EA"/>
    <w:rsid w:val="00BE18EE"/>
    <w:rsid w:val="00BE26CE"/>
    <w:rsid w:val="00BE34C2"/>
    <w:rsid w:val="00BE3934"/>
    <w:rsid w:val="00BE433A"/>
    <w:rsid w:val="00BE4978"/>
    <w:rsid w:val="00BE4C48"/>
    <w:rsid w:val="00BE61C1"/>
    <w:rsid w:val="00BE64AF"/>
    <w:rsid w:val="00BE6717"/>
    <w:rsid w:val="00BE742B"/>
    <w:rsid w:val="00BE74B2"/>
    <w:rsid w:val="00BE79E7"/>
    <w:rsid w:val="00BF0381"/>
    <w:rsid w:val="00BF057C"/>
    <w:rsid w:val="00BF0D8B"/>
    <w:rsid w:val="00BF14FA"/>
    <w:rsid w:val="00BF161D"/>
    <w:rsid w:val="00BF190C"/>
    <w:rsid w:val="00BF1ABF"/>
    <w:rsid w:val="00BF1AF7"/>
    <w:rsid w:val="00BF1E69"/>
    <w:rsid w:val="00BF22B5"/>
    <w:rsid w:val="00BF2832"/>
    <w:rsid w:val="00BF37DB"/>
    <w:rsid w:val="00BF3D2B"/>
    <w:rsid w:val="00BF4077"/>
    <w:rsid w:val="00BF4E98"/>
    <w:rsid w:val="00BF53AA"/>
    <w:rsid w:val="00BF543D"/>
    <w:rsid w:val="00BF5A88"/>
    <w:rsid w:val="00BF5DC1"/>
    <w:rsid w:val="00BF6432"/>
    <w:rsid w:val="00BF668D"/>
    <w:rsid w:val="00BF6857"/>
    <w:rsid w:val="00BF6E7B"/>
    <w:rsid w:val="00C01021"/>
    <w:rsid w:val="00C01156"/>
    <w:rsid w:val="00C013EE"/>
    <w:rsid w:val="00C0141F"/>
    <w:rsid w:val="00C03092"/>
    <w:rsid w:val="00C048AF"/>
    <w:rsid w:val="00C077E0"/>
    <w:rsid w:val="00C07DE6"/>
    <w:rsid w:val="00C100A9"/>
    <w:rsid w:val="00C10B27"/>
    <w:rsid w:val="00C10D5E"/>
    <w:rsid w:val="00C10FDE"/>
    <w:rsid w:val="00C12799"/>
    <w:rsid w:val="00C14780"/>
    <w:rsid w:val="00C14FAE"/>
    <w:rsid w:val="00C154B5"/>
    <w:rsid w:val="00C15C44"/>
    <w:rsid w:val="00C163BB"/>
    <w:rsid w:val="00C165D1"/>
    <w:rsid w:val="00C168C9"/>
    <w:rsid w:val="00C16FDB"/>
    <w:rsid w:val="00C172F3"/>
    <w:rsid w:val="00C17872"/>
    <w:rsid w:val="00C205E9"/>
    <w:rsid w:val="00C212FC"/>
    <w:rsid w:val="00C21D4D"/>
    <w:rsid w:val="00C23DF5"/>
    <w:rsid w:val="00C23F48"/>
    <w:rsid w:val="00C24250"/>
    <w:rsid w:val="00C246EC"/>
    <w:rsid w:val="00C25688"/>
    <w:rsid w:val="00C260F5"/>
    <w:rsid w:val="00C262BD"/>
    <w:rsid w:val="00C26BB1"/>
    <w:rsid w:val="00C2796A"/>
    <w:rsid w:val="00C30217"/>
    <w:rsid w:val="00C304AB"/>
    <w:rsid w:val="00C310C2"/>
    <w:rsid w:val="00C311AE"/>
    <w:rsid w:val="00C323B6"/>
    <w:rsid w:val="00C32691"/>
    <w:rsid w:val="00C33761"/>
    <w:rsid w:val="00C34413"/>
    <w:rsid w:val="00C347E1"/>
    <w:rsid w:val="00C35412"/>
    <w:rsid w:val="00C35501"/>
    <w:rsid w:val="00C36298"/>
    <w:rsid w:val="00C36525"/>
    <w:rsid w:val="00C37653"/>
    <w:rsid w:val="00C40592"/>
    <w:rsid w:val="00C408FC"/>
    <w:rsid w:val="00C4092F"/>
    <w:rsid w:val="00C4099F"/>
    <w:rsid w:val="00C40DD9"/>
    <w:rsid w:val="00C40E2A"/>
    <w:rsid w:val="00C40EB3"/>
    <w:rsid w:val="00C40F01"/>
    <w:rsid w:val="00C41082"/>
    <w:rsid w:val="00C41BD9"/>
    <w:rsid w:val="00C420F4"/>
    <w:rsid w:val="00C42599"/>
    <w:rsid w:val="00C42BEC"/>
    <w:rsid w:val="00C42D85"/>
    <w:rsid w:val="00C434FD"/>
    <w:rsid w:val="00C4377F"/>
    <w:rsid w:val="00C43B25"/>
    <w:rsid w:val="00C44ABE"/>
    <w:rsid w:val="00C44E7A"/>
    <w:rsid w:val="00C46BE0"/>
    <w:rsid w:val="00C47AC7"/>
    <w:rsid w:val="00C50563"/>
    <w:rsid w:val="00C50DCF"/>
    <w:rsid w:val="00C51193"/>
    <w:rsid w:val="00C511E1"/>
    <w:rsid w:val="00C5192E"/>
    <w:rsid w:val="00C525C5"/>
    <w:rsid w:val="00C52DE6"/>
    <w:rsid w:val="00C52DFA"/>
    <w:rsid w:val="00C53AF8"/>
    <w:rsid w:val="00C54DE3"/>
    <w:rsid w:val="00C55EC2"/>
    <w:rsid w:val="00C57C92"/>
    <w:rsid w:val="00C57DFE"/>
    <w:rsid w:val="00C6016B"/>
    <w:rsid w:val="00C605EF"/>
    <w:rsid w:val="00C61021"/>
    <w:rsid w:val="00C610F5"/>
    <w:rsid w:val="00C6150F"/>
    <w:rsid w:val="00C61A53"/>
    <w:rsid w:val="00C61D5B"/>
    <w:rsid w:val="00C620CC"/>
    <w:rsid w:val="00C634A7"/>
    <w:rsid w:val="00C6369C"/>
    <w:rsid w:val="00C638D7"/>
    <w:rsid w:val="00C638DF"/>
    <w:rsid w:val="00C64720"/>
    <w:rsid w:val="00C648DA"/>
    <w:rsid w:val="00C6517F"/>
    <w:rsid w:val="00C65188"/>
    <w:rsid w:val="00C651C3"/>
    <w:rsid w:val="00C653AA"/>
    <w:rsid w:val="00C6584B"/>
    <w:rsid w:val="00C6671A"/>
    <w:rsid w:val="00C6791B"/>
    <w:rsid w:val="00C67944"/>
    <w:rsid w:val="00C67BA6"/>
    <w:rsid w:val="00C7043C"/>
    <w:rsid w:val="00C70DA3"/>
    <w:rsid w:val="00C71920"/>
    <w:rsid w:val="00C71F88"/>
    <w:rsid w:val="00C72A63"/>
    <w:rsid w:val="00C72D2D"/>
    <w:rsid w:val="00C73020"/>
    <w:rsid w:val="00C7313F"/>
    <w:rsid w:val="00C73EAB"/>
    <w:rsid w:val="00C74048"/>
    <w:rsid w:val="00C743C9"/>
    <w:rsid w:val="00C7440A"/>
    <w:rsid w:val="00C7492F"/>
    <w:rsid w:val="00C74E25"/>
    <w:rsid w:val="00C751CD"/>
    <w:rsid w:val="00C76B12"/>
    <w:rsid w:val="00C806B8"/>
    <w:rsid w:val="00C80AE4"/>
    <w:rsid w:val="00C80B84"/>
    <w:rsid w:val="00C818F0"/>
    <w:rsid w:val="00C824E5"/>
    <w:rsid w:val="00C8311A"/>
    <w:rsid w:val="00C83125"/>
    <w:rsid w:val="00C8322D"/>
    <w:rsid w:val="00C835E4"/>
    <w:rsid w:val="00C83AC4"/>
    <w:rsid w:val="00C83F67"/>
    <w:rsid w:val="00C8403F"/>
    <w:rsid w:val="00C857F1"/>
    <w:rsid w:val="00C85C9C"/>
    <w:rsid w:val="00C85E84"/>
    <w:rsid w:val="00C86137"/>
    <w:rsid w:val="00C871C4"/>
    <w:rsid w:val="00C91134"/>
    <w:rsid w:val="00C93C76"/>
    <w:rsid w:val="00C94295"/>
    <w:rsid w:val="00C94F83"/>
    <w:rsid w:val="00C955D7"/>
    <w:rsid w:val="00C95BC1"/>
    <w:rsid w:val="00C95EF4"/>
    <w:rsid w:val="00C96B13"/>
    <w:rsid w:val="00C96D6E"/>
    <w:rsid w:val="00C9708D"/>
    <w:rsid w:val="00C9735D"/>
    <w:rsid w:val="00CA1130"/>
    <w:rsid w:val="00CA12D3"/>
    <w:rsid w:val="00CA18AA"/>
    <w:rsid w:val="00CA1BF7"/>
    <w:rsid w:val="00CA2182"/>
    <w:rsid w:val="00CA2871"/>
    <w:rsid w:val="00CA3A26"/>
    <w:rsid w:val="00CA415F"/>
    <w:rsid w:val="00CA49D7"/>
    <w:rsid w:val="00CA4EED"/>
    <w:rsid w:val="00CA5EA7"/>
    <w:rsid w:val="00CA63B6"/>
    <w:rsid w:val="00CA69BE"/>
    <w:rsid w:val="00CA7000"/>
    <w:rsid w:val="00CA76C0"/>
    <w:rsid w:val="00CA7CB9"/>
    <w:rsid w:val="00CB0101"/>
    <w:rsid w:val="00CB026C"/>
    <w:rsid w:val="00CB0D51"/>
    <w:rsid w:val="00CB1647"/>
    <w:rsid w:val="00CB1AF9"/>
    <w:rsid w:val="00CB2B5A"/>
    <w:rsid w:val="00CB2C14"/>
    <w:rsid w:val="00CB2C7C"/>
    <w:rsid w:val="00CB36BB"/>
    <w:rsid w:val="00CB3BF1"/>
    <w:rsid w:val="00CB3D07"/>
    <w:rsid w:val="00CB50B4"/>
    <w:rsid w:val="00CB5111"/>
    <w:rsid w:val="00CB5A49"/>
    <w:rsid w:val="00CB5C15"/>
    <w:rsid w:val="00CB6383"/>
    <w:rsid w:val="00CB678B"/>
    <w:rsid w:val="00CB7746"/>
    <w:rsid w:val="00CB7AA5"/>
    <w:rsid w:val="00CC0490"/>
    <w:rsid w:val="00CC10ED"/>
    <w:rsid w:val="00CC1228"/>
    <w:rsid w:val="00CC1694"/>
    <w:rsid w:val="00CC1A21"/>
    <w:rsid w:val="00CC1EC3"/>
    <w:rsid w:val="00CC279B"/>
    <w:rsid w:val="00CC2982"/>
    <w:rsid w:val="00CC2CAF"/>
    <w:rsid w:val="00CC3385"/>
    <w:rsid w:val="00CC351A"/>
    <w:rsid w:val="00CC3915"/>
    <w:rsid w:val="00CC3F38"/>
    <w:rsid w:val="00CC5004"/>
    <w:rsid w:val="00CC5B4B"/>
    <w:rsid w:val="00CC60A4"/>
    <w:rsid w:val="00CC66DE"/>
    <w:rsid w:val="00CC69D0"/>
    <w:rsid w:val="00CC6EBC"/>
    <w:rsid w:val="00CC7819"/>
    <w:rsid w:val="00CC7A56"/>
    <w:rsid w:val="00CC7C0C"/>
    <w:rsid w:val="00CD0152"/>
    <w:rsid w:val="00CD1089"/>
    <w:rsid w:val="00CD27B1"/>
    <w:rsid w:val="00CD2C5C"/>
    <w:rsid w:val="00CD4A45"/>
    <w:rsid w:val="00CD5550"/>
    <w:rsid w:val="00CD5A87"/>
    <w:rsid w:val="00CD5EFF"/>
    <w:rsid w:val="00CD66E2"/>
    <w:rsid w:val="00CD67FE"/>
    <w:rsid w:val="00CD75BE"/>
    <w:rsid w:val="00CD75E3"/>
    <w:rsid w:val="00CE031C"/>
    <w:rsid w:val="00CE1A27"/>
    <w:rsid w:val="00CE230B"/>
    <w:rsid w:val="00CE2627"/>
    <w:rsid w:val="00CE2EB2"/>
    <w:rsid w:val="00CE3722"/>
    <w:rsid w:val="00CE4D75"/>
    <w:rsid w:val="00CE4E52"/>
    <w:rsid w:val="00CE525D"/>
    <w:rsid w:val="00CE5C99"/>
    <w:rsid w:val="00CE7D31"/>
    <w:rsid w:val="00CF17D8"/>
    <w:rsid w:val="00CF1F7C"/>
    <w:rsid w:val="00CF1F8F"/>
    <w:rsid w:val="00CF1FEE"/>
    <w:rsid w:val="00CF23EE"/>
    <w:rsid w:val="00CF3C83"/>
    <w:rsid w:val="00CF427C"/>
    <w:rsid w:val="00CF4667"/>
    <w:rsid w:val="00CF4CD9"/>
    <w:rsid w:val="00CF4EA0"/>
    <w:rsid w:val="00CF4EBA"/>
    <w:rsid w:val="00CF5167"/>
    <w:rsid w:val="00CF53F2"/>
    <w:rsid w:val="00CF6B50"/>
    <w:rsid w:val="00CF7BB8"/>
    <w:rsid w:val="00D00580"/>
    <w:rsid w:val="00D00B3B"/>
    <w:rsid w:val="00D04B2D"/>
    <w:rsid w:val="00D04BE7"/>
    <w:rsid w:val="00D0525B"/>
    <w:rsid w:val="00D060ED"/>
    <w:rsid w:val="00D07027"/>
    <w:rsid w:val="00D07059"/>
    <w:rsid w:val="00D07CDC"/>
    <w:rsid w:val="00D1068C"/>
    <w:rsid w:val="00D10B84"/>
    <w:rsid w:val="00D11357"/>
    <w:rsid w:val="00D117CC"/>
    <w:rsid w:val="00D11EE0"/>
    <w:rsid w:val="00D126F7"/>
    <w:rsid w:val="00D129F5"/>
    <w:rsid w:val="00D12ED9"/>
    <w:rsid w:val="00D141DD"/>
    <w:rsid w:val="00D1494A"/>
    <w:rsid w:val="00D15055"/>
    <w:rsid w:val="00D1570D"/>
    <w:rsid w:val="00D164EF"/>
    <w:rsid w:val="00D16E46"/>
    <w:rsid w:val="00D17D8B"/>
    <w:rsid w:val="00D17FA9"/>
    <w:rsid w:val="00D20FF2"/>
    <w:rsid w:val="00D21165"/>
    <w:rsid w:val="00D21887"/>
    <w:rsid w:val="00D22C10"/>
    <w:rsid w:val="00D24878"/>
    <w:rsid w:val="00D2506F"/>
    <w:rsid w:val="00D2547E"/>
    <w:rsid w:val="00D266DE"/>
    <w:rsid w:val="00D26C10"/>
    <w:rsid w:val="00D276AC"/>
    <w:rsid w:val="00D30BBF"/>
    <w:rsid w:val="00D3110F"/>
    <w:rsid w:val="00D31689"/>
    <w:rsid w:val="00D32B9E"/>
    <w:rsid w:val="00D32CC6"/>
    <w:rsid w:val="00D33330"/>
    <w:rsid w:val="00D33DBC"/>
    <w:rsid w:val="00D352E4"/>
    <w:rsid w:val="00D355E8"/>
    <w:rsid w:val="00D36C5C"/>
    <w:rsid w:val="00D40797"/>
    <w:rsid w:val="00D40A85"/>
    <w:rsid w:val="00D41942"/>
    <w:rsid w:val="00D4208C"/>
    <w:rsid w:val="00D421AE"/>
    <w:rsid w:val="00D42ECC"/>
    <w:rsid w:val="00D42F7F"/>
    <w:rsid w:val="00D43DD6"/>
    <w:rsid w:val="00D4413F"/>
    <w:rsid w:val="00D45A42"/>
    <w:rsid w:val="00D45AB6"/>
    <w:rsid w:val="00D463BE"/>
    <w:rsid w:val="00D475CC"/>
    <w:rsid w:val="00D500C0"/>
    <w:rsid w:val="00D501D0"/>
    <w:rsid w:val="00D51C2C"/>
    <w:rsid w:val="00D551A2"/>
    <w:rsid w:val="00D55A36"/>
    <w:rsid w:val="00D5689A"/>
    <w:rsid w:val="00D57072"/>
    <w:rsid w:val="00D57C37"/>
    <w:rsid w:val="00D60586"/>
    <w:rsid w:val="00D607F3"/>
    <w:rsid w:val="00D60FC8"/>
    <w:rsid w:val="00D61082"/>
    <w:rsid w:val="00D61249"/>
    <w:rsid w:val="00D618F5"/>
    <w:rsid w:val="00D61AE5"/>
    <w:rsid w:val="00D62267"/>
    <w:rsid w:val="00D63072"/>
    <w:rsid w:val="00D63BE1"/>
    <w:rsid w:val="00D64636"/>
    <w:rsid w:val="00D64FFA"/>
    <w:rsid w:val="00D65135"/>
    <w:rsid w:val="00D654CD"/>
    <w:rsid w:val="00D660E7"/>
    <w:rsid w:val="00D668E4"/>
    <w:rsid w:val="00D67292"/>
    <w:rsid w:val="00D67466"/>
    <w:rsid w:val="00D676D7"/>
    <w:rsid w:val="00D679CC"/>
    <w:rsid w:val="00D67F91"/>
    <w:rsid w:val="00D700E5"/>
    <w:rsid w:val="00D70353"/>
    <w:rsid w:val="00D7047B"/>
    <w:rsid w:val="00D7086F"/>
    <w:rsid w:val="00D7098E"/>
    <w:rsid w:val="00D70FA0"/>
    <w:rsid w:val="00D71DCC"/>
    <w:rsid w:val="00D7213F"/>
    <w:rsid w:val="00D72592"/>
    <w:rsid w:val="00D729A9"/>
    <w:rsid w:val="00D73441"/>
    <w:rsid w:val="00D73ADF"/>
    <w:rsid w:val="00D73B93"/>
    <w:rsid w:val="00D741F4"/>
    <w:rsid w:val="00D74780"/>
    <w:rsid w:val="00D74FEC"/>
    <w:rsid w:val="00D75505"/>
    <w:rsid w:val="00D75589"/>
    <w:rsid w:val="00D756EE"/>
    <w:rsid w:val="00D75AF1"/>
    <w:rsid w:val="00D76695"/>
    <w:rsid w:val="00D76F28"/>
    <w:rsid w:val="00D777F3"/>
    <w:rsid w:val="00D77DAB"/>
    <w:rsid w:val="00D80095"/>
    <w:rsid w:val="00D805B8"/>
    <w:rsid w:val="00D8100D"/>
    <w:rsid w:val="00D8133F"/>
    <w:rsid w:val="00D8228F"/>
    <w:rsid w:val="00D827EA"/>
    <w:rsid w:val="00D83CB1"/>
    <w:rsid w:val="00D83D3F"/>
    <w:rsid w:val="00D855B9"/>
    <w:rsid w:val="00D862DA"/>
    <w:rsid w:val="00D8636C"/>
    <w:rsid w:val="00D863D7"/>
    <w:rsid w:val="00D8640C"/>
    <w:rsid w:val="00D86456"/>
    <w:rsid w:val="00D870BD"/>
    <w:rsid w:val="00D87A6B"/>
    <w:rsid w:val="00D90AD2"/>
    <w:rsid w:val="00D90ED8"/>
    <w:rsid w:val="00D9137A"/>
    <w:rsid w:val="00D91C9A"/>
    <w:rsid w:val="00D929DF"/>
    <w:rsid w:val="00D95737"/>
    <w:rsid w:val="00D95875"/>
    <w:rsid w:val="00D97C23"/>
    <w:rsid w:val="00DA032D"/>
    <w:rsid w:val="00DA0382"/>
    <w:rsid w:val="00DA05BE"/>
    <w:rsid w:val="00DA0CDE"/>
    <w:rsid w:val="00DA112B"/>
    <w:rsid w:val="00DA2EE2"/>
    <w:rsid w:val="00DA30CA"/>
    <w:rsid w:val="00DA3350"/>
    <w:rsid w:val="00DA3D7B"/>
    <w:rsid w:val="00DA44AF"/>
    <w:rsid w:val="00DA603A"/>
    <w:rsid w:val="00DA60B3"/>
    <w:rsid w:val="00DA6721"/>
    <w:rsid w:val="00DA7189"/>
    <w:rsid w:val="00DA7370"/>
    <w:rsid w:val="00DB1190"/>
    <w:rsid w:val="00DB16E3"/>
    <w:rsid w:val="00DB27BA"/>
    <w:rsid w:val="00DB2A95"/>
    <w:rsid w:val="00DB2AE7"/>
    <w:rsid w:val="00DB2BF8"/>
    <w:rsid w:val="00DB4594"/>
    <w:rsid w:val="00DB4AA3"/>
    <w:rsid w:val="00DB68FF"/>
    <w:rsid w:val="00DB7230"/>
    <w:rsid w:val="00DB7719"/>
    <w:rsid w:val="00DB7768"/>
    <w:rsid w:val="00DC0094"/>
    <w:rsid w:val="00DC0304"/>
    <w:rsid w:val="00DC15CD"/>
    <w:rsid w:val="00DC17C8"/>
    <w:rsid w:val="00DC1EDD"/>
    <w:rsid w:val="00DC264D"/>
    <w:rsid w:val="00DC32BA"/>
    <w:rsid w:val="00DC5B05"/>
    <w:rsid w:val="00DC5D42"/>
    <w:rsid w:val="00DC5F61"/>
    <w:rsid w:val="00DC5FD8"/>
    <w:rsid w:val="00DC79C8"/>
    <w:rsid w:val="00DD0005"/>
    <w:rsid w:val="00DD03C9"/>
    <w:rsid w:val="00DD067C"/>
    <w:rsid w:val="00DD07DE"/>
    <w:rsid w:val="00DD0EF0"/>
    <w:rsid w:val="00DD2648"/>
    <w:rsid w:val="00DD2698"/>
    <w:rsid w:val="00DD2C0B"/>
    <w:rsid w:val="00DD30D3"/>
    <w:rsid w:val="00DD35AA"/>
    <w:rsid w:val="00DD4253"/>
    <w:rsid w:val="00DD4714"/>
    <w:rsid w:val="00DD4794"/>
    <w:rsid w:val="00DD4E56"/>
    <w:rsid w:val="00DD5E99"/>
    <w:rsid w:val="00DD64AD"/>
    <w:rsid w:val="00DD64E0"/>
    <w:rsid w:val="00DD6537"/>
    <w:rsid w:val="00DD6667"/>
    <w:rsid w:val="00DD6D84"/>
    <w:rsid w:val="00DD71A4"/>
    <w:rsid w:val="00DD72CE"/>
    <w:rsid w:val="00DD74A2"/>
    <w:rsid w:val="00DD7F22"/>
    <w:rsid w:val="00DE0F66"/>
    <w:rsid w:val="00DE12C9"/>
    <w:rsid w:val="00DE200F"/>
    <w:rsid w:val="00DE2BCB"/>
    <w:rsid w:val="00DE2EEB"/>
    <w:rsid w:val="00DE341A"/>
    <w:rsid w:val="00DE383B"/>
    <w:rsid w:val="00DE4396"/>
    <w:rsid w:val="00DE467C"/>
    <w:rsid w:val="00DE49BE"/>
    <w:rsid w:val="00DE51C6"/>
    <w:rsid w:val="00DE5A2D"/>
    <w:rsid w:val="00DE5CC8"/>
    <w:rsid w:val="00DE61BB"/>
    <w:rsid w:val="00DE6576"/>
    <w:rsid w:val="00DE669F"/>
    <w:rsid w:val="00DE7058"/>
    <w:rsid w:val="00DE7DFF"/>
    <w:rsid w:val="00DF0936"/>
    <w:rsid w:val="00DF20C6"/>
    <w:rsid w:val="00DF2276"/>
    <w:rsid w:val="00DF2E1D"/>
    <w:rsid w:val="00DF2F6C"/>
    <w:rsid w:val="00DF3050"/>
    <w:rsid w:val="00DF375C"/>
    <w:rsid w:val="00DF3E90"/>
    <w:rsid w:val="00DF3F29"/>
    <w:rsid w:val="00DF4614"/>
    <w:rsid w:val="00DF49B4"/>
    <w:rsid w:val="00DF5BCF"/>
    <w:rsid w:val="00DF6B1A"/>
    <w:rsid w:val="00DF6D10"/>
    <w:rsid w:val="00DF6F8C"/>
    <w:rsid w:val="00DF7445"/>
    <w:rsid w:val="00DF77FA"/>
    <w:rsid w:val="00DF7987"/>
    <w:rsid w:val="00DF7B25"/>
    <w:rsid w:val="00DF7EB6"/>
    <w:rsid w:val="00E00B67"/>
    <w:rsid w:val="00E01898"/>
    <w:rsid w:val="00E01C2E"/>
    <w:rsid w:val="00E01C66"/>
    <w:rsid w:val="00E02971"/>
    <w:rsid w:val="00E02B9E"/>
    <w:rsid w:val="00E0339C"/>
    <w:rsid w:val="00E0370A"/>
    <w:rsid w:val="00E03B7F"/>
    <w:rsid w:val="00E0463F"/>
    <w:rsid w:val="00E04F40"/>
    <w:rsid w:val="00E052A9"/>
    <w:rsid w:val="00E05F3A"/>
    <w:rsid w:val="00E06BEA"/>
    <w:rsid w:val="00E0742B"/>
    <w:rsid w:val="00E0761E"/>
    <w:rsid w:val="00E108B9"/>
    <w:rsid w:val="00E10AC4"/>
    <w:rsid w:val="00E10F6D"/>
    <w:rsid w:val="00E1115A"/>
    <w:rsid w:val="00E11461"/>
    <w:rsid w:val="00E11D85"/>
    <w:rsid w:val="00E12891"/>
    <w:rsid w:val="00E12959"/>
    <w:rsid w:val="00E130D6"/>
    <w:rsid w:val="00E135A1"/>
    <w:rsid w:val="00E13CE3"/>
    <w:rsid w:val="00E14278"/>
    <w:rsid w:val="00E1467E"/>
    <w:rsid w:val="00E1496E"/>
    <w:rsid w:val="00E15274"/>
    <w:rsid w:val="00E152CE"/>
    <w:rsid w:val="00E15EEE"/>
    <w:rsid w:val="00E16D1A"/>
    <w:rsid w:val="00E16EF1"/>
    <w:rsid w:val="00E1764D"/>
    <w:rsid w:val="00E177A0"/>
    <w:rsid w:val="00E179E1"/>
    <w:rsid w:val="00E17E0C"/>
    <w:rsid w:val="00E17F63"/>
    <w:rsid w:val="00E20999"/>
    <w:rsid w:val="00E20ACF"/>
    <w:rsid w:val="00E20F76"/>
    <w:rsid w:val="00E2249C"/>
    <w:rsid w:val="00E22DD1"/>
    <w:rsid w:val="00E24EC7"/>
    <w:rsid w:val="00E2581E"/>
    <w:rsid w:val="00E25D5E"/>
    <w:rsid w:val="00E25EBE"/>
    <w:rsid w:val="00E31370"/>
    <w:rsid w:val="00E31C9B"/>
    <w:rsid w:val="00E3233F"/>
    <w:rsid w:val="00E33622"/>
    <w:rsid w:val="00E33684"/>
    <w:rsid w:val="00E3373D"/>
    <w:rsid w:val="00E33D97"/>
    <w:rsid w:val="00E345CC"/>
    <w:rsid w:val="00E34A25"/>
    <w:rsid w:val="00E352F9"/>
    <w:rsid w:val="00E36A79"/>
    <w:rsid w:val="00E36B0D"/>
    <w:rsid w:val="00E37126"/>
    <w:rsid w:val="00E3762F"/>
    <w:rsid w:val="00E37BD2"/>
    <w:rsid w:val="00E37CE4"/>
    <w:rsid w:val="00E401BA"/>
    <w:rsid w:val="00E407A4"/>
    <w:rsid w:val="00E4094D"/>
    <w:rsid w:val="00E40F9D"/>
    <w:rsid w:val="00E41E0A"/>
    <w:rsid w:val="00E421B2"/>
    <w:rsid w:val="00E428A5"/>
    <w:rsid w:val="00E43C06"/>
    <w:rsid w:val="00E44791"/>
    <w:rsid w:val="00E449B1"/>
    <w:rsid w:val="00E453FA"/>
    <w:rsid w:val="00E463EA"/>
    <w:rsid w:val="00E47496"/>
    <w:rsid w:val="00E47B31"/>
    <w:rsid w:val="00E501F7"/>
    <w:rsid w:val="00E507F1"/>
    <w:rsid w:val="00E5082D"/>
    <w:rsid w:val="00E51910"/>
    <w:rsid w:val="00E52168"/>
    <w:rsid w:val="00E52DEA"/>
    <w:rsid w:val="00E5369E"/>
    <w:rsid w:val="00E54D8F"/>
    <w:rsid w:val="00E55ACB"/>
    <w:rsid w:val="00E56EF0"/>
    <w:rsid w:val="00E574A9"/>
    <w:rsid w:val="00E57AB6"/>
    <w:rsid w:val="00E608DF"/>
    <w:rsid w:val="00E60F31"/>
    <w:rsid w:val="00E61355"/>
    <w:rsid w:val="00E613BC"/>
    <w:rsid w:val="00E61B79"/>
    <w:rsid w:val="00E61F1E"/>
    <w:rsid w:val="00E62249"/>
    <w:rsid w:val="00E62690"/>
    <w:rsid w:val="00E63346"/>
    <w:rsid w:val="00E639D9"/>
    <w:rsid w:val="00E64A57"/>
    <w:rsid w:val="00E65014"/>
    <w:rsid w:val="00E651C2"/>
    <w:rsid w:val="00E660F6"/>
    <w:rsid w:val="00E66861"/>
    <w:rsid w:val="00E66E21"/>
    <w:rsid w:val="00E67063"/>
    <w:rsid w:val="00E70F38"/>
    <w:rsid w:val="00E710FC"/>
    <w:rsid w:val="00E71915"/>
    <w:rsid w:val="00E72016"/>
    <w:rsid w:val="00E7227D"/>
    <w:rsid w:val="00E739F3"/>
    <w:rsid w:val="00E73E65"/>
    <w:rsid w:val="00E747DF"/>
    <w:rsid w:val="00E764F7"/>
    <w:rsid w:val="00E802EC"/>
    <w:rsid w:val="00E80916"/>
    <w:rsid w:val="00E81045"/>
    <w:rsid w:val="00E815C2"/>
    <w:rsid w:val="00E81B55"/>
    <w:rsid w:val="00E81E03"/>
    <w:rsid w:val="00E8217D"/>
    <w:rsid w:val="00E8302D"/>
    <w:rsid w:val="00E83035"/>
    <w:rsid w:val="00E83F38"/>
    <w:rsid w:val="00E8402A"/>
    <w:rsid w:val="00E840DF"/>
    <w:rsid w:val="00E84599"/>
    <w:rsid w:val="00E84A73"/>
    <w:rsid w:val="00E8560F"/>
    <w:rsid w:val="00E85733"/>
    <w:rsid w:val="00E864D5"/>
    <w:rsid w:val="00E8682C"/>
    <w:rsid w:val="00E8722F"/>
    <w:rsid w:val="00E8743E"/>
    <w:rsid w:val="00E8780A"/>
    <w:rsid w:val="00E87EFB"/>
    <w:rsid w:val="00E87FBA"/>
    <w:rsid w:val="00E91C18"/>
    <w:rsid w:val="00E91D10"/>
    <w:rsid w:val="00E92413"/>
    <w:rsid w:val="00E94639"/>
    <w:rsid w:val="00E94BE9"/>
    <w:rsid w:val="00E95714"/>
    <w:rsid w:val="00E957FC"/>
    <w:rsid w:val="00E967C5"/>
    <w:rsid w:val="00E971EA"/>
    <w:rsid w:val="00E97DDF"/>
    <w:rsid w:val="00EA0289"/>
    <w:rsid w:val="00EA054C"/>
    <w:rsid w:val="00EA062E"/>
    <w:rsid w:val="00EA06A2"/>
    <w:rsid w:val="00EA37DB"/>
    <w:rsid w:val="00EA4C59"/>
    <w:rsid w:val="00EA5297"/>
    <w:rsid w:val="00EA5617"/>
    <w:rsid w:val="00EA6369"/>
    <w:rsid w:val="00EA6F98"/>
    <w:rsid w:val="00EA767E"/>
    <w:rsid w:val="00EA7920"/>
    <w:rsid w:val="00EA7FC2"/>
    <w:rsid w:val="00EB04E5"/>
    <w:rsid w:val="00EB11D1"/>
    <w:rsid w:val="00EB181B"/>
    <w:rsid w:val="00EB1CA4"/>
    <w:rsid w:val="00EB23D4"/>
    <w:rsid w:val="00EB256A"/>
    <w:rsid w:val="00EB2810"/>
    <w:rsid w:val="00EB2DEA"/>
    <w:rsid w:val="00EB2F0D"/>
    <w:rsid w:val="00EB59D2"/>
    <w:rsid w:val="00EB5E05"/>
    <w:rsid w:val="00EB69B9"/>
    <w:rsid w:val="00EB7868"/>
    <w:rsid w:val="00EC02E1"/>
    <w:rsid w:val="00EC0895"/>
    <w:rsid w:val="00EC2065"/>
    <w:rsid w:val="00EC2B43"/>
    <w:rsid w:val="00EC2C21"/>
    <w:rsid w:val="00EC2F8B"/>
    <w:rsid w:val="00EC32B7"/>
    <w:rsid w:val="00EC3318"/>
    <w:rsid w:val="00EC341C"/>
    <w:rsid w:val="00EC39DE"/>
    <w:rsid w:val="00EC4952"/>
    <w:rsid w:val="00EC4B65"/>
    <w:rsid w:val="00EC5B17"/>
    <w:rsid w:val="00EC60E1"/>
    <w:rsid w:val="00EC62B4"/>
    <w:rsid w:val="00EC73D4"/>
    <w:rsid w:val="00EC7459"/>
    <w:rsid w:val="00EC7B51"/>
    <w:rsid w:val="00ED136A"/>
    <w:rsid w:val="00ED15FC"/>
    <w:rsid w:val="00ED1657"/>
    <w:rsid w:val="00ED1954"/>
    <w:rsid w:val="00ED1F1D"/>
    <w:rsid w:val="00ED47F9"/>
    <w:rsid w:val="00ED5637"/>
    <w:rsid w:val="00ED6618"/>
    <w:rsid w:val="00ED7F2B"/>
    <w:rsid w:val="00EE0207"/>
    <w:rsid w:val="00EE0210"/>
    <w:rsid w:val="00EE097A"/>
    <w:rsid w:val="00EE0A06"/>
    <w:rsid w:val="00EE1A1F"/>
    <w:rsid w:val="00EE2CC8"/>
    <w:rsid w:val="00EE3330"/>
    <w:rsid w:val="00EE366B"/>
    <w:rsid w:val="00EE376C"/>
    <w:rsid w:val="00EE38AA"/>
    <w:rsid w:val="00EE4277"/>
    <w:rsid w:val="00EE4A77"/>
    <w:rsid w:val="00EE4C46"/>
    <w:rsid w:val="00EE5AEE"/>
    <w:rsid w:val="00EE71C9"/>
    <w:rsid w:val="00EF0575"/>
    <w:rsid w:val="00EF352D"/>
    <w:rsid w:val="00EF3EC3"/>
    <w:rsid w:val="00EF4AEE"/>
    <w:rsid w:val="00EF5378"/>
    <w:rsid w:val="00EF5FB4"/>
    <w:rsid w:val="00EF6E41"/>
    <w:rsid w:val="00F03E69"/>
    <w:rsid w:val="00F03F3B"/>
    <w:rsid w:val="00F050A0"/>
    <w:rsid w:val="00F0527C"/>
    <w:rsid w:val="00F053E2"/>
    <w:rsid w:val="00F07468"/>
    <w:rsid w:val="00F07F0D"/>
    <w:rsid w:val="00F1035A"/>
    <w:rsid w:val="00F11BAB"/>
    <w:rsid w:val="00F11DDC"/>
    <w:rsid w:val="00F12226"/>
    <w:rsid w:val="00F12A7F"/>
    <w:rsid w:val="00F12D36"/>
    <w:rsid w:val="00F1302B"/>
    <w:rsid w:val="00F13908"/>
    <w:rsid w:val="00F13F76"/>
    <w:rsid w:val="00F158CA"/>
    <w:rsid w:val="00F159A3"/>
    <w:rsid w:val="00F200C4"/>
    <w:rsid w:val="00F2176B"/>
    <w:rsid w:val="00F21EB1"/>
    <w:rsid w:val="00F22D82"/>
    <w:rsid w:val="00F22E71"/>
    <w:rsid w:val="00F2300F"/>
    <w:rsid w:val="00F23A8E"/>
    <w:rsid w:val="00F26D40"/>
    <w:rsid w:val="00F270D8"/>
    <w:rsid w:val="00F27D21"/>
    <w:rsid w:val="00F31534"/>
    <w:rsid w:val="00F31FC3"/>
    <w:rsid w:val="00F32566"/>
    <w:rsid w:val="00F33596"/>
    <w:rsid w:val="00F340B6"/>
    <w:rsid w:val="00F342CD"/>
    <w:rsid w:val="00F34B1E"/>
    <w:rsid w:val="00F355F1"/>
    <w:rsid w:val="00F361B7"/>
    <w:rsid w:val="00F3658A"/>
    <w:rsid w:val="00F36B64"/>
    <w:rsid w:val="00F37B2F"/>
    <w:rsid w:val="00F402E8"/>
    <w:rsid w:val="00F40BAE"/>
    <w:rsid w:val="00F410E8"/>
    <w:rsid w:val="00F42A8F"/>
    <w:rsid w:val="00F42DEC"/>
    <w:rsid w:val="00F43485"/>
    <w:rsid w:val="00F43A87"/>
    <w:rsid w:val="00F4485A"/>
    <w:rsid w:val="00F450E5"/>
    <w:rsid w:val="00F507E8"/>
    <w:rsid w:val="00F50E41"/>
    <w:rsid w:val="00F51DA4"/>
    <w:rsid w:val="00F5213E"/>
    <w:rsid w:val="00F524CF"/>
    <w:rsid w:val="00F52F93"/>
    <w:rsid w:val="00F531ED"/>
    <w:rsid w:val="00F53AAB"/>
    <w:rsid w:val="00F54173"/>
    <w:rsid w:val="00F54608"/>
    <w:rsid w:val="00F552F2"/>
    <w:rsid w:val="00F55E52"/>
    <w:rsid w:val="00F56731"/>
    <w:rsid w:val="00F57EF0"/>
    <w:rsid w:val="00F60B81"/>
    <w:rsid w:val="00F611F0"/>
    <w:rsid w:val="00F61A74"/>
    <w:rsid w:val="00F6211B"/>
    <w:rsid w:val="00F626FF"/>
    <w:rsid w:val="00F627E2"/>
    <w:rsid w:val="00F6280A"/>
    <w:rsid w:val="00F62A50"/>
    <w:rsid w:val="00F636FE"/>
    <w:rsid w:val="00F64E91"/>
    <w:rsid w:val="00F64F85"/>
    <w:rsid w:val="00F65547"/>
    <w:rsid w:val="00F655E6"/>
    <w:rsid w:val="00F656F8"/>
    <w:rsid w:val="00F66C3A"/>
    <w:rsid w:val="00F66DFC"/>
    <w:rsid w:val="00F70BC8"/>
    <w:rsid w:val="00F71111"/>
    <w:rsid w:val="00F71166"/>
    <w:rsid w:val="00F71520"/>
    <w:rsid w:val="00F73EE3"/>
    <w:rsid w:val="00F740C6"/>
    <w:rsid w:val="00F740E4"/>
    <w:rsid w:val="00F74446"/>
    <w:rsid w:val="00F747C0"/>
    <w:rsid w:val="00F7590F"/>
    <w:rsid w:val="00F75FE2"/>
    <w:rsid w:val="00F76193"/>
    <w:rsid w:val="00F765DC"/>
    <w:rsid w:val="00F770E5"/>
    <w:rsid w:val="00F772CC"/>
    <w:rsid w:val="00F80435"/>
    <w:rsid w:val="00F80589"/>
    <w:rsid w:val="00F80E5F"/>
    <w:rsid w:val="00F80EAF"/>
    <w:rsid w:val="00F817AF"/>
    <w:rsid w:val="00F81C76"/>
    <w:rsid w:val="00F82F30"/>
    <w:rsid w:val="00F83E6D"/>
    <w:rsid w:val="00F845C5"/>
    <w:rsid w:val="00F84CEF"/>
    <w:rsid w:val="00F8569E"/>
    <w:rsid w:val="00F85A14"/>
    <w:rsid w:val="00F8652A"/>
    <w:rsid w:val="00F871E4"/>
    <w:rsid w:val="00F874D2"/>
    <w:rsid w:val="00F87A15"/>
    <w:rsid w:val="00F905A3"/>
    <w:rsid w:val="00F90EB0"/>
    <w:rsid w:val="00F913C6"/>
    <w:rsid w:val="00F92C7F"/>
    <w:rsid w:val="00F92FD0"/>
    <w:rsid w:val="00F93A5C"/>
    <w:rsid w:val="00F94864"/>
    <w:rsid w:val="00F94D00"/>
    <w:rsid w:val="00F958C4"/>
    <w:rsid w:val="00F95BDD"/>
    <w:rsid w:val="00F964EC"/>
    <w:rsid w:val="00F96848"/>
    <w:rsid w:val="00F97AF1"/>
    <w:rsid w:val="00FA00A2"/>
    <w:rsid w:val="00FA02EE"/>
    <w:rsid w:val="00FA1001"/>
    <w:rsid w:val="00FA2540"/>
    <w:rsid w:val="00FA33A6"/>
    <w:rsid w:val="00FA3BE5"/>
    <w:rsid w:val="00FA493A"/>
    <w:rsid w:val="00FA500C"/>
    <w:rsid w:val="00FA5BD1"/>
    <w:rsid w:val="00FA6C1F"/>
    <w:rsid w:val="00FA7380"/>
    <w:rsid w:val="00FA7B48"/>
    <w:rsid w:val="00FA7B80"/>
    <w:rsid w:val="00FB0650"/>
    <w:rsid w:val="00FB0B18"/>
    <w:rsid w:val="00FB0BEC"/>
    <w:rsid w:val="00FB25BD"/>
    <w:rsid w:val="00FB2ACA"/>
    <w:rsid w:val="00FB2CE8"/>
    <w:rsid w:val="00FB3197"/>
    <w:rsid w:val="00FB3A6C"/>
    <w:rsid w:val="00FB4493"/>
    <w:rsid w:val="00FB537B"/>
    <w:rsid w:val="00FB59BE"/>
    <w:rsid w:val="00FB5B72"/>
    <w:rsid w:val="00FB5B7A"/>
    <w:rsid w:val="00FB66C6"/>
    <w:rsid w:val="00FB673E"/>
    <w:rsid w:val="00FB70DB"/>
    <w:rsid w:val="00FB753B"/>
    <w:rsid w:val="00FB7D76"/>
    <w:rsid w:val="00FC16C9"/>
    <w:rsid w:val="00FC1B88"/>
    <w:rsid w:val="00FC3D57"/>
    <w:rsid w:val="00FC3E62"/>
    <w:rsid w:val="00FC3EB4"/>
    <w:rsid w:val="00FC4AE0"/>
    <w:rsid w:val="00FC51B8"/>
    <w:rsid w:val="00FC5278"/>
    <w:rsid w:val="00FC5FD1"/>
    <w:rsid w:val="00FC6C2D"/>
    <w:rsid w:val="00FC73DA"/>
    <w:rsid w:val="00FD03C6"/>
    <w:rsid w:val="00FD0493"/>
    <w:rsid w:val="00FD09ED"/>
    <w:rsid w:val="00FD0CF4"/>
    <w:rsid w:val="00FD0DCF"/>
    <w:rsid w:val="00FD1446"/>
    <w:rsid w:val="00FD16AB"/>
    <w:rsid w:val="00FD2CC4"/>
    <w:rsid w:val="00FD2E3A"/>
    <w:rsid w:val="00FD38DC"/>
    <w:rsid w:val="00FD469D"/>
    <w:rsid w:val="00FD5535"/>
    <w:rsid w:val="00FD5AC1"/>
    <w:rsid w:val="00FD62D8"/>
    <w:rsid w:val="00FD6457"/>
    <w:rsid w:val="00FD64C2"/>
    <w:rsid w:val="00FD666E"/>
    <w:rsid w:val="00FD70E3"/>
    <w:rsid w:val="00FD755E"/>
    <w:rsid w:val="00FD7935"/>
    <w:rsid w:val="00FD7C65"/>
    <w:rsid w:val="00FD7CD3"/>
    <w:rsid w:val="00FE0F22"/>
    <w:rsid w:val="00FE1CD9"/>
    <w:rsid w:val="00FE38D2"/>
    <w:rsid w:val="00FE3FEA"/>
    <w:rsid w:val="00FE44C5"/>
    <w:rsid w:val="00FE4BDD"/>
    <w:rsid w:val="00FE4FDB"/>
    <w:rsid w:val="00FE5B06"/>
    <w:rsid w:val="00FE6DBA"/>
    <w:rsid w:val="00FE6ED0"/>
    <w:rsid w:val="00FE755F"/>
    <w:rsid w:val="00FE78FE"/>
    <w:rsid w:val="00FF1021"/>
    <w:rsid w:val="00FF1328"/>
    <w:rsid w:val="00FF141F"/>
    <w:rsid w:val="00FF15E8"/>
    <w:rsid w:val="00FF1C42"/>
    <w:rsid w:val="00FF235E"/>
    <w:rsid w:val="00FF37FA"/>
    <w:rsid w:val="00FF4005"/>
    <w:rsid w:val="00FF404A"/>
    <w:rsid w:val="00FF406D"/>
    <w:rsid w:val="00FF4C76"/>
    <w:rsid w:val="00FF52E8"/>
    <w:rsid w:val="00FF575F"/>
    <w:rsid w:val="00FF5BD1"/>
    <w:rsid w:val="00FF5CE3"/>
    <w:rsid w:val="00FF6CFA"/>
    <w:rsid w:val="00FF717A"/>
    <w:rsid w:val="00FF72FF"/>
    <w:rsid w:val="00FF7429"/>
    <w:rsid w:val="00FF7E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A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5C51DD"/>
    <w:rPr>
      <w:sz w:val="16"/>
      <w:szCs w:val="16"/>
    </w:rPr>
  </w:style>
  <w:style w:type="paragraph" w:styleId="CommentText">
    <w:name w:val="annotation text"/>
    <w:basedOn w:val="Normal"/>
    <w:link w:val="CommentTextChar"/>
    <w:uiPriority w:val="99"/>
    <w:semiHidden/>
    <w:unhideWhenUsed/>
    <w:locked/>
    <w:rsid w:val="005C51DD"/>
    <w:pPr>
      <w:spacing w:line="240" w:lineRule="auto"/>
    </w:pPr>
    <w:rPr>
      <w:sz w:val="20"/>
      <w:szCs w:val="20"/>
    </w:rPr>
  </w:style>
  <w:style w:type="character" w:customStyle="1" w:styleId="CommentTextChar">
    <w:name w:val="Comment Text Char"/>
    <w:basedOn w:val="DefaultParagraphFont"/>
    <w:link w:val="CommentText"/>
    <w:uiPriority w:val="99"/>
    <w:semiHidden/>
    <w:rsid w:val="005C51DD"/>
    <w:rPr>
      <w:sz w:val="20"/>
      <w:szCs w:val="20"/>
    </w:rPr>
  </w:style>
  <w:style w:type="paragraph" w:styleId="CommentSubject">
    <w:name w:val="annotation subject"/>
    <w:basedOn w:val="CommentText"/>
    <w:next w:val="CommentText"/>
    <w:link w:val="CommentSubjectChar"/>
    <w:uiPriority w:val="99"/>
    <w:semiHidden/>
    <w:unhideWhenUsed/>
    <w:locked/>
    <w:rsid w:val="005C51DD"/>
    <w:rPr>
      <w:b/>
      <w:bCs/>
    </w:rPr>
  </w:style>
  <w:style w:type="character" w:customStyle="1" w:styleId="CommentSubjectChar">
    <w:name w:val="Comment Subject Char"/>
    <w:basedOn w:val="CommentTextChar"/>
    <w:link w:val="CommentSubject"/>
    <w:uiPriority w:val="99"/>
    <w:semiHidden/>
    <w:rsid w:val="005C51DD"/>
    <w:rPr>
      <w:b/>
      <w:bCs/>
      <w:sz w:val="20"/>
      <w:szCs w:val="20"/>
    </w:rPr>
  </w:style>
  <w:style w:type="paragraph" w:customStyle="1" w:styleId="Body">
    <w:name w:val="Body"/>
    <w:basedOn w:val="Normal"/>
    <w:qFormat/>
    <w:rsid w:val="00410E9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410E9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410E92"/>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410E92"/>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410E92"/>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410E92"/>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C02A1940-E089-4EA2-A7D9-BBED51A6B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Chambers(V9.0)</Template>
  <TotalTime>0</TotalTime>
  <Pages>19</Pages>
  <Words>4825</Words>
  <Characters>27504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2022-10-12T23:55:00Z</dcterms:created>
  <dcterms:modified xsi:type="dcterms:W3CDTF">2022-10-14T00:36:00Z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y fmtid="{D5CDD505-2E9C-101B-9397-08002B2CF9AE}" pid="10" name="MediaServiceImageTags">
    <vt:lpwstr/>
  </property>
</Properties>
</file>