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4788" w14:textId="77777777" w:rsidR="001D3638" w:rsidRPr="00704FF8" w:rsidRDefault="001D3638" w:rsidP="00704FF8">
      <w:pPr>
        <w:pStyle w:val="OrdersTopLine"/>
      </w:pPr>
      <w:r w:rsidRPr="00704FF8">
        <w:t>HIGH COURT OF AUSTRALIA</w:t>
      </w:r>
    </w:p>
    <w:p w14:paraId="07F2F65D" w14:textId="77777777" w:rsidR="001D3638" w:rsidRPr="00704FF8" w:rsidRDefault="001D3638" w:rsidP="00704FF8">
      <w:pPr>
        <w:pStyle w:val="OrderCentre"/>
      </w:pPr>
    </w:p>
    <w:p w14:paraId="0EE20BFB" w14:textId="77777777" w:rsidR="001D3638" w:rsidRPr="00704FF8" w:rsidRDefault="001D3638" w:rsidP="00F90171">
      <w:pPr>
        <w:pStyle w:val="OrderCentre"/>
      </w:pPr>
      <w:r w:rsidRPr="00704FF8">
        <w:t>KIEFEL CJ</w:t>
      </w:r>
      <w:r>
        <w:t>,</w:t>
      </w:r>
    </w:p>
    <w:p w14:paraId="10F24685" w14:textId="77777777" w:rsidR="001D3638" w:rsidRPr="00704FF8" w:rsidRDefault="001D3638" w:rsidP="00F90171">
      <w:pPr>
        <w:pStyle w:val="OrderCentre"/>
      </w:pPr>
      <w:r w:rsidRPr="00704FF8">
        <w:t>GORDON</w:t>
      </w:r>
      <w:r>
        <w:t xml:space="preserve">, </w:t>
      </w:r>
      <w:r w:rsidRPr="00704FF8">
        <w:t>EDELMAN</w:t>
      </w:r>
      <w:r>
        <w:t>,</w:t>
      </w:r>
      <w:r w:rsidRPr="00704FF8">
        <w:t xml:space="preserve"> </w:t>
      </w:r>
      <w:r w:rsidRPr="004C496B">
        <w:t xml:space="preserve">STEWARD </w:t>
      </w:r>
      <w:r w:rsidRPr="00704FF8">
        <w:t xml:space="preserve">AND </w:t>
      </w:r>
      <w:r>
        <w:t xml:space="preserve">GLEESON </w:t>
      </w:r>
      <w:r w:rsidRPr="00704FF8">
        <w:t>JJ</w:t>
      </w:r>
    </w:p>
    <w:p w14:paraId="398827D8" w14:textId="77777777" w:rsidR="001D3638" w:rsidRPr="00427F3A" w:rsidRDefault="001D3638" w:rsidP="00EE5374">
      <w:pPr>
        <w:pStyle w:val="Centre"/>
        <w:rPr>
          <w:lang w:val="en-AU"/>
        </w:rPr>
      </w:pPr>
    </w:p>
    <w:p w14:paraId="376D66E8" w14:textId="77777777" w:rsidR="001D3638" w:rsidRPr="00704FF8" w:rsidRDefault="001D3638" w:rsidP="00704FF8">
      <w:pPr>
        <w:pStyle w:val="OrdersCenteredBorder"/>
      </w:pPr>
    </w:p>
    <w:p w14:paraId="7B119929" w14:textId="77777777" w:rsidR="001D3638" w:rsidRPr="00F90171" w:rsidRDefault="001D3638" w:rsidP="00F26BFA">
      <w:pPr>
        <w:pStyle w:val="OrdersBodyHeading"/>
      </w:pPr>
    </w:p>
    <w:p w14:paraId="6D2DB3A7" w14:textId="77777777" w:rsidR="001D3638" w:rsidRPr="00F90171" w:rsidRDefault="001D3638" w:rsidP="00F26BFA">
      <w:pPr>
        <w:pStyle w:val="OrdersPartyName"/>
        <w:ind w:right="-1"/>
        <w:rPr>
          <w:b/>
        </w:rPr>
      </w:pPr>
      <w:r>
        <w:rPr>
          <w:b/>
        </w:rPr>
        <w:t xml:space="preserve">Matter No </w:t>
      </w:r>
      <w:r w:rsidRPr="00F90171">
        <w:rPr>
          <w:b/>
        </w:rPr>
        <w:t>M44/2022</w:t>
      </w:r>
    </w:p>
    <w:p w14:paraId="0D51EDF4" w14:textId="77777777" w:rsidR="001D3638" w:rsidRPr="00F90171" w:rsidRDefault="001D3638" w:rsidP="00F26BFA">
      <w:pPr>
        <w:pStyle w:val="OrdersPartyName"/>
        <w:ind w:right="-1"/>
      </w:pPr>
    </w:p>
    <w:p w14:paraId="1B226CDB" w14:textId="77777777" w:rsidR="001D3638" w:rsidRPr="00F90171" w:rsidRDefault="001D3638" w:rsidP="00F26BFA">
      <w:pPr>
        <w:pStyle w:val="OrdersPartyName"/>
        <w:ind w:right="-1"/>
      </w:pPr>
      <w:r w:rsidRPr="00F90171">
        <w:t>DANNY AWAD</w:t>
      </w:r>
      <w:r w:rsidRPr="00F90171">
        <w:tab/>
        <w:t>APPELLANT</w:t>
      </w:r>
    </w:p>
    <w:p w14:paraId="12B6BE6A" w14:textId="77777777" w:rsidR="001D3638" w:rsidRPr="00F90171" w:rsidRDefault="001D3638" w:rsidP="00F26BFA">
      <w:pPr>
        <w:pStyle w:val="OrdersPartyName"/>
        <w:ind w:right="-1"/>
      </w:pPr>
    </w:p>
    <w:p w14:paraId="07B3AC79" w14:textId="77777777" w:rsidR="001D3638" w:rsidRPr="00F90171" w:rsidRDefault="001D3638" w:rsidP="00F26BFA">
      <w:pPr>
        <w:pStyle w:val="OrdersPartyName"/>
        <w:ind w:right="-1"/>
      </w:pPr>
      <w:r w:rsidRPr="00F90171">
        <w:t>AND</w:t>
      </w:r>
    </w:p>
    <w:p w14:paraId="12EC47C5" w14:textId="77777777" w:rsidR="001D3638" w:rsidRPr="00F90171" w:rsidRDefault="001D3638" w:rsidP="00F26BFA">
      <w:pPr>
        <w:pStyle w:val="OrdersPartyName"/>
        <w:ind w:right="-1"/>
      </w:pPr>
    </w:p>
    <w:p w14:paraId="0D8A11AF" w14:textId="77777777" w:rsidR="001D3638" w:rsidRPr="00F90171" w:rsidRDefault="001D3638" w:rsidP="00F26BFA">
      <w:pPr>
        <w:pStyle w:val="OrdersPartyName"/>
        <w:ind w:right="-1"/>
      </w:pPr>
      <w:r w:rsidRPr="00F90171">
        <w:t>THE QUEEN</w:t>
      </w:r>
      <w:r w:rsidRPr="00F90171">
        <w:tab/>
        <w:t>RESPONDENT</w:t>
      </w:r>
    </w:p>
    <w:p w14:paraId="04D51422" w14:textId="77777777" w:rsidR="001D3638" w:rsidRPr="00F90171" w:rsidRDefault="001D3638" w:rsidP="00F26BFA">
      <w:pPr>
        <w:pStyle w:val="OrdersBodyHeading"/>
      </w:pPr>
    </w:p>
    <w:p w14:paraId="7D72209C" w14:textId="77777777" w:rsidR="001D3638" w:rsidRPr="00F90171" w:rsidRDefault="001D3638" w:rsidP="00F26BFA">
      <w:pPr>
        <w:pStyle w:val="OrdersPartyName"/>
        <w:ind w:right="-1"/>
        <w:rPr>
          <w:b/>
        </w:rPr>
      </w:pPr>
      <w:r>
        <w:rPr>
          <w:b/>
        </w:rPr>
        <w:t xml:space="preserve">Matter No </w:t>
      </w:r>
      <w:r w:rsidRPr="00F90171">
        <w:rPr>
          <w:b/>
        </w:rPr>
        <w:t>M45/2022</w:t>
      </w:r>
    </w:p>
    <w:p w14:paraId="1E59ECB9" w14:textId="77777777" w:rsidR="001D3638" w:rsidRPr="00F90171" w:rsidRDefault="001D3638" w:rsidP="00F26BFA">
      <w:pPr>
        <w:pStyle w:val="OrdersPartyName"/>
        <w:ind w:right="-1"/>
      </w:pPr>
    </w:p>
    <w:p w14:paraId="7ADB25FB" w14:textId="77777777" w:rsidR="001D3638" w:rsidRPr="00F90171" w:rsidRDefault="001D3638" w:rsidP="00F26BFA">
      <w:pPr>
        <w:pStyle w:val="OrdersPartyName"/>
        <w:ind w:right="-1"/>
      </w:pPr>
      <w:r w:rsidRPr="00F90171">
        <w:t>JOHN MICHAEL TAMBAKAKIS</w:t>
      </w:r>
      <w:r w:rsidRPr="00F90171">
        <w:tab/>
        <w:t>APPELLANT</w:t>
      </w:r>
    </w:p>
    <w:p w14:paraId="444D17E7" w14:textId="77777777" w:rsidR="001D3638" w:rsidRPr="00F90171" w:rsidRDefault="001D3638" w:rsidP="00F26BFA">
      <w:pPr>
        <w:pStyle w:val="OrdersPartyName"/>
        <w:ind w:right="-1"/>
      </w:pPr>
    </w:p>
    <w:p w14:paraId="5C9ACD5C" w14:textId="77777777" w:rsidR="001D3638" w:rsidRPr="00F90171" w:rsidRDefault="001D3638" w:rsidP="00F26BFA">
      <w:pPr>
        <w:pStyle w:val="OrdersPartyName"/>
        <w:ind w:right="-1"/>
      </w:pPr>
      <w:r w:rsidRPr="00F90171">
        <w:t>AND</w:t>
      </w:r>
    </w:p>
    <w:p w14:paraId="39C53776" w14:textId="77777777" w:rsidR="001D3638" w:rsidRPr="00F90171" w:rsidRDefault="001D3638" w:rsidP="00F26BFA">
      <w:pPr>
        <w:pStyle w:val="OrdersPartyName"/>
        <w:ind w:right="-1"/>
      </w:pPr>
    </w:p>
    <w:p w14:paraId="5DED7911" w14:textId="77777777" w:rsidR="001D3638" w:rsidRPr="00F90171" w:rsidRDefault="001D3638" w:rsidP="00F26BFA">
      <w:pPr>
        <w:pStyle w:val="OrdersPartyName"/>
        <w:ind w:right="-1"/>
      </w:pPr>
      <w:r w:rsidRPr="00F90171">
        <w:t>THE QUEEN</w:t>
      </w:r>
      <w:r w:rsidRPr="00F90171">
        <w:tab/>
        <w:t>RESPONDENT</w:t>
      </w:r>
    </w:p>
    <w:p w14:paraId="7A4A5AC9" w14:textId="77777777" w:rsidR="001D3638" w:rsidRPr="00F90171" w:rsidRDefault="001D3638" w:rsidP="00AF0A5E">
      <w:pPr>
        <w:pStyle w:val="BodyHeading"/>
      </w:pPr>
    </w:p>
    <w:p w14:paraId="1189DA84" w14:textId="77777777" w:rsidR="001D3638" w:rsidRPr="00F90171" w:rsidRDefault="001D3638" w:rsidP="00BE0A6C">
      <w:pPr>
        <w:pStyle w:val="BodyHeading"/>
      </w:pPr>
    </w:p>
    <w:p w14:paraId="7090B96A" w14:textId="77777777" w:rsidR="001D3638" w:rsidRPr="00F90171" w:rsidRDefault="001D3638" w:rsidP="00EE5374">
      <w:pPr>
        <w:pStyle w:val="CentreItalics"/>
      </w:pPr>
      <w:proofErr w:type="spellStart"/>
      <w:r w:rsidRPr="00F90171">
        <w:t>Awad</w:t>
      </w:r>
      <w:proofErr w:type="spellEnd"/>
      <w:r w:rsidRPr="00F90171">
        <w:t xml:space="preserve"> v The Queen</w:t>
      </w:r>
      <w:r>
        <w:br/>
      </w:r>
      <w:proofErr w:type="spellStart"/>
      <w:r w:rsidRPr="00F90171">
        <w:t>Tambakakis</w:t>
      </w:r>
      <w:proofErr w:type="spellEnd"/>
      <w:r w:rsidRPr="00F90171">
        <w:t xml:space="preserve"> v The Queen</w:t>
      </w:r>
    </w:p>
    <w:p w14:paraId="7B2611F0" w14:textId="77777777" w:rsidR="001D3638" w:rsidRPr="00F90171" w:rsidRDefault="001D3638" w:rsidP="00E90E4F">
      <w:pPr>
        <w:pStyle w:val="OrdersCentre"/>
      </w:pPr>
      <w:r w:rsidRPr="00F90171">
        <w:t xml:space="preserve">[2022] HCA </w:t>
      </w:r>
      <w:r>
        <w:t>36</w:t>
      </w:r>
    </w:p>
    <w:p w14:paraId="7E8B1CE5" w14:textId="77777777" w:rsidR="001D3638" w:rsidRPr="00F90171" w:rsidRDefault="001D3638" w:rsidP="00E90E4F">
      <w:pPr>
        <w:pStyle w:val="OrdersCentreItalics"/>
      </w:pPr>
      <w:r w:rsidRPr="00F90171">
        <w:t xml:space="preserve">Date of Hearing: </w:t>
      </w:r>
      <w:r w:rsidRPr="00D43505">
        <w:t>13 September 2022</w:t>
      </w:r>
    </w:p>
    <w:p w14:paraId="39E06F02" w14:textId="77777777" w:rsidR="001D3638" w:rsidRPr="00F90171" w:rsidRDefault="001D3638" w:rsidP="00E90E4F">
      <w:pPr>
        <w:pStyle w:val="OrdersCentreItalics"/>
      </w:pPr>
      <w:r w:rsidRPr="00F90171">
        <w:t>Date of Judgment:</w:t>
      </w:r>
      <w:r>
        <w:t xml:space="preserve"> 9 November 2022</w:t>
      </w:r>
    </w:p>
    <w:p w14:paraId="720F7644" w14:textId="77777777" w:rsidR="001D3638" w:rsidRPr="00F90171" w:rsidRDefault="001D3638" w:rsidP="00E90E4F">
      <w:pPr>
        <w:pStyle w:val="OrdersCentre"/>
      </w:pPr>
      <w:bookmarkStart w:id="0" w:name="_Hlk114061524"/>
      <w:r w:rsidRPr="00F90171">
        <w:t>M44/2022</w:t>
      </w:r>
      <w:bookmarkEnd w:id="0"/>
      <w:r>
        <w:t xml:space="preserve"> &amp;</w:t>
      </w:r>
      <w:r w:rsidRPr="00F90171">
        <w:t xml:space="preserve"> M45/2022</w:t>
      </w:r>
    </w:p>
    <w:p w14:paraId="56390709" w14:textId="77777777" w:rsidR="001D3638" w:rsidRPr="00F90171" w:rsidRDefault="001D3638" w:rsidP="00E90E4F">
      <w:pPr>
        <w:pStyle w:val="OrdersCentre"/>
      </w:pPr>
    </w:p>
    <w:p w14:paraId="64CFD9AE" w14:textId="77777777" w:rsidR="001D3638" w:rsidRPr="00F90171" w:rsidRDefault="001D3638" w:rsidP="00E90E4F">
      <w:pPr>
        <w:pStyle w:val="OrderCentreBold"/>
      </w:pPr>
      <w:r w:rsidRPr="00F90171">
        <w:t>ORDER</w:t>
      </w:r>
    </w:p>
    <w:p w14:paraId="14DEDA41" w14:textId="77777777" w:rsidR="001D3638" w:rsidRPr="00F90171" w:rsidRDefault="001D3638" w:rsidP="00736C52">
      <w:pPr>
        <w:pStyle w:val="Centre"/>
        <w:rPr>
          <w:lang w:val="en-AU"/>
        </w:rPr>
      </w:pPr>
    </w:p>
    <w:p w14:paraId="4467B49F" w14:textId="77777777" w:rsidR="001D3638" w:rsidRPr="00EA5D5B" w:rsidRDefault="001D3638" w:rsidP="00EA5D5B">
      <w:pPr>
        <w:pStyle w:val="OrdersText"/>
        <w:rPr>
          <w:b/>
          <w:bCs/>
          <w:i w:val="0"/>
          <w:iCs/>
        </w:rPr>
      </w:pPr>
      <w:r w:rsidRPr="00EA5D5B">
        <w:rPr>
          <w:b/>
          <w:bCs/>
          <w:i w:val="0"/>
          <w:iCs/>
        </w:rPr>
        <w:t>In each matter:</w:t>
      </w:r>
    </w:p>
    <w:p w14:paraId="59891CC4" w14:textId="77777777" w:rsidR="001D3638" w:rsidRDefault="001D3638" w:rsidP="00E968FA">
      <w:pPr>
        <w:pStyle w:val="OrdersText"/>
      </w:pPr>
    </w:p>
    <w:p w14:paraId="7C215F58" w14:textId="77777777" w:rsidR="001D3638" w:rsidRDefault="001D3638" w:rsidP="00E968FA">
      <w:pPr>
        <w:pStyle w:val="OrdersText"/>
      </w:pPr>
      <w:bookmarkStart w:id="1" w:name="_Hlk116917397"/>
      <w:r>
        <w:t xml:space="preserve">1. </w:t>
      </w:r>
      <w:r>
        <w:tab/>
        <w:t>Appeal allowed.</w:t>
      </w:r>
    </w:p>
    <w:p w14:paraId="2753B280" w14:textId="77777777" w:rsidR="001D3638" w:rsidRDefault="001D3638" w:rsidP="00E968FA">
      <w:pPr>
        <w:pStyle w:val="OrdersText"/>
      </w:pPr>
    </w:p>
    <w:p w14:paraId="50F391F8" w14:textId="77777777" w:rsidR="001D3638" w:rsidRPr="008972A8" w:rsidRDefault="001D3638" w:rsidP="00E968FA">
      <w:pPr>
        <w:pStyle w:val="OrdersText"/>
      </w:pPr>
      <w:r>
        <w:t xml:space="preserve">2. </w:t>
      </w:r>
      <w:r>
        <w:tab/>
      </w:r>
      <w:r w:rsidRPr="00210103">
        <w:t>Set aside paragraph</w:t>
      </w:r>
      <w:r>
        <w:t xml:space="preserve"> </w:t>
      </w:r>
      <w:r w:rsidRPr="00440697">
        <w:t xml:space="preserve">2 </w:t>
      </w:r>
      <w:r w:rsidRPr="00210103">
        <w:t xml:space="preserve">of the orders made by the Court of Appeal of the Supreme Court of Victoria </w:t>
      </w:r>
      <w:r>
        <w:t>dated</w:t>
      </w:r>
      <w:r w:rsidRPr="00210103">
        <w:t xml:space="preserve"> 1</w:t>
      </w:r>
      <w:r>
        <w:t xml:space="preserve">8 </w:t>
      </w:r>
      <w:r w:rsidRPr="00210103">
        <w:t>October 2021</w:t>
      </w:r>
      <w:r>
        <w:t xml:space="preserve"> dismissing the appeal</w:t>
      </w:r>
      <w:r w:rsidRPr="00210103">
        <w:t xml:space="preserve"> and, in </w:t>
      </w:r>
      <w:r>
        <w:t>its</w:t>
      </w:r>
      <w:r w:rsidRPr="00210103">
        <w:t xml:space="preserve"> place, order that:</w:t>
      </w:r>
    </w:p>
    <w:p w14:paraId="2B33BD26" w14:textId="77777777" w:rsidR="001D3638" w:rsidRPr="005C110C" w:rsidRDefault="001D3638" w:rsidP="00E968FA">
      <w:pPr>
        <w:pStyle w:val="OrdersText"/>
      </w:pPr>
    </w:p>
    <w:p w14:paraId="7AEC1D6A" w14:textId="77777777" w:rsidR="001D3638" w:rsidRPr="005C110C" w:rsidRDefault="001D3638" w:rsidP="006405FC">
      <w:pPr>
        <w:pStyle w:val="OrdersText"/>
        <w:ind w:left="1418"/>
      </w:pPr>
      <w:r>
        <w:t>(a)</w:t>
      </w:r>
      <w:r>
        <w:tab/>
      </w:r>
      <w:r w:rsidRPr="00210103">
        <w:t xml:space="preserve">the appeal against conviction be </w:t>
      </w:r>
      <w:proofErr w:type="gramStart"/>
      <w:r w:rsidRPr="00210103">
        <w:t>allowed;</w:t>
      </w:r>
      <w:proofErr w:type="gramEnd"/>
    </w:p>
    <w:p w14:paraId="4F3157B4" w14:textId="4E9E8EC9" w:rsidR="001D3638" w:rsidRDefault="001D363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33D89E72" w14:textId="184344B2" w:rsidR="001D3638" w:rsidRDefault="001D363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67AF2CDD" w14:textId="77777777" w:rsidR="001D3638" w:rsidRPr="005C110C" w:rsidRDefault="001D3638" w:rsidP="006405FC">
      <w:pPr>
        <w:pStyle w:val="OrdersText"/>
        <w:ind w:left="1418"/>
      </w:pPr>
    </w:p>
    <w:p w14:paraId="32FE7952" w14:textId="77777777" w:rsidR="001D3638" w:rsidRDefault="001D3638" w:rsidP="006405FC">
      <w:pPr>
        <w:pStyle w:val="OrdersText"/>
        <w:ind w:left="1418"/>
      </w:pPr>
      <w:r>
        <w:t>(b)</w:t>
      </w:r>
      <w:r>
        <w:tab/>
      </w:r>
      <w:r w:rsidRPr="00A86982">
        <w:t>the appellant's conviction be set aside; and</w:t>
      </w:r>
    </w:p>
    <w:p w14:paraId="67810BF7" w14:textId="77777777" w:rsidR="001D3638" w:rsidRPr="00B325F2" w:rsidRDefault="001D3638" w:rsidP="006405FC">
      <w:pPr>
        <w:pStyle w:val="OrdersText"/>
        <w:ind w:left="1418"/>
      </w:pPr>
    </w:p>
    <w:p w14:paraId="5CB4E004" w14:textId="77777777" w:rsidR="001D3638" w:rsidRPr="005C110C" w:rsidRDefault="001D3638" w:rsidP="006405FC">
      <w:pPr>
        <w:pStyle w:val="OrdersText"/>
        <w:ind w:left="1418"/>
      </w:pPr>
      <w:r>
        <w:t xml:space="preserve">(c) </w:t>
      </w:r>
      <w:r>
        <w:tab/>
      </w:r>
      <w:r w:rsidRPr="00A86982">
        <w:t>there be a new trial.</w:t>
      </w:r>
    </w:p>
    <w:bookmarkEnd w:id="1"/>
    <w:p w14:paraId="2202D8C4" w14:textId="77777777" w:rsidR="001D3638" w:rsidRPr="00F90171" w:rsidRDefault="001D3638" w:rsidP="00EE5374">
      <w:pPr>
        <w:pStyle w:val="Body"/>
      </w:pPr>
    </w:p>
    <w:p w14:paraId="62428C7A" w14:textId="77777777" w:rsidR="001D3638" w:rsidRPr="00F90171" w:rsidRDefault="001D3638" w:rsidP="00EE5374">
      <w:pPr>
        <w:pStyle w:val="Body"/>
      </w:pPr>
    </w:p>
    <w:p w14:paraId="2E1403C8" w14:textId="77777777" w:rsidR="001D3638" w:rsidRPr="00F90171" w:rsidRDefault="001D3638" w:rsidP="0032341F">
      <w:pPr>
        <w:pStyle w:val="OrdersBody"/>
      </w:pPr>
      <w:r w:rsidRPr="00F90171">
        <w:t>On appeal from the Supreme Court of Victoria</w:t>
      </w:r>
    </w:p>
    <w:p w14:paraId="50E1D2DE" w14:textId="77777777" w:rsidR="001D3638" w:rsidRPr="00F90171" w:rsidRDefault="001D3638" w:rsidP="00EE5374">
      <w:pPr>
        <w:pStyle w:val="Body"/>
      </w:pPr>
    </w:p>
    <w:p w14:paraId="026365DE" w14:textId="77777777" w:rsidR="001D3638" w:rsidRPr="00F90171" w:rsidRDefault="001D3638" w:rsidP="00EE5374">
      <w:pPr>
        <w:pStyle w:val="Body"/>
      </w:pPr>
    </w:p>
    <w:p w14:paraId="3A47B99C" w14:textId="77777777" w:rsidR="001D3638" w:rsidRPr="00F90171" w:rsidRDefault="001D3638" w:rsidP="00E90E4F">
      <w:pPr>
        <w:pStyle w:val="OrdersBodyHeading"/>
      </w:pPr>
      <w:r w:rsidRPr="00F90171">
        <w:t>Representation</w:t>
      </w:r>
    </w:p>
    <w:p w14:paraId="6CA865D8" w14:textId="77777777" w:rsidR="001D3638" w:rsidRPr="00F90171" w:rsidRDefault="001D3638" w:rsidP="00EE5374">
      <w:pPr>
        <w:pStyle w:val="Body"/>
      </w:pPr>
    </w:p>
    <w:p w14:paraId="13580DF3" w14:textId="77777777" w:rsidR="001D3638" w:rsidRPr="00E37373" w:rsidRDefault="001D3638" w:rsidP="00E90E4F">
      <w:pPr>
        <w:pStyle w:val="OrdersBody"/>
      </w:pPr>
      <w:r w:rsidRPr="00E37373">
        <w:t xml:space="preserve">B W Walker SC with O P </w:t>
      </w:r>
      <w:proofErr w:type="spellStart"/>
      <w:r w:rsidRPr="00E37373">
        <w:t>Holdenson</w:t>
      </w:r>
      <w:proofErr w:type="spellEnd"/>
      <w:r w:rsidRPr="00E37373">
        <w:t xml:space="preserve"> KC for the appellant in M44/2022 (instructed by </w:t>
      </w:r>
      <w:proofErr w:type="spellStart"/>
      <w:r w:rsidRPr="00E37373">
        <w:t>Milides</w:t>
      </w:r>
      <w:proofErr w:type="spellEnd"/>
      <w:r w:rsidRPr="00E37373">
        <w:t xml:space="preserve"> Lawyers)</w:t>
      </w:r>
    </w:p>
    <w:p w14:paraId="341BEE22" w14:textId="77777777" w:rsidR="001D3638" w:rsidRPr="00E37373" w:rsidRDefault="001D3638" w:rsidP="00F90171">
      <w:pPr>
        <w:pStyle w:val="Body"/>
      </w:pPr>
    </w:p>
    <w:p w14:paraId="2E8B5370" w14:textId="77777777" w:rsidR="001D3638" w:rsidRPr="00F90171" w:rsidRDefault="001D3638" w:rsidP="00F90171">
      <w:pPr>
        <w:pStyle w:val="OrdersBody"/>
      </w:pPr>
      <w:r w:rsidRPr="00E37373">
        <w:t xml:space="preserve">D A Dann KC with P J Smallwood for the appellant in M45/2022 (instructed by Stephen </w:t>
      </w:r>
      <w:proofErr w:type="spellStart"/>
      <w:r w:rsidRPr="00E37373">
        <w:t>Andrianakis</w:t>
      </w:r>
      <w:proofErr w:type="spellEnd"/>
      <w:r w:rsidRPr="00E37373">
        <w:t xml:space="preserve"> and Associates)</w:t>
      </w:r>
    </w:p>
    <w:p w14:paraId="320CB54C" w14:textId="77777777" w:rsidR="001D3638" w:rsidRPr="00F90171" w:rsidRDefault="001D3638" w:rsidP="00F91B50">
      <w:pPr>
        <w:pStyle w:val="Body"/>
      </w:pPr>
    </w:p>
    <w:p w14:paraId="2C93F4A2" w14:textId="77777777" w:rsidR="001D3638" w:rsidRPr="00F90171" w:rsidRDefault="001D3638" w:rsidP="00ED281D">
      <w:pPr>
        <w:pStyle w:val="OrdersBody"/>
      </w:pPr>
      <w:r w:rsidRPr="00E37373">
        <w:t>P J Doyle SC with C J Tran for the respondent in both matters (instructed by Commonwealth Director of Public Prosecutions)</w:t>
      </w:r>
    </w:p>
    <w:p w14:paraId="431CC464" w14:textId="77777777" w:rsidR="001D3638" w:rsidRPr="00F90171" w:rsidRDefault="001D3638" w:rsidP="00A01277">
      <w:pPr>
        <w:pStyle w:val="Body"/>
      </w:pPr>
    </w:p>
    <w:p w14:paraId="41A70C7D" w14:textId="77777777" w:rsidR="001D3638" w:rsidRPr="00F90171" w:rsidRDefault="001D3638" w:rsidP="00EE5374">
      <w:pPr>
        <w:pStyle w:val="Body"/>
      </w:pPr>
    </w:p>
    <w:p w14:paraId="40970149" w14:textId="77777777" w:rsidR="001D3638" w:rsidRDefault="001D3638" w:rsidP="00EE5374">
      <w:pPr>
        <w:pStyle w:val="Body"/>
      </w:pPr>
    </w:p>
    <w:p w14:paraId="7C191A3E" w14:textId="77777777" w:rsidR="001D3638" w:rsidRDefault="001D3638" w:rsidP="00EE5374">
      <w:pPr>
        <w:pStyle w:val="Body"/>
      </w:pPr>
    </w:p>
    <w:p w14:paraId="6A10BCB9" w14:textId="77777777" w:rsidR="001D3638" w:rsidRDefault="001D3638" w:rsidP="00EE5374">
      <w:pPr>
        <w:pStyle w:val="Body"/>
      </w:pPr>
    </w:p>
    <w:p w14:paraId="1F24FD52" w14:textId="77777777" w:rsidR="001D3638" w:rsidRDefault="001D3638" w:rsidP="00EE5374">
      <w:pPr>
        <w:pStyle w:val="Body"/>
      </w:pPr>
    </w:p>
    <w:p w14:paraId="6916ECC8" w14:textId="77777777" w:rsidR="001D3638" w:rsidRDefault="001D3638" w:rsidP="00EE5374">
      <w:pPr>
        <w:pStyle w:val="Body"/>
      </w:pPr>
    </w:p>
    <w:p w14:paraId="2F86A520" w14:textId="77777777" w:rsidR="001D3638" w:rsidRDefault="001D3638" w:rsidP="00EE5374">
      <w:pPr>
        <w:pStyle w:val="Body"/>
      </w:pPr>
    </w:p>
    <w:p w14:paraId="5B7988C0" w14:textId="77777777" w:rsidR="001D3638" w:rsidRDefault="001D3638" w:rsidP="00EE5374">
      <w:pPr>
        <w:pStyle w:val="Body"/>
      </w:pPr>
    </w:p>
    <w:p w14:paraId="60801C91" w14:textId="77777777" w:rsidR="001D3638" w:rsidRDefault="001D3638" w:rsidP="00EE5374">
      <w:pPr>
        <w:pStyle w:val="Body"/>
      </w:pPr>
    </w:p>
    <w:p w14:paraId="2DD4D951" w14:textId="77777777" w:rsidR="001D3638" w:rsidRDefault="001D3638" w:rsidP="00EE5374">
      <w:pPr>
        <w:pStyle w:val="Body"/>
      </w:pPr>
    </w:p>
    <w:p w14:paraId="59A1CED1" w14:textId="77777777" w:rsidR="001D3638" w:rsidRDefault="001D3638" w:rsidP="00EE5374">
      <w:pPr>
        <w:pStyle w:val="Body"/>
      </w:pPr>
    </w:p>
    <w:p w14:paraId="2F881253" w14:textId="77777777" w:rsidR="001D3638" w:rsidRDefault="001D3638" w:rsidP="00EE5374">
      <w:pPr>
        <w:pStyle w:val="Body"/>
      </w:pPr>
    </w:p>
    <w:p w14:paraId="1233D14C" w14:textId="77777777" w:rsidR="001D3638" w:rsidRDefault="001D3638" w:rsidP="00EE5374">
      <w:pPr>
        <w:pStyle w:val="Body"/>
      </w:pPr>
    </w:p>
    <w:p w14:paraId="68F10D99" w14:textId="77777777" w:rsidR="001D3638" w:rsidRDefault="001D3638" w:rsidP="00EE5374">
      <w:pPr>
        <w:pStyle w:val="Body"/>
      </w:pPr>
    </w:p>
    <w:p w14:paraId="02A3A13E" w14:textId="77777777" w:rsidR="001D3638" w:rsidRDefault="001D3638" w:rsidP="00EE5374">
      <w:pPr>
        <w:pStyle w:val="Body"/>
      </w:pPr>
    </w:p>
    <w:p w14:paraId="5A6D8843" w14:textId="77777777" w:rsidR="001D3638" w:rsidRDefault="001D3638" w:rsidP="00EE5374">
      <w:pPr>
        <w:pStyle w:val="Body"/>
      </w:pPr>
    </w:p>
    <w:p w14:paraId="371149C9" w14:textId="77777777" w:rsidR="001D3638" w:rsidRPr="00F90171" w:rsidRDefault="001D3638" w:rsidP="00EE5374">
      <w:pPr>
        <w:pStyle w:val="Body"/>
      </w:pPr>
    </w:p>
    <w:p w14:paraId="2D486D87" w14:textId="77777777" w:rsidR="001D3638" w:rsidRPr="00427F3A" w:rsidRDefault="001D3638" w:rsidP="00F9713B">
      <w:pPr>
        <w:pStyle w:val="Notice"/>
        <w:rPr>
          <w:lang w:val="en-AU"/>
        </w:rPr>
      </w:pPr>
      <w:r w:rsidRPr="00427F3A">
        <w:rPr>
          <w:lang w:val="en-AU"/>
        </w:rPr>
        <w:t>Notice:  This copy of the Court's Reasons for Judgment is subject to formal revision prior to publication in the Commonwealth Law Reports.</w:t>
      </w:r>
    </w:p>
    <w:p w14:paraId="1411AB5E" w14:textId="15864976" w:rsidR="001D3638" w:rsidRDefault="001D363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4CCD1F1" w14:textId="77777777" w:rsidR="001D3638" w:rsidRDefault="001D363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1D3638" w:rsidSect="001D3638">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9507F3D" w14:textId="77777777" w:rsidR="001D3638" w:rsidRDefault="001D3638" w:rsidP="001D3638">
      <w:pPr>
        <w:spacing w:line="280" w:lineRule="exact"/>
        <w:ind w:firstLine="0"/>
        <w:jc w:val="right"/>
        <w:rPr>
          <w:rFonts w:ascii="Times New Roman" w:hAnsi="Times New Roman"/>
        </w:rPr>
      </w:pPr>
    </w:p>
    <w:p w14:paraId="2D76C217" w14:textId="77777777" w:rsidR="001D3638" w:rsidRDefault="001D3638" w:rsidP="001D3638">
      <w:pPr>
        <w:pStyle w:val="CatchwordsBold"/>
      </w:pPr>
      <w:r>
        <w:t>CATCHWORDS</w:t>
      </w:r>
    </w:p>
    <w:p w14:paraId="4000AA79" w14:textId="77777777" w:rsidR="001D3638" w:rsidRPr="004A7D63" w:rsidRDefault="001D3638" w:rsidP="001D3638">
      <w:pPr>
        <w:pStyle w:val="CatchwordsBold"/>
        <w:rPr>
          <w:szCs w:val="26"/>
        </w:rPr>
      </w:pPr>
    </w:p>
    <w:p w14:paraId="7498ADAF" w14:textId="77777777" w:rsidR="001D3638" w:rsidRDefault="001D3638" w:rsidP="001D3638">
      <w:pPr>
        <w:pStyle w:val="CatchwordsBold"/>
        <w:rPr>
          <w:szCs w:val="26"/>
        </w:rPr>
      </w:pPr>
      <w:bookmarkStart w:id="2" w:name="CaseName"/>
      <w:proofErr w:type="spellStart"/>
      <w:r>
        <w:rPr>
          <w:szCs w:val="26"/>
        </w:rPr>
        <w:t>Awad</w:t>
      </w:r>
      <w:proofErr w:type="spellEnd"/>
      <w:r>
        <w:rPr>
          <w:szCs w:val="26"/>
        </w:rPr>
        <w:t xml:space="preserve"> v The Queen</w:t>
      </w:r>
    </w:p>
    <w:p w14:paraId="204C0897" w14:textId="77777777" w:rsidR="001D3638" w:rsidRPr="004A7D63" w:rsidRDefault="001D3638" w:rsidP="001D3638">
      <w:pPr>
        <w:pStyle w:val="CatchwordsBold"/>
        <w:rPr>
          <w:szCs w:val="26"/>
        </w:rPr>
      </w:pPr>
      <w:proofErr w:type="spellStart"/>
      <w:r>
        <w:rPr>
          <w:szCs w:val="26"/>
        </w:rPr>
        <w:t>Tambakakis</w:t>
      </w:r>
      <w:proofErr w:type="spellEnd"/>
      <w:r>
        <w:rPr>
          <w:szCs w:val="26"/>
        </w:rPr>
        <w:t xml:space="preserve"> v The Queen </w:t>
      </w:r>
    </w:p>
    <w:p w14:paraId="1FF23FA1" w14:textId="77777777" w:rsidR="001D3638" w:rsidRPr="004A7D63" w:rsidRDefault="001D3638" w:rsidP="001D3638">
      <w:pPr>
        <w:spacing w:line="280" w:lineRule="exact"/>
        <w:ind w:firstLine="0"/>
        <w:jc w:val="both"/>
        <w:rPr>
          <w:rFonts w:ascii="Times New Roman" w:hAnsi="Times New Roman"/>
          <w:b/>
        </w:rPr>
      </w:pPr>
    </w:p>
    <w:p w14:paraId="2B7FD4DD" w14:textId="77777777" w:rsidR="001D3638" w:rsidRPr="00B44F84" w:rsidRDefault="001D3638" w:rsidP="001D3638">
      <w:pPr>
        <w:pStyle w:val="CatchwordsText"/>
      </w:pPr>
      <w:r>
        <w:t>Criminal Practice</w:t>
      </w:r>
      <w:r w:rsidRPr="004A7D63">
        <w:t xml:space="preserve"> – </w:t>
      </w:r>
      <w:r>
        <w:t>Appeal</w:t>
      </w:r>
      <w:r w:rsidRPr="004A7D63">
        <w:t xml:space="preserve"> –</w:t>
      </w:r>
      <w:r>
        <w:t xml:space="preserve"> </w:t>
      </w:r>
      <w:r w:rsidRPr="00F716A7">
        <w:t>Error or irregularity in trial</w:t>
      </w:r>
      <w:r>
        <w:t xml:space="preserve"> </w:t>
      </w:r>
      <w:r w:rsidRPr="004A7D63">
        <w:t>–</w:t>
      </w:r>
      <w:r>
        <w:t xml:space="preserve"> Directions to jury </w:t>
      </w:r>
      <w:r w:rsidRPr="004A7D63">
        <w:t>–</w:t>
      </w:r>
      <w:r>
        <w:t xml:space="preserve"> </w:t>
      </w:r>
      <w:r w:rsidRPr="0024440D">
        <w:t xml:space="preserve">Where credibility of </w:t>
      </w:r>
      <w:r>
        <w:t xml:space="preserve">one </w:t>
      </w:r>
      <w:r w:rsidRPr="0024440D">
        <w:t xml:space="preserve">accused giving evidence central to </w:t>
      </w:r>
      <w:r>
        <w:t xml:space="preserve">both trials </w:t>
      </w:r>
      <w:r w:rsidRPr="004A7D63">
        <w:t>–</w:t>
      </w:r>
      <w:r>
        <w:t xml:space="preserve"> Where trial judge directed jury that innocent person can do nothing more than give evidence </w:t>
      </w:r>
      <w:r w:rsidRPr="004A7D63">
        <w:t>–</w:t>
      </w:r>
      <w:r>
        <w:t xml:space="preserve"> Where trial judge directed jury that guilty person may give evidence in hope or belief they will more likely be believed </w:t>
      </w:r>
      <w:r w:rsidRPr="004A7D63">
        <w:t>–</w:t>
      </w:r>
      <w:r>
        <w:t xml:space="preserve"> Where directions prohibited by s 44J of </w:t>
      </w:r>
      <w:r>
        <w:rPr>
          <w:i/>
          <w:iCs/>
        </w:rPr>
        <w:t>Jury Directions Act 2015</w:t>
      </w:r>
      <w:r>
        <w:t xml:space="preserve"> (Vic) </w:t>
      </w:r>
      <w:r w:rsidRPr="004A7D63">
        <w:t>–</w:t>
      </w:r>
      <w:r>
        <w:t xml:space="preserve"> Whether misdirection constituted substantial miscarriage of justice. </w:t>
      </w:r>
    </w:p>
    <w:bookmarkEnd w:id="2"/>
    <w:p w14:paraId="6215DFCD" w14:textId="77777777" w:rsidR="001D3638" w:rsidRPr="00CB5133" w:rsidRDefault="001D3638" w:rsidP="001D3638">
      <w:pPr>
        <w:pStyle w:val="CatchwordsText"/>
        <w:rPr>
          <w:iCs/>
        </w:rPr>
      </w:pPr>
    </w:p>
    <w:p w14:paraId="7C379A2E" w14:textId="77777777" w:rsidR="001D3638" w:rsidRDefault="001D3638" w:rsidP="001D3638">
      <w:pPr>
        <w:pStyle w:val="CatchwordsText"/>
      </w:pPr>
      <w:r w:rsidRPr="00CB5133">
        <w:rPr>
          <w:iCs/>
        </w:rPr>
        <w:t xml:space="preserve">Words and phrases </w:t>
      </w:r>
      <w:r w:rsidRPr="00CB5133">
        <w:t>–</w:t>
      </w:r>
      <w:r>
        <w:t xml:space="preserve"> "charge", "conviction was inevitable", "credibility", "deflect the jury from its fundamental task", "direction", "essential to a fair trial", "fundamental error", "jury", "misdirection", "motivation to give evidence", "natural limitations", "onus of proof", "presumption of innocence", "prohibited direction", "serious departure from the prescribed processes for trial", "substantial miscarriage of justice".</w:t>
      </w:r>
    </w:p>
    <w:p w14:paraId="7C22C753" w14:textId="77777777" w:rsidR="001D3638" w:rsidRDefault="001D3638" w:rsidP="001D3638">
      <w:pPr>
        <w:pStyle w:val="CatchwordsText"/>
      </w:pPr>
    </w:p>
    <w:p w14:paraId="5D45BBA7" w14:textId="77777777" w:rsidR="001D3638" w:rsidRPr="00A313C3" w:rsidRDefault="001D3638" w:rsidP="001D3638">
      <w:pPr>
        <w:pStyle w:val="CatchwordsText"/>
      </w:pPr>
      <w:r>
        <w:rPr>
          <w:i/>
          <w:iCs/>
        </w:rPr>
        <w:t xml:space="preserve">Criminal Procedure Act 2009 </w:t>
      </w:r>
      <w:r>
        <w:t>(Vic), s 276(1)(b).</w:t>
      </w:r>
    </w:p>
    <w:p w14:paraId="573CE349" w14:textId="77777777" w:rsidR="001D3638" w:rsidRPr="00512286" w:rsidRDefault="001D3638" w:rsidP="001D3638">
      <w:pPr>
        <w:pStyle w:val="CatchwordsText"/>
      </w:pPr>
      <w:r>
        <w:rPr>
          <w:i/>
          <w:iCs/>
        </w:rPr>
        <w:t xml:space="preserve">Jury Directions Act 2015 </w:t>
      </w:r>
      <w:r>
        <w:t>(Vic), ss 44J, 44K.</w:t>
      </w:r>
    </w:p>
    <w:p w14:paraId="5BBCF2BB" w14:textId="1FE87B3F" w:rsidR="001D3638" w:rsidRDefault="001D3638" w:rsidP="001D363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05938786" w14:textId="501E19C9" w:rsidR="001D3638" w:rsidRDefault="001D363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DD01787" w14:textId="232351EA" w:rsidR="001D3638" w:rsidRDefault="001D363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D0A3682" w14:textId="77777777" w:rsidR="001D3638" w:rsidRDefault="001D3638" w:rsidP="002A6F51">
      <w:pPr>
        <w:pStyle w:val="FixListStyle"/>
        <w:tabs>
          <w:tab w:val="clear" w:pos="720"/>
          <w:tab w:val="left" w:pos="0"/>
        </w:tabs>
        <w:spacing w:after="260" w:line="280" w:lineRule="exact"/>
        <w:ind w:right="0"/>
        <w:jc w:val="both"/>
        <w:rPr>
          <w:rFonts w:ascii="Times New Roman" w:hAnsi="Times New Roman"/>
        </w:rPr>
        <w:sectPr w:rsidR="001D3638" w:rsidSect="001D3638">
          <w:pgSz w:w="11907" w:h="16839" w:code="9"/>
          <w:pgMar w:top="1440" w:right="1701" w:bottom="1984" w:left="1701" w:header="720" w:footer="720" w:gutter="0"/>
          <w:pgNumType w:start="1"/>
          <w:cols w:space="720"/>
          <w:titlePg/>
          <w:docGrid w:linePitch="354"/>
        </w:sectPr>
      </w:pPr>
    </w:p>
    <w:p w14:paraId="275F22A6" w14:textId="4E32F5EF" w:rsidR="00A73989" w:rsidRPr="002A6F51" w:rsidRDefault="002A6F51" w:rsidP="002A6F51">
      <w:pPr>
        <w:pStyle w:val="FixListStyle"/>
        <w:tabs>
          <w:tab w:val="clear" w:pos="720"/>
          <w:tab w:val="left" w:pos="0"/>
        </w:tabs>
        <w:spacing w:after="260" w:line="280" w:lineRule="exact"/>
        <w:ind w:right="0"/>
        <w:jc w:val="both"/>
        <w:rPr>
          <w:rFonts w:ascii="Times New Roman" w:hAnsi="Times New Roman"/>
        </w:rPr>
      </w:pPr>
      <w:r w:rsidRPr="002A6F51">
        <w:rPr>
          <w:rFonts w:ascii="Times New Roman" w:hAnsi="Times New Roman"/>
        </w:rPr>
        <w:lastRenderedPageBreak/>
        <w:t xml:space="preserve">KIEFEL CJ AND GLEESON J.   </w:t>
      </w:r>
      <w:r w:rsidR="00260312" w:rsidRPr="002A6F51">
        <w:rPr>
          <w:rFonts w:ascii="Times New Roman" w:hAnsi="Times New Roman"/>
        </w:rPr>
        <w:t xml:space="preserve">Following a trial in the County Court </w:t>
      </w:r>
      <w:r w:rsidR="00C46B03" w:rsidRPr="002A6F51">
        <w:rPr>
          <w:rFonts w:ascii="Times New Roman" w:hAnsi="Times New Roman"/>
        </w:rPr>
        <w:t>of Victoria</w:t>
      </w:r>
      <w:r w:rsidR="00E60756" w:rsidRPr="002A6F51">
        <w:rPr>
          <w:rFonts w:ascii="Times New Roman" w:hAnsi="Times New Roman"/>
        </w:rPr>
        <w:t>,</w:t>
      </w:r>
      <w:r w:rsidR="00C46B03" w:rsidRPr="002A6F51">
        <w:rPr>
          <w:rFonts w:ascii="Times New Roman" w:hAnsi="Times New Roman"/>
        </w:rPr>
        <w:t xml:space="preserve"> </w:t>
      </w:r>
      <w:r w:rsidR="00260312" w:rsidRPr="002A6F51">
        <w:rPr>
          <w:rFonts w:ascii="Times New Roman" w:hAnsi="Times New Roman"/>
        </w:rPr>
        <w:t>the appellants were each convic</w:t>
      </w:r>
      <w:r w:rsidR="00556131" w:rsidRPr="002A6F51">
        <w:rPr>
          <w:rFonts w:ascii="Times New Roman" w:hAnsi="Times New Roman"/>
        </w:rPr>
        <w:t>ted of one charge of attempting to possess a commercial quantity of an unlawfully imported border</w:t>
      </w:r>
      <w:r w:rsidR="00556131" w:rsidRPr="002A6F51">
        <w:rPr>
          <w:rFonts w:ascii="Times New Roman" w:hAnsi="Times New Roman"/>
        </w:rPr>
        <w:noBreakHyphen/>
        <w:t>controlled drug</w:t>
      </w:r>
      <w:r w:rsidR="00556131" w:rsidRPr="002A6F51">
        <w:rPr>
          <w:rStyle w:val="FootnoteReference"/>
          <w:rFonts w:ascii="Times New Roman" w:hAnsi="Times New Roman"/>
          <w:sz w:val="24"/>
        </w:rPr>
        <w:footnoteReference w:id="2"/>
      </w:r>
      <w:r w:rsidR="00556131" w:rsidRPr="002A6F51">
        <w:rPr>
          <w:rFonts w:ascii="Times New Roman" w:hAnsi="Times New Roman"/>
        </w:rPr>
        <w:t>, namely cocaine.</w:t>
      </w:r>
      <w:r w:rsidR="002B6F29" w:rsidRPr="002A6F51">
        <w:rPr>
          <w:rFonts w:ascii="Times New Roman" w:hAnsi="Times New Roman"/>
        </w:rPr>
        <w:t xml:space="preserve"> These appeals concern a misdirection by the trial judge. The misdirection </w:t>
      </w:r>
      <w:r w:rsidR="002770CC" w:rsidRPr="002A6F51">
        <w:rPr>
          <w:rFonts w:ascii="Times New Roman" w:hAnsi="Times New Roman"/>
        </w:rPr>
        <w:t>was as to the reason why Mr </w:t>
      </w:r>
      <w:proofErr w:type="spellStart"/>
      <w:r w:rsidR="002770CC" w:rsidRPr="002A6F51">
        <w:rPr>
          <w:rFonts w:ascii="Times New Roman" w:hAnsi="Times New Roman"/>
        </w:rPr>
        <w:t>Tambakakis</w:t>
      </w:r>
      <w:proofErr w:type="spellEnd"/>
      <w:r w:rsidR="002770CC" w:rsidRPr="002A6F51">
        <w:rPr>
          <w:rFonts w:ascii="Times New Roman" w:hAnsi="Times New Roman"/>
        </w:rPr>
        <w:t xml:space="preserve"> may have chosen to give evidence. It is a direction which s 44J(b) of the </w:t>
      </w:r>
      <w:r w:rsidR="002770CC" w:rsidRPr="002A6F51">
        <w:rPr>
          <w:rFonts w:ascii="Times New Roman" w:hAnsi="Times New Roman"/>
          <w:i/>
          <w:iCs/>
        </w:rPr>
        <w:t>Jury Directions Act 2015</w:t>
      </w:r>
      <w:r w:rsidR="002770CC" w:rsidRPr="002A6F51">
        <w:rPr>
          <w:rFonts w:ascii="Times New Roman" w:hAnsi="Times New Roman"/>
        </w:rPr>
        <w:t xml:space="preserve"> (Vic) </w:t>
      </w:r>
      <w:r w:rsidR="00A3488B" w:rsidRPr="002A6F51">
        <w:rPr>
          <w:rFonts w:ascii="Times New Roman" w:hAnsi="Times New Roman"/>
        </w:rPr>
        <w:t>states must not be made. There is no issue that the direction was contrary to law. The question on the appeals is whether</w:t>
      </w:r>
      <w:r w:rsidR="000639B3" w:rsidRPr="002A6F51">
        <w:rPr>
          <w:rFonts w:ascii="Times New Roman" w:hAnsi="Times New Roman"/>
        </w:rPr>
        <w:t xml:space="preserve"> the direction</w:t>
      </w:r>
      <w:r w:rsidR="00A3488B" w:rsidRPr="002A6F51">
        <w:rPr>
          <w:rFonts w:ascii="Times New Roman" w:hAnsi="Times New Roman"/>
        </w:rPr>
        <w:t xml:space="preserve"> amounts to a substantial miscarriage of justice from which it would follow that the appeals from conviction should have been allowed by the Court of Appeal of the Supreme Court of Victoria.</w:t>
      </w:r>
    </w:p>
    <w:p w14:paraId="2C2C5985" w14:textId="06656256" w:rsidR="00A3488B" w:rsidRPr="002A6F51" w:rsidRDefault="00A3488B" w:rsidP="002A6F51">
      <w:pPr>
        <w:pStyle w:val="HeadingL1"/>
        <w:spacing w:after="260" w:line="280" w:lineRule="exact"/>
        <w:ind w:right="0"/>
        <w:jc w:val="both"/>
        <w:rPr>
          <w:rFonts w:ascii="Times New Roman" w:hAnsi="Times New Roman"/>
        </w:rPr>
      </w:pPr>
      <w:r w:rsidRPr="002A6F51">
        <w:rPr>
          <w:rFonts w:ascii="Times New Roman" w:hAnsi="Times New Roman"/>
        </w:rPr>
        <w:t>Background</w:t>
      </w:r>
    </w:p>
    <w:p w14:paraId="0E3284D9" w14:textId="7F636E76" w:rsidR="00556131" w:rsidRPr="002A6F51" w:rsidRDefault="00556131" w:rsidP="002A6F51">
      <w:pPr>
        <w:pStyle w:val="FixListStyle"/>
        <w:spacing w:after="260" w:line="280" w:lineRule="exact"/>
        <w:ind w:right="0"/>
        <w:jc w:val="both"/>
        <w:rPr>
          <w:rFonts w:ascii="Times New Roman" w:hAnsi="Times New Roman"/>
        </w:rPr>
      </w:pPr>
      <w:r w:rsidRPr="002A6F51">
        <w:rPr>
          <w:rFonts w:ascii="Times New Roman" w:hAnsi="Times New Roman"/>
        </w:rPr>
        <w:tab/>
        <w:t>Australian Border Force officers inter</w:t>
      </w:r>
      <w:r w:rsidR="00E12789" w:rsidRPr="002A6F51">
        <w:rPr>
          <w:rFonts w:ascii="Times New Roman" w:hAnsi="Times New Roman"/>
        </w:rPr>
        <w:t>cep</w:t>
      </w:r>
      <w:r w:rsidRPr="002A6F51">
        <w:rPr>
          <w:rFonts w:ascii="Times New Roman" w:hAnsi="Times New Roman"/>
        </w:rPr>
        <w:t>ted a consignment of printers which were found to contain 22.4</w:t>
      </w:r>
      <w:r w:rsidR="00E12789" w:rsidRPr="002A6F51">
        <w:rPr>
          <w:rFonts w:ascii="Times New Roman" w:hAnsi="Times New Roman"/>
        </w:rPr>
        <w:t> </w:t>
      </w:r>
      <w:r w:rsidRPr="002A6F51">
        <w:rPr>
          <w:rFonts w:ascii="Times New Roman" w:hAnsi="Times New Roman"/>
        </w:rPr>
        <w:t>k</w:t>
      </w:r>
      <w:r w:rsidR="00154E54" w:rsidRPr="002A6F51">
        <w:rPr>
          <w:rFonts w:ascii="Times New Roman" w:hAnsi="Times New Roman"/>
        </w:rPr>
        <w:t>ilograms</w:t>
      </w:r>
      <w:r w:rsidRPr="002A6F51">
        <w:rPr>
          <w:rFonts w:ascii="Times New Roman" w:hAnsi="Times New Roman"/>
        </w:rPr>
        <w:t xml:space="preserve"> of cocaine, 15.456</w:t>
      </w:r>
      <w:r w:rsidR="00E12789" w:rsidRPr="002A6F51">
        <w:rPr>
          <w:rFonts w:ascii="Times New Roman" w:hAnsi="Times New Roman"/>
        </w:rPr>
        <w:t> </w:t>
      </w:r>
      <w:r w:rsidRPr="002A6F51">
        <w:rPr>
          <w:rFonts w:ascii="Times New Roman" w:hAnsi="Times New Roman"/>
        </w:rPr>
        <w:t>k</w:t>
      </w:r>
      <w:r w:rsidR="00154E54" w:rsidRPr="002A6F51">
        <w:rPr>
          <w:rFonts w:ascii="Times New Roman" w:hAnsi="Times New Roman"/>
        </w:rPr>
        <w:t>ilograms</w:t>
      </w:r>
      <w:r w:rsidRPr="002A6F51">
        <w:rPr>
          <w:rFonts w:ascii="Times New Roman" w:hAnsi="Times New Roman"/>
        </w:rPr>
        <w:t xml:space="preserve"> of which was pure cocaine. A </w:t>
      </w:r>
      <w:r w:rsidR="00CE2E69" w:rsidRPr="002A6F51">
        <w:rPr>
          <w:rFonts w:ascii="Times New Roman" w:hAnsi="Times New Roman"/>
        </w:rPr>
        <w:t xml:space="preserve">commercial quantity is </w:t>
      </w:r>
      <w:r w:rsidR="00154E54" w:rsidRPr="002A6F51">
        <w:rPr>
          <w:rFonts w:ascii="Times New Roman" w:hAnsi="Times New Roman"/>
        </w:rPr>
        <w:t>two kilograms</w:t>
      </w:r>
      <w:r w:rsidR="00CE2E69" w:rsidRPr="002A6F51">
        <w:rPr>
          <w:rFonts w:ascii="Times New Roman" w:hAnsi="Times New Roman"/>
        </w:rPr>
        <w:t>. An inert substan</w:t>
      </w:r>
      <w:r w:rsidR="00052C11" w:rsidRPr="002A6F51">
        <w:rPr>
          <w:rFonts w:ascii="Times New Roman" w:hAnsi="Times New Roman"/>
        </w:rPr>
        <w:t>ce</w:t>
      </w:r>
      <w:r w:rsidR="00CE2E69" w:rsidRPr="002A6F51">
        <w:rPr>
          <w:rFonts w:ascii="Times New Roman" w:hAnsi="Times New Roman"/>
        </w:rPr>
        <w:t xml:space="preserve"> was substituted for the cocaine</w:t>
      </w:r>
      <w:r w:rsidR="0069005E" w:rsidRPr="002A6F51">
        <w:rPr>
          <w:rFonts w:ascii="Times New Roman" w:hAnsi="Times New Roman"/>
        </w:rPr>
        <w:t>,</w:t>
      </w:r>
      <w:r w:rsidR="00CE2E69" w:rsidRPr="002A6F51">
        <w:rPr>
          <w:rFonts w:ascii="Times New Roman" w:hAnsi="Times New Roman"/>
        </w:rPr>
        <w:t xml:space="preserve"> and a listening device and </w:t>
      </w:r>
      <w:r w:rsidR="00001F7D" w:rsidRPr="002A6F51">
        <w:rPr>
          <w:rFonts w:ascii="Times New Roman" w:hAnsi="Times New Roman"/>
        </w:rPr>
        <w:t xml:space="preserve">a </w:t>
      </w:r>
      <w:r w:rsidR="00CE2E69" w:rsidRPr="002A6F51">
        <w:rPr>
          <w:rFonts w:ascii="Times New Roman" w:hAnsi="Times New Roman"/>
        </w:rPr>
        <w:t>tracking device were placed with</w:t>
      </w:r>
      <w:r w:rsidR="00A95E75" w:rsidRPr="002A6F51">
        <w:rPr>
          <w:rFonts w:ascii="Times New Roman" w:hAnsi="Times New Roman"/>
        </w:rPr>
        <w:t>in</w:t>
      </w:r>
      <w:r w:rsidR="00CE2E69" w:rsidRPr="002A6F51">
        <w:rPr>
          <w:rFonts w:ascii="Times New Roman" w:hAnsi="Times New Roman"/>
        </w:rPr>
        <w:t xml:space="preserve"> the consignment. Surveillance of the delivery of the consignment was undertaken.</w:t>
      </w:r>
    </w:p>
    <w:p w14:paraId="1BF4689D" w14:textId="5B81460F" w:rsidR="00680BE2" w:rsidRPr="002A6F51" w:rsidRDefault="00CE2E69" w:rsidP="002A6F51">
      <w:pPr>
        <w:pStyle w:val="FixListStyle"/>
        <w:spacing w:after="260" w:line="280" w:lineRule="exact"/>
        <w:ind w:right="0"/>
        <w:jc w:val="both"/>
        <w:rPr>
          <w:rFonts w:ascii="Times New Roman" w:hAnsi="Times New Roman"/>
        </w:rPr>
      </w:pPr>
      <w:r w:rsidRPr="002A6F51">
        <w:rPr>
          <w:rFonts w:ascii="Times New Roman" w:hAnsi="Times New Roman"/>
        </w:rPr>
        <w:tab/>
        <w:t>So far as concerned Mr </w:t>
      </w:r>
      <w:proofErr w:type="spellStart"/>
      <w:r w:rsidRPr="002A6F51">
        <w:rPr>
          <w:rFonts w:ascii="Times New Roman" w:hAnsi="Times New Roman"/>
        </w:rPr>
        <w:t>Tambakakis</w:t>
      </w:r>
      <w:proofErr w:type="spellEnd"/>
      <w:r w:rsidRPr="002A6F51">
        <w:rPr>
          <w:rFonts w:ascii="Times New Roman" w:hAnsi="Times New Roman"/>
        </w:rPr>
        <w:t xml:space="preserve">, the evidence showed that he collected the consignment and stored it overnight in the yard </w:t>
      </w:r>
      <w:r w:rsidR="002122FB" w:rsidRPr="002A6F51">
        <w:rPr>
          <w:rFonts w:ascii="Times New Roman" w:hAnsi="Times New Roman"/>
        </w:rPr>
        <w:t xml:space="preserve">of </w:t>
      </w:r>
      <w:r w:rsidRPr="002A6F51">
        <w:rPr>
          <w:rFonts w:ascii="Times New Roman" w:hAnsi="Times New Roman"/>
        </w:rPr>
        <w:t xml:space="preserve">premises in which he conducted a business. The following evening the consignment was moved to the residential </w:t>
      </w:r>
      <w:r w:rsidR="002122FB" w:rsidRPr="002A6F51">
        <w:rPr>
          <w:rFonts w:ascii="Times New Roman" w:hAnsi="Times New Roman"/>
        </w:rPr>
        <w:t xml:space="preserve">premises </w:t>
      </w:r>
      <w:r w:rsidRPr="002A6F51">
        <w:rPr>
          <w:rFonts w:ascii="Times New Roman" w:hAnsi="Times New Roman"/>
        </w:rPr>
        <w:t>of another co</w:t>
      </w:r>
      <w:r w:rsidRPr="002A6F51">
        <w:rPr>
          <w:rFonts w:ascii="Times New Roman" w:hAnsi="Times New Roman"/>
        </w:rPr>
        <w:noBreakHyphen/>
        <w:t>accused. Mr </w:t>
      </w:r>
      <w:proofErr w:type="spellStart"/>
      <w:r w:rsidRPr="002A6F51">
        <w:rPr>
          <w:rFonts w:ascii="Times New Roman" w:hAnsi="Times New Roman"/>
        </w:rPr>
        <w:t>Tambakakis</w:t>
      </w:r>
      <w:proofErr w:type="spellEnd"/>
      <w:r w:rsidRPr="002A6F51">
        <w:rPr>
          <w:rFonts w:ascii="Times New Roman" w:hAnsi="Times New Roman"/>
        </w:rPr>
        <w:t xml:space="preserve"> delivered a white Kia van to those premises and the van was later used to transport the consignment to a warehouse which he had leased in a false name. </w:t>
      </w:r>
      <w:r w:rsidR="007E18E6" w:rsidRPr="002A6F51">
        <w:rPr>
          <w:rFonts w:ascii="Times New Roman" w:hAnsi="Times New Roman"/>
        </w:rPr>
        <w:t>Mr </w:t>
      </w:r>
      <w:proofErr w:type="spellStart"/>
      <w:r w:rsidR="007E18E6" w:rsidRPr="002A6F51">
        <w:rPr>
          <w:rFonts w:ascii="Times New Roman" w:hAnsi="Times New Roman"/>
        </w:rPr>
        <w:t>Awad</w:t>
      </w:r>
      <w:proofErr w:type="spellEnd"/>
      <w:r w:rsidR="007E18E6" w:rsidRPr="002A6F51">
        <w:rPr>
          <w:rFonts w:ascii="Times New Roman" w:hAnsi="Times New Roman"/>
        </w:rPr>
        <w:t xml:space="preserve"> picked up Mr </w:t>
      </w:r>
      <w:proofErr w:type="spellStart"/>
      <w:r w:rsidR="007E18E6" w:rsidRPr="002A6F51">
        <w:rPr>
          <w:rFonts w:ascii="Times New Roman" w:hAnsi="Times New Roman"/>
        </w:rPr>
        <w:t>Tambakakis</w:t>
      </w:r>
      <w:proofErr w:type="spellEnd"/>
      <w:r w:rsidR="007E18E6" w:rsidRPr="002A6F51">
        <w:rPr>
          <w:rFonts w:ascii="Times New Roman" w:hAnsi="Times New Roman"/>
        </w:rPr>
        <w:t xml:space="preserve"> after the van was </w:t>
      </w:r>
      <w:r w:rsidR="009425D3" w:rsidRPr="002A6F51">
        <w:rPr>
          <w:rFonts w:ascii="Times New Roman" w:hAnsi="Times New Roman"/>
        </w:rPr>
        <w:t>delivered</w:t>
      </w:r>
      <w:r w:rsidR="003274AD" w:rsidRPr="002A6F51">
        <w:rPr>
          <w:rFonts w:ascii="Times New Roman" w:hAnsi="Times New Roman"/>
        </w:rPr>
        <w:t xml:space="preserve"> and they drove to Mr </w:t>
      </w:r>
      <w:proofErr w:type="spellStart"/>
      <w:r w:rsidR="003274AD" w:rsidRPr="002A6F51">
        <w:rPr>
          <w:rFonts w:ascii="Times New Roman" w:hAnsi="Times New Roman"/>
        </w:rPr>
        <w:t>Tambakakis</w:t>
      </w:r>
      <w:proofErr w:type="spellEnd"/>
      <w:r w:rsidR="003274AD" w:rsidRPr="002A6F51">
        <w:rPr>
          <w:rFonts w:ascii="Times New Roman" w:hAnsi="Times New Roman"/>
        </w:rPr>
        <w:t xml:space="preserve">' apartment. The two </w:t>
      </w:r>
      <w:r w:rsidR="00DA16E9" w:rsidRPr="002A6F51">
        <w:rPr>
          <w:rFonts w:ascii="Times New Roman" w:hAnsi="Times New Roman"/>
        </w:rPr>
        <w:t xml:space="preserve">later travelled together to a carpark in the </w:t>
      </w:r>
      <w:r w:rsidR="004B50F5" w:rsidRPr="002A6F51">
        <w:rPr>
          <w:rFonts w:ascii="Times New Roman" w:hAnsi="Times New Roman"/>
        </w:rPr>
        <w:t>vicinity</w:t>
      </w:r>
      <w:r w:rsidR="00DA16E9" w:rsidRPr="002A6F51">
        <w:rPr>
          <w:rFonts w:ascii="Times New Roman" w:hAnsi="Times New Roman"/>
        </w:rPr>
        <w:t xml:space="preserve"> of the warehouse and proceeded on foot, though separately, towards it.</w:t>
      </w:r>
    </w:p>
    <w:p w14:paraId="35A38C3E" w14:textId="366BE62F" w:rsidR="00DA16E9" w:rsidRPr="002A6F51" w:rsidRDefault="00DA16E9" w:rsidP="002A6F51">
      <w:pPr>
        <w:pStyle w:val="FixListStyle"/>
        <w:spacing w:after="260" w:line="280" w:lineRule="exact"/>
        <w:ind w:right="0"/>
        <w:jc w:val="both"/>
        <w:rPr>
          <w:rFonts w:ascii="Times New Roman" w:hAnsi="Times New Roman"/>
        </w:rPr>
      </w:pPr>
      <w:r w:rsidRPr="002A6F51">
        <w:rPr>
          <w:rFonts w:ascii="Times New Roman" w:hAnsi="Times New Roman"/>
        </w:rPr>
        <w:tab/>
        <w:t>At a certain point Mr </w:t>
      </w:r>
      <w:proofErr w:type="spellStart"/>
      <w:r w:rsidRPr="002A6F51">
        <w:rPr>
          <w:rFonts w:ascii="Times New Roman" w:hAnsi="Times New Roman"/>
        </w:rPr>
        <w:t>Tambakakis</w:t>
      </w:r>
      <w:proofErr w:type="spellEnd"/>
      <w:r w:rsidRPr="002A6F51">
        <w:rPr>
          <w:rFonts w:ascii="Times New Roman" w:hAnsi="Times New Roman"/>
        </w:rPr>
        <w:t xml:space="preserve"> entered the van and helped unload </w:t>
      </w:r>
      <w:r w:rsidR="000E30C5" w:rsidRPr="002A6F51">
        <w:rPr>
          <w:rFonts w:ascii="Times New Roman" w:hAnsi="Times New Roman"/>
        </w:rPr>
        <w:t>the consignment at the warehouse. When the van was unloaded, Mr </w:t>
      </w:r>
      <w:proofErr w:type="spellStart"/>
      <w:r w:rsidR="000E30C5" w:rsidRPr="002A6F51">
        <w:rPr>
          <w:rFonts w:ascii="Times New Roman" w:hAnsi="Times New Roman"/>
        </w:rPr>
        <w:t>Tambakakis</w:t>
      </w:r>
      <w:proofErr w:type="spellEnd"/>
      <w:r w:rsidR="000E30C5" w:rsidRPr="002A6F51">
        <w:rPr>
          <w:rFonts w:ascii="Times New Roman" w:hAnsi="Times New Roman"/>
        </w:rPr>
        <w:t xml:space="preserve"> drove it out of the warehouse and p</w:t>
      </w:r>
      <w:r w:rsidR="003B5849" w:rsidRPr="002A6F51">
        <w:rPr>
          <w:rFonts w:ascii="Times New Roman" w:hAnsi="Times New Roman"/>
        </w:rPr>
        <w:t>arked at a carpark. He and Mr</w:t>
      </w:r>
      <w:r w:rsidR="002F6095" w:rsidRPr="002A6F51">
        <w:rPr>
          <w:rFonts w:ascii="Times New Roman" w:hAnsi="Times New Roman"/>
        </w:rPr>
        <w:t> </w:t>
      </w:r>
      <w:proofErr w:type="spellStart"/>
      <w:r w:rsidR="00E56D3F" w:rsidRPr="002A6F51">
        <w:rPr>
          <w:rFonts w:ascii="Times New Roman" w:hAnsi="Times New Roman"/>
        </w:rPr>
        <w:t>Awad</w:t>
      </w:r>
      <w:proofErr w:type="spellEnd"/>
      <w:r w:rsidR="00E56D3F" w:rsidRPr="002A6F51">
        <w:rPr>
          <w:rFonts w:ascii="Times New Roman" w:hAnsi="Times New Roman"/>
        </w:rPr>
        <w:t xml:space="preserve"> were then seen walking to the carpark where Mr </w:t>
      </w:r>
      <w:proofErr w:type="spellStart"/>
      <w:r w:rsidR="00E56D3F" w:rsidRPr="002A6F51">
        <w:rPr>
          <w:rFonts w:ascii="Times New Roman" w:hAnsi="Times New Roman"/>
        </w:rPr>
        <w:t>Awad's</w:t>
      </w:r>
      <w:proofErr w:type="spellEnd"/>
      <w:r w:rsidR="00E56D3F" w:rsidRPr="002A6F51">
        <w:rPr>
          <w:rFonts w:ascii="Times New Roman" w:hAnsi="Times New Roman"/>
        </w:rPr>
        <w:t xml:space="preserve"> car was parked and drove away.</w:t>
      </w:r>
    </w:p>
    <w:p w14:paraId="345F51E2" w14:textId="241410B5" w:rsidR="00CE2E69" w:rsidRPr="002A6F51" w:rsidRDefault="00CE2E69" w:rsidP="002A6F51">
      <w:pPr>
        <w:pStyle w:val="FixListStyle"/>
        <w:spacing w:after="260" w:line="280" w:lineRule="exact"/>
        <w:ind w:right="0"/>
        <w:jc w:val="both"/>
        <w:rPr>
          <w:rFonts w:ascii="Times New Roman" w:hAnsi="Times New Roman"/>
        </w:rPr>
      </w:pPr>
      <w:r w:rsidRPr="002A6F51">
        <w:rPr>
          <w:rFonts w:ascii="Times New Roman" w:hAnsi="Times New Roman"/>
        </w:rPr>
        <w:tab/>
      </w:r>
      <w:r w:rsidR="0013189E" w:rsidRPr="002A6F51">
        <w:rPr>
          <w:rFonts w:ascii="Times New Roman" w:hAnsi="Times New Roman"/>
        </w:rPr>
        <w:t>Mr </w:t>
      </w:r>
      <w:proofErr w:type="spellStart"/>
      <w:r w:rsidR="0013189E" w:rsidRPr="002A6F51">
        <w:rPr>
          <w:rFonts w:ascii="Times New Roman" w:hAnsi="Times New Roman"/>
        </w:rPr>
        <w:t>Tambakakis</w:t>
      </w:r>
      <w:proofErr w:type="spellEnd"/>
      <w:r w:rsidR="0013189E" w:rsidRPr="002A6F51">
        <w:rPr>
          <w:rFonts w:ascii="Times New Roman" w:hAnsi="Times New Roman"/>
        </w:rPr>
        <w:t xml:space="preserve"> and Mr </w:t>
      </w:r>
      <w:proofErr w:type="spellStart"/>
      <w:r w:rsidR="0013189E" w:rsidRPr="002A6F51">
        <w:rPr>
          <w:rFonts w:ascii="Times New Roman" w:hAnsi="Times New Roman"/>
        </w:rPr>
        <w:t>Awad</w:t>
      </w:r>
      <w:proofErr w:type="spellEnd"/>
      <w:r w:rsidR="0013189E" w:rsidRPr="002A6F51">
        <w:rPr>
          <w:rFonts w:ascii="Times New Roman" w:hAnsi="Times New Roman"/>
        </w:rPr>
        <w:t xml:space="preserve"> were not charged with any conspiracy </w:t>
      </w:r>
      <w:r w:rsidR="004F5878" w:rsidRPr="002A6F51">
        <w:rPr>
          <w:rFonts w:ascii="Times New Roman" w:hAnsi="Times New Roman"/>
        </w:rPr>
        <w:t>to commit an offence. Mr </w:t>
      </w:r>
      <w:proofErr w:type="spellStart"/>
      <w:r w:rsidR="004F5878" w:rsidRPr="002A6F51">
        <w:rPr>
          <w:rFonts w:ascii="Times New Roman" w:hAnsi="Times New Roman"/>
        </w:rPr>
        <w:t>Awad</w:t>
      </w:r>
      <w:proofErr w:type="spellEnd"/>
      <w:r w:rsidR="004F5878" w:rsidRPr="002A6F51">
        <w:rPr>
          <w:rFonts w:ascii="Times New Roman" w:hAnsi="Times New Roman"/>
        </w:rPr>
        <w:t xml:space="preserve"> was not charged with having aided, abetted, </w:t>
      </w:r>
      <w:proofErr w:type="gramStart"/>
      <w:r w:rsidR="004F5878" w:rsidRPr="002A6F51">
        <w:rPr>
          <w:rFonts w:ascii="Times New Roman" w:hAnsi="Times New Roman"/>
        </w:rPr>
        <w:t>counselled</w:t>
      </w:r>
      <w:proofErr w:type="gramEnd"/>
      <w:r w:rsidR="004F5878" w:rsidRPr="002A6F51">
        <w:rPr>
          <w:rFonts w:ascii="Times New Roman" w:hAnsi="Times New Roman"/>
        </w:rPr>
        <w:t xml:space="preserve"> or procured the commission of an off</w:t>
      </w:r>
      <w:r w:rsidR="008D3DB1" w:rsidRPr="002A6F51">
        <w:rPr>
          <w:rFonts w:ascii="Times New Roman" w:hAnsi="Times New Roman"/>
        </w:rPr>
        <w:t>ence</w:t>
      </w:r>
      <w:r w:rsidR="004F5878" w:rsidRPr="002A6F51">
        <w:rPr>
          <w:rFonts w:ascii="Times New Roman" w:hAnsi="Times New Roman"/>
        </w:rPr>
        <w:t xml:space="preserve"> by Mr </w:t>
      </w:r>
      <w:proofErr w:type="spellStart"/>
      <w:r w:rsidR="004F5878" w:rsidRPr="002A6F51">
        <w:rPr>
          <w:rFonts w:ascii="Times New Roman" w:hAnsi="Times New Roman"/>
        </w:rPr>
        <w:t>Tambakakis</w:t>
      </w:r>
      <w:proofErr w:type="spellEnd"/>
      <w:r w:rsidR="004F5878" w:rsidRPr="002A6F51">
        <w:rPr>
          <w:rFonts w:ascii="Times New Roman" w:hAnsi="Times New Roman"/>
        </w:rPr>
        <w:t>.</w:t>
      </w:r>
      <w:r w:rsidRPr="002A6F51">
        <w:rPr>
          <w:rFonts w:ascii="Times New Roman" w:hAnsi="Times New Roman"/>
        </w:rPr>
        <w:t xml:space="preserve"> The prosecution case that Mr </w:t>
      </w:r>
      <w:proofErr w:type="spellStart"/>
      <w:r w:rsidRPr="002A6F51">
        <w:rPr>
          <w:rFonts w:ascii="Times New Roman" w:hAnsi="Times New Roman"/>
        </w:rPr>
        <w:t>Awad</w:t>
      </w:r>
      <w:proofErr w:type="spellEnd"/>
      <w:r w:rsidRPr="002A6F51">
        <w:rPr>
          <w:rFonts w:ascii="Times New Roman" w:hAnsi="Times New Roman"/>
        </w:rPr>
        <w:t xml:space="preserve"> was in joint possession of the substance in the consignment depended upon him having entered the van with Mr </w:t>
      </w:r>
      <w:proofErr w:type="spellStart"/>
      <w:r w:rsidRPr="002A6F51">
        <w:rPr>
          <w:rFonts w:ascii="Times New Roman" w:hAnsi="Times New Roman"/>
        </w:rPr>
        <w:t>Tambakakis</w:t>
      </w:r>
      <w:proofErr w:type="spellEnd"/>
      <w:r w:rsidRPr="002A6F51">
        <w:rPr>
          <w:rFonts w:ascii="Times New Roman" w:hAnsi="Times New Roman"/>
        </w:rPr>
        <w:t>. But Mr </w:t>
      </w:r>
      <w:proofErr w:type="spellStart"/>
      <w:r w:rsidRPr="002A6F51">
        <w:rPr>
          <w:rFonts w:ascii="Times New Roman" w:hAnsi="Times New Roman"/>
        </w:rPr>
        <w:t>Tambakakis</w:t>
      </w:r>
      <w:proofErr w:type="spellEnd"/>
      <w:r w:rsidRPr="002A6F51">
        <w:rPr>
          <w:rFonts w:ascii="Times New Roman" w:hAnsi="Times New Roman"/>
        </w:rPr>
        <w:t xml:space="preserve"> gave evidence that</w:t>
      </w:r>
      <w:r w:rsidR="002A649F" w:rsidRPr="002A6F51">
        <w:rPr>
          <w:rFonts w:ascii="Times New Roman" w:hAnsi="Times New Roman"/>
        </w:rPr>
        <w:t>,</w:t>
      </w:r>
      <w:r w:rsidRPr="002A6F51">
        <w:rPr>
          <w:rFonts w:ascii="Times New Roman" w:hAnsi="Times New Roman"/>
        </w:rPr>
        <w:t xml:space="preserve"> although it had been planned that both he and </w:t>
      </w:r>
      <w:r w:rsidRPr="002A6F51">
        <w:rPr>
          <w:rFonts w:ascii="Times New Roman" w:hAnsi="Times New Roman"/>
        </w:rPr>
        <w:lastRenderedPageBreak/>
        <w:t>Mr </w:t>
      </w:r>
      <w:proofErr w:type="spellStart"/>
      <w:r w:rsidRPr="002A6F51">
        <w:rPr>
          <w:rFonts w:ascii="Times New Roman" w:hAnsi="Times New Roman"/>
        </w:rPr>
        <w:t>Awa</w:t>
      </w:r>
      <w:r w:rsidR="00C82E32" w:rsidRPr="002A6F51">
        <w:rPr>
          <w:rFonts w:ascii="Times New Roman" w:hAnsi="Times New Roman"/>
        </w:rPr>
        <w:t>d</w:t>
      </w:r>
      <w:proofErr w:type="spellEnd"/>
      <w:r w:rsidRPr="002A6F51">
        <w:rPr>
          <w:rFonts w:ascii="Times New Roman" w:hAnsi="Times New Roman"/>
        </w:rPr>
        <w:t xml:space="preserve"> would enter the van and travel in it to the warehouse, Mr </w:t>
      </w:r>
      <w:proofErr w:type="spellStart"/>
      <w:r w:rsidRPr="002A6F51">
        <w:rPr>
          <w:rFonts w:ascii="Times New Roman" w:hAnsi="Times New Roman"/>
        </w:rPr>
        <w:t>Awad</w:t>
      </w:r>
      <w:proofErr w:type="spellEnd"/>
      <w:r w:rsidRPr="002A6F51">
        <w:rPr>
          <w:rFonts w:ascii="Times New Roman" w:hAnsi="Times New Roman"/>
        </w:rPr>
        <w:t xml:space="preserve"> did not do so.</w:t>
      </w:r>
      <w:r w:rsidR="008216A4" w:rsidRPr="002A6F51">
        <w:rPr>
          <w:rFonts w:ascii="Times New Roman" w:hAnsi="Times New Roman"/>
        </w:rPr>
        <w:t xml:space="preserve"> And there was no CCTV footage which placed Mr </w:t>
      </w:r>
      <w:proofErr w:type="spellStart"/>
      <w:r w:rsidR="008216A4" w:rsidRPr="002A6F51">
        <w:rPr>
          <w:rFonts w:ascii="Times New Roman" w:hAnsi="Times New Roman"/>
        </w:rPr>
        <w:t>Awad</w:t>
      </w:r>
      <w:proofErr w:type="spellEnd"/>
      <w:r w:rsidR="008216A4" w:rsidRPr="002A6F51">
        <w:rPr>
          <w:rFonts w:ascii="Times New Roman" w:hAnsi="Times New Roman"/>
        </w:rPr>
        <w:t xml:space="preserve"> there.</w:t>
      </w:r>
    </w:p>
    <w:p w14:paraId="5D7F9F62" w14:textId="64AB17B9" w:rsidR="00CE2E69" w:rsidRPr="002A6F51" w:rsidRDefault="00CE2E69" w:rsidP="002A6F51">
      <w:pPr>
        <w:pStyle w:val="FixListStyle"/>
        <w:spacing w:after="260" w:line="280" w:lineRule="exact"/>
        <w:ind w:right="0"/>
        <w:jc w:val="both"/>
        <w:rPr>
          <w:rFonts w:ascii="Times New Roman" w:hAnsi="Times New Roman"/>
        </w:rPr>
      </w:pPr>
      <w:r w:rsidRPr="002A6F51">
        <w:rPr>
          <w:rFonts w:ascii="Times New Roman" w:hAnsi="Times New Roman"/>
        </w:rPr>
        <w:tab/>
        <w:t>Mr </w:t>
      </w:r>
      <w:proofErr w:type="spellStart"/>
      <w:r w:rsidRPr="002A6F51">
        <w:rPr>
          <w:rFonts w:ascii="Times New Roman" w:hAnsi="Times New Roman"/>
        </w:rPr>
        <w:t>Tambakakis</w:t>
      </w:r>
      <w:proofErr w:type="spellEnd"/>
      <w:r w:rsidRPr="002A6F51">
        <w:rPr>
          <w:rFonts w:ascii="Times New Roman" w:hAnsi="Times New Roman"/>
        </w:rPr>
        <w:t xml:space="preserve"> also gave evidence in his own defence. </w:t>
      </w:r>
      <w:r w:rsidR="00D11559" w:rsidRPr="002A6F51">
        <w:rPr>
          <w:rFonts w:ascii="Times New Roman" w:hAnsi="Times New Roman"/>
        </w:rPr>
        <w:t>I</w:t>
      </w:r>
      <w:r w:rsidRPr="002A6F51">
        <w:rPr>
          <w:rFonts w:ascii="Times New Roman" w:hAnsi="Times New Roman"/>
        </w:rPr>
        <w:t xml:space="preserve">t was </w:t>
      </w:r>
      <w:r w:rsidR="00D11559" w:rsidRPr="002A6F51">
        <w:rPr>
          <w:rFonts w:ascii="Times New Roman" w:hAnsi="Times New Roman"/>
        </w:rPr>
        <w:t xml:space="preserve">to the effect </w:t>
      </w:r>
      <w:r w:rsidRPr="002A6F51">
        <w:rPr>
          <w:rFonts w:ascii="Times New Roman" w:hAnsi="Times New Roman"/>
        </w:rPr>
        <w:t>that another person organised the importation and that he, Mr </w:t>
      </w:r>
      <w:proofErr w:type="spellStart"/>
      <w:r w:rsidRPr="002A6F51">
        <w:rPr>
          <w:rFonts w:ascii="Times New Roman" w:hAnsi="Times New Roman"/>
        </w:rPr>
        <w:t>Tambakakis</w:t>
      </w:r>
      <w:proofErr w:type="spellEnd"/>
      <w:r w:rsidRPr="002A6F51">
        <w:rPr>
          <w:rFonts w:ascii="Times New Roman" w:hAnsi="Times New Roman"/>
        </w:rPr>
        <w:t>, believed the drugs were steroid tablets. They had previously imported such drugs.</w:t>
      </w:r>
      <w:r w:rsidR="004C7892" w:rsidRPr="002A6F51">
        <w:rPr>
          <w:rFonts w:ascii="Times New Roman" w:hAnsi="Times New Roman"/>
        </w:rPr>
        <w:t xml:space="preserve"> This defence involved confessing to</w:t>
      </w:r>
      <w:r w:rsidR="00DC09BE" w:rsidRPr="002A6F51">
        <w:rPr>
          <w:rFonts w:ascii="Times New Roman" w:hAnsi="Times New Roman"/>
        </w:rPr>
        <w:t xml:space="preserve"> </w:t>
      </w:r>
      <w:r w:rsidR="004C7892" w:rsidRPr="002A6F51">
        <w:rPr>
          <w:rFonts w:ascii="Times New Roman" w:hAnsi="Times New Roman"/>
        </w:rPr>
        <w:t>involvement in the illegal importation of steroids but not to the importation of a border</w:t>
      </w:r>
      <w:r w:rsidR="004C7892" w:rsidRPr="002A6F51">
        <w:rPr>
          <w:rFonts w:ascii="Times New Roman" w:hAnsi="Times New Roman"/>
        </w:rPr>
        <w:noBreakHyphen/>
        <w:t>controlled drug.</w:t>
      </w:r>
    </w:p>
    <w:p w14:paraId="734E18EC" w14:textId="412B0493" w:rsidR="00CE2E69" w:rsidRPr="002A6F51" w:rsidRDefault="00CE2E69" w:rsidP="002A6F51">
      <w:pPr>
        <w:pStyle w:val="FixListStyle"/>
        <w:spacing w:after="260" w:line="280" w:lineRule="exact"/>
        <w:ind w:right="0"/>
        <w:jc w:val="both"/>
        <w:rPr>
          <w:rFonts w:ascii="Times New Roman" w:hAnsi="Times New Roman"/>
        </w:rPr>
      </w:pPr>
      <w:r w:rsidRPr="002A6F51">
        <w:rPr>
          <w:rFonts w:ascii="Times New Roman" w:hAnsi="Times New Roman"/>
        </w:rPr>
        <w:tab/>
        <w:t>It follows that both Mr </w:t>
      </w:r>
      <w:proofErr w:type="spellStart"/>
      <w:r w:rsidRPr="002A6F51">
        <w:rPr>
          <w:rFonts w:ascii="Times New Roman" w:hAnsi="Times New Roman"/>
        </w:rPr>
        <w:t>Tambakakis</w:t>
      </w:r>
      <w:proofErr w:type="spellEnd"/>
      <w:r w:rsidRPr="002A6F51">
        <w:rPr>
          <w:rFonts w:ascii="Times New Roman" w:hAnsi="Times New Roman"/>
        </w:rPr>
        <w:t>' defence and the prosecution case against Mr </w:t>
      </w:r>
      <w:proofErr w:type="spellStart"/>
      <w:r w:rsidRPr="002A6F51">
        <w:rPr>
          <w:rFonts w:ascii="Times New Roman" w:hAnsi="Times New Roman"/>
        </w:rPr>
        <w:t>Awad</w:t>
      </w:r>
      <w:proofErr w:type="spellEnd"/>
      <w:r w:rsidRPr="002A6F51">
        <w:rPr>
          <w:rFonts w:ascii="Times New Roman" w:hAnsi="Times New Roman"/>
        </w:rPr>
        <w:t xml:space="preserve"> critically involved the jury's assessment of the credibility of Mr </w:t>
      </w:r>
      <w:proofErr w:type="spellStart"/>
      <w:r w:rsidRPr="002A6F51">
        <w:rPr>
          <w:rFonts w:ascii="Times New Roman" w:hAnsi="Times New Roman"/>
        </w:rPr>
        <w:t>Tambakakis</w:t>
      </w:r>
      <w:proofErr w:type="spellEnd"/>
      <w:r w:rsidR="00CA66D1" w:rsidRPr="002A6F51">
        <w:rPr>
          <w:rFonts w:ascii="Times New Roman" w:hAnsi="Times New Roman"/>
        </w:rPr>
        <w:t>'</w:t>
      </w:r>
      <w:r w:rsidRPr="002A6F51">
        <w:rPr>
          <w:rFonts w:ascii="Times New Roman" w:hAnsi="Times New Roman"/>
        </w:rPr>
        <w:t xml:space="preserve"> evidence.</w:t>
      </w:r>
    </w:p>
    <w:p w14:paraId="1C1D93CC" w14:textId="11AE9A6C" w:rsidR="00CE2E69" w:rsidRPr="002A6F51" w:rsidRDefault="00CE2E69" w:rsidP="002A6F51">
      <w:pPr>
        <w:pStyle w:val="HeadingL1"/>
        <w:spacing w:after="260" w:line="280" w:lineRule="exact"/>
        <w:ind w:right="0"/>
        <w:jc w:val="both"/>
        <w:rPr>
          <w:rFonts w:ascii="Times New Roman" w:hAnsi="Times New Roman"/>
        </w:rPr>
      </w:pPr>
      <w:r w:rsidRPr="002A6F51">
        <w:rPr>
          <w:rFonts w:ascii="Times New Roman" w:hAnsi="Times New Roman"/>
        </w:rPr>
        <w:t>The misdirection</w:t>
      </w:r>
    </w:p>
    <w:p w14:paraId="7266E86A" w14:textId="4FA43058" w:rsidR="00CE2E69" w:rsidRPr="002A6F51" w:rsidRDefault="00CE2E69" w:rsidP="002A6F51">
      <w:pPr>
        <w:pStyle w:val="FixListStyle"/>
        <w:spacing w:after="260" w:line="280" w:lineRule="exact"/>
        <w:ind w:right="0"/>
        <w:jc w:val="both"/>
        <w:rPr>
          <w:rFonts w:ascii="Times New Roman" w:hAnsi="Times New Roman"/>
        </w:rPr>
      </w:pPr>
      <w:r w:rsidRPr="002A6F51">
        <w:rPr>
          <w:rFonts w:ascii="Times New Roman" w:hAnsi="Times New Roman"/>
        </w:rPr>
        <w:tab/>
        <w:t xml:space="preserve">At an early point in his charge to </w:t>
      </w:r>
      <w:r w:rsidR="00CA66D1" w:rsidRPr="002A6F51">
        <w:rPr>
          <w:rFonts w:ascii="Times New Roman" w:hAnsi="Times New Roman"/>
        </w:rPr>
        <w:t>the jury</w:t>
      </w:r>
      <w:r w:rsidR="008D2330" w:rsidRPr="002A6F51">
        <w:rPr>
          <w:rFonts w:ascii="Times New Roman" w:hAnsi="Times New Roman"/>
        </w:rPr>
        <w:t>,</w:t>
      </w:r>
      <w:r w:rsidR="00CA66D1" w:rsidRPr="002A6F51">
        <w:rPr>
          <w:rFonts w:ascii="Times New Roman" w:hAnsi="Times New Roman"/>
        </w:rPr>
        <w:t xml:space="preserve"> the trial judge directed the jury that</w:t>
      </w:r>
      <w:r w:rsidR="00036564" w:rsidRPr="002A6F51">
        <w:rPr>
          <w:rFonts w:ascii="Times New Roman" w:hAnsi="Times New Roman"/>
        </w:rPr>
        <w:t>,</w:t>
      </w:r>
      <w:r w:rsidR="00CA66D1" w:rsidRPr="002A6F51">
        <w:rPr>
          <w:rFonts w:ascii="Times New Roman" w:hAnsi="Times New Roman"/>
        </w:rPr>
        <w:t xml:space="preserve"> </w:t>
      </w:r>
      <w:r w:rsidR="00BC3E8C" w:rsidRPr="002A6F51">
        <w:rPr>
          <w:rFonts w:ascii="Times New Roman" w:hAnsi="Times New Roman"/>
        </w:rPr>
        <w:t xml:space="preserve">although </w:t>
      </w:r>
      <w:r w:rsidR="00CA66D1" w:rsidRPr="002A6F51">
        <w:rPr>
          <w:rFonts w:ascii="Times New Roman" w:hAnsi="Times New Roman"/>
        </w:rPr>
        <w:t>Mr </w:t>
      </w:r>
      <w:proofErr w:type="spellStart"/>
      <w:r w:rsidR="00CA66D1" w:rsidRPr="002A6F51">
        <w:rPr>
          <w:rFonts w:ascii="Times New Roman" w:hAnsi="Times New Roman"/>
        </w:rPr>
        <w:t>Tambakakis</w:t>
      </w:r>
      <w:proofErr w:type="spellEnd"/>
      <w:r w:rsidR="00CA66D1" w:rsidRPr="002A6F51">
        <w:rPr>
          <w:rFonts w:ascii="Times New Roman" w:hAnsi="Times New Roman"/>
        </w:rPr>
        <w:t xml:space="preserve"> had the right to remain silent and was not obliged to give evidence, </w:t>
      </w:r>
      <w:r w:rsidR="00BC3E8C" w:rsidRPr="002A6F51">
        <w:rPr>
          <w:rFonts w:ascii="Times New Roman" w:hAnsi="Times New Roman"/>
        </w:rPr>
        <w:t xml:space="preserve">he </w:t>
      </w:r>
      <w:r w:rsidR="00CA66D1" w:rsidRPr="002A6F51">
        <w:rPr>
          <w:rFonts w:ascii="Times New Roman" w:hAnsi="Times New Roman"/>
        </w:rPr>
        <w:t xml:space="preserve">chose to do so. </w:t>
      </w:r>
      <w:r w:rsidR="00BC3E8C" w:rsidRPr="002A6F51">
        <w:rPr>
          <w:rFonts w:ascii="Times New Roman" w:hAnsi="Times New Roman"/>
        </w:rPr>
        <w:t xml:space="preserve">The trial judge </w:t>
      </w:r>
      <w:r w:rsidR="00B03B96" w:rsidRPr="002A6F51">
        <w:rPr>
          <w:rFonts w:ascii="Times New Roman" w:hAnsi="Times New Roman"/>
        </w:rPr>
        <w:t>told them that Mr </w:t>
      </w:r>
      <w:proofErr w:type="spellStart"/>
      <w:r w:rsidR="00B03B96" w:rsidRPr="002A6F51">
        <w:rPr>
          <w:rFonts w:ascii="Times New Roman" w:hAnsi="Times New Roman"/>
        </w:rPr>
        <w:t>Tambakakis</w:t>
      </w:r>
      <w:proofErr w:type="spellEnd"/>
      <w:r w:rsidR="00B03B96" w:rsidRPr="002A6F51">
        <w:rPr>
          <w:rFonts w:ascii="Times New Roman" w:hAnsi="Times New Roman"/>
        </w:rPr>
        <w:t xml:space="preserve"> </w:t>
      </w:r>
      <w:r w:rsidR="00CA66D1" w:rsidRPr="002A6F51">
        <w:rPr>
          <w:rFonts w:ascii="Times New Roman" w:hAnsi="Times New Roman"/>
        </w:rPr>
        <w:t>undertook to tell the truth and submitted himself to cross</w:t>
      </w:r>
      <w:r w:rsidR="00CA66D1" w:rsidRPr="002A6F51">
        <w:rPr>
          <w:rFonts w:ascii="Times New Roman" w:hAnsi="Times New Roman"/>
        </w:rPr>
        <w:noBreakHyphen/>
        <w:t>examination, a process by which the credibility and truthfulness of a witness are examined. The trial judge went on:</w:t>
      </w:r>
    </w:p>
    <w:p w14:paraId="635CCFDB" w14:textId="77777777" w:rsidR="002A6F51" w:rsidRDefault="00D056C6" w:rsidP="002A6F51">
      <w:pPr>
        <w:pStyle w:val="LeftrightafterHC"/>
        <w:spacing w:before="0" w:after="260" w:line="280" w:lineRule="exact"/>
        <w:ind w:right="0"/>
        <w:jc w:val="both"/>
        <w:rPr>
          <w:rFonts w:ascii="Times New Roman" w:hAnsi="Times New Roman"/>
        </w:rPr>
      </w:pPr>
      <w:r w:rsidRPr="002A6F51">
        <w:rPr>
          <w:rFonts w:ascii="Times New Roman" w:hAnsi="Times New Roman"/>
        </w:rPr>
        <w:tab/>
      </w:r>
      <w:r w:rsidR="00CA66D1" w:rsidRPr="002A6F51">
        <w:rPr>
          <w:rFonts w:ascii="Times New Roman" w:hAnsi="Times New Roman"/>
        </w:rPr>
        <w:t>"Now, there are two factors that are significant that you should have regard to when you are assessing Mr </w:t>
      </w:r>
      <w:proofErr w:type="spellStart"/>
      <w:r w:rsidR="00CA66D1" w:rsidRPr="002A6F51">
        <w:rPr>
          <w:rFonts w:ascii="Times New Roman" w:hAnsi="Times New Roman"/>
        </w:rPr>
        <w:t>Tambakakis</w:t>
      </w:r>
      <w:proofErr w:type="spellEnd"/>
      <w:r w:rsidR="00CA66D1" w:rsidRPr="002A6F51">
        <w:rPr>
          <w:rFonts w:ascii="Times New Roman" w:hAnsi="Times New Roman"/>
        </w:rPr>
        <w:t>' evidence. Firstly, in a criminal trial</w:t>
      </w:r>
      <w:r w:rsidR="0038317C" w:rsidRPr="002A6F51">
        <w:rPr>
          <w:rFonts w:ascii="Times New Roman" w:hAnsi="Times New Roman"/>
        </w:rPr>
        <w:t>,</w:t>
      </w:r>
      <w:r w:rsidR="00CA66D1" w:rsidRPr="002A6F51">
        <w:rPr>
          <w:rFonts w:ascii="Times New Roman" w:hAnsi="Times New Roman"/>
        </w:rPr>
        <w:t xml:space="preserve"> there is nothing more </w:t>
      </w:r>
      <w:r w:rsidR="00AC2F1C" w:rsidRPr="002A6F51">
        <w:rPr>
          <w:rFonts w:ascii="Times New Roman" w:hAnsi="Times New Roman"/>
        </w:rPr>
        <w:t>[that]</w:t>
      </w:r>
      <w:r w:rsidR="00CA66D1" w:rsidRPr="002A6F51">
        <w:rPr>
          <w:rFonts w:ascii="Times New Roman" w:hAnsi="Times New Roman"/>
        </w:rPr>
        <w:t xml:space="preserve"> an innocent </w:t>
      </w:r>
      <w:r w:rsidR="009826ED" w:rsidRPr="002A6F51">
        <w:rPr>
          <w:rFonts w:ascii="Times New Roman" w:hAnsi="Times New Roman"/>
        </w:rPr>
        <w:t>[</w:t>
      </w:r>
      <w:r w:rsidR="00CA66D1" w:rsidRPr="002A6F51">
        <w:rPr>
          <w:rFonts w:ascii="Times New Roman" w:hAnsi="Times New Roman"/>
        </w:rPr>
        <w:t>person</w:t>
      </w:r>
      <w:r w:rsidR="009826ED" w:rsidRPr="002A6F51">
        <w:rPr>
          <w:rFonts w:ascii="Times New Roman" w:hAnsi="Times New Roman"/>
        </w:rPr>
        <w:t>]</w:t>
      </w:r>
      <w:r w:rsidR="00CA66D1" w:rsidRPr="002A6F51">
        <w:rPr>
          <w:rFonts w:ascii="Times New Roman" w:hAnsi="Times New Roman"/>
        </w:rPr>
        <w:t xml:space="preserve"> can do than give evidence in his own defence and subject himself to cross</w:t>
      </w:r>
      <w:r w:rsidR="00CA66D1" w:rsidRPr="002A6F51">
        <w:rPr>
          <w:rFonts w:ascii="Times New Roman" w:hAnsi="Times New Roman"/>
        </w:rPr>
        <w:noBreakHyphen/>
        <w:t xml:space="preserve">examination, and that is what occurred here. </w:t>
      </w:r>
      <w:r w:rsidR="00CA66D1" w:rsidRPr="002A6F51">
        <w:rPr>
          <w:rFonts w:ascii="Times New Roman" w:hAnsi="Times New Roman"/>
          <w:i/>
          <w:iCs/>
        </w:rPr>
        <w:t>On the other hand, secondly, a guilty person might decide to tough out cross</w:t>
      </w:r>
      <w:r w:rsidR="00CA66D1" w:rsidRPr="002A6F51">
        <w:rPr>
          <w:rFonts w:ascii="Times New Roman" w:hAnsi="Times New Roman"/>
          <w:i/>
          <w:iCs/>
        </w:rPr>
        <w:noBreakHyphen/>
        <w:t xml:space="preserve">examination in the hope or belief that he will be more likely to be believed and his defence accepted if he takes the risk of giving evidence. </w:t>
      </w:r>
      <w:r w:rsidR="00CA66D1" w:rsidRPr="002A6F51">
        <w:rPr>
          <w:rFonts w:ascii="Times New Roman" w:hAnsi="Times New Roman"/>
        </w:rPr>
        <w:t xml:space="preserve">You should consider </w:t>
      </w:r>
      <w:proofErr w:type="gramStart"/>
      <w:r w:rsidR="00CA66D1" w:rsidRPr="002A6F51">
        <w:rPr>
          <w:rFonts w:ascii="Times New Roman" w:hAnsi="Times New Roman"/>
        </w:rPr>
        <w:t>both of these</w:t>
      </w:r>
      <w:proofErr w:type="gramEnd"/>
      <w:r w:rsidR="00CA66D1" w:rsidRPr="002A6F51">
        <w:rPr>
          <w:rFonts w:ascii="Times New Roman" w:hAnsi="Times New Roman"/>
        </w:rPr>
        <w:t xml:space="preserve"> observations when evaluating Mr </w:t>
      </w:r>
      <w:proofErr w:type="spellStart"/>
      <w:r w:rsidR="00CA66D1" w:rsidRPr="002A6F51">
        <w:rPr>
          <w:rFonts w:ascii="Times New Roman" w:hAnsi="Times New Roman"/>
        </w:rPr>
        <w:t>Tambakakis</w:t>
      </w:r>
      <w:proofErr w:type="spellEnd"/>
      <w:r w:rsidR="00CA66D1" w:rsidRPr="002A6F51">
        <w:rPr>
          <w:rFonts w:ascii="Times New Roman" w:hAnsi="Times New Roman"/>
        </w:rPr>
        <w:t>' evidence." (</w:t>
      </w:r>
      <w:proofErr w:type="gramStart"/>
      <w:r w:rsidR="00CA66D1" w:rsidRPr="002A6F51">
        <w:rPr>
          <w:rFonts w:ascii="Times New Roman" w:hAnsi="Times New Roman"/>
        </w:rPr>
        <w:t>emphasis</w:t>
      </w:r>
      <w:proofErr w:type="gramEnd"/>
      <w:r w:rsidR="00CA66D1" w:rsidRPr="002A6F51">
        <w:rPr>
          <w:rFonts w:ascii="Times New Roman" w:hAnsi="Times New Roman"/>
        </w:rPr>
        <w:t xml:space="preserve"> added)</w:t>
      </w:r>
    </w:p>
    <w:p w14:paraId="69AA9495" w14:textId="3F9C1EF7" w:rsidR="00CA66D1" w:rsidRPr="002A6F51" w:rsidRDefault="00CA66D1" w:rsidP="002A6F51">
      <w:pPr>
        <w:pStyle w:val="FixListStyle"/>
        <w:spacing w:after="260" w:line="280" w:lineRule="exact"/>
        <w:ind w:right="0"/>
        <w:jc w:val="both"/>
        <w:rPr>
          <w:rFonts w:ascii="Times New Roman" w:hAnsi="Times New Roman"/>
        </w:rPr>
      </w:pPr>
      <w:r w:rsidRPr="002A6F51">
        <w:rPr>
          <w:rFonts w:ascii="Times New Roman" w:hAnsi="Times New Roman"/>
        </w:rPr>
        <w:tab/>
        <w:t>The trial judge went on to say that it is a matter for the jury as to what they accept or what weight they give</w:t>
      </w:r>
      <w:r w:rsidR="002D653B" w:rsidRPr="002A6F51">
        <w:rPr>
          <w:rFonts w:ascii="Times New Roman" w:hAnsi="Times New Roman"/>
        </w:rPr>
        <w:t xml:space="preserve"> to the evidence</w:t>
      </w:r>
      <w:r w:rsidRPr="002A6F51">
        <w:rPr>
          <w:rFonts w:ascii="Times New Roman" w:hAnsi="Times New Roman"/>
        </w:rPr>
        <w:t xml:space="preserve">. They should treat </w:t>
      </w:r>
      <w:r w:rsidR="003D5BFC" w:rsidRPr="002A6F51">
        <w:rPr>
          <w:rFonts w:ascii="Times New Roman" w:hAnsi="Times New Roman"/>
        </w:rPr>
        <w:t>Mr </w:t>
      </w:r>
      <w:proofErr w:type="spellStart"/>
      <w:r w:rsidR="003D5BFC" w:rsidRPr="002A6F51">
        <w:rPr>
          <w:rFonts w:ascii="Times New Roman" w:hAnsi="Times New Roman"/>
        </w:rPr>
        <w:t>Tambakakis</w:t>
      </w:r>
      <w:proofErr w:type="spellEnd"/>
      <w:r w:rsidR="003D5BFC" w:rsidRPr="002A6F51">
        <w:rPr>
          <w:rFonts w:ascii="Times New Roman" w:hAnsi="Times New Roman"/>
        </w:rPr>
        <w:t xml:space="preserve">' </w:t>
      </w:r>
      <w:r w:rsidRPr="002A6F51">
        <w:rPr>
          <w:rFonts w:ascii="Times New Roman" w:hAnsi="Times New Roman"/>
        </w:rPr>
        <w:t>evidence in the same way as they would treat the evidence of other witnesses. But they should bear in mind</w:t>
      </w:r>
      <w:r w:rsidR="00F3771C" w:rsidRPr="002A6F51">
        <w:rPr>
          <w:rFonts w:ascii="Times New Roman" w:hAnsi="Times New Roman"/>
        </w:rPr>
        <w:t xml:space="preserve"> that </w:t>
      </w:r>
      <w:r w:rsidR="00B11DF8" w:rsidRPr="002A6F51">
        <w:rPr>
          <w:rFonts w:ascii="Times New Roman" w:hAnsi="Times New Roman"/>
        </w:rPr>
        <w:t>an accused giving evidence is probably under more stress than any other witness when giving evidence in a trial.</w:t>
      </w:r>
    </w:p>
    <w:p w14:paraId="5C1DBAD9" w14:textId="1EAE3257" w:rsidR="00B11DF8" w:rsidRPr="002A6F51" w:rsidRDefault="00B11DF8" w:rsidP="002A6F51">
      <w:pPr>
        <w:pStyle w:val="FixListStyle"/>
        <w:spacing w:after="260" w:line="280" w:lineRule="exact"/>
        <w:ind w:right="0"/>
        <w:jc w:val="both"/>
        <w:rPr>
          <w:rFonts w:ascii="Times New Roman" w:hAnsi="Times New Roman"/>
        </w:rPr>
      </w:pPr>
      <w:r w:rsidRPr="002A6F51">
        <w:rPr>
          <w:rFonts w:ascii="Times New Roman" w:hAnsi="Times New Roman"/>
        </w:rPr>
        <w:tab/>
        <w:t>The appellants contend that the directions were not only prohibit</w:t>
      </w:r>
      <w:r w:rsidR="00E80436" w:rsidRPr="002A6F51">
        <w:rPr>
          <w:rFonts w:ascii="Times New Roman" w:hAnsi="Times New Roman"/>
        </w:rPr>
        <w:t xml:space="preserve">ed by the </w:t>
      </w:r>
      <w:r w:rsidR="00E80436" w:rsidRPr="002A6F51">
        <w:rPr>
          <w:rFonts w:ascii="Times New Roman" w:hAnsi="Times New Roman"/>
          <w:i/>
          <w:iCs/>
        </w:rPr>
        <w:t>Jury Directions Act</w:t>
      </w:r>
      <w:r w:rsidR="00A33A99" w:rsidRPr="002A6F51">
        <w:rPr>
          <w:rFonts w:ascii="Times New Roman" w:hAnsi="Times New Roman"/>
        </w:rPr>
        <w:t>,</w:t>
      </w:r>
      <w:r w:rsidR="00FC3A2D" w:rsidRPr="002A6F51">
        <w:rPr>
          <w:rFonts w:ascii="Times New Roman" w:hAnsi="Times New Roman"/>
          <w:i/>
          <w:iCs/>
        </w:rPr>
        <w:t xml:space="preserve"> </w:t>
      </w:r>
      <w:r w:rsidR="00514BD7" w:rsidRPr="002A6F51">
        <w:rPr>
          <w:rFonts w:ascii="Times New Roman" w:hAnsi="Times New Roman"/>
        </w:rPr>
        <w:t xml:space="preserve">but that </w:t>
      </w:r>
      <w:r w:rsidR="00E80436" w:rsidRPr="002A6F51">
        <w:rPr>
          <w:rFonts w:ascii="Times New Roman" w:hAnsi="Times New Roman"/>
        </w:rPr>
        <w:t xml:space="preserve">they resulted in a substantial miscarriage of justice such that their convictions should be </w:t>
      </w:r>
      <w:proofErr w:type="gramStart"/>
      <w:r w:rsidR="00E80436" w:rsidRPr="002A6F51">
        <w:rPr>
          <w:rFonts w:ascii="Times New Roman" w:hAnsi="Times New Roman"/>
        </w:rPr>
        <w:t>quashed</w:t>
      </w:r>
      <w:proofErr w:type="gramEnd"/>
      <w:r w:rsidR="00E80436" w:rsidRPr="002A6F51">
        <w:rPr>
          <w:rFonts w:ascii="Times New Roman" w:hAnsi="Times New Roman"/>
        </w:rPr>
        <w:t xml:space="preserve"> and new trial</w:t>
      </w:r>
      <w:r w:rsidR="003D7DC8" w:rsidRPr="002A6F51">
        <w:rPr>
          <w:rFonts w:ascii="Times New Roman" w:hAnsi="Times New Roman"/>
        </w:rPr>
        <w:t>s</w:t>
      </w:r>
      <w:r w:rsidR="00E80436" w:rsidRPr="002A6F51">
        <w:rPr>
          <w:rFonts w:ascii="Times New Roman" w:hAnsi="Times New Roman"/>
        </w:rPr>
        <w:t xml:space="preserve"> ordered.</w:t>
      </w:r>
    </w:p>
    <w:p w14:paraId="4F1F5DE7" w14:textId="3B48F2D3" w:rsidR="00E80436" w:rsidRPr="002A6F51" w:rsidRDefault="008C7C60" w:rsidP="002A6F51">
      <w:pPr>
        <w:pStyle w:val="HeadingL1"/>
        <w:spacing w:after="260" w:line="280" w:lineRule="exact"/>
        <w:ind w:right="0"/>
        <w:jc w:val="both"/>
        <w:rPr>
          <w:rFonts w:ascii="Times New Roman" w:hAnsi="Times New Roman"/>
          <w:i/>
          <w:iCs/>
        </w:rPr>
      </w:pPr>
      <w:r w:rsidRPr="002A6F51">
        <w:rPr>
          <w:rFonts w:ascii="Times New Roman" w:hAnsi="Times New Roman"/>
        </w:rPr>
        <w:t xml:space="preserve">The </w:t>
      </w:r>
      <w:r w:rsidRPr="002A6F51">
        <w:rPr>
          <w:rFonts w:ascii="Times New Roman" w:hAnsi="Times New Roman"/>
          <w:i/>
          <w:iCs/>
        </w:rPr>
        <w:t>Jury Directions Act</w:t>
      </w:r>
    </w:p>
    <w:p w14:paraId="48D40CAD" w14:textId="6F8D9BED" w:rsidR="008C7C60" w:rsidRPr="002A6F51" w:rsidRDefault="008C7C60" w:rsidP="002A6F51">
      <w:pPr>
        <w:pStyle w:val="FixListStyle"/>
        <w:spacing w:after="260" w:line="280" w:lineRule="exact"/>
        <w:ind w:right="0"/>
        <w:jc w:val="both"/>
        <w:rPr>
          <w:rFonts w:ascii="Times New Roman" w:hAnsi="Times New Roman"/>
        </w:rPr>
      </w:pPr>
      <w:r w:rsidRPr="002A6F51">
        <w:rPr>
          <w:rFonts w:ascii="Times New Roman" w:hAnsi="Times New Roman"/>
        </w:rPr>
        <w:tab/>
        <w:t>Sections 4</w:t>
      </w:r>
      <w:r w:rsidR="00564ABC" w:rsidRPr="002A6F51">
        <w:rPr>
          <w:rFonts w:ascii="Times New Roman" w:hAnsi="Times New Roman"/>
        </w:rPr>
        <w:t>4</w:t>
      </w:r>
      <w:r w:rsidRPr="002A6F51">
        <w:rPr>
          <w:rFonts w:ascii="Times New Roman" w:hAnsi="Times New Roman"/>
        </w:rPr>
        <w:t xml:space="preserve">H to 44K were inserted into the </w:t>
      </w:r>
      <w:r w:rsidR="0074625F" w:rsidRPr="002A6F51">
        <w:rPr>
          <w:rFonts w:ascii="Times New Roman" w:hAnsi="Times New Roman"/>
          <w:i/>
          <w:iCs/>
        </w:rPr>
        <w:t xml:space="preserve">Jury Directions Act </w:t>
      </w:r>
      <w:r w:rsidR="00B7592E" w:rsidRPr="002A6F51">
        <w:rPr>
          <w:rFonts w:ascii="Times New Roman" w:hAnsi="Times New Roman"/>
        </w:rPr>
        <w:t>with operation from 1 October 2017. Section 44J is in the following terms:</w:t>
      </w:r>
    </w:p>
    <w:p w14:paraId="492AFBF1" w14:textId="009E82C1" w:rsidR="00FA71D0" w:rsidRPr="002A6F51" w:rsidRDefault="008A65E1" w:rsidP="002A6F51">
      <w:pPr>
        <w:pStyle w:val="LeftrightHanging"/>
        <w:spacing w:before="0" w:after="260" w:line="280" w:lineRule="exact"/>
        <w:ind w:left="720" w:right="0" w:firstLine="0"/>
        <w:jc w:val="both"/>
        <w:rPr>
          <w:rFonts w:ascii="Times New Roman" w:hAnsi="Times New Roman"/>
          <w:b/>
          <w:bCs/>
        </w:rPr>
      </w:pPr>
      <w:bookmarkStart w:id="3" w:name="_Toc528151196"/>
      <w:r w:rsidRPr="002A6F51">
        <w:rPr>
          <w:rFonts w:ascii="Times New Roman" w:hAnsi="Times New Roman"/>
        </w:rPr>
        <w:lastRenderedPageBreak/>
        <w:t>"</w:t>
      </w:r>
      <w:bookmarkStart w:id="4" w:name="_Toc528151198"/>
      <w:bookmarkEnd w:id="3"/>
      <w:r w:rsidR="00FA71D0" w:rsidRPr="002A6F51">
        <w:rPr>
          <w:rFonts w:ascii="Times New Roman" w:hAnsi="Times New Roman"/>
          <w:b/>
          <w:bCs/>
        </w:rPr>
        <w:t>Prohibited directions in relation to evidence of an</w:t>
      </w:r>
      <w:r w:rsidR="004054B8" w:rsidRPr="002A6F51">
        <w:rPr>
          <w:rFonts w:ascii="Times New Roman" w:hAnsi="Times New Roman"/>
          <w:b/>
          <w:bCs/>
        </w:rPr>
        <w:t xml:space="preserve"> </w:t>
      </w:r>
      <w:r w:rsidR="00FA71D0" w:rsidRPr="002A6F51">
        <w:rPr>
          <w:rFonts w:ascii="Times New Roman" w:hAnsi="Times New Roman"/>
          <w:b/>
          <w:bCs/>
        </w:rPr>
        <w:t>accused</w:t>
      </w:r>
      <w:bookmarkEnd w:id="4"/>
    </w:p>
    <w:p w14:paraId="11102904" w14:textId="48B0D6F8" w:rsidR="00FA71D0" w:rsidRPr="002A6F51" w:rsidRDefault="00F50132" w:rsidP="002A6F51">
      <w:pPr>
        <w:pStyle w:val="LeftrightHanging"/>
        <w:spacing w:before="0" w:after="260" w:line="280" w:lineRule="exact"/>
        <w:ind w:right="0"/>
        <w:jc w:val="both"/>
        <w:rPr>
          <w:rFonts w:ascii="Times New Roman" w:hAnsi="Times New Roman"/>
          <w:color w:val="000000" w:themeColor="text1"/>
        </w:rPr>
      </w:pPr>
      <w:r w:rsidRPr="002A6F51">
        <w:rPr>
          <w:rFonts w:ascii="Times New Roman" w:hAnsi="Times New Roman"/>
        </w:rPr>
        <w:tab/>
      </w:r>
      <w:r w:rsidR="00FA71D0" w:rsidRPr="002A6F51">
        <w:rPr>
          <w:rFonts w:ascii="Times New Roman" w:hAnsi="Times New Roman"/>
        </w:rPr>
        <w:t xml:space="preserve">The trial judge must not direct the jury about any of the following matters in relation to the evidence of an </w:t>
      </w:r>
      <w:r w:rsidR="00FA71D0" w:rsidRPr="002A6F51">
        <w:rPr>
          <w:rFonts w:ascii="Times New Roman" w:hAnsi="Times New Roman"/>
          <w:color w:val="000000" w:themeColor="text1"/>
        </w:rPr>
        <w:t>accused</w:t>
      </w:r>
      <w:r w:rsidR="003E47CC" w:rsidRPr="002A6F51">
        <w:rPr>
          <w:rFonts w:ascii="Times New Roman" w:hAnsi="Times New Roman"/>
          <w:color w:val="000000" w:themeColor="text1"/>
          <w:shd w:val="clear" w:color="auto" w:fill="FFFFFF"/>
        </w:rPr>
        <w:t xml:space="preserve"> –</w:t>
      </w:r>
      <w:r w:rsidR="003E47CC" w:rsidRPr="002A6F51" w:rsidDel="003E47CC">
        <w:rPr>
          <w:rFonts w:ascii="Times New Roman" w:hAnsi="Times New Roman"/>
          <w:color w:val="000000" w:themeColor="text1"/>
        </w:rPr>
        <w:t xml:space="preserve"> </w:t>
      </w:r>
    </w:p>
    <w:p w14:paraId="3402377A" w14:textId="77777777" w:rsidR="00FA71D0" w:rsidRPr="002A6F51" w:rsidRDefault="00FA71D0" w:rsidP="002A6F51">
      <w:pPr>
        <w:pStyle w:val="leftright"/>
        <w:spacing w:before="0" w:after="260" w:line="280" w:lineRule="exact"/>
        <w:ind w:left="2160" w:right="0" w:hanging="1440"/>
        <w:jc w:val="both"/>
        <w:rPr>
          <w:rFonts w:ascii="Times New Roman" w:hAnsi="Times New Roman"/>
        </w:rPr>
      </w:pPr>
      <w:r w:rsidRPr="002A6F51">
        <w:rPr>
          <w:rFonts w:ascii="Times New Roman" w:hAnsi="Times New Roman"/>
        </w:rPr>
        <w:tab/>
        <w:t>(a)</w:t>
      </w:r>
      <w:r w:rsidRPr="002A6F51">
        <w:rPr>
          <w:rFonts w:ascii="Times New Roman" w:hAnsi="Times New Roman"/>
        </w:rPr>
        <w:tab/>
        <w:t xml:space="preserve">whether the accused is under more stress than any other </w:t>
      </w:r>
      <w:proofErr w:type="gramStart"/>
      <w:r w:rsidRPr="002A6F51">
        <w:rPr>
          <w:rFonts w:ascii="Times New Roman" w:hAnsi="Times New Roman"/>
        </w:rPr>
        <w:t>witness;</w:t>
      </w:r>
      <w:proofErr w:type="gramEnd"/>
      <w:r w:rsidRPr="002A6F51">
        <w:rPr>
          <w:rFonts w:ascii="Times New Roman" w:hAnsi="Times New Roman"/>
        </w:rPr>
        <w:t xml:space="preserve"> </w:t>
      </w:r>
    </w:p>
    <w:p w14:paraId="5416FF90" w14:textId="4333D052" w:rsidR="00FA71D0" w:rsidRPr="002A6F51" w:rsidRDefault="00FA71D0" w:rsidP="002A6F51">
      <w:pPr>
        <w:pStyle w:val="leftright"/>
        <w:spacing w:before="0" w:after="260" w:line="280" w:lineRule="exact"/>
        <w:ind w:left="2160" w:right="0" w:hanging="1440"/>
        <w:jc w:val="both"/>
        <w:rPr>
          <w:rFonts w:ascii="Times New Roman" w:hAnsi="Times New Roman"/>
        </w:rPr>
      </w:pPr>
      <w:r w:rsidRPr="002A6F51">
        <w:rPr>
          <w:rFonts w:ascii="Times New Roman" w:hAnsi="Times New Roman"/>
        </w:rPr>
        <w:tab/>
        <w:t>(b)</w:t>
      </w:r>
      <w:r w:rsidRPr="002A6F51">
        <w:rPr>
          <w:rFonts w:ascii="Times New Roman" w:hAnsi="Times New Roman"/>
        </w:rPr>
        <w:tab/>
        <w:t>that the accused gave evidence because</w:t>
      </w:r>
      <w:r w:rsidR="003E47CC" w:rsidRPr="002A6F51">
        <w:rPr>
          <w:rFonts w:ascii="Times New Roman" w:hAnsi="Times New Roman"/>
          <w:shd w:val="clear" w:color="auto" w:fill="FFFFFF"/>
        </w:rPr>
        <w:t xml:space="preserve"> –</w:t>
      </w:r>
      <w:r w:rsidR="003E47CC" w:rsidRPr="002A6F51" w:rsidDel="003E47CC">
        <w:rPr>
          <w:rFonts w:ascii="Times New Roman" w:hAnsi="Times New Roman"/>
        </w:rPr>
        <w:t xml:space="preserve"> </w:t>
      </w:r>
    </w:p>
    <w:p w14:paraId="115712A7" w14:textId="77777777" w:rsidR="00FA71D0" w:rsidRPr="002A6F51" w:rsidRDefault="00FA71D0" w:rsidP="002A6F51">
      <w:pPr>
        <w:pStyle w:val="LeftrightHanging"/>
        <w:spacing w:before="0" w:after="260" w:line="280" w:lineRule="exact"/>
        <w:ind w:left="2880" w:right="0" w:hanging="1440"/>
        <w:jc w:val="both"/>
        <w:rPr>
          <w:rFonts w:ascii="Times New Roman" w:hAnsi="Times New Roman"/>
        </w:rPr>
      </w:pPr>
      <w:r w:rsidRPr="002A6F51">
        <w:rPr>
          <w:rFonts w:ascii="Times New Roman" w:hAnsi="Times New Roman"/>
        </w:rPr>
        <w:tab/>
        <w:t>(</w:t>
      </w:r>
      <w:proofErr w:type="spellStart"/>
      <w:r w:rsidRPr="002A6F51">
        <w:rPr>
          <w:rFonts w:ascii="Times New Roman" w:hAnsi="Times New Roman"/>
        </w:rPr>
        <w:t>i</w:t>
      </w:r>
      <w:proofErr w:type="spellEnd"/>
      <w:r w:rsidRPr="002A6F51">
        <w:rPr>
          <w:rFonts w:ascii="Times New Roman" w:hAnsi="Times New Roman"/>
        </w:rPr>
        <w:t>)</w:t>
      </w:r>
      <w:r w:rsidRPr="002A6F51">
        <w:rPr>
          <w:rFonts w:ascii="Times New Roman" w:hAnsi="Times New Roman"/>
        </w:rPr>
        <w:tab/>
        <w:t>a guilty person who gives evidence will more likely be believed; or</w:t>
      </w:r>
    </w:p>
    <w:p w14:paraId="54735441" w14:textId="77777777" w:rsidR="00FA71D0" w:rsidRPr="002A6F51" w:rsidRDefault="00FA71D0" w:rsidP="002A6F51">
      <w:pPr>
        <w:pStyle w:val="LeftrightHanging"/>
        <w:spacing w:before="0" w:after="260" w:line="280" w:lineRule="exact"/>
        <w:ind w:left="2880" w:right="0" w:hanging="1440"/>
        <w:jc w:val="both"/>
        <w:rPr>
          <w:rFonts w:ascii="Times New Roman" w:hAnsi="Times New Roman"/>
        </w:rPr>
      </w:pPr>
      <w:r w:rsidRPr="002A6F51">
        <w:rPr>
          <w:rFonts w:ascii="Times New Roman" w:hAnsi="Times New Roman"/>
        </w:rPr>
        <w:tab/>
        <w:t>(ii)</w:t>
      </w:r>
      <w:r w:rsidRPr="002A6F51">
        <w:rPr>
          <w:rFonts w:ascii="Times New Roman" w:hAnsi="Times New Roman"/>
        </w:rPr>
        <w:tab/>
        <w:t>an innocent person can do nothing more than give evidence.</w:t>
      </w:r>
    </w:p>
    <w:p w14:paraId="6774154E" w14:textId="77777777" w:rsidR="00FA71D0" w:rsidRPr="002A6F51" w:rsidRDefault="00FA71D0" w:rsidP="002A6F51">
      <w:pPr>
        <w:pStyle w:val="LeftrightHanging"/>
        <w:spacing w:before="0" w:after="260" w:line="280" w:lineRule="exact"/>
        <w:ind w:right="0"/>
        <w:jc w:val="both"/>
        <w:rPr>
          <w:rFonts w:ascii="Times New Roman" w:hAnsi="Times New Roman"/>
          <w:b/>
          <w:bCs/>
        </w:rPr>
      </w:pPr>
      <w:r w:rsidRPr="002A6F51">
        <w:rPr>
          <w:rFonts w:ascii="Times New Roman" w:hAnsi="Times New Roman"/>
          <w:b/>
          <w:bCs/>
        </w:rPr>
        <w:t>Note</w:t>
      </w:r>
    </w:p>
    <w:p w14:paraId="0E3A2B0A" w14:textId="77777777" w:rsidR="002A6F51" w:rsidRDefault="00FA71D0" w:rsidP="002A6F51">
      <w:pPr>
        <w:pStyle w:val="leftright"/>
        <w:spacing w:before="0" w:after="260" w:line="280" w:lineRule="exact"/>
        <w:ind w:right="0"/>
        <w:jc w:val="both"/>
        <w:rPr>
          <w:rFonts w:ascii="Times New Roman" w:hAnsi="Times New Roman"/>
        </w:rPr>
      </w:pPr>
      <w:r w:rsidRPr="002A6F51">
        <w:rPr>
          <w:rFonts w:ascii="Times New Roman" w:hAnsi="Times New Roman"/>
        </w:rPr>
        <w:t xml:space="preserve">This section prohibits the trial judge from giving directions to the jury about </w:t>
      </w:r>
      <w:proofErr w:type="gramStart"/>
      <w:r w:rsidRPr="002A6F51">
        <w:rPr>
          <w:rFonts w:ascii="Times New Roman" w:hAnsi="Times New Roman"/>
        </w:rPr>
        <w:t>particular matters</w:t>
      </w:r>
      <w:proofErr w:type="gramEnd"/>
      <w:r w:rsidRPr="002A6F51">
        <w:rPr>
          <w:rFonts w:ascii="Times New Roman" w:hAnsi="Times New Roman"/>
        </w:rPr>
        <w:t>. This does not limit the obligation of the trial judge to refer the jury to the way in which the prosecution and the accused put their cases in relation to the issues in the trial</w:t>
      </w:r>
      <w:r w:rsidR="00344217" w:rsidRPr="002A6F51">
        <w:rPr>
          <w:rFonts w:ascii="Times New Roman" w:hAnsi="Times New Roman"/>
        </w:rPr>
        <w:t xml:space="preserve"> – </w:t>
      </w:r>
      <w:r w:rsidRPr="002A6F51">
        <w:rPr>
          <w:rFonts w:ascii="Times New Roman" w:hAnsi="Times New Roman"/>
        </w:rPr>
        <w:t>see section 65.</w:t>
      </w:r>
      <w:r w:rsidR="00EE115D" w:rsidRPr="002A6F51">
        <w:rPr>
          <w:rFonts w:ascii="Times New Roman" w:hAnsi="Times New Roman"/>
        </w:rPr>
        <w:t>"</w:t>
      </w:r>
    </w:p>
    <w:p w14:paraId="216F10F1" w14:textId="48E181B7" w:rsidR="00520891" w:rsidRPr="002A6F51" w:rsidRDefault="00520891" w:rsidP="002A6F51">
      <w:pPr>
        <w:pStyle w:val="FixListStyle"/>
        <w:spacing w:after="260" w:line="280" w:lineRule="exact"/>
        <w:ind w:right="0"/>
        <w:jc w:val="both"/>
        <w:rPr>
          <w:rFonts w:ascii="Times New Roman" w:hAnsi="Times New Roman"/>
        </w:rPr>
      </w:pPr>
      <w:r w:rsidRPr="002A6F51">
        <w:rPr>
          <w:rFonts w:ascii="Times New Roman" w:hAnsi="Times New Roman"/>
        </w:rPr>
        <w:tab/>
        <w:t>Section 44K provides:</w:t>
      </w:r>
    </w:p>
    <w:p w14:paraId="40E4A548" w14:textId="1AEBE434" w:rsidR="00947104" w:rsidRPr="002A6F51" w:rsidRDefault="00BB703C" w:rsidP="002A6F51">
      <w:pPr>
        <w:pStyle w:val="LeftrightHanging"/>
        <w:spacing w:before="0" w:after="260" w:line="280" w:lineRule="exact"/>
        <w:ind w:right="0"/>
        <w:jc w:val="both"/>
        <w:rPr>
          <w:rFonts w:ascii="Times New Roman" w:hAnsi="Times New Roman"/>
          <w:b/>
          <w:bCs/>
        </w:rPr>
      </w:pPr>
      <w:bookmarkStart w:id="5" w:name="_Toc528151199"/>
      <w:r w:rsidRPr="002A6F51">
        <w:rPr>
          <w:rFonts w:ascii="Times New Roman" w:hAnsi="Times New Roman"/>
          <w:b/>
          <w:bCs/>
        </w:rPr>
        <w:t>"</w:t>
      </w:r>
      <w:r w:rsidR="00947104" w:rsidRPr="002A6F51">
        <w:rPr>
          <w:rFonts w:ascii="Times New Roman" w:hAnsi="Times New Roman"/>
          <w:b/>
          <w:bCs/>
        </w:rPr>
        <w:t>Abolition of common law rules</w:t>
      </w:r>
      <w:bookmarkEnd w:id="5"/>
    </w:p>
    <w:p w14:paraId="1EA590E0" w14:textId="7FFCBCEA" w:rsidR="00947104" w:rsidRPr="002A6F51" w:rsidRDefault="00947104" w:rsidP="002A6F51">
      <w:pPr>
        <w:pStyle w:val="leftright"/>
        <w:spacing w:before="0" w:after="260" w:line="280" w:lineRule="exact"/>
        <w:ind w:left="1440" w:right="0" w:hanging="720"/>
        <w:jc w:val="both"/>
        <w:rPr>
          <w:rFonts w:ascii="Times New Roman" w:hAnsi="Times New Roman"/>
        </w:rPr>
      </w:pPr>
      <w:r w:rsidRPr="002A6F51">
        <w:rPr>
          <w:rFonts w:ascii="Times New Roman" w:hAnsi="Times New Roman"/>
        </w:rPr>
        <w:t>(1)</w:t>
      </w:r>
      <w:r w:rsidRPr="002A6F51">
        <w:rPr>
          <w:rFonts w:ascii="Times New Roman" w:hAnsi="Times New Roman"/>
        </w:rPr>
        <w:tab/>
        <w:t>Any rule of common law under which a trial judge is prohibited from directing the jury on the interest a witness or an accused may have in the outcome of a trial is abolished.</w:t>
      </w:r>
    </w:p>
    <w:p w14:paraId="50B3B36C" w14:textId="1DE849A8" w:rsidR="00947104" w:rsidRPr="002A6F51" w:rsidRDefault="00947104" w:rsidP="002A6F51">
      <w:pPr>
        <w:pStyle w:val="leftright"/>
        <w:spacing w:before="0" w:after="260" w:line="280" w:lineRule="exact"/>
        <w:ind w:left="1440" w:right="0" w:hanging="720"/>
        <w:jc w:val="both"/>
        <w:rPr>
          <w:rFonts w:ascii="Times New Roman" w:hAnsi="Times New Roman"/>
        </w:rPr>
      </w:pPr>
      <w:r w:rsidRPr="002A6F51">
        <w:rPr>
          <w:rFonts w:ascii="Times New Roman" w:hAnsi="Times New Roman"/>
        </w:rPr>
        <w:t>(2)</w:t>
      </w:r>
      <w:r w:rsidRPr="002A6F51">
        <w:rPr>
          <w:rFonts w:ascii="Times New Roman" w:hAnsi="Times New Roman"/>
        </w:rPr>
        <w:tab/>
        <w:t>Any rule of common law under which a trial judge is required or permitted to direct the jury about the matters referred to in section 44J in relation to the evidence of an accused is abolished.</w:t>
      </w:r>
    </w:p>
    <w:p w14:paraId="18F70C1B" w14:textId="77777777" w:rsidR="00947104" w:rsidRPr="002A6F51" w:rsidRDefault="00947104" w:rsidP="002A6F51">
      <w:pPr>
        <w:pStyle w:val="LeftrightHanging"/>
        <w:spacing w:before="0" w:after="260" w:line="280" w:lineRule="exact"/>
        <w:ind w:right="0"/>
        <w:jc w:val="both"/>
        <w:rPr>
          <w:rFonts w:ascii="Times New Roman" w:hAnsi="Times New Roman"/>
          <w:b/>
          <w:bCs/>
        </w:rPr>
      </w:pPr>
      <w:r w:rsidRPr="002A6F51">
        <w:rPr>
          <w:rFonts w:ascii="Times New Roman" w:hAnsi="Times New Roman"/>
          <w:b/>
          <w:bCs/>
        </w:rPr>
        <w:t>Notes</w:t>
      </w:r>
    </w:p>
    <w:p w14:paraId="5898216D" w14:textId="74FE18F7" w:rsidR="00947104" w:rsidRPr="002A6F51" w:rsidRDefault="00B36858" w:rsidP="002A6F51">
      <w:pPr>
        <w:pStyle w:val="LeftrightHanging"/>
        <w:spacing w:before="0" w:after="260" w:line="280" w:lineRule="exact"/>
        <w:ind w:right="0"/>
        <w:jc w:val="both"/>
        <w:rPr>
          <w:rFonts w:ascii="Times New Roman" w:hAnsi="Times New Roman"/>
        </w:rPr>
      </w:pPr>
      <w:r w:rsidRPr="002A6F51">
        <w:rPr>
          <w:rFonts w:ascii="Times New Roman" w:hAnsi="Times New Roman"/>
        </w:rPr>
        <w:t>1</w:t>
      </w:r>
      <w:r w:rsidRPr="002A6F51">
        <w:rPr>
          <w:rFonts w:ascii="Times New Roman" w:hAnsi="Times New Roman"/>
        </w:rPr>
        <w:tab/>
      </w:r>
      <w:r w:rsidR="00947104" w:rsidRPr="002A6F51">
        <w:rPr>
          <w:rFonts w:ascii="Times New Roman" w:hAnsi="Times New Roman"/>
        </w:rPr>
        <w:t xml:space="preserve">Subsection (1) abolishes the rule attributed to </w:t>
      </w:r>
      <w:r w:rsidR="00947104" w:rsidRPr="002A6F51">
        <w:rPr>
          <w:rFonts w:ascii="Times New Roman" w:hAnsi="Times New Roman"/>
          <w:i/>
        </w:rPr>
        <w:t>Robinson v R</w:t>
      </w:r>
      <w:r w:rsidR="00947104" w:rsidRPr="002A6F51">
        <w:rPr>
          <w:rFonts w:ascii="Times New Roman" w:hAnsi="Times New Roman"/>
        </w:rPr>
        <w:t xml:space="preserve"> [1991] HCA 38; (1994) 180 CLR 531.</w:t>
      </w:r>
    </w:p>
    <w:p w14:paraId="5F474696" w14:textId="5C2E33EF" w:rsidR="00947104" w:rsidRPr="002A6F51" w:rsidRDefault="00B36858" w:rsidP="002A6F51">
      <w:pPr>
        <w:pStyle w:val="LeftrightHanging"/>
        <w:spacing w:before="0" w:after="260" w:line="280" w:lineRule="exact"/>
        <w:ind w:right="0"/>
        <w:jc w:val="both"/>
        <w:rPr>
          <w:rFonts w:ascii="Times New Roman" w:hAnsi="Times New Roman"/>
        </w:rPr>
      </w:pPr>
      <w:r w:rsidRPr="002A6F51">
        <w:rPr>
          <w:rFonts w:ascii="Times New Roman" w:hAnsi="Times New Roman"/>
        </w:rPr>
        <w:t>2</w:t>
      </w:r>
      <w:r w:rsidRPr="002A6F51">
        <w:rPr>
          <w:rFonts w:ascii="Times New Roman" w:hAnsi="Times New Roman"/>
        </w:rPr>
        <w:tab/>
      </w:r>
      <w:r w:rsidR="00947104" w:rsidRPr="002A6F51">
        <w:rPr>
          <w:rFonts w:ascii="Times New Roman" w:hAnsi="Times New Roman"/>
        </w:rPr>
        <w:t>Subsection (2) abolishes directions based on</w:t>
      </w:r>
      <w:r w:rsidR="00344217" w:rsidRPr="002A6F51">
        <w:rPr>
          <w:rFonts w:ascii="Times New Roman" w:hAnsi="Times New Roman"/>
          <w:color w:val="0D405F"/>
          <w:shd w:val="clear" w:color="auto" w:fill="FFFFFF"/>
        </w:rPr>
        <w:t xml:space="preserve"> </w:t>
      </w:r>
      <w:bookmarkStart w:id="6" w:name="_Hlk117848159"/>
      <w:r w:rsidR="00344217" w:rsidRPr="002A6F51">
        <w:rPr>
          <w:rFonts w:ascii="Times New Roman" w:hAnsi="Times New Roman"/>
          <w:color w:val="000000" w:themeColor="text1"/>
          <w:shd w:val="clear" w:color="auto" w:fill="FFFFFF"/>
        </w:rPr>
        <w:t>–</w:t>
      </w:r>
      <w:bookmarkEnd w:id="6"/>
      <w:r w:rsidR="00344217" w:rsidRPr="002A6F51" w:rsidDel="00344217">
        <w:rPr>
          <w:rFonts w:ascii="Times New Roman" w:hAnsi="Times New Roman"/>
        </w:rPr>
        <w:t xml:space="preserve"> </w:t>
      </w:r>
    </w:p>
    <w:p w14:paraId="4C6BC939" w14:textId="6987263A" w:rsidR="00947104" w:rsidRPr="002A6F51" w:rsidRDefault="00271A88" w:rsidP="002A6F51">
      <w:pPr>
        <w:pStyle w:val="leftright"/>
        <w:spacing w:before="0" w:after="260" w:line="280" w:lineRule="exact"/>
        <w:ind w:left="2160" w:right="0" w:hanging="720"/>
        <w:jc w:val="both"/>
        <w:rPr>
          <w:rFonts w:ascii="Times New Roman" w:hAnsi="Times New Roman"/>
        </w:rPr>
      </w:pPr>
      <w:r w:rsidRPr="002A6F51">
        <w:rPr>
          <w:rFonts w:ascii="Times New Roman" w:hAnsi="Times New Roman"/>
        </w:rPr>
        <w:t xml:space="preserve">• </w:t>
      </w:r>
      <w:r w:rsidRPr="002A6F51">
        <w:rPr>
          <w:rFonts w:ascii="Times New Roman" w:hAnsi="Times New Roman"/>
        </w:rPr>
        <w:tab/>
      </w:r>
      <w:r w:rsidR="00947104" w:rsidRPr="002A6F51">
        <w:rPr>
          <w:rFonts w:ascii="Times New Roman" w:hAnsi="Times New Roman"/>
          <w:i/>
          <w:iCs/>
        </w:rPr>
        <w:t xml:space="preserve">R v </w:t>
      </w:r>
      <w:proofErr w:type="spellStart"/>
      <w:r w:rsidR="00947104" w:rsidRPr="002A6F51">
        <w:rPr>
          <w:rFonts w:ascii="Times New Roman" w:hAnsi="Times New Roman"/>
          <w:i/>
          <w:iCs/>
        </w:rPr>
        <w:t>Haggag</w:t>
      </w:r>
      <w:proofErr w:type="spellEnd"/>
      <w:r w:rsidR="00947104" w:rsidRPr="002A6F51">
        <w:rPr>
          <w:rFonts w:ascii="Times New Roman" w:hAnsi="Times New Roman"/>
        </w:rPr>
        <w:t xml:space="preserve"> [1998] VSC 355; (1998) 101 A Crim R 593; and </w:t>
      </w:r>
    </w:p>
    <w:p w14:paraId="7D296F9F" w14:textId="00D264C1" w:rsidR="00AA61D9" w:rsidRPr="002A6F51" w:rsidRDefault="00271A88" w:rsidP="002A6F51">
      <w:pPr>
        <w:pStyle w:val="leftright"/>
        <w:spacing w:before="0" w:after="260" w:line="280" w:lineRule="exact"/>
        <w:ind w:left="2160" w:right="0" w:hanging="720"/>
        <w:jc w:val="both"/>
        <w:rPr>
          <w:rFonts w:ascii="Times New Roman" w:hAnsi="Times New Roman"/>
        </w:rPr>
      </w:pPr>
      <w:r w:rsidRPr="002A6F51">
        <w:rPr>
          <w:rFonts w:ascii="Times New Roman" w:hAnsi="Times New Roman"/>
        </w:rPr>
        <w:t xml:space="preserve">• </w:t>
      </w:r>
      <w:r w:rsidRPr="002A6F51">
        <w:rPr>
          <w:rFonts w:ascii="Times New Roman" w:hAnsi="Times New Roman"/>
        </w:rPr>
        <w:tab/>
      </w:r>
      <w:r w:rsidR="00AA61D9" w:rsidRPr="002A6F51">
        <w:rPr>
          <w:rFonts w:ascii="Times New Roman" w:hAnsi="Times New Roman"/>
          <w:i/>
          <w:iCs/>
        </w:rPr>
        <w:t>R v McMahon</w:t>
      </w:r>
      <w:r w:rsidR="00AA61D9" w:rsidRPr="002A6F51">
        <w:rPr>
          <w:rFonts w:ascii="Times New Roman" w:hAnsi="Times New Roman"/>
        </w:rPr>
        <w:t xml:space="preserve"> [2004] VSCA 64; (2004) 8 VR 101; and</w:t>
      </w:r>
    </w:p>
    <w:p w14:paraId="35001408" w14:textId="226FDFE3" w:rsidR="00AA61D9" w:rsidRPr="002A6F51" w:rsidRDefault="00271A88" w:rsidP="002A6F51">
      <w:pPr>
        <w:pStyle w:val="leftright"/>
        <w:spacing w:before="0" w:after="260" w:line="280" w:lineRule="exact"/>
        <w:ind w:left="2160" w:right="0" w:hanging="720"/>
        <w:jc w:val="both"/>
        <w:rPr>
          <w:rFonts w:ascii="Times New Roman" w:hAnsi="Times New Roman"/>
        </w:rPr>
      </w:pPr>
      <w:r w:rsidRPr="002A6F51">
        <w:rPr>
          <w:rFonts w:ascii="Times New Roman" w:hAnsi="Times New Roman"/>
        </w:rPr>
        <w:lastRenderedPageBreak/>
        <w:t xml:space="preserve">• </w:t>
      </w:r>
      <w:r w:rsidRPr="002A6F51">
        <w:rPr>
          <w:rFonts w:ascii="Times New Roman" w:hAnsi="Times New Roman"/>
        </w:rPr>
        <w:tab/>
      </w:r>
      <w:r w:rsidR="00AA61D9" w:rsidRPr="002A6F51">
        <w:rPr>
          <w:rFonts w:ascii="Times New Roman" w:hAnsi="Times New Roman"/>
          <w:i/>
          <w:iCs/>
        </w:rPr>
        <w:t>R v Buckley</w:t>
      </w:r>
      <w:r w:rsidR="00AA61D9" w:rsidRPr="002A6F51">
        <w:rPr>
          <w:rFonts w:ascii="Times New Roman" w:hAnsi="Times New Roman"/>
        </w:rPr>
        <w:t xml:space="preserve"> [2004] VSCA 185; (2004) 10 VR 215.</w:t>
      </w:r>
    </w:p>
    <w:p w14:paraId="03266B2B" w14:textId="77777777" w:rsidR="002A6F51" w:rsidRDefault="00B36858" w:rsidP="002A6F51">
      <w:pPr>
        <w:pStyle w:val="LeftrightHanging"/>
        <w:spacing w:before="0" w:after="260" w:line="280" w:lineRule="exact"/>
        <w:ind w:right="0"/>
        <w:jc w:val="both"/>
        <w:rPr>
          <w:rFonts w:ascii="Times New Roman" w:hAnsi="Times New Roman"/>
        </w:rPr>
      </w:pPr>
      <w:r w:rsidRPr="002A6F51">
        <w:rPr>
          <w:rFonts w:ascii="Times New Roman" w:hAnsi="Times New Roman"/>
        </w:rPr>
        <w:t>3</w:t>
      </w:r>
      <w:r w:rsidRPr="002A6F51">
        <w:rPr>
          <w:rFonts w:ascii="Times New Roman" w:hAnsi="Times New Roman"/>
        </w:rPr>
        <w:tab/>
      </w:r>
      <w:r w:rsidR="005B1A2A" w:rsidRPr="002A6F51">
        <w:rPr>
          <w:rFonts w:ascii="Times New Roman" w:hAnsi="Times New Roman"/>
        </w:rPr>
        <w:t>Section 4 applies generally to override any rule of law or practice to the contrary of this Act.</w:t>
      </w:r>
      <w:r w:rsidR="00BB703C" w:rsidRPr="002A6F51">
        <w:rPr>
          <w:rFonts w:ascii="Times New Roman" w:hAnsi="Times New Roman"/>
        </w:rPr>
        <w:t>"</w:t>
      </w:r>
    </w:p>
    <w:p w14:paraId="5096AFBA" w14:textId="2FFFCB49" w:rsidR="00520891" w:rsidRPr="002A6F51" w:rsidRDefault="00520891" w:rsidP="002A6F51">
      <w:pPr>
        <w:pStyle w:val="FixListStyle"/>
        <w:spacing w:after="260" w:line="280" w:lineRule="exact"/>
        <w:ind w:right="0"/>
        <w:jc w:val="both"/>
        <w:rPr>
          <w:rFonts w:ascii="Times New Roman" w:hAnsi="Times New Roman"/>
        </w:rPr>
      </w:pPr>
      <w:r w:rsidRPr="002A6F51">
        <w:rPr>
          <w:rFonts w:ascii="Times New Roman" w:hAnsi="Times New Roman"/>
        </w:rPr>
        <w:tab/>
      </w:r>
      <w:r w:rsidR="000D0B7D" w:rsidRPr="002A6F51">
        <w:rPr>
          <w:rFonts w:ascii="Times New Roman" w:hAnsi="Times New Roman"/>
        </w:rPr>
        <w:t>It will be observed that the trial judge gave each of the directions to which s 44J(a)</w:t>
      </w:r>
      <w:r w:rsidR="000F494A" w:rsidRPr="002A6F51">
        <w:rPr>
          <w:rFonts w:ascii="Times New Roman" w:hAnsi="Times New Roman"/>
        </w:rPr>
        <w:t>,</w:t>
      </w:r>
      <w:r w:rsidR="000D0B7D" w:rsidRPr="002A6F51">
        <w:rPr>
          <w:rFonts w:ascii="Times New Roman" w:hAnsi="Times New Roman"/>
        </w:rPr>
        <w:t xml:space="preserve"> (b)</w:t>
      </w:r>
      <w:r w:rsidR="000F494A" w:rsidRPr="002A6F51">
        <w:rPr>
          <w:rFonts w:ascii="Times New Roman" w:hAnsi="Times New Roman"/>
        </w:rPr>
        <w:t>(</w:t>
      </w:r>
      <w:proofErr w:type="spellStart"/>
      <w:r w:rsidR="000F494A" w:rsidRPr="002A6F51">
        <w:rPr>
          <w:rFonts w:ascii="Times New Roman" w:hAnsi="Times New Roman"/>
        </w:rPr>
        <w:t>i</w:t>
      </w:r>
      <w:proofErr w:type="spellEnd"/>
      <w:r w:rsidR="000F494A" w:rsidRPr="002A6F51">
        <w:rPr>
          <w:rFonts w:ascii="Times New Roman" w:hAnsi="Times New Roman"/>
        </w:rPr>
        <w:t>) and (b)(ii)</w:t>
      </w:r>
      <w:r w:rsidR="000D0B7D" w:rsidRPr="002A6F51">
        <w:rPr>
          <w:rFonts w:ascii="Times New Roman" w:hAnsi="Times New Roman"/>
        </w:rPr>
        <w:t xml:space="preserve"> refer. The direction which the appellants contend gave rise to a substantial miscarriage of justice</w:t>
      </w:r>
      <w:r w:rsidR="000D0B7D" w:rsidRPr="002A6F51">
        <w:rPr>
          <w:rStyle w:val="FootnoteReference"/>
          <w:rFonts w:ascii="Times New Roman" w:hAnsi="Times New Roman"/>
          <w:sz w:val="24"/>
        </w:rPr>
        <w:footnoteReference w:id="3"/>
      </w:r>
      <w:r w:rsidR="000D0B7D" w:rsidRPr="002A6F51">
        <w:rPr>
          <w:rFonts w:ascii="Times New Roman" w:hAnsi="Times New Roman"/>
        </w:rPr>
        <w:t xml:space="preserve"> is that referred to in s 44J(b</w:t>
      </w:r>
      <w:r w:rsidR="00D94D8E" w:rsidRPr="002A6F51">
        <w:rPr>
          <w:rFonts w:ascii="Times New Roman" w:hAnsi="Times New Roman"/>
        </w:rPr>
        <w:t>)(</w:t>
      </w:r>
      <w:proofErr w:type="spellStart"/>
      <w:r w:rsidR="00D94D8E" w:rsidRPr="002A6F51">
        <w:rPr>
          <w:rFonts w:ascii="Times New Roman" w:hAnsi="Times New Roman"/>
        </w:rPr>
        <w:t>i</w:t>
      </w:r>
      <w:proofErr w:type="spellEnd"/>
      <w:r w:rsidR="00D94D8E" w:rsidRPr="002A6F51">
        <w:rPr>
          <w:rFonts w:ascii="Times New Roman" w:hAnsi="Times New Roman"/>
        </w:rPr>
        <w:t>) and is highlighted in the directions set out above.</w:t>
      </w:r>
    </w:p>
    <w:p w14:paraId="237B05F4" w14:textId="2934A5E6" w:rsidR="00D94D8E" w:rsidRPr="002A6F51" w:rsidRDefault="00D94D8E" w:rsidP="002A6F51">
      <w:pPr>
        <w:pStyle w:val="FixListStyle"/>
        <w:spacing w:after="260" w:line="280" w:lineRule="exact"/>
        <w:ind w:right="0"/>
        <w:jc w:val="both"/>
        <w:rPr>
          <w:rFonts w:ascii="Times New Roman" w:hAnsi="Times New Roman"/>
        </w:rPr>
      </w:pPr>
      <w:r w:rsidRPr="002A6F51">
        <w:rPr>
          <w:rFonts w:ascii="Times New Roman" w:hAnsi="Times New Roman"/>
        </w:rPr>
        <w:tab/>
        <w:t xml:space="preserve">Prior to its enactment, directions of the kind prohibited by s 44J were given in criminal trials in Victoria. The cases noted to s 44K </w:t>
      </w:r>
      <w:r w:rsidR="00ED40AD" w:rsidRPr="002A6F51">
        <w:rPr>
          <w:rFonts w:ascii="Times New Roman" w:hAnsi="Times New Roman"/>
        </w:rPr>
        <w:t xml:space="preserve">are </w:t>
      </w:r>
      <w:r w:rsidRPr="002A6F51">
        <w:rPr>
          <w:rFonts w:ascii="Times New Roman" w:hAnsi="Times New Roman"/>
        </w:rPr>
        <w:t>examples</w:t>
      </w:r>
      <w:r w:rsidR="00ED40AD" w:rsidRPr="002A6F51">
        <w:rPr>
          <w:rFonts w:ascii="Times New Roman" w:hAnsi="Times New Roman"/>
        </w:rPr>
        <w:t xml:space="preserve"> of such cases</w:t>
      </w:r>
      <w:r w:rsidRPr="002A6F51">
        <w:rPr>
          <w:rFonts w:ascii="Times New Roman" w:hAnsi="Times New Roman"/>
        </w:rPr>
        <w:t xml:space="preserve">. But in </w:t>
      </w:r>
      <w:r w:rsidR="00BF2972" w:rsidRPr="002A6F51">
        <w:rPr>
          <w:rFonts w:ascii="Times New Roman" w:hAnsi="Times New Roman"/>
        </w:rPr>
        <w:t xml:space="preserve">his </w:t>
      </w:r>
      <w:r w:rsidR="0074625F" w:rsidRPr="002A6F51">
        <w:rPr>
          <w:rFonts w:ascii="Times New Roman" w:hAnsi="Times New Roman"/>
        </w:rPr>
        <w:t>di</w:t>
      </w:r>
      <w:r w:rsidR="00C27970" w:rsidRPr="002A6F51">
        <w:rPr>
          <w:rFonts w:ascii="Times New Roman" w:hAnsi="Times New Roman"/>
        </w:rPr>
        <w:t xml:space="preserve">ssenting judgment </w:t>
      </w:r>
      <w:r w:rsidR="001B1C86" w:rsidRPr="002A6F51">
        <w:rPr>
          <w:rFonts w:ascii="Times New Roman" w:hAnsi="Times New Roman"/>
        </w:rPr>
        <w:t>in the Court of Appeal in this case</w:t>
      </w:r>
      <w:r w:rsidR="001B1C86" w:rsidRPr="002A6F51">
        <w:rPr>
          <w:rStyle w:val="FootnoteReference"/>
          <w:rFonts w:ascii="Times New Roman" w:hAnsi="Times New Roman"/>
          <w:sz w:val="24"/>
        </w:rPr>
        <w:footnoteReference w:id="4"/>
      </w:r>
      <w:r w:rsidR="001B1C86" w:rsidRPr="002A6F51">
        <w:rPr>
          <w:rFonts w:ascii="Times New Roman" w:hAnsi="Times New Roman"/>
        </w:rPr>
        <w:t>, Priest J</w:t>
      </w:r>
      <w:r w:rsidR="009978E8" w:rsidRPr="002A6F51">
        <w:rPr>
          <w:rFonts w:ascii="Times New Roman" w:hAnsi="Times New Roman"/>
        </w:rPr>
        <w:t>A</w:t>
      </w:r>
      <w:r w:rsidR="001B1C86" w:rsidRPr="002A6F51">
        <w:rPr>
          <w:rFonts w:ascii="Times New Roman" w:hAnsi="Times New Roman"/>
        </w:rPr>
        <w:t xml:space="preserve"> observed that prior to the promulgation of s 44J(b), not every trial judge in Victoria gave the directions, since not every judge was satisfied that </w:t>
      </w:r>
      <w:r w:rsidR="0084387E" w:rsidRPr="002A6F51">
        <w:rPr>
          <w:rFonts w:ascii="Times New Roman" w:hAnsi="Times New Roman"/>
        </w:rPr>
        <w:t xml:space="preserve">they were </w:t>
      </w:r>
      <w:r w:rsidR="001B1C86" w:rsidRPr="002A6F51">
        <w:rPr>
          <w:rFonts w:ascii="Times New Roman" w:hAnsi="Times New Roman"/>
        </w:rPr>
        <w:t>not offensive to principle. T</w:t>
      </w:r>
      <w:r w:rsidR="00A21372" w:rsidRPr="002A6F51">
        <w:rPr>
          <w:rFonts w:ascii="Times New Roman" w:hAnsi="Times New Roman"/>
        </w:rPr>
        <w:t>h</w:t>
      </w:r>
      <w:r w:rsidR="001B1C86" w:rsidRPr="002A6F51">
        <w:rPr>
          <w:rFonts w:ascii="Times New Roman" w:hAnsi="Times New Roman"/>
        </w:rPr>
        <w:t>e direction</w:t>
      </w:r>
      <w:r w:rsidR="0084387E" w:rsidRPr="002A6F51">
        <w:rPr>
          <w:rFonts w:ascii="Times New Roman" w:hAnsi="Times New Roman"/>
        </w:rPr>
        <w:t>s</w:t>
      </w:r>
      <w:r w:rsidR="001B1C86" w:rsidRPr="002A6F51">
        <w:rPr>
          <w:rFonts w:ascii="Times New Roman" w:hAnsi="Times New Roman"/>
        </w:rPr>
        <w:t xml:space="preserve"> had not gained currency or approval </w:t>
      </w:r>
      <w:r w:rsidR="00A21372" w:rsidRPr="002A6F51">
        <w:rPr>
          <w:rFonts w:ascii="Times New Roman" w:hAnsi="Times New Roman"/>
        </w:rPr>
        <w:t>outside that State.</w:t>
      </w:r>
    </w:p>
    <w:p w14:paraId="5D088B49" w14:textId="4CCE1F80" w:rsidR="00A21372" w:rsidRPr="002A6F51" w:rsidRDefault="00A21372" w:rsidP="002A6F51">
      <w:pPr>
        <w:pStyle w:val="FixListStyle"/>
        <w:spacing w:after="260" w:line="280" w:lineRule="exact"/>
        <w:ind w:right="0"/>
        <w:jc w:val="both"/>
        <w:rPr>
          <w:rFonts w:ascii="Times New Roman" w:hAnsi="Times New Roman"/>
        </w:rPr>
      </w:pPr>
      <w:r w:rsidRPr="002A6F51">
        <w:rPr>
          <w:rFonts w:ascii="Times New Roman" w:hAnsi="Times New Roman"/>
        </w:rPr>
        <w:tab/>
        <w:t xml:space="preserve">A report by the </w:t>
      </w:r>
      <w:r w:rsidR="006C69A5" w:rsidRPr="002A6F51">
        <w:rPr>
          <w:rFonts w:ascii="Times New Roman" w:hAnsi="Times New Roman"/>
        </w:rPr>
        <w:t>Criminal Law Review of</w:t>
      </w:r>
      <w:r w:rsidRPr="002A6F51">
        <w:rPr>
          <w:rFonts w:ascii="Times New Roman" w:hAnsi="Times New Roman"/>
        </w:rPr>
        <w:t xml:space="preserve"> the Department of Justice </w:t>
      </w:r>
      <w:r w:rsidR="004410B7" w:rsidRPr="002A6F51">
        <w:rPr>
          <w:rFonts w:ascii="Times New Roman" w:hAnsi="Times New Roman"/>
        </w:rPr>
        <w:t xml:space="preserve">&amp; </w:t>
      </w:r>
      <w:r w:rsidRPr="002A6F51">
        <w:rPr>
          <w:rFonts w:ascii="Times New Roman" w:hAnsi="Times New Roman"/>
        </w:rPr>
        <w:t>Regulation</w:t>
      </w:r>
      <w:r w:rsidR="00ED44D7" w:rsidRPr="002A6F51">
        <w:rPr>
          <w:rStyle w:val="FootnoteReference"/>
          <w:rFonts w:ascii="Times New Roman" w:hAnsi="Times New Roman"/>
          <w:sz w:val="24"/>
        </w:rPr>
        <w:footnoteReference w:id="5"/>
      </w:r>
      <w:r w:rsidRPr="002A6F51">
        <w:rPr>
          <w:rFonts w:ascii="Times New Roman" w:hAnsi="Times New Roman"/>
        </w:rPr>
        <w:t xml:space="preserve"> described the directions as "unhelpful" and "problematic". </w:t>
      </w:r>
      <w:r w:rsidR="00943CE1" w:rsidRPr="002A6F51">
        <w:rPr>
          <w:rFonts w:ascii="Times New Roman" w:hAnsi="Times New Roman"/>
        </w:rPr>
        <w:t>It said</w:t>
      </w:r>
      <w:r w:rsidR="00943CE1" w:rsidRPr="002A6F51">
        <w:rPr>
          <w:rStyle w:val="FootnoteReference"/>
          <w:rFonts w:ascii="Times New Roman" w:hAnsi="Times New Roman"/>
          <w:sz w:val="24"/>
        </w:rPr>
        <w:footnoteReference w:id="6"/>
      </w:r>
      <w:r w:rsidR="00943CE1" w:rsidRPr="002A6F51">
        <w:rPr>
          <w:rFonts w:ascii="Times New Roman" w:hAnsi="Times New Roman"/>
        </w:rPr>
        <w:t>:</w:t>
      </w:r>
    </w:p>
    <w:p w14:paraId="1B699C54" w14:textId="77777777" w:rsidR="002A6F51" w:rsidRDefault="005B20FF" w:rsidP="002A6F51">
      <w:pPr>
        <w:pStyle w:val="LeftrightafterHC"/>
        <w:spacing w:before="0" w:after="260" w:line="280" w:lineRule="exact"/>
        <w:ind w:right="0"/>
        <w:jc w:val="both"/>
        <w:rPr>
          <w:rFonts w:ascii="Times New Roman" w:hAnsi="Times New Roman"/>
        </w:rPr>
      </w:pPr>
      <w:r w:rsidRPr="002A6F51">
        <w:rPr>
          <w:rFonts w:ascii="Times New Roman" w:hAnsi="Times New Roman"/>
        </w:rPr>
        <w:tab/>
      </w:r>
      <w:r w:rsidR="00943CE1" w:rsidRPr="002A6F51">
        <w:rPr>
          <w:rFonts w:ascii="Times New Roman" w:hAnsi="Times New Roman"/>
        </w:rPr>
        <w:t>"The direction on assessing evidence (</w:t>
      </w:r>
      <w:proofErr w:type="gramStart"/>
      <w:r w:rsidR="00943CE1" w:rsidRPr="002A6F51">
        <w:rPr>
          <w:rFonts w:ascii="Times New Roman" w:hAnsi="Times New Roman"/>
        </w:rPr>
        <w:t>i.e.</w:t>
      </w:r>
      <w:proofErr w:type="gramEnd"/>
      <w:r w:rsidR="00943CE1" w:rsidRPr="002A6F51">
        <w:rPr>
          <w:rFonts w:ascii="Times New Roman" w:hAnsi="Times New Roman"/>
        </w:rPr>
        <w:t xml:space="preserve"> a guilty person may tough out cross</w:t>
      </w:r>
      <w:r w:rsidR="00943CE1" w:rsidRPr="002A6F51">
        <w:rPr>
          <w:rFonts w:ascii="Times New Roman" w:hAnsi="Times New Roman"/>
        </w:rPr>
        <w:noBreakHyphen/>
        <w:t xml:space="preserve">examination, but there's nothing more an innocent person may </w:t>
      </w:r>
      <w:r w:rsidR="00D57B9E" w:rsidRPr="002A6F51">
        <w:rPr>
          <w:rFonts w:ascii="Times New Roman" w:hAnsi="Times New Roman"/>
        </w:rPr>
        <w:t>do) contains two competing propositions that arguabl</w:t>
      </w:r>
      <w:r w:rsidR="0006011E" w:rsidRPr="002A6F51">
        <w:rPr>
          <w:rFonts w:ascii="Times New Roman" w:hAnsi="Times New Roman"/>
        </w:rPr>
        <w:t>y</w:t>
      </w:r>
      <w:r w:rsidR="00D57B9E" w:rsidRPr="002A6F51">
        <w:rPr>
          <w:rFonts w:ascii="Times New Roman" w:hAnsi="Times New Roman"/>
        </w:rPr>
        <w:t xml:space="preserve"> neutralise each other. The competing nature of the directions may </w:t>
      </w:r>
      <w:r w:rsidR="000B671C" w:rsidRPr="002A6F51">
        <w:rPr>
          <w:rFonts w:ascii="Times New Roman" w:hAnsi="Times New Roman"/>
        </w:rPr>
        <w:t>c</w:t>
      </w:r>
      <w:r w:rsidR="00D57B9E" w:rsidRPr="002A6F51">
        <w:rPr>
          <w:rFonts w:ascii="Times New Roman" w:hAnsi="Times New Roman"/>
        </w:rPr>
        <w:t>on</w:t>
      </w:r>
      <w:r w:rsidR="000B671C" w:rsidRPr="002A6F51">
        <w:rPr>
          <w:rFonts w:ascii="Times New Roman" w:hAnsi="Times New Roman"/>
        </w:rPr>
        <w:t>f</w:t>
      </w:r>
      <w:r w:rsidR="00D57B9E" w:rsidRPr="002A6F51">
        <w:rPr>
          <w:rFonts w:ascii="Times New Roman" w:hAnsi="Times New Roman"/>
        </w:rPr>
        <w:t>use the jury and have the unintended consequence of focusing attention on the motivation of an accused to give particular evidence given their interest in the outcome of a trial."</w:t>
      </w:r>
    </w:p>
    <w:p w14:paraId="44170073" w14:textId="012FA214" w:rsidR="00581F00" w:rsidRPr="002A6F51" w:rsidRDefault="000B671C" w:rsidP="002A6F51">
      <w:pPr>
        <w:pStyle w:val="FixListStyle"/>
        <w:spacing w:after="260" w:line="280" w:lineRule="exact"/>
        <w:ind w:right="0"/>
        <w:jc w:val="both"/>
        <w:rPr>
          <w:rFonts w:ascii="Times New Roman" w:hAnsi="Times New Roman"/>
        </w:rPr>
      </w:pPr>
      <w:r w:rsidRPr="002A6F51">
        <w:rPr>
          <w:rFonts w:ascii="Times New Roman" w:hAnsi="Times New Roman"/>
        </w:rPr>
        <w:tab/>
        <w:t xml:space="preserve">In the Second Reading </w:t>
      </w:r>
      <w:r w:rsidR="00C17426" w:rsidRPr="002A6F51">
        <w:rPr>
          <w:rFonts w:ascii="Times New Roman" w:hAnsi="Times New Roman"/>
        </w:rPr>
        <w:t>Speech</w:t>
      </w:r>
      <w:r w:rsidRPr="002A6F51">
        <w:rPr>
          <w:rFonts w:ascii="Times New Roman" w:hAnsi="Times New Roman"/>
        </w:rPr>
        <w:t xml:space="preserve"> to the </w:t>
      </w:r>
      <w:r w:rsidRPr="002A6F51">
        <w:rPr>
          <w:rFonts w:ascii="Times New Roman" w:hAnsi="Times New Roman"/>
          <w:i/>
          <w:iCs/>
        </w:rPr>
        <w:t xml:space="preserve">Jury Directions </w:t>
      </w:r>
      <w:r w:rsidR="000C6AE0" w:rsidRPr="002A6F51">
        <w:rPr>
          <w:rFonts w:ascii="Times New Roman" w:hAnsi="Times New Roman"/>
          <w:i/>
          <w:iCs/>
        </w:rPr>
        <w:t>and O</w:t>
      </w:r>
      <w:r w:rsidRPr="002A6F51">
        <w:rPr>
          <w:rFonts w:ascii="Times New Roman" w:hAnsi="Times New Roman"/>
          <w:i/>
          <w:iCs/>
        </w:rPr>
        <w:t>ther Acts Amendment Bill 2017</w:t>
      </w:r>
      <w:r w:rsidRPr="002A6F51">
        <w:rPr>
          <w:rFonts w:ascii="Times New Roman" w:hAnsi="Times New Roman"/>
        </w:rPr>
        <w:t>, the Attorney</w:t>
      </w:r>
      <w:r w:rsidRPr="002A6F51">
        <w:rPr>
          <w:rFonts w:ascii="Times New Roman" w:hAnsi="Times New Roman"/>
        </w:rPr>
        <w:noBreakHyphen/>
        <w:t>General said that "trial judges and parties will be prohibited from suggesting that an accused's evidence is less credible or requires more scrutiny than the evidence of other witnesses</w:t>
      </w:r>
      <w:r w:rsidR="00013E59" w:rsidRPr="002A6F51">
        <w:rPr>
          <w:rFonts w:ascii="Times New Roman" w:hAnsi="Times New Roman"/>
        </w:rPr>
        <w:t>.</w:t>
      </w:r>
      <w:r w:rsidR="00581F00" w:rsidRPr="002A6F51">
        <w:rPr>
          <w:rFonts w:ascii="Times New Roman" w:hAnsi="Times New Roman"/>
        </w:rPr>
        <w:t xml:space="preserve"> … </w:t>
      </w:r>
      <w:r w:rsidR="00013E59" w:rsidRPr="002A6F51">
        <w:rPr>
          <w:rFonts w:ascii="Times New Roman" w:hAnsi="Times New Roman"/>
        </w:rPr>
        <w:t>T</w:t>
      </w:r>
      <w:r w:rsidR="00581F00" w:rsidRPr="002A6F51">
        <w:rPr>
          <w:rFonts w:ascii="Times New Roman" w:hAnsi="Times New Roman"/>
        </w:rPr>
        <w:t xml:space="preserve">he bill will … prohibit </w:t>
      </w:r>
      <w:r w:rsidR="00581F00" w:rsidRPr="002A6F51">
        <w:rPr>
          <w:rFonts w:ascii="Times New Roman" w:hAnsi="Times New Roman"/>
        </w:rPr>
        <w:lastRenderedPageBreak/>
        <w:t>trial judges fr</w:t>
      </w:r>
      <w:r w:rsidR="00C27970" w:rsidRPr="002A6F51">
        <w:rPr>
          <w:rFonts w:ascii="Times New Roman" w:hAnsi="Times New Roman"/>
        </w:rPr>
        <w:t>o</w:t>
      </w:r>
      <w:r w:rsidR="00581F00" w:rsidRPr="002A6F51">
        <w:rPr>
          <w:rFonts w:ascii="Times New Roman" w:hAnsi="Times New Roman"/>
        </w:rPr>
        <w:t>m giving certain problematic common law directions"</w:t>
      </w:r>
      <w:r w:rsidR="00C27970" w:rsidRPr="002A6F51">
        <w:rPr>
          <w:rStyle w:val="FootnoteReference"/>
          <w:rFonts w:ascii="Times New Roman" w:hAnsi="Times New Roman"/>
          <w:sz w:val="24"/>
        </w:rPr>
        <w:footnoteReference w:id="7"/>
      </w:r>
      <w:r w:rsidR="00581F00" w:rsidRPr="002A6F51">
        <w:rPr>
          <w:rFonts w:ascii="Times New Roman" w:hAnsi="Times New Roman"/>
        </w:rPr>
        <w:t>.</w:t>
      </w:r>
      <w:r w:rsidR="00E60EB8" w:rsidRPr="002A6F51">
        <w:rPr>
          <w:rFonts w:ascii="Times New Roman" w:hAnsi="Times New Roman"/>
        </w:rPr>
        <w:t>The Explanatory Memorandum of the Bill described the directions the subject of the proposed prohibition as "conf</w:t>
      </w:r>
      <w:r w:rsidR="006E3A2F" w:rsidRPr="002A6F51">
        <w:rPr>
          <w:rFonts w:ascii="Times New Roman" w:hAnsi="Times New Roman"/>
        </w:rPr>
        <w:t>us</w:t>
      </w:r>
      <w:r w:rsidR="00E60EB8" w:rsidRPr="002A6F51">
        <w:rPr>
          <w:rFonts w:ascii="Times New Roman" w:hAnsi="Times New Roman"/>
        </w:rPr>
        <w:t>ing, unhelpful and arguably in</w:t>
      </w:r>
      <w:r w:rsidR="006E3A2F" w:rsidRPr="002A6F51">
        <w:rPr>
          <w:rFonts w:ascii="Times New Roman" w:hAnsi="Times New Roman"/>
        </w:rPr>
        <w:t>accurate"</w:t>
      </w:r>
      <w:r w:rsidR="006E3A2F" w:rsidRPr="002A6F51">
        <w:rPr>
          <w:rStyle w:val="FootnoteReference"/>
          <w:rFonts w:ascii="Times New Roman" w:hAnsi="Times New Roman"/>
          <w:sz w:val="24"/>
        </w:rPr>
        <w:footnoteReference w:id="8"/>
      </w:r>
      <w:r w:rsidR="006E3A2F" w:rsidRPr="002A6F51">
        <w:rPr>
          <w:rFonts w:ascii="Times New Roman" w:hAnsi="Times New Roman"/>
        </w:rPr>
        <w:t>.</w:t>
      </w:r>
    </w:p>
    <w:p w14:paraId="70B1B6E7" w14:textId="0F9B9A1C" w:rsidR="00581F00" w:rsidRPr="002A6F51" w:rsidRDefault="00817570" w:rsidP="002A6F51">
      <w:pPr>
        <w:pStyle w:val="HeadingL1"/>
        <w:spacing w:after="260" w:line="280" w:lineRule="exact"/>
        <w:ind w:right="0"/>
        <w:jc w:val="both"/>
        <w:rPr>
          <w:rFonts w:ascii="Times New Roman" w:hAnsi="Times New Roman"/>
        </w:rPr>
      </w:pPr>
      <w:r w:rsidRPr="002A6F51">
        <w:rPr>
          <w:rFonts w:ascii="Times New Roman" w:hAnsi="Times New Roman"/>
        </w:rPr>
        <w:t>A "mandatory" provision?</w:t>
      </w:r>
    </w:p>
    <w:p w14:paraId="7AF0E3CB" w14:textId="24F464ED" w:rsidR="00817570" w:rsidRPr="002A6F51" w:rsidRDefault="00817570" w:rsidP="002A6F51">
      <w:pPr>
        <w:pStyle w:val="FixListStyle"/>
        <w:spacing w:after="260" w:line="280" w:lineRule="exact"/>
        <w:ind w:right="0"/>
        <w:jc w:val="both"/>
        <w:rPr>
          <w:rFonts w:ascii="Times New Roman" w:hAnsi="Times New Roman"/>
        </w:rPr>
      </w:pPr>
      <w:r w:rsidRPr="002A6F51">
        <w:rPr>
          <w:rFonts w:ascii="Times New Roman" w:hAnsi="Times New Roman"/>
        </w:rPr>
        <w:tab/>
        <w:t>In the Court of Appeal</w:t>
      </w:r>
      <w:r w:rsidR="00F34BF5" w:rsidRPr="002A6F51">
        <w:rPr>
          <w:rFonts w:ascii="Times New Roman" w:hAnsi="Times New Roman"/>
        </w:rPr>
        <w:t>,</w:t>
      </w:r>
      <w:r w:rsidRPr="002A6F51">
        <w:rPr>
          <w:rFonts w:ascii="Times New Roman" w:hAnsi="Times New Roman"/>
        </w:rPr>
        <w:t xml:space="preserve"> as </w:t>
      </w:r>
      <w:r w:rsidR="001801AA" w:rsidRPr="002A6F51">
        <w:rPr>
          <w:rFonts w:ascii="Times New Roman" w:hAnsi="Times New Roman"/>
        </w:rPr>
        <w:t>in this Court</w:t>
      </w:r>
      <w:r w:rsidR="00F34BF5" w:rsidRPr="002A6F51">
        <w:rPr>
          <w:rFonts w:ascii="Times New Roman" w:hAnsi="Times New Roman"/>
        </w:rPr>
        <w:t>,</w:t>
      </w:r>
      <w:r w:rsidR="001801AA" w:rsidRPr="002A6F51">
        <w:rPr>
          <w:rFonts w:ascii="Times New Roman" w:hAnsi="Times New Roman"/>
        </w:rPr>
        <w:t xml:space="preserve"> the appellants contended that the language of s 44J is mandatory and must be given effect. In enacting s 44J(b)(</w:t>
      </w:r>
      <w:proofErr w:type="spellStart"/>
      <w:r w:rsidR="001801AA" w:rsidRPr="002A6F51">
        <w:rPr>
          <w:rFonts w:ascii="Times New Roman" w:hAnsi="Times New Roman"/>
        </w:rPr>
        <w:t>i</w:t>
      </w:r>
      <w:proofErr w:type="spellEnd"/>
      <w:r w:rsidR="001801AA" w:rsidRPr="002A6F51">
        <w:rPr>
          <w:rFonts w:ascii="Times New Roman" w:hAnsi="Times New Roman"/>
        </w:rPr>
        <w:t>)</w:t>
      </w:r>
      <w:r w:rsidR="00F34BF5" w:rsidRPr="002A6F51">
        <w:rPr>
          <w:rFonts w:ascii="Times New Roman" w:hAnsi="Times New Roman"/>
        </w:rPr>
        <w:t>,</w:t>
      </w:r>
      <w:r w:rsidR="001801AA" w:rsidRPr="002A6F51">
        <w:rPr>
          <w:rFonts w:ascii="Times New Roman" w:hAnsi="Times New Roman"/>
        </w:rPr>
        <w:t xml:space="preserve"> </w:t>
      </w:r>
      <w:r w:rsidR="004F7F1C" w:rsidRPr="002A6F51">
        <w:rPr>
          <w:rFonts w:ascii="Times New Roman" w:hAnsi="Times New Roman"/>
        </w:rPr>
        <w:t>the legislature has prescribed what is essential to a fair trial for an accused. Non</w:t>
      </w:r>
      <w:r w:rsidR="004F7F1C" w:rsidRPr="002A6F51">
        <w:rPr>
          <w:rFonts w:ascii="Times New Roman" w:hAnsi="Times New Roman"/>
        </w:rPr>
        <w:noBreakHyphen/>
        <w:t>compliance with the pro</w:t>
      </w:r>
      <w:r w:rsidR="009D301A" w:rsidRPr="002A6F51">
        <w:rPr>
          <w:rFonts w:ascii="Times New Roman" w:hAnsi="Times New Roman"/>
        </w:rPr>
        <w:t>hibition is a departure fr</w:t>
      </w:r>
      <w:r w:rsidR="00F34BF5" w:rsidRPr="002A6F51">
        <w:rPr>
          <w:rFonts w:ascii="Times New Roman" w:hAnsi="Times New Roman"/>
        </w:rPr>
        <w:t>o</w:t>
      </w:r>
      <w:r w:rsidR="009D301A" w:rsidRPr="002A6F51">
        <w:rPr>
          <w:rFonts w:ascii="Times New Roman" w:hAnsi="Times New Roman"/>
        </w:rPr>
        <w:t xml:space="preserve">m that process and is itself sufficient to constitute a substantial miscarriage of justice for the purpose of s 276(1) of the </w:t>
      </w:r>
      <w:r w:rsidR="000E2707" w:rsidRPr="002A6F51">
        <w:rPr>
          <w:rFonts w:ascii="Times New Roman" w:hAnsi="Times New Roman"/>
          <w:i/>
          <w:iCs/>
        </w:rPr>
        <w:t>Criminal Procedure Act 2009</w:t>
      </w:r>
      <w:r w:rsidR="000E2707" w:rsidRPr="002A6F51">
        <w:rPr>
          <w:rFonts w:ascii="Times New Roman" w:hAnsi="Times New Roman"/>
        </w:rPr>
        <w:t xml:space="preserve"> (Vic)</w:t>
      </w:r>
      <w:r w:rsidR="007B3B41" w:rsidRPr="002A6F51">
        <w:rPr>
          <w:rFonts w:ascii="Times New Roman" w:hAnsi="Times New Roman"/>
        </w:rPr>
        <w:t xml:space="preserve">. The appellants may be understood to say that a conclusion that there has been a substantial miscarriage of justice follows automatically </w:t>
      </w:r>
      <w:r w:rsidR="001E31DA" w:rsidRPr="002A6F51">
        <w:rPr>
          <w:rFonts w:ascii="Times New Roman" w:hAnsi="Times New Roman"/>
        </w:rPr>
        <w:t>from non</w:t>
      </w:r>
      <w:r w:rsidR="001E31DA" w:rsidRPr="002A6F51">
        <w:rPr>
          <w:rFonts w:ascii="Times New Roman" w:hAnsi="Times New Roman"/>
        </w:rPr>
        <w:noBreakHyphen/>
        <w:t>compliance with s 44J(b)(</w:t>
      </w:r>
      <w:proofErr w:type="spellStart"/>
      <w:r w:rsidR="001E31DA" w:rsidRPr="002A6F51">
        <w:rPr>
          <w:rFonts w:ascii="Times New Roman" w:hAnsi="Times New Roman"/>
        </w:rPr>
        <w:t>i</w:t>
      </w:r>
      <w:proofErr w:type="spellEnd"/>
      <w:r w:rsidR="001E31DA" w:rsidRPr="002A6F51">
        <w:rPr>
          <w:rFonts w:ascii="Times New Roman" w:hAnsi="Times New Roman"/>
        </w:rPr>
        <w:t>). The issue raised is one of statutory interpretation.</w:t>
      </w:r>
    </w:p>
    <w:p w14:paraId="3BF51B7F" w14:textId="2CCB8419" w:rsidR="001E31DA" w:rsidRPr="002A6F51" w:rsidRDefault="001E31DA" w:rsidP="002A6F51">
      <w:pPr>
        <w:pStyle w:val="FixListStyle"/>
        <w:spacing w:after="260" w:line="280" w:lineRule="exact"/>
        <w:ind w:right="0"/>
        <w:jc w:val="both"/>
        <w:rPr>
          <w:rFonts w:ascii="Times New Roman" w:hAnsi="Times New Roman"/>
        </w:rPr>
      </w:pPr>
      <w:r w:rsidRPr="002A6F51">
        <w:rPr>
          <w:rFonts w:ascii="Times New Roman" w:hAnsi="Times New Roman"/>
        </w:rPr>
        <w:tab/>
        <w:t xml:space="preserve">It may first be observed that the </w:t>
      </w:r>
      <w:r w:rsidR="001B0046" w:rsidRPr="002A6F51">
        <w:rPr>
          <w:rFonts w:ascii="Times New Roman" w:hAnsi="Times New Roman"/>
          <w:i/>
          <w:iCs/>
        </w:rPr>
        <w:t>Jury Directions Act</w:t>
      </w:r>
      <w:r w:rsidRPr="002A6F51">
        <w:rPr>
          <w:rFonts w:ascii="Times New Roman" w:hAnsi="Times New Roman"/>
        </w:rPr>
        <w:t xml:space="preserve"> does not itself spell out the consequences of a failure to comply with s 44J(b)(</w:t>
      </w:r>
      <w:proofErr w:type="spellStart"/>
      <w:r w:rsidRPr="002A6F51">
        <w:rPr>
          <w:rFonts w:ascii="Times New Roman" w:hAnsi="Times New Roman"/>
        </w:rPr>
        <w:t>i</w:t>
      </w:r>
      <w:proofErr w:type="spellEnd"/>
      <w:r w:rsidRPr="002A6F51">
        <w:rPr>
          <w:rFonts w:ascii="Times New Roman" w:hAnsi="Times New Roman"/>
        </w:rPr>
        <w:t>)</w:t>
      </w:r>
      <w:r w:rsidR="001A30A8" w:rsidRPr="002A6F51">
        <w:rPr>
          <w:rFonts w:ascii="Times New Roman" w:hAnsi="Times New Roman"/>
        </w:rPr>
        <w:t>. In such a circumstance the question of what may be taken to follow non</w:t>
      </w:r>
      <w:r w:rsidR="001A30A8" w:rsidRPr="002A6F51">
        <w:rPr>
          <w:rFonts w:ascii="Times New Roman" w:hAnsi="Times New Roman"/>
        </w:rPr>
        <w:noBreakHyphen/>
        <w:t xml:space="preserve">compliance is not resolved by describing statutory requirements as "mandatory" or "directory". In </w:t>
      </w:r>
      <w:r w:rsidR="001A30A8" w:rsidRPr="002A6F51">
        <w:rPr>
          <w:rFonts w:ascii="Times New Roman" w:hAnsi="Times New Roman"/>
          <w:i/>
          <w:iCs/>
        </w:rPr>
        <w:t xml:space="preserve">Project Blue Sky </w:t>
      </w:r>
      <w:r w:rsidR="004949DD" w:rsidRPr="002A6F51">
        <w:rPr>
          <w:rFonts w:ascii="Times New Roman" w:hAnsi="Times New Roman"/>
          <w:i/>
          <w:iCs/>
        </w:rPr>
        <w:t xml:space="preserve">Inc </w:t>
      </w:r>
      <w:r w:rsidR="001A30A8" w:rsidRPr="002A6F51">
        <w:rPr>
          <w:rFonts w:ascii="Times New Roman" w:hAnsi="Times New Roman"/>
          <w:i/>
          <w:iCs/>
        </w:rPr>
        <w:t>v Australian Broadcas</w:t>
      </w:r>
      <w:r w:rsidR="004949DD" w:rsidRPr="002A6F51">
        <w:rPr>
          <w:rFonts w:ascii="Times New Roman" w:hAnsi="Times New Roman"/>
          <w:i/>
          <w:iCs/>
        </w:rPr>
        <w:t>t</w:t>
      </w:r>
      <w:r w:rsidR="001A30A8" w:rsidRPr="002A6F51">
        <w:rPr>
          <w:rFonts w:ascii="Times New Roman" w:hAnsi="Times New Roman"/>
          <w:i/>
          <w:iCs/>
        </w:rPr>
        <w:t>ing Authority</w:t>
      </w:r>
      <w:r w:rsidR="003C2DA0" w:rsidRPr="002A6F51">
        <w:rPr>
          <w:rStyle w:val="FootnoteReference"/>
          <w:rFonts w:ascii="Times New Roman" w:hAnsi="Times New Roman"/>
          <w:sz w:val="24"/>
        </w:rPr>
        <w:footnoteReference w:id="9"/>
      </w:r>
      <w:r w:rsidR="006C1415" w:rsidRPr="002A6F51">
        <w:rPr>
          <w:rFonts w:ascii="Times New Roman" w:hAnsi="Times New Roman"/>
        </w:rPr>
        <w:t>,</w:t>
      </w:r>
      <w:r w:rsidR="007922C4" w:rsidRPr="002A6F51">
        <w:rPr>
          <w:rFonts w:ascii="Times New Roman" w:hAnsi="Times New Roman"/>
        </w:rPr>
        <w:t xml:space="preserve"> it was said that these classifications have "outlived th</w:t>
      </w:r>
      <w:r w:rsidR="003D1E03" w:rsidRPr="002A6F51">
        <w:rPr>
          <w:rFonts w:ascii="Times New Roman" w:hAnsi="Times New Roman"/>
        </w:rPr>
        <w:t>e</w:t>
      </w:r>
      <w:r w:rsidR="007922C4" w:rsidRPr="002A6F51">
        <w:rPr>
          <w:rFonts w:ascii="Times New Roman" w:hAnsi="Times New Roman"/>
        </w:rPr>
        <w:t>ir usefulness because they deflect attention fr</w:t>
      </w:r>
      <w:r w:rsidR="004D73F9" w:rsidRPr="002A6F51">
        <w:rPr>
          <w:rFonts w:ascii="Times New Roman" w:hAnsi="Times New Roman"/>
        </w:rPr>
        <w:t>o</w:t>
      </w:r>
      <w:r w:rsidR="007922C4" w:rsidRPr="002A6F51">
        <w:rPr>
          <w:rFonts w:ascii="Times New Roman" w:hAnsi="Times New Roman"/>
        </w:rPr>
        <w:t>m the real issue which is whether an act done in brea</w:t>
      </w:r>
      <w:r w:rsidR="003D1E03" w:rsidRPr="002A6F51">
        <w:rPr>
          <w:rFonts w:ascii="Times New Roman" w:hAnsi="Times New Roman"/>
        </w:rPr>
        <w:t>c</w:t>
      </w:r>
      <w:r w:rsidR="007922C4" w:rsidRPr="002A6F51">
        <w:rPr>
          <w:rFonts w:ascii="Times New Roman" w:hAnsi="Times New Roman"/>
        </w:rPr>
        <w:t>h of the legislative provision</w:t>
      </w:r>
      <w:r w:rsidR="003D1E03" w:rsidRPr="002A6F51">
        <w:rPr>
          <w:rFonts w:ascii="Times New Roman" w:hAnsi="Times New Roman"/>
        </w:rPr>
        <w:t xml:space="preserve"> is invalid". The classification reflects the result of an enquiry, not </w:t>
      </w:r>
      <w:r w:rsidR="00BF195E" w:rsidRPr="002A6F51">
        <w:rPr>
          <w:rFonts w:ascii="Times New Roman" w:hAnsi="Times New Roman"/>
        </w:rPr>
        <w:t xml:space="preserve">the beginning. The correct test for determining validity is to ask whether </w:t>
      </w:r>
      <w:r w:rsidR="00AC3847" w:rsidRPr="002A6F51">
        <w:rPr>
          <w:rFonts w:ascii="Times New Roman" w:hAnsi="Times New Roman"/>
        </w:rPr>
        <w:t>it was a purpose of the legislation that an act done in breach of the provision is invalid.</w:t>
      </w:r>
    </w:p>
    <w:p w14:paraId="779A81F2" w14:textId="41FFB9CB" w:rsidR="00AC3847" w:rsidRPr="002A6F51" w:rsidRDefault="00AC3847" w:rsidP="002A6F51">
      <w:pPr>
        <w:pStyle w:val="FixListStyle"/>
        <w:spacing w:after="260" w:line="280" w:lineRule="exact"/>
        <w:ind w:right="0"/>
        <w:jc w:val="both"/>
        <w:rPr>
          <w:rFonts w:ascii="Times New Roman" w:hAnsi="Times New Roman"/>
        </w:rPr>
      </w:pPr>
      <w:r w:rsidRPr="002A6F51">
        <w:rPr>
          <w:rFonts w:ascii="Times New Roman" w:hAnsi="Times New Roman"/>
        </w:rPr>
        <w:tab/>
        <w:t xml:space="preserve">In </w:t>
      </w:r>
      <w:r w:rsidRPr="002A6F51">
        <w:rPr>
          <w:rFonts w:ascii="Times New Roman" w:hAnsi="Times New Roman"/>
          <w:i/>
          <w:iCs/>
        </w:rPr>
        <w:t>Project Blue Sky</w:t>
      </w:r>
      <w:r w:rsidR="009678C3" w:rsidRPr="002A6F51">
        <w:rPr>
          <w:rFonts w:ascii="Times New Roman" w:hAnsi="Times New Roman"/>
        </w:rPr>
        <w:t>,</w:t>
      </w:r>
      <w:r w:rsidRPr="002A6F51">
        <w:rPr>
          <w:rFonts w:ascii="Times New Roman" w:hAnsi="Times New Roman"/>
        </w:rPr>
        <w:t xml:space="preserve"> the relevant provision of the </w:t>
      </w:r>
      <w:r w:rsidRPr="002A6F51">
        <w:rPr>
          <w:rFonts w:ascii="Times New Roman" w:hAnsi="Times New Roman"/>
          <w:i/>
          <w:iCs/>
        </w:rPr>
        <w:t>Broadcasting Services Act 1992</w:t>
      </w:r>
      <w:r w:rsidRPr="002A6F51">
        <w:rPr>
          <w:rFonts w:ascii="Times New Roman" w:hAnsi="Times New Roman"/>
        </w:rPr>
        <w:t xml:space="preserve"> (</w:t>
      </w:r>
      <w:proofErr w:type="spellStart"/>
      <w:r w:rsidRPr="002A6F51">
        <w:rPr>
          <w:rFonts w:ascii="Times New Roman" w:hAnsi="Times New Roman"/>
        </w:rPr>
        <w:t>Cth</w:t>
      </w:r>
      <w:proofErr w:type="spellEnd"/>
      <w:r w:rsidRPr="002A6F51">
        <w:rPr>
          <w:rFonts w:ascii="Times New Roman" w:hAnsi="Times New Roman"/>
        </w:rPr>
        <w:t xml:space="preserve">) </w:t>
      </w:r>
      <w:r w:rsidR="00F76880" w:rsidRPr="002A6F51">
        <w:rPr>
          <w:rFonts w:ascii="Times New Roman" w:hAnsi="Times New Roman"/>
        </w:rPr>
        <w:t xml:space="preserve">proceeded on the basis that the Australian Broadcasting Authority </w:t>
      </w:r>
      <w:r w:rsidR="00537F29" w:rsidRPr="002A6F51">
        <w:rPr>
          <w:rFonts w:ascii="Times New Roman" w:hAnsi="Times New Roman"/>
        </w:rPr>
        <w:t>("</w:t>
      </w:r>
      <w:r w:rsidR="00413535" w:rsidRPr="002A6F51">
        <w:rPr>
          <w:rFonts w:ascii="Times New Roman" w:hAnsi="Times New Roman"/>
        </w:rPr>
        <w:t>the</w:t>
      </w:r>
      <w:r w:rsidR="002B72D5" w:rsidRPr="002A6F51">
        <w:rPr>
          <w:rFonts w:ascii="Times New Roman" w:hAnsi="Times New Roman"/>
        </w:rPr>
        <w:t> </w:t>
      </w:r>
      <w:r w:rsidR="00537F29" w:rsidRPr="002A6F51">
        <w:rPr>
          <w:rFonts w:ascii="Times New Roman" w:hAnsi="Times New Roman"/>
        </w:rPr>
        <w:t xml:space="preserve">ABA") </w:t>
      </w:r>
      <w:r w:rsidR="00F76880" w:rsidRPr="002A6F51">
        <w:rPr>
          <w:rFonts w:ascii="Times New Roman" w:hAnsi="Times New Roman"/>
        </w:rPr>
        <w:t xml:space="preserve">has power to perform certain functions. </w:t>
      </w:r>
      <w:r w:rsidR="004D73F9" w:rsidRPr="002A6F51">
        <w:rPr>
          <w:rFonts w:ascii="Times New Roman" w:hAnsi="Times New Roman"/>
        </w:rPr>
        <w:t>I</w:t>
      </w:r>
      <w:r w:rsidR="00F76880" w:rsidRPr="002A6F51">
        <w:rPr>
          <w:rFonts w:ascii="Times New Roman" w:hAnsi="Times New Roman"/>
        </w:rPr>
        <w:t xml:space="preserve">t then directed </w:t>
      </w:r>
      <w:r w:rsidR="00BA757D" w:rsidRPr="002A6F51">
        <w:rPr>
          <w:rFonts w:ascii="Times New Roman" w:hAnsi="Times New Roman"/>
        </w:rPr>
        <w:t>the ABA</w:t>
      </w:r>
      <w:r w:rsidR="00F76880" w:rsidRPr="002A6F51">
        <w:rPr>
          <w:rFonts w:ascii="Times New Roman" w:hAnsi="Times New Roman"/>
        </w:rPr>
        <w:t xml:space="preserve"> to perform those functions in a "manner consistent with</w:t>
      </w:r>
      <w:r w:rsidR="003D55E0" w:rsidRPr="002A6F51">
        <w:rPr>
          <w:rFonts w:ascii="Times New Roman" w:hAnsi="Times New Roman"/>
        </w:rPr>
        <w:t>"</w:t>
      </w:r>
      <w:r w:rsidR="00714995" w:rsidRPr="002A6F51">
        <w:rPr>
          <w:rFonts w:ascii="Times New Roman" w:hAnsi="Times New Roman"/>
        </w:rPr>
        <w:t xml:space="preserve"> </w:t>
      </w:r>
      <w:r w:rsidR="00F76880" w:rsidRPr="002A6F51">
        <w:rPr>
          <w:rFonts w:ascii="Times New Roman" w:hAnsi="Times New Roman"/>
        </w:rPr>
        <w:t>four</w:t>
      </w:r>
      <w:r w:rsidR="003D55E0" w:rsidRPr="002A6F51">
        <w:rPr>
          <w:rFonts w:ascii="Times New Roman" w:hAnsi="Times New Roman"/>
        </w:rPr>
        <w:t xml:space="preserve"> matters set out in the </w:t>
      </w:r>
      <w:r w:rsidR="00A71584" w:rsidRPr="002A6F51">
        <w:rPr>
          <w:rFonts w:ascii="Times New Roman" w:hAnsi="Times New Roman"/>
        </w:rPr>
        <w:t xml:space="preserve">relevant </w:t>
      </w:r>
      <w:r w:rsidR="003D55E0" w:rsidRPr="002A6F51">
        <w:rPr>
          <w:rFonts w:ascii="Times New Roman" w:hAnsi="Times New Roman"/>
        </w:rPr>
        <w:t>section. It was held that the fact</w:t>
      </w:r>
      <w:r w:rsidR="005217C4" w:rsidRPr="002A6F51">
        <w:rPr>
          <w:rFonts w:ascii="Times New Roman" w:hAnsi="Times New Roman"/>
        </w:rPr>
        <w:t xml:space="preserve"> </w:t>
      </w:r>
      <w:r w:rsidR="003D55E0" w:rsidRPr="002A6F51">
        <w:rPr>
          <w:rFonts w:ascii="Times New Roman" w:hAnsi="Times New Roman"/>
        </w:rPr>
        <w:t>the provision regulates the exercise of functions already conferred</w:t>
      </w:r>
      <w:r w:rsidR="00591EA4" w:rsidRPr="002A6F51">
        <w:rPr>
          <w:rFonts w:ascii="Times New Roman" w:hAnsi="Times New Roman"/>
        </w:rPr>
        <w:t xml:space="preserve"> on the ABA</w:t>
      </w:r>
      <w:r w:rsidR="004D73F9" w:rsidRPr="002A6F51">
        <w:rPr>
          <w:rFonts w:ascii="Times New Roman" w:hAnsi="Times New Roman"/>
        </w:rPr>
        <w:t>,</w:t>
      </w:r>
      <w:r w:rsidR="00591EA4" w:rsidRPr="002A6F51">
        <w:rPr>
          <w:rFonts w:ascii="Times New Roman" w:hAnsi="Times New Roman"/>
        </w:rPr>
        <w:t xml:space="preserve"> rather than imposes essential preliminaries to the exercise of its functions</w:t>
      </w:r>
      <w:r w:rsidR="004D73F9" w:rsidRPr="002A6F51">
        <w:rPr>
          <w:rFonts w:ascii="Times New Roman" w:hAnsi="Times New Roman"/>
        </w:rPr>
        <w:t>,</w:t>
      </w:r>
      <w:r w:rsidR="00591EA4" w:rsidRPr="002A6F51">
        <w:rPr>
          <w:rFonts w:ascii="Times New Roman" w:hAnsi="Times New Roman"/>
        </w:rPr>
        <w:t xml:space="preserve"> strongly indicates that it was not a </w:t>
      </w:r>
      <w:r w:rsidR="00591EA4" w:rsidRPr="002A6F51">
        <w:rPr>
          <w:rFonts w:ascii="Times New Roman" w:hAnsi="Times New Roman"/>
        </w:rPr>
        <w:lastRenderedPageBreak/>
        <w:t>purpose of the Act that a breach of the provision was intended to invalidate any act done in breach of it.</w:t>
      </w:r>
    </w:p>
    <w:p w14:paraId="1C04D86C" w14:textId="6E288B09" w:rsidR="00591EA4" w:rsidRPr="002A6F51" w:rsidRDefault="00591EA4" w:rsidP="002A6F51">
      <w:pPr>
        <w:pStyle w:val="FixListStyle"/>
        <w:spacing w:after="260" w:line="280" w:lineRule="exact"/>
        <w:ind w:right="0"/>
        <w:jc w:val="both"/>
        <w:rPr>
          <w:rFonts w:ascii="Times New Roman" w:hAnsi="Times New Roman"/>
        </w:rPr>
      </w:pPr>
      <w:r w:rsidRPr="002A6F51">
        <w:rPr>
          <w:rFonts w:ascii="Times New Roman" w:hAnsi="Times New Roman"/>
        </w:rPr>
        <w:tab/>
      </w:r>
      <w:r w:rsidRPr="002A6F51">
        <w:rPr>
          <w:rFonts w:ascii="Times New Roman" w:hAnsi="Times New Roman"/>
          <w:i/>
          <w:iCs/>
        </w:rPr>
        <w:t xml:space="preserve">Project Blue Sky </w:t>
      </w:r>
      <w:r w:rsidRPr="002A6F51">
        <w:rPr>
          <w:rFonts w:ascii="Times New Roman" w:hAnsi="Times New Roman"/>
        </w:rPr>
        <w:t>may be contrasted</w:t>
      </w:r>
      <w:r w:rsidR="00D34020" w:rsidRPr="002A6F51">
        <w:rPr>
          <w:rFonts w:ascii="Times New Roman" w:hAnsi="Times New Roman"/>
        </w:rPr>
        <w:t xml:space="preserve"> with </w:t>
      </w:r>
      <w:r w:rsidR="00D34020" w:rsidRPr="002A6F51">
        <w:rPr>
          <w:rFonts w:ascii="Times New Roman" w:hAnsi="Times New Roman"/>
          <w:i/>
          <w:iCs/>
        </w:rPr>
        <w:t>Subramaniam v The Queen</w:t>
      </w:r>
      <w:r w:rsidR="00806368" w:rsidRPr="002A6F51">
        <w:rPr>
          <w:rStyle w:val="FootnoteReference"/>
          <w:rFonts w:ascii="Times New Roman" w:hAnsi="Times New Roman"/>
          <w:sz w:val="24"/>
        </w:rPr>
        <w:footnoteReference w:id="10"/>
      </w:r>
      <w:r w:rsidR="003C3C17" w:rsidRPr="002A6F51">
        <w:rPr>
          <w:rFonts w:ascii="Times New Roman" w:hAnsi="Times New Roman"/>
        </w:rPr>
        <w:t>,</w:t>
      </w:r>
      <w:r w:rsidR="00634EA8" w:rsidRPr="002A6F51">
        <w:rPr>
          <w:rFonts w:ascii="Times New Roman" w:hAnsi="Times New Roman"/>
          <w:i/>
          <w:iCs/>
        </w:rPr>
        <w:t xml:space="preserve"> </w:t>
      </w:r>
      <w:r w:rsidR="00634EA8" w:rsidRPr="002A6F51">
        <w:rPr>
          <w:rFonts w:ascii="Times New Roman" w:hAnsi="Times New Roman"/>
        </w:rPr>
        <w:t xml:space="preserve">where the statute required the </w:t>
      </w:r>
      <w:r w:rsidR="00DD2FA1" w:rsidRPr="002A6F51">
        <w:rPr>
          <w:rFonts w:ascii="Times New Roman" w:hAnsi="Times New Roman"/>
        </w:rPr>
        <w:t>C</w:t>
      </w:r>
      <w:r w:rsidR="00634EA8" w:rsidRPr="002A6F51">
        <w:rPr>
          <w:rFonts w:ascii="Times New Roman" w:hAnsi="Times New Roman"/>
        </w:rPr>
        <w:t>ourt at the commencement of a special hearing to explain to the jury ("must explain to the jury")</w:t>
      </w:r>
      <w:r w:rsidR="00E76E30" w:rsidRPr="002A6F51">
        <w:rPr>
          <w:rFonts w:ascii="Times New Roman" w:hAnsi="Times New Roman"/>
        </w:rPr>
        <w:t xml:space="preserve"> the fact that the accused person is unfit to be tried in accordance with the normal procedures, the meaning of unfitness</w:t>
      </w:r>
      <w:r w:rsidR="00FD2970" w:rsidRPr="002A6F51">
        <w:rPr>
          <w:rFonts w:ascii="Times New Roman" w:hAnsi="Times New Roman"/>
        </w:rPr>
        <w:t xml:space="preserve"> to be tried</w:t>
      </w:r>
      <w:r w:rsidR="00E76E30" w:rsidRPr="002A6F51">
        <w:rPr>
          <w:rFonts w:ascii="Times New Roman" w:hAnsi="Times New Roman"/>
        </w:rPr>
        <w:t xml:space="preserve">, the purpose of the special hearing, the verdicts which are available and </w:t>
      </w:r>
      <w:r w:rsidR="00CA0B34" w:rsidRPr="002A6F51">
        <w:rPr>
          <w:rFonts w:ascii="Times New Roman" w:hAnsi="Times New Roman"/>
        </w:rPr>
        <w:t xml:space="preserve">the legal and </w:t>
      </w:r>
      <w:r w:rsidR="00E76E30" w:rsidRPr="002A6F51">
        <w:rPr>
          <w:rFonts w:ascii="Times New Roman" w:hAnsi="Times New Roman"/>
        </w:rPr>
        <w:t xml:space="preserve">practical consequences of those verdicts. The requirements were </w:t>
      </w:r>
      <w:r w:rsidR="00872450" w:rsidRPr="002A6F51">
        <w:rPr>
          <w:rFonts w:ascii="Times New Roman" w:hAnsi="Times New Roman"/>
        </w:rPr>
        <w:t>not met, in that they were provided piecemeal over the course of the hearing or</w:t>
      </w:r>
      <w:r w:rsidR="00B60F48" w:rsidRPr="002A6F51">
        <w:rPr>
          <w:rFonts w:ascii="Times New Roman" w:hAnsi="Times New Roman"/>
        </w:rPr>
        <w:t xml:space="preserve"> in</w:t>
      </w:r>
      <w:r w:rsidR="00872450" w:rsidRPr="002A6F51">
        <w:rPr>
          <w:rFonts w:ascii="Times New Roman" w:hAnsi="Times New Roman"/>
        </w:rPr>
        <w:t xml:space="preserve"> statements by counsel</w:t>
      </w:r>
      <w:r w:rsidR="00872450" w:rsidRPr="002A6F51">
        <w:rPr>
          <w:rStyle w:val="FootnoteReference"/>
          <w:rFonts w:ascii="Times New Roman" w:hAnsi="Times New Roman"/>
          <w:sz w:val="24"/>
        </w:rPr>
        <w:footnoteReference w:id="11"/>
      </w:r>
      <w:r w:rsidR="00872450" w:rsidRPr="002A6F51">
        <w:rPr>
          <w:rFonts w:ascii="Times New Roman" w:hAnsi="Times New Roman"/>
        </w:rPr>
        <w:t>. Th</w:t>
      </w:r>
      <w:r w:rsidR="00D636FF" w:rsidRPr="002A6F51">
        <w:rPr>
          <w:rFonts w:ascii="Times New Roman" w:hAnsi="Times New Roman"/>
        </w:rPr>
        <w:t>is</w:t>
      </w:r>
      <w:r w:rsidR="00872450" w:rsidRPr="002A6F51">
        <w:rPr>
          <w:rFonts w:ascii="Times New Roman" w:hAnsi="Times New Roman"/>
        </w:rPr>
        <w:t xml:space="preserve"> Court held that the failure to comply with the provision was, of itself, a substantial miscarriage of justice. An obligation was imposed on the </w:t>
      </w:r>
      <w:proofErr w:type="gramStart"/>
      <w:r w:rsidR="0069004C" w:rsidRPr="002A6F51">
        <w:rPr>
          <w:rFonts w:ascii="Times New Roman" w:hAnsi="Times New Roman"/>
        </w:rPr>
        <w:t>C</w:t>
      </w:r>
      <w:r w:rsidR="00872450" w:rsidRPr="002A6F51">
        <w:rPr>
          <w:rFonts w:ascii="Times New Roman" w:hAnsi="Times New Roman"/>
        </w:rPr>
        <w:t>ourt</w:t>
      </w:r>
      <w:proofErr w:type="gramEnd"/>
      <w:r w:rsidR="00872450" w:rsidRPr="002A6F51">
        <w:rPr>
          <w:rFonts w:ascii="Times New Roman" w:hAnsi="Times New Roman"/>
        </w:rPr>
        <w:t xml:space="preserve"> </w:t>
      </w:r>
      <w:r w:rsidR="00214B8A" w:rsidRPr="002A6F51">
        <w:rPr>
          <w:rFonts w:ascii="Times New Roman" w:hAnsi="Times New Roman"/>
        </w:rPr>
        <w:t>and it was both limited and specific.</w:t>
      </w:r>
    </w:p>
    <w:p w14:paraId="688C1364" w14:textId="2EBDAF55" w:rsidR="00872450" w:rsidRPr="002A6F51" w:rsidRDefault="00872450" w:rsidP="002A6F51">
      <w:pPr>
        <w:pStyle w:val="FixListStyle"/>
        <w:spacing w:after="260" w:line="280" w:lineRule="exact"/>
        <w:ind w:right="0"/>
        <w:jc w:val="both"/>
        <w:rPr>
          <w:rFonts w:ascii="Times New Roman" w:hAnsi="Times New Roman"/>
        </w:rPr>
      </w:pPr>
      <w:r w:rsidRPr="002A6F51">
        <w:rPr>
          <w:rFonts w:ascii="Times New Roman" w:hAnsi="Times New Roman"/>
        </w:rPr>
        <w:tab/>
      </w:r>
      <w:r w:rsidR="00DA719B" w:rsidRPr="002A6F51">
        <w:rPr>
          <w:rFonts w:ascii="Times New Roman" w:hAnsi="Times New Roman"/>
        </w:rPr>
        <w:t xml:space="preserve">As mentioned previously, </w:t>
      </w:r>
      <w:r w:rsidRPr="002A6F51">
        <w:rPr>
          <w:rFonts w:ascii="Times New Roman" w:hAnsi="Times New Roman"/>
        </w:rPr>
        <w:t xml:space="preserve">the appellants </w:t>
      </w:r>
      <w:r w:rsidR="00CC1277" w:rsidRPr="002A6F51">
        <w:rPr>
          <w:rFonts w:ascii="Times New Roman" w:hAnsi="Times New Roman"/>
        </w:rPr>
        <w:t xml:space="preserve">here </w:t>
      </w:r>
      <w:r w:rsidRPr="002A6F51">
        <w:rPr>
          <w:rFonts w:ascii="Times New Roman" w:hAnsi="Times New Roman"/>
        </w:rPr>
        <w:t>argue that the</w:t>
      </w:r>
      <w:r w:rsidR="00DA719B" w:rsidRPr="002A6F51">
        <w:rPr>
          <w:rFonts w:ascii="Times New Roman" w:hAnsi="Times New Roman"/>
        </w:rPr>
        <w:t xml:space="preserve"> </w:t>
      </w:r>
      <w:r w:rsidR="00214B8A" w:rsidRPr="002A6F51">
        <w:rPr>
          <w:rFonts w:ascii="Times New Roman" w:hAnsi="Times New Roman"/>
          <w:i/>
          <w:iCs/>
        </w:rPr>
        <w:t xml:space="preserve">Jury Directions Act </w:t>
      </w:r>
      <w:r w:rsidR="00DD58C3" w:rsidRPr="002A6F51">
        <w:rPr>
          <w:rFonts w:ascii="Times New Roman" w:hAnsi="Times New Roman"/>
        </w:rPr>
        <w:t>has in s 44J(b)(</w:t>
      </w:r>
      <w:proofErr w:type="spellStart"/>
      <w:r w:rsidR="00DD58C3" w:rsidRPr="002A6F51">
        <w:rPr>
          <w:rFonts w:ascii="Times New Roman" w:hAnsi="Times New Roman"/>
        </w:rPr>
        <w:t>i</w:t>
      </w:r>
      <w:proofErr w:type="spellEnd"/>
      <w:r w:rsidR="00DD58C3" w:rsidRPr="002A6F51">
        <w:rPr>
          <w:rFonts w:ascii="Times New Roman" w:hAnsi="Times New Roman"/>
        </w:rPr>
        <w:t>) determined what is essential to a fair trial</w:t>
      </w:r>
      <w:r w:rsidR="006A75EF" w:rsidRPr="002A6F51">
        <w:rPr>
          <w:rFonts w:ascii="Times New Roman" w:hAnsi="Times New Roman"/>
        </w:rPr>
        <w:t>,</w:t>
      </w:r>
      <w:r w:rsidR="00DD58C3" w:rsidRPr="002A6F51">
        <w:rPr>
          <w:rFonts w:ascii="Times New Roman" w:hAnsi="Times New Roman"/>
        </w:rPr>
        <w:t xml:space="preserve"> so that non</w:t>
      </w:r>
      <w:r w:rsidR="00DD58C3" w:rsidRPr="002A6F51">
        <w:rPr>
          <w:rFonts w:ascii="Times New Roman" w:hAnsi="Times New Roman"/>
        </w:rPr>
        <w:noBreakHyphen/>
        <w:t xml:space="preserve">compliance </w:t>
      </w:r>
      <w:r w:rsidR="001E2785" w:rsidRPr="002A6F51">
        <w:rPr>
          <w:rFonts w:ascii="Times New Roman" w:hAnsi="Times New Roman"/>
        </w:rPr>
        <w:t xml:space="preserve">with </w:t>
      </w:r>
      <w:r w:rsidR="00DD58C3" w:rsidRPr="002A6F51">
        <w:rPr>
          <w:rFonts w:ascii="Times New Roman" w:hAnsi="Times New Roman"/>
        </w:rPr>
        <w:t>its prohibition necessarily amou</w:t>
      </w:r>
      <w:r w:rsidR="001E2785" w:rsidRPr="002A6F51">
        <w:rPr>
          <w:rFonts w:ascii="Times New Roman" w:hAnsi="Times New Roman"/>
        </w:rPr>
        <w:t>n</w:t>
      </w:r>
      <w:r w:rsidR="00DD58C3" w:rsidRPr="002A6F51">
        <w:rPr>
          <w:rFonts w:ascii="Times New Roman" w:hAnsi="Times New Roman"/>
        </w:rPr>
        <w:t>ts to a sub</w:t>
      </w:r>
      <w:r w:rsidR="001E2785" w:rsidRPr="002A6F51">
        <w:rPr>
          <w:rFonts w:ascii="Times New Roman" w:hAnsi="Times New Roman"/>
        </w:rPr>
        <w:t>stantial miscarriage of justice.</w:t>
      </w:r>
    </w:p>
    <w:p w14:paraId="1672EFF3" w14:textId="556A4478" w:rsidR="001E2785" w:rsidRPr="002A6F51" w:rsidRDefault="001E2785" w:rsidP="002A6F51">
      <w:pPr>
        <w:pStyle w:val="FixListStyle"/>
        <w:spacing w:after="260" w:line="280" w:lineRule="exact"/>
        <w:ind w:right="0"/>
        <w:jc w:val="both"/>
        <w:rPr>
          <w:rFonts w:ascii="Times New Roman" w:hAnsi="Times New Roman"/>
        </w:rPr>
      </w:pPr>
      <w:r w:rsidRPr="002A6F51">
        <w:rPr>
          <w:rFonts w:ascii="Times New Roman" w:hAnsi="Times New Roman"/>
        </w:rPr>
        <w:tab/>
        <w:t xml:space="preserve">It may be noted at the outset that of the three </w:t>
      </w:r>
      <w:r w:rsidR="00754D33" w:rsidRPr="002A6F51">
        <w:rPr>
          <w:rFonts w:ascii="Times New Roman" w:hAnsi="Times New Roman"/>
        </w:rPr>
        <w:t>directions which s 44J prohibits being made, the other two are such as might favour the accused. More importantly, when regard is had to the stated purposes of the</w:t>
      </w:r>
      <w:r w:rsidR="00DA719B" w:rsidRPr="002A6F51">
        <w:rPr>
          <w:rFonts w:ascii="Times New Roman" w:hAnsi="Times New Roman"/>
        </w:rPr>
        <w:t xml:space="preserve"> </w:t>
      </w:r>
      <w:r w:rsidR="00214B8A" w:rsidRPr="002A6F51">
        <w:rPr>
          <w:rFonts w:ascii="Times New Roman" w:hAnsi="Times New Roman"/>
          <w:i/>
          <w:iCs/>
        </w:rPr>
        <w:t>Jury Directions Act</w:t>
      </w:r>
      <w:r w:rsidR="00412A1E" w:rsidRPr="002A6F51">
        <w:rPr>
          <w:rFonts w:ascii="Times New Roman" w:hAnsi="Times New Roman"/>
        </w:rPr>
        <w:t>,</w:t>
      </w:r>
      <w:r w:rsidR="00214B8A" w:rsidRPr="002A6F51">
        <w:rPr>
          <w:rFonts w:ascii="Times New Roman" w:hAnsi="Times New Roman"/>
          <w:i/>
          <w:iCs/>
        </w:rPr>
        <w:t xml:space="preserve"> </w:t>
      </w:r>
      <w:r w:rsidR="00754D33" w:rsidRPr="002A6F51">
        <w:rPr>
          <w:rFonts w:ascii="Times New Roman" w:hAnsi="Times New Roman"/>
        </w:rPr>
        <w:t xml:space="preserve">it is not obvious that its purpose </w:t>
      </w:r>
      <w:r w:rsidR="00B27DAA" w:rsidRPr="002A6F51">
        <w:rPr>
          <w:rFonts w:ascii="Times New Roman" w:hAnsi="Times New Roman"/>
        </w:rPr>
        <w:t xml:space="preserve">here </w:t>
      </w:r>
      <w:r w:rsidR="00754D33" w:rsidRPr="002A6F51">
        <w:rPr>
          <w:rFonts w:ascii="Times New Roman" w:hAnsi="Times New Roman"/>
        </w:rPr>
        <w:t>is as the appellants contend. Most relevant amongst the purposes stated in s 1 are:</w:t>
      </w:r>
    </w:p>
    <w:p w14:paraId="5BED32DD" w14:textId="246AC7EA" w:rsidR="00754D33" w:rsidRPr="002A6F51" w:rsidRDefault="001D396B" w:rsidP="002A6F51">
      <w:pPr>
        <w:pStyle w:val="LeftrightHanging"/>
        <w:spacing w:before="0" w:after="260" w:line="280" w:lineRule="exact"/>
        <w:ind w:right="0"/>
        <w:jc w:val="both"/>
        <w:rPr>
          <w:rFonts w:ascii="Times New Roman" w:hAnsi="Times New Roman"/>
        </w:rPr>
      </w:pPr>
      <w:r w:rsidRPr="002A6F51">
        <w:rPr>
          <w:rFonts w:ascii="Times New Roman" w:hAnsi="Times New Roman"/>
        </w:rPr>
        <w:t>"(a)</w:t>
      </w:r>
      <w:r w:rsidRPr="002A6F51">
        <w:rPr>
          <w:rFonts w:ascii="Times New Roman" w:hAnsi="Times New Roman"/>
        </w:rPr>
        <w:tab/>
        <w:t xml:space="preserve">to reduce the complexity of jury directions in criminal trials; </w:t>
      </w:r>
      <w:r w:rsidR="00A8586D" w:rsidRPr="002A6F51">
        <w:rPr>
          <w:rFonts w:ascii="Times New Roman" w:hAnsi="Times New Roman"/>
        </w:rPr>
        <w:t>and</w:t>
      </w:r>
    </w:p>
    <w:p w14:paraId="50D2C87F" w14:textId="41628C13" w:rsidR="001D396B" w:rsidRPr="002A6F51" w:rsidRDefault="001D396B" w:rsidP="002A6F51">
      <w:pPr>
        <w:pStyle w:val="LeftrightHanging"/>
        <w:spacing w:before="0" w:after="260" w:line="280" w:lineRule="exact"/>
        <w:ind w:right="0"/>
        <w:jc w:val="both"/>
        <w:rPr>
          <w:rFonts w:ascii="Times New Roman" w:hAnsi="Times New Roman"/>
        </w:rPr>
      </w:pPr>
      <w:r w:rsidRPr="002A6F51">
        <w:rPr>
          <w:rFonts w:ascii="Times New Roman" w:hAnsi="Times New Roman"/>
        </w:rPr>
        <w:t>…</w:t>
      </w:r>
    </w:p>
    <w:p w14:paraId="5E28720A" w14:textId="77777777" w:rsidR="002A6F51" w:rsidRDefault="001D396B" w:rsidP="002A6F51">
      <w:pPr>
        <w:pStyle w:val="LeftrightHanging"/>
        <w:spacing w:before="0" w:after="260" w:line="280" w:lineRule="exact"/>
        <w:ind w:right="0"/>
        <w:jc w:val="both"/>
        <w:rPr>
          <w:rFonts w:ascii="Times New Roman" w:hAnsi="Times New Roman"/>
        </w:rPr>
      </w:pPr>
      <w:r w:rsidRPr="002A6F51">
        <w:rPr>
          <w:rFonts w:ascii="Times New Roman" w:hAnsi="Times New Roman"/>
        </w:rPr>
        <w:t>(c)</w:t>
      </w:r>
      <w:r w:rsidRPr="002A6F51">
        <w:rPr>
          <w:rFonts w:ascii="Times New Roman" w:hAnsi="Times New Roman"/>
        </w:rPr>
        <w:tab/>
      </w:r>
      <w:r w:rsidR="00761EB1" w:rsidRPr="002A6F51">
        <w:rPr>
          <w:rFonts w:ascii="Times New Roman" w:hAnsi="Times New Roman"/>
        </w:rPr>
        <w:t>to simplify and clarify the duties of the trial judge in giving jury directions in criminal trials</w:t>
      </w:r>
      <w:r w:rsidR="007B3895" w:rsidRPr="002A6F51">
        <w:rPr>
          <w:rFonts w:ascii="Times New Roman" w:hAnsi="Times New Roman"/>
        </w:rPr>
        <w:t xml:space="preserve"> </w:t>
      </w:r>
      <w:r w:rsidR="00761EB1" w:rsidRPr="002A6F51">
        <w:rPr>
          <w:rFonts w:ascii="Times New Roman" w:hAnsi="Times New Roman"/>
        </w:rPr>
        <w:t>…"</w:t>
      </w:r>
    </w:p>
    <w:p w14:paraId="180E090E" w14:textId="6D0E7196" w:rsidR="00DF2E36" w:rsidRPr="002A6F51" w:rsidRDefault="00761EB1" w:rsidP="002A6F51">
      <w:pPr>
        <w:pStyle w:val="FixListStyle"/>
        <w:spacing w:after="260" w:line="280" w:lineRule="exact"/>
        <w:ind w:right="0"/>
        <w:jc w:val="both"/>
        <w:rPr>
          <w:rFonts w:ascii="Times New Roman" w:hAnsi="Times New Roman"/>
        </w:rPr>
      </w:pPr>
      <w:r w:rsidRPr="002A6F51">
        <w:rPr>
          <w:rFonts w:ascii="Times New Roman" w:hAnsi="Times New Roman"/>
        </w:rPr>
        <w:tab/>
      </w:r>
      <w:r w:rsidR="00DF2E36" w:rsidRPr="002A6F51">
        <w:rPr>
          <w:rFonts w:ascii="Times New Roman" w:hAnsi="Times New Roman"/>
        </w:rPr>
        <w:t>The stated purposes accord with the description of the prohibited directions in the extrinsic materials as "confusing" and "unhelpf</w:t>
      </w:r>
      <w:r w:rsidR="00B37BAD" w:rsidRPr="002A6F51">
        <w:rPr>
          <w:rFonts w:ascii="Times New Roman" w:hAnsi="Times New Roman"/>
        </w:rPr>
        <w:t>ul", "arguably inaccurate" or "problematic". Nowhere is it suggested that non</w:t>
      </w:r>
      <w:r w:rsidR="00B37BAD" w:rsidRPr="002A6F51">
        <w:rPr>
          <w:rFonts w:ascii="Times New Roman" w:hAnsi="Times New Roman"/>
        </w:rPr>
        <w:noBreakHyphen/>
        <w:t>compliance with s 44J(b)</w:t>
      </w:r>
      <w:r w:rsidR="004D4F8F" w:rsidRPr="002A6F51">
        <w:rPr>
          <w:rFonts w:ascii="Times New Roman" w:hAnsi="Times New Roman"/>
        </w:rPr>
        <w:t>(</w:t>
      </w:r>
      <w:proofErr w:type="spellStart"/>
      <w:r w:rsidR="004D4F8F" w:rsidRPr="002A6F51">
        <w:rPr>
          <w:rFonts w:ascii="Times New Roman" w:hAnsi="Times New Roman"/>
        </w:rPr>
        <w:t>i</w:t>
      </w:r>
      <w:proofErr w:type="spellEnd"/>
      <w:r w:rsidR="00B37BAD" w:rsidRPr="002A6F51">
        <w:rPr>
          <w:rFonts w:ascii="Times New Roman" w:hAnsi="Times New Roman"/>
        </w:rPr>
        <w:t xml:space="preserve">) means that a fair trial will be lost in every case. That is understandable. Much will depend upon the </w:t>
      </w:r>
      <w:r w:rsidR="006C3A0E" w:rsidRPr="002A6F51">
        <w:rPr>
          <w:rFonts w:ascii="Times New Roman" w:hAnsi="Times New Roman"/>
        </w:rPr>
        <w:t xml:space="preserve">evidence given by the accused to which </w:t>
      </w:r>
      <w:r w:rsidR="006A3103" w:rsidRPr="002A6F51">
        <w:rPr>
          <w:rFonts w:ascii="Times New Roman" w:hAnsi="Times New Roman"/>
        </w:rPr>
        <w:t>the direction</w:t>
      </w:r>
      <w:r w:rsidR="006C3A0E" w:rsidRPr="002A6F51">
        <w:rPr>
          <w:rFonts w:ascii="Times New Roman" w:hAnsi="Times New Roman"/>
        </w:rPr>
        <w:t xml:space="preserve"> refers, the issues for the jury arising from that evidence and the prosecution case</w:t>
      </w:r>
      <w:r w:rsidR="00A96502" w:rsidRPr="002A6F51">
        <w:rPr>
          <w:rFonts w:ascii="Times New Roman" w:hAnsi="Times New Roman"/>
        </w:rPr>
        <w:t>,</w:t>
      </w:r>
      <w:r w:rsidR="006C3A0E" w:rsidRPr="002A6F51">
        <w:rPr>
          <w:rFonts w:ascii="Times New Roman" w:hAnsi="Times New Roman"/>
        </w:rPr>
        <w:t xml:space="preserve"> and the directions given by the trial </w:t>
      </w:r>
      <w:proofErr w:type="gramStart"/>
      <w:r w:rsidR="006C3A0E" w:rsidRPr="002A6F51">
        <w:rPr>
          <w:rFonts w:ascii="Times New Roman" w:hAnsi="Times New Roman"/>
        </w:rPr>
        <w:t>judge as a whole</w:t>
      </w:r>
      <w:proofErr w:type="gramEnd"/>
      <w:r w:rsidR="006C3A0E" w:rsidRPr="002A6F51">
        <w:rPr>
          <w:rFonts w:ascii="Times New Roman" w:hAnsi="Times New Roman"/>
        </w:rPr>
        <w:t>.</w:t>
      </w:r>
    </w:p>
    <w:p w14:paraId="3622E74E" w14:textId="4AABF46B" w:rsidR="00B01C07" w:rsidRPr="002A6F51" w:rsidRDefault="00B01C07" w:rsidP="002A6F51">
      <w:pPr>
        <w:pStyle w:val="HeadingL1"/>
        <w:spacing w:after="260" w:line="280" w:lineRule="exact"/>
        <w:ind w:right="0"/>
        <w:jc w:val="both"/>
        <w:rPr>
          <w:rFonts w:ascii="Times New Roman" w:hAnsi="Times New Roman"/>
        </w:rPr>
      </w:pPr>
      <w:r w:rsidRPr="002A6F51">
        <w:rPr>
          <w:rFonts w:ascii="Times New Roman" w:hAnsi="Times New Roman"/>
        </w:rPr>
        <w:lastRenderedPageBreak/>
        <w:t>A substantial miscarriage of justice?</w:t>
      </w:r>
    </w:p>
    <w:p w14:paraId="601371DF" w14:textId="0BAE9CF5" w:rsidR="00B01C07" w:rsidRPr="002A6F51" w:rsidRDefault="00B01C07" w:rsidP="002A6F51">
      <w:pPr>
        <w:pStyle w:val="FixListStyle"/>
        <w:spacing w:after="260" w:line="280" w:lineRule="exact"/>
        <w:ind w:right="0"/>
        <w:jc w:val="both"/>
        <w:rPr>
          <w:rFonts w:ascii="Times New Roman" w:hAnsi="Times New Roman"/>
        </w:rPr>
      </w:pPr>
      <w:r w:rsidRPr="002A6F51">
        <w:rPr>
          <w:rFonts w:ascii="Times New Roman" w:hAnsi="Times New Roman"/>
        </w:rPr>
        <w:tab/>
        <w:t xml:space="preserve">Section 276(1) of the </w:t>
      </w:r>
      <w:r w:rsidRPr="002A6F51">
        <w:rPr>
          <w:rFonts w:ascii="Times New Roman" w:hAnsi="Times New Roman"/>
          <w:i/>
          <w:iCs/>
        </w:rPr>
        <w:t>Criminal Procedure Act</w:t>
      </w:r>
      <w:r w:rsidRPr="002A6F51">
        <w:rPr>
          <w:rFonts w:ascii="Times New Roman" w:hAnsi="Times New Roman"/>
        </w:rPr>
        <w:t xml:space="preserve"> provides that an appeal against conviction must be allowed if an appellant satisfies the court that:</w:t>
      </w:r>
    </w:p>
    <w:p w14:paraId="766BA854" w14:textId="0AF798E8" w:rsidR="00B01C07" w:rsidRPr="002A6F51" w:rsidRDefault="000E0689" w:rsidP="002A6F51">
      <w:pPr>
        <w:pStyle w:val="LeftrightHanging"/>
        <w:spacing w:before="0" w:after="260" w:line="280" w:lineRule="exact"/>
        <w:ind w:right="0"/>
        <w:jc w:val="both"/>
        <w:rPr>
          <w:rFonts w:ascii="Times New Roman" w:hAnsi="Times New Roman"/>
        </w:rPr>
      </w:pPr>
      <w:r w:rsidRPr="002A6F51">
        <w:rPr>
          <w:rFonts w:ascii="Times New Roman" w:hAnsi="Times New Roman"/>
        </w:rPr>
        <w:t>"(a)</w:t>
      </w:r>
      <w:r w:rsidRPr="002A6F51">
        <w:rPr>
          <w:rFonts w:ascii="Times New Roman" w:hAnsi="Times New Roman"/>
        </w:rPr>
        <w:tab/>
        <w:t>the verdict of the jury is unreasonable or cannot be supported having regard to the evidence; or</w:t>
      </w:r>
    </w:p>
    <w:p w14:paraId="1A234432" w14:textId="580E6A55" w:rsidR="000E0689" w:rsidRPr="002A6F51" w:rsidRDefault="000E0689" w:rsidP="002A6F51">
      <w:pPr>
        <w:pStyle w:val="LeftrightHanging"/>
        <w:spacing w:before="0" w:after="260" w:line="280" w:lineRule="exact"/>
        <w:ind w:right="0"/>
        <w:jc w:val="both"/>
        <w:rPr>
          <w:rFonts w:ascii="Times New Roman" w:hAnsi="Times New Roman"/>
        </w:rPr>
      </w:pPr>
      <w:r w:rsidRPr="002A6F51">
        <w:rPr>
          <w:rFonts w:ascii="Times New Roman" w:hAnsi="Times New Roman"/>
        </w:rPr>
        <w:t>(b)</w:t>
      </w:r>
      <w:r w:rsidRPr="002A6F51">
        <w:rPr>
          <w:rFonts w:ascii="Times New Roman" w:hAnsi="Times New Roman"/>
        </w:rPr>
        <w:tab/>
        <w:t>as the result of an error or an irregularity in, or in relation to, the trial there has been a substantial miscarriage of justice; or</w:t>
      </w:r>
    </w:p>
    <w:p w14:paraId="41E281CE" w14:textId="77777777" w:rsidR="002A6F51" w:rsidRDefault="000E0689" w:rsidP="002A6F51">
      <w:pPr>
        <w:pStyle w:val="LeftrightHanging"/>
        <w:spacing w:before="0" w:after="260" w:line="280" w:lineRule="exact"/>
        <w:ind w:right="0"/>
        <w:jc w:val="both"/>
        <w:rPr>
          <w:rFonts w:ascii="Times New Roman" w:hAnsi="Times New Roman"/>
        </w:rPr>
      </w:pPr>
      <w:r w:rsidRPr="002A6F51">
        <w:rPr>
          <w:rFonts w:ascii="Times New Roman" w:hAnsi="Times New Roman"/>
        </w:rPr>
        <w:t>(c)</w:t>
      </w:r>
      <w:r w:rsidRPr="002A6F51">
        <w:rPr>
          <w:rFonts w:ascii="Times New Roman" w:hAnsi="Times New Roman"/>
        </w:rPr>
        <w:tab/>
        <w:t>for any other reason there has been a substantial miscarriage of justice."</w:t>
      </w:r>
    </w:p>
    <w:p w14:paraId="334BC0D7" w14:textId="0B547393" w:rsidR="000E0689" w:rsidRPr="002A6F51" w:rsidRDefault="002A3B57" w:rsidP="002A6F51">
      <w:pPr>
        <w:pStyle w:val="FixListStyle"/>
        <w:spacing w:after="260" w:line="280" w:lineRule="exact"/>
        <w:ind w:right="0"/>
        <w:jc w:val="both"/>
        <w:rPr>
          <w:rFonts w:ascii="Times New Roman" w:hAnsi="Times New Roman"/>
        </w:rPr>
      </w:pPr>
      <w:r w:rsidRPr="002A6F51">
        <w:rPr>
          <w:rFonts w:ascii="Times New Roman" w:hAnsi="Times New Roman"/>
        </w:rPr>
        <w:tab/>
        <w:t xml:space="preserve">In </w:t>
      </w:r>
      <w:proofErr w:type="spellStart"/>
      <w:r w:rsidRPr="002A6F51">
        <w:rPr>
          <w:rFonts w:ascii="Times New Roman" w:hAnsi="Times New Roman"/>
          <w:i/>
          <w:iCs/>
        </w:rPr>
        <w:t>Baini</w:t>
      </w:r>
      <w:proofErr w:type="spellEnd"/>
      <w:r w:rsidRPr="002A6F51">
        <w:rPr>
          <w:rFonts w:ascii="Times New Roman" w:hAnsi="Times New Roman"/>
          <w:i/>
          <w:iCs/>
        </w:rPr>
        <w:t xml:space="preserve"> v The Queen</w:t>
      </w:r>
      <w:r w:rsidRPr="002A6F51">
        <w:rPr>
          <w:rStyle w:val="FootnoteReference"/>
          <w:rFonts w:ascii="Times New Roman" w:hAnsi="Times New Roman"/>
          <w:sz w:val="24"/>
        </w:rPr>
        <w:footnoteReference w:id="12"/>
      </w:r>
      <w:r w:rsidR="001051A5" w:rsidRPr="002A6F51">
        <w:rPr>
          <w:rFonts w:ascii="Times New Roman" w:hAnsi="Times New Roman"/>
        </w:rPr>
        <w:t>,</w:t>
      </w:r>
      <w:r w:rsidR="00BF67E8" w:rsidRPr="002A6F51">
        <w:rPr>
          <w:rFonts w:ascii="Times New Roman" w:hAnsi="Times New Roman"/>
        </w:rPr>
        <w:t xml:space="preserve"> the majority said that</w:t>
      </w:r>
      <w:r w:rsidR="00EC54C5" w:rsidRPr="002A6F51">
        <w:rPr>
          <w:rFonts w:ascii="Times New Roman" w:hAnsi="Times New Roman"/>
        </w:rPr>
        <w:t>,</w:t>
      </w:r>
      <w:r w:rsidR="00BF67E8" w:rsidRPr="002A6F51">
        <w:rPr>
          <w:rFonts w:ascii="Times New Roman" w:hAnsi="Times New Roman"/>
        </w:rPr>
        <w:t xml:space="preserve"> </w:t>
      </w:r>
      <w:r w:rsidR="009F36A7" w:rsidRPr="002A6F51">
        <w:rPr>
          <w:rFonts w:ascii="Times New Roman" w:hAnsi="Times New Roman"/>
        </w:rPr>
        <w:t xml:space="preserve">when </w:t>
      </w:r>
      <w:r w:rsidR="00BF67E8" w:rsidRPr="002A6F51">
        <w:rPr>
          <w:rFonts w:ascii="Times New Roman" w:hAnsi="Times New Roman"/>
        </w:rPr>
        <w:t>read tog</w:t>
      </w:r>
      <w:r w:rsidR="000F7F02" w:rsidRPr="002A6F51">
        <w:rPr>
          <w:rFonts w:ascii="Times New Roman" w:hAnsi="Times New Roman"/>
        </w:rPr>
        <w:t>e</w:t>
      </w:r>
      <w:r w:rsidR="00BF67E8" w:rsidRPr="002A6F51">
        <w:rPr>
          <w:rFonts w:ascii="Times New Roman" w:hAnsi="Times New Roman"/>
        </w:rPr>
        <w:t>ther</w:t>
      </w:r>
      <w:r w:rsidR="009F36A7" w:rsidRPr="002A6F51">
        <w:rPr>
          <w:rFonts w:ascii="Times New Roman" w:hAnsi="Times New Roman"/>
        </w:rPr>
        <w:t>,</w:t>
      </w:r>
      <w:r w:rsidR="00533E64" w:rsidRPr="002A6F51">
        <w:rPr>
          <w:rFonts w:ascii="Times New Roman" w:hAnsi="Times New Roman"/>
        </w:rPr>
        <w:t xml:space="preserve"> para</w:t>
      </w:r>
      <w:r w:rsidR="00BB03FD" w:rsidRPr="002A6F51">
        <w:rPr>
          <w:rFonts w:ascii="Times New Roman" w:hAnsi="Times New Roman"/>
        </w:rPr>
        <w:t xml:space="preserve">s </w:t>
      </w:r>
      <w:r w:rsidR="00BF67E8" w:rsidRPr="002A6F51">
        <w:rPr>
          <w:rFonts w:ascii="Times New Roman" w:hAnsi="Times New Roman"/>
        </w:rPr>
        <w:t>(b) and (c) encompass every form of substantial miscarriage of justice. Section 276</w:t>
      </w:r>
      <w:r w:rsidR="008E2E16" w:rsidRPr="002A6F51">
        <w:rPr>
          <w:rFonts w:ascii="Times New Roman" w:hAnsi="Times New Roman"/>
        </w:rPr>
        <w:t>(1)</w:t>
      </w:r>
      <w:r w:rsidR="00BF67E8" w:rsidRPr="002A6F51">
        <w:rPr>
          <w:rFonts w:ascii="Times New Roman" w:hAnsi="Times New Roman"/>
        </w:rPr>
        <w:t>(b) encompasses any departure fr</w:t>
      </w:r>
      <w:r w:rsidR="00056E46" w:rsidRPr="002A6F51">
        <w:rPr>
          <w:rFonts w:ascii="Times New Roman" w:hAnsi="Times New Roman"/>
        </w:rPr>
        <w:t>o</w:t>
      </w:r>
      <w:r w:rsidR="00BF67E8" w:rsidRPr="002A6F51">
        <w:rPr>
          <w:rFonts w:ascii="Times New Roman" w:hAnsi="Times New Roman"/>
        </w:rPr>
        <w:t xml:space="preserve">m trial according to </w:t>
      </w:r>
      <w:r w:rsidR="000F7F02" w:rsidRPr="002A6F51">
        <w:rPr>
          <w:rFonts w:ascii="Times New Roman" w:hAnsi="Times New Roman"/>
        </w:rPr>
        <w:t xml:space="preserve">law and the reference in </w:t>
      </w:r>
      <w:r w:rsidR="004A2AD0" w:rsidRPr="002A6F51">
        <w:rPr>
          <w:rFonts w:ascii="Times New Roman" w:hAnsi="Times New Roman"/>
        </w:rPr>
        <w:t xml:space="preserve">para </w:t>
      </w:r>
      <w:r w:rsidR="000F7F02" w:rsidRPr="002A6F51">
        <w:rPr>
          <w:rFonts w:ascii="Times New Roman" w:hAnsi="Times New Roman"/>
        </w:rPr>
        <w:t>(c) to "any other reason" shows that</w:t>
      </w:r>
      <w:r w:rsidR="004A2AD0" w:rsidRPr="002A6F51">
        <w:rPr>
          <w:rFonts w:ascii="Times New Roman" w:hAnsi="Times New Roman"/>
        </w:rPr>
        <w:t xml:space="preserve"> para</w:t>
      </w:r>
      <w:r w:rsidR="000F7F02" w:rsidRPr="002A6F51">
        <w:rPr>
          <w:rFonts w:ascii="Times New Roman" w:hAnsi="Times New Roman"/>
        </w:rPr>
        <w:t xml:space="preserve"> (b) is not exhaustive.</w:t>
      </w:r>
    </w:p>
    <w:p w14:paraId="062D1526" w14:textId="6B27C915" w:rsidR="000F7F02" w:rsidRPr="002A6F51" w:rsidRDefault="000F7F02" w:rsidP="002A6F51">
      <w:pPr>
        <w:pStyle w:val="FixListStyle"/>
        <w:spacing w:after="260" w:line="280" w:lineRule="exact"/>
        <w:ind w:right="0"/>
        <w:jc w:val="both"/>
        <w:rPr>
          <w:rFonts w:ascii="Times New Roman" w:hAnsi="Times New Roman"/>
        </w:rPr>
      </w:pPr>
      <w:r w:rsidRPr="002A6F51">
        <w:rPr>
          <w:rFonts w:ascii="Times New Roman" w:hAnsi="Times New Roman"/>
        </w:rPr>
        <w:tab/>
        <w:t xml:space="preserve">In </w:t>
      </w:r>
      <w:proofErr w:type="spellStart"/>
      <w:r w:rsidRPr="002A6F51">
        <w:rPr>
          <w:rFonts w:ascii="Times New Roman" w:hAnsi="Times New Roman"/>
          <w:i/>
          <w:iCs/>
        </w:rPr>
        <w:t>Baini</w:t>
      </w:r>
      <w:proofErr w:type="spellEnd"/>
      <w:r w:rsidR="00975A57" w:rsidRPr="002A6F51">
        <w:rPr>
          <w:rStyle w:val="FootnoteReference"/>
          <w:rFonts w:ascii="Times New Roman" w:hAnsi="Times New Roman"/>
          <w:sz w:val="24"/>
        </w:rPr>
        <w:footnoteReference w:id="13"/>
      </w:r>
      <w:r w:rsidR="00D33F6F" w:rsidRPr="002A6F51">
        <w:rPr>
          <w:rFonts w:ascii="Times New Roman" w:hAnsi="Times New Roman"/>
        </w:rPr>
        <w:t>,</w:t>
      </w:r>
      <w:r w:rsidRPr="002A6F51">
        <w:rPr>
          <w:rFonts w:ascii="Times New Roman" w:hAnsi="Times New Roman"/>
        </w:rPr>
        <w:t xml:space="preserve"> it was explained that no </w:t>
      </w:r>
      <w:r w:rsidR="005C1088" w:rsidRPr="002A6F51">
        <w:rPr>
          <w:rFonts w:ascii="Times New Roman" w:hAnsi="Times New Roman"/>
        </w:rPr>
        <w:t>single</w:t>
      </w:r>
      <w:r w:rsidRPr="002A6F51">
        <w:rPr>
          <w:rFonts w:ascii="Times New Roman" w:hAnsi="Times New Roman"/>
        </w:rPr>
        <w:t xml:space="preserve"> universally applicable description can be given for what amounts to </w:t>
      </w:r>
      <w:r w:rsidR="004A267C" w:rsidRPr="002A6F51">
        <w:rPr>
          <w:rFonts w:ascii="Times New Roman" w:hAnsi="Times New Roman"/>
        </w:rPr>
        <w:t>a substantial miscarriage of justice. There may be many examples. It may</w:t>
      </w:r>
      <w:r w:rsidR="004A2AD0" w:rsidRPr="002A6F51">
        <w:rPr>
          <w:rFonts w:ascii="Times New Roman" w:hAnsi="Times New Roman"/>
        </w:rPr>
        <w:t>,</w:t>
      </w:r>
      <w:r w:rsidR="004A267C" w:rsidRPr="002A6F51">
        <w:rPr>
          <w:rFonts w:ascii="Times New Roman" w:hAnsi="Times New Roman"/>
        </w:rPr>
        <w:t xml:space="preserve"> however</w:t>
      </w:r>
      <w:r w:rsidR="004A2AD0" w:rsidRPr="002A6F51">
        <w:rPr>
          <w:rFonts w:ascii="Times New Roman" w:hAnsi="Times New Roman"/>
        </w:rPr>
        <w:t>,</w:t>
      </w:r>
      <w:r w:rsidR="004A267C" w:rsidRPr="002A6F51">
        <w:rPr>
          <w:rFonts w:ascii="Times New Roman" w:hAnsi="Times New Roman"/>
        </w:rPr>
        <w:t xml:space="preserve"> be said that an error or irregularity </w:t>
      </w:r>
      <w:r w:rsidR="00410C1C" w:rsidRPr="002A6F51">
        <w:rPr>
          <w:rFonts w:ascii="Times New Roman" w:hAnsi="Times New Roman"/>
        </w:rPr>
        <w:t xml:space="preserve">in relation to the trial will amount to such a miscarriage only where an appellate court cannot be satisfied that it did not make a difference to the outcome of </w:t>
      </w:r>
      <w:r w:rsidR="00B4160B" w:rsidRPr="002A6F51">
        <w:rPr>
          <w:rFonts w:ascii="Times New Roman" w:hAnsi="Times New Roman"/>
        </w:rPr>
        <w:t xml:space="preserve">the </w:t>
      </w:r>
      <w:r w:rsidR="00410C1C" w:rsidRPr="002A6F51">
        <w:rPr>
          <w:rFonts w:ascii="Times New Roman" w:hAnsi="Times New Roman"/>
        </w:rPr>
        <w:t>trial</w:t>
      </w:r>
      <w:r w:rsidR="00410C1C" w:rsidRPr="002A6F51">
        <w:rPr>
          <w:rStyle w:val="FootnoteReference"/>
          <w:rFonts w:ascii="Times New Roman" w:hAnsi="Times New Roman"/>
          <w:sz w:val="24"/>
        </w:rPr>
        <w:footnoteReference w:id="14"/>
      </w:r>
      <w:r w:rsidR="00410C1C" w:rsidRPr="002A6F51">
        <w:rPr>
          <w:rFonts w:ascii="Times New Roman" w:hAnsi="Times New Roman"/>
        </w:rPr>
        <w:t>.</w:t>
      </w:r>
      <w:r w:rsidR="00795089" w:rsidRPr="002A6F51">
        <w:rPr>
          <w:rFonts w:ascii="Times New Roman" w:hAnsi="Times New Roman"/>
        </w:rPr>
        <w:t xml:space="preserve"> An appellate court can be satisfied that the result of the trial would not have bee</w:t>
      </w:r>
      <w:r w:rsidR="00056E46" w:rsidRPr="002A6F51">
        <w:rPr>
          <w:rFonts w:ascii="Times New Roman" w:hAnsi="Times New Roman"/>
        </w:rPr>
        <w:t>n</w:t>
      </w:r>
      <w:r w:rsidR="00795089" w:rsidRPr="002A6F51">
        <w:rPr>
          <w:rFonts w:ascii="Times New Roman" w:hAnsi="Times New Roman"/>
        </w:rPr>
        <w:t xml:space="preserve"> different if, having </w:t>
      </w:r>
      <w:r w:rsidR="00056E46" w:rsidRPr="002A6F51">
        <w:rPr>
          <w:rFonts w:ascii="Times New Roman" w:hAnsi="Times New Roman"/>
        </w:rPr>
        <w:t xml:space="preserve">reviewed </w:t>
      </w:r>
      <w:r w:rsidR="0003003A" w:rsidRPr="002A6F51">
        <w:rPr>
          <w:rFonts w:ascii="Times New Roman" w:hAnsi="Times New Roman"/>
        </w:rPr>
        <w:t>the record of the trial, it concludes that conviction was inevitable</w:t>
      </w:r>
      <w:r w:rsidR="0003003A" w:rsidRPr="002A6F51">
        <w:rPr>
          <w:rStyle w:val="FootnoteReference"/>
          <w:rFonts w:ascii="Times New Roman" w:hAnsi="Times New Roman"/>
          <w:sz w:val="24"/>
        </w:rPr>
        <w:footnoteReference w:id="15"/>
      </w:r>
      <w:r w:rsidR="0003003A" w:rsidRPr="002A6F51">
        <w:rPr>
          <w:rFonts w:ascii="Times New Roman" w:hAnsi="Times New Roman"/>
        </w:rPr>
        <w:t>.</w:t>
      </w:r>
    </w:p>
    <w:p w14:paraId="650C283A" w14:textId="4AA1B5F7" w:rsidR="009539C2" w:rsidRPr="002A6F51" w:rsidRDefault="0003003A" w:rsidP="002A6F51">
      <w:pPr>
        <w:pStyle w:val="FixListStyle"/>
        <w:spacing w:after="260" w:line="280" w:lineRule="exact"/>
        <w:ind w:right="0"/>
        <w:jc w:val="both"/>
        <w:rPr>
          <w:rFonts w:ascii="Times New Roman" w:hAnsi="Times New Roman"/>
        </w:rPr>
      </w:pPr>
      <w:r w:rsidRPr="002A6F51">
        <w:rPr>
          <w:rFonts w:ascii="Times New Roman" w:hAnsi="Times New Roman"/>
        </w:rPr>
        <w:tab/>
        <w:t xml:space="preserve">The majority in </w:t>
      </w:r>
      <w:proofErr w:type="spellStart"/>
      <w:r w:rsidRPr="002A6F51">
        <w:rPr>
          <w:rFonts w:ascii="Times New Roman" w:hAnsi="Times New Roman"/>
          <w:i/>
          <w:iCs/>
        </w:rPr>
        <w:t>Baini</w:t>
      </w:r>
      <w:proofErr w:type="spellEnd"/>
      <w:r w:rsidRPr="002A6F51">
        <w:rPr>
          <w:rFonts w:ascii="Times New Roman" w:hAnsi="Times New Roman"/>
          <w:i/>
          <w:iCs/>
        </w:rPr>
        <w:t xml:space="preserve"> </w:t>
      </w:r>
      <w:r w:rsidRPr="002A6F51">
        <w:rPr>
          <w:rFonts w:ascii="Times New Roman" w:hAnsi="Times New Roman"/>
        </w:rPr>
        <w:t xml:space="preserve">made </w:t>
      </w:r>
      <w:r w:rsidR="00E66EF9" w:rsidRPr="002A6F51">
        <w:rPr>
          <w:rFonts w:ascii="Times New Roman" w:hAnsi="Times New Roman"/>
        </w:rPr>
        <w:t xml:space="preserve">some </w:t>
      </w:r>
      <w:r w:rsidRPr="002A6F51">
        <w:rPr>
          <w:rFonts w:ascii="Times New Roman" w:hAnsi="Times New Roman"/>
        </w:rPr>
        <w:t>further o</w:t>
      </w:r>
      <w:r w:rsidR="00824B61" w:rsidRPr="002A6F51">
        <w:rPr>
          <w:rFonts w:ascii="Times New Roman" w:hAnsi="Times New Roman"/>
        </w:rPr>
        <w:t xml:space="preserve">bservations which are here relevant. </w:t>
      </w:r>
      <w:r w:rsidR="00E66EF9" w:rsidRPr="002A6F51">
        <w:rPr>
          <w:rFonts w:ascii="Times New Roman" w:hAnsi="Times New Roman"/>
        </w:rPr>
        <w:t xml:space="preserve">One such observation </w:t>
      </w:r>
      <w:r w:rsidR="00824B61" w:rsidRPr="002A6F51">
        <w:rPr>
          <w:rFonts w:ascii="Times New Roman" w:hAnsi="Times New Roman"/>
        </w:rPr>
        <w:t>concerns the fact that s 276(1) does not adopt the common form proviso</w:t>
      </w:r>
      <w:r w:rsidR="00E502E6" w:rsidRPr="002A6F51">
        <w:rPr>
          <w:rStyle w:val="FootnoteReference"/>
          <w:rFonts w:ascii="Times New Roman" w:hAnsi="Times New Roman"/>
          <w:sz w:val="24"/>
        </w:rPr>
        <w:footnoteReference w:id="16"/>
      </w:r>
      <w:r w:rsidR="00E502E6" w:rsidRPr="002A6F51">
        <w:rPr>
          <w:rFonts w:ascii="Times New Roman" w:hAnsi="Times New Roman"/>
        </w:rPr>
        <w:t xml:space="preserve">. The majority pointed out that </w:t>
      </w:r>
      <w:r w:rsidR="00F42F7E" w:rsidRPr="002A6F51">
        <w:rPr>
          <w:rFonts w:ascii="Times New Roman" w:hAnsi="Times New Roman"/>
        </w:rPr>
        <w:t xml:space="preserve">to </w:t>
      </w:r>
      <w:r w:rsidR="00E502E6" w:rsidRPr="002A6F51">
        <w:rPr>
          <w:rFonts w:ascii="Times New Roman" w:hAnsi="Times New Roman"/>
        </w:rPr>
        <w:t xml:space="preserve">recognise the inevitability of a verdict </w:t>
      </w:r>
      <w:r w:rsidR="000B0016" w:rsidRPr="002A6F51">
        <w:rPr>
          <w:rFonts w:ascii="Times New Roman" w:hAnsi="Times New Roman"/>
        </w:rPr>
        <w:t xml:space="preserve">of guilty </w:t>
      </w:r>
      <w:proofErr w:type="gramStart"/>
      <w:r w:rsidR="000B0016" w:rsidRPr="002A6F51">
        <w:rPr>
          <w:rFonts w:ascii="Times New Roman" w:hAnsi="Times New Roman"/>
        </w:rPr>
        <w:t>in a given</w:t>
      </w:r>
      <w:proofErr w:type="gramEnd"/>
      <w:r w:rsidR="000B0016" w:rsidRPr="002A6F51">
        <w:rPr>
          <w:rFonts w:ascii="Times New Roman" w:hAnsi="Times New Roman"/>
        </w:rPr>
        <w:t xml:space="preserve"> case does not involve the reintroduction of the common form proviso</w:t>
      </w:r>
      <w:r w:rsidR="00372E28" w:rsidRPr="002A6F51">
        <w:rPr>
          <w:rFonts w:ascii="Times New Roman" w:hAnsi="Times New Roman"/>
        </w:rPr>
        <w:t>,</w:t>
      </w:r>
      <w:r w:rsidR="000B0016" w:rsidRPr="002A6F51">
        <w:rPr>
          <w:rFonts w:ascii="Times New Roman" w:hAnsi="Times New Roman"/>
        </w:rPr>
        <w:t xml:space="preserve"> nor does it impose some kind of onus</w:t>
      </w:r>
      <w:r w:rsidR="0007757D" w:rsidRPr="002A6F51">
        <w:rPr>
          <w:rFonts w:ascii="Times New Roman" w:hAnsi="Times New Roman"/>
        </w:rPr>
        <w:t xml:space="preserve"> on the appellant</w:t>
      </w:r>
      <w:r w:rsidR="000B0016" w:rsidRPr="002A6F51">
        <w:rPr>
          <w:rFonts w:ascii="Times New Roman" w:hAnsi="Times New Roman"/>
        </w:rPr>
        <w:t>. It merely acknowledges that an appella</w:t>
      </w:r>
      <w:r w:rsidR="008F39AE" w:rsidRPr="002A6F51">
        <w:rPr>
          <w:rFonts w:ascii="Times New Roman" w:hAnsi="Times New Roman"/>
        </w:rPr>
        <w:t xml:space="preserve">te court's satisfaction of inevitability is relevant to determining whether there has been a substantial </w:t>
      </w:r>
      <w:r w:rsidR="008F39AE" w:rsidRPr="002A6F51">
        <w:rPr>
          <w:rFonts w:ascii="Times New Roman" w:hAnsi="Times New Roman"/>
        </w:rPr>
        <w:lastRenderedPageBreak/>
        <w:t>miscarriage of justice</w:t>
      </w:r>
      <w:r w:rsidR="001774B3" w:rsidRPr="002A6F51">
        <w:rPr>
          <w:rStyle w:val="FootnoteReference"/>
          <w:rFonts w:ascii="Times New Roman" w:hAnsi="Times New Roman"/>
          <w:sz w:val="24"/>
        </w:rPr>
        <w:footnoteReference w:id="17"/>
      </w:r>
      <w:r w:rsidR="001774B3" w:rsidRPr="002A6F51">
        <w:rPr>
          <w:rFonts w:ascii="Times New Roman" w:hAnsi="Times New Roman"/>
        </w:rPr>
        <w:t>.</w:t>
      </w:r>
      <w:r w:rsidR="00B571E6" w:rsidRPr="002A6F51">
        <w:rPr>
          <w:rFonts w:ascii="Times New Roman" w:hAnsi="Times New Roman"/>
        </w:rPr>
        <w:t xml:space="preserve"> </w:t>
      </w:r>
      <w:r w:rsidR="00624975" w:rsidRPr="002A6F51">
        <w:rPr>
          <w:rFonts w:ascii="Times New Roman" w:hAnsi="Times New Roman"/>
        </w:rPr>
        <w:t xml:space="preserve">If it is submitted that a guilty verdict was inevitable, an appellant need not prove his or her innocence to meet the point. It will be sufficient for the </w:t>
      </w:r>
      <w:r w:rsidR="00930814" w:rsidRPr="002A6F51">
        <w:rPr>
          <w:rFonts w:ascii="Times New Roman" w:hAnsi="Times New Roman"/>
        </w:rPr>
        <w:t xml:space="preserve">appellant to show no more than that, had there been no error, the jury may have entertained a doubt as to his or her guilt. The respondent must then </w:t>
      </w:r>
      <w:r w:rsidR="00B571E6" w:rsidRPr="002A6F51">
        <w:rPr>
          <w:rFonts w:ascii="Times New Roman" w:hAnsi="Times New Roman"/>
        </w:rPr>
        <w:t xml:space="preserve">convince the court that </w:t>
      </w:r>
      <w:r w:rsidR="009539C2" w:rsidRPr="002A6F51">
        <w:rPr>
          <w:rFonts w:ascii="Times New Roman" w:hAnsi="Times New Roman"/>
        </w:rPr>
        <w:t>the appellant's conviction was inevitable</w:t>
      </w:r>
      <w:r w:rsidR="00DE0423" w:rsidRPr="002A6F51">
        <w:rPr>
          <w:rStyle w:val="FootnoteReference"/>
          <w:rFonts w:ascii="Times New Roman" w:hAnsi="Times New Roman"/>
          <w:sz w:val="24"/>
        </w:rPr>
        <w:footnoteReference w:id="18"/>
      </w:r>
      <w:r w:rsidR="009539C2" w:rsidRPr="002A6F51">
        <w:rPr>
          <w:rFonts w:ascii="Times New Roman" w:hAnsi="Times New Roman"/>
        </w:rPr>
        <w:t>.</w:t>
      </w:r>
    </w:p>
    <w:p w14:paraId="3B6DFB16" w14:textId="7984B049" w:rsidR="00C10EC8" w:rsidRPr="002A6F51" w:rsidRDefault="009539C2" w:rsidP="002A6F51">
      <w:pPr>
        <w:pStyle w:val="FixListStyle"/>
        <w:spacing w:after="260" w:line="280" w:lineRule="exact"/>
        <w:ind w:right="0"/>
        <w:jc w:val="both"/>
        <w:rPr>
          <w:rFonts w:ascii="Times New Roman" w:hAnsi="Times New Roman"/>
        </w:rPr>
      </w:pPr>
      <w:r w:rsidRPr="002A6F51">
        <w:rPr>
          <w:rFonts w:ascii="Times New Roman" w:hAnsi="Times New Roman"/>
        </w:rPr>
        <w:tab/>
        <w:t>The majority also observed</w:t>
      </w:r>
      <w:r w:rsidRPr="002A6F51">
        <w:rPr>
          <w:rStyle w:val="FootnoteReference"/>
          <w:rFonts w:ascii="Times New Roman" w:hAnsi="Times New Roman"/>
          <w:sz w:val="24"/>
        </w:rPr>
        <w:footnoteReference w:id="19"/>
      </w:r>
      <w:r w:rsidR="00C10EC8" w:rsidRPr="002A6F51">
        <w:rPr>
          <w:rFonts w:ascii="Times New Roman" w:hAnsi="Times New Roman"/>
        </w:rPr>
        <w:t xml:space="preserve"> that </w:t>
      </w:r>
      <w:r w:rsidR="001774B3" w:rsidRPr="002A6F51">
        <w:rPr>
          <w:rFonts w:ascii="Times New Roman" w:hAnsi="Times New Roman"/>
        </w:rPr>
        <w:t xml:space="preserve">in many cases </w:t>
      </w:r>
      <w:r w:rsidR="000D693E" w:rsidRPr="002A6F51">
        <w:rPr>
          <w:rFonts w:ascii="Times New Roman" w:hAnsi="Times New Roman"/>
        </w:rPr>
        <w:t xml:space="preserve">the appellate court will not be </w:t>
      </w:r>
      <w:proofErr w:type="gramStart"/>
      <w:r w:rsidR="000D693E" w:rsidRPr="002A6F51">
        <w:rPr>
          <w:rFonts w:ascii="Times New Roman" w:hAnsi="Times New Roman"/>
        </w:rPr>
        <w:t>in a position</w:t>
      </w:r>
      <w:proofErr w:type="gramEnd"/>
      <w:r w:rsidR="000D693E" w:rsidRPr="002A6F51">
        <w:rPr>
          <w:rFonts w:ascii="Times New Roman" w:hAnsi="Times New Roman"/>
        </w:rPr>
        <w:t xml:space="preserve"> to decide whether an appellant must have been convicted if the error ha</w:t>
      </w:r>
      <w:r w:rsidR="00BD2146" w:rsidRPr="002A6F51">
        <w:rPr>
          <w:rFonts w:ascii="Times New Roman" w:hAnsi="Times New Roman"/>
        </w:rPr>
        <w:t>d</w:t>
      </w:r>
      <w:r w:rsidR="000D693E" w:rsidRPr="002A6F51">
        <w:rPr>
          <w:rFonts w:ascii="Times New Roman" w:hAnsi="Times New Roman"/>
        </w:rPr>
        <w:t xml:space="preserve"> not been made. </w:t>
      </w:r>
      <w:r w:rsidR="00AC5AE0" w:rsidRPr="002A6F51">
        <w:rPr>
          <w:rFonts w:ascii="Times New Roman" w:hAnsi="Times New Roman"/>
        </w:rPr>
        <w:t>S</w:t>
      </w:r>
      <w:r w:rsidR="000D693E" w:rsidRPr="002A6F51">
        <w:rPr>
          <w:rFonts w:ascii="Times New Roman" w:hAnsi="Times New Roman"/>
        </w:rPr>
        <w:t>uch a con</w:t>
      </w:r>
      <w:r w:rsidR="00855373" w:rsidRPr="002A6F51">
        <w:rPr>
          <w:rFonts w:ascii="Times New Roman" w:hAnsi="Times New Roman"/>
        </w:rPr>
        <w:t xml:space="preserve">clusion may not be reached </w:t>
      </w:r>
      <w:r w:rsidR="00AC5AE0" w:rsidRPr="002A6F51">
        <w:rPr>
          <w:rFonts w:ascii="Times New Roman" w:hAnsi="Times New Roman"/>
        </w:rPr>
        <w:t xml:space="preserve">because of the </w:t>
      </w:r>
      <w:r w:rsidR="00855373" w:rsidRPr="002A6F51">
        <w:rPr>
          <w:rFonts w:ascii="Times New Roman" w:hAnsi="Times New Roman"/>
        </w:rPr>
        <w:t xml:space="preserve">nature of the error or irregularity and the "natural limitations" that </w:t>
      </w:r>
      <w:r w:rsidR="00306931" w:rsidRPr="002A6F51">
        <w:rPr>
          <w:rFonts w:ascii="Times New Roman" w:hAnsi="Times New Roman"/>
        </w:rPr>
        <w:t>attend an appellate court's task</w:t>
      </w:r>
      <w:r w:rsidR="00306931" w:rsidRPr="002A6F51">
        <w:rPr>
          <w:rStyle w:val="FootnoteReference"/>
          <w:rFonts w:ascii="Times New Roman" w:hAnsi="Times New Roman"/>
          <w:sz w:val="24"/>
        </w:rPr>
        <w:footnoteReference w:id="20"/>
      </w:r>
      <w:r w:rsidR="00915BEA" w:rsidRPr="002A6F51">
        <w:rPr>
          <w:rFonts w:ascii="Times New Roman" w:hAnsi="Times New Roman"/>
        </w:rPr>
        <w:t xml:space="preserve">. If it is said that a guilty verdict was inevitable, which is to say that a verdict of acquittal was not open, an appellate court must decide that question on the written record of the trial with the </w:t>
      </w:r>
      <w:r w:rsidR="009F2F68" w:rsidRPr="002A6F51">
        <w:rPr>
          <w:rFonts w:ascii="Times New Roman" w:hAnsi="Times New Roman"/>
        </w:rPr>
        <w:t>"</w:t>
      </w:r>
      <w:r w:rsidR="00915BEA" w:rsidRPr="002A6F51">
        <w:rPr>
          <w:rFonts w:ascii="Times New Roman" w:hAnsi="Times New Roman"/>
        </w:rPr>
        <w:t>natural limitations</w:t>
      </w:r>
      <w:r w:rsidR="00C65C3E" w:rsidRPr="002A6F51">
        <w:rPr>
          <w:rFonts w:ascii="Times New Roman" w:hAnsi="Times New Roman"/>
        </w:rPr>
        <w:t xml:space="preserve">" that exist in the case of an appellate court proceeding on that basis. In that regard the majority referred to </w:t>
      </w:r>
      <w:r w:rsidR="00C65C3E" w:rsidRPr="002A6F51">
        <w:rPr>
          <w:rFonts w:ascii="Times New Roman" w:hAnsi="Times New Roman"/>
          <w:i/>
          <w:iCs/>
        </w:rPr>
        <w:t>Fox v Percy</w:t>
      </w:r>
      <w:r w:rsidR="00C65C3E" w:rsidRPr="002A6F51">
        <w:rPr>
          <w:rStyle w:val="FootnoteReference"/>
          <w:rFonts w:ascii="Times New Roman" w:hAnsi="Times New Roman"/>
          <w:sz w:val="24"/>
        </w:rPr>
        <w:footnoteReference w:id="21"/>
      </w:r>
      <w:r w:rsidR="00504F51" w:rsidRPr="002A6F51">
        <w:rPr>
          <w:rFonts w:ascii="Times New Roman" w:hAnsi="Times New Roman"/>
          <w:i/>
          <w:iCs/>
        </w:rPr>
        <w:t xml:space="preserve">. </w:t>
      </w:r>
      <w:r w:rsidR="00504F51" w:rsidRPr="002A6F51">
        <w:rPr>
          <w:rFonts w:ascii="Times New Roman" w:hAnsi="Times New Roman"/>
        </w:rPr>
        <w:t>There it</w:t>
      </w:r>
      <w:r w:rsidR="00504F51" w:rsidRPr="002A6F51">
        <w:rPr>
          <w:rFonts w:ascii="Times New Roman" w:hAnsi="Times New Roman"/>
          <w:i/>
          <w:iCs/>
        </w:rPr>
        <w:t xml:space="preserve"> </w:t>
      </w:r>
      <w:r w:rsidR="00504F51" w:rsidRPr="002A6F51">
        <w:rPr>
          <w:rFonts w:ascii="Times New Roman" w:hAnsi="Times New Roman"/>
        </w:rPr>
        <w:t>was said that one such natural limitation is the disadvantage that an appellate court labours under in respect of the evaluation of the credibility of a witness.</w:t>
      </w:r>
    </w:p>
    <w:p w14:paraId="5BF31CD1" w14:textId="726BD315" w:rsidR="00056E46" w:rsidRPr="002A6F51" w:rsidRDefault="00056E46" w:rsidP="002A6F51">
      <w:pPr>
        <w:pStyle w:val="FixListStyle"/>
        <w:spacing w:after="260" w:line="280" w:lineRule="exact"/>
        <w:ind w:right="0"/>
        <w:jc w:val="both"/>
        <w:rPr>
          <w:rFonts w:ascii="Times New Roman" w:hAnsi="Times New Roman"/>
        </w:rPr>
      </w:pPr>
      <w:r w:rsidRPr="002A6F51">
        <w:rPr>
          <w:rFonts w:ascii="Times New Roman" w:hAnsi="Times New Roman"/>
        </w:rPr>
        <w:tab/>
        <w:t>It has never been disputed that the misdirection by the trial judge in this case was an error in th</w:t>
      </w:r>
      <w:r w:rsidR="003E442B" w:rsidRPr="002A6F51">
        <w:rPr>
          <w:rFonts w:ascii="Times New Roman" w:hAnsi="Times New Roman"/>
        </w:rPr>
        <w:t xml:space="preserve">e trial within the meaning of s 276(1)(b). No member of the </w:t>
      </w:r>
      <w:r w:rsidR="00BC4558" w:rsidRPr="002A6F51">
        <w:rPr>
          <w:rFonts w:ascii="Times New Roman" w:hAnsi="Times New Roman"/>
        </w:rPr>
        <w:t>Court of Appeal</w:t>
      </w:r>
      <w:r w:rsidR="003E442B" w:rsidRPr="002A6F51">
        <w:rPr>
          <w:rFonts w:ascii="Times New Roman" w:hAnsi="Times New Roman"/>
        </w:rPr>
        <w:t xml:space="preserve"> (Priest, </w:t>
      </w:r>
      <w:proofErr w:type="gramStart"/>
      <w:r w:rsidR="003E442B" w:rsidRPr="002A6F51">
        <w:rPr>
          <w:rFonts w:ascii="Times New Roman" w:hAnsi="Times New Roman"/>
        </w:rPr>
        <w:t>McLeish</w:t>
      </w:r>
      <w:proofErr w:type="gramEnd"/>
      <w:r w:rsidR="003E442B" w:rsidRPr="002A6F51">
        <w:rPr>
          <w:rFonts w:ascii="Times New Roman" w:hAnsi="Times New Roman"/>
        </w:rPr>
        <w:t xml:space="preserve"> and Niall JJA) accepted that it was of a fundamental kind which of its nature meant that the trial </w:t>
      </w:r>
      <w:r w:rsidR="006019BB" w:rsidRPr="002A6F51">
        <w:rPr>
          <w:rFonts w:ascii="Times New Roman" w:hAnsi="Times New Roman"/>
        </w:rPr>
        <w:t xml:space="preserve">substantially </w:t>
      </w:r>
      <w:r w:rsidR="003E442B" w:rsidRPr="002A6F51">
        <w:rPr>
          <w:rFonts w:ascii="Times New Roman" w:hAnsi="Times New Roman"/>
        </w:rPr>
        <w:t xml:space="preserve">miscarried. But their Honours </w:t>
      </w:r>
      <w:r w:rsidR="006019BB" w:rsidRPr="002A6F51">
        <w:rPr>
          <w:rFonts w:ascii="Times New Roman" w:hAnsi="Times New Roman"/>
        </w:rPr>
        <w:t xml:space="preserve">divided </w:t>
      </w:r>
      <w:r w:rsidR="00F11F38" w:rsidRPr="002A6F51">
        <w:rPr>
          <w:rFonts w:ascii="Times New Roman" w:hAnsi="Times New Roman"/>
        </w:rPr>
        <w:t>on the question of the possible effect of the misdirection.</w:t>
      </w:r>
    </w:p>
    <w:p w14:paraId="33CC1102" w14:textId="0D5979D7" w:rsidR="00F11F38" w:rsidRPr="002A6F51" w:rsidRDefault="00F11F38" w:rsidP="002A6F51">
      <w:pPr>
        <w:pStyle w:val="FixListStyle"/>
        <w:spacing w:after="260" w:line="280" w:lineRule="exact"/>
        <w:ind w:right="0"/>
        <w:jc w:val="both"/>
        <w:rPr>
          <w:rFonts w:ascii="Times New Roman" w:hAnsi="Times New Roman"/>
        </w:rPr>
      </w:pPr>
      <w:r w:rsidRPr="002A6F51">
        <w:rPr>
          <w:rFonts w:ascii="Times New Roman" w:hAnsi="Times New Roman"/>
        </w:rPr>
        <w:tab/>
        <w:t>In the view of McLeish and Niall JJA, the nature of the error or irreg</w:t>
      </w:r>
      <w:r w:rsidR="00AE0D83" w:rsidRPr="002A6F51">
        <w:rPr>
          <w:rFonts w:ascii="Times New Roman" w:hAnsi="Times New Roman"/>
        </w:rPr>
        <w:t xml:space="preserve">ularity may be such that it made no difference to the trial. It may be possible in some cases </w:t>
      </w:r>
      <w:r w:rsidR="00A41680" w:rsidRPr="002A6F51">
        <w:rPr>
          <w:rFonts w:ascii="Times New Roman" w:hAnsi="Times New Roman"/>
        </w:rPr>
        <w:t>to determine whether that is so without assessing the whole of the record of the trial</w:t>
      </w:r>
      <w:r w:rsidR="00A41680" w:rsidRPr="002A6F51">
        <w:rPr>
          <w:rStyle w:val="FootnoteReference"/>
          <w:rFonts w:ascii="Times New Roman" w:hAnsi="Times New Roman"/>
          <w:sz w:val="24"/>
        </w:rPr>
        <w:footnoteReference w:id="22"/>
      </w:r>
      <w:r w:rsidR="00BF34AD" w:rsidRPr="002A6F51">
        <w:rPr>
          <w:rFonts w:ascii="Times New Roman" w:hAnsi="Times New Roman"/>
        </w:rPr>
        <w:t>. Consideration could be given as a preliminary matter to identifying how the direction may have affected the outcome of the trial when the issue of in</w:t>
      </w:r>
      <w:r w:rsidR="00EA5C44" w:rsidRPr="002A6F51">
        <w:rPr>
          <w:rFonts w:ascii="Times New Roman" w:hAnsi="Times New Roman"/>
        </w:rPr>
        <w:t xml:space="preserve">evitability </w:t>
      </w:r>
      <w:r w:rsidR="00EA5C44" w:rsidRPr="002A6F51">
        <w:rPr>
          <w:rFonts w:ascii="Times New Roman" w:hAnsi="Times New Roman"/>
        </w:rPr>
        <w:lastRenderedPageBreak/>
        <w:t>is raised</w:t>
      </w:r>
      <w:r w:rsidR="00EA5C44" w:rsidRPr="002A6F51">
        <w:rPr>
          <w:rStyle w:val="FootnoteReference"/>
          <w:rFonts w:ascii="Times New Roman" w:hAnsi="Times New Roman"/>
          <w:sz w:val="24"/>
        </w:rPr>
        <w:footnoteReference w:id="23"/>
      </w:r>
      <w:r w:rsidR="00EA5C44" w:rsidRPr="002A6F51">
        <w:rPr>
          <w:rFonts w:ascii="Times New Roman" w:hAnsi="Times New Roman"/>
        </w:rPr>
        <w:t xml:space="preserve">. There will be cases where the departure from a </w:t>
      </w:r>
      <w:r w:rsidR="001D4C14" w:rsidRPr="002A6F51">
        <w:rPr>
          <w:rFonts w:ascii="Times New Roman" w:hAnsi="Times New Roman"/>
        </w:rPr>
        <w:t xml:space="preserve">trial </w:t>
      </w:r>
      <w:r w:rsidR="00EA5C44" w:rsidRPr="002A6F51">
        <w:rPr>
          <w:rFonts w:ascii="Times New Roman" w:hAnsi="Times New Roman"/>
        </w:rPr>
        <w:t>according to law was "innocuous"</w:t>
      </w:r>
      <w:r w:rsidR="001D4C14" w:rsidRPr="002A6F51">
        <w:rPr>
          <w:rFonts w:ascii="Times New Roman" w:hAnsi="Times New Roman"/>
        </w:rPr>
        <w:t>,</w:t>
      </w:r>
      <w:r w:rsidR="00EA5C44" w:rsidRPr="002A6F51">
        <w:rPr>
          <w:rFonts w:ascii="Times New Roman" w:hAnsi="Times New Roman"/>
        </w:rPr>
        <w:t xml:space="preserve"> in the sense that it could </w:t>
      </w:r>
      <w:r w:rsidR="00C124AD" w:rsidRPr="002A6F51">
        <w:rPr>
          <w:rFonts w:ascii="Times New Roman" w:hAnsi="Times New Roman"/>
        </w:rPr>
        <w:t>have occasioned no real forensic disadvantage to the appellant</w:t>
      </w:r>
      <w:r w:rsidR="00C124AD" w:rsidRPr="002A6F51">
        <w:rPr>
          <w:rStyle w:val="FootnoteReference"/>
          <w:rFonts w:ascii="Times New Roman" w:hAnsi="Times New Roman"/>
          <w:sz w:val="24"/>
        </w:rPr>
        <w:footnoteReference w:id="24"/>
      </w:r>
      <w:r w:rsidR="00721E67" w:rsidRPr="002A6F51">
        <w:rPr>
          <w:rFonts w:ascii="Times New Roman" w:hAnsi="Times New Roman"/>
        </w:rPr>
        <w:t>.</w:t>
      </w:r>
    </w:p>
    <w:p w14:paraId="3C64E776" w14:textId="67C1FE39" w:rsidR="00721E67" w:rsidRPr="002A6F51" w:rsidRDefault="00721E67" w:rsidP="002A6F51">
      <w:pPr>
        <w:pStyle w:val="FixListStyle"/>
        <w:spacing w:after="260" w:line="280" w:lineRule="exact"/>
        <w:ind w:right="0"/>
        <w:jc w:val="both"/>
        <w:rPr>
          <w:rFonts w:ascii="Times New Roman" w:hAnsi="Times New Roman"/>
        </w:rPr>
      </w:pPr>
      <w:r w:rsidRPr="002A6F51">
        <w:rPr>
          <w:rFonts w:ascii="Times New Roman" w:hAnsi="Times New Roman"/>
        </w:rPr>
        <w:tab/>
        <w:t>The issue, their Honours observed</w:t>
      </w:r>
      <w:r w:rsidRPr="002A6F51">
        <w:rPr>
          <w:rStyle w:val="FootnoteReference"/>
          <w:rFonts w:ascii="Times New Roman" w:hAnsi="Times New Roman"/>
          <w:sz w:val="24"/>
        </w:rPr>
        <w:footnoteReference w:id="25"/>
      </w:r>
      <w:r w:rsidRPr="002A6F51">
        <w:rPr>
          <w:rFonts w:ascii="Times New Roman" w:hAnsi="Times New Roman"/>
        </w:rPr>
        <w:t>, is whether the misdirection had the capacity to direct or encourage the jury to reason in a particular way</w:t>
      </w:r>
      <w:r w:rsidR="0052590C" w:rsidRPr="002A6F51">
        <w:rPr>
          <w:rFonts w:ascii="Times New Roman" w:hAnsi="Times New Roman"/>
        </w:rPr>
        <w:t xml:space="preserve"> </w:t>
      </w:r>
      <w:r w:rsidR="003E5E20" w:rsidRPr="002A6F51">
        <w:rPr>
          <w:rFonts w:ascii="Times New Roman" w:hAnsi="Times New Roman"/>
        </w:rPr>
        <w:t xml:space="preserve">or from a particular standpoint </w:t>
      </w:r>
      <w:r w:rsidR="0052590C" w:rsidRPr="002A6F51">
        <w:rPr>
          <w:rFonts w:ascii="Times New Roman" w:hAnsi="Times New Roman"/>
        </w:rPr>
        <w:t>which they may not have adopted had the direction not been given</w:t>
      </w:r>
      <w:r w:rsidRPr="002A6F51">
        <w:rPr>
          <w:rFonts w:ascii="Times New Roman" w:hAnsi="Times New Roman"/>
        </w:rPr>
        <w:t xml:space="preserve">. Their Honours accepted that, in a </w:t>
      </w:r>
      <w:r w:rsidR="00B65B3F" w:rsidRPr="002A6F51">
        <w:rPr>
          <w:rFonts w:ascii="Times New Roman" w:hAnsi="Times New Roman"/>
        </w:rPr>
        <w:t>criminal trial, framing the issue as one of guilt or innocence might distract attention from the real issue, namely whether the prosecution has discharged its burden of proof</w:t>
      </w:r>
      <w:r w:rsidR="00C6389B" w:rsidRPr="002A6F51">
        <w:rPr>
          <w:rFonts w:ascii="Times New Roman" w:hAnsi="Times New Roman"/>
        </w:rPr>
        <w:t xml:space="preserve"> to the requisite standard</w:t>
      </w:r>
      <w:r w:rsidR="00C6389B" w:rsidRPr="002A6F51">
        <w:rPr>
          <w:rStyle w:val="FootnoteReference"/>
          <w:rFonts w:ascii="Times New Roman" w:hAnsi="Times New Roman"/>
          <w:sz w:val="24"/>
        </w:rPr>
        <w:footnoteReference w:id="26"/>
      </w:r>
      <w:r w:rsidR="00C6389B" w:rsidRPr="002A6F51">
        <w:rPr>
          <w:rFonts w:ascii="Times New Roman" w:hAnsi="Times New Roman"/>
        </w:rPr>
        <w:t>. But their Honours considered that the direction given provided two alternative explanations for an accused giving evidence</w:t>
      </w:r>
      <w:r w:rsidR="00F23EEE" w:rsidRPr="002A6F51">
        <w:rPr>
          <w:rFonts w:ascii="Times New Roman" w:hAnsi="Times New Roman"/>
        </w:rPr>
        <w:t>,</w:t>
      </w:r>
      <w:r w:rsidR="00C6389B" w:rsidRPr="002A6F51">
        <w:rPr>
          <w:rFonts w:ascii="Times New Roman" w:hAnsi="Times New Roman"/>
        </w:rPr>
        <w:t xml:space="preserve"> but it did not provide a basis for the jury to assume which of the two might apply. The jury were not </w:t>
      </w:r>
      <w:r w:rsidR="009A1D4F" w:rsidRPr="002A6F51">
        <w:rPr>
          <w:rFonts w:ascii="Times New Roman" w:hAnsi="Times New Roman"/>
        </w:rPr>
        <w:t xml:space="preserve">distracted </w:t>
      </w:r>
      <w:r w:rsidR="00C6389B" w:rsidRPr="002A6F51">
        <w:rPr>
          <w:rFonts w:ascii="Times New Roman" w:hAnsi="Times New Roman"/>
        </w:rPr>
        <w:t>from their task</w:t>
      </w:r>
      <w:r w:rsidR="00C6389B" w:rsidRPr="002A6F51">
        <w:rPr>
          <w:rStyle w:val="FootnoteReference"/>
          <w:rFonts w:ascii="Times New Roman" w:hAnsi="Times New Roman"/>
          <w:sz w:val="24"/>
        </w:rPr>
        <w:footnoteReference w:id="27"/>
      </w:r>
      <w:r w:rsidR="00D83C3F" w:rsidRPr="002A6F51">
        <w:rPr>
          <w:rFonts w:ascii="Times New Roman" w:hAnsi="Times New Roman"/>
        </w:rPr>
        <w:t>.</w:t>
      </w:r>
    </w:p>
    <w:p w14:paraId="61FBADF5" w14:textId="4438316D" w:rsidR="000D6A10" w:rsidRPr="002A6F51" w:rsidRDefault="000D6A10" w:rsidP="002A6F51">
      <w:pPr>
        <w:pStyle w:val="FixListStyle"/>
        <w:spacing w:after="260" w:line="280" w:lineRule="exact"/>
        <w:ind w:right="0"/>
        <w:jc w:val="both"/>
        <w:rPr>
          <w:rFonts w:ascii="Times New Roman" w:hAnsi="Times New Roman"/>
        </w:rPr>
      </w:pPr>
      <w:r w:rsidRPr="002A6F51">
        <w:rPr>
          <w:rFonts w:ascii="Times New Roman" w:hAnsi="Times New Roman"/>
        </w:rPr>
        <w:tab/>
        <w:t>Priest JA dissented. In his Honour's view a direction of this kind has the real potential to undermine the presumption of innocence and deflect the jury from applying the requisite onus of proof</w:t>
      </w:r>
      <w:r w:rsidRPr="002A6F51">
        <w:rPr>
          <w:rStyle w:val="FootnoteReference"/>
          <w:rFonts w:ascii="Times New Roman" w:hAnsi="Times New Roman"/>
          <w:sz w:val="24"/>
        </w:rPr>
        <w:footnoteReference w:id="28"/>
      </w:r>
      <w:r w:rsidRPr="002A6F51">
        <w:rPr>
          <w:rFonts w:ascii="Times New Roman" w:hAnsi="Times New Roman"/>
        </w:rPr>
        <w:t xml:space="preserve">. It had the </w:t>
      </w:r>
      <w:r w:rsidR="006A195B" w:rsidRPr="002A6F51">
        <w:rPr>
          <w:rFonts w:ascii="Times New Roman" w:hAnsi="Times New Roman"/>
        </w:rPr>
        <w:t>potential to taint the jury's consideration and evaluation of Mr </w:t>
      </w:r>
      <w:proofErr w:type="spellStart"/>
      <w:r w:rsidR="006A195B" w:rsidRPr="002A6F51">
        <w:rPr>
          <w:rFonts w:ascii="Times New Roman" w:hAnsi="Times New Roman"/>
        </w:rPr>
        <w:t>Tambakakis</w:t>
      </w:r>
      <w:proofErr w:type="spellEnd"/>
      <w:r w:rsidR="006A195B" w:rsidRPr="002A6F51">
        <w:rPr>
          <w:rFonts w:ascii="Times New Roman" w:hAnsi="Times New Roman"/>
        </w:rPr>
        <w:t>' evidence, thereby undermining his defence. His Honour was unable to conclude that, absent the giving of the prohibited direction, Mr </w:t>
      </w:r>
      <w:proofErr w:type="spellStart"/>
      <w:r w:rsidR="006A195B" w:rsidRPr="002A6F51">
        <w:rPr>
          <w:rFonts w:ascii="Times New Roman" w:hAnsi="Times New Roman"/>
        </w:rPr>
        <w:t>Awad's</w:t>
      </w:r>
      <w:proofErr w:type="spellEnd"/>
      <w:r w:rsidR="006A195B" w:rsidRPr="002A6F51">
        <w:rPr>
          <w:rFonts w:ascii="Times New Roman" w:hAnsi="Times New Roman"/>
        </w:rPr>
        <w:t xml:space="preserve"> conviction was inev</w:t>
      </w:r>
      <w:r w:rsidR="003616C8" w:rsidRPr="002A6F51">
        <w:rPr>
          <w:rFonts w:ascii="Times New Roman" w:hAnsi="Times New Roman"/>
        </w:rPr>
        <w:t>itable</w:t>
      </w:r>
      <w:r w:rsidR="003616C8" w:rsidRPr="002A6F51">
        <w:rPr>
          <w:rStyle w:val="FootnoteReference"/>
          <w:rFonts w:ascii="Times New Roman" w:hAnsi="Times New Roman"/>
          <w:sz w:val="24"/>
        </w:rPr>
        <w:footnoteReference w:id="29"/>
      </w:r>
      <w:r w:rsidR="003616C8" w:rsidRPr="002A6F51">
        <w:rPr>
          <w:rFonts w:ascii="Times New Roman" w:hAnsi="Times New Roman"/>
        </w:rPr>
        <w:t>.</w:t>
      </w:r>
    </w:p>
    <w:p w14:paraId="663F17DF" w14:textId="1B8C2F11" w:rsidR="003616C8" w:rsidRPr="002A6F51" w:rsidRDefault="003616C8" w:rsidP="002A6F51">
      <w:pPr>
        <w:pStyle w:val="FixListStyle"/>
        <w:spacing w:after="260" w:line="280" w:lineRule="exact"/>
        <w:ind w:right="0"/>
        <w:jc w:val="both"/>
        <w:rPr>
          <w:rFonts w:ascii="Times New Roman" w:hAnsi="Times New Roman"/>
        </w:rPr>
      </w:pPr>
      <w:r w:rsidRPr="002A6F51">
        <w:rPr>
          <w:rFonts w:ascii="Times New Roman" w:hAnsi="Times New Roman"/>
        </w:rPr>
        <w:tab/>
        <w:t>It will be recalled that Mr </w:t>
      </w:r>
      <w:proofErr w:type="spellStart"/>
      <w:r w:rsidRPr="002A6F51">
        <w:rPr>
          <w:rFonts w:ascii="Times New Roman" w:hAnsi="Times New Roman"/>
        </w:rPr>
        <w:t>Tambakakis</w:t>
      </w:r>
      <w:proofErr w:type="spellEnd"/>
      <w:r w:rsidRPr="002A6F51">
        <w:rPr>
          <w:rFonts w:ascii="Times New Roman" w:hAnsi="Times New Roman"/>
        </w:rPr>
        <w:t xml:space="preserve">' defence was that he believed that the substance in the consignment was steroids. </w:t>
      </w:r>
      <w:r w:rsidR="00FD569D" w:rsidRPr="002A6F51">
        <w:rPr>
          <w:rFonts w:ascii="Times New Roman" w:hAnsi="Times New Roman"/>
        </w:rPr>
        <w:t>H</w:t>
      </w:r>
      <w:r w:rsidRPr="002A6F51">
        <w:rPr>
          <w:rFonts w:ascii="Times New Roman" w:hAnsi="Times New Roman"/>
        </w:rPr>
        <w:t>is evidence, that Mr </w:t>
      </w:r>
      <w:proofErr w:type="spellStart"/>
      <w:r w:rsidRPr="002A6F51">
        <w:rPr>
          <w:rFonts w:ascii="Times New Roman" w:hAnsi="Times New Roman"/>
        </w:rPr>
        <w:t>Awad</w:t>
      </w:r>
      <w:proofErr w:type="spellEnd"/>
      <w:r w:rsidRPr="002A6F51">
        <w:rPr>
          <w:rFonts w:ascii="Times New Roman" w:hAnsi="Times New Roman"/>
        </w:rPr>
        <w:t xml:space="preserve"> did not enter the van containing the substance (</w:t>
      </w:r>
      <w:proofErr w:type="gramStart"/>
      <w:r w:rsidRPr="002A6F51">
        <w:rPr>
          <w:rFonts w:ascii="Times New Roman" w:hAnsi="Times New Roman"/>
        </w:rPr>
        <w:t>and</w:t>
      </w:r>
      <w:r w:rsidR="00EC1D1C" w:rsidRPr="002A6F51">
        <w:rPr>
          <w:rFonts w:ascii="Times New Roman" w:hAnsi="Times New Roman"/>
        </w:rPr>
        <w:t>,</w:t>
      </w:r>
      <w:proofErr w:type="gramEnd"/>
      <w:r w:rsidRPr="002A6F51">
        <w:rPr>
          <w:rFonts w:ascii="Times New Roman" w:hAnsi="Times New Roman"/>
        </w:rPr>
        <w:t xml:space="preserve"> it would follow</w:t>
      </w:r>
      <w:r w:rsidR="00EC1D1C" w:rsidRPr="002A6F51">
        <w:rPr>
          <w:rFonts w:ascii="Times New Roman" w:hAnsi="Times New Roman"/>
        </w:rPr>
        <w:t xml:space="preserve">, that Mr </w:t>
      </w:r>
      <w:proofErr w:type="spellStart"/>
      <w:r w:rsidR="00EC1D1C" w:rsidRPr="002A6F51">
        <w:rPr>
          <w:rFonts w:ascii="Times New Roman" w:hAnsi="Times New Roman"/>
        </w:rPr>
        <w:t>Awad</w:t>
      </w:r>
      <w:proofErr w:type="spellEnd"/>
      <w:r w:rsidR="00EC1D1C" w:rsidRPr="002A6F51">
        <w:rPr>
          <w:rFonts w:ascii="Times New Roman" w:hAnsi="Times New Roman"/>
        </w:rPr>
        <w:t xml:space="preserve"> did not</w:t>
      </w:r>
      <w:r w:rsidRPr="002A6F51">
        <w:rPr>
          <w:rFonts w:ascii="Times New Roman" w:hAnsi="Times New Roman"/>
        </w:rPr>
        <w:t xml:space="preserve"> participate in its unloading)</w:t>
      </w:r>
      <w:r w:rsidR="000E72A1" w:rsidRPr="002A6F51">
        <w:rPr>
          <w:rFonts w:ascii="Times New Roman" w:hAnsi="Times New Roman"/>
        </w:rPr>
        <w:t xml:space="preserve">, if accepted, </w:t>
      </w:r>
      <w:r w:rsidR="00DF54B7" w:rsidRPr="002A6F51">
        <w:rPr>
          <w:rFonts w:ascii="Times New Roman" w:hAnsi="Times New Roman"/>
        </w:rPr>
        <w:t xml:space="preserve">could seriously affect </w:t>
      </w:r>
      <w:r w:rsidR="000E72A1" w:rsidRPr="002A6F51">
        <w:rPr>
          <w:rFonts w:ascii="Times New Roman" w:hAnsi="Times New Roman"/>
        </w:rPr>
        <w:t xml:space="preserve">the prosecution case </w:t>
      </w:r>
      <w:r w:rsidR="00BB34EE" w:rsidRPr="002A6F51">
        <w:rPr>
          <w:rFonts w:ascii="Times New Roman" w:hAnsi="Times New Roman"/>
        </w:rPr>
        <w:t xml:space="preserve">against Mr </w:t>
      </w:r>
      <w:proofErr w:type="spellStart"/>
      <w:r w:rsidR="00BB34EE" w:rsidRPr="002A6F51">
        <w:rPr>
          <w:rFonts w:ascii="Times New Roman" w:hAnsi="Times New Roman"/>
        </w:rPr>
        <w:t>Awad</w:t>
      </w:r>
      <w:proofErr w:type="spellEnd"/>
      <w:r w:rsidR="00BB34EE" w:rsidRPr="002A6F51">
        <w:rPr>
          <w:rFonts w:ascii="Times New Roman" w:hAnsi="Times New Roman"/>
        </w:rPr>
        <w:t xml:space="preserve"> </w:t>
      </w:r>
      <w:r w:rsidR="000E72A1" w:rsidRPr="002A6F51">
        <w:rPr>
          <w:rFonts w:ascii="Times New Roman" w:hAnsi="Times New Roman"/>
        </w:rPr>
        <w:t>o</w:t>
      </w:r>
      <w:r w:rsidR="00DF54B7" w:rsidRPr="002A6F51">
        <w:rPr>
          <w:rFonts w:ascii="Times New Roman" w:hAnsi="Times New Roman"/>
        </w:rPr>
        <w:t>n</w:t>
      </w:r>
      <w:r w:rsidR="000E72A1" w:rsidRPr="002A6F51">
        <w:rPr>
          <w:rFonts w:ascii="Times New Roman" w:hAnsi="Times New Roman"/>
        </w:rPr>
        <w:t xml:space="preserve"> possession. Mr </w:t>
      </w:r>
      <w:proofErr w:type="spellStart"/>
      <w:r w:rsidR="000E72A1" w:rsidRPr="002A6F51">
        <w:rPr>
          <w:rFonts w:ascii="Times New Roman" w:hAnsi="Times New Roman"/>
        </w:rPr>
        <w:t>Tambakakis</w:t>
      </w:r>
      <w:proofErr w:type="spellEnd"/>
      <w:r w:rsidR="000E72A1" w:rsidRPr="002A6F51">
        <w:rPr>
          <w:rFonts w:ascii="Times New Roman" w:hAnsi="Times New Roman"/>
        </w:rPr>
        <w:t>' credibility was critical to the jury's evaluation of the evidence and the outcome of the case</w:t>
      </w:r>
      <w:r w:rsidR="00BB34EE" w:rsidRPr="002A6F51">
        <w:rPr>
          <w:rFonts w:ascii="Times New Roman" w:hAnsi="Times New Roman"/>
        </w:rPr>
        <w:t xml:space="preserve"> against both Mr</w:t>
      </w:r>
      <w:r w:rsidR="00816EEC" w:rsidRPr="002A6F51">
        <w:rPr>
          <w:rFonts w:ascii="Times New Roman" w:hAnsi="Times New Roman"/>
        </w:rPr>
        <w:t> </w:t>
      </w:r>
      <w:proofErr w:type="spellStart"/>
      <w:r w:rsidR="00BB34EE" w:rsidRPr="002A6F51">
        <w:rPr>
          <w:rFonts w:ascii="Times New Roman" w:hAnsi="Times New Roman"/>
        </w:rPr>
        <w:t>Tambakakis</w:t>
      </w:r>
      <w:proofErr w:type="spellEnd"/>
      <w:r w:rsidR="00BB34EE" w:rsidRPr="002A6F51">
        <w:rPr>
          <w:rFonts w:ascii="Times New Roman" w:hAnsi="Times New Roman"/>
        </w:rPr>
        <w:t xml:space="preserve"> and Mr </w:t>
      </w:r>
      <w:proofErr w:type="spellStart"/>
      <w:r w:rsidR="00BB34EE" w:rsidRPr="002A6F51">
        <w:rPr>
          <w:rFonts w:ascii="Times New Roman" w:hAnsi="Times New Roman"/>
        </w:rPr>
        <w:t>Awad</w:t>
      </w:r>
      <w:proofErr w:type="spellEnd"/>
      <w:r w:rsidR="000E72A1" w:rsidRPr="002A6F51">
        <w:rPr>
          <w:rFonts w:ascii="Times New Roman" w:hAnsi="Times New Roman"/>
        </w:rPr>
        <w:t>.</w:t>
      </w:r>
    </w:p>
    <w:p w14:paraId="3D948865" w14:textId="545C6C12" w:rsidR="000E72A1" w:rsidRPr="002A6F51" w:rsidRDefault="000E72A1" w:rsidP="002A6F51">
      <w:pPr>
        <w:pStyle w:val="FixListStyle"/>
        <w:spacing w:after="260" w:line="280" w:lineRule="exact"/>
        <w:ind w:right="0"/>
        <w:jc w:val="both"/>
        <w:rPr>
          <w:rFonts w:ascii="Times New Roman" w:hAnsi="Times New Roman"/>
        </w:rPr>
      </w:pPr>
      <w:r w:rsidRPr="002A6F51">
        <w:rPr>
          <w:rFonts w:ascii="Times New Roman" w:hAnsi="Times New Roman"/>
        </w:rPr>
        <w:lastRenderedPageBreak/>
        <w:tab/>
      </w:r>
      <w:r w:rsidR="00BB1483" w:rsidRPr="002A6F51">
        <w:rPr>
          <w:rFonts w:ascii="Times New Roman" w:hAnsi="Times New Roman"/>
        </w:rPr>
        <w:t xml:space="preserve">The concerns of Priest JA </w:t>
      </w:r>
      <w:r w:rsidR="00FA2E5F" w:rsidRPr="002A6F51">
        <w:rPr>
          <w:rFonts w:ascii="Times New Roman" w:hAnsi="Times New Roman"/>
        </w:rPr>
        <w:t xml:space="preserve">as to </w:t>
      </w:r>
      <w:r w:rsidR="00BB1483" w:rsidRPr="002A6F51">
        <w:rPr>
          <w:rFonts w:ascii="Times New Roman" w:hAnsi="Times New Roman"/>
        </w:rPr>
        <w:t xml:space="preserve">the effects upon the presumption of innocence and the onus of </w:t>
      </w:r>
      <w:r w:rsidR="00FA2E5F" w:rsidRPr="002A6F51">
        <w:rPr>
          <w:rFonts w:ascii="Times New Roman" w:hAnsi="Times New Roman"/>
        </w:rPr>
        <w:t>proof</w:t>
      </w:r>
      <w:r w:rsidR="009925DA" w:rsidRPr="002A6F51">
        <w:rPr>
          <w:rFonts w:ascii="Times New Roman" w:hAnsi="Times New Roman"/>
        </w:rPr>
        <w:t>,</w:t>
      </w:r>
      <w:r w:rsidR="00FA2E5F" w:rsidRPr="002A6F51">
        <w:rPr>
          <w:rFonts w:ascii="Times New Roman" w:hAnsi="Times New Roman"/>
        </w:rPr>
        <w:t xml:space="preserve"> </w:t>
      </w:r>
      <w:r w:rsidR="00BB1483" w:rsidRPr="002A6F51">
        <w:rPr>
          <w:rFonts w:ascii="Times New Roman" w:hAnsi="Times New Roman"/>
        </w:rPr>
        <w:t>which are essential to a criminal trial</w:t>
      </w:r>
      <w:r w:rsidR="009925DA" w:rsidRPr="002A6F51">
        <w:rPr>
          <w:rFonts w:ascii="Times New Roman" w:hAnsi="Times New Roman"/>
        </w:rPr>
        <w:t>,</w:t>
      </w:r>
      <w:r w:rsidR="00BB1483" w:rsidRPr="002A6F51">
        <w:rPr>
          <w:rFonts w:ascii="Times New Roman" w:hAnsi="Times New Roman"/>
        </w:rPr>
        <w:t xml:space="preserve"> are clearly well</w:t>
      </w:r>
      <w:r w:rsidR="008E7705" w:rsidRPr="002A6F51">
        <w:rPr>
          <w:rFonts w:ascii="Times New Roman" w:hAnsi="Times New Roman"/>
        </w:rPr>
        <w:t xml:space="preserve"> </w:t>
      </w:r>
      <w:r w:rsidR="00524B38" w:rsidRPr="002A6F51">
        <w:rPr>
          <w:rFonts w:ascii="Times New Roman" w:hAnsi="Times New Roman"/>
        </w:rPr>
        <w:t>founded. The jury were invited to come to a view about Mr </w:t>
      </w:r>
      <w:proofErr w:type="spellStart"/>
      <w:r w:rsidR="00524B38" w:rsidRPr="002A6F51">
        <w:rPr>
          <w:rFonts w:ascii="Times New Roman" w:hAnsi="Times New Roman"/>
        </w:rPr>
        <w:t>Tambakakis</w:t>
      </w:r>
      <w:proofErr w:type="spellEnd"/>
      <w:r w:rsidR="00524B38" w:rsidRPr="002A6F51">
        <w:rPr>
          <w:rFonts w:ascii="Times New Roman" w:hAnsi="Times New Roman"/>
        </w:rPr>
        <w:t>' motivation to give evidence. The choice given</w:t>
      </w:r>
      <w:r w:rsidR="00352D0B" w:rsidRPr="002A6F51">
        <w:rPr>
          <w:rFonts w:ascii="Times New Roman" w:hAnsi="Times New Roman"/>
        </w:rPr>
        <w:t xml:space="preserve"> –</w:t>
      </w:r>
      <w:r w:rsidR="00524B38" w:rsidRPr="002A6F51">
        <w:rPr>
          <w:rFonts w:ascii="Times New Roman" w:hAnsi="Times New Roman"/>
        </w:rPr>
        <w:t xml:space="preserve"> to identify that motive </w:t>
      </w:r>
      <w:r w:rsidR="003251A6" w:rsidRPr="002A6F51">
        <w:rPr>
          <w:rFonts w:ascii="Times New Roman" w:hAnsi="Times New Roman"/>
        </w:rPr>
        <w:t xml:space="preserve">as one of </w:t>
      </w:r>
      <w:r w:rsidR="00A2581D" w:rsidRPr="002A6F51">
        <w:rPr>
          <w:rFonts w:ascii="Times New Roman" w:hAnsi="Times New Roman"/>
        </w:rPr>
        <w:t xml:space="preserve">a </w:t>
      </w:r>
      <w:r w:rsidR="003251A6" w:rsidRPr="002A6F51">
        <w:rPr>
          <w:rFonts w:ascii="Times New Roman" w:hAnsi="Times New Roman"/>
        </w:rPr>
        <w:t>"guilty person" who decided to "tou</w:t>
      </w:r>
      <w:r w:rsidR="00FA2E5F" w:rsidRPr="002A6F51">
        <w:rPr>
          <w:rFonts w:ascii="Times New Roman" w:hAnsi="Times New Roman"/>
        </w:rPr>
        <w:t>gh</w:t>
      </w:r>
      <w:r w:rsidR="003251A6" w:rsidRPr="002A6F51">
        <w:rPr>
          <w:rFonts w:ascii="Times New Roman" w:hAnsi="Times New Roman"/>
        </w:rPr>
        <w:t xml:space="preserve"> out cross</w:t>
      </w:r>
      <w:r w:rsidR="003251A6" w:rsidRPr="002A6F51">
        <w:rPr>
          <w:rFonts w:ascii="Times New Roman" w:hAnsi="Times New Roman"/>
        </w:rPr>
        <w:noBreakHyphen/>
        <w:t>examination in the hope or belief that he will be more likely to be believed and his defence accepted if he takes the risk of giving evidence"</w:t>
      </w:r>
      <w:r w:rsidR="00352D0B" w:rsidRPr="002A6F51">
        <w:rPr>
          <w:rFonts w:ascii="Times New Roman" w:hAnsi="Times New Roman"/>
        </w:rPr>
        <w:t xml:space="preserve"> –</w:t>
      </w:r>
      <w:r w:rsidR="00580111" w:rsidRPr="002A6F51">
        <w:rPr>
          <w:rFonts w:ascii="Times New Roman" w:hAnsi="Times New Roman"/>
        </w:rPr>
        <w:t xml:space="preserve"> has the real potential </w:t>
      </w:r>
      <w:r w:rsidR="00264B2B" w:rsidRPr="002A6F51">
        <w:rPr>
          <w:rFonts w:ascii="Times New Roman" w:hAnsi="Times New Roman"/>
        </w:rPr>
        <w:t xml:space="preserve">both </w:t>
      </w:r>
      <w:r w:rsidR="00580111" w:rsidRPr="002A6F51">
        <w:rPr>
          <w:rFonts w:ascii="Times New Roman" w:hAnsi="Times New Roman"/>
        </w:rPr>
        <w:t>to undermine the presumption and</w:t>
      </w:r>
      <w:r w:rsidR="00264B2B" w:rsidRPr="002A6F51">
        <w:rPr>
          <w:rFonts w:ascii="Times New Roman" w:hAnsi="Times New Roman"/>
        </w:rPr>
        <w:t xml:space="preserve"> to</w:t>
      </w:r>
      <w:r w:rsidR="00580111" w:rsidRPr="002A6F51">
        <w:rPr>
          <w:rFonts w:ascii="Times New Roman" w:hAnsi="Times New Roman"/>
        </w:rPr>
        <w:t xml:space="preserve"> deflect the jury from </w:t>
      </w:r>
      <w:r w:rsidR="00102120" w:rsidRPr="002A6F51">
        <w:rPr>
          <w:rFonts w:ascii="Times New Roman" w:hAnsi="Times New Roman"/>
        </w:rPr>
        <w:t>th</w:t>
      </w:r>
      <w:r w:rsidR="00227C4E" w:rsidRPr="002A6F51">
        <w:rPr>
          <w:rFonts w:ascii="Times New Roman" w:hAnsi="Times New Roman"/>
        </w:rPr>
        <w:t>eir task of determining whether they are satisfied beyond reasonable doubt that the accus</w:t>
      </w:r>
      <w:r w:rsidR="00661792" w:rsidRPr="002A6F51">
        <w:rPr>
          <w:rFonts w:ascii="Times New Roman" w:hAnsi="Times New Roman"/>
        </w:rPr>
        <w:t>e</w:t>
      </w:r>
      <w:r w:rsidR="00227C4E" w:rsidRPr="002A6F51">
        <w:rPr>
          <w:rFonts w:ascii="Times New Roman" w:hAnsi="Times New Roman"/>
        </w:rPr>
        <w:t xml:space="preserve">d </w:t>
      </w:r>
      <w:r w:rsidR="00661792" w:rsidRPr="002A6F51">
        <w:rPr>
          <w:rFonts w:ascii="Times New Roman" w:hAnsi="Times New Roman"/>
        </w:rPr>
        <w:t xml:space="preserve">were </w:t>
      </w:r>
      <w:r w:rsidR="00227C4E" w:rsidRPr="002A6F51">
        <w:rPr>
          <w:rFonts w:ascii="Times New Roman" w:hAnsi="Times New Roman"/>
        </w:rPr>
        <w:t>guilty of the acts charged.</w:t>
      </w:r>
    </w:p>
    <w:p w14:paraId="3B20C5A9" w14:textId="2708D0F6" w:rsidR="00227C4E" w:rsidRPr="002A6F51" w:rsidRDefault="00227C4E" w:rsidP="002A6F51">
      <w:pPr>
        <w:pStyle w:val="FixListStyle"/>
        <w:spacing w:after="260" w:line="280" w:lineRule="exact"/>
        <w:ind w:right="0"/>
        <w:jc w:val="both"/>
        <w:rPr>
          <w:rFonts w:ascii="Times New Roman" w:hAnsi="Times New Roman"/>
        </w:rPr>
      </w:pPr>
      <w:r w:rsidRPr="002A6F51">
        <w:rPr>
          <w:rFonts w:ascii="Times New Roman" w:hAnsi="Times New Roman"/>
        </w:rPr>
        <w:tab/>
        <w:t xml:space="preserve">The respondent submitted that the directions about why a guilty person and </w:t>
      </w:r>
      <w:r w:rsidR="00276D17" w:rsidRPr="002A6F51">
        <w:rPr>
          <w:rFonts w:ascii="Times New Roman" w:hAnsi="Times New Roman"/>
        </w:rPr>
        <w:t xml:space="preserve">an </w:t>
      </w:r>
      <w:r w:rsidRPr="002A6F51">
        <w:rPr>
          <w:rFonts w:ascii="Times New Roman" w:hAnsi="Times New Roman"/>
        </w:rPr>
        <w:t xml:space="preserve">innocent person might </w:t>
      </w:r>
      <w:r w:rsidR="00276D17" w:rsidRPr="002A6F51">
        <w:rPr>
          <w:rFonts w:ascii="Times New Roman" w:hAnsi="Times New Roman"/>
        </w:rPr>
        <w:t>give evidence</w:t>
      </w:r>
      <w:r w:rsidRPr="002A6F51">
        <w:rPr>
          <w:rFonts w:ascii="Times New Roman" w:hAnsi="Times New Roman"/>
        </w:rPr>
        <w:t xml:space="preserve"> </w:t>
      </w:r>
      <w:r w:rsidR="002448B7" w:rsidRPr="002A6F51">
        <w:rPr>
          <w:rFonts w:ascii="Times New Roman" w:hAnsi="Times New Roman"/>
        </w:rPr>
        <w:t xml:space="preserve">balance each other out. </w:t>
      </w:r>
      <w:r w:rsidR="004D33AE" w:rsidRPr="002A6F51">
        <w:rPr>
          <w:rFonts w:ascii="Times New Roman" w:hAnsi="Times New Roman"/>
        </w:rPr>
        <w:t xml:space="preserve">That submission cannot be accepted. The directions do not neutralise each other. The directions are specific. They </w:t>
      </w:r>
      <w:r w:rsidR="00B51BB4" w:rsidRPr="002A6F51">
        <w:rPr>
          <w:rFonts w:ascii="Times New Roman" w:hAnsi="Times New Roman"/>
        </w:rPr>
        <w:t xml:space="preserve">clearly identify a choice for the jury to make, </w:t>
      </w:r>
      <w:r w:rsidR="002A4D02" w:rsidRPr="002A6F51">
        <w:rPr>
          <w:rFonts w:ascii="Times New Roman" w:hAnsi="Times New Roman"/>
        </w:rPr>
        <w:t xml:space="preserve">and the </w:t>
      </w:r>
      <w:r w:rsidR="00B51BB4" w:rsidRPr="002A6F51">
        <w:rPr>
          <w:rFonts w:ascii="Times New Roman" w:hAnsi="Times New Roman"/>
        </w:rPr>
        <w:t xml:space="preserve">one </w:t>
      </w:r>
      <w:r w:rsidR="002A4D02" w:rsidRPr="002A6F51">
        <w:rPr>
          <w:rFonts w:ascii="Times New Roman" w:hAnsi="Times New Roman"/>
        </w:rPr>
        <w:t xml:space="preserve">in issue is </w:t>
      </w:r>
      <w:r w:rsidR="00B51BB4" w:rsidRPr="002A6F51">
        <w:rPr>
          <w:rFonts w:ascii="Times New Roman" w:hAnsi="Times New Roman"/>
        </w:rPr>
        <w:t>inconsistent with the presumption that an accused person is innocent of the acts charged until the jury are satisfied to the requisite standard of that person's guilt.</w:t>
      </w:r>
    </w:p>
    <w:p w14:paraId="1D6A3BF1" w14:textId="6C9B0ECF" w:rsidR="00B51BB4" w:rsidRPr="002A6F51" w:rsidRDefault="00B51BB4" w:rsidP="002A6F51">
      <w:pPr>
        <w:pStyle w:val="FixListStyle"/>
        <w:spacing w:after="260" w:line="280" w:lineRule="exact"/>
        <w:ind w:right="0"/>
        <w:jc w:val="both"/>
        <w:rPr>
          <w:rFonts w:ascii="Times New Roman" w:hAnsi="Times New Roman"/>
        </w:rPr>
      </w:pPr>
      <w:r w:rsidRPr="002A6F51">
        <w:rPr>
          <w:rFonts w:ascii="Times New Roman" w:hAnsi="Times New Roman"/>
        </w:rPr>
        <w:tab/>
        <w:t xml:space="preserve">It was also submitted that the other directions given by the trial judge, </w:t>
      </w:r>
      <w:proofErr w:type="gramStart"/>
      <w:r w:rsidRPr="002A6F51">
        <w:rPr>
          <w:rFonts w:ascii="Times New Roman" w:hAnsi="Times New Roman"/>
        </w:rPr>
        <w:t>in particular that</w:t>
      </w:r>
      <w:proofErr w:type="gramEnd"/>
      <w:r w:rsidRPr="002A6F51">
        <w:rPr>
          <w:rFonts w:ascii="Times New Roman" w:hAnsi="Times New Roman"/>
        </w:rPr>
        <w:t xml:space="preserve"> which immediately followed </w:t>
      </w:r>
      <w:r w:rsidR="00790D49" w:rsidRPr="002A6F51">
        <w:rPr>
          <w:rFonts w:ascii="Times New Roman" w:hAnsi="Times New Roman"/>
        </w:rPr>
        <w:t>the misdirection, would have made it clear to the jury how they were to correctly approach their task. It will be recalled that the trial judge said that they should treat Mr </w:t>
      </w:r>
      <w:proofErr w:type="spellStart"/>
      <w:r w:rsidR="00790D49" w:rsidRPr="002A6F51">
        <w:rPr>
          <w:rFonts w:ascii="Times New Roman" w:hAnsi="Times New Roman"/>
        </w:rPr>
        <w:t>Tamba</w:t>
      </w:r>
      <w:r w:rsidR="004B50F5" w:rsidRPr="002A6F51">
        <w:rPr>
          <w:rFonts w:ascii="Times New Roman" w:hAnsi="Times New Roman"/>
        </w:rPr>
        <w:t>k</w:t>
      </w:r>
      <w:r w:rsidR="00790D49" w:rsidRPr="002A6F51">
        <w:rPr>
          <w:rFonts w:ascii="Times New Roman" w:hAnsi="Times New Roman"/>
        </w:rPr>
        <w:t>akis</w:t>
      </w:r>
      <w:proofErr w:type="spellEnd"/>
      <w:r w:rsidR="00E02E80" w:rsidRPr="002A6F51">
        <w:rPr>
          <w:rFonts w:ascii="Times New Roman" w:hAnsi="Times New Roman"/>
        </w:rPr>
        <w:t xml:space="preserve">' evidence in the same way as they would treat the evidence of other witnesses. And it is true to say that the trial judge correctly directed the jury about the onus and standard of proof at </w:t>
      </w:r>
      <w:proofErr w:type="gramStart"/>
      <w:r w:rsidR="00E02E80" w:rsidRPr="002A6F51">
        <w:rPr>
          <w:rFonts w:ascii="Times New Roman" w:hAnsi="Times New Roman"/>
        </w:rPr>
        <w:t>a number of</w:t>
      </w:r>
      <w:proofErr w:type="gramEnd"/>
      <w:r w:rsidR="00E02E80" w:rsidRPr="002A6F51">
        <w:rPr>
          <w:rFonts w:ascii="Times New Roman" w:hAnsi="Times New Roman"/>
        </w:rPr>
        <w:t xml:space="preserve"> points in the charge and said that they were not altered by reason that Mr </w:t>
      </w:r>
      <w:proofErr w:type="spellStart"/>
      <w:r w:rsidR="00E02E80" w:rsidRPr="002A6F51">
        <w:rPr>
          <w:rFonts w:ascii="Times New Roman" w:hAnsi="Times New Roman"/>
        </w:rPr>
        <w:t>Tambakakis</w:t>
      </w:r>
      <w:proofErr w:type="spellEnd"/>
      <w:r w:rsidR="00E02E80" w:rsidRPr="002A6F51">
        <w:rPr>
          <w:rFonts w:ascii="Times New Roman" w:hAnsi="Times New Roman"/>
        </w:rPr>
        <w:t xml:space="preserve"> gave evidence.</w:t>
      </w:r>
    </w:p>
    <w:p w14:paraId="3A28E4E8" w14:textId="6AFE8660" w:rsidR="00E02E80" w:rsidRPr="002A6F51" w:rsidRDefault="00E02E80" w:rsidP="002A6F51">
      <w:pPr>
        <w:pStyle w:val="FixListStyle"/>
        <w:spacing w:after="260" w:line="280" w:lineRule="exact"/>
        <w:ind w:right="0"/>
        <w:jc w:val="both"/>
        <w:rPr>
          <w:rFonts w:ascii="Times New Roman" w:hAnsi="Times New Roman"/>
        </w:rPr>
      </w:pPr>
      <w:r w:rsidRPr="002A6F51">
        <w:rPr>
          <w:rFonts w:ascii="Times New Roman" w:hAnsi="Times New Roman"/>
        </w:rPr>
        <w:tab/>
      </w:r>
      <w:r w:rsidR="00BC119F" w:rsidRPr="002A6F51">
        <w:rPr>
          <w:rFonts w:ascii="Times New Roman" w:hAnsi="Times New Roman"/>
        </w:rPr>
        <w:t xml:space="preserve">It cannot be accepted that these directions would have dispelled the effect of the misdirection as to why a guilty person might give evidence. </w:t>
      </w:r>
      <w:r w:rsidR="003D313E" w:rsidRPr="002A6F51">
        <w:rPr>
          <w:rFonts w:ascii="Times New Roman" w:hAnsi="Times New Roman"/>
        </w:rPr>
        <w:t>The misdirection was directly relevant to the credit of Mr </w:t>
      </w:r>
      <w:proofErr w:type="spellStart"/>
      <w:r w:rsidR="003D313E" w:rsidRPr="002A6F51">
        <w:rPr>
          <w:rFonts w:ascii="Times New Roman" w:hAnsi="Times New Roman"/>
        </w:rPr>
        <w:t>Tambakakis</w:t>
      </w:r>
      <w:proofErr w:type="spellEnd"/>
      <w:r w:rsidR="003D313E" w:rsidRPr="002A6F51">
        <w:rPr>
          <w:rFonts w:ascii="Times New Roman" w:hAnsi="Times New Roman"/>
        </w:rPr>
        <w:t>. It may not have been obvious to the jury that the question of his credit</w:t>
      </w:r>
      <w:r w:rsidR="002A4D02" w:rsidRPr="002A6F51">
        <w:rPr>
          <w:rFonts w:ascii="Times New Roman" w:hAnsi="Times New Roman"/>
        </w:rPr>
        <w:t>,</w:t>
      </w:r>
      <w:r w:rsidR="003D313E" w:rsidRPr="002A6F51">
        <w:rPr>
          <w:rFonts w:ascii="Times New Roman" w:hAnsi="Times New Roman"/>
        </w:rPr>
        <w:t xml:space="preserve"> as to various aspects of his evidence</w:t>
      </w:r>
      <w:r w:rsidR="00735A71" w:rsidRPr="002A6F51">
        <w:rPr>
          <w:rFonts w:ascii="Times New Roman" w:hAnsi="Times New Roman"/>
        </w:rPr>
        <w:t>,</w:t>
      </w:r>
      <w:r w:rsidR="003D313E" w:rsidRPr="002A6F51">
        <w:rPr>
          <w:rFonts w:ascii="Times New Roman" w:hAnsi="Times New Roman"/>
        </w:rPr>
        <w:t xml:space="preserve"> was to be </w:t>
      </w:r>
      <w:r w:rsidR="00C21619" w:rsidRPr="002A6F51">
        <w:rPr>
          <w:rFonts w:ascii="Times New Roman" w:hAnsi="Times New Roman"/>
        </w:rPr>
        <w:t xml:space="preserve">determined </w:t>
      </w:r>
      <w:r w:rsidR="003D313E" w:rsidRPr="002A6F51">
        <w:rPr>
          <w:rFonts w:ascii="Times New Roman" w:hAnsi="Times New Roman"/>
        </w:rPr>
        <w:t xml:space="preserve">bearing in mind the presumption and the onus of proof. It may </w:t>
      </w:r>
      <w:r w:rsidR="001A2562" w:rsidRPr="002A6F51">
        <w:rPr>
          <w:rFonts w:ascii="Times New Roman" w:hAnsi="Times New Roman"/>
        </w:rPr>
        <w:t xml:space="preserve">not have been obvious because the jury were </w:t>
      </w:r>
      <w:r w:rsidR="00383AD9" w:rsidRPr="002A6F51">
        <w:rPr>
          <w:rFonts w:ascii="Times New Roman" w:hAnsi="Times New Roman"/>
        </w:rPr>
        <w:t xml:space="preserve">instructed </w:t>
      </w:r>
      <w:r w:rsidR="001A2562" w:rsidRPr="002A6F51">
        <w:rPr>
          <w:rFonts w:ascii="Times New Roman" w:hAnsi="Times New Roman"/>
        </w:rPr>
        <w:t>by the misdirection to approach the question from a particular perspective.</w:t>
      </w:r>
      <w:r w:rsidR="005D5637" w:rsidRPr="002A6F51">
        <w:rPr>
          <w:rFonts w:ascii="Times New Roman" w:hAnsi="Times New Roman"/>
        </w:rPr>
        <w:t xml:space="preserve"> Further, the jury </w:t>
      </w:r>
      <w:r w:rsidR="00247738" w:rsidRPr="002A6F51">
        <w:rPr>
          <w:rFonts w:ascii="Times New Roman" w:hAnsi="Times New Roman"/>
        </w:rPr>
        <w:t>were</w:t>
      </w:r>
      <w:r w:rsidR="005D5637" w:rsidRPr="002A6F51">
        <w:rPr>
          <w:rFonts w:ascii="Times New Roman" w:hAnsi="Times New Roman"/>
        </w:rPr>
        <w:t xml:space="preserve"> not told how Mr </w:t>
      </w:r>
      <w:proofErr w:type="spellStart"/>
      <w:r w:rsidR="005D5637" w:rsidRPr="002A6F51">
        <w:rPr>
          <w:rFonts w:ascii="Times New Roman" w:hAnsi="Times New Roman"/>
        </w:rPr>
        <w:t>Tambakakis</w:t>
      </w:r>
      <w:proofErr w:type="spellEnd"/>
      <w:r w:rsidR="005D5637" w:rsidRPr="002A6F51">
        <w:rPr>
          <w:rFonts w:ascii="Times New Roman" w:hAnsi="Times New Roman"/>
        </w:rPr>
        <w:t xml:space="preserve">' possible innocence or guilt might be used to assist in the evaluation of his evidence. Nor </w:t>
      </w:r>
      <w:r w:rsidR="00247738" w:rsidRPr="002A6F51">
        <w:rPr>
          <w:rFonts w:ascii="Times New Roman" w:hAnsi="Times New Roman"/>
        </w:rPr>
        <w:t>were</w:t>
      </w:r>
      <w:r w:rsidR="005D5637" w:rsidRPr="002A6F51">
        <w:rPr>
          <w:rFonts w:ascii="Times New Roman" w:hAnsi="Times New Roman"/>
        </w:rPr>
        <w:t xml:space="preserve"> the jury</w:t>
      </w:r>
      <w:r w:rsidR="009E4704" w:rsidRPr="002A6F51">
        <w:rPr>
          <w:rFonts w:ascii="Times New Roman" w:hAnsi="Times New Roman"/>
        </w:rPr>
        <w:t xml:space="preserve"> instructed about how to reconcile the misdirection with the elements of the charge concerning onus and standard of </w:t>
      </w:r>
      <w:proofErr w:type="gramStart"/>
      <w:r w:rsidR="009E4704" w:rsidRPr="002A6F51">
        <w:rPr>
          <w:rFonts w:ascii="Times New Roman" w:hAnsi="Times New Roman"/>
        </w:rPr>
        <w:t>proof, if</w:t>
      </w:r>
      <w:proofErr w:type="gramEnd"/>
      <w:r w:rsidR="009E4704" w:rsidRPr="002A6F51">
        <w:rPr>
          <w:rFonts w:ascii="Times New Roman" w:hAnsi="Times New Roman"/>
        </w:rPr>
        <w:t xml:space="preserve"> they were capable of reconciliation. On the one hand, the jury </w:t>
      </w:r>
      <w:r w:rsidR="00247738" w:rsidRPr="002A6F51">
        <w:rPr>
          <w:rFonts w:ascii="Times New Roman" w:hAnsi="Times New Roman"/>
        </w:rPr>
        <w:t>were</w:t>
      </w:r>
      <w:r w:rsidR="009E4704" w:rsidRPr="002A6F51">
        <w:rPr>
          <w:rFonts w:ascii="Times New Roman" w:hAnsi="Times New Roman"/>
        </w:rPr>
        <w:t xml:space="preserve"> told to evaluate Mr </w:t>
      </w:r>
      <w:proofErr w:type="spellStart"/>
      <w:r w:rsidR="009E4704" w:rsidRPr="002A6F51">
        <w:rPr>
          <w:rFonts w:ascii="Times New Roman" w:hAnsi="Times New Roman"/>
        </w:rPr>
        <w:t>Tambakakis</w:t>
      </w:r>
      <w:proofErr w:type="spellEnd"/>
      <w:r w:rsidR="009E4704" w:rsidRPr="002A6F51">
        <w:rPr>
          <w:rFonts w:ascii="Times New Roman" w:hAnsi="Times New Roman"/>
        </w:rPr>
        <w:t>'</w:t>
      </w:r>
      <w:r w:rsidR="00A24912" w:rsidRPr="002A6F51">
        <w:rPr>
          <w:rFonts w:ascii="Times New Roman" w:hAnsi="Times New Roman"/>
        </w:rPr>
        <w:t xml:space="preserve"> evidence by reference to his possible guilt or innocence. In the next breath, the jury </w:t>
      </w:r>
      <w:r w:rsidR="00247738" w:rsidRPr="002A6F51">
        <w:rPr>
          <w:rFonts w:ascii="Times New Roman" w:hAnsi="Times New Roman"/>
        </w:rPr>
        <w:t>were</w:t>
      </w:r>
      <w:r w:rsidR="00A24912" w:rsidRPr="002A6F51">
        <w:rPr>
          <w:rFonts w:ascii="Times New Roman" w:hAnsi="Times New Roman"/>
        </w:rPr>
        <w:t xml:space="preserve"> told to approach his evidence in the same way as any other witness. The respondent did not explain how the jury might have done </w:t>
      </w:r>
      <w:proofErr w:type="gramStart"/>
      <w:r w:rsidR="00A24912" w:rsidRPr="002A6F51">
        <w:rPr>
          <w:rFonts w:ascii="Times New Roman" w:hAnsi="Times New Roman"/>
        </w:rPr>
        <w:t>both of these</w:t>
      </w:r>
      <w:proofErr w:type="gramEnd"/>
      <w:r w:rsidR="00A24912" w:rsidRPr="002A6F51">
        <w:rPr>
          <w:rFonts w:ascii="Times New Roman" w:hAnsi="Times New Roman"/>
        </w:rPr>
        <w:t xml:space="preserve"> things.</w:t>
      </w:r>
    </w:p>
    <w:p w14:paraId="5467C3DA" w14:textId="41761293" w:rsidR="00AF6D5F" w:rsidRPr="002A6F51" w:rsidRDefault="00AF6D5F" w:rsidP="002A6F51">
      <w:pPr>
        <w:pStyle w:val="FixListStyle"/>
        <w:spacing w:after="260" w:line="280" w:lineRule="exact"/>
        <w:ind w:right="0"/>
        <w:jc w:val="both"/>
        <w:rPr>
          <w:rFonts w:ascii="Times New Roman" w:hAnsi="Times New Roman"/>
        </w:rPr>
      </w:pPr>
      <w:r w:rsidRPr="002A6F51">
        <w:rPr>
          <w:rFonts w:ascii="Times New Roman" w:hAnsi="Times New Roman"/>
        </w:rPr>
        <w:tab/>
        <w:t xml:space="preserve">The majority in the Court of Appeal reasoned to the effect that </w:t>
      </w:r>
      <w:r w:rsidR="004C20D2" w:rsidRPr="002A6F51">
        <w:rPr>
          <w:rFonts w:ascii="Times New Roman" w:hAnsi="Times New Roman"/>
        </w:rPr>
        <w:t xml:space="preserve">the misdirection was of such a kind that it </w:t>
      </w:r>
      <w:r w:rsidRPr="002A6F51">
        <w:rPr>
          <w:rFonts w:ascii="Times New Roman" w:hAnsi="Times New Roman"/>
        </w:rPr>
        <w:t xml:space="preserve">could not have made a difference to the trial. They did not </w:t>
      </w:r>
      <w:r w:rsidR="00140310" w:rsidRPr="002A6F51">
        <w:rPr>
          <w:rFonts w:ascii="Times New Roman" w:hAnsi="Times New Roman"/>
        </w:rPr>
        <w:t xml:space="preserve">resolve </w:t>
      </w:r>
      <w:r w:rsidR="00E40DBE" w:rsidRPr="002A6F51">
        <w:rPr>
          <w:rFonts w:ascii="Times New Roman" w:hAnsi="Times New Roman"/>
        </w:rPr>
        <w:t xml:space="preserve">the question </w:t>
      </w:r>
      <w:r w:rsidR="008A4DB7" w:rsidRPr="002A6F51">
        <w:rPr>
          <w:rFonts w:ascii="Times New Roman" w:hAnsi="Times New Roman"/>
        </w:rPr>
        <w:t>of</w:t>
      </w:r>
      <w:r w:rsidR="00E40DBE" w:rsidRPr="002A6F51">
        <w:rPr>
          <w:rFonts w:ascii="Times New Roman" w:hAnsi="Times New Roman"/>
        </w:rPr>
        <w:t xml:space="preserve"> whether there had been a substantial </w:t>
      </w:r>
      <w:r w:rsidR="00E40DBE" w:rsidRPr="002A6F51">
        <w:rPr>
          <w:rFonts w:ascii="Times New Roman" w:hAnsi="Times New Roman"/>
        </w:rPr>
        <w:lastRenderedPageBreak/>
        <w:t xml:space="preserve">miscarriage of justice </w:t>
      </w:r>
      <w:r w:rsidRPr="002A6F51">
        <w:rPr>
          <w:rFonts w:ascii="Times New Roman" w:hAnsi="Times New Roman"/>
        </w:rPr>
        <w:t>by determining whether conviction was inevitable having regard to the record of the trial.</w:t>
      </w:r>
    </w:p>
    <w:p w14:paraId="34AF622A" w14:textId="69B37B6C" w:rsidR="00AF6D5F" w:rsidRPr="002A6F51" w:rsidRDefault="00AF6D5F" w:rsidP="002A6F51">
      <w:pPr>
        <w:pStyle w:val="FixListStyle"/>
        <w:spacing w:after="260" w:line="280" w:lineRule="exact"/>
        <w:ind w:right="0"/>
        <w:jc w:val="both"/>
        <w:rPr>
          <w:rFonts w:ascii="Times New Roman" w:hAnsi="Times New Roman"/>
        </w:rPr>
      </w:pPr>
      <w:r w:rsidRPr="002A6F51">
        <w:rPr>
          <w:rFonts w:ascii="Times New Roman" w:hAnsi="Times New Roman"/>
        </w:rPr>
        <w:tab/>
      </w:r>
      <w:r w:rsidR="00E40DBE" w:rsidRPr="002A6F51">
        <w:rPr>
          <w:rFonts w:ascii="Times New Roman" w:hAnsi="Times New Roman"/>
        </w:rPr>
        <w:t>Even approached correctly, t</w:t>
      </w:r>
      <w:r w:rsidRPr="002A6F51">
        <w:rPr>
          <w:rFonts w:ascii="Times New Roman" w:hAnsi="Times New Roman"/>
        </w:rPr>
        <w:t>his is not a case where it is possible for an appellate court to be satisfied that conviction was inevitable</w:t>
      </w:r>
      <w:r w:rsidR="00E40DBE" w:rsidRPr="002A6F51">
        <w:rPr>
          <w:rFonts w:ascii="Times New Roman" w:hAnsi="Times New Roman"/>
        </w:rPr>
        <w:t xml:space="preserve">. </w:t>
      </w:r>
      <w:r w:rsidRPr="002A6F51">
        <w:rPr>
          <w:rFonts w:ascii="Times New Roman" w:hAnsi="Times New Roman"/>
        </w:rPr>
        <w:t xml:space="preserve">In </w:t>
      </w:r>
      <w:r w:rsidR="00B75109" w:rsidRPr="002A6F51">
        <w:rPr>
          <w:rFonts w:ascii="Times New Roman" w:hAnsi="Times New Roman"/>
        </w:rPr>
        <w:t>our</w:t>
      </w:r>
      <w:r w:rsidRPr="002A6F51">
        <w:rPr>
          <w:rFonts w:ascii="Times New Roman" w:hAnsi="Times New Roman"/>
        </w:rPr>
        <w:t xml:space="preserve"> view that conclusion could not be reached because it would </w:t>
      </w:r>
      <w:r w:rsidR="00B42040" w:rsidRPr="002A6F51">
        <w:rPr>
          <w:rFonts w:ascii="Times New Roman" w:hAnsi="Times New Roman"/>
        </w:rPr>
        <w:t>not be possible properly to evaluate the credibility of Mr </w:t>
      </w:r>
      <w:proofErr w:type="spellStart"/>
      <w:r w:rsidR="00B42040" w:rsidRPr="002A6F51">
        <w:rPr>
          <w:rFonts w:ascii="Times New Roman" w:hAnsi="Times New Roman"/>
        </w:rPr>
        <w:t>Tambakakis</w:t>
      </w:r>
      <w:proofErr w:type="spellEnd"/>
      <w:r w:rsidR="00B42040" w:rsidRPr="002A6F51">
        <w:rPr>
          <w:rFonts w:ascii="Times New Roman" w:hAnsi="Times New Roman"/>
        </w:rPr>
        <w:t xml:space="preserve">' account. This is not a case like </w:t>
      </w:r>
      <w:r w:rsidR="00B42040" w:rsidRPr="002A6F51">
        <w:rPr>
          <w:rFonts w:ascii="Times New Roman" w:hAnsi="Times New Roman"/>
          <w:i/>
          <w:iCs/>
        </w:rPr>
        <w:t xml:space="preserve">Hofer v </w:t>
      </w:r>
      <w:r w:rsidR="002B389D" w:rsidRPr="002A6F51">
        <w:rPr>
          <w:rFonts w:ascii="Times New Roman" w:hAnsi="Times New Roman"/>
          <w:i/>
          <w:iCs/>
        </w:rPr>
        <w:t>The Queen</w:t>
      </w:r>
      <w:r w:rsidR="00B42040" w:rsidRPr="002A6F51">
        <w:rPr>
          <w:rStyle w:val="FootnoteReference"/>
          <w:rFonts w:ascii="Times New Roman" w:hAnsi="Times New Roman"/>
          <w:sz w:val="24"/>
        </w:rPr>
        <w:footnoteReference w:id="30"/>
      </w:r>
      <w:r w:rsidR="00701059" w:rsidRPr="002A6F51">
        <w:rPr>
          <w:rFonts w:ascii="Times New Roman" w:hAnsi="Times New Roman"/>
        </w:rPr>
        <w:t>,</w:t>
      </w:r>
      <w:r w:rsidR="00774741" w:rsidRPr="002A6F51">
        <w:rPr>
          <w:rFonts w:ascii="Times New Roman" w:hAnsi="Times New Roman"/>
          <w:i/>
          <w:iCs/>
        </w:rPr>
        <w:t xml:space="preserve"> </w:t>
      </w:r>
      <w:r w:rsidR="00774741" w:rsidRPr="002A6F51">
        <w:rPr>
          <w:rFonts w:ascii="Times New Roman" w:hAnsi="Times New Roman"/>
        </w:rPr>
        <w:t xml:space="preserve">where it is possible to do so </w:t>
      </w:r>
      <w:proofErr w:type="gramStart"/>
      <w:r w:rsidR="00774741" w:rsidRPr="002A6F51">
        <w:rPr>
          <w:rFonts w:ascii="Times New Roman" w:hAnsi="Times New Roman"/>
        </w:rPr>
        <w:t>on the basis of</w:t>
      </w:r>
      <w:proofErr w:type="gramEnd"/>
      <w:r w:rsidR="00774741" w:rsidRPr="002A6F51">
        <w:rPr>
          <w:rFonts w:ascii="Times New Roman" w:hAnsi="Times New Roman"/>
        </w:rPr>
        <w:t xml:space="preserve"> objective evidence. Here an appellate </w:t>
      </w:r>
      <w:r w:rsidR="009F3A18" w:rsidRPr="002A6F51">
        <w:rPr>
          <w:rFonts w:ascii="Times New Roman" w:hAnsi="Times New Roman"/>
        </w:rPr>
        <w:t xml:space="preserve">court is subject to the "natural limitations" to which </w:t>
      </w:r>
      <w:proofErr w:type="spellStart"/>
      <w:r w:rsidR="009F3A18" w:rsidRPr="002A6F51">
        <w:rPr>
          <w:rFonts w:ascii="Times New Roman" w:hAnsi="Times New Roman"/>
          <w:i/>
          <w:iCs/>
        </w:rPr>
        <w:t>Baini</w:t>
      </w:r>
      <w:proofErr w:type="spellEnd"/>
      <w:r w:rsidR="009F3A18" w:rsidRPr="002A6F51">
        <w:rPr>
          <w:rFonts w:ascii="Times New Roman" w:hAnsi="Times New Roman"/>
        </w:rPr>
        <w:t xml:space="preserve"> refers</w:t>
      </w:r>
      <w:r w:rsidR="009F3A18" w:rsidRPr="002A6F51">
        <w:rPr>
          <w:rStyle w:val="FootnoteReference"/>
          <w:rFonts w:ascii="Times New Roman" w:hAnsi="Times New Roman"/>
          <w:sz w:val="24"/>
        </w:rPr>
        <w:footnoteReference w:id="31"/>
      </w:r>
      <w:r w:rsidR="00DC6470" w:rsidRPr="002A6F51">
        <w:rPr>
          <w:rFonts w:ascii="Times New Roman" w:hAnsi="Times New Roman"/>
        </w:rPr>
        <w:t>.</w:t>
      </w:r>
      <w:r w:rsidR="002543DC" w:rsidRPr="002A6F51">
        <w:rPr>
          <w:rFonts w:ascii="Times New Roman" w:hAnsi="Times New Roman"/>
        </w:rPr>
        <w:t xml:space="preserve"> </w:t>
      </w:r>
      <w:r w:rsidR="00D37ACF" w:rsidRPr="002A6F51">
        <w:rPr>
          <w:rFonts w:ascii="Times New Roman" w:hAnsi="Times New Roman"/>
        </w:rPr>
        <w:t>Here, t</w:t>
      </w:r>
      <w:r w:rsidR="002543DC" w:rsidRPr="002A6F51">
        <w:rPr>
          <w:rFonts w:ascii="Times New Roman" w:hAnsi="Times New Roman"/>
        </w:rPr>
        <w:t>he defence in Mr </w:t>
      </w:r>
      <w:proofErr w:type="spellStart"/>
      <w:r w:rsidR="002543DC" w:rsidRPr="002A6F51">
        <w:rPr>
          <w:rFonts w:ascii="Times New Roman" w:hAnsi="Times New Roman"/>
        </w:rPr>
        <w:t>Tambakakis</w:t>
      </w:r>
      <w:proofErr w:type="spellEnd"/>
      <w:r w:rsidR="002543DC" w:rsidRPr="002A6F51">
        <w:rPr>
          <w:rFonts w:ascii="Times New Roman" w:hAnsi="Times New Roman"/>
        </w:rPr>
        <w:t>' case raised his belief that the substance imported was steroids. The respondent did not explain how this was overcome.</w:t>
      </w:r>
    </w:p>
    <w:p w14:paraId="3CB45FA6" w14:textId="2850BAE6" w:rsidR="001A2562" w:rsidRPr="002A6F51" w:rsidRDefault="00DC6470" w:rsidP="002A6F51">
      <w:pPr>
        <w:pStyle w:val="FixListStyle"/>
        <w:spacing w:after="260" w:line="280" w:lineRule="exact"/>
        <w:ind w:right="0"/>
        <w:jc w:val="both"/>
        <w:rPr>
          <w:rFonts w:ascii="Times New Roman" w:hAnsi="Times New Roman"/>
        </w:rPr>
      </w:pPr>
      <w:r w:rsidRPr="002A6F51">
        <w:rPr>
          <w:rFonts w:ascii="Times New Roman" w:hAnsi="Times New Roman"/>
        </w:rPr>
        <w:tab/>
        <w:t>In such a circumstance it is appropriate to order a new trial</w:t>
      </w:r>
      <w:r w:rsidRPr="002A6F51">
        <w:rPr>
          <w:rStyle w:val="FootnoteReference"/>
          <w:rFonts w:ascii="Times New Roman" w:hAnsi="Times New Roman"/>
          <w:sz w:val="24"/>
        </w:rPr>
        <w:footnoteReference w:id="32"/>
      </w:r>
      <w:r w:rsidR="00F13F09" w:rsidRPr="002A6F51">
        <w:rPr>
          <w:rFonts w:ascii="Times New Roman" w:hAnsi="Times New Roman"/>
        </w:rPr>
        <w:t xml:space="preserve">. The respondent does not now contend to the contrary. </w:t>
      </w:r>
      <w:proofErr w:type="gramStart"/>
      <w:r w:rsidR="00F13F09" w:rsidRPr="002A6F51">
        <w:rPr>
          <w:rFonts w:ascii="Times New Roman" w:hAnsi="Times New Roman"/>
        </w:rPr>
        <w:t>During the course of</w:t>
      </w:r>
      <w:proofErr w:type="gramEnd"/>
      <w:r w:rsidR="00F13F09" w:rsidRPr="002A6F51">
        <w:rPr>
          <w:rFonts w:ascii="Times New Roman" w:hAnsi="Times New Roman"/>
        </w:rPr>
        <w:t xml:space="preserve"> the hearing </w:t>
      </w:r>
      <w:r w:rsidR="003F4CC3" w:rsidRPr="002A6F51">
        <w:rPr>
          <w:rFonts w:ascii="Times New Roman" w:hAnsi="Times New Roman"/>
        </w:rPr>
        <w:t>of these appeals, the respondent withdrew its submission that the matter should be remitted to the Court of Appeal to conduct a review of the record in order to determine the issue of inevitability.</w:t>
      </w:r>
      <w:r w:rsidR="00735A71" w:rsidRPr="002A6F51">
        <w:rPr>
          <w:rFonts w:ascii="Times New Roman" w:hAnsi="Times New Roman"/>
        </w:rPr>
        <w:t xml:space="preserve"> </w:t>
      </w:r>
      <w:r w:rsidR="00B76C5E" w:rsidRPr="002A6F51">
        <w:rPr>
          <w:rFonts w:ascii="Times New Roman" w:hAnsi="Times New Roman"/>
        </w:rPr>
        <w:t xml:space="preserve">It </w:t>
      </w:r>
      <w:r w:rsidR="00735A71" w:rsidRPr="002A6F51">
        <w:rPr>
          <w:rFonts w:ascii="Times New Roman" w:hAnsi="Times New Roman"/>
        </w:rPr>
        <w:t>is appropriate that there be an order for a new trial in each matter.</w:t>
      </w:r>
    </w:p>
    <w:p w14:paraId="3BA44D7B" w14:textId="7984107C" w:rsidR="003F4CC3" w:rsidRPr="002A6F51" w:rsidRDefault="003F4CC3" w:rsidP="002A6F51">
      <w:pPr>
        <w:pStyle w:val="HeadingL1"/>
        <w:spacing w:after="260" w:line="280" w:lineRule="exact"/>
        <w:ind w:right="0"/>
        <w:jc w:val="both"/>
        <w:rPr>
          <w:rFonts w:ascii="Times New Roman" w:hAnsi="Times New Roman"/>
        </w:rPr>
      </w:pPr>
      <w:r w:rsidRPr="002A6F51">
        <w:rPr>
          <w:rFonts w:ascii="Times New Roman" w:hAnsi="Times New Roman"/>
        </w:rPr>
        <w:t>Orders</w:t>
      </w:r>
    </w:p>
    <w:p w14:paraId="13A34CFF" w14:textId="77777777" w:rsidR="00D06A72" w:rsidRDefault="000015FC" w:rsidP="002A6F51">
      <w:pPr>
        <w:pStyle w:val="FixListStyle"/>
        <w:spacing w:after="260" w:line="280" w:lineRule="exact"/>
        <w:ind w:right="0"/>
        <w:jc w:val="both"/>
        <w:rPr>
          <w:rFonts w:ascii="Times New Roman" w:hAnsi="Times New Roman"/>
        </w:rPr>
      </w:pPr>
      <w:r w:rsidRPr="002A6F51">
        <w:rPr>
          <w:rFonts w:ascii="Times New Roman" w:hAnsi="Times New Roman"/>
        </w:rPr>
        <w:tab/>
      </w:r>
      <w:r w:rsidR="009A089B" w:rsidRPr="002A6F51">
        <w:rPr>
          <w:rFonts w:ascii="Times New Roman" w:hAnsi="Times New Roman"/>
        </w:rPr>
        <w:t>We</w:t>
      </w:r>
      <w:r w:rsidR="003F4CC3" w:rsidRPr="002A6F51">
        <w:rPr>
          <w:rFonts w:ascii="Times New Roman" w:hAnsi="Times New Roman"/>
        </w:rPr>
        <w:t xml:space="preserve"> agree with the orders proposed by </w:t>
      </w:r>
      <w:r w:rsidR="00BE5C7B" w:rsidRPr="002A6F51">
        <w:rPr>
          <w:rFonts w:ascii="Times New Roman" w:hAnsi="Times New Roman"/>
        </w:rPr>
        <w:t xml:space="preserve">Gordon and </w:t>
      </w:r>
      <w:r w:rsidR="003F4CC3" w:rsidRPr="002A6F51">
        <w:rPr>
          <w:rFonts w:ascii="Times New Roman" w:hAnsi="Times New Roman"/>
        </w:rPr>
        <w:t>Edelman </w:t>
      </w:r>
      <w:r w:rsidR="00BE5C7B" w:rsidRPr="002A6F51">
        <w:rPr>
          <w:rFonts w:ascii="Times New Roman" w:hAnsi="Times New Roman"/>
        </w:rPr>
        <w:t>J</w:t>
      </w:r>
      <w:r w:rsidR="003F4CC3" w:rsidRPr="002A6F51">
        <w:rPr>
          <w:rFonts w:ascii="Times New Roman" w:hAnsi="Times New Roman"/>
        </w:rPr>
        <w:t>J in each appeal.</w:t>
      </w:r>
    </w:p>
    <w:p w14:paraId="510003CD" w14:textId="77777777" w:rsidR="00D06A72" w:rsidRDefault="00D06A72" w:rsidP="002A6F51">
      <w:pPr>
        <w:pStyle w:val="FixListStyle"/>
        <w:spacing w:after="260" w:line="280" w:lineRule="exact"/>
        <w:ind w:right="0"/>
        <w:jc w:val="both"/>
        <w:rPr>
          <w:rFonts w:ascii="Times New Roman" w:hAnsi="Times New Roman"/>
        </w:rPr>
        <w:sectPr w:rsidR="00D06A72" w:rsidSect="001D3638">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6553B55" w14:textId="77777777" w:rsidR="00D06A72" w:rsidRPr="006B53C9" w:rsidRDefault="00D06A72" w:rsidP="006B53C9">
      <w:pPr>
        <w:pStyle w:val="NormalBody"/>
        <w:tabs>
          <w:tab w:val="clear" w:pos="720"/>
          <w:tab w:val="left" w:pos="0"/>
        </w:tabs>
        <w:spacing w:after="260" w:line="280" w:lineRule="exact"/>
        <w:ind w:right="0"/>
        <w:jc w:val="both"/>
        <w:rPr>
          <w:rFonts w:ascii="Times New Roman" w:hAnsi="Times New Roman"/>
        </w:rPr>
      </w:pPr>
      <w:r w:rsidRPr="006B53C9">
        <w:rPr>
          <w:rFonts w:ascii="Times New Roman" w:hAnsi="Times New Roman"/>
        </w:rPr>
        <w:lastRenderedPageBreak/>
        <w:t xml:space="preserve">GORDON AND EDELMAN JJ.   </w:t>
      </w:r>
    </w:p>
    <w:p w14:paraId="1ED2032C" w14:textId="77777777" w:rsidR="00D06A72" w:rsidRPr="006B53C9" w:rsidRDefault="00D06A72" w:rsidP="006B53C9">
      <w:pPr>
        <w:pStyle w:val="HeadingL1"/>
        <w:spacing w:after="260" w:line="280" w:lineRule="exact"/>
        <w:ind w:right="0"/>
        <w:jc w:val="both"/>
        <w:rPr>
          <w:rFonts w:ascii="Times New Roman" w:hAnsi="Times New Roman"/>
        </w:rPr>
      </w:pPr>
      <w:r w:rsidRPr="006B53C9">
        <w:rPr>
          <w:rFonts w:ascii="Times New Roman" w:hAnsi="Times New Roman"/>
        </w:rPr>
        <w:t>Introduction</w:t>
      </w:r>
    </w:p>
    <w:p w14:paraId="79D079E9"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The appellants, 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r w:rsidRPr="006B53C9">
        <w:rPr>
          <w:rFonts w:ascii="Times New Roman" w:hAnsi="Times New Roman"/>
        </w:rPr>
        <w:t xml:space="preserve">, were jointly tried before a judge and jury. The trial judge directed the jury in terms that were prohibited by s 44J of the </w:t>
      </w:r>
      <w:r w:rsidRPr="006B53C9">
        <w:rPr>
          <w:rFonts w:ascii="Times New Roman" w:hAnsi="Times New Roman"/>
          <w:i/>
        </w:rPr>
        <w:t>Jury Directions Act 2015 </w:t>
      </w:r>
      <w:r w:rsidRPr="006B53C9">
        <w:rPr>
          <w:rFonts w:ascii="Times New Roman" w:hAnsi="Times New Roman"/>
        </w:rPr>
        <w:t xml:space="preserve">(Vic). The appellants were convicted. The prohibited direction concerned the </w:t>
      </w:r>
      <w:proofErr w:type="gramStart"/>
      <w:r w:rsidRPr="006B53C9">
        <w:rPr>
          <w:rFonts w:ascii="Times New Roman" w:hAnsi="Times New Roman"/>
        </w:rPr>
        <w:t>manner in which</w:t>
      </w:r>
      <w:proofErr w:type="gramEnd"/>
      <w:r w:rsidRPr="006B53C9">
        <w:rPr>
          <w:rFonts w:ascii="Times New Roman" w:hAnsi="Times New Roman"/>
        </w:rPr>
        <w:t xml:space="preserve"> the jury should assess the evidence </w:t>
      </w:r>
      <w:r w:rsidRPr="006B53C9" w:rsidDel="00B659AA">
        <w:rPr>
          <w:rFonts w:ascii="Times New Roman" w:hAnsi="Times New Roman"/>
        </w:rPr>
        <w:t xml:space="preserve">of </w:t>
      </w:r>
      <w:r w:rsidRPr="006B53C9">
        <w:rPr>
          <w:rFonts w:ascii="Times New Roman" w:hAnsi="Times New Roman"/>
        </w:rPr>
        <w:t>Mr </w:t>
      </w:r>
      <w:proofErr w:type="spellStart"/>
      <w:r w:rsidRPr="006B53C9">
        <w:rPr>
          <w:rFonts w:ascii="Times New Roman" w:hAnsi="Times New Roman"/>
        </w:rPr>
        <w:t>Tambakakis</w:t>
      </w:r>
      <w:proofErr w:type="spellEnd"/>
      <w:r w:rsidRPr="006B53C9">
        <w:rPr>
          <w:rFonts w:ascii="Times New Roman" w:hAnsi="Times New Roman"/>
        </w:rPr>
        <w:t xml:space="preserve">. There was no dispute that the giving of the prohibited direction was an error of law within the meaning of s 276(1)(b) of the </w:t>
      </w:r>
      <w:r w:rsidRPr="006B53C9">
        <w:rPr>
          <w:rFonts w:ascii="Times New Roman" w:hAnsi="Times New Roman"/>
          <w:i/>
        </w:rPr>
        <w:t>Criminal Procedure Act 2009 </w:t>
      </w:r>
      <w:r w:rsidRPr="006B53C9">
        <w:rPr>
          <w:rFonts w:ascii="Times New Roman" w:hAnsi="Times New Roman"/>
        </w:rPr>
        <w:t>(Vic). The issue was whether the error of law resulted in a substantial miscarriage of justice within that subsection.</w:t>
      </w:r>
    </w:p>
    <w:p w14:paraId="4DE1D20F"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r w:rsidRPr="006B53C9">
        <w:rPr>
          <w:rFonts w:ascii="Times New Roman" w:hAnsi="Times New Roman"/>
        </w:rPr>
        <w:t xml:space="preserve"> submitted that any contravention by a trial judge of s 44J results in a substantial miscarriage of justice or, alternatively, that there was a substantial miscarriage of justice because the Crown had not established that, without the error of law, conviction was inevitable. The Court of Appeal of the Supreme Court of Victoria unanimously, and correctly, rejected the primary submission of 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r w:rsidRPr="006B53C9">
        <w:rPr>
          <w:rFonts w:ascii="Times New Roman" w:hAnsi="Times New Roman"/>
        </w:rPr>
        <w:t xml:space="preserve">. </w:t>
      </w:r>
      <w:proofErr w:type="gramStart"/>
      <w:r w:rsidRPr="006B53C9">
        <w:rPr>
          <w:rFonts w:ascii="Times New Roman" w:hAnsi="Times New Roman"/>
        </w:rPr>
        <w:t>A majority of</w:t>
      </w:r>
      <w:proofErr w:type="gramEnd"/>
      <w:r w:rsidRPr="006B53C9">
        <w:rPr>
          <w:rFonts w:ascii="Times New Roman" w:hAnsi="Times New Roman"/>
        </w:rPr>
        <w:t xml:space="preserve"> the Court of Appeal (McLeish and Niall JJA; Priest JA dissenting) also rejected the alternative submission.</w:t>
      </w:r>
    </w:p>
    <w:p w14:paraId="6B44715F"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The majority of the Court of Appeal concluded that the conviction of 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r w:rsidRPr="006B53C9">
        <w:rPr>
          <w:rFonts w:ascii="Times New Roman" w:hAnsi="Times New Roman"/>
        </w:rPr>
        <w:t xml:space="preserve"> was inevitable without considering the whole of the trial record. They considered that, in the context of the whole of the trial judge's charge to the jury, the prohibited direction could not have had any bearing on the outcome of the trials. For the reasons below, that reasoning was erroneous. In broad terms, the prohibited direction was not sufficiently ameliorated by other, correct, directions given by the trial judge because the prohibited direction had the capacity to affect the jury's assessment of Mr </w:t>
      </w:r>
      <w:proofErr w:type="spellStart"/>
      <w:r w:rsidRPr="006B53C9">
        <w:rPr>
          <w:rFonts w:ascii="Times New Roman" w:hAnsi="Times New Roman"/>
        </w:rPr>
        <w:t>Tambakakis</w:t>
      </w:r>
      <w:proofErr w:type="spellEnd"/>
      <w:r w:rsidRPr="006B53C9">
        <w:rPr>
          <w:rFonts w:ascii="Times New Roman" w:hAnsi="Times New Roman"/>
        </w:rPr>
        <w:t>' credibility in circumstances where his credibility was central to the defence of both appellants.</w:t>
      </w:r>
    </w:p>
    <w:p w14:paraId="3BBE473E"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The Crown abandoned a submission that if the appeals were allowed the matter should be remitted to the Court of Appeal for consideration of whether the convictions were inevitable. Therefore, the proper orders upon allowing the appeals are for new trials.</w:t>
      </w:r>
    </w:p>
    <w:p w14:paraId="0DBFE793" w14:textId="77777777" w:rsidR="00D06A72" w:rsidRPr="006B53C9" w:rsidRDefault="00D06A72" w:rsidP="006B53C9">
      <w:pPr>
        <w:pStyle w:val="HeadingL1"/>
        <w:spacing w:after="260" w:line="280" w:lineRule="exact"/>
        <w:ind w:right="0"/>
        <w:jc w:val="both"/>
        <w:rPr>
          <w:rFonts w:ascii="Times New Roman" w:hAnsi="Times New Roman"/>
        </w:rPr>
      </w:pPr>
      <w:r w:rsidRPr="006B53C9">
        <w:rPr>
          <w:rFonts w:ascii="Times New Roman" w:hAnsi="Times New Roman"/>
        </w:rPr>
        <w:t>The trials of 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p>
    <w:p w14:paraId="1623A1E9"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Mr </w:t>
      </w:r>
      <w:proofErr w:type="spellStart"/>
      <w:r w:rsidRPr="006B53C9">
        <w:rPr>
          <w:rFonts w:ascii="Times New Roman" w:hAnsi="Times New Roman"/>
        </w:rPr>
        <w:t>Awad</w:t>
      </w:r>
      <w:proofErr w:type="spellEnd"/>
      <w:r w:rsidRPr="006B53C9">
        <w:rPr>
          <w:rFonts w:ascii="Times New Roman" w:hAnsi="Times New Roman"/>
        </w:rPr>
        <w:t>, Mr </w:t>
      </w:r>
      <w:proofErr w:type="spellStart"/>
      <w:r w:rsidRPr="006B53C9">
        <w:rPr>
          <w:rFonts w:ascii="Times New Roman" w:hAnsi="Times New Roman"/>
        </w:rPr>
        <w:t>Tambakakis</w:t>
      </w:r>
      <w:proofErr w:type="spellEnd"/>
      <w:r w:rsidRPr="006B53C9">
        <w:rPr>
          <w:rFonts w:ascii="Times New Roman" w:hAnsi="Times New Roman"/>
        </w:rPr>
        <w:t>, and Mr </w:t>
      </w:r>
      <w:proofErr w:type="spellStart"/>
      <w:r w:rsidRPr="006B53C9">
        <w:rPr>
          <w:rFonts w:ascii="Times New Roman" w:hAnsi="Times New Roman"/>
        </w:rPr>
        <w:t>Kanati</w:t>
      </w:r>
      <w:proofErr w:type="spellEnd"/>
      <w:r w:rsidRPr="006B53C9">
        <w:rPr>
          <w:rFonts w:ascii="Times New Roman" w:hAnsi="Times New Roman"/>
        </w:rPr>
        <w:t xml:space="preserve"> were tried on a joint indictment for the offence of attempting to possess a commercial quantity of an unlawfully imported border</w:t>
      </w:r>
      <w:r w:rsidRPr="006B53C9">
        <w:rPr>
          <w:rFonts w:ascii="Times New Roman" w:hAnsi="Times New Roman"/>
        </w:rPr>
        <w:noBreakHyphen/>
        <w:t xml:space="preserve">controlled drug contrary to ss 11.1(1) and 307.5(1) of the </w:t>
      </w:r>
      <w:r w:rsidRPr="006B53C9">
        <w:rPr>
          <w:rFonts w:ascii="Times New Roman" w:hAnsi="Times New Roman"/>
          <w:i/>
        </w:rPr>
        <w:t>Criminal Code </w:t>
      </w:r>
      <w:r w:rsidRPr="006B53C9">
        <w:rPr>
          <w:rFonts w:ascii="Times New Roman" w:hAnsi="Times New Roman"/>
        </w:rPr>
        <w:t>(</w:t>
      </w:r>
      <w:proofErr w:type="spellStart"/>
      <w:r w:rsidRPr="006B53C9">
        <w:rPr>
          <w:rFonts w:ascii="Times New Roman" w:hAnsi="Times New Roman"/>
        </w:rPr>
        <w:t>Cth</w:t>
      </w:r>
      <w:proofErr w:type="spellEnd"/>
      <w:r w:rsidRPr="006B53C9">
        <w:rPr>
          <w:rFonts w:ascii="Times New Roman" w:hAnsi="Times New Roman"/>
        </w:rPr>
        <w:t>). 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r w:rsidRPr="006B53C9">
        <w:rPr>
          <w:rFonts w:ascii="Times New Roman" w:hAnsi="Times New Roman"/>
        </w:rPr>
        <w:t xml:space="preserve"> were convicted by the jury. The jury were unable to reach a verdict in relation to Mr </w:t>
      </w:r>
      <w:proofErr w:type="spellStart"/>
      <w:r w:rsidRPr="006B53C9">
        <w:rPr>
          <w:rFonts w:ascii="Times New Roman" w:hAnsi="Times New Roman"/>
        </w:rPr>
        <w:t>Kanati</w:t>
      </w:r>
      <w:proofErr w:type="spellEnd"/>
      <w:r w:rsidRPr="006B53C9">
        <w:rPr>
          <w:rFonts w:ascii="Times New Roman" w:hAnsi="Times New Roman"/>
        </w:rPr>
        <w:t>. The evidence led in the prosecution and defence cases was to the following effect.</w:t>
      </w:r>
    </w:p>
    <w:p w14:paraId="70072143" w14:textId="77777777" w:rsidR="00D06A72" w:rsidRPr="006B53C9" w:rsidRDefault="00D06A72" w:rsidP="006B53C9">
      <w:pPr>
        <w:pStyle w:val="HeadingL2"/>
        <w:spacing w:after="260" w:line="280" w:lineRule="exact"/>
        <w:ind w:right="0"/>
        <w:jc w:val="both"/>
        <w:rPr>
          <w:rFonts w:ascii="Times New Roman" w:hAnsi="Times New Roman"/>
        </w:rPr>
      </w:pPr>
      <w:r w:rsidRPr="006B53C9">
        <w:rPr>
          <w:rFonts w:ascii="Times New Roman" w:hAnsi="Times New Roman"/>
        </w:rPr>
        <w:lastRenderedPageBreak/>
        <w:t xml:space="preserve">The prosecution </w:t>
      </w:r>
      <w:proofErr w:type="gramStart"/>
      <w:r w:rsidRPr="006B53C9">
        <w:rPr>
          <w:rFonts w:ascii="Times New Roman" w:hAnsi="Times New Roman"/>
        </w:rPr>
        <w:t>case</w:t>
      </w:r>
      <w:proofErr w:type="gramEnd"/>
    </w:p>
    <w:p w14:paraId="5C93FB54"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On 1 May 2017, a consignment of five Xerox printers arrived in Melbourne from Mexico. The consignment was intercepted and inspected by Australian Border Force officers, who discovered 22.4 kg of cocaine concealed within the consignment, with a content of 15.46 kg of pure cocaine. Australian Federal Police officers substituted an inert substance for the cocaine and placed a listening device and a tracking device within the consignment.</w:t>
      </w:r>
    </w:p>
    <w:p w14:paraId="341DA640"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On the afternoon of 8 May 2017, the consignment was delivered to the premises of Overall Auto Care, as part of a "controlled delivery" conducted by police. Delivery was accepted by Mr </w:t>
      </w:r>
      <w:proofErr w:type="spellStart"/>
      <w:r w:rsidRPr="006B53C9">
        <w:rPr>
          <w:rFonts w:ascii="Times New Roman" w:hAnsi="Times New Roman"/>
        </w:rPr>
        <w:t>Rohen</w:t>
      </w:r>
      <w:proofErr w:type="spellEnd"/>
      <w:r w:rsidRPr="006B53C9">
        <w:rPr>
          <w:rFonts w:ascii="Times New Roman" w:hAnsi="Times New Roman"/>
        </w:rPr>
        <w:t>, who introduced himself as "Mark Hart". The consignment was collected from the Overall Auto Care premises later that day by Mr </w:t>
      </w:r>
      <w:proofErr w:type="spellStart"/>
      <w:r w:rsidRPr="006B53C9">
        <w:rPr>
          <w:rFonts w:ascii="Times New Roman" w:hAnsi="Times New Roman"/>
        </w:rPr>
        <w:t>Tambakakis</w:t>
      </w:r>
      <w:proofErr w:type="spellEnd"/>
      <w:r w:rsidRPr="006B53C9">
        <w:rPr>
          <w:rFonts w:ascii="Times New Roman" w:hAnsi="Times New Roman"/>
        </w:rPr>
        <w:t xml:space="preserve">, who took it on the back of a "skip" truck to the Campbellfield premises of his business, GT Skips. It was then taken to a secure yard in </w:t>
      </w:r>
      <w:proofErr w:type="spellStart"/>
      <w:r w:rsidRPr="006B53C9">
        <w:rPr>
          <w:rFonts w:ascii="Times New Roman" w:hAnsi="Times New Roman"/>
        </w:rPr>
        <w:t>Randor</w:t>
      </w:r>
      <w:proofErr w:type="spellEnd"/>
      <w:r w:rsidRPr="006B53C9">
        <w:rPr>
          <w:rFonts w:ascii="Times New Roman" w:hAnsi="Times New Roman"/>
        </w:rPr>
        <w:t xml:space="preserve"> Street, Campbellfield, used by Mr </w:t>
      </w:r>
      <w:proofErr w:type="spellStart"/>
      <w:r w:rsidRPr="006B53C9">
        <w:rPr>
          <w:rFonts w:ascii="Times New Roman" w:hAnsi="Times New Roman"/>
        </w:rPr>
        <w:t>Tambakakis</w:t>
      </w:r>
      <w:proofErr w:type="spellEnd"/>
      <w:r w:rsidRPr="006B53C9">
        <w:rPr>
          <w:rFonts w:ascii="Times New Roman" w:hAnsi="Times New Roman"/>
        </w:rPr>
        <w:t xml:space="preserve"> for his GT Skips business. That evening, Mr </w:t>
      </w:r>
      <w:proofErr w:type="spellStart"/>
      <w:r w:rsidRPr="006B53C9">
        <w:rPr>
          <w:rFonts w:ascii="Times New Roman" w:hAnsi="Times New Roman"/>
        </w:rPr>
        <w:t>Tambakakis</w:t>
      </w:r>
      <w:proofErr w:type="spellEnd"/>
      <w:r w:rsidRPr="006B53C9">
        <w:rPr>
          <w:rFonts w:ascii="Times New Roman" w:hAnsi="Times New Roman"/>
        </w:rPr>
        <w:t xml:space="preserve"> was seen driving a Jeep car, with false number plates, slowly down </w:t>
      </w:r>
      <w:proofErr w:type="spellStart"/>
      <w:r w:rsidRPr="006B53C9">
        <w:rPr>
          <w:rFonts w:ascii="Times New Roman" w:hAnsi="Times New Roman"/>
        </w:rPr>
        <w:t>Randor</w:t>
      </w:r>
      <w:proofErr w:type="spellEnd"/>
      <w:r w:rsidRPr="006B53C9">
        <w:rPr>
          <w:rFonts w:ascii="Times New Roman" w:hAnsi="Times New Roman"/>
        </w:rPr>
        <w:t xml:space="preserve"> Street and stopping to ask the occupants of another car – who were undercover police officers – for directions. Mr </w:t>
      </w:r>
      <w:proofErr w:type="spellStart"/>
      <w:r w:rsidRPr="006B53C9">
        <w:rPr>
          <w:rFonts w:ascii="Times New Roman" w:hAnsi="Times New Roman"/>
        </w:rPr>
        <w:t>Awad's</w:t>
      </w:r>
      <w:proofErr w:type="spellEnd"/>
      <w:r w:rsidRPr="006B53C9">
        <w:rPr>
          <w:rFonts w:ascii="Times New Roman" w:hAnsi="Times New Roman"/>
        </w:rPr>
        <w:t xml:space="preserve"> car was also seen in the vicinity of </w:t>
      </w:r>
      <w:proofErr w:type="spellStart"/>
      <w:r w:rsidRPr="006B53C9">
        <w:rPr>
          <w:rFonts w:ascii="Times New Roman" w:hAnsi="Times New Roman"/>
        </w:rPr>
        <w:t>Randor</w:t>
      </w:r>
      <w:proofErr w:type="spellEnd"/>
      <w:r w:rsidRPr="006B53C9">
        <w:rPr>
          <w:rFonts w:ascii="Times New Roman" w:hAnsi="Times New Roman"/>
        </w:rPr>
        <w:t xml:space="preserve"> Street.</w:t>
      </w:r>
    </w:p>
    <w:p w14:paraId="707FABD4"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The next evening, on 9 May 2017, the consignment was collected from the </w:t>
      </w:r>
      <w:proofErr w:type="spellStart"/>
      <w:r w:rsidRPr="006B53C9">
        <w:rPr>
          <w:rFonts w:ascii="Times New Roman" w:hAnsi="Times New Roman"/>
        </w:rPr>
        <w:t>Randor</w:t>
      </w:r>
      <w:proofErr w:type="spellEnd"/>
      <w:r w:rsidRPr="006B53C9">
        <w:rPr>
          <w:rFonts w:ascii="Times New Roman" w:hAnsi="Times New Roman"/>
        </w:rPr>
        <w:t xml:space="preserve"> Street yard and taken to Mr </w:t>
      </w:r>
      <w:proofErr w:type="spellStart"/>
      <w:r w:rsidRPr="006B53C9">
        <w:rPr>
          <w:rFonts w:ascii="Times New Roman" w:hAnsi="Times New Roman"/>
        </w:rPr>
        <w:t>Kanati's</w:t>
      </w:r>
      <w:proofErr w:type="spellEnd"/>
      <w:r w:rsidRPr="006B53C9">
        <w:rPr>
          <w:rFonts w:ascii="Times New Roman" w:hAnsi="Times New Roman"/>
        </w:rPr>
        <w:t xml:space="preserve"> house in a Budget rental truck that had been hired shortly beforehand by Mr </w:t>
      </w:r>
      <w:proofErr w:type="spellStart"/>
      <w:r w:rsidRPr="006B53C9">
        <w:rPr>
          <w:rFonts w:ascii="Times New Roman" w:hAnsi="Times New Roman"/>
        </w:rPr>
        <w:t>Rohen</w:t>
      </w:r>
      <w:proofErr w:type="spellEnd"/>
      <w:r w:rsidRPr="006B53C9">
        <w:rPr>
          <w:rFonts w:ascii="Times New Roman" w:hAnsi="Times New Roman"/>
        </w:rPr>
        <w:t>.</w:t>
      </w:r>
    </w:p>
    <w:p w14:paraId="6CEFE843"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On the evening of 10 May 2017, Mr </w:t>
      </w:r>
      <w:proofErr w:type="spellStart"/>
      <w:r w:rsidRPr="006B53C9">
        <w:rPr>
          <w:rFonts w:ascii="Times New Roman" w:hAnsi="Times New Roman"/>
        </w:rPr>
        <w:t>Tambakakis</w:t>
      </w:r>
      <w:proofErr w:type="spellEnd"/>
      <w:r w:rsidRPr="006B53C9">
        <w:rPr>
          <w:rFonts w:ascii="Times New Roman" w:hAnsi="Times New Roman"/>
        </w:rPr>
        <w:t xml:space="preserve"> drove a Kia van to Mr </w:t>
      </w:r>
      <w:proofErr w:type="spellStart"/>
      <w:r w:rsidRPr="006B53C9">
        <w:rPr>
          <w:rFonts w:ascii="Times New Roman" w:hAnsi="Times New Roman"/>
        </w:rPr>
        <w:t>Kanati's</w:t>
      </w:r>
      <w:proofErr w:type="spellEnd"/>
      <w:r w:rsidRPr="006B53C9">
        <w:rPr>
          <w:rFonts w:ascii="Times New Roman" w:hAnsi="Times New Roman"/>
        </w:rPr>
        <w:t xml:space="preserve"> house and left it there. Mr </w:t>
      </w:r>
      <w:proofErr w:type="spellStart"/>
      <w:r w:rsidRPr="006B53C9">
        <w:rPr>
          <w:rFonts w:ascii="Times New Roman" w:hAnsi="Times New Roman"/>
        </w:rPr>
        <w:t>Tambakakis</w:t>
      </w:r>
      <w:proofErr w:type="spellEnd"/>
      <w:r w:rsidRPr="006B53C9">
        <w:rPr>
          <w:rFonts w:ascii="Times New Roman" w:hAnsi="Times New Roman"/>
        </w:rPr>
        <w:t xml:space="preserve"> was then picked up by Mr </w:t>
      </w:r>
      <w:proofErr w:type="spellStart"/>
      <w:r w:rsidRPr="006B53C9">
        <w:rPr>
          <w:rFonts w:ascii="Times New Roman" w:hAnsi="Times New Roman"/>
        </w:rPr>
        <w:t>Awad</w:t>
      </w:r>
      <w:proofErr w:type="spellEnd"/>
      <w:r w:rsidRPr="006B53C9">
        <w:rPr>
          <w:rFonts w:ascii="Times New Roman" w:hAnsi="Times New Roman"/>
        </w:rPr>
        <w:t xml:space="preserve"> and they drove to Mr </w:t>
      </w:r>
      <w:proofErr w:type="spellStart"/>
      <w:r w:rsidRPr="006B53C9">
        <w:rPr>
          <w:rFonts w:ascii="Times New Roman" w:hAnsi="Times New Roman"/>
        </w:rPr>
        <w:t>Tambakakis</w:t>
      </w:r>
      <w:proofErr w:type="spellEnd"/>
      <w:r w:rsidRPr="006B53C9">
        <w:rPr>
          <w:rFonts w:ascii="Times New Roman" w:hAnsi="Times New Roman"/>
        </w:rPr>
        <w:t>' apartment. At 5.26 pm, Mr </w:t>
      </w:r>
      <w:proofErr w:type="spellStart"/>
      <w:r w:rsidRPr="006B53C9">
        <w:rPr>
          <w:rFonts w:ascii="Times New Roman" w:hAnsi="Times New Roman"/>
        </w:rPr>
        <w:t>Kanati</w:t>
      </w:r>
      <w:proofErr w:type="spellEnd"/>
      <w:r w:rsidRPr="006B53C9">
        <w:rPr>
          <w:rFonts w:ascii="Times New Roman" w:hAnsi="Times New Roman"/>
        </w:rPr>
        <w:t xml:space="preserve"> drove the Kia van, loaded with the consignment, to King Street, Airport West. He drove in convoy with a white BMW that was registered to Mr </w:t>
      </w:r>
      <w:proofErr w:type="spellStart"/>
      <w:r w:rsidRPr="006B53C9">
        <w:rPr>
          <w:rFonts w:ascii="Times New Roman" w:hAnsi="Times New Roman"/>
        </w:rPr>
        <w:t>Rohen</w:t>
      </w:r>
      <w:proofErr w:type="spellEnd"/>
      <w:r w:rsidRPr="006B53C9">
        <w:rPr>
          <w:rFonts w:ascii="Times New Roman" w:hAnsi="Times New Roman"/>
        </w:rPr>
        <w:t>. Earlier in the afternoon, the white BMW had been seen driving up and down Shaftsbury Street, with Mr </w:t>
      </w:r>
      <w:proofErr w:type="spellStart"/>
      <w:r w:rsidRPr="006B53C9">
        <w:rPr>
          <w:rFonts w:ascii="Times New Roman" w:hAnsi="Times New Roman"/>
        </w:rPr>
        <w:t>Kanati</w:t>
      </w:r>
      <w:proofErr w:type="spellEnd"/>
      <w:r w:rsidRPr="006B53C9">
        <w:rPr>
          <w:rFonts w:ascii="Times New Roman" w:hAnsi="Times New Roman"/>
        </w:rPr>
        <w:t xml:space="preserve"> periodically coming out of his house to speak with the driver. Surveillance officers had also previously observed Mr </w:t>
      </w:r>
      <w:proofErr w:type="spellStart"/>
      <w:r w:rsidRPr="006B53C9">
        <w:rPr>
          <w:rFonts w:ascii="Times New Roman" w:hAnsi="Times New Roman"/>
        </w:rPr>
        <w:t>Awad</w:t>
      </w:r>
      <w:proofErr w:type="spellEnd"/>
      <w:r w:rsidRPr="006B53C9">
        <w:rPr>
          <w:rFonts w:ascii="Times New Roman" w:hAnsi="Times New Roman"/>
        </w:rPr>
        <w:t xml:space="preserve"> walking around a football oval while speaking with a man who was driving the white BMW. It was agreed that Mr </w:t>
      </w:r>
      <w:proofErr w:type="spellStart"/>
      <w:r w:rsidRPr="006B53C9">
        <w:rPr>
          <w:rFonts w:ascii="Times New Roman" w:hAnsi="Times New Roman"/>
        </w:rPr>
        <w:t>Rohen</w:t>
      </w:r>
      <w:proofErr w:type="spellEnd"/>
      <w:r w:rsidRPr="006B53C9">
        <w:rPr>
          <w:rFonts w:ascii="Times New Roman" w:hAnsi="Times New Roman"/>
        </w:rPr>
        <w:t xml:space="preserve"> was not the driver on either of those earlier occasions.</w:t>
      </w:r>
    </w:p>
    <w:p w14:paraId="4AAE431B"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At 5.53 pm on 10 May 2017, Mr </w:t>
      </w:r>
      <w:proofErr w:type="spellStart"/>
      <w:r w:rsidRPr="006B53C9">
        <w:rPr>
          <w:rFonts w:ascii="Times New Roman" w:hAnsi="Times New Roman"/>
        </w:rPr>
        <w:t>Kanati</w:t>
      </w:r>
      <w:proofErr w:type="spellEnd"/>
      <w:r w:rsidRPr="006B53C9">
        <w:rPr>
          <w:rFonts w:ascii="Times New Roman" w:hAnsi="Times New Roman"/>
        </w:rPr>
        <w:t xml:space="preserve"> parked the Kia van in King Street. The white BMW was also parked in King Street, facing the Kia van, with its headlights on. Shortly afterwards, Mr </w:t>
      </w:r>
      <w:proofErr w:type="spellStart"/>
      <w:r w:rsidRPr="006B53C9">
        <w:rPr>
          <w:rFonts w:ascii="Times New Roman" w:hAnsi="Times New Roman"/>
        </w:rPr>
        <w:t>Tambakakis</w:t>
      </w:r>
      <w:proofErr w:type="spellEnd"/>
      <w:r w:rsidRPr="006B53C9">
        <w:rPr>
          <w:rFonts w:ascii="Times New Roman" w:hAnsi="Times New Roman"/>
        </w:rPr>
        <w:t xml:space="preserve"> and Mr </w:t>
      </w:r>
      <w:proofErr w:type="spellStart"/>
      <w:r w:rsidRPr="006B53C9">
        <w:rPr>
          <w:rFonts w:ascii="Times New Roman" w:hAnsi="Times New Roman"/>
        </w:rPr>
        <w:t>Awad</w:t>
      </w:r>
      <w:proofErr w:type="spellEnd"/>
      <w:r w:rsidRPr="006B53C9">
        <w:rPr>
          <w:rFonts w:ascii="Times New Roman" w:hAnsi="Times New Roman"/>
        </w:rPr>
        <w:t xml:space="preserve"> arrived at the nearby Autobarn car park. CCTV footage showed them walking out of the car park at 6.07 pm.</w:t>
      </w:r>
    </w:p>
    <w:p w14:paraId="1A514AE3"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At 6.13 pm, Mr </w:t>
      </w:r>
      <w:proofErr w:type="spellStart"/>
      <w:r w:rsidRPr="006B53C9">
        <w:rPr>
          <w:rFonts w:ascii="Times New Roman" w:hAnsi="Times New Roman"/>
        </w:rPr>
        <w:t>Kanati</w:t>
      </w:r>
      <w:proofErr w:type="spellEnd"/>
      <w:r w:rsidRPr="006B53C9">
        <w:rPr>
          <w:rFonts w:ascii="Times New Roman" w:hAnsi="Times New Roman"/>
        </w:rPr>
        <w:t xml:space="preserve"> drove the Kia van down King Street. CCTV footage showed Mr </w:t>
      </w:r>
      <w:proofErr w:type="spellStart"/>
      <w:r w:rsidRPr="006B53C9">
        <w:rPr>
          <w:rFonts w:ascii="Times New Roman" w:hAnsi="Times New Roman"/>
        </w:rPr>
        <w:t>Tambakakis</w:t>
      </w:r>
      <w:proofErr w:type="spellEnd"/>
      <w:r w:rsidRPr="006B53C9">
        <w:rPr>
          <w:rFonts w:ascii="Times New Roman" w:hAnsi="Times New Roman"/>
        </w:rPr>
        <w:t xml:space="preserve"> walking on the southern side of that street and Mr </w:t>
      </w:r>
      <w:proofErr w:type="spellStart"/>
      <w:r w:rsidRPr="006B53C9">
        <w:rPr>
          <w:rFonts w:ascii="Times New Roman" w:hAnsi="Times New Roman"/>
        </w:rPr>
        <w:t>Awad</w:t>
      </w:r>
      <w:proofErr w:type="spellEnd"/>
      <w:r w:rsidRPr="006B53C9">
        <w:rPr>
          <w:rFonts w:ascii="Times New Roman" w:hAnsi="Times New Roman"/>
        </w:rPr>
        <w:t xml:space="preserve"> </w:t>
      </w:r>
      <w:r w:rsidRPr="006B53C9">
        <w:rPr>
          <w:rFonts w:ascii="Times New Roman" w:hAnsi="Times New Roman"/>
        </w:rPr>
        <w:lastRenderedPageBreak/>
        <w:t>walking on the northern side of the street. At 6.18 pm, Mr </w:t>
      </w:r>
      <w:proofErr w:type="spellStart"/>
      <w:r w:rsidRPr="006B53C9">
        <w:rPr>
          <w:rFonts w:ascii="Times New Roman" w:hAnsi="Times New Roman"/>
        </w:rPr>
        <w:t>Kanati</w:t>
      </w:r>
      <w:proofErr w:type="spellEnd"/>
      <w:r w:rsidRPr="006B53C9">
        <w:rPr>
          <w:rFonts w:ascii="Times New Roman" w:hAnsi="Times New Roman"/>
        </w:rPr>
        <w:t xml:space="preserve"> did a U</w:t>
      </w:r>
      <w:r w:rsidRPr="006B53C9">
        <w:rPr>
          <w:rFonts w:ascii="Times New Roman" w:hAnsi="Times New Roman"/>
        </w:rPr>
        <w:noBreakHyphen/>
        <w:t>turn, parked the Kia van, and collected an unidentified man. At 6.25 pm, the Kia van was driven down King Street. At 6.29 pm, it was driven into a warehouse at Halsey Road, Airport West, where the consignment was unloaded. The warehouse had been leased by Mr </w:t>
      </w:r>
      <w:proofErr w:type="spellStart"/>
      <w:r w:rsidRPr="006B53C9">
        <w:rPr>
          <w:rFonts w:ascii="Times New Roman" w:hAnsi="Times New Roman"/>
        </w:rPr>
        <w:t>Tambakakis</w:t>
      </w:r>
      <w:proofErr w:type="spellEnd"/>
      <w:r w:rsidRPr="006B53C9">
        <w:rPr>
          <w:rFonts w:ascii="Times New Roman" w:hAnsi="Times New Roman"/>
        </w:rPr>
        <w:t xml:space="preserve"> using a false name.</w:t>
      </w:r>
    </w:p>
    <w:p w14:paraId="3BB2A568"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At 6.55 pm, Mr </w:t>
      </w:r>
      <w:proofErr w:type="spellStart"/>
      <w:r w:rsidRPr="006B53C9">
        <w:rPr>
          <w:rFonts w:ascii="Times New Roman" w:hAnsi="Times New Roman"/>
        </w:rPr>
        <w:t>Tambakakis</w:t>
      </w:r>
      <w:proofErr w:type="spellEnd"/>
      <w:r w:rsidRPr="006B53C9">
        <w:rPr>
          <w:rFonts w:ascii="Times New Roman" w:hAnsi="Times New Roman"/>
        </w:rPr>
        <w:t xml:space="preserve"> drove the Kia van, no longer containing the consignment, from the warehouse and parked it in a car park in King Street. At 7.02 pm, CCTV footage showed Mr </w:t>
      </w:r>
      <w:proofErr w:type="spellStart"/>
      <w:r w:rsidRPr="006B53C9">
        <w:rPr>
          <w:rFonts w:ascii="Times New Roman" w:hAnsi="Times New Roman"/>
        </w:rPr>
        <w:t>Tambakakis</w:t>
      </w:r>
      <w:proofErr w:type="spellEnd"/>
      <w:r w:rsidRPr="006B53C9">
        <w:rPr>
          <w:rFonts w:ascii="Times New Roman" w:hAnsi="Times New Roman"/>
        </w:rPr>
        <w:t xml:space="preserve"> and Mr </w:t>
      </w:r>
      <w:proofErr w:type="spellStart"/>
      <w:r w:rsidRPr="006B53C9">
        <w:rPr>
          <w:rFonts w:ascii="Times New Roman" w:hAnsi="Times New Roman"/>
        </w:rPr>
        <w:t>Awad</w:t>
      </w:r>
      <w:proofErr w:type="spellEnd"/>
      <w:r w:rsidRPr="006B53C9">
        <w:rPr>
          <w:rFonts w:ascii="Times New Roman" w:hAnsi="Times New Roman"/>
        </w:rPr>
        <w:t xml:space="preserve"> walking back to the Autobarn car park. They drove away and were later arrested in Mr </w:t>
      </w:r>
      <w:proofErr w:type="spellStart"/>
      <w:r w:rsidRPr="006B53C9">
        <w:rPr>
          <w:rFonts w:ascii="Times New Roman" w:hAnsi="Times New Roman"/>
        </w:rPr>
        <w:t>Awad's</w:t>
      </w:r>
      <w:proofErr w:type="spellEnd"/>
      <w:r w:rsidRPr="006B53C9">
        <w:rPr>
          <w:rFonts w:ascii="Times New Roman" w:hAnsi="Times New Roman"/>
        </w:rPr>
        <w:t xml:space="preserve"> car. A search of the car revealed: (</w:t>
      </w:r>
      <w:proofErr w:type="spellStart"/>
      <w:r w:rsidRPr="006B53C9">
        <w:rPr>
          <w:rFonts w:ascii="Times New Roman" w:hAnsi="Times New Roman"/>
        </w:rPr>
        <w:t>i</w:t>
      </w:r>
      <w:proofErr w:type="spellEnd"/>
      <w:r w:rsidRPr="006B53C9">
        <w:rPr>
          <w:rFonts w:ascii="Times New Roman" w:hAnsi="Times New Roman"/>
        </w:rPr>
        <w:t>) a Hawk Sweep electronic scanner; (ii) a backpack containing a vacuum sealer and multiple plastic vacuum seal bags; and (iii) a key to the Kia van.</w:t>
      </w:r>
    </w:p>
    <w:p w14:paraId="4F80506F"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When investigators entered the warehouse at 10.55 pm, they discovered that only one box in the consignment had been opened. The printer had been removed from that box, </w:t>
      </w:r>
      <w:r w:rsidRPr="006B53C9" w:rsidDel="0038765B">
        <w:rPr>
          <w:rFonts w:ascii="Times New Roman" w:hAnsi="Times New Roman"/>
        </w:rPr>
        <w:t>the</w:t>
      </w:r>
      <w:r w:rsidRPr="006B53C9">
        <w:rPr>
          <w:rFonts w:ascii="Times New Roman" w:hAnsi="Times New Roman"/>
        </w:rPr>
        <w:t xml:space="preserve"> paper tray taken out, and the substituted package removed from that tray. The package had been cut open and the surveillance devices removed. A hard case for the Hawk Sweep electronic scanner and digital scales were also found at the warehouse. Mr </w:t>
      </w:r>
      <w:proofErr w:type="spellStart"/>
      <w:r w:rsidRPr="006B53C9">
        <w:rPr>
          <w:rFonts w:ascii="Times New Roman" w:hAnsi="Times New Roman"/>
        </w:rPr>
        <w:t>Kanati's</w:t>
      </w:r>
      <w:proofErr w:type="spellEnd"/>
      <w:r w:rsidRPr="006B53C9">
        <w:rPr>
          <w:rFonts w:ascii="Times New Roman" w:hAnsi="Times New Roman"/>
        </w:rPr>
        <w:t xml:space="preserve"> fingerprints were found on two of the unopened boxes in the warehouse. Mr </w:t>
      </w:r>
      <w:proofErr w:type="spellStart"/>
      <w:r w:rsidRPr="006B53C9">
        <w:rPr>
          <w:rFonts w:ascii="Times New Roman" w:hAnsi="Times New Roman"/>
        </w:rPr>
        <w:t>Rohen's</w:t>
      </w:r>
      <w:proofErr w:type="spellEnd"/>
      <w:r w:rsidRPr="006B53C9">
        <w:rPr>
          <w:rFonts w:ascii="Times New Roman" w:hAnsi="Times New Roman"/>
        </w:rPr>
        <w:t xml:space="preserve"> left palm print was found on the top of one of the unopened boxes. </w:t>
      </w:r>
      <w:bookmarkStart w:id="7" w:name="_Hlk114502663"/>
      <w:r w:rsidRPr="006B53C9">
        <w:rPr>
          <w:rFonts w:ascii="Times New Roman" w:hAnsi="Times New Roman"/>
        </w:rPr>
        <w:t>DNA and fingerprint analysis of items seized from the warehouse and of the Kia van did not reveal any match to Mr </w:t>
      </w:r>
      <w:proofErr w:type="spellStart"/>
      <w:r w:rsidRPr="006B53C9">
        <w:rPr>
          <w:rFonts w:ascii="Times New Roman" w:hAnsi="Times New Roman"/>
        </w:rPr>
        <w:t>Awad</w:t>
      </w:r>
      <w:proofErr w:type="spellEnd"/>
      <w:r w:rsidRPr="006B53C9">
        <w:rPr>
          <w:rFonts w:ascii="Times New Roman" w:hAnsi="Times New Roman"/>
        </w:rPr>
        <w:t>.</w:t>
      </w:r>
      <w:bookmarkEnd w:id="7"/>
      <w:r w:rsidRPr="006B53C9">
        <w:rPr>
          <w:rFonts w:ascii="Times New Roman" w:hAnsi="Times New Roman"/>
        </w:rPr>
        <w:t xml:space="preserve"> However, Mr </w:t>
      </w:r>
      <w:proofErr w:type="spellStart"/>
      <w:r w:rsidRPr="006B53C9">
        <w:rPr>
          <w:rFonts w:ascii="Times New Roman" w:hAnsi="Times New Roman"/>
        </w:rPr>
        <w:t>Awad's</w:t>
      </w:r>
      <w:proofErr w:type="spellEnd"/>
      <w:r w:rsidRPr="006B53C9">
        <w:rPr>
          <w:rFonts w:ascii="Times New Roman" w:hAnsi="Times New Roman"/>
        </w:rPr>
        <w:t xml:space="preserve"> fingerprints were found on the vacuum sealer in the backpack seized by police when they searched his car following the arrest.</w:t>
      </w:r>
    </w:p>
    <w:p w14:paraId="089AA15F"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The prosecution case was that 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r w:rsidRPr="006B53C9">
        <w:rPr>
          <w:rFonts w:ascii="Times New Roman" w:hAnsi="Times New Roman"/>
        </w:rPr>
        <w:t xml:space="preserve"> got into the Kia van shortly prior to 6.25 pm, when it was driven to the warehouse. At the warehouse, 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r w:rsidRPr="006B53C9">
        <w:rPr>
          <w:rFonts w:ascii="Times New Roman" w:hAnsi="Times New Roman"/>
        </w:rPr>
        <w:t xml:space="preserve"> helped to unload the consignment and scan it for surveillance devices with the Hawk Sweep electronic scanner (with the sounds of scanning being detected on the listening device), before leaving at 6.55 pm. On the prosecution case, therefore: (</w:t>
      </w:r>
      <w:proofErr w:type="spellStart"/>
      <w:r w:rsidRPr="006B53C9">
        <w:rPr>
          <w:rFonts w:ascii="Times New Roman" w:hAnsi="Times New Roman"/>
        </w:rPr>
        <w:t>i</w:t>
      </w:r>
      <w:proofErr w:type="spellEnd"/>
      <w:r w:rsidRPr="006B53C9">
        <w:rPr>
          <w:rFonts w:ascii="Times New Roman" w:hAnsi="Times New Roman"/>
        </w:rPr>
        <w:t>) Mr </w:t>
      </w:r>
      <w:proofErr w:type="spellStart"/>
      <w:r w:rsidRPr="006B53C9">
        <w:rPr>
          <w:rFonts w:ascii="Times New Roman" w:hAnsi="Times New Roman"/>
        </w:rPr>
        <w:t>Awad</w:t>
      </w:r>
      <w:proofErr w:type="spellEnd"/>
      <w:r w:rsidRPr="006B53C9">
        <w:rPr>
          <w:rFonts w:ascii="Times New Roman" w:hAnsi="Times New Roman"/>
        </w:rPr>
        <w:t xml:space="preserve"> was in possession of the substance in the consignment from 6.25 pm until 6.55 pm when he left the warehouse; and (ii) Mr </w:t>
      </w:r>
      <w:proofErr w:type="spellStart"/>
      <w:r w:rsidRPr="006B53C9">
        <w:rPr>
          <w:rFonts w:ascii="Times New Roman" w:hAnsi="Times New Roman"/>
        </w:rPr>
        <w:t>Tambakakis</w:t>
      </w:r>
      <w:proofErr w:type="spellEnd"/>
      <w:r w:rsidRPr="006B53C9">
        <w:rPr>
          <w:rFonts w:ascii="Times New Roman" w:hAnsi="Times New Roman"/>
        </w:rPr>
        <w:t xml:space="preserve"> was in possession of the substance in the consignment from the time he collected the consignment from Overall Auto Care on 8 May 2017 until it was unloaded from the Kia van in the warehouse.</w:t>
      </w:r>
    </w:p>
    <w:p w14:paraId="2F2D7455" w14:textId="77777777" w:rsidR="00D06A72" w:rsidRPr="006B53C9" w:rsidRDefault="00D06A72" w:rsidP="006B53C9">
      <w:pPr>
        <w:pStyle w:val="HeadingL2"/>
        <w:spacing w:after="260" w:line="280" w:lineRule="exact"/>
        <w:ind w:right="0"/>
        <w:jc w:val="both"/>
        <w:rPr>
          <w:rFonts w:ascii="Times New Roman" w:hAnsi="Times New Roman"/>
        </w:rPr>
      </w:pPr>
      <w:r w:rsidRPr="006B53C9">
        <w:rPr>
          <w:rFonts w:ascii="Times New Roman" w:hAnsi="Times New Roman"/>
        </w:rPr>
        <w:t>The defence cases</w:t>
      </w:r>
    </w:p>
    <w:p w14:paraId="7DD4AAE8"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Mr </w:t>
      </w:r>
      <w:proofErr w:type="spellStart"/>
      <w:r w:rsidRPr="006B53C9">
        <w:rPr>
          <w:rFonts w:ascii="Times New Roman" w:hAnsi="Times New Roman"/>
        </w:rPr>
        <w:t>Awad</w:t>
      </w:r>
      <w:proofErr w:type="spellEnd"/>
      <w:r w:rsidRPr="006B53C9">
        <w:rPr>
          <w:rFonts w:ascii="Times New Roman" w:hAnsi="Times New Roman"/>
        </w:rPr>
        <w:t xml:space="preserve"> did not give evidence. As the trial judge instructed the jury, Mr </w:t>
      </w:r>
      <w:proofErr w:type="spellStart"/>
      <w:r w:rsidRPr="006B53C9">
        <w:rPr>
          <w:rFonts w:ascii="Times New Roman" w:hAnsi="Times New Roman"/>
        </w:rPr>
        <w:t>Awad's</w:t>
      </w:r>
      <w:proofErr w:type="spellEnd"/>
      <w:r w:rsidRPr="006B53C9">
        <w:rPr>
          <w:rFonts w:ascii="Times New Roman" w:hAnsi="Times New Roman"/>
        </w:rPr>
        <w:t xml:space="preserve"> case relied "significantly on the evidence of Mr </w:t>
      </w:r>
      <w:proofErr w:type="spellStart"/>
      <w:r w:rsidRPr="006B53C9">
        <w:rPr>
          <w:rFonts w:ascii="Times New Roman" w:hAnsi="Times New Roman"/>
        </w:rPr>
        <w:t>Tambakakis</w:t>
      </w:r>
      <w:proofErr w:type="spellEnd"/>
      <w:r w:rsidRPr="006B53C9">
        <w:rPr>
          <w:rFonts w:ascii="Times New Roman" w:hAnsi="Times New Roman"/>
        </w:rPr>
        <w:t>". Mr </w:t>
      </w:r>
      <w:proofErr w:type="spellStart"/>
      <w:r w:rsidRPr="006B53C9">
        <w:rPr>
          <w:rFonts w:ascii="Times New Roman" w:hAnsi="Times New Roman"/>
        </w:rPr>
        <w:t>Tambakakis</w:t>
      </w:r>
      <w:proofErr w:type="spellEnd"/>
      <w:r w:rsidRPr="006B53C9">
        <w:rPr>
          <w:rFonts w:ascii="Times New Roman" w:hAnsi="Times New Roman"/>
        </w:rPr>
        <w:t xml:space="preserve"> gave evidence as follows.</w:t>
      </w:r>
    </w:p>
    <w:p w14:paraId="62AD71CD"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Mr </w:t>
      </w:r>
      <w:proofErr w:type="spellStart"/>
      <w:r w:rsidRPr="006B53C9">
        <w:rPr>
          <w:rFonts w:ascii="Times New Roman" w:hAnsi="Times New Roman"/>
        </w:rPr>
        <w:t>Tambakakis</w:t>
      </w:r>
      <w:proofErr w:type="spellEnd"/>
      <w:r w:rsidRPr="006B53C9">
        <w:rPr>
          <w:rFonts w:ascii="Times New Roman" w:hAnsi="Times New Roman"/>
        </w:rPr>
        <w:t xml:space="preserve"> denied any intention to possess cocaine. He said that he had acted at the direction of his personal trainer and business partner, Mr Edwards. The </w:t>
      </w:r>
      <w:r w:rsidRPr="006B53C9">
        <w:rPr>
          <w:rFonts w:ascii="Times New Roman" w:hAnsi="Times New Roman"/>
        </w:rPr>
        <w:lastRenderedPageBreak/>
        <w:t>core of Mr </w:t>
      </w:r>
      <w:proofErr w:type="spellStart"/>
      <w:r w:rsidRPr="006B53C9">
        <w:rPr>
          <w:rFonts w:ascii="Times New Roman" w:hAnsi="Times New Roman"/>
        </w:rPr>
        <w:t>Tambakakis</w:t>
      </w:r>
      <w:proofErr w:type="spellEnd"/>
      <w:r w:rsidRPr="006B53C9">
        <w:rPr>
          <w:rFonts w:ascii="Times New Roman" w:hAnsi="Times New Roman"/>
        </w:rPr>
        <w:t>' defence was that he thought the consignment contained steroid tablets. Mr </w:t>
      </w:r>
      <w:proofErr w:type="spellStart"/>
      <w:r w:rsidRPr="006B53C9">
        <w:rPr>
          <w:rFonts w:ascii="Times New Roman" w:hAnsi="Times New Roman"/>
        </w:rPr>
        <w:t>Tambakakis</w:t>
      </w:r>
      <w:proofErr w:type="spellEnd"/>
      <w:r w:rsidRPr="006B53C9">
        <w:rPr>
          <w:rFonts w:ascii="Times New Roman" w:hAnsi="Times New Roman"/>
        </w:rPr>
        <w:t xml:space="preserve"> said that Mr Edwards had previously received a shipment of large terracotta pots containing steroids and that he and Mr Edwards had vacuum sealed and repackaged at least five kilograms of those steroids at the warehouse. They had packaging left over afterwards and Mr Edwards had remarked, "we'll end up using all these bottles", leading Mr </w:t>
      </w:r>
      <w:proofErr w:type="spellStart"/>
      <w:r w:rsidRPr="006B53C9">
        <w:rPr>
          <w:rFonts w:ascii="Times New Roman" w:hAnsi="Times New Roman"/>
        </w:rPr>
        <w:t>Tambakakis</w:t>
      </w:r>
      <w:proofErr w:type="spellEnd"/>
      <w:r w:rsidRPr="006B53C9">
        <w:rPr>
          <w:rFonts w:ascii="Times New Roman" w:hAnsi="Times New Roman"/>
        </w:rPr>
        <w:t xml:space="preserve"> to understand that "more [steroids] would come". Mr Edwards and Mr </w:t>
      </w:r>
      <w:proofErr w:type="spellStart"/>
      <w:r w:rsidRPr="006B53C9">
        <w:rPr>
          <w:rFonts w:ascii="Times New Roman" w:hAnsi="Times New Roman"/>
        </w:rPr>
        <w:t>Tambakakis</w:t>
      </w:r>
      <w:proofErr w:type="spellEnd"/>
      <w:r w:rsidRPr="006B53C9">
        <w:rPr>
          <w:rFonts w:ascii="Times New Roman" w:hAnsi="Times New Roman"/>
        </w:rPr>
        <w:t xml:space="preserve"> intended to distribute steroids to make money for a proposed business at the warehouse involving recycling clothes. They needed money for the business </w:t>
      </w:r>
      <w:proofErr w:type="gramStart"/>
      <w:r w:rsidRPr="006B53C9">
        <w:rPr>
          <w:rFonts w:ascii="Times New Roman" w:hAnsi="Times New Roman"/>
        </w:rPr>
        <w:t>in order to</w:t>
      </w:r>
      <w:proofErr w:type="gramEnd"/>
      <w:r w:rsidRPr="006B53C9">
        <w:rPr>
          <w:rFonts w:ascii="Times New Roman" w:hAnsi="Times New Roman"/>
        </w:rPr>
        <w:t xml:space="preserve"> pay for the bins in which the clothes would be collected. The reason Mr </w:t>
      </w:r>
      <w:proofErr w:type="spellStart"/>
      <w:r w:rsidRPr="006B53C9">
        <w:rPr>
          <w:rFonts w:ascii="Times New Roman" w:hAnsi="Times New Roman"/>
        </w:rPr>
        <w:t>Tambakakis</w:t>
      </w:r>
      <w:proofErr w:type="spellEnd"/>
      <w:r w:rsidRPr="006B53C9">
        <w:rPr>
          <w:rFonts w:ascii="Times New Roman" w:hAnsi="Times New Roman"/>
        </w:rPr>
        <w:t xml:space="preserve"> had leased the warehouse in a false name was that he had a credit default on his record.</w:t>
      </w:r>
    </w:p>
    <w:p w14:paraId="32F3B87D"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Mr </w:t>
      </w:r>
      <w:proofErr w:type="spellStart"/>
      <w:r w:rsidRPr="006B53C9">
        <w:rPr>
          <w:rFonts w:ascii="Times New Roman" w:hAnsi="Times New Roman"/>
        </w:rPr>
        <w:t>Tambakakis</w:t>
      </w:r>
      <w:proofErr w:type="spellEnd"/>
      <w:r w:rsidRPr="006B53C9">
        <w:rPr>
          <w:rFonts w:ascii="Times New Roman" w:hAnsi="Times New Roman"/>
        </w:rPr>
        <w:t xml:space="preserve"> transported the consignment to the </w:t>
      </w:r>
      <w:proofErr w:type="spellStart"/>
      <w:r w:rsidRPr="006B53C9">
        <w:rPr>
          <w:rFonts w:ascii="Times New Roman" w:hAnsi="Times New Roman"/>
        </w:rPr>
        <w:t>Randor</w:t>
      </w:r>
      <w:proofErr w:type="spellEnd"/>
      <w:r w:rsidRPr="006B53C9">
        <w:rPr>
          <w:rFonts w:ascii="Times New Roman" w:hAnsi="Times New Roman"/>
        </w:rPr>
        <w:t xml:space="preserve"> Street yard on 8 May 2017 as a favour to Mr Edwards, who he believed was in Thailand. Mr Edwards had promised to pay him $2,500 "for an hour's work". That evening, Mr </w:t>
      </w:r>
      <w:proofErr w:type="spellStart"/>
      <w:r w:rsidRPr="006B53C9">
        <w:rPr>
          <w:rFonts w:ascii="Times New Roman" w:hAnsi="Times New Roman"/>
        </w:rPr>
        <w:t>Tambakakis</w:t>
      </w:r>
      <w:proofErr w:type="spellEnd"/>
      <w:r w:rsidRPr="006B53C9">
        <w:rPr>
          <w:rFonts w:ascii="Times New Roman" w:hAnsi="Times New Roman"/>
        </w:rPr>
        <w:t xml:space="preserve"> drove around the streets near the </w:t>
      </w:r>
      <w:proofErr w:type="spellStart"/>
      <w:r w:rsidRPr="006B53C9">
        <w:rPr>
          <w:rFonts w:ascii="Times New Roman" w:hAnsi="Times New Roman"/>
        </w:rPr>
        <w:t>Randor</w:t>
      </w:r>
      <w:proofErr w:type="spellEnd"/>
      <w:r w:rsidRPr="006B53C9">
        <w:rPr>
          <w:rFonts w:ascii="Times New Roman" w:hAnsi="Times New Roman"/>
        </w:rPr>
        <w:t xml:space="preserve"> Street yard checking parked cars because Mr Edwards had told him that the consignment was "worth a stack" and wanted to check if law enforcement was aware of the steroid shipment. The Jeep car that Mr </w:t>
      </w:r>
      <w:proofErr w:type="spellStart"/>
      <w:r w:rsidRPr="006B53C9">
        <w:rPr>
          <w:rFonts w:ascii="Times New Roman" w:hAnsi="Times New Roman"/>
        </w:rPr>
        <w:t>Tambakakis</w:t>
      </w:r>
      <w:proofErr w:type="spellEnd"/>
      <w:r w:rsidRPr="006B53C9">
        <w:rPr>
          <w:rFonts w:ascii="Times New Roman" w:hAnsi="Times New Roman"/>
        </w:rPr>
        <w:t xml:space="preserve"> drove was owned by Mr Edwards, but Mr </w:t>
      </w:r>
      <w:proofErr w:type="spellStart"/>
      <w:r w:rsidRPr="006B53C9">
        <w:rPr>
          <w:rFonts w:ascii="Times New Roman" w:hAnsi="Times New Roman"/>
        </w:rPr>
        <w:t>Tambakakis</w:t>
      </w:r>
      <w:proofErr w:type="spellEnd"/>
      <w:r w:rsidRPr="006B53C9">
        <w:rPr>
          <w:rFonts w:ascii="Times New Roman" w:hAnsi="Times New Roman"/>
        </w:rPr>
        <w:t xml:space="preserve"> knew that it had false plates.</w:t>
      </w:r>
    </w:p>
    <w:p w14:paraId="4AF96648"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Mr </w:t>
      </w:r>
      <w:proofErr w:type="spellStart"/>
      <w:r w:rsidRPr="006B53C9">
        <w:rPr>
          <w:rFonts w:ascii="Times New Roman" w:hAnsi="Times New Roman"/>
        </w:rPr>
        <w:t>Tambakakis</w:t>
      </w:r>
      <w:proofErr w:type="spellEnd"/>
      <w:r w:rsidRPr="006B53C9">
        <w:rPr>
          <w:rFonts w:ascii="Times New Roman" w:hAnsi="Times New Roman"/>
        </w:rPr>
        <w:t xml:space="preserve"> accepted in cross</w:t>
      </w:r>
      <w:r w:rsidRPr="006B53C9">
        <w:rPr>
          <w:rFonts w:ascii="Times New Roman" w:hAnsi="Times New Roman"/>
        </w:rPr>
        <w:noBreakHyphen/>
        <w:t>examination that he met with Mr </w:t>
      </w:r>
      <w:proofErr w:type="spellStart"/>
      <w:r w:rsidRPr="006B53C9">
        <w:rPr>
          <w:rFonts w:ascii="Times New Roman" w:hAnsi="Times New Roman"/>
        </w:rPr>
        <w:t>Awad</w:t>
      </w:r>
      <w:proofErr w:type="spellEnd"/>
      <w:r w:rsidRPr="006B53C9">
        <w:rPr>
          <w:rFonts w:ascii="Times New Roman" w:hAnsi="Times New Roman"/>
        </w:rPr>
        <w:t xml:space="preserve"> on the evening of 8 May 2017, but he said that it was "just a social meeting" to "catch up for a bite to eat". During that meeting, they agreed that Mr </w:t>
      </w:r>
      <w:proofErr w:type="spellStart"/>
      <w:r w:rsidRPr="006B53C9">
        <w:rPr>
          <w:rFonts w:ascii="Times New Roman" w:hAnsi="Times New Roman"/>
        </w:rPr>
        <w:t>Awad</w:t>
      </w:r>
      <w:proofErr w:type="spellEnd"/>
      <w:r w:rsidRPr="006B53C9">
        <w:rPr>
          <w:rFonts w:ascii="Times New Roman" w:hAnsi="Times New Roman"/>
        </w:rPr>
        <w:t xml:space="preserve"> would receive sample bottles of steroids for a friend who would buy more if his friend was satisfied.</w:t>
      </w:r>
    </w:p>
    <w:p w14:paraId="5CD5ADF3"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On 9 May 2017, Mr Edwards asked Mr </w:t>
      </w:r>
      <w:proofErr w:type="spellStart"/>
      <w:r w:rsidRPr="006B53C9">
        <w:rPr>
          <w:rFonts w:ascii="Times New Roman" w:hAnsi="Times New Roman"/>
        </w:rPr>
        <w:t>Tambakakis</w:t>
      </w:r>
      <w:proofErr w:type="spellEnd"/>
      <w:r w:rsidRPr="006B53C9">
        <w:rPr>
          <w:rFonts w:ascii="Times New Roman" w:hAnsi="Times New Roman"/>
        </w:rPr>
        <w:t xml:space="preserve"> to help with repackaging the steroids. Mr </w:t>
      </w:r>
      <w:proofErr w:type="spellStart"/>
      <w:r w:rsidRPr="006B53C9">
        <w:rPr>
          <w:rFonts w:ascii="Times New Roman" w:hAnsi="Times New Roman"/>
        </w:rPr>
        <w:t>Tambakakis</w:t>
      </w:r>
      <w:proofErr w:type="spellEnd"/>
      <w:r w:rsidRPr="006B53C9">
        <w:rPr>
          <w:rFonts w:ascii="Times New Roman" w:hAnsi="Times New Roman"/>
        </w:rPr>
        <w:t xml:space="preserve"> initially refused but then agreed after Mr Edwards offered him a cut of the profits: "he said, 'I'll give you 10 per cent, it should be about 20 or 30 K.'"</w:t>
      </w:r>
    </w:p>
    <w:p w14:paraId="0C7F1C4C"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On 10 May 2017, at the direction of Mr Edwards, Mr </w:t>
      </w:r>
      <w:proofErr w:type="spellStart"/>
      <w:r w:rsidRPr="006B53C9">
        <w:rPr>
          <w:rFonts w:ascii="Times New Roman" w:hAnsi="Times New Roman"/>
        </w:rPr>
        <w:t>Tambakakis</w:t>
      </w:r>
      <w:proofErr w:type="spellEnd"/>
      <w:r w:rsidRPr="006B53C9">
        <w:rPr>
          <w:rFonts w:ascii="Times New Roman" w:hAnsi="Times New Roman"/>
        </w:rPr>
        <w:t xml:space="preserve"> drove the Kia van to Mr </w:t>
      </w:r>
      <w:proofErr w:type="spellStart"/>
      <w:r w:rsidRPr="006B53C9">
        <w:rPr>
          <w:rFonts w:ascii="Times New Roman" w:hAnsi="Times New Roman"/>
        </w:rPr>
        <w:t>Kanati's</w:t>
      </w:r>
      <w:proofErr w:type="spellEnd"/>
      <w:r w:rsidRPr="006B53C9">
        <w:rPr>
          <w:rFonts w:ascii="Times New Roman" w:hAnsi="Times New Roman"/>
        </w:rPr>
        <w:t xml:space="preserve"> house. Mr </w:t>
      </w:r>
      <w:proofErr w:type="spellStart"/>
      <w:r w:rsidRPr="006B53C9">
        <w:rPr>
          <w:rFonts w:ascii="Times New Roman" w:hAnsi="Times New Roman"/>
        </w:rPr>
        <w:t>Awad</w:t>
      </w:r>
      <w:proofErr w:type="spellEnd"/>
      <w:r w:rsidRPr="006B53C9">
        <w:rPr>
          <w:rFonts w:ascii="Times New Roman" w:hAnsi="Times New Roman"/>
        </w:rPr>
        <w:t xml:space="preserve"> picked Mr </w:t>
      </w:r>
      <w:proofErr w:type="spellStart"/>
      <w:r w:rsidRPr="006B53C9">
        <w:rPr>
          <w:rFonts w:ascii="Times New Roman" w:hAnsi="Times New Roman"/>
        </w:rPr>
        <w:t>Tambakakis</w:t>
      </w:r>
      <w:proofErr w:type="spellEnd"/>
      <w:r w:rsidRPr="006B53C9">
        <w:rPr>
          <w:rFonts w:ascii="Times New Roman" w:hAnsi="Times New Roman"/>
        </w:rPr>
        <w:t xml:space="preserve"> up from Mr </w:t>
      </w:r>
      <w:proofErr w:type="spellStart"/>
      <w:r w:rsidRPr="006B53C9">
        <w:rPr>
          <w:rFonts w:ascii="Times New Roman" w:hAnsi="Times New Roman"/>
        </w:rPr>
        <w:t>Kanati's</w:t>
      </w:r>
      <w:proofErr w:type="spellEnd"/>
      <w:r w:rsidRPr="006B53C9">
        <w:rPr>
          <w:rFonts w:ascii="Times New Roman" w:hAnsi="Times New Roman"/>
        </w:rPr>
        <w:t xml:space="preserve"> house. As Mr </w:t>
      </w:r>
      <w:proofErr w:type="spellStart"/>
      <w:r w:rsidRPr="006B53C9">
        <w:rPr>
          <w:rFonts w:ascii="Times New Roman" w:hAnsi="Times New Roman"/>
        </w:rPr>
        <w:t>Awad</w:t>
      </w:r>
      <w:proofErr w:type="spellEnd"/>
      <w:r w:rsidRPr="006B53C9">
        <w:rPr>
          <w:rFonts w:ascii="Times New Roman" w:hAnsi="Times New Roman"/>
        </w:rPr>
        <w:t xml:space="preserve"> was interested in obtaining samples of the steroids, Mr </w:t>
      </w:r>
      <w:proofErr w:type="spellStart"/>
      <w:r w:rsidRPr="006B53C9">
        <w:rPr>
          <w:rFonts w:ascii="Times New Roman" w:hAnsi="Times New Roman"/>
        </w:rPr>
        <w:t>Tambakakis</w:t>
      </w:r>
      <w:proofErr w:type="spellEnd"/>
      <w:r w:rsidRPr="006B53C9">
        <w:rPr>
          <w:rFonts w:ascii="Times New Roman" w:hAnsi="Times New Roman"/>
        </w:rPr>
        <w:t xml:space="preserve"> had asked Mr </w:t>
      </w:r>
      <w:proofErr w:type="spellStart"/>
      <w:r w:rsidRPr="006B53C9">
        <w:rPr>
          <w:rFonts w:ascii="Times New Roman" w:hAnsi="Times New Roman"/>
        </w:rPr>
        <w:t>Awad</w:t>
      </w:r>
      <w:proofErr w:type="spellEnd"/>
      <w:r w:rsidRPr="006B53C9">
        <w:rPr>
          <w:rFonts w:ascii="Times New Roman" w:hAnsi="Times New Roman"/>
        </w:rPr>
        <w:t xml:space="preserve"> to pick him up and said that they could go to get the steroids together, requesting that he bring "a set of scales and a </w:t>
      </w:r>
      <w:proofErr w:type="spellStart"/>
      <w:r w:rsidRPr="006B53C9">
        <w:rPr>
          <w:rFonts w:ascii="Times New Roman" w:hAnsi="Times New Roman"/>
        </w:rPr>
        <w:t>cryovac</w:t>
      </w:r>
      <w:proofErr w:type="spellEnd"/>
      <w:r w:rsidRPr="006B53C9">
        <w:rPr>
          <w:rFonts w:ascii="Times New Roman" w:hAnsi="Times New Roman"/>
        </w:rPr>
        <w:t xml:space="preserve"> machine". But Mr </w:t>
      </w:r>
      <w:proofErr w:type="spellStart"/>
      <w:r w:rsidRPr="006B53C9">
        <w:rPr>
          <w:rFonts w:ascii="Times New Roman" w:hAnsi="Times New Roman"/>
        </w:rPr>
        <w:t>Awad</w:t>
      </w:r>
      <w:proofErr w:type="spellEnd"/>
      <w:r w:rsidRPr="006B53C9">
        <w:rPr>
          <w:rFonts w:ascii="Times New Roman" w:hAnsi="Times New Roman"/>
        </w:rPr>
        <w:t xml:space="preserve"> had not brought scales, so they drove to Mr </w:t>
      </w:r>
      <w:proofErr w:type="spellStart"/>
      <w:r w:rsidRPr="006B53C9">
        <w:rPr>
          <w:rFonts w:ascii="Times New Roman" w:hAnsi="Times New Roman"/>
        </w:rPr>
        <w:t>Tambakakis</w:t>
      </w:r>
      <w:proofErr w:type="spellEnd"/>
      <w:r w:rsidRPr="006B53C9">
        <w:rPr>
          <w:rFonts w:ascii="Times New Roman" w:hAnsi="Times New Roman"/>
        </w:rPr>
        <w:t>' apartment where Mr </w:t>
      </w:r>
      <w:proofErr w:type="spellStart"/>
      <w:r w:rsidRPr="006B53C9">
        <w:rPr>
          <w:rFonts w:ascii="Times New Roman" w:hAnsi="Times New Roman"/>
        </w:rPr>
        <w:t>Tambakakis</w:t>
      </w:r>
      <w:proofErr w:type="spellEnd"/>
      <w:r w:rsidRPr="006B53C9">
        <w:rPr>
          <w:rFonts w:ascii="Times New Roman" w:hAnsi="Times New Roman"/>
        </w:rPr>
        <w:t xml:space="preserve"> obtained scales and gloves to package steroids. They then drove to the Autobarn in Airport West.</w:t>
      </w:r>
    </w:p>
    <w:p w14:paraId="036D3AFF"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It was planned that Mr </w:t>
      </w:r>
      <w:proofErr w:type="spellStart"/>
      <w:r w:rsidRPr="006B53C9">
        <w:rPr>
          <w:rFonts w:ascii="Times New Roman" w:hAnsi="Times New Roman"/>
        </w:rPr>
        <w:t>Tambakakis</w:t>
      </w:r>
      <w:proofErr w:type="spellEnd"/>
      <w:r w:rsidRPr="006B53C9">
        <w:rPr>
          <w:rFonts w:ascii="Times New Roman" w:hAnsi="Times New Roman"/>
        </w:rPr>
        <w:t xml:space="preserve"> and Mr </w:t>
      </w:r>
      <w:proofErr w:type="spellStart"/>
      <w:r w:rsidRPr="006B53C9">
        <w:rPr>
          <w:rFonts w:ascii="Times New Roman" w:hAnsi="Times New Roman"/>
        </w:rPr>
        <w:t>Awad</w:t>
      </w:r>
      <w:proofErr w:type="spellEnd"/>
      <w:r w:rsidRPr="006B53C9">
        <w:rPr>
          <w:rFonts w:ascii="Times New Roman" w:hAnsi="Times New Roman"/>
        </w:rPr>
        <w:t xml:space="preserve"> would enter the Kia van and go to the warehouse. However, after they had parked in the Autobarn car park and walked to the Kia van, Mr </w:t>
      </w:r>
      <w:proofErr w:type="spellStart"/>
      <w:r w:rsidRPr="006B53C9">
        <w:rPr>
          <w:rFonts w:ascii="Times New Roman" w:hAnsi="Times New Roman"/>
        </w:rPr>
        <w:t>Awad</w:t>
      </w:r>
      <w:proofErr w:type="spellEnd"/>
      <w:r w:rsidRPr="006B53C9">
        <w:rPr>
          <w:rFonts w:ascii="Times New Roman" w:hAnsi="Times New Roman"/>
        </w:rPr>
        <w:t xml:space="preserve"> did not get in the van. Instead, </w:t>
      </w:r>
      <w:r w:rsidRPr="006B53C9">
        <w:rPr>
          <w:rFonts w:ascii="Times New Roman" w:hAnsi="Times New Roman"/>
        </w:rPr>
        <w:lastRenderedPageBreak/>
        <w:t>Mr </w:t>
      </w:r>
      <w:proofErr w:type="spellStart"/>
      <w:r w:rsidRPr="006B53C9">
        <w:rPr>
          <w:rFonts w:ascii="Times New Roman" w:hAnsi="Times New Roman"/>
        </w:rPr>
        <w:t>Tambakakis</w:t>
      </w:r>
      <w:proofErr w:type="spellEnd"/>
      <w:r w:rsidRPr="006B53C9">
        <w:rPr>
          <w:rFonts w:ascii="Times New Roman" w:hAnsi="Times New Roman"/>
        </w:rPr>
        <w:t xml:space="preserve"> took Mr </w:t>
      </w:r>
      <w:proofErr w:type="spellStart"/>
      <w:r w:rsidRPr="006B53C9">
        <w:rPr>
          <w:rFonts w:ascii="Times New Roman" w:hAnsi="Times New Roman"/>
        </w:rPr>
        <w:t>Awad's</w:t>
      </w:r>
      <w:proofErr w:type="spellEnd"/>
      <w:r w:rsidRPr="006B53C9">
        <w:rPr>
          <w:rFonts w:ascii="Times New Roman" w:hAnsi="Times New Roman"/>
        </w:rPr>
        <w:t xml:space="preserve"> backpack containing the </w:t>
      </w:r>
      <w:proofErr w:type="spellStart"/>
      <w:r w:rsidRPr="006B53C9">
        <w:rPr>
          <w:rFonts w:ascii="Times New Roman" w:hAnsi="Times New Roman"/>
        </w:rPr>
        <w:t>cryovac</w:t>
      </w:r>
      <w:proofErr w:type="spellEnd"/>
      <w:r w:rsidRPr="006B53C9">
        <w:rPr>
          <w:rFonts w:ascii="Times New Roman" w:hAnsi="Times New Roman"/>
        </w:rPr>
        <w:t xml:space="preserve"> machine and put it in the Kia van, before Mr </w:t>
      </w:r>
      <w:proofErr w:type="spellStart"/>
      <w:r w:rsidRPr="006B53C9">
        <w:rPr>
          <w:rFonts w:ascii="Times New Roman" w:hAnsi="Times New Roman"/>
        </w:rPr>
        <w:t>Tambakakis</w:t>
      </w:r>
      <w:proofErr w:type="spellEnd"/>
      <w:r w:rsidRPr="006B53C9">
        <w:rPr>
          <w:rFonts w:ascii="Times New Roman" w:hAnsi="Times New Roman"/>
        </w:rPr>
        <w:t xml:space="preserve"> got into the driver's seat. The only people in the Kia van were Mr </w:t>
      </w:r>
      <w:proofErr w:type="spellStart"/>
      <w:r w:rsidRPr="006B53C9">
        <w:rPr>
          <w:rFonts w:ascii="Times New Roman" w:hAnsi="Times New Roman"/>
        </w:rPr>
        <w:t>Tambakakis</w:t>
      </w:r>
      <w:proofErr w:type="spellEnd"/>
      <w:r w:rsidRPr="006B53C9">
        <w:rPr>
          <w:rFonts w:ascii="Times New Roman" w:hAnsi="Times New Roman"/>
        </w:rPr>
        <w:t xml:space="preserve"> and Mr </w:t>
      </w:r>
      <w:proofErr w:type="spellStart"/>
      <w:r w:rsidRPr="006B53C9">
        <w:rPr>
          <w:rFonts w:ascii="Times New Roman" w:hAnsi="Times New Roman"/>
        </w:rPr>
        <w:t>Rohen</w:t>
      </w:r>
      <w:proofErr w:type="spellEnd"/>
      <w:r w:rsidRPr="006B53C9">
        <w:rPr>
          <w:rFonts w:ascii="Times New Roman" w:hAnsi="Times New Roman"/>
        </w:rPr>
        <w:t>. Mr Edwards had expressed a concern that his friends would "rip him off" so Mr </w:t>
      </w:r>
      <w:proofErr w:type="spellStart"/>
      <w:r w:rsidRPr="006B53C9">
        <w:rPr>
          <w:rFonts w:ascii="Times New Roman" w:hAnsi="Times New Roman"/>
        </w:rPr>
        <w:t>Awad</w:t>
      </w:r>
      <w:proofErr w:type="spellEnd"/>
      <w:r w:rsidRPr="006B53C9">
        <w:rPr>
          <w:rFonts w:ascii="Times New Roman" w:hAnsi="Times New Roman"/>
        </w:rPr>
        <w:t xml:space="preserve"> did not get into the van. Mr </w:t>
      </w:r>
      <w:proofErr w:type="spellStart"/>
      <w:r w:rsidRPr="006B53C9">
        <w:rPr>
          <w:rFonts w:ascii="Times New Roman" w:hAnsi="Times New Roman"/>
        </w:rPr>
        <w:t>Awad</w:t>
      </w:r>
      <w:proofErr w:type="spellEnd"/>
      <w:r w:rsidRPr="006B53C9">
        <w:rPr>
          <w:rFonts w:ascii="Times New Roman" w:hAnsi="Times New Roman"/>
        </w:rPr>
        <w:t xml:space="preserve"> was concerned that "if [Mr Edwards] didn't want his boys to ... know where the warehouse was then he wouldn't want [Mr </w:t>
      </w:r>
      <w:proofErr w:type="spellStart"/>
      <w:r w:rsidRPr="006B53C9">
        <w:rPr>
          <w:rFonts w:ascii="Times New Roman" w:hAnsi="Times New Roman"/>
        </w:rPr>
        <w:t>Awad</w:t>
      </w:r>
      <w:proofErr w:type="spellEnd"/>
      <w:r w:rsidRPr="006B53C9">
        <w:rPr>
          <w:rFonts w:ascii="Times New Roman" w:hAnsi="Times New Roman"/>
        </w:rPr>
        <w:t>] to know where the warehouse was". Mr </w:t>
      </w:r>
      <w:proofErr w:type="spellStart"/>
      <w:r w:rsidRPr="006B53C9">
        <w:rPr>
          <w:rFonts w:ascii="Times New Roman" w:hAnsi="Times New Roman"/>
        </w:rPr>
        <w:t>Tambakakis</w:t>
      </w:r>
      <w:proofErr w:type="spellEnd"/>
      <w:r w:rsidRPr="006B53C9">
        <w:rPr>
          <w:rFonts w:ascii="Times New Roman" w:hAnsi="Times New Roman"/>
        </w:rPr>
        <w:t xml:space="preserve"> told Mr </w:t>
      </w:r>
      <w:proofErr w:type="spellStart"/>
      <w:r w:rsidRPr="006B53C9">
        <w:rPr>
          <w:rFonts w:ascii="Times New Roman" w:hAnsi="Times New Roman"/>
        </w:rPr>
        <w:t>Awad</w:t>
      </w:r>
      <w:proofErr w:type="spellEnd"/>
      <w:r w:rsidRPr="006B53C9">
        <w:rPr>
          <w:rFonts w:ascii="Times New Roman" w:hAnsi="Times New Roman"/>
        </w:rPr>
        <w:t xml:space="preserve"> to wait, and that he would be back in ten minutes.</w:t>
      </w:r>
    </w:p>
    <w:p w14:paraId="107D02A2"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Mr </w:t>
      </w:r>
      <w:proofErr w:type="spellStart"/>
      <w:r w:rsidRPr="006B53C9">
        <w:rPr>
          <w:rFonts w:ascii="Times New Roman" w:hAnsi="Times New Roman"/>
        </w:rPr>
        <w:t>Tambakakis</w:t>
      </w:r>
      <w:proofErr w:type="spellEnd"/>
      <w:r w:rsidRPr="006B53C9">
        <w:rPr>
          <w:rFonts w:ascii="Times New Roman" w:hAnsi="Times New Roman"/>
        </w:rPr>
        <w:t>' evidence was therefore that he was seated in the driver's seat of the Kia van and Mr </w:t>
      </w:r>
      <w:proofErr w:type="spellStart"/>
      <w:r w:rsidRPr="006B53C9">
        <w:rPr>
          <w:rFonts w:ascii="Times New Roman" w:hAnsi="Times New Roman"/>
        </w:rPr>
        <w:t>Rohen</w:t>
      </w:r>
      <w:proofErr w:type="spellEnd"/>
      <w:r w:rsidRPr="006B53C9">
        <w:rPr>
          <w:rFonts w:ascii="Times New Roman" w:hAnsi="Times New Roman"/>
        </w:rPr>
        <w:t xml:space="preserve"> was seated in the passenger seat. Mr </w:t>
      </w:r>
      <w:proofErr w:type="spellStart"/>
      <w:r w:rsidRPr="006B53C9">
        <w:rPr>
          <w:rFonts w:ascii="Times New Roman" w:hAnsi="Times New Roman"/>
        </w:rPr>
        <w:t>Tambakakis</w:t>
      </w:r>
      <w:proofErr w:type="spellEnd"/>
      <w:r w:rsidRPr="006B53C9">
        <w:rPr>
          <w:rFonts w:ascii="Times New Roman" w:hAnsi="Times New Roman"/>
        </w:rPr>
        <w:t xml:space="preserve"> accepted that his voice was recorded on the listening device, remarking to Mr </w:t>
      </w:r>
      <w:proofErr w:type="spellStart"/>
      <w:r w:rsidRPr="006B53C9">
        <w:rPr>
          <w:rFonts w:ascii="Times New Roman" w:hAnsi="Times New Roman"/>
        </w:rPr>
        <w:t>Rohen</w:t>
      </w:r>
      <w:proofErr w:type="spellEnd"/>
      <w:r w:rsidRPr="006B53C9">
        <w:rPr>
          <w:rFonts w:ascii="Times New Roman" w:hAnsi="Times New Roman"/>
        </w:rPr>
        <w:t xml:space="preserve"> about the short stature of the previous driver. Mr </w:t>
      </w:r>
      <w:proofErr w:type="spellStart"/>
      <w:r w:rsidRPr="006B53C9">
        <w:rPr>
          <w:rFonts w:ascii="Times New Roman" w:hAnsi="Times New Roman"/>
        </w:rPr>
        <w:t>Tambakakis</w:t>
      </w:r>
      <w:proofErr w:type="spellEnd"/>
      <w:r w:rsidRPr="006B53C9">
        <w:rPr>
          <w:rFonts w:ascii="Times New Roman" w:hAnsi="Times New Roman"/>
        </w:rPr>
        <w:t xml:space="preserve"> explained that this remark was prompted by the fact that the driver's seat was "pretty far forward". In that exchange, Mr </w:t>
      </w:r>
      <w:proofErr w:type="spellStart"/>
      <w:r w:rsidRPr="006B53C9">
        <w:rPr>
          <w:rFonts w:ascii="Times New Roman" w:hAnsi="Times New Roman"/>
        </w:rPr>
        <w:t>Tambakakis</w:t>
      </w:r>
      <w:proofErr w:type="spellEnd"/>
      <w:r w:rsidRPr="006B53C9">
        <w:rPr>
          <w:rFonts w:ascii="Times New Roman" w:hAnsi="Times New Roman"/>
        </w:rPr>
        <w:t xml:space="preserve"> twice referred to the previous driver in the third person, although on his own account the immediately previous driver was Mr </w:t>
      </w:r>
      <w:proofErr w:type="spellStart"/>
      <w:r w:rsidRPr="006B53C9">
        <w:rPr>
          <w:rFonts w:ascii="Times New Roman" w:hAnsi="Times New Roman"/>
        </w:rPr>
        <w:t>Rohen</w:t>
      </w:r>
      <w:proofErr w:type="spellEnd"/>
      <w:r w:rsidRPr="006B53C9">
        <w:rPr>
          <w:rFonts w:ascii="Times New Roman" w:hAnsi="Times New Roman"/>
        </w:rPr>
        <w:t>, the person to whom he was speaking. Mr </w:t>
      </w:r>
      <w:proofErr w:type="spellStart"/>
      <w:r w:rsidRPr="006B53C9">
        <w:rPr>
          <w:rFonts w:ascii="Times New Roman" w:hAnsi="Times New Roman"/>
        </w:rPr>
        <w:t>Tambakakis</w:t>
      </w:r>
      <w:proofErr w:type="spellEnd"/>
      <w:r w:rsidRPr="006B53C9">
        <w:rPr>
          <w:rFonts w:ascii="Times New Roman" w:hAnsi="Times New Roman"/>
        </w:rPr>
        <w:t xml:space="preserve"> maintained in cross</w:t>
      </w:r>
      <w:r w:rsidRPr="006B53C9">
        <w:rPr>
          <w:rFonts w:ascii="Times New Roman" w:hAnsi="Times New Roman"/>
        </w:rPr>
        <w:noBreakHyphen/>
        <w:t>examination that he was not talking about Mr </w:t>
      </w:r>
      <w:proofErr w:type="spellStart"/>
      <w:r w:rsidRPr="006B53C9">
        <w:rPr>
          <w:rFonts w:ascii="Times New Roman" w:hAnsi="Times New Roman"/>
        </w:rPr>
        <w:t>Rohen</w:t>
      </w:r>
      <w:proofErr w:type="spellEnd"/>
      <w:r w:rsidRPr="006B53C9">
        <w:rPr>
          <w:rFonts w:ascii="Times New Roman" w:hAnsi="Times New Roman"/>
        </w:rPr>
        <w:t>.</w:t>
      </w:r>
    </w:p>
    <w:p w14:paraId="26DACAF5"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When Mr </w:t>
      </w:r>
      <w:proofErr w:type="spellStart"/>
      <w:r w:rsidRPr="006B53C9">
        <w:rPr>
          <w:rFonts w:ascii="Times New Roman" w:hAnsi="Times New Roman"/>
        </w:rPr>
        <w:t>Tambakakis</w:t>
      </w:r>
      <w:proofErr w:type="spellEnd"/>
      <w:r w:rsidRPr="006B53C9">
        <w:rPr>
          <w:rFonts w:ascii="Times New Roman" w:hAnsi="Times New Roman"/>
        </w:rPr>
        <w:t xml:space="preserve"> arrived at the warehouse with Mr </w:t>
      </w:r>
      <w:proofErr w:type="spellStart"/>
      <w:r w:rsidRPr="006B53C9">
        <w:rPr>
          <w:rFonts w:ascii="Times New Roman" w:hAnsi="Times New Roman"/>
        </w:rPr>
        <w:t>Rohen</w:t>
      </w:r>
      <w:proofErr w:type="spellEnd"/>
      <w:r w:rsidRPr="006B53C9">
        <w:rPr>
          <w:rFonts w:ascii="Times New Roman" w:hAnsi="Times New Roman"/>
        </w:rPr>
        <w:t>, a friend of Mr Edwards who Mr </w:t>
      </w:r>
      <w:proofErr w:type="spellStart"/>
      <w:r w:rsidRPr="006B53C9">
        <w:rPr>
          <w:rFonts w:ascii="Times New Roman" w:hAnsi="Times New Roman"/>
        </w:rPr>
        <w:t>Tambakakis</w:t>
      </w:r>
      <w:proofErr w:type="spellEnd"/>
      <w:r w:rsidRPr="006B53C9">
        <w:rPr>
          <w:rFonts w:ascii="Times New Roman" w:hAnsi="Times New Roman"/>
        </w:rPr>
        <w:t xml:space="preserve"> knew as "Sam" was already there. Mr </w:t>
      </w:r>
      <w:proofErr w:type="spellStart"/>
      <w:r w:rsidRPr="006B53C9">
        <w:rPr>
          <w:rFonts w:ascii="Times New Roman" w:hAnsi="Times New Roman"/>
        </w:rPr>
        <w:t>Rohen</w:t>
      </w:r>
      <w:proofErr w:type="spellEnd"/>
      <w:r w:rsidRPr="006B53C9">
        <w:rPr>
          <w:rFonts w:ascii="Times New Roman" w:hAnsi="Times New Roman"/>
        </w:rPr>
        <w:t xml:space="preserve"> and Sam scanned the boxes in the Kia van and Mr </w:t>
      </w:r>
      <w:proofErr w:type="spellStart"/>
      <w:r w:rsidRPr="006B53C9">
        <w:rPr>
          <w:rFonts w:ascii="Times New Roman" w:hAnsi="Times New Roman"/>
        </w:rPr>
        <w:t>Tambakakis</w:t>
      </w:r>
      <w:proofErr w:type="spellEnd"/>
      <w:r w:rsidRPr="006B53C9">
        <w:rPr>
          <w:rFonts w:ascii="Times New Roman" w:hAnsi="Times New Roman"/>
        </w:rPr>
        <w:t xml:space="preserve"> helped them move the boxes into the warehouse. Sam opened one of the boxes, walked into the warehouse kitchenette with a package, and then came out "pretty frantic and freaked out", telling the others that it was "off" and to get out. Mr </w:t>
      </w:r>
      <w:proofErr w:type="spellStart"/>
      <w:r w:rsidRPr="006B53C9">
        <w:rPr>
          <w:rFonts w:ascii="Times New Roman" w:hAnsi="Times New Roman"/>
        </w:rPr>
        <w:t>Tambakakis</w:t>
      </w:r>
      <w:proofErr w:type="spellEnd"/>
      <w:r w:rsidRPr="006B53C9">
        <w:rPr>
          <w:rFonts w:ascii="Times New Roman" w:hAnsi="Times New Roman"/>
        </w:rPr>
        <w:t xml:space="preserve"> left with Mr </w:t>
      </w:r>
      <w:proofErr w:type="spellStart"/>
      <w:r w:rsidRPr="006B53C9">
        <w:rPr>
          <w:rFonts w:ascii="Times New Roman" w:hAnsi="Times New Roman"/>
        </w:rPr>
        <w:t>Rohen</w:t>
      </w:r>
      <w:proofErr w:type="spellEnd"/>
      <w:r w:rsidRPr="006B53C9">
        <w:rPr>
          <w:rFonts w:ascii="Times New Roman" w:hAnsi="Times New Roman"/>
        </w:rPr>
        <w:t xml:space="preserve"> and Sam in the Kia van. The others soon got out of the Kia van and Mr </w:t>
      </w:r>
      <w:proofErr w:type="spellStart"/>
      <w:r w:rsidRPr="006B53C9">
        <w:rPr>
          <w:rFonts w:ascii="Times New Roman" w:hAnsi="Times New Roman"/>
        </w:rPr>
        <w:t>Tambakakis</w:t>
      </w:r>
      <w:proofErr w:type="spellEnd"/>
      <w:r w:rsidRPr="006B53C9">
        <w:rPr>
          <w:rFonts w:ascii="Times New Roman" w:hAnsi="Times New Roman"/>
        </w:rPr>
        <w:t xml:space="preserve"> drove back to King Street where, upon seeing Mr </w:t>
      </w:r>
      <w:proofErr w:type="spellStart"/>
      <w:r w:rsidRPr="006B53C9">
        <w:rPr>
          <w:rFonts w:ascii="Times New Roman" w:hAnsi="Times New Roman"/>
        </w:rPr>
        <w:t>Awad</w:t>
      </w:r>
      <w:proofErr w:type="spellEnd"/>
      <w:r w:rsidRPr="006B53C9">
        <w:rPr>
          <w:rFonts w:ascii="Times New Roman" w:hAnsi="Times New Roman"/>
        </w:rPr>
        <w:t>, he parked the Kia van, threw Mr </w:t>
      </w:r>
      <w:proofErr w:type="spellStart"/>
      <w:r w:rsidRPr="006B53C9">
        <w:rPr>
          <w:rFonts w:ascii="Times New Roman" w:hAnsi="Times New Roman"/>
        </w:rPr>
        <w:t>Awad's</w:t>
      </w:r>
      <w:proofErr w:type="spellEnd"/>
      <w:r w:rsidRPr="006B53C9">
        <w:rPr>
          <w:rFonts w:ascii="Times New Roman" w:hAnsi="Times New Roman"/>
        </w:rPr>
        <w:t xml:space="preserve"> backpack to him, and took the scanner that had been left in the Kia van. Mr </w:t>
      </w:r>
      <w:proofErr w:type="spellStart"/>
      <w:r w:rsidRPr="006B53C9">
        <w:rPr>
          <w:rFonts w:ascii="Times New Roman" w:hAnsi="Times New Roman"/>
        </w:rPr>
        <w:t>Tambakakis</w:t>
      </w:r>
      <w:proofErr w:type="spellEnd"/>
      <w:r w:rsidRPr="006B53C9">
        <w:rPr>
          <w:rFonts w:ascii="Times New Roman" w:hAnsi="Times New Roman"/>
        </w:rPr>
        <w:t xml:space="preserve"> and Mr </w:t>
      </w:r>
      <w:proofErr w:type="spellStart"/>
      <w:r w:rsidRPr="006B53C9">
        <w:rPr>
          <w:rFonts w:ascii="Times New Roman" w:hAnsi="Times New Roman"/>
        </w:rPr>
        <w:t>Awad</w:t>
      </w:r>
      <w:proofErr w:type="spellEnd"/>
      <w:r w:rsidRPr="006B53C9">
        <w:rPr>
          <w:rFonts w:ascii="Times New Roman" w:hAnsi="Times New Roman"/>
        </w:rPr>
        <w:t xml:space="preserve"> then walked back to the Autobarn car park and drove away in Mr </w:t>
      </w:r>
      <w:proofErr w:type="spellStart"/>
      <w:r w:rsidRPr="006B53C9">
        <w:rPr>
          <w:rFonts w:ascii="Times New Roman" w:hAnsi="Times New Roman"/>
        </w:rPr>
        <w:t>Awad's</w:t>
      </w:r>
      <w:proofErr w:type="spellEnd"/>
      <w:r w:rsidRPr="006B53C9">
        <w:rPr>
          <w:rFonts w:ascii="Times New Roman" w:hAnsi="Times New Roman"/>
        </w:rPr>
        <w:t xml:space="preserve"> car.</w:t>
      </w:r>
    </w:p>
    <w:p w14:paraId="32A8E522" w14:textId="77777777" w:rsidR="00D06A72" w:rsidRPr="006B53C9" w:rsidRDefault="00D06A72" w:rsidP="006B53C9">
      <w:pPr>
        <w:pStyle w:val="HeadingL2"/>
        <w:spacing w:after="260" w:line="280" w:lineRule="exact"/>
        <w:ind w:right="0"/>
        <w:jc w:val="both"/>
        <w:rPr>
          <w:rFonts w:ascii="Times New Roman" w:hAnsi="Times New Roman"/>
        </w:rPr>
      </w:pPr>
      <w:r w:rsidRPr="006B53C9">
        <w:rPr>
          <w:rFonts w:ascii="Times New Roman" w:hAnsi="Times New Roman"/>
        </w:rPr>
        <w:t>The central issue in the trials of 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p>
    <w:p w14:paraId="146B11CF"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r w:rsidRPr="006B53C9">
        <w:rPr>
          <w:rFonts w:ascii="Times New Roman" w:hAnsi="Times New Roman"/>
        </w:rPr>
        <w:t xml:space="preserve"> were not charged with any conspiracy to commit an offence, pursuant to s 11.5 of the </w:t>
      </w:r>
      <w:r w:rsidRPr="006B53C9">
        <w:rPr>
          <w:rFonts w:ascii="Times New Roman" w:hAnsi="Times New Roman"/>
          <w:i/>
        </w:rPr>
        <w:t>Criminal Code </w:t>
      </w:r>
      <w:r w:rsidRPr="006B53C9">
        <w:rPr>
          <w:rFonts w:ascii="Times New Roman" w:hAnsi="Times New Roman"/>
        </w:rPr>
        <w:t>(</w:t>
      </w:r>
      <w:proofErr w:type="spellStart"/>
      <w:r w:rsidRPr="006B53C9">
        <w:rPr>
          <w:rFonts w:ascii="Times New Roman" w:hAnsi="Times New Roman"/>
        </w:rPr>
        <w:t>Cth</w:t>
      </w:r>
      <w:proofErr w:type="spellEnd"/>
      <w:r w:rsidRPr="006B53C9">
        <w:rPr>
          <w:rFonts w:ascii="Times New Roman" w:hAnsi="Times New Roman"/>
        </w:rPr>
        <w:t>). The prosecution also chose not to present a case against Mr </w:t>
      </w:r>
      <w:proofErr w:type="spellStart"/>
      <w:r w:rsidRPr="006B53C9">
        <w:rPr>
          <w:rFonts w:ascii="Times New Roman" w:hAnsi="Times New Roman"/>
        </w:rPr>
        <w:t>Awad</w:t>
      </w:r>
      <w:proofErr w:type="spellEnd"/>
      <w:r w:rsidRPr="006B53C9">
        <w:rPr>
          <w:rFonts w:ascii="Times New Roman" w:hAnsi="Times New Roman"/>
        </w:rPr>
        <w:t xml:space="preserve"> that, pursuant to s 11.2(1) of the </w:t>
      </w:r>
      <w:r w:rsidRPr="006B53C9">
        <w:rPr>
          <w:rFonts w:ascii="Times New Roman" w:hAnsi="Times New Roman"/>
          <w:i/>
        </w:rPr>
        <w:t>Criminal Code </w:t>
      </w:r>
      <w:r w:rsidRPr="006B53C9">
        <w:rPr>
          <w:rFonts w:ascii="Times New Roman" w:hAnsi="Times New Roman"/>
        </w:rPr>
        <w:t>(</w:t>
      </w:r>
      <w:proofErr w:type="spellStart"/>
      <w:r w:rsidRPr="006B53C9">
        <w:rPr>
          <w:rFonts w:ascii="Times New Roman" w:hAnsi="Times New Roman"/>
        </w:rPr>
        <w:t>Cth</w:t>
      </w:r>
      <w:proofErr w:type="spellEnd"/>
      <w:r w:rsidRPr="006B53C9">
        <w:rPr>
          <w:rFonts w:ascii="Times New Roman" w:hAnsi="Times New Roman"/>
        </w:rPr>
        <w:t xml:space="preserve">), he aided, abetted, </w:t>
      </w:r>
      <w:proofErr w:type="gramStart"/>
      <w:r w:rsidRPr="006B53C9">
        <w:rPr>
          <w:rFonts w:ascii="Times New Roman" w:hAnsi="Times New Roman"/>
        </w:rPr>
        <w:t>counselled</w:t>
      </w:r>
      <w:proofErr w:type="gramEnd"/>
      <w:r w:rsidRPr="006B53C9">
        <w:rPr>
          <w:rFonts w:ascii="Times New Roman" w:hAnsi="Times New Roman"/>
        </w:rPr>
        <w:t xml:space="preserve"> or procured the commission of an offence by Mr </w:t>
      </w:r>
      <w:proofErr w:type="spellStart"/>
      <w:r w:rsidRPr="006B53C9">
        <w:rPr>
          <w:rFonts w:ascii="Times New Roman" w:hAnsi="Times New Roman"/>
        </w:rPr>
        <w:t>Tambakakis</w:t>
      </w:r>
      <w:proofErr w:type="spellEnd"/>
      <w:r w:rsidRPr="006B53C9">
        <w:rPr>
          <w:rFonts w:ascii="Times New Roman" w:hAnsi="Times New Roman"/>
        </w:rPr>
        <w:t>.</w:t>
      </w:r>
    </w:p>
    <w:p w14:paraId="6A96FE79"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The sole issue in dispute at trial was therefore whether 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r w:rsidRPr="006B53C9">
        <w:rPr>
          <w:rFonts w:ascii="Times New Roman" w:hAnsi="Times New Roman"/>
        </w:rPr>
        <w:t xml:space="preserve"> took possession of the substance that was substituted for the cocaine. In relation to each of 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r w:rsidRPr="006B53C9">
        <w:rPr>
          <w:rFonts w:ascii="Times New Roman" w:hAnsi="Times New Roman"/>
        </w:rPr>
        <w:t xml:space="preserve"> – for whom the prosecution case was based on knowledge not recklessness – this question reduced to whether, in the belief that the consignment contained a border</w:t>
      </w:r>
      <w:r w:rsidRPr="006B53C9">
        <w:rPr>
          <w:rFonts w:ascii="Times New Roman" w:hAnsi="Times New Roman"/>
        </w:rPr>
        <w:noBreakHyphen/>
        <w:t xml:space="preserve">controlled drug, they received, had physical possession, or had control or joint control of the </w:t>
      </w:r>
      <w:r w:rsidRPr="006B53C9">
        <w:rPr>
          <w:rFonts w:ascii="Times New Roman" w:hAnsi="Times New Roman"/>
        </w:rPr>
        <w:lastRenderedPageBreak/>
        <w:t>consignment</w:t>
      </w:r>
      <w:r w:rsidRPr="006B53C9">
        <w:rPr>
          <w:rStyle w:val="FootnoteReference"/>
          <w:rFonts w:ascii="Times New Roman" w:hAnsi="Times New Roman"/>
          <w:sz w:val="24"/>
        </w:rPr>
        <w:footnoteReference w:id="33"/>
      </w:r>
      <w:r w:rsidRPr="006B53C9">
        <w:rPr>
          <w:rFonts w:ascii="Times New Roman" w:hAnsi="Times New Roman"/>
        </w:rPr>
        <w:t>. Consequently, the credibility of Mr </w:t>
      </w:r>
      <w:proofErr w:type="spellStart"/>
      <w:r w:rsidRPr="006B53C9">
        <w:rPr>
          <w:rFonts w:ascii="Times New Roman" w:hAnsi="Times New Roman"/>
        </w:rPr>
        <w:t>Tambakakis</w:t>
      </w:r>
      <w:proofErr w:type="spellEnd"/>
      <w:r w:rsidRPr="006B53C9">
        <w:rPr>
          <w:rFonts w:ascii="Times New Roman" w:hAnsi="Times New Roman"/>
        </w:rPr>
        <w:t>' evidence was at the heart of the trials of Mr </w:t>
      </w:r>
      <w:proofErr w:type="spellStart"/>
      <w:r w:rsidRPr="006B53C9">
        <w:rPr>
          <w:rFonts w:ascii="Times New Roman" w:hAnsi="Times New Roman"/>
        </w:rPr>
        <w:t>Tambakakis</w:t>
      </w:r>
      <w:proofErr w:type="spellEnd"/>
      <w:r w:rsidRPr="006B53C9">
        <w:rPr>
          <w:rFonts w:ascii="Times New Roman" w:hAnsi="Times New Roman"/>
        </w:rPr>
        <w:t xml:space="preserve"> and Mr </w:t>
      </w:r>
      <w:proofErr w:type="spellStart"/>
      <w:r w:rsidRPr="006B53C9">
        <w:rPr>
          <w:rFonts w:ascii="Times New Roman" w:hAnsi="Times New Roman"/>
        </w:rPr>
        <w:t>Awad</w:t>
      </w:r>
      <w:proofErr w:type="spellEnd"/>
      <w:r w:rsidRPr="006B53C9">
        <w:rPr>
          <w:rFonts w:ascii="Times New Roman" w:hAnsi="Times New Roman"/>
        </w:rPr>
        <w:t>.</w:t>
      </w:r>
    </w:p>
    <w:p w14:paraId="3DAD64B7" w14:textId="77777777" w:rsidR="00D06A72" w:rsidRPr="006B53C9" w:rsidRDefault="00D06A72" w:rsidP="006B53C9">
      <w:pPr>
        <w:pStyle w:val="HeadingL1"/>
        <w:spacing w:after="260" w:line="280" w:lineRule="exact"/>
        <w:ind w:right="0"/>
        <w:jc w:val="both"/>
        <w:rPr>
          <w:rFonts w:ascii="Times New Roman" w:hAnsi="Times New Roman"/>
        </w:rPr>
      </w:pPr>
      <w:r w:rsidRPr="006B53C9">
        <w:rPr>
          <w:rFonts w:ascii="Times New Roman" w:hAnsi="Times New Roman"/>
        </w:rPr>
        <w:t xml:space="preserve">Section 44J of the </w:t>
      </w:r>
      <w:r w:rsidRPr="006B53C9">
        <w:rPr>
          <w:rFonts w:ascii="Times New Roman" w:hAnsi="Times New Roman"/>
          <w:i/>
        </w:rPr>
        <w:t>Jury Directions Act</w:t>
      </w:r>
    </w:p>
    <w:p w14:paraId="3FFD8484"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Prior to 2017, a "conventional comment" by a trial judge to a jury in Victoria, as Callaway JA expressed it in </w:t>
      </w:r>
      <w:proofErr w:type="spellStart"/>
      <w:r w:rsidRPr="006B53C9">
        <w:rPr>
          <w:rFonts w:ascii="Times New Roman" w:hAnsi="Times New Roman"/>
          <w:i/>
          <w:iCs/>
        </w:rPr>
        <w:t>Haggag</w:t>
      </w:r>
      <w:proofErr w:type="spellEnd"/>
      <w:r w:rsidRPr="006B53C9">
        <w:rPr>
          <w:rStyle w:val="FootnoteReference"/>
          <w:rFonts w:ascii="Times New Roman" w:hAnsi="Times New Roman"/>
          <w:sz w:val="24"/>
        </w:rPr>
        <w:footnoteReference w:id="34"/>
      </w:r>
      <w:r w:rsidRPr="006B53C9">
        <w:rPr>
          <w:rFonts w:ascii="Times New Roman" w:hAnsi="Times New Roman"/>
        </w:rPr>
        <w:t xml:space="preserve">, was that "whilst there is </w:t>
      </w:r>
      <w:proofErr w:type="gramStart"/>
      <w:r w:rsidRPr="006B53C9">
        <w:rPr>
          <w:rFonts w:ascii="Times New Roman" w:hAnsi="Times New Roman"/>
        </w:rPr>
        <w:t>really no</w:t>
      </w:r>
      <w:proofErr w:type="gramEnd"/>
      <w:r w:rsidRPr="006B53C9">
        <w:rPr>
          <w:rFonts w:ascii="Times New Roman" w:hAnsi="Times New Roman"/>
        </w:rPr>
        <w:t xml:space="preserve"> more </w:t>
      </w:r>
      <w:proofErr w:type="spellStart"/>
      <w:r w:rsidRPr="006B53C9">
        <w:rPr>
          <w:rFonts w:ascii="Times New Roman" w:hAnsi="Times New Roman"/>
        </w:rPr>
        <w:t>that</w:t>
      </w:r>
      <w:proofErr w:type="spellEnd"/>
      <w:r w:rsidRPr="006B53C9">
        <w:rPr>
          <w:rFonts w:ascii="Times New Roman" w:hAnsi="Times New Roman"/>
        </w:rPr>
        <w:t xml:space="preserve"> an innocent person can do than give sworn evidence and submit to cross</w:t>
      </w:r>
      <w:r w:rsidRPr="006B53C9">
        <w:rPr>
          <w:rFonts w:ascii="Times New Roman" w:hAnsi="Times New Roman"/>
        </w:rPr>
        <w:noBreakHyphen/>
        <w:t xml:space="preserve">examination, a guilty person may choose to brazen it out in the witness box". This was described in </w:t>
      </w:r>
      <w:r w:rsidRPr="006B53C9">
        <w:rPr>
          <w:rFonts w:ascii="Times New Roman" w:hAnsi="Times New Roman"/>
          <w:i/>
          <w:iCs/>
        </w:rPr>
        <w:t>R v Buckley</w:t>
      </w:r>
      <w:r w:rsidRPr="006B53C9">
        <w:rPr>
          <w:rStyle w:val="FootnoteReference"/>
          <w:rFonts w:ascii="Times New Roman" w:hAnsi="Times New Roman"/>
          <w:sz w:val="24"/>
        </w:rPr>
        <w:footnoteReference w:id="35"/>
      </w:r>
      <w:r w:rsidRPr="006B53C9">
        <w:rPr>
          <w:rFonts w:ascii="Times New Roman" w:hAnsi="Times New Roman"/>
        </w:rPr>
        <w:t xml:space="preserve"> as a "standard direction" and was said in </w:t>
      </w:r>
      <w:r w:rsidRPr="006B53C9">
        <w:rPr>
          <w:rFonts w:ascii="Times New Roman" w:hAnsi="Times New Roman"/>
          <w:i/>
          <w:iCs/>
        </w:rPr>
        <w:t>R v McMahon</w:t>
      </w:r>
      <w:r w:rsidRPr="006B53C9">
        <w:rPr>
          <w:rStyle w:val="FootnoteReference"/>
          <w:rFonts w:ascii="Times New Roman" w:hAnsi="Times New Roman"/>
          <w:sz w:val="24"/>
        </w:rPr>
        <w:footnoteReference w:id="36"/>
      </w:r>
      <w:r w:rsidRPr="006B53C9">
        <w:rPr>
          <w:rFonts w:ascii="Times New Roman" w:hAnsi="Times New Roman"/>
          <w:i/>
          <w:iCs/>
        </w:rPr>
        <w:t xml:space="preserve"> </w:t>
      </w:r>
      <w:r w:rsidRPr="006B53C9">
        <w:rPr>
          <w:rFonts w:ascii="Times New Roman" w:hAnsi="Times New Roman"/>
        </w:rPr>
        <w:t>to be "unexceptionable".</w:t>
      </w:r>
    </w:p>
    <w:p w14:paraId="7BD19317"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In a 2017 review by the Department of Justice and Regulation, under the heading "Problems with the current law", it was observed that this direction appeared to be unique to Victoria and that it did not appear in the model directions in Queensland, New South Wales, the United Kingdom, or Canada. The review considered a prohibition upon the direction proposed by the </w:t>
      </w:r>
      <w:r w:rsidRPr="006B53C9">
        <w:rPr>
          <w:rFonts w:ascii="Times New Roman" w:hAnsi="Times New Roman"/>
          <w:i/>
          <w:iCs/>
        </w:rPr>
        <w:t>Jury Directions and Other Acts Amendment Bill 2017</w:t>
      </w:r>
      <w:r w:rsidRPr="006B53C9">
        <w:rPr>
          <w:rFonts w:ascii="Times New Roman" w:hAnsi="Times New Roman"/>
        </w:rPr>
        <w:t>, saying that the direction</w:t>
      </w:r>
      <w:r w:rsidRPr="006B53C9">
        <w:rPr>
          <w:rStyle w:val="FootnoteReference"/>
          <w:rFonts w:ascii="Times New Roman" w:hAnsi="Times New Roman"/>
          <w:sz w:val="24"/>
        </w:rPr>
        <w:footnoteReference w:id="37"/>
      </w:r>
      <w:r w:rsidRPr="006B53C9">
        <w:rPr>
          <w:rFonts w:ascii="Times New Roman" w:hAnsi="Times New Roman"/>
        </w:rPr>
        <w:t>:</w:t>
      </w:r>
    </w:p>
    <w:p w14:paraId="3204E313" w14:textId="77777777" w:rsidR="00D06A72" w:rsidRDefault="00D06A72" w:rsidP="006B53C9">
      <w:pPr>
        <w:pStyle w:val="LeftrightafterHC"/>
        <w:spacing w:before="0" w:after="260" w:line="280" w:lineRule="exact"/>
        <w:ind w:right="0"/>
        <w:jc w:val="both"/>
        <w:rPr>
          <w:rFonts w:ascii="Times New Roman" w:hAnsi="Times New Roman"/>
        </w:rPr>
      </w:pPr>
      <w:r w:rsidRPr="006B53C9">
        <w:rPr>
          <w:rFonts w:ascii="Times New Roman" w:hAnsi="Times New Roman"/>
        </w:rPr>
        <w:t>"</w:t>
      </w:r>
      <w:proofErr w:type="gramStart"/>
      <w:r w:rsidRPr="006B53C9">
        <w:rPr>
          <w:rFonts w:ascii="Times New Roman" w:hAnsi="Times New Roman"/>
        </w:rPr>
        <w:t>contains</w:t>
      </w:r>
      <w:proofErr w:type="gramEnd"/>
      <w:r w:rsidRPr="006B53C9">
        <w:rPr>
          <w:rFonts w:ascii="Times New Roman" w:hAnsi="Times New Roman"/>
        </w:rPr>
        <w:t xml:space="preserve"> two competing propositions that arguably neutralise each other. The competing nature of the directions may confuse the jury and have the unintended consequence of focusing attention on the motivation of an accused to give particular evidence given their interest in the outcome of a trial".</w:t>
      </w:r>
    </w:p>
    <w:p w14:paraId="0088245A"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In the second reading speech of the Bill, the Attorney</w:t>
      </w:r>
      <w:r w:rsidRPr="006B53C9">
        <w:rPr>
          <w:rFonts w:ascii="Times New Roman" w:hAnsi="Times New Roman"/>
        </w:rPr>
        <w:noBreakHyphen/>
        <w:t>General described this, and related directions, as "confusing, unnecessary or inaccurate"</w:t>
      </w:r>
      <w:r w:rsidRPr="006B53C9">
        <w:rPr>
          <w:rStyle w:val="FootnoteReference"/>
          <w:rFonts w:ascii="Times New Roman" w:hAnsi="Times New Roman"/>
          <w:sz w:val="24"/>
        </w:rPr>
        <w:footnoteReference w:id="38"/>
      </w:r>
      <w:r w:rsidRPr="006B53C9">
        <w:rPr>
          <w:rFonts w:ascii="Times New Roman" w:hAnsi="Times New Roman"/>
        </w:rPr>
        <w:t xml:space="preserve">. The Explanatory Memorandum accompanying the Bill also noted that the proposed </w:t>
      </w:r>
      <w:r w:rsidRPr="006B53C9">
        <w:rPr>
          <w:rFonts w:ascii="Times New Roman" w:hAnsi="Times New Roman"/>
        </w:rPr>
        <w:lastRenderedPageBreak/>
        <w:t>s 44J "prohibits certain common law directions relating to the evidence of an accused that are confusing, unhelpful and arguably inaccurate"</w:t>
      </w:r>
      <w:r w:rsidRPr="006B53C9">
        <w:rPr>
          <w:rStyle w:val="FootnoteReference"/>
          <w:rFonts w:ascii="Times New Roman" w:hAnsi="Times New Roman"/>
          <w:sz w:val="24"/>
        </w:rPr>
        <w:footnoteReference w:id="39"/>
      </w:r>
      <w:r w:rsidRPr="006B53C9">
        <w:rPr>
          <w:rFonts w:ascii="Times New Roman" w:hAnsi="Times New Roman"/>
        </w:rPr>
        <w:t>.</w:t>
      </w:r>
    </w:p>
    <w:p w14:paraId="01E73903"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The relevant provisions of the </w:t>
      </w:r>
      <w:r w:rsidRPr="006B53C9">
        <w:rPr>
          <w:rFonts w:ascii="Times New Roman" w:hAnsi="Times New Roman"/>
          <w:i/>
        </w:rPr>
        <w:t>Jury Directions Act</w:t>
      </w:r>
      <w:r w:rsidRPr="006B53C9" w:rsidDel="00EB0447">
        <w:rPr>
          <w:rFonts w:ascii="Times New Roman" w:hAnsi="Times New Roman"/>
          <w:i/>
        </w:rPr>
        <w:t xml:space="preserve"> </w:t>
      </w:r>
      <w:r w:rsidRPr="006B53C9">
        <w:rPr>
          <w:rFonts w:ascii="Times New Roman" w:hAnsi="Times New Roman"/>
        </w:rPr>
        <w:t>commenced on 1 October 2017. Sections 44J and 44K provide:</w:t>
      </w:r>
    </w:p>
    <w:p w14:paraId="1E82D0EE" w14:textId="77777777" w:rsidR="00D06A72" w:rsidRPr="006B53C9" w:rsidRDefault="00D06A72" w:rsidP="006B53C9">
      <w:pPr>
        <w:pStyle w:val="LeftrightafterHC"/>
        <w:spacing w:before="0" w:after="260" w:line="280" w:lineRule="exact"/>
        <w:ind w:left="1440" w:right="0" w:hanging="720"/>
        <w:jc w:val="both"/>
        <w:rPr>
          <w:rFonts w:ascii="Times New Roman" w:hAnsi="Times New Roman"/>
          <w:b/>
          <w:bCs/>
        </w:rPr>
      </w:pPr>
      <w:r w:rsidRPr="006B53C9">
        <w:rPr>
          <w:rFonts w:ascii="Times New Roman" w:hAnsi="Times New Roman"/>
        </w:rPr>
        <w:t>"</w:t>
      </w:r>
      <w:r w:rsidRPr="006B53C9">
        <w:rPr>
          <w:rFonts w:ascii="Times New Roman" w:hAnsi="Times New Roman"/>
          <w:b/>
          <w:bCs/>
        </w:rPr>
        <w:t>44J</w:t>
      </w:r>
      <w:r w:rsidRPr="006B53C9">
        <w:rPr>
          <w:rFonts w:ascii="Times New Roman" w:hAnsi="Times New Roman"/>
          <w:b/>
          <w:bCs/>
        </w:rPr>
        <w:tab/>
        <w:t>Prohibited directions in relation to evidence of an accused</w:t>
      </w:r>
    </w:p>
    <w:p w14:paraId="1B95F937" w14:textId="77777777" w:rsidR="00D06A72" w:rsidRPr="006B53C9" w:rsidRDefault="00D06A72" w:rsidP="006B53C9">
      <w:pPr>
        <w:pStyle w:val="leftright"/>
        <w:spacing w:before="0" w:after="260" w:line="280" w:lineRule="exact"/>
        <w:ind w:left="2160" w:right="0"/>
        <w:jc w:val="both"/>
        <w:rPr>
          <w:rFonts w:ascii="Times New Roman" w:hAnsi="Times New Roman"/>
        </w:rPr>
      </w:pPr>
      <w:r w:rsidRPr="006B53C9">
        <w:rPr>
          <w:rFonts w:ascii="Times New Roman" w:hAnsi="Times New Roman"/>
        </w:rPr>
        <w:t>The trial judge must not direct the jury about any of the following matters in relation to the evidence of an accused –</w:t>
      </w:r>
    </w:p>
    <w:p w14:paraId="63866764" w14:textId="77777777" w:rsidR="00D06A72" w:rsidRPr="006B53C9" w:rsidRDefault="00D06A72" w:rsidP="006B53C9">
      <w:pPr>
        <w:pStyle w:val="LeftrightHanging"/>
        <w:spacing w:before="0" w:after="260" w:line="280" w:lineRule="exact"/>
        <w:ind w:left="2880" w:right="0"/>
        <w:jc w:val="both"/>
        <w:rPr>
          <w:rFonts w:ascii="Times New Roman" w:hAnsi="Times New Roman"/>
        </w:rPr>
      </w:pPr>
      <w:r w:rsidRPr="006B53C9">
        <w:rPr>
          <w:rFonts w:ascii="Times New Roman" w:hAnsi="Times New Roman"/>
        </w:rPr>
        <w:t>(a)</w:t>
      </w:r>
      <w:r w:rsidRPr="006B53C9">
        <w:rPr>
          <w:rFonts w:ascii="Times New Roman" w:hAnsi="Times New Roman"/>
        </w:rPr>
        <w:tab/>
        <w:t xml:space="preserve">whether the accused is under more stress than any other </w:t>
      </w:r>
      <w:proofErr w:type="gramStart"/>
      <w:r w:rsidRPr="006B53C9">
        <w:rPr>
          <w:rFonts w:ascii="Times New Roman" w:hAnsi="Times New Roman"/>
        </w:rPr>
        <w:t>witness;</w:t>
      </w:r>
      <w:proofErr w:type="gramEnd"/>
    </w:p>
    <w:p w14:paraId="3639568F" w14:textId="77777777" w:rsidR="00D06A72" w:rsidRPr="006B53C9" w:rsidRDefault="00D06A72" w:rsidP="006B53C9">
      <w:pPr>
        <w:pStyle w:val="LeftrightHanging"/>
        <w:spacing w:before="0" w:after="260" w:line="280" w:lineRule="exact"/>
        <w:ind w:left="2880" w:right="0"/>
        <w:jc w:val="both"/>
        <w:rPr>
          <w:rFonts w:ascii="Times New Roman" w:hAnsi="Times New Roman"/>
        </w:rPr>
      </w:pPr>
      <w:r w:rsidRPr="006B53C9">
        <w:rPr>
          <w:rFonts w:ascii="Times New Roman" w:hAnsi="Times New Roman"/>
        </w:rPr>
        <w:t>(b)</w:t>
      </w:r>
      <w:r w:rsidRPr="006B53C9">
        <w:rPr>
          <w:rFonts w:ascii="Times New Roman" w:hAnsi="Times New Roman"/>
        </w:rPr>
        <w:tab/>
        <w:t>that the accused gave evidence because –</w:t>
      </w:r>
    </w:p>
    <w:p w14:paraId="50BA8B68" w14:textId="77777777" w:rsidR="00D06A72" w:rsidRPr="006B53C9" w:rsidRDefault="00D06A72" w:rsidP="006B53C9">
      <w:pPr>
        <w:pStyle w:val="LRHangingMore"/>
        <w:spacing w:before="0" w:after="260" w:line="280" w:lineRule="exact"/>
        <w:ind w:left="3600" w:right="0"/>
        <w:jc w:val="both"/>
        <w:rPr>
          <w:rFonts w:ascii="Times New Roman" w:hAnsi="Times New Roman"/>
        </w:rPr>
      </w:pPr>
      <w:r w:rsidRPr="006B53C9">
        <w:rPr>
          <w:rFonts w:ascii="Times New Roman" w:hAnsi="Times New Roman"/>
        </w:rPr>
        <w:t>(</w:t>
      </w:r>
      <w:proofErr w:type="spellStart"/>
      <w:r w:rsidRPr="006B53C9">
        <w:rPr>
          <w:rFonts w:ascii="Times New Roman" w:hAnsi="Times New Roman"/>
        </w:rPr>
        <w:t>i</w:t>
      </w:r>
      <w:proofErr w:type="spellEnd"/>
      <w:r w:rsidRPr="006B53C9">
        <w:rPr>
          <w:rFonts w:ascii="Times New Roman" w:hAnsi="Times New Roman"/>
        </w:rPr>
        <w:t>)</w:t>
      </w:r>
      <w:r w:rsidRPr="006B53C9">
        <w:rPr>
          <w:rFonts w:ascii="Times New Roman" w:hAnsi="Times New Roman"/>
        </w:rPr>
        <w:tab/>
        <w:t>a guilty person who gives evidence will more likely be believed; or</w:t>
      </w:r>
    </w:p>
    <w:p w14:paraId="1F82FE5C" w14:textId="77777777" w:rsidR="00D06A72" w:rsidRPr="006B53C9" w:rsidRDefault="00D06A72" w:rsidP="006B53C9">
      <w:pPr>
        <w:pStyle w:val="LRHangingMore"/>
        <w:spacing w:before="0" w:after="260" w:line="280" w:lineRule="exact"/>
        <w:ind w:left="3600" w:right="0"/>
        <w:jc w:val="both"/>
        <w:rPr>
          <w:rFonts w:ascii="Times New Roman" w:hAnsi="Times New Roman"/>
        </w:rPr>
      </w:pPr>
      <w:r w:rsidRPr="006B53C9">
        <w:rPr>
          <w:rFonts w:ascii="Times New Roman" w:hAnsi="Times New Roman"/>
        </w:rPr>
        <w:t>(ii)</w:t>
      </w:r>
      <w:r w:rsidRPr="006B53C9">
        <w:rPr>
          <w:rFonts w:ascii="Times New Roman" w:hAnsi="Times New Roman"/>
        </w:rPr>
        <w:tab/>
        <w:t>an innocent person can do nothing more than give evidence.</w:t>
      </w:r>
    </w:p>
    <w:p w14:paraId="7F64C046" w14:textId="77777777" w:rsidR="00D06A72" w:rsidRPr="006B53C9" w:rsidRDefault="00D06A72" w:rsidP="006B53C9">
      <w:pPr>
        <w:pStyle w:val="leftright"/>
        <w:spacing w:before="0" w:after="260" w:line="280" w:lineRule="exact"/>
        <w:ind w:left="1440" w:right="0"/>
        <w:jc w:val="both"/>
        <w:rPr>
          <w:rFonts w:ascii="Times New Roman" w:hAnsi="Times New Roman"/>
          <w:b/>
          <w:bCs/>
        </w:rPr>
      </w:pPr>
      <w:r w:rsidRPr="006B53C9">
        <w:rPr>
          <w:rFonts w:ascii="Times New Roman" w:hAnsi="Times New Roman"/>
          <w:b/>
          <w:bCs/>
        </w:rPr>
        <w:t>Note</w:t>
      </w:r>
    </w:p>
    <w:p w14:paraId="573127C0" w14:textId="77777777" w:rsidR="00D06A72" w:rsidRPr="006B53C9" w:rsidRDefault="00D06A72" w:rsidP="006B53C9">
      <w:pPr>
        <w:pStyle w:val="leftright"/>
        <w:spacing w:before="0" w:after="260" w:line="280" w:lineRule="exact"/>
        <w:ind w:left="1440" w:right="0"/>
        <w:jc w:val="both"/>
        <w:rPr>
          <w:rFonts w:ascii="Times New Roman" w:hAnsi="Times New Roman"/>
        </w:rPr>
      </w:pPr>
      <w:r w:rsidRPr="006B53C9">
        <w:rPr>
          <w:rFonts w:ascii="Times New Roman" w:hAnsi="Times New Roman"/>
        </w:rPr>
        <w:t xml:space="preserve">This section prohibits the trial judge from giving directions to the jury about </w:t>
      </w:r>
      <w:proofErr w:type="gramStart"/>
      <w:r w:rsidRPr="006B53C9">
        <w:rPr>
          <w:rFonts w:ascii="Times New Roman" w:hAnsi="Times New Roman"/>
        </w:rPr>
        <w:t>particular matters</w:t>
      </w:r>
      <w:proofErr w:type="gramEnd"/>
      <w:r w:rsidRPr="006B53C9">
        <w:rPr>
          <w:rFonts w:ascii="Times New Roman" w:hAnsi="Times New Roman"/>
        </w:rPr>
        <w:t>. This does not limit the obligation of the trial judge to refer the jury to the way in which the prosecution and the accused put their cases in relation to the issues in the trial – see section 65.</w:t>
      </w:r>
    </w:p>
    <w:p w14:paraId="13CEE75D" w14:textId="77777777" w:rsidR="00D06A72" w:rsidRPr="006B53C9" w:rsidRDefault="00D06A72" w:rsidP="006B53C9">
      <w:pPr>
        <w:pStyle w:val="leftright"/>
        <w:spacing w:before="0" w:after="260" w:line="280" w:lineRule="exact"/>
        <w:ind w:right="0"/>
        <w:jc w:val="both"/>
        <w:rPr>
          <w:rFonts w:ascii="Times New Roman" w:hAnsi="Times New Roman"/>
          <w:b/>
          <w:bCs/>
        </w:rPr>
      </w:pPr>
      <w:r w:rsidRPr="006B53C9">
        <w:rPr>
          <w:rFonts w:ascii="Times New Roman" w:hAnsi="Times New Roman"/>
          <w:b/>
          <w:bCs/>
        </w:rPr>
        <w:t>44K</w:t>
      </w:r>
      <w:r w:rsidRPr="006B53C9">
        <w:rPr>
          <w:rFonts w:ascii="Times New Roman" w:hAnsi="Times New Roman"/>
          <w:b/>
          <w:bCs/>
        </w:rPr>
        <w:tab/>
        <w:t>Abolition of common law rules</w:t>
      </w:r>
    </w:p>
    <w:p w14:paraId="038EA2DF" w14:textId="77777777" w:rsidR="00D06A72" w:rsidRPr="006B53C9" w:rsidRDefault="00D06A72" w:rsidP="006B53C9">
      <w:pPr>
        <w:pStyle w:val="LeftrightHanging"/>
        <w:spacing w:before="0" w:after="260" w:line="280" w:lineRule="exact"/>
        <w:ind w:left="2160" w:right="0"/>
        <w:jc w:val="both"/>
        <w:rPr>
          <w:rFonts w:ascii="Times New Roman" w:hAnsi="Times New Roman"/>
        </w:rPr>
      </w:pPr>
      <w:r w:rsidRPr="006B53C9">
        <w:rPr>
          <w:rFonts w:ascii="Times New Roman" w:hAnsi="Times New Roman"/>
        </w:rPr>
        <w:t>(1)</w:t>
      </w:r>
      <w:r w:rsidRPr="006B53C9">
        <w:rPr>
          <w:rFonts w:ascii="Times New Roman" w:hAnsi="Times New Roman"/>
        </w:rPr>
        <w:tab/>
        <w:t>Any rule of common law under which a trial judge is prohibited from directing the jury on the interest a witness or an accused may have in the outcome of a trial is abolished.</w:t>
      </w:r>
    </w:p>
    <w:p w14:paraId="120AEE73" w14:textId="77777777" w:rsidR="00D06A72" w:rsidRPr="006B53C9" w:rsidRDefault="00D06A72" w:rsidP="006B53C9">
      <w:pPr>
        <w:pStyle w:val="LeftrightHanging"/>
        <w:spacing w:before="0" w:after="260" w:line="280" w:lineRule="exact"/>
        <w:ind w:left="2160" w:right="0"/>
        <w:jc w:val="both"/>
        <w:rPr>
          <w:rFonts w:ascii="Times New Roman" w:hAnsi="Times New Roman"/>
        </w:rPr>
      </w:pPr>
      <w:r w:rsidRPr="006B53C9">
        <w:rPr>
          <w:rFonts w:ascii="Times New Roman" w:hAnsi="Times New Roman"/>
        </w:rPr>
        <w:t>(2)</w:t>
      </w:r>
      <w:r w:rsidRPr="006B53C9">
        <w:rPr>
          <w:rFonts w:ascii="Times New Roman" w:hAnsi="Times New Roman"/>
        </w:rPr>
        <w:tab/>
        <w:t>Any rule of common law under which a trial judge is required or permitted to direct the jury about the matters referred to in section 44J in relation to the evidence of an accused is abolished.</w:t>
      </w:r>
    </w:p>
    <w:p w14:paraId="486A7669" w14:textId="77777777" w:rsidR="00D06A72" w:rsidRPr="006B53C9" w:rsidRDefault="00D06A72" w:rsidP="006B53C9">
      <w:pPr>
        <w:pStyle w:val="leftright"/>
        <w:spacing w:before="0" w:after="260" w:line="280" w:lineRule="exact"/>
        <w:ind w:left="1440" w:right="0"/>
        <w:jc w:val="both"/>
        <w:rPr>
          <w:rFonts w:ascii="Times New Roman" w:hAnsi="Times New Roman"/>
          <w:b/>
          <w:bCs/>
        </w:rPr>
      </w:pPr>
      <w:r w:rsidRPr="006B53C9">
        <w:rPr>
          <w:rFonts w:ascii="Times New Roman" w:hAnsi="Times New Roman"/>
          <w:b/>
          <w:bCs/>
        </w:rPr>
        <w:lastRenderedPageBreak/>
        <w:t>Notes</w:t>
      </w:r>
    </w:p>
    <w:p w14:paraId="374D82AC" w14:textId="77777777" w:rsidR="00D06A72" w:rsidRPr="006B53C9" w:rsidRDefault="00D06A72" w:rsidP="006B53C9">
      <w:pPr>
        <w:pStyle w:val="LeftrightHanging"/>
        <w:spacing w:before="0" w:after="260" w:line="280" w:lineRule="exact"/>
        <w:ind w:left="2160" w:right="0"/>
        <w:jc w:val="both"/>
        <w:rPr>
          <w:rFonts w:ascii="Times New Roman" w:hAnsi="Times New Roman"/>
        </w:rPr>
      </w:pPr>
      <w:r w:rsidRPr="006B53C9">
        <w:rPr>
          <w:rFonts w:ascii="Times New Roman" w:hAnsi="Times New Roman"/>
        </w:rPr>
        <w:t>1</w:t>
      </w:r>
      <w:r w:rsidRPr="006B53C9">
        <w:rPr>
          <w:rFonts w:ascii="Times New Roman" w:hAnsi="Times New Roman"/>
        </w:rPr>
        <w:tab/>
        <w:t xml:space="preserve">Subsection (1) abolishes the rule attributed to </w:t>
      </w:r>
      <w:r w:rsidRPr="006B53C9">
        <w:rPr>
          <w:rFonts w:ascii="Times New Roman" w:hAnsi="Times New Roman"/>
          <w:i/>
          <w:iCs/>
        </w:rPr>
        <w:t>Robinson v R</w:t>
      </w:r>
      <w:r w:rsidRPr="006B53C9">
        <w:rPr>
          <w:rFonts w:ascii="Times New Roman" w:hAnsi="Times New Roman"/>
        </w:rPr>
        <w:t xml:space="preserve"> [1991] HCA 38; (1994) 180 CLR 531.</w:t>
      </w:r>
    </w:p>
    <w:p w14:paraId="339AC2DF" w14:textId="77777777" w:rsidR="00D06A72" w:rsidRPr="006B53C9" w:rsidRDefault="00D06A72" w:rsidP="006B53C9">
      <w:pPr>
        <w:pStyle w:val="LeftrightHanging"/>
        <w:spacing w:before="0" w:after="260" w:line="280" w:lineRule="exact"/>
        <w:ind w:left="2160" w:right="0"/>
        <w:jc w:val="both"/>
        <w:rPr>
          <w:rFonts w:ascii="Times New Roman" w:hAnsi="Times New Roman"/>
        </w:rPr>
      </w:pPr>
      <w:r w:rsidRPr="006B53C9">
        <w:rPr>
          <w:rFonts w:ascii="Times New Roman" w:hAnsi="Times New Roman"/>
        </w:rPr>
        <w:t>2</w:t>
      </w:r>
      <w:r w:rsidRPr="006B53C9">
        <w:rPr>
          <w:rFonts w:ascii="Times New Roman" w:hAnsi="Times New Roman"/>
        </w:rPr>
        <w:tab/>
        <w:t>Subsection (2) abolishes directions based on –</w:t>
      </w:r>
    </w:p>
    <w:p w14:paraId="5332BC4D" w14:textId="77777777" w:rsidR="00D06A72" w:rsidRPr="006B53C9" w:rsidRDefault="00D06A72" w:rsidP="006B53C9">
      <w:pPr>
        <w:pStyle w:val="LRHangingMore"/>
        <w:spacing w:before="0" w:after="260" w:line="280" w:lineRule="exact"/>
        <w:ind w:left="2880" w:right="0"/>
        <w:jc w:val="both"/>
        <w:rPr>
          <w:rFonts w:ascii="Times New Roman" w:hAnsi="Times New Roman"/>
        </w:rPr>
      </w:pPr>
      <w:r w:rsidRPr="006B53C9">
        <w:rPr>
          <w:rFonts w:ascii="Times New Roman" w:hAnsi="Times New Roman"/>
        </w:rPr>
        <w:t>•</w:t>
      </w:r>
      <w:r w:rsidRPr="006B53C9">
        <w:rPr>
          <w:rFonts w:ascii="Times New Roman" w:hAnsi="Times New Roman"/>
        </w:rPr>
        <w:tab/>
      </w:r>
      <w:r w:rsidRPr="006B53C9">
        <w:rPr>
          <w:rFonts w:ascii="Times New Roman" w:hAnsi="Times New Roman"/>
          <w:i/>
          <w:iCs/>
        </w:rPr>
        <w:t xml:space="preserve">R v </w:t>
      </w:r>
      <w:proofErr w:type="spellStart"/>
      <w:r w:rsidRPr="006B53C9">
        <w:rPr>
          <w:rFonts w:ascii="Times New Roman" w:hAnsi="Times New Roman"/>
          <w:i/>
          <w:iCs/>
        </w:rPr>
        <w:t>Haggag</w:t>
      </w:r>
      <w:proofErr w:type="spellEnd"/>
      <w:r w:rsidRPr="006B53C9">
        <w:rPr>
          <w:rFonts w:ascii="Times New Roman" w:hAnsi="Times New Roman"/>
        </w:rPr>
        <w:t xml:space="preserve"> [1998] VSC 355; (1998) 101 A Crim R 593; and</w:t>
      </w:r>
    </w:p>
    <w:p w14:paraId="5C6EC743" w14:textId="77777777" w:rsidR="00D06A72" w:rsidRPr="006B53C9" w:rsidRDefault="00D06A72" w:rsidP="006B53C9">
      <w:pPr>
        <w:pStyle w:val="LRHangingMore"/>
        <w:spacing w:before="0" w:after="260" w:line="280" w:lineRule="exact"/>
        <w:ind w:left="2880" w:right="0"/>
        <w:jc w:val="both"/>
        <w:rPr>
          <w:rFonts w:ascii="Times New Roman" w:hAnsi="Times New Roman"/>
        </w:rPr>
      </w:pPr>
      <w:r w:rsidRPr="006B53C9">
        <w:rPr>
          <w:rFonts w:ascii="Times New Roman" w:hAnsi="Times New Roman"/>
        </w:rPr>
        <w:t>•</w:t>
      </w:r>
      <w:r w:rsidRPr="006B53C9">
        <w:rPr>
          <w:rFonts w:ascii="Times New Roman" w:hAnsi="Times New Roman"/>
        </w:rPr>
        <w:tab/>
      </w:r>
      <w:r w:rsidRPr="006B53C9">
        <w:rPr>
          <w:rFonts w:ascii="Times New Roman" w:hAnsi="Times New Roman"/>
          <w:i/>
          <w:iCs/>
        </w:rPr>
        <w:t>R v McMahon</w:t>
      </w:r>
      <w:r w:rsidRPr="006B53C9">
        <w:rPr>
          <w:rFonts w:ascii="Times New Roman" w:hAnsi="Times New Roman"/>
        </w:rPr>
        <w:t xml:space="preserve"> [2004] VSCA 64; (2004) 8 VR 101; and</w:t>
      </w:r>
    </w:p>
    <w:p w14:paraId="20DF47C2" w14:textId="77777777" w:rsidR="00D06A72" w:rsidRPr="006B53C9" w:rsidRDefault="00D06A72" w:rsidP="006B53C9">
      <w:pPr>
        <w:pStyle w:val="LRHangingMore"/>
        <w:spacing w:before="0" w:after="260" w:line="280" w:lineRule="exact"/>
        <w:ind w:left="2880" w:right="0"/>
        <w:jc w:val="both"/>
        <w:rPr>
          <w:rFonts w:ascii="Times New Roman" w:hAnsi="Times New Roman"/>
        </w:rPr>
      </w:pPr>
      <w:r w:rsidRPr="006B53C9">
        <w:rPr>
          <w:rFonts w:ascii="Times New Roman" w:hAnsi="Times New Roman"/>
        </w:rPr>
        <w:t>•</w:t>
      </w:r>
      <w:r w:rsidRPr="006B53C9">
        <w:rPr>
          <w:rFonts w:ascii="Times New Roman" w:hAnsi="Times New Roman"/>
        </w:rPr>
        <w:tab/>
      </w:r>
      <w:r w:rsidRPr="006B53C9">
        <w:rPr>
          <w:rFonts w:ascii="Times New Roman" w:hAnsi="Times New Roman"/>
          <w:i/>
          <w:iCs/>
        </w:rPr>
        <w:t>R v Buckley</w:t>
      </w:r>
      <w:r w:rsidRPr="006B53C9">
        <w:rPr>
          <w:rFonts w:ascii="Times New Roman" w:hAnsi="Times New Roman"/>
        </w:rPr>
        <w:t xml:space="preserve"> [2004] VSCA 185; (2004) 10 VR 215.</w:t>
      </w:r>
    </w:p>
    <w:p w14:paraId="30D09EF7" w14:textId="77777777" w:rsidR="00D06A72" w:rsidRDefault="00D06A72" w:rsidP="006B53C9">
      <w:pPr>
        <w:pStyle w:val="LeftrightHanging"/>
        <w:spacing w:before="0" w:after="260" w:line="280" w:lineRule="exact"/>
        <w:ind w:left="2160" w:right="0"/>
        <w:jc w:val="both"/>
        <w:rPr>
          <w:rFonts w:ascii="Times New Roman" w:hAnsi="Times New Roman"/>
        </w:rPr>
      </w:pPr>
      <w:r w:rsidRPr="006B53C9">
        <w:rPr>
          <w:rFonts w:ascii="Times New Roman" w:hAnsi="Times New Roman"/>
        </w:rPr>
        <w:t>3</w:t>
      </w:r>
      <w:r w:rsidRPr="006B53C9">
        <w:rPr>
          <w:rFonts w:ascii="Times New Roman" w:hAnsi="Times New Roman"/>
        </w:rPr>
        <w:tab/>
        <w:t>Section 4 applies generally to override any rule of law or practice to the contrary of this Act."</w:t>
      </w:r>
    </w:p>
    <w:p w14:paraId="4E6F3A21" w14:textId="77777777" w:rsidR="00D06A72" w:rsidRPr="006B53C9" w:rsidRDefault="00D06A72" w:rsidP="006B53C9">
      <w:pPr>
        <w:pStyle w:val="HeadingL1"/>
        <w:spacing w:after="260" w:line="280" w:lineRule="exact"/>
        <w:ind w:right="0"/>
        <w:jc w:val="both"/>
        <w:rPr>
          <w:rFonts w:ascii="Times New Roman" w:hAnsi="Times New Roman"/>
        </w:rPr>
      </w:pPr>
      <w:r w:rsidRPr="006B53C9">
        <w:rPr>
          <w:rFonts w:ascii="Times New Roman" w:hAnsi="Times New Roman"/>
        </w:rPr>
        <w:t>The prohibited direction and the redirection</w:t>
      </w:r>
    </w:p>
    <w:p w14:paraId="1C15DA02"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In the critical part of the trial judge's charge relevant to these appeals, the trial judge directed the jury as follows</w:t>
      </w:r>
      <w:r w:rsidRPr="006B53C9">
        <w:rPr>
          <w:rFonts w:ascii="Times New Roman" w:hAnsi="Times New Roman"/>
          <w:bCs/>
        </w:rPr>
        <w:t>:</w:t>
      </w:r>
    </w:p>
    <w:p w14:paraId="0D594649" w14:textId="77777777" w:rsidR="00D06A72" w:rsidRPr="006B53C9" w:rsidRDefault="00D06A72" w:rsidP="006B53C9">
      <w:pPr>
        <w:pStyle w:val="LeftrightafterHC"/>
        <w:spacing w:before="0" w:after="260" w:line="280" w:lineRule="exact"/>
        <w:ind w:right="0"/>
        <w:jc w:val="both"/>
        <w:rPr>
          <w:rFonts w:ascii="Times New Roman" w:hAnsi="Times New Roman"/>
        </w:rPr>
      </w:pPr>
      <w:r w:rsidRPr="006B53C9">
        <w:rPr>
          <w:rFonts w:ascii="Times New Roman" w:hAnsi="Times New Roman"/>
        </w:rPr>
        <w:t>"Mr </w:t>
      </w:r>
      <w:proofErr w:type="spellStart"/>
      <w:r w:rsidRPr="006B53C9">
        <w:rPr>
          <w:rFonts w:ascii="Times New Roman" w:hAnsi="Times New Roman"/>
        </w:rPr>
        <w:t>Tambakakis</w:t>
      </w:r>
      <w:proofErr w:type="spellEnd"/>
      <w:r w:rsidRPr="006B53C9">
        <w:rPr>
          <w:rFonts w:ascii="Times New Roman" w:hAnsi="Times New Roman"/>
        </w:rPr>
        <w:t xml:space="preserve"> chose to give evidence in his own defence, he did not have to do that. An accused person has the right to remain silent in court, they are not a compellable witness, he cannot be compelled to give evidence. So, he chose to. In choosing to give evidence, Mr </w:t>
      </w:r>
      <w:proofErr w:type="spellStart"/>
      <w:r w:rsidRPr="006B53C9">
        <w:rPr>
          <w:rFonts w:ascii="Times New Roman" w:hAnsi="Times New Roman"/>
        </w:rPr>
        <w:t>Tambakakis</w:t>
      </w:r>
      <w:proofErr w:type="spellEnd"/>
      <w:r w:rsidRPr="006B53C9">
        <w:rPr>
          <w:rFonts w:ascii="Times New Roman" w:hAnsi="Times New Roman"/>
        </w:rPr>
        <w:t xml:space="preserve"> undertook to tell the truth, and he also submitted himself to cross</w:t>
      </w:r>
      <w:r w:rsidRPr="006B53C9">
        <w:rPr>
          <w:rFonts w:ascii="Times New Roman" w:hAnsi="Times New Roman"/>
        </w:rPr>
        <w:noBreakHyphen/>
        <w:t>examination which is the way lawyers test a witness' credibility and truthfulness, and he was cross</w:t>
      </w:r>
      <w:r w:rsidRPr="006B53C9">
        <w:rPr>
          <w:rFonts w:ascii="Times New Roman" w:hAnsi="Times New Roman"/>
        </w:rPr>
        <w:noBreakHyphen/>
        <w:t xml:space="preserve">examined over an extensive </w:t>
      </w:r>
      <w:proofErr w:type="gramStart"/>
      <w:r w:rsidRPr="006B53C9">
        <w:rPr>
          <w:rFonts w:ascii="Times New Roman" w:hAnsi="Times New Roman"/>
        </w:rPr>
        <w:t>period of time</w:t>
      </w:r>
      <w:proofErr w:type="gramEnd"/>
      <w:r w:rsidRPr="006B53C9">
        <w:rPr>
          <w:rFonts w:ascii="Times New Roman" w:hAnsi="Times New Roman"/>
        </w:rPr>
        <w:t xml:space="preserve"> by [the prosecutor].</w:t>
      </w:r>
    </w:p>
    <w:p w14:paraId="34EA23E7" w14:textId="77777777" w:rsidR="00D06A72" w:rsidRPr="006B53C9" w:rsidRDefault="00D06A72" w:rsidP="006B53C9">
      <w:pPr>
        <w:pStyle w:val="leftright"/>
        <w:spacing w:before="0" w:after="260" w:line="280" w:lineRule="exact"/>
        <w:ind w:right="0"/>
        <w:jc w:val="both"/>
        <w:rPr>
          <w:rFonts w:ascii="Times New Roman" w:hAnsi="Times New Roman"/>
        </w:rPr>
      </w:pPr>
      <w:r w:rsidRPr="006B53C9">
        <w:rPr>
          <w:rFonts w:ascii="Times New Roman" w:hAnsi="Times New Roman"/>
        </w:rPr>
        <w:tab/>
        <w:t>Now, there are two factors that are significant that you should have regard to when you are assessing Mr </w:t>
      </w:r>
      <w:proofErr w:type="spellStart"/>
      <w:r w:rsidRPr="006B53C9">
        <w:rPr>
          <w:rFonts w:ascii="Times New Roman" w:hAnsi="Times New Roman"/>
        </w:rPr>
        <w:t>Tambakakis</w:t>
      </w:r>
      <w:proofErr w:type="spellEnd"/>
      <w:r w:rsidRPr="006B53C9">
        <w:rPr>
          <w:rFonts w:ascii="Times New Roman" w:hAnsi="Times New Roman"/>
        </w:rPr>
        <w:t>' evidence. Firstly, in a criminal trial, there is nothing more [that] an innocent [person] can do than give evidence in his own defence and subject himself to cross</w:t>
      </w:r>
      <w:r w:rsidRPr="006B53C9">
        <w:rPr>
          <w:rFonts w:ascii="Times New Roman" w:hAnsi="Times New Roman"/>
        </w:rPr>
        <w:noBreakHyphen/>
        <w:t>examination, and that is what occurred here. On the other hand, secondly, a guilty person might decide to tough out cross</w:t>
      </w:r>
      <w:r w:rsidRPr="006B53C9">
        <w:rPr>
          <w:rFonts w:ascii="Times New Roman" w:hAnsi="Times New Roman"/>
        </w:rPr>
        <w:noBreakHyphen/>
        <w:t xml:space="preserve">examination in the hope or belief that he will be more likely to be believed and his defence accepted if he takes the risk of giving evidence. You should consider </w:t>
      </w:r>
      <w:proofErr w:type="gramStart"/>
      <w:r w:rsidRPr="006B53C9">
        <w:rPr>
          <w:rFonts w:ascii="Times New Roman" w:hAnsi="Times New Roman"/>
        </w:rPr>
        <w:t>both of these</w:t>
      </w:r>
      <w:proofErr w:type="gramEnd"/>
      <w:r w:rsidRPr="006B53C9">
        <w:rPr>
          <w:rFonts w:ascii="Times New Roman" w:hAnsi="Times New Roman"/>
        </w:rPr>
        <w:t xml:space="preserve"> observations when evaluating Mr </w:t>
      </w:r>
      <w:proofErr w:type="spellStart"/>
      <w:r w:rsidRPr="006B53C9">
        <w:rPr>
          <w:rFonts w:ascii="Times New Roman" w:hAnsi="Times New Roman"/>
        </w:rPr>
        <w:t>Tambakakis</w:t>
      </w:r>
      <w:proofErr w:type="spellEnd"/>
      <w:r w:rsidRPr="006B53C9">
        <w:rPr>
          <w:rFonts w:ascii="Times New Roman" w:hAnsi="Times New Roman"/>
        </w:rPr>
        <w:t>' evidence.</w:t>
      </w:r>
    </w:p>
    <w:p w14:paraId="15703667" w14:textId="77777777" w:rsidR="00D06A72" w:rsidRDefault="00D06A72" w:rsidP="006B53C9">
      <w:pPr>
        <w:pStyle w:val="leftright"/>
        <w:spacing w:before="0" w:after="260" w:line="280" w:lineRule="exact"/>
        <w:ind w:right="0"/>
        <w:jc w:val="both"/>
        <w:rPr>
          <w:rFonts w:ascii="Times New Roman" w:hAnsi="Times New Roman"/>
        </w:rPr>
      </w:pPr>
      <w:r w:rsidRPr="006B53C9">
        <w:rPr>
          <w:rFonts w:ascii="Times New Roman" w:hAnsi="Times New Roman"/>
        </w:rPr>
        <w:tab/>
        <w:t xml:space="preserve">In the end, it is for you to determine </w:t>
      </w:r>
      <w:proofErr w:type="gramStart"/>
      <w:r w:rsidRPr="006B53C9">
        <w:rPr>
          <w:rFonts w:ascii="Times New Roman" w:hAnsi="Times New Roman"/>
        </w:rPr>
        <w:t>whether or not</w:t>
      </w:r>
      <w:proofErr w:type="gramEnd"/>
      <w:r w:rsidRPr="006B53C9">
        <w:rPr>
          <w:rFonts w:ascii="Times New Roman" w:hAnsi="Times New Roman"/>
        </w:rPr>
        <w:t xml:space="preserve"> you accept it and what weight you give to it. In making this determination, you should treat the accused's evidence in </w:t>
      </w:r>
      <w:proofErr w:type="gramStart"/>
      <w:r w:rsidRPr="006B53C9">
        <w:rPr>
          <w:rFonts w:ascii="Times New Roman" w:hAnsi="Times New Roman"/>
        </w:rPr>
        <w:t>exactly the same</w:t>
      </w:r>
      <w:proofErr w:type="gramEnd"/>
      <w:r w:rsidRPr="006B53C9">
        <w:rPr>
          <w:rFonts w:ascii="Times New Roman" w:hAnsi="Times New Roman"/>
        </w:rPr>
        <w:t xml:space="preserve"> way as you would treat the evidence of any other witness. However, you must bear in mind, </w:t>
      </w:r>
      <w:proofErr w:type="gramStart"/>
      <w:r w:rsidRPr="006B53C9">
        <w:rPr>
          <w:rFonts w:ascii="Times New Roman" w:hAnsi="Times New Roman"/>
        </w:rPr>
        <w:t>ladies</w:t>
      </w:r>
      <w:proofErr w:type="gramEnd"/>
      <w:r w:rsidRPr="006B53C9">
        <w:rPr>
          <w:rFonts w:ascii="Times New Roman" w:hAnsi="Times New Roman"/>
        </w:rPr>
        <w:t xml:space="preserve"> and gentlemen, that an accused giving evidence in his own defence is probably under more stress than any other witness giving evidence in a trial. And if </w:t>
      </w:r>
      <w:r w:rsidRPr="006B53C9">
        <w:rPr>
          <w:rFonts w:ascii="Times New Roman" w:hAnsi="Times New Roman"/>
        </w:rPr>
        <w:lastRenderedPageBreak/>
        <w:t>you were assessing Mr </w:t>
      </w:r>
      <w:proofErr w:type="spellStart"/>
      <w:r w:rsidRPr="006B53C9">
        <w:rPr>
          <w:rFonts w:ascii="Times New Roman" w:hAnsi="Times New Roman"/>
        </w:rPr>
        <w:t>Tambakakis</w:t>
      </w:r>
      <w:proofErr w:type="spellEnd"/>
      <w:r w:rsidRPr="006B53C9">
        <w:rPr>
          <w:rFonts w:ascii="Times New Roman" w:hAnsi="Times New Roman"/>
        </w:rPr>
        <w:t>' demeanour, which of course you would have been when he gave his evidence, have regard to that fact."</w:t>
      </w:r>
    </w:p>
    <w:p w14:paraId="0CE3CCF6"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At the conclusion of the day on which this direction was given, and after the jury had retired, senior counsel for Mr </w:t>
      </w:r>
      <w:proofErr w:type="spellStart"/>
      <w:r w:rsidRPr="006B53C9">
        <w:rPr>
          <w:rFonts w:ascii="Times New Roman" w:hAnsi="Times New Roman"/>
        </w:rPr>
        <w:t>Tambakakis</w:t>
      </w:r>
      <w:proofErr w:type="spellEnd"/>
      <w:r w:rsidRPr="006B53C9">
        <w:rPr>
          <w:rFonts w:ascii="Times New Roman" w:hAnsi="Times New Roman"/>
        </w:rPr>
        <w:t xml:space="preserve"> informed the trial judge that the direction was prohibited by s 44J of the </w:t>
      </w:r>
      <w:r w:rsidRPr="006B53C9">
        <w:rPr>
          <w:rFonts w:ascii="Times New Roman" w:hAnsi="Times New Roman"/>
          <w:i/>
        </w:rPr>
        <w:t xml:space="preserve">Jury Directions Act. </w:t>
      </w:r>
      <w:r w:rsidRPr="006B53C9">
        <w:rPr>
          <w:rFonts w:ascii="Times New Roman" w:hAnsi="Times New Roman"/>
        </w:rPr>
        <w:t>He told the trial judge that he was concerned how the direction could be corrected "without highlighting the issue" and added, with the later agreement of the prosecutor,</w:t>
      </w:r>
      <w:r w:rsidRPr="006B53C9" w:rsidDel="00185D8E">
        <w:rPr>
          <w:rFonts w:ascii="Times New Roman" w:hAnsi="Times New Roman"/>
        </w:rPr>
        <w:t xml:space="preserve"> </w:t>
      </w:r>
      <w:r w:rsidRPr="006B53C9">
        <w:rPr>
          <w:rFonts w:ascii="Times New Roman" w:hAnsi="Times New Roman"/>
        </w:rPr>
        <w:t>that it was "better to say nothing". Senior counsel for Mr </w:t>
      </w:r>
      <w:proofErr w:type="spellStart"/>
      <w:r w:rsidRPr="006B53C9">
        <w:rPr>
          <w:rFonts w:ascii="Times New Roman" w:hAnsi="Times New Roman"/>
        </w:rPr>
        <w:t>Tambakakis</w:t>
      </w:r>
      <w:proofErr w:type="spellEnd"/>
      <w:r w:rsidRPr="006B53C9">
        <w:rPr>
          <w:rFonts w:ascii="Times New Roman" w:hAnsi="Times New Roman"/>
        </w:rPr>
        <w:t xml:space="preserve"> asked the trial judge instead to direct that if the jury were to find that it was</w:t>
      </w:r>
      <w:r w:rsidRPr="006B53C9" w:rsidDel="00FF165D">
        <w:rPr>
          <w:rFonts w:ascii="Times New Roman" w:hAnsi="Times New Roman"/>
        </w:rPr>
        <w:t xml:space="preserve"> </w:t>
      </w:r>
      <w:r w:rsidRPr="006B53C9">
        <w:rPr>
          <w:rFonts w:ascii="Times New Roman" w:hAnsi="Times New Roman"/>
        </w:rPr>
        <w:t>reasonably possible that Mr </w:t>
      </w:r>
      <w:proofErr w:type="spellStart"/>
      <w:r w:rsidRPr="006B53C9">
        <w:rPr>
          <w:rFonts w:ascii="Times New Roman" w:hAnsi="Times New Roman"/>
        </w:rPr>
        <w:t>Tambakakis</w:t>
      </w:r>
      <w:proofErr w:type="spellEnd"/>
      <w:r w:rsidRPr="006B53C9">
        <w:rPr>
          <w:rFonts w:ascii="Times New Roman" w:hAnsi="Times New Roman"/>
        </w:rPr>
        <w:t xml:space="preserve"> believed that the secreted substance was steroids, then they must acquit him.</w:t>
      </w:r>
    </w:p>
    <w:p w14:paraId="1A3AAE0B"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The trial judge had already given a direction to the jury that if they rejected the evidence of Mr </w:t>
      </w:r>
      <w:proofErr w:type="spellStart"/>
      <w:r w:rsidRPr="006B53C9">
        <w:rPr>
          <w:rFonts w:ascii="Times New Roman" w:hAnsi="Times New Roman"/>
        </w:rPr>
        <w:t>Tambakakis</w:t>
      </w:r>
      <w:proofErr w:type="spellEnd"/>
      <w:r w:rsidRPr="006B53C9">
        <w:rPr>
          <w:rFonts w:ascii="Times New Roman" w:hAnsi="Times New Roman"/>
        </w:rPr>
        <w:t xml:space="preserve"> then they should put his evidence to one side rather than finding him guilty. But if they accepted his evidence as reasonably possible then they would find him not guilty. That is broadly a direction of the nature described by Brennan J in his dissenting reasons in </w:t>
      </w:r>
      <w:proofErr w:type="spellStart"/>
      <w:r w:rsidRPr="006B53C9">
        <w:rPr>
          <w:rFonts w:ascii="Times New Roman" w:hAnsi="Times New Roman"/>
          <w:i/>
        </w:rPr>
        <w:t>Liberato</w:t>
      </w:r>
      <w:proofErr w:type="spellEnd"/>
      <w:r w:rsidRPr="006B53C9">
        <w:rPr>
          <w:rFonts w:ascii="Times New Roman" w:hAnsi="Times New Roman"/>
          <w:i/>
        </w:rPr>
        <w:t xml:space="preserve"> v The Queen</w:t>
      </w:r>
      <w:r w:rsidRPr="006B53C9">
        <w:rPr>
          <w:rStyle w:val="FootnoteReference"/>
          <w:rFonts w:ascii="Times New Roman" w:hAnsi="Times New Roman"/>
          <w:sz w:val="24"/>
        </w:rPr>
        <w:footnoteReference w:id="40"/>
      </w:r>
      <w:r w:rsidRPr="006B53C9">
        <w:rPr>
          <w:rFonts w:ascii="Times New Roman" w:hAnsi="Times New Roman"/>
        </w:rPr>
        <w:t xml:space="preserve">, as modified by four members of this Court in </w:t>
      </w:r>
      <w:r w:rsidRPr="006B53C9">
        <w:rPr>
          <w:rFonts w:ascii="Times New Roman" w:hAnsi="Times New Roman"/>
          <w:i/>
        </w:rPr>
        <w:t>De Silva v The Queen</w:t>
      </w:r>
      <w:r w:rsidRPr="006B53C9">
        <w:rPr>
          <w:rStyle w:val="FootnoteReference"/>
          <w:rFonts w:ascii="Times New Roman" w:hAnsi="Times New Roman"/>
          <w:sz w:val="24"/>
        </w:rPr>
        <w:footnoteReference w:id="41"/>
      </w:r>
      <w:r w:rsidRPr="006B53C9">
        <w:rPr>
          <w:rFonts w:ascii="Times New Roman" w:hAnsi="Times New Roman"/>
        </w:rPr>
        <w:t xml:space="preserve">. His Honour repeated this modified </w:t>
      </w:r>
      <w:proofErr w:type="spellStart"/>
      <w:r w:rsidRPr="006B53C9">
        <w:rPr>
          <w:rFonts w:ascii="Times New Roman" w:hAnsi="Times New Roman"/>
          <w:i/>
        </w:rPr>
        <w:t>Liberato</w:t>
      </w:r>
      <w:proofErr w:type="spellEnd"/>
      <w:r w:rsidRPr="006B53C9">
        <w:rPr>
          <w:rFonts w:ascii="Times New Roman" w:hAnsi="Times New Roman"/>
          <w:i/>
        </w:rPr>
        <w:t xml:space="preserve"> </w:t>
      </w:r>
      <w:r w:rsidRPr="006B53C9">
        <w:rPr>
          <w:rFonts w:ascii="Times New Roman" w:hAnsi="Times New Roman"/>
        </w:rPr>
        <w:t>direction to the jury on the morning after the prohibited direction had been given.</w:t>
      </w:r>
    </w:p>
    <w:p w14:paraId="5833AA12" w14:textId="77777777" w:rsidR="00D06A72" w:rsidRPr="006B53C9" w:rsidRDefault="00D06A72" w:rsidP="006B53C9">
      <w:pPr>
        <w:pStyle w:val="HeadingL1"/>
        <w:spacing w:after="260" w:line="280" w:lineRule="exact"/>
        <w:ind w:right="0"/>
        <w:jc w:val="both"/>
        <w:rPr>
          <w:rFonts w:ascii="Times New Roman" w:hAnsi="Times New Roman"/>
          <w:i/>
        </w:rPr>
      </w:pPr>
      <w:r w:rsidRPr="006B53C9">
        <w:rPr>
          <w:rFonts w:ascii="Times New Roman" w:hAnsi="Times New Roman"/>
        </w:rPr>
        <w:t>A substantial miscarriage of justice with</w:t>
      </w:r>
      <w:r w:rsidRPr="006B53C9" w:rsidDel="00420C76">
        <w:rPr>
          <w:rFonts w:ascii="Times New Roman" w:hAnsi="Times New Roman"/>
        </w:rPr>
        <w:t>in</w:t>
      </w:r>
      <w:r w:rsidRPr="006B53C9">
        <w:rPr>
          <w:rFonts w:ascii="Times New Roman" w:hAnsi="Times New Roman"/>
        </w:rPr>
        <w:t xml:space="preserve"> s 276(1)(b) of the </w:t>
      </w:r>
      <w:r w:rsidRPr="006B53C9">
        <w:rPr>
          <w:rFonts w:ascii="Times New Roman" w:hAnsi="Times New Roman"/>
          <w:i/>
        </w:rPr>
        <w:t>Criminal Procedure Act</w:t>
      </w:r>
    </w:p>
    <w:p w14:paraId="511058B8"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On an appeal that concerns only an error of law </w:t>
      </w:r>
      <w:proofErr w:type="gramStart"/>
      <w:r w:rsidRPr="006B53C9">
        <w:rPr>
          <w:rFonts w:ascii="Times New Roman" w:hAnsi="Times New Roman"/>
        </w:rPr>
        <w:t>in the course of</w:t>
      </w:r>
      <w:proofErr w:type="gramEnd"/>
      <w:r w:rsidRPr="006B53C9">
        <w:rPr>
          <w:rFonts w:ascii="Times New Roman" w:hAnsi="Times New Roman"/>
        </w:rPr>
        <w:t xml:space="preserve"> the trial, s 276(1)(b) of the </w:t>
      </w:r>
      <w:r w:rsidRPr="006B53C9">
        <w:rPr>
          <w:rFonts w:ascii="Times New Roman" w:hAnsi="Times New Roman"/>
          <w:i/>
        </w:rPr>
        <w:t>Criminal Procedure Act</w:t>
      </w:r>
      <w:r w:rsidRPr="006B53C9">
        <w:rPr>
          <w:rFonts w:ascii="Times New Roman" w:hAnsi="Times New Roman"/>
        </w:rPr>
        <w:t xml:space="preserve"> relevantly provides that the Court must allow the appeal if the appellant satisfies the Court that "as the result of an error or an irregularity in, or in relation to, the trial there has been a substantial miscarriage of justice". Otherwise, the Court must dismiss the appeal</w:t>
      </w:r>
      <w:r w:rsidRPr="006B53C9">
        <w:rPr>
          <w:rStyle w:val="FootnoteReference"/>
          <w:rFonts w:ascii="Times New Roman" w:hAnsi="Times New Roman"/>
          <w:sz w:val="24"/>
        </w:rPr>
        <w:footnoteReference w:id="42"/>
      </w:r>
      <w:r w:rsidRPr="006B53C9">
        <w:rPr>
          <w:rFonts w:ascii="Times New Roman" w:hAnsi="Times New Roman"/>
        </w:rPr>
        <w:t>.</w:t>
      </w:r>
    </w:p>
    <w:p w14:paraId="7B285F0F"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Section 276 of the </w:t>
      </w:r>
      <w:r w:rsidRPr="006B53C9">
        <w:rPr>
          <w:rFonts w:ascii="Times New Roman" w:hAnsi="Times New Roman"/>
          <w:i/>
        </w:rPr>
        <w:t xml:space="preserve">Criminal Procedure Act </w:t>
      </w:r>
      <w:r w:rsidRPr="006B53C9">
        <w:rPr>
          <w:rFonts w:ascii="Times New Roman" w:hAnsi="Times New Roman"/>
        </w:rPr>
        <w:t xml:space="preserve">is not in the same form as the common form criminal appeal provision, which was its legislative predecessor. As </w:t>
      </w:r>
      <w:proofErr w:type="gramStart"/>
      <w:r w:rsidRPr="006B53C9">
        <w:rPr>
          <w:rFonts w:ascii="Times New Roman" w:hAnsi="Times New Roman"/>
        </w:rPr>
        <w:t>the majority of</w:t>
      </w:r>
      <w:proofErr w:type="gramEnd"/>
      <w:r w:rsidRPr="006B53C9">
        <w:rPr>
          <w:rFonts w:ascii="Times New Roman" w:hAnsi="Times New Roman"/>
        </w:rPr>
        <w:t xml:space="preserve"> this Court, French CJ, Hayne, </w:t>
      </w:r>
      <w:proofErr w:type="spellStart"/>
      <w:r w:rsidRPr="006B53C9">
        <w:rPr>
          <w:rFonts w:ascii="Times New Roman" w:hAnsi="Times New Roman"/>
        </w:rPr>
        <w:t>Crennan</w:t>
      </w:r>
      <w:proofErr w:type="spellEnd"/>
      <w:r w:rsidRPr="006B53C9">
        <w:rPr>
          <w:rFonts w:ascii="Times New Roman" w:hAnsi="Times New Roman"/>
        </w:rPr>
        <w:t xml:space="preserve">, Kiefel and Bell JJ, said in </w:t>
      </w:r>
      <w:proofErr w:type="spellStart"/>
      <w:r w:rsidRPr="006B53C9">
        <w:rPr>
          <w:rFonts w:ascii="Times New Roman" w:hAnsi="Times New Roman"/>
          <w:i/>
        </w:rPr>
        <w:t>Baini</w:t>
      </w:r>
      <w:proofErr w:type="spellEnd"/>
      <w:r w:rsidRPr="006B53C9">
        <w:rPr>
          <w:rFonts w:ascii="Times New Roman" w:hAnsi="Times New Roman"/>
          <w:i/>
        </w:rPr>
        <w:t xml:space="preserve"> v The Queen</w:t>
      </w:r>
      <w:r w:rsidRPr="006B53C9">
        <w:rPr>
          <w:rStyle w:val="FootnoteReference"/>
          <w:rFonts w:ascii="Times New Roman" w:hAnsi="Times New Roman"/>
          <w:sz w:val="24"/>
        </w:rPr>
        <w:footnoteReference w:id="43"/>
      </w:r>
      <w:r w:rsidRPr="006B53C9">
        <w:rPr>
          <w:rFonts w:ascii="Times New Roman" w:hAnsi="Times New Roman"/>
        </w:rPr>
        <w:t xml:space="preserve">, "comparing a statute with its legislative predecessor (and cases decided under that predecessor) is only a useful exercise if doing so illuminates the actual text of the new provision". The interpretation of s 276 must </w:t>
      </w:r>
      <w:r w:rsidRPr="006B53C9">
        <w:rPr>
          <w:rFonts w:ascii="Times New Roman" w:hAnsi="Times New Roman"/>
        </w:rPr>
        <w:lastRenderedPageBreak/>
        <w:t xml:space="preserve">therefore begin with the text of that provision and the decision of this Court in </w:t>
      </w:r>
      <w:proofErr w:type="spellStart"/>
      <w:r w:rsidRPr="006B53C9">
        <w:rPr>
          <w:rFonts w:ascii="Times New Roman" w:hAnsi="Times New Roman"/>
          <w:i/>
          <w:iCs/>
        </w:rPr>
        <w:t>Baini</w:t>
      </w:r>
      <w:proofErr w:type="spellEnd"/>
      <w:r w:rsidRPr="006B53C9">
        <w:rPr>
          <w:rFonts w:ascii="Times New Roman" w:hAnsi="Times New Roman"/>
        </w:rPr>
        <w:t>.</w:t>
      </w:r>
    </w:p>
    <w:p w14:paraId="56D3C8F2"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Two of the non</w:t>
      </w:r>
      <w:r w:rsidRPr="006B53C9">
        <w:rPr>
          <w:rFonts w:ascii="Times New Roman" w:hAnsi="Times New Roman"/>
        </w:rPr>
        <w:noBreakHyphen/>
        <w:t xml:space="preserve">exhaustive categories of substantial miscarriage of justice described by the majority in </w:t>
      </w:r>
      <w:proofErr w:type="spellStart"/>
      <w:r w:rsidRPr="006B53C9">
        <w:rPr>
          <w:rFonts w:ascii="Times New Roman" w:hAnsi="Times New Roman"/>
          <w:i/>
        </w:rPr>
        <w:t>Baini</w:t>
      </w:r>
      <w:proofErr w:type="spellEnd"/>
      <w:r w:rsidRPr="006B53C9">
        <w:rPr>
          <w:rStyle w:val="FootnoteReference"/>
          <w:rFonts w:ascii="Times New Roman" w:hAnsi="Times New Roman"/>
          <w:sz w:val="24"/>
        </w:rPr>
        <w:footnoteReference w:id="44"/>
      </w:r>
      <w:r w:rsidRPr="006B53C9">
        <w:rPr>
          <w:rFonts w:ascii="Times New Roman" w:hAnsi="Times New Roman"/>
        </w:rPr>
        <w:t xml:space="preserve"> are where: (</w:t>
      </w:r>
      <w:proofErr w:type="spellStart"/>
      <w:r w:rsidRPr="006B53C9">
        <w:rPr>
          <w:rFonts w:ascii="Times New Roman" w:hAnsi="Times New Roman"/>
        </w:rPr>
        <w:t>i</w:t>
      </w:r>
      <w:proofErr w:type="spellEnd"/>
      <w:r w:rsidRPr="006B53C9">
        <w:rPr>
          <w:rFonts w:ascii="Times New Roman" w:hAnsi="Times New Roman"/>
        </w:rPr>
        <w:t>) "there has been a serious departure from the prescribed processes for trial"; or (ii) "there has been an error or an irregularity in, or in relation to, the trial and the Court of Appeal cannot be satisfied that the error or irregularity did not make a difference to the outcome of the trial". As their Honours later said, the first category involves a departure "from trial processes (sufficiently described for present purposes as 'serious' departures), whether or not the impact of the departure in issue can be determined"; and the second category involves "an error which possibly affected the result of the trial"</w:t>
      </w:r>
      <w:r w:rsidRPr="006B53C9">
        <w:rPr>
          <w:rStyle w:val="FootnoteReference"/>
          <w:rFonts w:ascii="Times New Roman" w:hAnsi="Times New Roman"/>
          <w:sz w:val="24"/>
        </w:rPr>
        <w:footnoteReference w:id="45"/>
      </w:r>
      <w:r w:rsidRPr="006B53C9">
        <w:rPr>
          <w:rFonts w:ascii="Times New Roman" w:hAnsi="Times New Roman"/>
        </w:rPr>
        <w:t>.</w:t>
      </w:r>
    </w:p>
    <w:p w14:paraId="15D0C78E"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As to the first category – like appeals under the common form criminal appeal provision – where the conclusion is reached that an error is a fundamental one, which "goes to the root of the proceedings"</w:t>
      </w:r>
      <w:r w:rsidRPr="006B53C9">
        <w:rPr>
          <w:rStyle w:val="FootnoteReference"/>
          <w:rFonts w:ascii="Times New Roman" w:hAnsi="Times New Roman"/>
          <w:sz w:val="24"/>
        </w:rPr>
        <w:footnoteReference w:id="46"/>
      </w:r>
      <w:r w:rsidRPr="006B53C9">
        <w:rPr>
          <w:rFonts w:ascii="Times New Roman" w:hAnsi="Times New Roman"/>
        </w:rPr>
        <w:t xml:space="preserve"> or amounts to "a serious breach of the presuppositions of the trial"</w:t>
      </w:r>
      <w:r w:rsidRPr="006B53C9">
        <w:rPr>
          <w:rStyle w:val="FootnoteReference"/>
          <w:rFonts w:ascii="Times New Roman" w:hAnsi="Times New Roman"/>
          <w:sz w:val="24"/>
        </w:rPr>
        <w:footnoteReference w:id="47"/>
      </w:r>
      <w:r w:rsidRPr="006B53C9">
        <w:rPr>
          <w:rFonts w:ascii="Times New Roman" w:hAnsi="Times New Roman"/>
        </w:rPr>
        <w:t>, the demonstration of that error by the appellant will, of itself, establish a substantial miscarriage of justice. That is, a fundamental error will result in a substantial miscarriage of justice irrespective of whether the Court of Appeal considers that the error could have affected the result of the trial.</w:t>
      </w:r>
    </w:p>
    <w:p w14:paraId="05844BAF"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As to the second category, the majority in </w:t>
      </w:r>
      <w:proofErr w:type="spellStart"/>
      <w:r w:rsidRPr="006B53C9">
        <w:rPr>
          <w:rFonts w:ascii="Times New Roman" w:hAnsi="Times New Roman"/>
          <w:i/>
        </w:rPr>
        <w:t>Baini</w:t>
      </w:r>
      <w:proofErr w:type="spellEnd"/>
      <w:r w:rsidRPr="006B53C9">
        <w:rPr>
          <w:rFonts w:ascii="Times New Roman" w:hAnsi="Times New Roman"/>
          <w:i/>
        </w:rPr>
        <w:t xml:space="preserve"> </w:t>
      </w:r>
      <w:r w:rsidRPr="006B53C9">
        <w:rPr>
          <w:rFonts w:ascii="Times New Roman" w:hAnsi="Times New Roman"/>
        </w:rPr>
        <w:t>observed</w:t>
      </w:r>
      <w:r w:rsidRPr="006B53C9">
        <w:rPr>
          <w:rStyle w:val="FootnoteReference"/>
          <w:rFonts w:ascii="Times New Roman" w:hAnsi="Times New Roman"/>
          <w:sz w:val="24"/>
        </w:rPr>
        <w:footnoteReference w:id="48"/>
      </w:r>
      <w:r w:rsidRPr="006B53C9">
        <w:rPr>
          <w:rFonts w:ascii="Times New Roman" w:hAnsi="Times New Roman"/>
        </w:rPr>
        <w:t>:</w:t>
      </w:r>
    </w:p>
    <w:p w14:paraId="3F583BC9" w14:textId="77777777" w:rsidR="00D06A72" w:rsidRDefault="00D06A72" w:rsidP="006B53C9">
      <w:pPr>
        <w:pStyle w:val="LeftrightafterHC"/>
        <w:spacing w:before="0" w:after="260" w:line="280" w:lineRule="exact"/>
        <w:ind w:right="0"/>
        <w:jc w:val="both"/>
        <w:rPr>
          <w:rFonts w:ascii="Times New Roman" w:hAnsi="Times New Roman"/>
        </w:rPr>
      </w:pPr>
      <w:r w:rsidRPr="006B53C9">
        <w:rPr>
          <w:rFonts w:ascii="Times New Roman" w:hAnsi="Times New Roman"/>
        </w:rPr>
        <w:tab/>
        <w:t xml:space="preserve">"If it is submitted [by the respondent] that a guilty verdict was inevitable, an appellant need not prove his or her innocence to meet the point. An appellant will meet the point by showing no more than that, had there been no error, the jury may have entertained a doubt as to his or her guilt. As a practical matter, it will then be for the respondent to the appeal </w:t>
      </w:r>
      <w:r w:rsidRPr="006B53C9">
        <w:rPr>
          <w:rFonts w:ascii="Times New Roman" w:hAnsi="Times New Roman"/>
        </w:rPr>
        <w:lastRenderedPageBreak/>
        <w:t>to articulate the reasoning by which it is sought to show that the appellant's conviction was inevitable."</w:t>
      </w:r>
    </w:p>
    <w:p w14:paraId="36FA653D" w14:textId="77777777" w:rsidR="00D06A72" w:rsidRPr="006B53C9" w:rsidRDefault="00D06A72" w:rsidP="006B53C9">
      <w:pPr>
        <w:pStyle w:val="NormalBody"/>
        <w:spacing w:after="260" w:line="280" w:lineRule="exact"/>
        <w:ind w:right="0"/>
        <w:jc w:val="both"/>
        <w:rPr>
          <w:rFonts w:ascii="Times New Roman" w:hAnsi="Times New Roman"/>
        </w:rPr>
      </w:pPr>
      <w:r w:rsidRPr="006B53C9">
        <w:rPr>
          <w:rFonts w:ascii="Times New Roman" w:hAnsi="Times New Roman"/>
        </w:rPr>
        <w:t>In other words, once the appellant shows that an error of law had the capacity to affect the result of the trial, then as a practical matter the Crown will be required to show that the appellant's conviction was nevertheless inevitable</w:t>
      </w:r>
      <w:r w:rsidRPr="006B53C9">
        <w:rPr>
          <w:rStyle w:val="FootnoteReference"/>
          <w:rFonts w:ascii="Times New Roman" w:hAnsi="Times New Roman"/>
          <w:sz w:val="24"/>
        </w:rPr>
        <w:footnoteReference w:id="49"/>
      </w:r>
      <w:r w:rsidRPr="006B53C9">
        <w:rPr>
          <w:rFonts w:ascii="Times New Roman" w:hAnsi="Times New Roman"/>
        </w:rPr>
        <w:t xml:space="preserve">. However, it may also be the case that the Court is not </w:t>
      </w:r>
      <w:proofErr w:type="gramStart"/>
      <w:r w:rsidRPr="006B53C9">
        <w:rPr>
          <w:rFonts w:ascii="Times New Roman" w:hAnsi="Times New Roman"/>
        </w:rPr>
        <w:t>in a position</w:t>
      </w:r>
      <w:proofErr w:type="gramEnd"/>
      <w:r w:rsidRPr="006B53C9">
        <w:rPr>
          <w:rFonts w:ascii="Times New Roman" w:hAnsi="Times New Roman"/>
        </w:rPr>
        <w:t xml:space="preserve"> to assess inevitability because the error will be of a kind that will prevent the Court from reaching that conclusion on the record of the trial, given the natural limitations attending the appellate task</w:t>
      </w:r>
      <w:r w:rsidRPr="006B53C9">
        <w:rPr>
          <w:rStyle w:val="FootnoteReference"/>
          <w:rFonts w:ascii="Times New Roman" w:hAnsi="Times New Roman"/>
          <w:sz w:val="24"/>
        </w:rPr>
        <w:footnoteReference w:id="50"/>
      </w:r>
      <w:r w:rsidRPr="006B53C9">
        <w:rPr>
          <w:rFonts w:ascii="Times New Roman" w:hAnsi="Times New Roman"/>
        </w:rPr>
        <w:t>. Once the appellant has shown an error of law had the capacity to affect the result of the trial, if the Court is not satisfied, or is unable to be satisfied, that the conviction was inevitable on the record of the trial, the appeal must be upheld.</w:t>
      </w:r>
    </w:p>
    <w:p w14:paraId="3F0A991F" w14:textId="77777777" w:rsidR="00D06A72" w:rsidRPr="006B53C9" w:rsidRDefault="00D06A72" w:rsidP="006B53C9">
      <w:pPr>
        <w:pStyle w:val="HeadingL1"/>
        <w:spacing w:after="260" w:line="280" w:lineRule="exact"/>
        <w:ind w:right="0"/>
        <w:jc w:val="both"/>
        <w:rPr>
          <w:rFonts w:ascii="Times New Roman" w:hAnsi="Times New Roman"/>
        </w:rPr>
      </w:pPr>
      <w:r w:rsidRPr="006B53C9">
        <w:rPr>
          <w:rFonts w:ascii="Times New Roman" w:hAnsi="Times New Roman"/>
        </w:rPr>
        <w:t>The majority of the Court of Appeal conclude that there was no substantial miscarriage of justice</w:t>
      </w:r>
    </w:p>
    <w:p w14:paraId="14A10A70"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In the Court of Appeal, and in this Court, there was no dispute that the trial judge's direction, prohibited by s 44J, was an error in the trials within the meaning of s 276(1)(b) of the </w:t>
      </w:r>
      <w:r w:rsidRPr="006B53C9">
        <w:rPr>
          <w:rFonts w:ascii="Times New Roman" w:hAnsi="Times New Roman"/>
          <w:i/>
          <w:iCs/>
        </w:rPr>
        <w:t>Criminal Procedure Act</w:t>
      </w:r>
      <w:r w:rsidRPr="006B53C9">
        <w:rPr>
          <w:rFonts w:ascii="Times New Roman" w:hAnsi="Times New Roman"/>
        </w:rPr>
        <w:t>. Putting to one side the other grounds of appeal raised by 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r w:rsidRPr="006B53C9">
        <w:rPr>
          <w:rFonts w:ascii="Times New Roman" w:hAnsi="Times New Roman"/>
        </w:rPr>
        <w:t>, which were rejected by the Court of Appeal and for which special leave was not sought, the sole remaining issue was whether the contravention of s 44J by the trial judge resulted in a substantial miscarriage of justice.</w:t>
      </w:r>
    </w:p>
    <w:p w14:paraId="011A2BCE"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r w:rsidRPr="006B53C9">
        <w:rPr>
          <w:rFonts w:ascii="Times New Roman" w:hAnsi="Times New Roman"/>
        </w:rPr>
        <w:t xml:space="preserve"> relied, as alternatives, on each category of substantial miscarriage of justice described above. In relation to the first category, the Crown submitted to the Court of Appeal that a contravention of s 44J does not necessarily involve a fundamental departure from the trial process. In relation to the second category, the Crown submitted that each appellant's conviction was inevitable: (</w:t>
      </w:r>
      <w:proofErr w:type="spellStart"/>
      <w:r w:rsidRPr="006B53C9">
        <w:rPr>
          <w:rFonts w:ascii="Times New Roman" w:hAnsi="Times New Roman"/>
        </w:rPr>
        <w:t>i</w:t>
      </w:r>
      <w:proofErr w:type="spellEnd"/>
      <w:r w:rsidRPr="006B53C9">
        <w:rPr>
          <w:rFonts w:ascii="Times New Roman" w:hAnsi="Times New Roman"/>
        </w:rPr>
        <w:t>) because the nature and effect of the error could not have distracted the jury from their task; or (ii) having regard to the entire record.</w:t>
      </w:r>
    </w:p>
    <w:p w14:paraId="640F2B64"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The Court of Appeal unanimously rejected the submission by 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r w:rsidRPr="006B53C9">
        <w:rPr>
          <w:rFonts w:ascii="Times New Roman" w:hAnsi="Times New Roman"/>
        </w:rPr>
        <w:t xml:space="preserve"> that a contravention of s 44J was such a fundamental error that, without more, it would always result in a substantial miscarriage of justice</w:t>
      </w:r>
      <w:r w:rsidRPr="006B53C9">
        <w:rPr>
          <w:rStyle w:val="FootnoteReference"/>
          <w:rFonts w:ascii="Times New Roman" w:hAnsi="Times New Roman"/>
          <w:sz w:val="24"/>
        </w:rPr>
        <w:footnoteReference w:id="51"/>
      </w:r>
      <w:r w:rsidRPr="006B53C9">
        <w:rPr>
          <w:rFonts w:ascii="Times New Roman" w:hAnsi="Times New Roman"/>
        </w:rPr>
        <w:t xml:space="preserve">. However, the majority of the Court of Appeal accepted the Crown's submission </w:t>
      </w:r>
      <w:r w:rsidRPr="006B53C9">
        <w:rPr>
          <w:rFonts w:ascii="Times New Roman" w:hAnsi="Times New Roman"/>
        </w:rPr>
        <w:lastRenderedPageBreak/>
        <w:t xml:space="preserve">that, when the trial judge's charge was considered as a whole – including the correct directions as to the onus and standard of proof – and </w:t>
      </w:r>
      <w:proofErr w:type="gramStart"/>
      <w:r w:rsidRPr="006B53C9">
        <w:rPr>
          <w:rFonts w:ascii="Times New Roman" w:hAnsi="Times New Roman"/>
        </w:rPr>
        <w:t>in light of</w:t>
      </w:r>
      <w:proofErr w:type="gramEnd"/>
      <w:r w:rsidRPr="006B53C9">
        <w:rPr>
          <w:rFonts w:ascii="Times New Roman" w:hAnsi="Times New Roman"/>
        </w:rPr>
        <w:t xml:space="preserve"> the "approach taken to the direction before the enactment of s 44J", the prohibited direction would not have distracted the jury from the performance of their task</w:t>
      </w:r>
      <w:r w:rsidRPr="006B53C9">
        <w:rPr>
          <w:rStyle w:val="FootnoteReference"/>
          <w:rFonts w:ascii="Times New Roman" w:hAnsi="Times New Roman"/>
          <w:sz w:val="24"/>
        </w:rPr>
        <w:footnoteReference w:id="52"/>
      </w:r>
      <w:r w:rsidRPr="006B53C9">
        <w:rPr>
          <w:rFonts w:ascii="Times New Roman" w:hAnsi="Times New Roman"/>
        </w:rPr>
        <w:t>. The majority held that, in assessing whether there was a substantial miscarriage of justice, it was not necessary to assess the whole of the record if a misdirection, in the context of the charge as a whole, "was innocuous, had been corrected, or could have had no bearing on the outcome of the trial"</w:t>
      </w:r>
      <w:r w:rsidRPr="006B53C9">
        <w:rPr>
          <w:rStyle w:val="FootnoteReference"/>
          <w:rFonts w:ascii="Times New Roman" w:hAnsi="Times New Roman"/>
          <w:sz w:val="24"/>
        </w:rPr>
        <w:footnoteReference w:id="53"/>
      </w:r>
      <w:r w:rsidRPr="006B53C9">
        <w:rPr>
          <w:rFonts w:ascii="Times New Roman" w:hAnsi="Times New Roman"/>
        </w:rPr>
        <w:t>. The majority thus did not consider the Crown's submission that conviction was inevitable having regard to the entire record of the trials.</w:t>
      </w:r>
    </w:p>
    <w:p w14:paraId="350085F4"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Priest JA dissented. His Honour held that the prohibited direction had "the potential to undermine the jury's consideration and evaluation of crucial evidence" and was unable to conclude that, absent the prohibited direction, the convictions were inevitable</w:t>
      </w:r>
      <w:r w:rsidRPr="006B53C9">
        <w:rPr>
          <w:rStyle w:val="FootnoteReference"/>
          <w:rFonts w:ascii="Times New Roman" w:hAnsi="Times New Roman"/>
          <w:sz w:val="24"/>
        </w:rPr>
        <w:footnoteReference w:id="54"/>
      </w:r>
      <w:r w:rsidRPr="006B53C9">
        <w:rPr>
          <w:rFonts w:ascii="Times New Roman" w:hAnsi="Times New Roman"/>
        </w:rPr>
        <w:t>.</w:t>
      </w:r>
    </w:p>
    <w:p w14:paraId="701FB2C9" w14:textId="77777777" w:rsidR="00D06A72" w:rsidRPr="006B53C9" w:rsidRDefault="00D06A72" w:rsidP="006B53C9">
      <w:pPr>
        <w:pStyle w:val="HeadingL1"/>
        <w:spacing w:after="260" w:line="280" w:lineRule="exact"/>
        <w:ind w:right="0"/>
        <w:jc w:val="both"/>
        <w:rPr>
          <w:rFonts w:ascii="Times New Roman" w:hAnsi="Times New Roman"/>
        </w:rPr>
      </w:pPr>
      <w:r w:rsidRPr="006B53C9">
        <w:rPr>
          <w:rFonts w:ascii="Times New Roman" w:hAnsi="Times New Roman"/>
        </w:rPr>
        <w:t>There was a substantial miscarriage of justice in each trial</w:t>
      </w:r>
    </w:p>
    <w:p w14:paraId="0B1ABE5C" w14:textId="77777777" w:rsidR="00D06A72" w:rsidRPr="006B53C9" w:rsidRDefault="00D06A72" w:rsidP="006B53C9">
      <w:pPr>
        <w:pStyle w:val="HeadingL2"/>
        <w:spacing w:after="260" w:line="280" w:lineRule="exact"/>
        <w:ind w:right="0"/>
        <w:jc w:val="both"/>
        <w:rPr>
          <w:rFonts w:ascii="Times New Roman" w:hAnsi="Times New Roman"/>
        </w:rPr>
      </w:pPr>
      <w:r w:rsidRPr="006B53C9">
        <w:rPr>
          <w:rFonts w:ascii="Times New Roman" w:hAnsi="Times New Roman"/>
        </w:rPr>
        <w:t>The way that the issue was framed in this Court</w:t>
      </w:r>
    </w:p>
    <w:p w14:paraId="1C059449"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At the special leave hearing in this Court, the Crown foreshadowed an intention to file a notice of contention in each appeal to contend that the appeal should be dismissed because, having regard to the whole of the record, conviction was inevitable. No notice of contention was ultimately filed. Instead, in the circumstances involving the constraint of hearing time, and taking the view that "it would be inappropriate for this Court to do so at first instance", the Crown submitted that if the appeals were allowed then the matter should be remitted to the Court of Appeal for consideration of whether conviction was inevitable, having regard to the whole of the record.</w:t>
      </w:r>
    </w:p>
    <w:p w14:paraId="1D16653A"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At the hearing of the appeals in this Court, the Crown abandoned its submission that the matter should be remitted. The decision to abandon that submission was properly made because the submission misapprehended the test and onus under s 276(1)(b) of the </w:t>
      </w:r>
      <w:r w:rsidRPr="006B53C9">
        <w:rPr>
          <w:rFonts w:ascii="Times New Roman" w:hAnsi="Times New Roman"/>
          <w:i/>
        </w:rPr>
        <w:t>Criminal Procedure Act</w:t>
      </w:r>
      <w:r w:rsidRPr="006B53C9">
        <w:rPr>
          <w:rFonts w:ascii="Times New Roman" w:hAnsi="Times New Roman"/>
        </w:rPr>
        <w:t>. Once an appellant establishes that there was an error and it had the potential to affect the outcome, the appellate court must allow the appeal unless it can be satisfied that the error did not make a difference to the outcome of the trial.</w:t>
      </w:r>
    </w:p>
    <w:p w14:paraId="7F361817"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lastRenderedPageBreak/>
        <w:tab/>
        <w:t>Since the Crown no longer seeks to establish that the convictions were inevitable having regard to the whole of the record of the appellants' trials, a new trial should be ordered for each appellant if he establishes that either (</w:t>
      </w:r>
      <w:proofErr w:type="spellStart"/>
      <w:r w:rsidRPr="006B53C9">
        <w:rPr>
          <w:rFonts w:ascii="Times New Roman" w:hAnsi="Times New Roman"/>
        </w:rPr>
        <w:t>i</w:t>
      </w:r>
      <w:proofErr w:type="spellEnd"/>
      <w:r w:rsidRPr="006B53C9">
        <w:rPr>
          <w:rFonts w:ascii="Times New Roman" w:hAnsi="Times New Roman"/>
        </w:rPr>
        <w:t>) a contravention of s 44J is a fundamental error which will always constitute a miscarriage of justice, or (ii) as Priest JA held, the prohibited direction, in the context of the charge as a whole, had the potential, or capacity, to affect the result of the trials. For the reasons below, Priest JA was correct.</w:t>
      </w:r>
    </w:p>
    <w:p w14:paraId="59472922" w14:textId="77777777" w:rsidR="00D06A72" w:rsidRPr="006B53C9" w:rsidRDefault="00D06A72" w:rsidP="006B53C9">
      <w:pPr>
        <w:pStyle w:val="HeadingL2"/>
        <w:spacing w:after="260" w:line="280" w:lineRule="exact"/>
        <w:ind w:right="0"/>
        <w:jc w:val="both"/>
        <w:rPr>
          <w:rFonts w:ascii="Times New Roman" w:hAnsi="Times New Roman"/>
        </w:rPr>
      </w:pPr>
      <w:r w:rsidRPr="006B53C9">
        <w:rPr>
          <w:rFonts w:ascii="Times New Roman" w:hAnsi="Times New Roman"/>
        </w:rPr>
        <w:t>A contravention of s 44J is not a fundamental error</w:t>
      </w:r>
    </w:p>
    <w:p w14:paraId="1A01E415"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r w:rsidRPr="006B53C9">
        <w:rPr>
          <w:rFonts w:ascii="Times New Roman" w:hAnsi="Times New Roman"/>
        </w:rPr>
        <w:t xml:space="preserve"> relied on the formulation by the majority in </w:t>
      </w:r>
      <w:proofErr w:type="spellStart"/>
      <w:r w:rsidRPr="006B53C9">
        <w:rPr>
          <w:rFonts w:ascii="Times New Roman" w:hAnsi="Times New Roman"/>
          <w:i/>
        </w:rPr>
        <w:t>Baini</w:t>
      </w:r>
      <w:proofErr w:type="spellEnd"/>
      <w:r w:rsidRPr="006B53C9">
        <w:rPr>
          <w:rStyle w:val="FootnoteReference"/>
          <w:rFonts w:ascii="Times New Roman" w:hAnsi="Times New Roman"/>
          <w:sz w:val="24"/>
        </w:rPr>
        <w:footnoteReference w:id="55"/>
      </w:r>
      <w:r w:rsidRPr="006B53C9">
        <w:rPr>
          <w:rFonts w:ascii="Times New Roman" w:hAnsi="Times New Roman"/>
          <w:i/>
        </w:rPr>
        <w:t xml:space="preserve"> </w:t>
      </w:r>
      <w:r w:rsidRPr="006B53C9">
        <w:rPr>
          <w:rFonts w:ascii="Times New Roman" w:hAnsi="Times New Roman"/>
        </w:rPr>
        <w:t>that a fundamental error occurs where "there has been a serious departure from the prescribed processes for trial". It was submitted that the breach of s 44J was a serious departure from a legislatively prescribed process for trial,</w:t>
      </w:r>
      <w:r w:rsidRPr="006B53C9">
        <w:rPr>
          <w:rFonts w:ascii="Times New Roman" w:hAnsi="Times New Roman"/>
          <w:b/>
        </w:rPr>
        <w:t xml:space="preserve"> </w:t>
      </w:r>
      <w:r w:rsidRPr="006B53C9">
        <w:rPr>
          <w:rFonts w:ascii="Times New Roman" w:hAnsi="Times New Roman"/>
        </w:rPr>
        <w:t>compliance with s 44J being, as Mr </w:t>
      </w:r>
      <w:proofErr w:type="spellStart"/>
      <w:r w:rsidRPr="006B53C9">
        <w:rPr>
          <w:rFonts w:ascii="Times New Roman" w:hAnsi="Times New Roman"/>
        </w:rPr>
        <w:t>Awad</w:t>
      </w:r>
      <w:proofErr w:type="spellEnd"/>
      <w:r w:rsidRPr="006B53C9">
        <w:rPr>
          <w:rFonts w:ascii="Times New Roman" w:hAnsi="Times New Roman"/>
        </w:rPr>
        <w:t xml:space="preserve"> submitted, "an essential means of securing a fair trial according to law".</w:t>
      </w:r>
    </w:p>
    <w:p w14:paraId="5597AE3A"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In using the expression "serious departure from the prescribed processes for trial", a paraphrase of s 276(1)(b), the majority in </w:t>
      </w:r>
      <w:proofErr w:type="spellStart"/>
      <w:r w:rsidRPr="006B53C9">
        <w:rPr>
          <w:rFonts w:ascii="Times New Roman" w:hAnsi="Times New Roman"/>
          <w:i/>
        </w:rPr>
        <w:t>Baini</w:t>
      </w:r>
      <w:proofErr w:type="spellEnd"/>
      <w:r w:rsidRPr="006B53C9">
        <w:rPr>
          <w:rFonts w:ascii="Times New Roman" w:hAnsi="Times New Roman"/>
          <w:i/>
        </w:rPr>
        <w:t xml:space="preserve"> </w:t>
      </w:r>
      <w:r w:rsidRPr="006B53C9">
        <w:rPr>
          <w:rFonts w:ascii="Times New Roman" w:hAnsi="Times New Roman"/>
        </w:rPr>
        <w:t>were not suggesting a formula for ready application. The expression is no more capable of direct application than other well</w:t>
      </w:r>
      <w:r w:rsidRPr="006B53C9">
        <w:rPr>
          <w:rFonts w:ascii="Times New Roman" w:hAnsi="Times New Roman"/>
        </w:rPr>
        <w:noBreakHyphen/>
        <w:t xml:space="preserve">used expressions, such as errors that go "to the root of the proceedings" or amount to "a serious breach of the presuppositions of the trial". As the majority in </w:t>
      </w:r>
      <w:proofErr w:type="spellStart"/>
      <w:r w:rsidRPr="006B53C9">
        <w:rPr>
          <w:rFonts w:ascii="Times New Roman" w:hAnsi="Times New Roman"/>
          <w:i/>
        </w:rPr>
        <w:t>Baini</w:t>
      </w:r>
      <w:proofErr w:type="spellEnd"/>
      <w:r w:rsidRPr="006B53C9">
        <w:rPr>
          <w:rStyle w:val="FootnoteReference"/>
          <w:rFonts w:ascii="Times New Roman" w:hAnsi="Times New Roman"/>
          <w:sz w:val="24"/>
        </w:rPr>
        <w:footnoteReference w:id="56"/>
      </w:r>
      <w:r w:rsidRPr="006B53C9">
        <w:rPr>
          <w:rFonts w:ascii="Times New Roman" w:hAnsi="Times New Roman"/>
          <w:i/>
        </w:rPr>
        <w:t xml:space="preserve"> </w:t>
      </w:r>
      <w:r w:rsidRPr="006B53C9">
        <w:rPr>
          <w:rFonts w:ascii="Times New Roman" w:hAnsi="Times New Roman"/>
        </w:rPr>
        <w:t>said, "paraphrases do not, and cannot, stand in the place of the words used in the statute".</w:t>
      </w:r>
    </w:p>
    <w:p w14:paraId="3703D48B"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The more absurd the outcome of requiring a new trial or an acquittal for any breach of a legislative provision, the less likely that Parliament intended that outcome. Although it might be expressed in mandatory terms, in circumstances where a statutory provision can be contravened in a variety of ways, with effects that range from the most serious to the very trivial, Parliament should rarely be taken to have intended that any breach of the provision be treated as a substantial miscarriage of justice. This reflects the position at common law.</w:t>
      </w:r>
    </w:p>
    <w:p w14:paraId="28FD9A6F"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The common law position can be seen in </w:t>
      </w:r>
      <w:r w:rsidRPr="006B53C9">
        <w:rPr>
          <w:rFonts w:ascii="Times New Roman" w:hAnsi="Times New Roman"/>
          <w:i/>
          <w:iCs/>
        </w:rPr>
        <w:t>Glennon v The Queen</w:t>
      </w:r>
      <w:r w:rsidRPr="006B53C9">
        <w:rPr>
          <w:rStyle w:val="FootnoteReference"/>
          <w:rFonts w:ascii="Times New Roman" w:hAnsi="Times New Roman"/>
          <w:sz w:val="24"/>
        </w:rPr>
        <w:footnoteReference w:id="57"/>
      </w:r>
      <w:r w:rsidRPr="006B53C9">
        <w:rPr>
          <w:rFonts w:ascii="Times New Roman" w:hAnsi="Times New Roman"/>
        </w:rPr>
        <w:t>.</w:t>
      </w:r>
      <w:r w:rsidRPr="006B53C9">
        <w:rPr>
          <w:rFonts w:ascii="Times New Roman" w:hAnsi="Times New Roman"/>
          <w:i/>
          <w:iCs/>
        </w:rPr>
        <w:t xml:space="preserve"> </w:t>
      </w:r>
      <w:r w:rsidRPr="006B53C9">
        <w:rPr>
          <w:rFonts w:ascii="Times New Roman" w:hAnsi="Times New Roman"/>
        </w:rPr>
        <w:t xml:space="preserve">In that case, the trial judge directed the jury that they could use the silence of the applicant to test the veracity of his evidence. The applicant submitted that the misdirection on his right to silence was so fundamental an error that, without more, it resulted in a substantial miscarriage of justice. Although this Court ultimately concluded, </w:t>
      </w:r>
      <w:r w:rsidRPr="006B53C9">
        <w:rPr>
          <w:rFonts w:ascii="Times New Roman" w:hAnsi="Times New Roman"/>
        </w:rPr>
        <w:lastRenderedPageBreak/>
        <w:t>on consideration of the whole of the record, that conviction was not inevitable</w:t>
      </w:r>
      <w:r w:rsidRPr="006B53C9">
        <w:rPr>
          <w:rStyle w:val="FootnoteReference"/>
          <w:rFonts w:ascii="Times New Roman" w:hAnsi="Times New Roman"/>
          <w:sz w:val="24"/>
        </w:rPr>
        <w:footnoteReference w:id="58"/>
      </w:r>
      <w:r w:rsidRPr="006B53C9">
        <w:rPr>
          <w:rFonts w:ascii="Times New Roman" w:hAnsi="Times New Roman"/>
        </w:rPr>
        <w:t>, this submission of fundamental error was rejected. Mason CJ, Brennan and Toohey JJ said that "[a]</w:t>
      </w:r>
      <w:proofErr w:type="spellStart"/>
      <w:r w:rsidRPr="006B53C9">
        <w:rPr>
          <w:rFonts w:ascii="Times New Roman" w:hAnsi="Times New Roman"/>
        </w:rPr>
        <w:t>lthough</w:t>
      </w:r>
      <w:proofErr w:type="spellEnd"/>
      <w:r w:rsidRPr="006B53C9">
        <w:rPr>
          <w:rFonts w:ascii="Times New Roman" w:hAnsi="Times New Roman"/>
        </w:rPr>
        <w:t xml:space="preserve"> the right to silence is a fundamental right of any accused person, it cannot be said that </w:t>
      </w:r>
      <w:r w:rsidRPr="006B53C9">
        <w:rPr>
          <w:rFonts w:ascii="Times New Roman" w:hAnsi="Times New Roman"/>
          <w:i/>
          <w:iCs/>
        </w:rPr>
        <w:t xml:space="preserve">any </w:t>
      </w:r>
      <w:r w:rsidRPr="006B53C9">
        <w:rPr>
          <w:rFonts w:ascii="Times New Roman" w:hAnsi="Times New Roman"/>
        </w:rPr>
        <w:t>misdirection on that subject is a fundamental irregularity"</w:t>
      </w:r>
      <w:r w:rsidRPr="006B53C9">
        <w:rPr>
          <w:rStyle w:val="FootnoteReference"/>
          <w:rFonts w:ascii="Times New Roman" w:hAnsi="Times New Roman"/>
          <w:sz w:val="24"/>
        </w:rPr>
        <w:footnoteReference w:id="59"/>
      </w:r>
      <w:r w:rsidRPr="006B53C9">
        <w:rPr>
          <w:rFonts w:ascii="Times New Roman" w:hAnsi="Times New Roman"/>
        </w:rPr>
        <w:t xml:space="preserve">. Deane and </w:t>
      </w:r>
      <w:proofErr w:type="spellStart"/>
      <w:r w:rsidRPr="006B53C9">
        <w:rPr>
          <w:rFonts w:ascii="Times New Roman" w:hAnsi="Times New Roman"/>
        </w:rPr>
        <w:t>Gaudron</w:t>
      </w:r>
      <w:proofErr w:type="spellEnd"/>
      <w:r w:rsidRPr="006B53C9">
        <w:rPr>
          <w:rFonts w:ascii="Times New Roman" w:hAnsi="Times New Roman"/>
        </w:rPr>
        <w:t> JJ said that "a misdirection of that kind is ordinarily one that must be evaluated in the light of the issues in the trial and the way in which the trial was conducted"</w:t>
      </w:r>
      <w:r w:rsidRPr="006B53C9">
        <w:rPr>
          <w:rStyle w:val="FootnoteReference"/>
          <w:rFonts w:ascii="Times New Roman" w:hAnsi="Times New Roman"/>
          <w:sz w:val="24"/>
        </w:rPr>
        <w:footnoteReference w:id="60"/>
      </w:r>
      <w:r w:rsidRPr="006B53C9">
        <w:rPr>
          <w:rFonts w:ascii="Times New Roman" w:hAnsi="Times New Roman"/>
        </w:rPr>
        <w:t>.</w:t>
      </w:r>
    </w:p>
    <w:p w14:paraId="241A682C"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The same is true of a direction prohibited by s 44J. An example that illustrates the absurdity of a conclusion that Parliament intended that any breach of s 44J would result in a substantial miscarriage of justice, requiring a new trial or an acquittal, is where the breach is to the advantage of an accused. Indeed, that occurred in this case. In giving the directions set out above, the trial judge breached s 44J(a) by directing the jury that the accused was under more stress than any other witness. Unsurprisingly, no ground of appeal alleged that the giving of that prohibited direction had resulted in a substantial miscarriage of justice. In circumstances where Mr </w:t>
      </w:r>
      <w:proofErr w:type="spellStart"/>
      <w:r w:rsidRPr="006B53C9">
        <w:rPr>
          <w:rFonts w:ascii="Times New Roman" w:hAnsi="Times New Roman"/>
        </w:rPr>
        <w:t>Tambakakis</w:t>
      </w:r>
      <w:proofErr w:type="spellEnd"/>
      <w:r w:rsidRPr="006B53C9">
        <w:rPr>
          <w:rFonts w:ascii="Times New Roman" w:hAnsi="Times New Roman"/>
        </w:rPr>
        <w:t xml:space="preserve"> had said in cross</w:t>
      </w:r>
      <w:r w:rsidRPr="006B53C9">
        <w:rPr>
          <w:rFonts w:ascii="Times New Roman" w:hAnsi="Times New Roman"/>
        </w:rPr>
        <w:noBreakHyphen/>
        <w:t>examination that he was under pressure and his counsel had reiterated that in his closing address, that direction by the trial judge would have been to the advantage of 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r w:rsidRPr="006B53C9">
        <w:rPr>
          <w:rFonts w:ascii="Times New Roman" w:hAnsi="Times New Roman"/>
        </w:rPr>
        <w:t>.</w:t>
      </w:r>
    </w:p>
    <w:p w14:paraId="241B1D47"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The Court of Appeal was correct to reject the appellants' submission that any breach of s 44J would result in a substantial miscarriage of justice.</w:t>
      </w:r>
    </w:p>
    <w:p w14:paraId="3F3EF699" w14:textId="77777777" w:rsidR="00D06A72" w:rsidRPr="006B53C9" w:rsidRDefault="00D06A72" w:rsidP="006B53C9">
      <w:pPr>
        <w:pStyle w:val="HeadingL2"/>
        <w:spacing w:after="260" w:line="280" w:lineRule="exact"/>
        <w:ind w:right="0"/>
        <w:jc w:val="both"/>
        <w:rPr>
          <w:rFonts w:ascii="Times New Roman" w:hAnsi="Times New Roman"/>
        </w:rPr>
      </w:pPr>
      <w:r w:rsidRPr="006B53C9">
        <w:rPr>
          <w:rFonts w:ascii="Times New Roman" w:hAnsi="Times New Roman"/>
        </w:rPr>
        <w:t>The contravention of s 44J had the capacity to affect the result</w:t>
      </w:r>
    </w:p>
    <w:p w14:paraId="6D872232"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The majority of the Court of Appeal concluded that the prohibited direction did not result in a substantial miscarriage of justice "by reference to the part that error or irregularity played in the wider context of the trial, without assessing the whole of the record to determine whether a finding of guilt was the only conclusion reasonably open"</w:t>
      </w:r>
      <w:r w:rsidRPr="006B53C9">
        <w:rPr>
          <w:rStyle w:val="FootnoteReference"/>
          <w:rFonts w:ascii="Times New Roman" w:hAnsi="Times New Roman"/>
          <w:sz w:val="24"/>
        </w:rPr>
        <w:footnoteReference w:id="61"/>
      </w:r>
      <w:r w:rsidRPr="006B53C9">
        <w:rPr>
          <w:rFonts w:ascii="Times New Roman" w:hAnsi="Times New Roman"/>
        </w:rPr>
        <w:t xml:space="preserve">. The effect of this reasoning is </w:t>
      </w:r>
      <w:proofErr w:type="gramStart"/>
      <w:r w:rsidRPr="006B53C9">
        <w:rPr>
          <w:rFonts w:ascii="Times New Roman" w:hAnsi="Times New Roman"/>
        </w:rPr>
        <w:t>that,</w:t>
      </w:r>
      <w:proofErr w:type="gramEnd"/>
      <w:r w:rsidRPr="006B53C9">
        <w:rPr>
          <w:rFonts w:ascii="Times New Roman" w:hAnsi="Times New Roman"/>
        </w:rPr>
        <w:t xml:space="preserve"> no matter how strong the defence cases were, the giving of the prohibited direction had no capacity to affect the result of the trials.</w:t>
      </w:r>
    </w:p>
    <w:p w14:paraId="7437D777"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There might be cases in which an appellate court dismisses an appeal without considering the whole of the record because the error of law had no capacity to affect the result of the trial. An example given by Gleeson CJ is the </w:t>
      </w:r>
      <w:r w:rsidRPr="006B53C9">
        <w:rPr>
          <w:rFonts w:ascii="Times New Roman" w:hAnsi="Times New Roman"/>
        </w:rPr>
        <w:lastRenderedPageBreak/>
        <w:t>admission of inadmissible evidence to prove a fact against an accused where the accused later admits that fact</w:t>
      </w:r>
      <w:r w:rsidRPr="006B53C9">
        <w:rPr>
          <w:rStyle w:val="FootnoteReference"/>
          <w:rFonts w:ascii="Times New Roman" w:hAnsi="Times New Roman"/>
          <w:sz w:val="24"/>
        </w:rPr>
        <w:footnoteReference w:id="62"/>
      </w:r>
      <w:r w:rsidRPr="006B53C9">
        <w:rPr>
          <w:rFonts w:ascii="Times New Roman" w:hAnsi="Times New Roman"/>
        </w:rPr>
        <w:t xml:space="preserve">. The same is true for some errors of law under the </w:t>
      </w:r>
      <w:r w:rsidRPr="006B53C9">
        <w:rPr>
          <w:rFonts w:ascii="Times New Roman" w:hAnsi="Times New Roman"/>
          <w:i/>
        </w:rPr>
        <w:t>Jury Directions Act</w:t>
      </w:r>
      <w:r w:rsidRPr="006B53C9">
        <w:rPr>
          <w:rFonts w:ascii="Times New Roman" w:hAnsi="Times New Roman"/>
        </w:rPr>
        <w:t>.</w:t>
      </w:r>
    </w:p>
    <w:p w14:paraId="1D51E173"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Suppose a trial judge gives a required direction without first inviting submissions from the prosecution and defence counsel as required under s 16(2) of the </w:t>
      </w:r>
      <w:r w:rsidRPr="006B53C9">
        <w:rPr>
          <w:rFonts w:ascii="Times New Roman" w:hAnsi="Times New Roman"/>
          <w:i/>
        </w:rPr>
        <w:t>Jury Directions Act</w:t>
      </w:r>
      <w:r w:rsidRPr="006B53C9">
        <w:rPr>
          <w:rFonts w:ascii="Times New Roman" w:hAnsi="Times New Roman"/>
        </w:rPr>
        <w:t xml:space="preserve">. If both the prosecution and defence counsel would necessarily have supported such an essential direction, the error of law in failing to comply with s 16(2) would have no capacity to affect the result of the trial. Even without consideration of the whole of the record, the error can be seen to involve no substantial miscarriage of justice, perhaps because it involved no miscarriage of justice at all. However, where the appellant has demonstrated that an error of law has occurred in or in relation to their trial, the appellate court will need to be satisfied that the error was plainly so innocuous that it could not possibly have affected the outcome </w:t>
      </w:r>
      <w:proofErr w:type="gramStart"/>
      <w:r w:rsidRPr="006B53C9">
        <w:rPr>
          <w:rFonts w:ascii="Times New Roman" w:hAnsi="Times New Roman"/>
        </w:rPr>
        <w:t>in order to</w:t>
      </w:r>
      <w:proofErr w:type="gramEnd"/>
      <w:r w:rsidRPr="006B53C9">
        <w:rPr>
          <w:rFonts w:ascii="Times New Roman" w:hAnsi="Times New Roman"/>
        </w:rPr>
        <w:t xml:space="preserve"> dismiss the appeal on that basis. If that high threshold of satisfaction cannot be reached, then the court must assess the inevitability of the conviction on the whole of the record.</w:t>
      </w:r>
    </w:p>
    <w:p w14:paraId="6942BDEF"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Where the error is a particular misdirection to a jury, it will usually be necessary to focus upon the specific misdirection when considering whether the misdirection had the capacity to deflect the jury from their fundamental task of deciding </w:t>
      </w:r>
      <w:proofErr w:type="gramStart"/>
      <w:r w:rsidRPr="006B53C9">
        <w:rPr>
          <w:rFonts w:ascii="Times New Roman" w:hAnsi="Times New Roman"/>
        </w:rPr>
        <w:t>whether or not</w:t>
      </w:r>
      <w:proofErr w:type="gramEnd"/>
      <w:r w:rsidRPr="006B53C9">
        <w:rPr>
          <w:rFonts w:ascii="Times New Roman" w:hAnsi="Times New Roman"/>
        </w:rPr>
        <w:t xml:space="preserve"> the prosecution has proved the elements of the charged offence beyond reasonable doubt. That may commonly be the case where the misdirection was not trivial or innocuous and, in the context of the whole of the charge, it was "open" for the jury to follow the misdirection</w:t>
      </w:r>
      <w:r w:rsidRPr="006B53C9">
        <w:rPr>
          <w:rStyle w:val="FootnoteReference"/>
          <w:rFonts w:ascii="Times New Roman" w:hAnsi="Times New Roman"/>
          <w:sz w:val="24"/>
        </w:rPr>
        <w:footnoteReference w:id="63"/>
      </w:r>
      <w:r w:rsidRPr="006B53C9">
        <w:rPr>
          <w:rFonts w:ascii="Times New Roman" w:hAnsi="Times New Roman"/>
        </w:rPr>
        <w:t>. For instance, a trial judge may give unexceptionable general directions on matters such as the presumption of innocence and the onus and standard of proof, but nonetheless also give a particular misdirection that tends to contradict those general directions and results in a substantial miscarriage of justice</w:t>
      </w:r>
      <w:r w:rsidRPr="006B53C9">
        <w:rPr>
          <w:rStyle w:val="FootnoteReference"/>
          <w:rFonts w:ascii="Times New Roman" w:hAnsi="Times New Roman"/>
          <w:sz w:val="24"/>
        </w:rPr>
        <w:footnoteReference w:id="64"/>
      </w:r>
      <w:r w:rsidRPr="006B53C9">
        <w:rPr>
          <w:rFonts w:ascii="Times New Roman" w:hAnsi="Times New Roman"/>
        </w:rPr>
        <w:t xml:space="preserve">. The nature of the error may be such that the court cannot be satisfied that it was so innocuous that the jury would have disregarded it, or that the correct directions were too general to counteract the </w:t>
      </w:r>
      <w:proofErr w:type="gramStart"/>
      <w:r w:rsidRPr="006B53C9">
        <w:rPr>
          <w:rFonts w:ascii="Times New Roman" w:hAnsi="Times New Roman"/>
        </w:rPr>
        <w:t>particular potential</w:t>
      </w:r>
      <w:proofErr w:type="gramEnd"/>
      <w:r w:rsidRPr="006B53C9">
        <w:rPr>
          <w:rFonts w:ascii="Times New Roman" w:hAnsi="Times New Roman"/>
        </w:rPr>
        <w:t xml:space="preserve"> effect of the misdirection on the jury's task.</w:t>
      </w:r>
    </w:p>
    <w:p w14:paraId="407D6CC4"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In the present case, senior counsel for the Crown submitted that the prohibited direction was an error that was so innocuous that the jury would have disregarded it. It was submitted that the standard direction was abolished only </w:t>
      </w:r>
      <w:r w:rsidRPr="006B53C9">
        <w:rPr>
          <w:rFonts w:ascii="Times New Roman" w:hAnsi="Times New Roman"/>
        </w:rPr>
        <w:lastRenderedPageBreak/>
        <w:t>because it was "no longer regarded as particularly helpful", rather than because it gave rise to any risk of impermissible reasoning by the jury. Further, it was submitted that in the prohibited direction "one comment balances out the other". In other words, the invitation to reason on the basis that Mr </w:t>
      </w:r>
      <w:proofErr w:type="spellStart"/>
      <w:r w:rsidRPr="006B53C9">
        <w:rPr>
          <w:rFonts w:ascii="Times New Roman" w:hAnsi="Times New Roman"/>
        </w:rPr>
        <w:t>Tambakakis</w:t>
      </w:r>
      <w:proofErr w:type="spellEnd"/>
      <w:r w:rsidRPr="006B53C9">
        <w:rPr>
          <w:rFonts w:ascii="Times New Roman" w:hAnsi="Times New Roman"/>
        </w:rPr>
        <w:t xml:space="preserve"> was guilty was balanced by the invitation to reason on the basis that he was innocent.</w:t>
      </w:r>
    </w:p>
    <w:p w14:paraId="26C2671B"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The attempt by the Crown to minimise the effect of the prohibited direction should not be accepted. It is not to the point that the direction had previously been regarded as a standard direction in Victoria, albeit uniquely. It was prohibited by Parliament because it was confusing, unnecessary, or inaccurate. As the majority of the Court of Appeal correctly observed, the trial judge's prohibited direction invited "consideration, from the perspective of an accused, as to why the person may have chosen to give evidence"</w:t>
      </w:r>
      <w:r w:rsidRPr="006B53C9">
        <w:rPr>
          <w:rStyle w:val="FootnoteReference"/>
          <w:rFonts w:ascii="Times New Roman" w:hAnsi="Times New Roman"/>
          <w:sz w:val="24"/>
        </w:rPr>
        <w:footnoteReference w:id="65"/>
      </w:r>
      <w:r w:rsidRPr="006B53C9">
        <w:rPr>
          <w:rFonts w:ascii="Times New Roman" w:hAnsi="Times New Roman"/>
        </w:rPr>
        <w:t>. And that consideration was to be undertaken on the basis that Mr </w:t>
      </w:r>
      <w:proofErr w:type="spellStart"/>
      <w:r w:rsidRPr="006B53C9">
        <w:rPr>
          <w:rFonts w:ascii="Times New Roman" w:hAnsi="Times New Roman"/>
        </w:rPr>
        <w:t>Tambakakis</w:t>
      </w:r>
      <w:proofErr w:type="spellEnd"/>
      <w:r w:rsidRPr="006B53C9">
        <w:rPr>
          <w:rFonts w:ascii="Times New Roman" w:hAnsi="Times New Roman"/>
        </w:rPr>
        <w:t xml:space="preserve"> was innocent or guilty. If the jury were to have accepted the invitation and to have speculated that Mr </w:t>
      </w:r>
      <w:proofErr w:type="spellStart"/>
      <w:r w:rsidRPr="006B53C9">
        <w:rPr>
          <w:rFonts w:ascii="Times New Roman" w:hAnsi="Times New Roman"/>
        </w:rPr>
        <w:t>Tambakakis</w:t>
      </w:r>
      <w:proofErr w:type="spellEnd"/>
      <w:r w:rsidRPr="006B53C9">
        <w:rPr>
          <w:rFonts w:ascii="Times New Roman" w:hAnsi="Times New Roman"/>
        </w:rPr>
        <w:t xml:space="preserve"> was guilty independently of their consideration of the whole of the evidence, then the effect of the prohibited direction would have been to invite the jury "to engage in circular reasoning: (a) assume sub silentio that the accused is guilty; (b) use that assumption to discount his or her evidence; and (c) having discounted that evidence, find that the accused is guilty"</w:t>
      </w:r>
      <w:r w:rsidRPr="006B53C9">
        <w:rPr>
          <w:rStyle w:val="FootnoteReference"/>
          <w:rFonts w:ascii="Times New Roman" w:hAnsi="Times New Roman"/>
          <w:sz w:val="24"/>
        </w:rPr>
        <w:footnoteReference w:id="66"/>
      </w:r>
      <w:r w:rsidRPr="006B53C9">
        <w:rPr>
          <w:rFonts w:ascii="Times New Roman" w:hAnsi="Times New Roman"/>
        </w:rPr>
        <w:t>.</w:t>
      </w:r>
    </w:p>
    <w:p w14:paraId="0AFA50BA"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The two aspects of the prohibited direction did not "balance" each other out. The jury were not instructed that the presumption that Mr </w:t>
      </w:r>
      <w:proofErr w:type="spellStart"/>
      <w:r w:rsidRPr="006B53C9">
        <w:rPr>
          <w:rFonts w:ascii="Times New Roman" w:hAnsi="Times New Roman"/>
        </w:rPr>
        <w:t>Tambakakis</w:t>
      </w:r>
      <w:proofErr w:type="spellEnd"/>
      <w:r w:rsidRPr="006B53C9">
        <w:rPr>
          <w:rFonts w:ascii="Times New Roman" w:hAnsi="Times New Roman"/>
        </w:rPr>
        <w:t xml:space="preserve"> was not guilty required them, before reaching any conclusions, to approach Mr </w:t>
      </w:r>
      <w:proofErr w:type="spellStart"/>
      <w:r w:rsidRPr="006B53C9">
        <w:rPr>
          <w:rFonts w:ascii="Times New Roman" w:hAnsi="Times New Roman"/>
        </w:rPr>
        <w:t>Tambakakis</w:t>
      </w:r>
      <w:proofErr w:type="spellEnd"/>
      <w:r w:rsidRPr="006B53C9">
        <w:rPr>
          <w:rFonts w:ascii="Times New Roman" w:hAnsi="Times New Roman"/>
        </w:rPr>
        <w:t>' evidence only on the basis that "there is nothing more [that] an innocent [person] can do than give evidence in his own defence and subject himself to cross</w:t>
      </w:r>
      <w:r w:rsidRPr="006B53C9">
        <w:rPr>
          <w:rFonts w:ascii="Times New Roman" w:hAnsi="Times New Roman"/>
        </w:rPr>
        <w:noBreakHyphen/>
        <w:t>examination". Instead, it was left open for the jury to approach Mr </w:t>
      </w:r>
      <w:proofErr w:type="spellStart"/>
      <w:r w:rsidRPr="006B53C9">
        <w:rPr>
          <w:rFonts w:ascii="Times New Roman" w:hAnsi="Times New Roman"/>
        </w:rPr>
        <w:t>Tambakakis</w:t>
      </w:r>
      <w:proofErr w:type="spellEnd"/>
      <w:r w:rsidRPr="006B53C9">
        <w:rPr>
          <w:rFonts w:ascii="Times New Roman" w:hAnsi="Times New Roman"/>
        </w:rPr>
        <w:t>' evidence on the basis that "a guilty person might decide to tough out cross</w:t>
      </w:r>
      <w:r w:rsidRPr="006B53C9">
        <w:rPr>
          <w:rFonts w:ascii="Times New Roman" w:hAnsi="Times New Roman"/>
        </w:rPr>
        <w:noBreakHyphen/>
        <w:t>examination in the hope or belief that he will be more likely to be believed and his defence accepted if he takes the risk of giving evidence".</w:t>
      </w:r>
    </w:p>
    <w:p w14:paraId="3FF7A1D9"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By leaving the jury with the choice to approach Mr </w:t>
      </w:r>
      <w:proofErr w:type="spellStart"/>
      <w:r w:rsidRPr="006B53C9">
        <w:rPr>
          <w:rFonts w:ascii="Times New Roman" w:hAnsi="Times New Roman"/>
        </w:rPr>
        <w:t>Tambakakis</w:t>
      </w:r>
      <w:proofErr w:type="spellEnd"/>
      <w:r w:rsidRPr="006B53C9">
        <w:rPr>
          <w:rFonts w:ascii="Times New Roman" w:hAnsi="Times New Roman"/>
        </w:rPr>
        <w:t>' evidence on the a priori basis that he was a guilty person deciding to "tough out cross</w:t>
      </w:r>
      <w:r w:rsidRPr="006B53C9">
        <w:rPr>
          <w:rFonts w:ascii="Times New Roman" w:hAnsi="Times New Roman"/>
        </w:rPr>
        <w:noBreakHyphen/>
        <w:t xml:space="preserve">examination", there was a conflict with the directions given on the onus and standard of proof. As this Court said in </w:t>
      </w:r>
      <w:r w:rsidRPr="006B53C9">
        <w:rPr>
          <w:rFonts w:ascii="Times New Roman" w:hAnsi="Times New Roman"/>
          <w:i/>
          <w:iCs/>
        </w:rPr>
        <w:t>Robinson v The Queen</w:t>
      </w:r>
      <w:r w:rsidRPr="006B53C9">
        <w:rPr>
          <w:rStyle w:val="FootnoteReference"/>
          <w:rFonts w:ascii="Times New Roman" w:hAnsi="Times New Roman"/>
          <w:iCs/>
          <w:sz w:val="24"/>
        </w:rPr>
        <w:footnoteReference w:id="67"/>
      </w:r>
      <w:r w:rsidRPr="006B53C9">
        <w:rPr>
          <w:rFonts w:ascii="Times New Roman" w:hAnsi="Times New Roman"/>
        </w:rPr>
        <w:t xml:space="preserve">, if the presumption of innocence "is to have any real effect in a criminal trial, the jury must act on the basis that the accused is presumed innocent of the acts which are the subject of the </w:t>
      </w:r>
      <w:r w:rsidRPr="006B53C9">
        <w:rPr>
          <w:rFonts w:ascii="Times New Roman" w:hAnsi="Times New Roman"/>
        </w:rPr>
        <w:lastRenderedPageBreak/>
        <w:t>indictment until they are satisfied beyond reasonable doubt that he or she is guilty of those acts".</w:t>
      </w:r>
    </w:p>
    <w:p w14:paraId="1A08D71A"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The Crown also submitted that the trial judge had given </w:t>
      </w:r>
      <w:proofErr w:type="gramStart"/>
      <w:r w:rsidRPr="006B53C9">
        <w:rPr>
          <w:rFonts w:ascii="Times New Roman" w:hAnsi="Times New Roman"/>
        </w:rPr>
        <w:t>a number of</w:t>
      </w:r>
      <w:proofErr w:type="gramEnd"/>
      <w:r w:rsidRPr="006B53C9">
        <w:rPr>
          <w:rFonts w:ascii="Times New Roman" w:hAnsi="Times New Roman"/>
        </w:rPr>
        <w:t xml:space="preserve"> directions that mitigated the potential damage arising from the prohibited direction. The most immediate of these was the direction given by the trial judge after the prohibited direction to "treat the accused's evidence in exactly the same way as you would treat the evidence of any other witness". The trial judge repeatedly told the jury that the assessment of all the evidence was a matter for them. The trial judge correctly directed generally about the onus and standard of proof. The trial judge also reiterated on several occasions that each accused did not need to prove his innocence and that this did not change because Mr </w:t>
      </w:r>
      <w:proofErr w:type="spellStart"/>
      <w:r w:rsidRPr="006B53C9">
        <w:rPr>
          <w:rFonts w:ascii="Times New Roman" w:hAnsi="Times New Roman"/>
        </w:rPr>
        <w:t>Tambakakis</w:t>
      </w:r>
      <w:proofErr w:type="spellEnd"/>
      <w:r w:rsidRPr="006B53C9">
        <w:rPr>
          <w:rFonts w:ascii="Times New Roman" w:hAnsi="Times New Roman"/>
        </w:rPr>
        <w:t xml:space="preserve"> decided to give evidence. And the modified </w:t>
      </w:r>
      <w:proofErr w:type="spellStart"/>
      <w:r w:rsidRPr="006B53C9">
        <w:rPr>
          <w:rFonts w:ascii="Times New Roman" w:hAnsi="Times New Roman"/>
          <w:i/>
        </w:rPr>
        <w:t>Liberato</w:t>
      </w:r>
      <w:proofErr w:type="spellEnd"/>
      <w:r w:rsidRPr="006B53C9">
        <w:rPr>
          <w:rFonts w:ascii="Times New Roman" w:hAnsi="Times New Roman"/>
          <w:i/>
        </w:rPr>
        <w:t xml:space="preserve"> </w:t>
      </w:r>
      <w:r w:rsidRPr="006B53C9">
        <w:rPr>
          <w:rFonts w:ascii="Times New Roman" w:hAnsi="Times New Roman"/>
        </w:rPr>
        <w:t>direction was given and subsequently repeated.</w:t>
      </w:r>
    </w:p>
    <w:p w14:paraId="6030CF0B"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These correct directions mitigated the damage caused by the prohibited direction. But, for three reasons, they did not entirely remove the capacity of the prohibited direction to affect the result of the trials. In other words, and "expressed at a high level of abstraction", there remained the capacity for the prohibited direction to "deflect the jury from its fundamental task of deciding whether the prosecution proved the elements of the charged offence beyond reasonable doubt"</w:t>
      </w:r>
      <w:r w:rsidRPr="006B53C9">
        <w:rPr>
          <w:rStyle w:val="FootnoteReference"/>
          <w:rFonts w:ascii="Times New Roman" w:hAnsi="Times New Roman"/>
          <w:sz w:val="24"/>
        </w:rPr>
        <w:footnoteReference w:id="68"/>
      </w:r>
      <w:r w:rsidRPr="006B53C9">
        <w:rPr>
          <w:rFonts w:ascii="Times New Roman" w:hAnsi="Times New Roman"/>
        </w:rPr>
        <w:t>.</w:t>
      </w:r>
    </w:p>
    <w:p w14:paraId="4B83C797"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 xml:space="preserve">First, the trial judge's modified </w:t>
      </w:r>
      <w:proofErr w:type="spellStart"/>
      <w:r w:rsidRPr="006B53C9">
        <w:rPr>
          <w:rFonts w:ascii="Times New Roman" w:hAnsi="Times New Roman"/>
          <w:i/>
        </w:rPr>
        <w:t>Liberato</w:t>
      </w:r>
      <w:proofErr w:type="spellEnd"/>
      <w:r w:rsidRPr="006B53C9">
        <w:rPr>
          <w:rFonts w:ascii="Times New Roman" w:hAnsi="Times New Roman"/>
        </w:rPr>
        <w:t xml:space="preserve"> direction on how the jury should approach the Crown case in circumstances where Mr </w:t>
      </w:r>
      <w:proofErr w:type="spellStart"/>
      <w:r w:rsidRPr="006B53C9">
        <w:rPr>
          <w:rFonts w:ascii="Times New Roman" w:hAnsi="Times New Roman"/>
        </w:rPr>
        <w:t>Tambakakis</w:t>
      </w:r>
      <w:proofErr w:type="spellEnd"/>
      <w:r w:rsidRPr="006B53C9">
        <w:rPr>
          <w:rFonts w:ascii="Times New Roman" w:hAnsi="Times New Roman"/>
        </w:rPr>
        <w:t xml:space="preserve"> had given evidence was directed to what the jury should do after they had decided </w:t>
      </w:r>
      <w:proofErr w:type="gramStart"/>
      <w:r w:rsidRPr="006B53C9">
        <w:rPr>
          <w:rFonts w:ascii="Times New Roman" w:hAnsi="Times New Roman"/>
        </w:rPr>
        <w:t>whether or not</w:t>
      </w:r>
      <w:proofErr w:type="gramEnd"/>
      <w:r w:rsidRPr="006B53C9">
        <w:rPr>
          <w:rFonts w:ascii="Times New Roman" w:hAnsi="Times New Roman"/>
        </w:rPr>
        <w:t xml:space="preserve"> to accept his evidence in whole or in part. These directions did not address the approach the jury should take when assessing the credibility or reliability of his evidence, and so could not mitigate the effect of the prohibited direction on that assessment. Indeed, in written submissions the Crown identified only one aspect of the charge, other than the misdirection, that addressed the </w:t>
      </w:r>
      <w:proofErr w:type="gramStart"/>
      <w:r w:rsidRPr="006B53C9">
        <w:rPr>
          <w:rFonts w:ascii="Times New Roman" w:hAnsi="Times New Roman"/>
        </w:rPr>
        <w:t>manner in which</w:t>
      </w:r>
      <w:proofErr w:type="gramEnd"/>
      <w:r w:rsidRPr="006B53C9">
        <w:rPr>
          <w:rFonts w:ascii="Times New Roman" w:hAnsi="Times New Roman"/>
        </w:rPr>
        <w:t xml:space="preserve"> the jury should assess or evaluate Mr </w:t>
      </w:r>
      <w:proofErr w:type="spellStart"/>
      <w:r w:rsidRPr="006B53C9">
        <w:rPr>
          <w:rFonts w:ascii="Times New Roman" w:hAnsi="Times New Roman"/>
        </w:rPr>
        <w:t>Tambakakis</w:t>
      </w:r>
      <w:proofErr w:type="spellEnd"/>
      <w:r w:rsidRPr="006B53C9">
        <w:rPr>
          <w:rFonts w:ascii="Times New Roman" w:hAnsi="Times New Roman"/>
        </w:rPr>
        <w:t>' evidence. That was when, immediately after the misdirection, the trial judge told the jury to "treat the accused's evidence in exactly the same way as you would treat the evidence of any other witness".</w:t>
      </w:r>
    </w:p>
    <w:p w14:paraId="198CC998"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Secondly, despite the mitigating effect of the correct directions, it remained the case that the jury had been effectively instructed in contradictory terms. Without a redirection to the jury requiring them to disregard the prohibited direction – which, contrary to the concession by senior counsel for Mr </w:t>
      </w:r>
      <w:proofErr w:type="spellStart"/>
      <w:r w:rsidRPr="006B53C9">
        <w:rPr>
          <w:rFonts w:ascii="Times New Roman" w:hAnsi="Times New Roman"/>
        </w:rPr>
        <w:t>Awad</w:t>
      </w:r>
      <w:proofErr w:type="spellEnd"/>
      <w:r w:rsidRPr="006B53C9">
        <w:rPr>
          <w:rFonts w:ascii="Times New Roman" w:hAnsi="Times New Roman"/>
        </w:rPr>
        <w:t xml:space="preserve">, may not have been sufficient in the circumstances of this case to ameliorate the error to the extent that it was plainly so innocuous that it could not have possibly affected </w:t>
      </w:r>
      <w:r w:rsidRPr="006B53C9">
        <w:rPr>
          <w:rFonts w:ascii="Times New Roman" w:hAnsi="Times New Roman"/>
        </w:rPr>
        <w:lastRenderedPageBreak/>
        <w:t>the outcome of the trials – it remained possible that the jury would speculate as to the reason that Mr </w:t>
      </w:r>
      <w:proofErr w:type="spellStart"/>
      <w:r w:rsidRPr="006B53C9">
        <w:rPr>
          <w:rFonts w:ascii="Times New Roman" w:hAnsi="Times New Roman"/>
        </w:rPr>
        <w:t>Tambakakis</w:t>
      </w:r>
      <w:proofErr w:type="spellEnd"/>
      <w:r w:rsidRPr="006B53C9">
        <w:rPr>
          <w:rFonts w:ascii="Times New Roman" w:hAnsi="Times New Roman"/>
        </w:rPr>
        <w:t xml:space="preserve"> gave evidence, and that confusion might ensue concerning the onus and standard of proof in the assessment of Mr </w:t>
      </w:r>
      <w:proofErr w:type="spellStart"/>
      <w:r w:rsidRPr="006B53C9">
        <w:rPr>
          <w:rFonts w:ascii="Times New Roman" w:hAnsi="Times New Roman"/>
        </w:rPr>
        <w:t>Tambakakis</w:t>
      </w:r>
      <w:proofErr w:type="spellEnd"/>
      <w:r w:rsidRPr="006B53C9">
        <w:rPr>
          <w:rFonts w:ascii="Times New Roman" w:hAnsi="Times New Roman"/>
        </w:rPr>
        <w:t>' evidence.</w:t>
      </w:r>
    </w:p>
    <w:p w14:paraId="491E889C"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Thirdly, even if the prospect of confusion was small, it was highly significant in circumstances where the credibility of Mr </w:t>
      </w:r>
      <w:proofErr w:type="spellStart"/>
      <w:r w:rsidRPr="006B53C9">
        <w:rPr>
          <w:rFonts w:ascii="Times New Roman" w:hAnsi="Times New Roman"/>
        </w:rPr>
        <w:t>Tambakakis</w:t>
      </w:r>
      <w:proofErr w:type="spellEnd"/>
      <w:r w:rsidRPr="006B53C9">
        <w:rPr>
          <w:rFonts w:ascii="Times New Roman" w:hAnsi="Times New Roman"/>
        </w:rPr>
        <w:t xml:space="preserve"> was central to both his defence and Mr </w:t>
      </w:r>
      <w:proofErr w:type="spellStart"/>
      <w:r w:rsidRPr="006B53C9">
        <w:rPr>
          <w:rFonts w:ascii="Times New Roman" w:hAnsi="Times New Roman"/>
        </w:rPr>
        <w:t>Awad's</w:t>
      </w:r>
      <w:proofErr w:type="spellEnd"/>
      <w:r w:rsidRPr="006B53C9">
        <w:rPr>
          <w:rFonts w:ascii="Times New Roman" w:hAnsi="Times New Roman"/>
        </w:rPr>
        <w:t xml:space="preserve"> defence. The trial judge correctly directed the jury that there was "one significant factual issue" that they needed to resolve in relation to Mr </w:t>
      </w:r>
      <w:proofErr w:type="spellStart"/>
      <w:r w:rsidRPr="006B53C9">
        <w:rPr>
          <w:rFonts w:ascii="Times New Roman" w:hAnsi="Times New Roman"/>
        </w:rPr>
        <w:t>Tambakakis</w:t>
      </w:r>
      <w:proofErr w:type="spellEnd"/>
      <w:r w:rsidRPr="006B53C9">
        <w:rPr>
          <w:rFonts w:ascii="Times New Roman" w:hAnsi="Times New Roman"/>
        </w:rPr>
        <w:t>. That issue was whether the prosecution had proved that Mr </w:t>
      </w:r>
      <w:proofErr w:type="spellStart"/>
      <w:r w:rsidRPr="006B53C9">
        <w:rPr>
          <w:rFonts w:ascii="Times New Roman" w:hAnsi="Times New Roman"/>
        </w:rPr>
        <w:t>Tambakakis</w:t>
      </w:r>
      <w:proofErr w:type="spellEnd"/>
      <w:r w:rsidRPr="006B53C9">
        <w:rPr>
          <w:rFonts w:ascii="Times New Roman" w:hAnsi="Times New Roman"/>
        </w:rPr>
        <w:t xml:space="preserve"> knew that the consignment contained a border</w:t>
      </w:r>
      <w:r w:rsidRPr="006B53C9">
        <w:rPr>
          <w:rFonts w:ascii="Times New Roman" w:hAnsi="Times New Roman"/>
        </w:rPr>
        <w:noBreakHyphen/>
        <w:t>controlled drug. The credibility of Mr </w:t>
      </w:r>
      <w:proofErr w:type="spellStart"/>
      <w:r w:rsidRPr="006B53C9">
        <w:rPr>
          <w:rFonts w:ascii="Times New Roman" w:hAnsi="Times New Roman"/>
        </w:rPr>
        <w:t>Tambakakis</w:t>
      </w:r>
      <w:proofErr w:type="spellEnd"/>
      <w:r w:rsidRPr="006B53C9">
        <w:rPr>
          <w:rFonts w:ascii="Times New Roman" w:hAnsi="Times New Roman"/>
        </w:rPr>
        <w:t>, in turn, was central to Mr </w:t>
      </w:r>
      <w:proofErr w:type="spellStart"/>
      <w:r w:rsidRPr="006B53C9">
        <w:rPr>
          <w:rFonts w:ascii="Times New Roman" w:hAnsi="Times New Roman"/>
        </w:rPr>
        <w:t>Awad's</w:t>
      </w:r>
      <w:proofErr w:type="spellEnd"/>
      <w:r w:rsidRPr="006B53C9">
        <w:rPr>
          <w:rFonts w:ascii="Times New Roman" w:hAnsi="Times New Roman"/>
        </w:rPr>
        <w:t xml:space="preserve"> defence that (as Mr </w:t>
      </w:r>
      <w:proofErr w:type="spellStart"/>
      <w:r w:rsidRPr="006B53C9">
        <w:rPr>
          <w:rFonts w:ascii="Times New Roman" w:hAnsi="Times New Roman"/>
        </w:rPr>
        <w:t>Tambakakis</w:t>
      </w:r>
      <w:proofErr w:type="spellEnd"/>
      <w:r w:rsidRPr="006B53C9">
        <w:rPr>
          <w:rFonts w:ascii="Times New Roman" w:hAnsi="Times New Roman"/>
        </w:rPr>
        <w:t xml:space="preserve"> said) Mr </w:t>
      </w:r>
      <w:proofErr w:type="spellStart"/>
      <w:r w:rsidRPr="006B53C9">
        <w:rPr>
          <w:rFonts w:ascii="Times New Roman" w:hAnsi="Times New Roman"/>
        </w:rPr>
        <w:t>Awad</w:t>
      </w:r>
      <w:proofErr w:type="spellEnd"/>
      <w:r w:rsidRPr="006B53C9">
        <w:rPr>
          <w:rFonts w:ascii="Times New Roman" w:hAnsi="Times New Roman"/>
        </w:rPr>
        <w:t xml:space="preserve"> did not get into the Kia van and thus did not possess the substance in the consignment, and that (consistently with the account of Mr </w:t>
      </w:r>
      <w:proofErr w:type="spellStart"/>
      <w:r w:rsidRPr="006B53C9">
        <w:rPr>
          <w:rFonts w:ascii="Times New Roman" w:hAnsi="Times New Roman"/>
        </w:rPr>
        <w:t>Tambakakis</w:t>
      </w:r>
      <w:proofErr w:type="spellEnd"/>
      <w:r w:rsidRPr="006B53C9">
        <w:rPr>
          <w:rFonts w:ascii="Times New Roman" w:hAnsi="Times New Roman"/>
        </w:rPr>
        <w:t xml:space="preserve">) Mr </w:t>
      </w:r>
      <w:proofErr w:type="spellStart"/>
      <w:r w:rsidRPr="006B53C9">
        <w:rPr>
          <w:rFonts w:ascii="Times New Roman" w:hAnsi="Times New Roman"/>
        </w:rPr>
        <w:t>Awad</w:t>
      </w:r>
      <w:proofErr w:type="spellEnd"/>
      <w:r w:rsidRPr="006B53C9">
        <w:rPr>
          <w:rFonts w:ascii="Times New Roman" w:hAnsi="Times New Roman"/>
        </w:rPr>
        <w:t xml:space="preserve"> believed the substance in the consignment to be steroids.</w:t>
      </w:r>
    </w:p>
    <w:p w14:paraId="336BB1F2"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In assessing Mr </w:t>
      </w:r>
      <w:proofErr w:type="spellStart"/>
      <w:r w:rsidRPr="006B53C9">
        <w:rPr>
          <w:rFonts w:ascii="Times New Roman" w:hAnsi="Times New Roman"/>
        </w:rPr>
        <w:t>Tambakakis</w:t>
      </w:r>
      <w:proofErr w:type="spellEnd"/>
      <w:r w:rsidRPr="006B53C9">
        <w:rPr>
          <w:rFonts w:ascii="Times New Roman" w:hAnsi="Times New Roman"/>
        </w:rPr>
        <w:t>' credibility, many questions may have arisen for the jury, including: Did Mr </w:t>
      </w:r>
      <w:proofErr w:type="spellStart"/>
      <w:r w:rsidRPr="006B53C9">
        <w:rPr>
          <w:rFonts w:ascii="Times New Roman" w:hAnsi="Times New Roman"/>
        </w:rPr>
        <w:t>Tambakakis</w:t>
      </w:r>
      <w:proofErr w:type="spellEnd"/>
      <w:r w:rsidRPr="006B53C9">
        <w:rPr>
          <w:rFonts w:ascii="Times New Roman" w:hAnsi="Times New Roman"/>
        </w:rPr>
        <w:t xml:space="preserve"> collect the consignment as a favour to Mr Edwards? Why had he previously been involved in illegal importation and distribution of steroids? How plausible was his explanation about slowly driving down </w:t>
      </w:r>
      <w:proofErr w:type="spellStart"/>
      <w:r w:rsidRPr="006B53C9">
        <w:rPr>
          <w:rFonts w:ascii="Times New Roman" w:hAnsi="Times New Roman"/>
        </w:rPr>
        <w:t>Randor</w:t>
      </w:r>
      <w:proofErr w:type="spellEnd"/>
      <w:r w:rsidRPr="006B53C9">
        <w:rPr>
          <w:rFonts w:ascii="Times New Roman" w:hAnsi="Times New Roman"/>
        </w:rPr>
        <w:t xml:space="preserve"> Street on the evening that the consignment had been delivered? Why was he driving a Jeep car that he said was owned by Mr Edwards, knowing that it had false number plates? Did Mr </w:t>
      </w:r>
      <w:proofErr w:type="spellStart"/>
      <w:r w:rsidRPr="006B53C9">
        <w:rPr>
          <w:rFonts w:ascii="Times New Roman" w:hAnsi="Times New Roman"/>
        </w:rPr>
        <w:t>Tambakakis</w:t>
      </w:r>
      <w:proofErr w:type="spellEnd"/>
      <w:r w:rsidRPr="006B53C9">
        <w:rPr>
          <w:rFonts w:ascii="Times New Roman" w:hAnsi="Times New Roman"/>
        </w:rPr>
        <w:t xml:space="preserve"> meet with Mr </w:t>
      </w:r>
      <w:proofErr w:type="spellStart"/>
      <w:r w:rsidRPr="006B53C9">
        <w:rPr>
          <w:rFonts w:ascii="Times New Roman" w:hAnsi="Times New Roman"/>
        </w:rPr>
        <w:t>Awad</w:t>
      </w:r>
      <w:proofErr w:type="spellEnd"/>
      <w:r w:rsidRPr="006B53C9">
        <w:rPr>
          <w:rFonts w:ascii="Times New Roman" w:hAnsi="Times New Roman"/>
        </w:rPr>
        <w:t xml:space="preserve"> only for social reasons on the very same day that the consignment arrived? If the only people in the Kia van at the time of the recorded conversation about the size of the previous driver were himself and Mr </w:t>
      </w:r>
      <w:proofErr w:type="spellStart"/>
      <w:r w:rsidRPr="006B53C9">
        <w:rPr>
          <w:rFonts w:ascii="Times New Roman" w:hAnsi="Times New Roman"/>
        </w:rPr>
        <w:t>Rohen</w:t>
      </w:r>
      <w:proofErr w:type="spellEnd"/>
      <w:r w:rsidRPr="006B53C9">
        <w:rPr>
          <w:rFonts w:ascii="Times New Roman" w:hAnsi="Times New Roman"/>
        </w:rPr>
        <w:t xml:space="preserve"> (the immediately previous driver on Mr </w:t>
      </w:r>
      <w:proofErr w:type="spellStart"/>
      <w:r w:rsidRPr="006B53C9">
        <w:rPr>
          <w:rFonts w:ascii="Times New Roman" w:hAnsi="Times New Roman"/>
        </w:rPr>
        <w:t>Tambakakis</w:t>
      </w:r>
      <w:proofErr w:type="spellEnd"/>
      <w:r w:rsidRPr="006B53C9">
        <w:rPr>
          <w:rFonts w:ascii="Times New Roman" w:hAnsi="Times New Roman"/>
        </w:rPr>
        <w:t>' account), why would Mr </w:t>
      </w:r>
      <w:proofErr w:type="spellStart"/>
      <w:r w:rsidRPr="006B53C9">
        <w:rPr>
          <w:rFonts w:ascii="Times New Roman" w:hAnsi="Times New Roman"/>
        </w:rPr>
        <w:t>Tambakakis</w:t>
      </w:r>
      <w:proofErr w:type="spellEnd"/>
      <w:r w:rsidRPr="006B53C9">
        <w:rPr>
          <w:rFonts w:ascii="Times New Roman" w:hAnsi="Times New Roman"/>
        </w:rPr>
        <w:t xml:space="preserve"> have referred to the previous driver twice in the third person? Was it plausible that the vacuum sealer was being used for packaging steroids? Was it believable that Mr </w:t>
      </w:r>
      <w:proofErr w:type="spellStart"/>
      <w:r w:rsidRPr="006B53C9">
        <w:rPr>
          <w:rFonts w:ascii="Times New Roman" w:hAnsi="Times New Roman"/>
        </w:rPr>
        <w:t>Tambakakis</w:t>
      </w:r>
      <w:proofErr w:type="spellEnd"/>
      <w:r w:rsidRPr="006B53C9">
        <w:rPr>
          <w:rFonts w:ascii="Times New Roman" w:hAnsi="Times New Roman"/>
        </w:rPr>
        <w:t xml:space="preserve"> rented the warehouse in a false name due to his concerns about credit default? Was Mr </w:t>
      </w:r>
      <w:proofErr w:type="spellStart"/>
      <w:r w:rsidRPr="006B53C9">
        <w:rPr>
          <w:rFonts w:ascii="Times New Roman" w:hAnsi="Times New Roman"/>
        </w:rPr>
        <w:t>Tambakakis</w:t>
      </w:r>
      <w:proofErr w:type="spellEnd"/>
      <w:r w:rsidRPr="006B53C9">
        <w:rPr>
          <w:rFonts w:ascii="Times New Roman" w:hAnsi="Times New Roman"/>
        </w:rPr>
        <w:t>' evidence plausible that $22,000 was paid annually in rent for the warehouse but that he and Mr Edwards could not afford to purchase the bins in which the clothing was to be deposited for recycling?</w:t>
      </w:r>
    </w:p>
    <w:p w14:paraId="4596729F"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In the context of the trials of Mr </w:t>
      </w:r>
      <w:proofErr w:type="spellStart"/>
      <w:r w:rsidRPr="006B53C9">
        <w:rPr>
          <w:rFonts w:ascii="Times New Roman" w:hAnsi="Times New Roman"/>
        </w:rPr>
        <w:t>Awad</w:t>
      </w:r>
      <w:proofErr w:type="spellEnd"/>
      <w:r w:rsidRPr="006B53C9">
        <w:rPr>
          <w:rFonts w:ascii="Times New Roman" w:hAnsi="Times New Roman"/>
        </w:rPr>
        <w:t xml:space="preserve"> and Mr </w:t>
      </w:r>
      <w:proofErr w:type="spellStart"/>
      <w:r w:rsidRPr="006B53C9">
        <w:rPr>
          <w:rFonts w:ascii="Times New Roman" w:hAnsi="Times New Roman"/>
        </w:rPr>
        <w:t>Tambakakis</w:t>
      </w:r>
      <w:proofErr w:type="spellEnd"/>
      <w:r w:rsidRPr="006B53C9">
        <w:rPr>
          <w:rFonts w:ascii="Times New Roman" w:hAnsi="Times New Roman"/>
        </w:rPr>
        <w:t>, therefore, with the importance of the jury's assessment of Mr </w:t>
      </w:r>
      <w:proofErr w:type="spellStart"/>
      <w:r w:rsidRPr="006B53C9">
        <w:rPr>
          <w:rFonts w:ascii="Times New Roman" w:hAnsi="Times New Roman"/>
        </w:rPr>
        <w:t>Tambakakis</w:t>
      </w:r>
      <w:proofErr w:type="spellEnd"/>
      <w:r w:rsidRPr="006B53C9">
        <w:rPr>
          <w:rFonts w:ascii="Times New Roman" w:hAnsi="Times New Roman"/>
        </w:rPr>
        <w:t xml:space="preserve">' credibility, the prohibited direction had the capacity to deflect the jury from their task and thus the potential to affect the result of the trials. The Court of Appeal could only have concluded that conviction was inevitable by assessing the prohibited direction </w:t>
      </w:r>
      <w:proofErr w:type="gramStart"/>
      <w:r w:rsidRPr="006B53C9">
        <w:rPr>
          <w:rFonts w:ascii="Times New Roman" w:hAnsi="Times New Roman"/>
        </w:rPr>
        <w:t>in light of</w:t>
      </w:r>
      <w:proofErr w:type="gramEnd"/>
      <w:r w:rsidRPr="006B53C9">
        <w:rPr>
          <w:rFonts w:ascii="Times New Roman" w:hAnsi="Times New Roman"/>
        </w:rPr>
        <w:t xml:space="preserve"> the whole of the record, including all of the issues related to Mr </w:t>
      </w:r>
      <w:proofErr w:type="spellStart"/>
      <w:r w:rsidRPr="006B53C9">
        <w:rPr>
          <w:rFonts w:ascii="Times New Roman" w:hAnsi="Times New Roman"/>
        </w:rPr>
        <w:t>Tambakakis</w:t>
      </w:r>
      <w:proofErr w:type="spellEnd"/>
      <w:r w:rsidRPr="006B53C9">
        <w:rPr>
          <w:rFonts w:ascii="Times New Roman" w:hAnsi="Times New Roman"/>
        </w:rPr>
        <w:t>' credibility and any natural limitations attending the appellate task which may have prevented such a conclusion. It may be that the natural limitations arising from the Court of Appeal not having seen Mr </w:t>
      </w:r>
      <w:proofErr w:type="spellStart"/>
      <w:r w:rsidRPr="006B53C9">
        <w:rPr>
          <w:rFonts w:ascii="Times New Roman" w:hAnsi="Times New Roman"/>
        </w:rPr>
        <w:t>Tambakakis</w:t>
      </w:r>
      <w:proofErr w:type="spellEnd"/>
      <w:r w:rsidRPr="006B53C9">
        <w:rPr>
          <w:rFonts w:ascii="Times New Roman" w:hAnsi="Times New Roman"/>
        </w:rPr>
        <w:t xml:space="preserve"> give evidence would have prevented such a conclusion. But since the Crown no longer seeks </w:t>
      </w:r>
      <w:r w:rsidRPr="006B53C9">
        <w:rPr>
          <w:rFonts w:ascii="Times New Roman" w:hAnsi="Times New Roman"/>
        </w:rPr>
        <w:lastRenderedPageBreak/>
        <w:t>remittal of the appeals to determine the inevitability of the convictions, and since the parties made no submissions on the substance of that issue, this Court should not attempt to determine it.</w:t>
      </w:r>
    </w:p>
    <w:p w14:paraId="37B81235" w14:textId="77777777" w:rsidR="00D06A72" w:rsidRPr="006B53C9" w:rsidRDefault="00D06A72" w:rsidP="006B53C9">
      <w:pPr>
        <w:pStyle w:val="HeadingL1"/>
        <w:spacing w:after="260" w:line="280" w:lineRule="exact"/>
        <w:ind w:right="0"/>
        <w:jc w:val="both"/>
        <w:rPr>
          <w:rFonts w:ascii="Times New Roman" w:hAnsi="Times New Roman"/>
        </w:rPr>
      </w:pPr>
      <w:r w:rsidRPr="006B53C9">
        <w:rPr>
          <w:rFonts w:ascii="Times New Roman" w:hAnsi="Times New Roman"/>
        </w:rPr>
        <w:t>Conclusion</w:t>
      </w:r>
    </w:p>
    <w:p w14:paraId="2B9F49EE" w14:textId="77777777" w:rsidR="00D06A72" w:rsidRPr="006B53C9" w:rsidRDefault="00D06A72" w:rsidP="00D06A72">
      <w:pPr>
        <w:pStyle w:val="FixListStyle"/>
        <w:numPr>
          <w:ilvl w:val="0"/>
          <w:numId w:val="18"/>
        </w:numPr>
        <w:spacing w:after="260" w:line="280" w:lineRule="exact"/>
        <w:ind w:left="0" w:right="0" w:hanging="720"/>
        <w:jc w:val="both"/>
        <w:rPr>
          <w:rFonts w:ascii="Times New Roman" w:hAnsi="Times New Roman"/>
        </w:rPr>
      </w:pPr>
      <w:r w:rsidRPr="006B53C9">
        <w:rPr>
          <w:rFonts w:ascii="Times New Roman" w:hAnsi="Times New Roman"/>
        </w:rPr>
        <w:tab/>
        <w:t>In circumstances in which the Court of Appeal did not consider the whole of the record, the Court of Appeal should have concluded that there was a substantial miscarriage of justice. Orders should be made in each appeal as follows:</w:t>
      </w:r>
    </w:p>
    <w:p w14:paraId="18E3FEAA" w14:textId="77777777" w:rsidR="00D06A72" w:rsidRPr="006B53C9" w:rsidRDefault="00D06A72" w:rsidP="006B53C9">
      <w:pPr>
        <w:pStyle w:val="LeftrightafterHC"/>
        <w:spacing w:before="0" w:after="260" w:line="280" w:lineRule="exact"/>
        <w:ind w:right="0"/>
        <w:jc w:val="both"/>
        <w:rPr>
          <w:rFonts w:ascii="Times New Roman" w:hAnsi="Times New Roman"/>
        </w:rPr>
      </w:pPr>
      <w:r w:rsidRPr="006B53C9">
        <w:rPr>
          <w:rFonts w:ascii="Times New Roman" w:hAnsi="Times New Roman"/>
        </w:rPr>
        <w:t>1.</w:t>
      </w:r>
      <w:r w:rsidRPr="006B53C9">
        <w:rPr>
          <w:rFonts w:ascii="Times New Roman" w:hAnsi="Times New Roman"/>
        </w:rPr>
        <w:tab/>
        <w:t>Appeal allowed.</w:t>
      </w:r>
    </w:p>
    <w:p w14:paraId="7DAD7301" w14:textId="77777777" w:rsidR="00D06A72" w:rsidRPr="006B53C9" w:rsidRDefault="00D06A72" w:rsidP="006B53C9">
      <w:pPr>
        <w:pStyle w:val="LeftrightHanging"/>
        <w:spacing w:before="0" w:after="260" w:line="280" w:lineRule="exact"/>
        <w:ind w:right="0"/>
        <w:jc w:val="both"/>
        <w:rPr>
          <w:rFonts w:ascii="Times New Roman" w:hAnsi="Times New Roman"/>
        </w:rPr>
      </w:pPr>
      <w:r w:rsidRPr="006B53C9">
        <w:rPr>
          <w:rFonts w:ascii="Times New Roman" w:hAnsi="Times New Roman"/>
        </w:rPr>
        <w:t>2.</w:t>
      </w:r>
      <w:r w:rsidRPr="006B53C9">
        <w:rPr>
          <w:rFonts w:ascii="Times New Roman" w:hAnsi="Times New Roman"/>
        </w:rPr>
        <w:tab/>
        <w:t>Set aside paragraph 2 of the orders made by the Court of Appeal of the Supreme Court of Victoria dated 18 October 2021 dismissing the appeal and, in its place, order that:</w:t>
      </w:r>
    </w:p>
    <w:p w14:paraId="0221F6DC" w14:textId="77777777" w:rsidR="00D06A72" w:rsidRPr="006B53C9" w:rsidRDefault="00D06A72" w:rsidP="006B53C9">
      <w:pPr>
        <w:pStyle w:val="LRHangingMore"/>
        <w:spacing w:before="0" w:after="260" w:line="280" w:lineRule="exact"/>
        <w:ind w:right="0"/>
        <w:jc w:val="both"/>
        <w:rPr>
          <w:rFonts w:ascii="Times New Roman" w:hAnsi="Times New Roman"/>
        </w:rPr>
      </w:pPr>
      <w:r w:rsidRPr="006B53C9">
        <w:rPr>
          <w:rFonts w:ascii="Times New Roman" w:hAnsi="Times New Roman"/>
        </w:rPr>
        <w:t>(a)</w:t>
      </w:r>
      <w:r w:rsidRPr="006B53C9">
        <w:rPr>
          <w:rFonts w:ascii="Times New Roman" w:hAnsi="Times New Roman"/>
        </w:rPr>
        <w:tab/>
        <w:t xml:space="preserve">the appeal against conviction be </w:t>
      </w:r>
      <w:proofErr w:type="gramStart"/>
      <w:r w:rsidRPr="006B53C9">
        <w:rPr>
          <w:rFonts w:ascii="Times New Roman" w:hAnsi="Times New Roman"/>
        </w:rPr>
        <w:t>allowed;</w:t>
      </w:r>
      <w:proofErr w:type="gramEnd"/>
    </w:p>
    <w:p w14:paraId="6C081562" w14:textId="77777777" w:rsidR="00D06A72" w:rsidRPr="006B53C9" w:rsidRDefault="00D06A72" w:rsidP="006B53C9">
      <w:pPr>
        <w:pStyle w:val="LRHangingMore"/>
        <w:spacing w:before="0" w:after="260" w:line="280" w:lineRule="exact"/>
        <w:ind w:right="0"/>
        <w:jc w:val="both"/>
        <w:rPr>
          <w:rFonts w:ascii="Times New Roman" w:hAnsi="Times New Roman"/>
        </w:rPr>
      </w:pPr>
      <w:r w:rsidRPr="006B53C9">
        <w:rPr>
          <w:rFonts w:ascii="Times New Roman" w:hAnsi="Times New Roman"/>
        </w:rPr>
        <w:t>(b)</w:t>
      </w:r>
      <w:r w:rsidRPr="006B53C9">
        <w:rPr>
          <w:rFonts w:ascii="Times New Roman" w:hAnsi="Times New Roman"/>
        </w:rPr>
        <w:tab/>
        <w:t>the appellant's conviction be set aside; and</w:t>
      </w:r>
    </w:p>
    <w:p w14:paraId="65996EC8" w14:textId="4E1A128B" w:rsidR="00D06A72" w:rsidRDefault="00D06A72" w:rsidP="00D06A72">
      <w:pPr>
        <w:pStyle w:val="LRHangingMore"/>
        <w:spacing w:before="0" w:after="260" w:line="280" w:lineRule="exact"/>
        <w:ind w:right="0"/>
        <w:jc w:val="both"/>
        <w:rPr>
          <w:rFonts w:ascii="Times New Roman" w:hAnsi="Times New Roman"/>
        </w:rPr>
      </w:pPr>
      <w:r w:rsidRPr="006B53C9">
        <w:rPr>
          <w:rFonts w:ascii="Times New Roman" w:hAnsi="Times New Roman"/>
        </w:rPr>
        <w:t>(c)</w:t>
      </w:r>
      <w:r w:rsidRPr="006B53C9">
        <w:rPr>
          <w:rFonts w:ascii="Times New Roman" w:hAnsi="Times New Roman"/>
        </w:rPr>
        <w:tab/>
        <w:t>there be a new trial.</w:t>
      </w:r>
    </w:p>
    <w:p w14:paraId="768F7361" w14:textId="77777777" w:rsidR="00D06A72" w:rsidRDefault="00D06A72" w:rsidP="002A6F51">
      <w:pPr>
        <w:pStyle w:val="FixListStyle"/>
        <w:spacing w:after="260" w:line="280" w:lineRule="exact"/>
        <w:ind w:right="0"/>
        <w:jc w:val="both"/>
        <w:rPr>
          <w:rFonts w:ascii="Times New Roman" w:hAnsi="Times New Roman"/>
        </w:rPr>
        <w:sectPr w:rsidR="00D06A72" w:rsidSect="00D06A72">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1343AEA0" w14:textId="77777777" w:rsidR="00D06A72" w:rsidRPr="00F44BC3" w:rsidRDefault="00D06A72" w:rsidP="00D06A72">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F44BC3">
        <w:rPr>
          <w:rFonts w:ascii="Times New Roman" w:hAnsi="Times New Roman"/>
        </w:rPr>
        <w:lastRenderedPageBreak/>
        <w:t>STEWARD J.   The facts of these matters are set out in the reasons of Gordon and Edelman JJ, which I gratefully adopt. I agree with the majority that this was not a case in which it could be said that the misdirection (set out below) constituted a serious departure from the prescribed processes for a criminal trial</w:t>
      </w:r>
      <w:r w:rsidRPr="00F44BC3">
        <w:rPr>
          <w:rFonts w:ascii="Times New Roman" w:hAnsi="Times New Roman"/>
          <w:b/>
          <w:sz w:val="24"/>
          <w:vertAlign w:val="superscript"/>
        </w:rPr>
        <w:footnoteReference w:id="69"/>
      </w:r>
      <w:r w:rsidRPr="00F44BC3">
        <w:rPr>
          <w:rFonts w:ascii="Times New Roman" w:hAnsi="Times New Roman"/>
        </w:rPr>
        <w:t>. That leaves for consideration the appellants' alternative contention, as described by Gordon and Edelman JJ</w:t>
      </w:r>
      <w:r w:rsidRPr="00F44BC3">
        <w:rPr>
          <w:rStyle w:val="FootnoteReference"/>
          <w:rFonts w:ascii="Times New Roman" w:hAnsi="Times New Roman"/>
          <w:sz w:val="24"/>
        </w:rPr>
        <w:footnoteReference w:id="70"/>
      </w:r>
      <w:r w:rsidRPr="00F44BC3">
        <w:rPr>
          <w:rFonts w:ascii="Times New Roman" w:hAnsi="Times New Roman"/>
        </w:rPr>
        <w:t xml:space="preserve">, made in reliance upon s 276(1)(b) of the </w:t>
      </w:r>
      <w:r w:rsidRPr="00F44BC3">
        <w:rPr>
          <w:rFonts w:ascii="Times New Roman" w:hAnsi="Times New Roman"/>
          <w:i/>
          <w:iCs/>
        </w:rPr>
        <w:t>Criminal Procedure Act 2009</w:t>
      </w:r>
      <w:r w:rsidRPr="00F44BC3">
        <w:rPr>
          <w:rFonts w:ascii="Times New Roman" w:hAnsi="Times New Roman"/>
        </w:rPr>
        <w:t xml:space="preserve"> (Vic).</w:t>
      </w:r>
    </w:p>
    <w:p w14:paraId="268EDE6F"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The misdirection took place in the context of a detailed charge to a jury. It is convenient to set out the misdirection in full:</w:t>
      </w:r>
    </w:p>
    <w:p w14:paraId="51F8058A" w14:textId="77777777" w:rsidR="00D06A72" w:rsidRDefault="00D06A72" w:rsidP="00F44BC3">
      <w:pPr>
        <w:pStyle w:val="LRIndentafterHC"/>
        <w:spacing w:before="0" w:after="260" w:line="280" w:lineRule="exact"/>
        <w:ind w:right="0"/>
        <w:jc w:val="both"/>
        <w:rPr>
          <w:rFonts w:ascii="Times New Roman" w:hAnsi="Times New Roman"/>
        </w:rPr>
      </w:pPr>
      <w:r w:rsidRPr="00F44BC3">
        <w:rPr>
          <w:rFonts w:ascii="Times New Roman" w:hAnsi="Times New Roman"/>
        </w:rPr>
        <w:t>"Now, there are two factors that are significant that you should have regard to when you are assessing Mr </w:t>
      </w:r>
      <w:proofErr w:type="spellStart"/>
      <w:r w:rsidRPr="00F44BC3">
        <w:rPr>
          <w:rFonts w:ascii="Times New Roman" w:hAnsi="Times New Roman"/>
        </w:rPr>
        <w:t>Tambakakis</w:t>
      </w:r>
      <w:proofErr w:type="spellEnd"/>
      <w:r w:rsidRPr="00F44BC3">
        <w:rPr>
          <w:rFonts w:ascii="Times New Roman" w:hAnsi="Times New Roman"/>
        </w:rPr>
        <w:t xml:space="preserve">' evidence. Firstly, in a criminal trial, there is nothing more [that] an innocent [person] can do than give evidence in his own defence and subject himself to cross-examination, and that is what occurred here. On the other hand, secondly, a guilty person might decide to tough out cross-examination in the hope or belief that he will be more likely to be believed and his defence accepted if he takes the risk of giving evidence. You should consider </w:t>
      </w:r>
      <w:proofErr w:type="gramStart"/>
      <w:r w:rsidRPr="00F44BC3">
        <w:rPr>
          <w:rFonts w:ascii="Times New Roman" w:hAnsi="Times New Roman"/>
        </w:rPr>
        <w:t>both of these</w:t>
      </w:r>
      <w:proofErr w:type="gramEnd"/>
      <w:r w:rsidRPr="00F44BC3">
        <w:rPr>
          <w:rFonts w:ascii="Times New Roman" w:hAnsi="Times New Roman"/>
        </w:rPr>
        <w:t xml:space="preserve"> observations when evaluating Mr </w:t>
      </w:r>
      <w:proofErr w:type="spellStart"/>
      <w:r w:rsidRPr="00F44BC3">
        <w:rPr>
          <w:rFonts w:ascii="Times New Roman" w:hAnsi="Times New Roman"/>
        </w:rPr>
        <w:t>Tambakakis</w:t>
      </w:r>
      <w:proofErr w:type="spellEnd"/>
      <w:r w:rsidRPr="00F44BC3">
        <w:rPr>
          <w:rFonts w:ascii="Times New Roman" w:hAnsi="Times New Roman"/>
        </w:rPr>
        <w:t>' evidence."</w:t>
      </w:r>
    </w:p>
    <w:p w14:paraId="32F96855"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Mr </w:t>
      </w:r>
      <w:proofErr w:type="spellStart"/>
      <w:r w:rsidRPr="00F44BC3">
        <w:rPr>
          <w:rFonts w:ascii="Times New Roman" w:hAnsi="Times New Roman"/>
        </w:rPr>
        <w:t>Tambakakis</w:t>
      </w:r>
      <w:proofErr w:type="spellEnd"/>
      <w:r w:rsidRPr="00F44BC3">
        <w:rPr>
          <w:rFonts w:ascii="Times New Roman" w:hAnsi="Times New Roman"/>
        </w:rPr>
        <w:t xml:space="preserve"> was one of three accused, the others being Mr </w:t>
      </w:r>
      <w:proofErr w:type="spellStart"/>
      <w:r w:rsidRPr="00F44BC3">
        <w:rPr>
          <w:rFonts w:ascii="Times New Roman" w:hAnsi="Times New Roman"/>
        </w:rPr>
        <w:t>Kanati</w:t>
      </w:r>
      <w:proofErr w:type="spellEnd"/>
      <w:r w:rsidRPr="00F44BC3">
        <w:rPr>
          <w:rFonts w:ascii="Times New Roman" w:hAnsi="Times New Roman"/>
        </w:rPr>
        <w:t xml:space="preserve"> (who was not convicted and is not a party to these appeals) and Mr </w:t>
      </w:r>
      <w:proofErr w:type="spellStart"/>
      <w:r w:rsidRPr="00F44BC3">
        <w:rPr>
          <w:rFonts w:ascii="Times New Roman" w:hAnsi="Times New Roman"/>
        </w:rPr>
        <w:t>Awad</w:t>
      </w:r>
      <w:proofErr w:type="spellEnd"/>
      <w:r w:rsidRPr="00F44BC3">
        <w:rPr>
          <w:rFonts w:ascii="Times New Roman" w:hAnsi="Times New Roman"/>
        </w:rPr>
        <w:t>. Mr </w:t>
      </w:r>
      <w:proofErr w:type="spellStart"/>
      <w:r w:rsidRPr="00F44BC3">
        <w:rPr>
          <w:rFonts w:ascii="Times New Roman" w:hAnsi="Times New Roman"/>
        </w:rPr>
        <w:t>Tambakakis</w:t>
      </w:r>
      <w:proofErr w:type="spellEnd"/>
      <w:r w:rsidRPr="00F44BC3">
        <w:rPr>
          <w:rFonts w:ascii="Times New Roman" w:hAnsi="Times New Roman"/>
        </w:rPr>
        <w:t xml:space="preserve"> gave evidence; Mr </w:t>
      </w:r>
      <w:proofErr w:type="spellStart"/>
      <w:r w:rsidRPr="00F44BC3">
        <w:rPr>
          <w:rFonts w:ascii="Times New Roman" w:hAnsi="Times New Roman"/>
        </w:rPr>
        <w:t>Awad</w:t>
      </w:r>
      <w:proofErr w:type="spellEnd"/>
      <w:r w:rsidRPr="00F44BC3">
        <w:rPr>
          <w:rFonts w:ascii="Times New Roman" w:hAnsi="Times New Roman"/>
        </w:rPr>
        <w:t xml:space="preserve"> did not. Mr </w:t>
      </w:r>
      <w:proofErr w:type="spellStart"/>
      <w:r w:rsidRPr="00F44BC3">
        <w:rPr>
          <w:rFonts w:ascii="Times New Roman" w:hAnsi="Times New Roman"/>
        </w:rPr>
        <w:t>Tambakakis</w:t>
      </w:r>
      <w:proofErr w:type="spellEnd"/>
      <w:r w:rsidRPr="00F44BC3">
        <w:rPr>
          <w:rFonts w:ascii="Times New Roman" w:hAnsi="Times New Roman"/>
        </w:rPr>
        <w:t>' evidence was critical to the outcome of his own trial as well as the outcome of the separate trial of Mr </w:t>
      </w:r>
      <w:proofErr w:type="spellStart"/>
      <w:r w:rsidRPr="00F44BC3">
        <w:rPr>
          <w:rFonts w:ascii="Times New Roman" w:hAnsi="Times New Roman"/>
        </w:rPr>
        <w:t>Awad</w:t>
      </w:r>
      <w:proofErr w:type="spellEnd"/>
      <w:r w:rsidRPr="00F44BC3">
        <w:rPr>
          <w:rFonts w:ascii="Times New Roman" w:hAnsi="Times New Roman"/>
        </w:rPr>
        <w:t xml:space="preserve"> (as a matter of convenience, the trials were heard together). It was common ground that the direction should not have been given because of s 44J of the </w:t>
      </w:r>
      <w:r w:rsidRPr="00F44BC3">
        <w:rPr>
          <w:rFonts w:ascii="Times New Roman" w:hAnsi="Times New Roman"/>
          <w:i/>
          <w:iCs/>
        </w:rPr>
        <w:t xml:space="preserve">Jury Directions Act 2015 </w:t>
      </w:r>
      <w:r w:rsidRPr="00F44BC3">
        <w:rPr>
          <w:rFonts w:ascii="Times New Roman" w:hAnsi="Times New Roman"/>
        </w:rPr>
        <w:t>(Vic) ("the JD Act"), the terms of which are set out in the reasons of Gordon and Edelman JJ</w:t>
      </w:r>
      <w:r w:rsidRPr="00F44BC3">
        <w:rPr>
          <w:rStyle w:val="FootnoteReference"/>
          <w:rFonts w:ascii="Times New Roman" w:hAnsi="Times New Roman"/>
          <w:sz w:val="24"/>
        </w:rPr>
        <w:footnoteReference w:id="71"/>
      </w:r>
      <w:r w:rsidRPr="00F44BC3">
        <w:rPr>
          <w:rFonts w:ascii="Times New Roman" w:hAnsi="Times New Roman"/>
        </w:rPr>
        <w:t xml:space="preserve">. It was "an error or an irregularity" for the purposes of s 276(1)(b) of the </w:t>
      </w:r>
      <w:r w:rsidRPr="00F44BC3">
        <w:rPr>
          <w:rFonts w:ascii="Times New Roman" w:hAnsi="Times New Roman"/>
          <w:i/>
          <w:iCs/>
        </w:rPr>
        <w:t>Criminal Procedure Act</w:t>
      </w:r>
      <w:r w:rsidRPr="00F44BC3">
        <w:rPr>
          <w:rFonts w:ascii="Times New Roman" w:hAnsi="Times New Roman"/>
        </w:rPr>
        <w:t>.</w:t>
      </w:r>
    </w:p>
    <w:p w14:paraId="25245F9E"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 xml:space="preserve">In determining whether an error or an irregularity has resulted in a substantial miscarriage of justice, it is not always necessary to assess the whole of the record to determine whether a finding of guilt was or was not the only conclusion reasonably open. In the Court of Appeal below, McLeish and Niall JJA were, with very great respect, correct to observe that an examination of the nature </w:t>
      </w:r>
      <w:r w:rsidRPr="00F44BC3">
        <w:rPr>
          <w:rFonts w:ascii="Times New Roman" w:hAnsi="Times New Roman"/>
        </w:rPr>
        <w:lastRenderedPageBreak/>
        <w:t>of the error or irregularity may show that it could have made no difference to the outcome of the trial</w:t>
      </w:r>
      <w:r w:rsidRPr="00F44BC3">
        <w:rPr>
          <w:rStyle w:val="FootnoteReference"/>
          <w:rFonts w:ascii="Times New Roman" w:hAnsi="Times New Roman"/>
          <w:sz w:val="24"/>
        </w:rPr>
        <w:footnoteReference w:id="72"/>
      </w:r>
      <w:r w:rsidRPr="00F44BC3">
        <w:rPr>
          <w:rFonts w:ascii="Times New Roman" w:hAnsi="Times New Roman"/>
        </w:rPr>
        <w:t>. The error may have been entirely harmless or of "no significance"</w:t>
      </w:r>
      <w:r w:rsidRPr="00F44BC3">
        <w:rPr>
          <w:rStyle w:val="FootnoteReference"/>
          <w:rFonts w:ascii="Times New Roman" w:hAnsi="Times New Roman"/>
          <w:sz w:val="24"/>
        </w:rPr>
        <w:footnoteReference w:id="73"/>
      </w:r>
      <w:r w:rsidRPr="00F44BC3">
        <w:rPr>
          <w:rFonts w:ascii="Times New Roman" w:hAnsi="Times New Roman"/>
        </w:rPr>
        <w:t xml:space="preserve">. As French CJ, </w:t>
      </w:r>
      <w:proofErr w:type="spellStart"/>
      <w:r w:rsidRPr="00F44BC3">
        <w:rPr>
          <w:rFonts w:ascii="Times New Roman" w:hAnsi="Times New Roman"/>
        </w:rPr>
        <w:t>Heydon</w:t>
      </w:r>
      <w:proofErr w:type="spellEnd"/>
      <w:r w:rsidRPr="00F44BC3">
        <w:rPr>
          <w:rFonts w:ascii="Times New Roman" w:hAnsi="Times New Roman"/>
        </w:rPr>
        <w:t xml:space="preserve">, Kiefel and Bell JJ observed in </w:t>
      </w:r>
      <w:r w:rsidRPr="00F44BC3">
        <w:rPr>
          <w:rFonts w:ascii="Times New Roman" w:hAnsi="Times New Roman"/>
          <w:i/>
          <w:iCs/>
        </w:rPr>
        <w:t>Jones v The Queen</w:t>
      </w:r>
      <w:r w:rsidRPr="00F44BC3">
        <w:rPr>
          <w:rStyle w:val="FootnoteReference"/>
          <w:rFonts w:ascii="Times New Roman" w:hAnsi="Times New Roman"/>
          <w:sz w:val="24"/>
        </w:rPr>
        <w:footnoteReference w:id="74"/>
      </w:r>
      <w:r w:rsidRPr="00F44BC3">
        <w:rPr>
          <w:rFonts w:ascii="Times New Roman" w:hAnsi="Times New Roman"/>
        </w:rPr>
        <w:t>:</w:t>
      </w:r>
    </w:p>
    <w:p w14:paraId="7F7508F6" w14:textId="77777777" w:rsidR="00D06A72" w:rsidRDefault="00D06A72" w:rsidP="00F44BC3">
      <w:pPr>
        <w:pStyle w:val="LRIndentafterHC"/>
        <w:spacing w:before="0" w:after="260" w:line="280" w:lineRule="exact"/>
        <w:ind w:right="0"/>
        <w:jc w:val="both"/>
        <w:rPr>
          <w:rFonts w:ascii="Times New Roman" w:hAnsi="Times New Roman"/>
        </w:rPr>
      </w:pPr>
      <w:r w:rsidRPr="00F44BC3">
        <w:rPr>
          <w:rFonts w:ascii="Times New Roman" w:hAnsi="Times New Roman"/>
        </w:rPr>
        <w:t xml:space="preserve">"In </w:t>
      </w:r>
      <w:r w:rsidRPr="00F44BC3">
        <w:rPr>
          <w:rFonts w:ascii="Times New Roman" w:hAnsi="Times New Roman"/>
          <w:i/>
          <w:iCs/>
        </w:rPr>
        <w:t>Weiss v The Queen</w:t>
      </w:r>
      <w:r w:rsidRPr="00F44BC3">
        <w:rPr>
          <w:rFonts w:ascii="Times New Roman" w:hAnsi="Times New Roman"/>
        </w:rPr>
        <w:t xml:space="preserve"> it was said that there are cases in which it is possible for an appellate court to conclude that an error at trial would have had no significance in determining the verdict. This was such a case. Keane JA described the impugned direction in the appellant's case as innocuous. He observed that it had occasioned no real forensic disadvantage to the appellant. Given the issues in the trial and the conduct of it, which included the trial judge's direction as to the use the jury might make of the evidence of [the co-accused's] bad character, this assessment of the effect of the misdirection was well open." (</w:t>
      </w:r>
      <w:proofErr w:type="gramStart"/>
      <w:r w:rsidRPr="00F44BC3">
        <w:rPr>
          <w:rFonts w:ascii="Times New Roman" w:hAnsi="Times New Roman"/>
        </w:rPr>
        <w:t>footnotes</w:t>
      </w:r>
      <w:proofErr w:type="gramEnd"/>
      <w:r w:rsidRPr="00F44BC3">
        <w:rPr>
          <w:rFonts w:ascii="Times New Roman" w:hAnsi="Times New Roman"/>
        </w:rPr>
        <w:t xml:space="preserve"> omitted)</w:t>
      </w:r>
    </w:p>
    <w:p w14:paraId="47E5BA08"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It follows that, in the case of a given misdirection, McLeish and Niall JJA were right to state that</w:t>
      </w:r>
      <w:r w:rsidRPr="00F44BC3">
        <w:rPr>
          <w:rStyle w:val="FootnoteReference"/>
          <w:rFonts w:ascii="Times New Roman" w:hAnsi="Times New Roman"/>
          <w:sz w:val="24"/>
        </w:rPr>
        <w:footnoteReference w:id="75"/>
      </w:r>
      <w:r w:rsidRPr="00F44BC3">
        <w:rPr>
          <w:rFonts w:ascii="Times New Roman" w:hAnsi="Times New Roman"/>
        </w:rPr>
        <w:t>:</w:t>
      </w:r>
    </w:p>
    <w:p w14:paraId="531E97B4" w14:textId="77777777" w:rsidR="00D06A72" w:rsidRDefault="00D06A72" w:rsidP="00F44BC3">
      <w:pPr>
        <w:pStyle w:val="LeftrightafterHC"/>
        <w:spacing w:before="0" w:after="260" w:line="280" w:lineRule="exact"/>
        <w:ind w:right="0"/>
        <w:jc w:val="both"/>
        <w:rPr>
          <w:rFonts w:ascii="Times New Roman" w:hAnsi="Times New Roman"/>
        </w:rPr>
      </w:pPr>
      <w:r w:rsidRPr="00F44BC3">
        <w:rPr>
          <w:rFonts w:ascii="Times New Roman" w:hAnsi="Times New Roman"/>
        </w:rPr>
        <w:t xml:space="preserve">"[T]here will have been no substantial miscarriage of justice if, having regard to the direction in the context of the charge as a whole, the erroneous direction </w:t>
      </w:r>
      <w:bookmarkStart w:id="8" w:name="_Hlk114474857"/>
      <w:r w:rsidRPr="00F44BC3">
        <w:rPr>
          <w:rFonts w:ascii="Times New Roman" w:hAnsi="Times New Roman"/>
        </w:rPr>
        <w:t>was innocuous, had been corrected, or could have had no bearing on the outcome of the trial." (</w:t>
      </w:r>
      <w:proofErr w:type="gramStart"/>
      <w:r w:rsidRPr="00F44BC3">
        <w:rPr>
          <w:rFonts w:ascii="Times New Roman" w:hAnsi="Times New Roman"/>
        </w:rPr>
        <w:t>footnote</w:t>
      </w:r>
      <w:proofErr w:type="gramEnd"/>
      <w:r w:rsidRPr="00F44BC3">
        <w:rPr>
          <w:rFonts w:ascii="Times New Roman" w:hAnsi="Times New Roman"/>
        </w:rPr>
        <w:t xml:space="preserve"> omitted)</w:t>
      </w:r>
    </w:p>
    <w:bookmarkEnd w:id="8"/>
    <w:p w14:paraId="57AEA337"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The foregoing expressions of principle do not involve any alteration to the shifting persuasive onus imposed by s 276(1)(b)</w:t>
      </w:r>
      <w:r w:rsidRPr="00F44BC3">
        <w:rPr>
          <w:rStyle w:val="FootnoteReference"/>
          <w:rFonts w:ascii="Times New Roman" w:hAnsi="Times New Roman"/>
          <w:sz w:val="24"/>
        </w:rPr>
        <w:footnoteReference w:id="76"/>
      </w:r>
      <w:r w:rsidRPr="00F44BC3">
        <w:rPr>
          <w:rFonts w:ascii="Times New Roman" w:hAnsi="Times New Roman"/>
        </w:rPr>
        <w:t>. Here, the appellants established that an error or irregularity had taken place. It was thereafter a matter for the Crown to show that there had been no resulting substantial miscarriage of justice. In this case, that meant demonstrating that the error or irregularity "was innocuous, had been corrected, or could have had no bearing on the outcome of the trial"</w:t>
      </w:r>
      <w:r w:rsidRPr="00F44BC3">
        <w:rPr>
          <w:rStyle w:val="FootnoteReference"/>
          <w:rFonts w:ascii="Times New Roman" w:hAnsi="Times New Roman"/>
          <w:sz w:val="24"/>
        </w:rPr>
        <w:footnoteReference w:id="77"/>
      </w:r>
      <w:r w:rsidRPr="00F44BC3">
        <w:rPr>
          <w:rFonts w:ascii="Times New Roman" w:hAnsi="Times New Roman"/>
        </w:rPr>
        <w:t xml:space="preserve">. For the </w:t>
      </w:r>
      <w:r w:rsidRPr="00F44BC3">
        <w:rPr>
          <w:rFonts w:ascii="Times New Roman" w:hAnsi="Times New Roman"/>
        </w:rPr>
        <w:lastRenderedPageBreak/>
        <w:t>reasons which follow, and with very great respect to the majority, the Crown has established that the misdirection here was an error or irregularity of this kind.</w:t>
      </w:r>
    </w:p>
    <w:p w14:paraId="61B8521D"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At the outset, three propositions should be noted. First, a misdirection cannot be characterised as innocuous or harmless, and will instead be productive of a substantial miscarriage of justice, if it "deflect[ed] the jury from [their] fundamental task of deciding whether the prosecution proved the elements of the charged offence beyond reasonable doubt"</w:t>
      </w:r>
      <w:r w:rsidRPr="00F44BC3">
        <w:rPr>
          <w:rStyle w:val="FootnoteReference"/>
          <w:rFonts w:ascii="Times New Roman" w:hAnsi="Times New Roman"/>
          <w:sz w:val="24"/>
        </w:rPr>
        <w:footnoteReference w:id="78"/>
      </w:r>
      <w:r w:rsidRPr="00F44BC3">
        <w:rPr>
          <w:rFonts w:ascii="Times New Roman" w:hAnsi="Times New Roman"/>
        </w:rPr>
        <w:t>. Secondly, that inquiry requires a consideration of the entire charge to the jury by the trial judge</w:t>
      </w:r>
      <w:r w:rsidRPr="00F44BC3">
        <w:rPr>
          <w:rStyle w:val="FootnoteReference"/>
          <w:rFonts w:ascii="Times New Roman" w:hAnsi="Times New Roman"/>
          <w:sz w:val="24"/>
        </w:rPr>
        <w:footnoteReference w:id="79"/>
      </w:r>
      <w:r w:rsidRPr="00F44BC3">
        <w:rPr>
          <w:rFonts w:ascii="Times New Roman" w:hAnsi="Times New Roman"/>
        </w:rPr>
        <w:t xml:space="preserve">. </w:t>
      </w:r>
      <w:proofErr w:type="gramStart"/>
      <w:r w:rsidRPr="00F44BC3">
        <w:rPr>
          <w:rFonts w:ascii="Times New Roman" w:hAnsi="Times New Roman"/>
        </w:rPr>
        <w:t>In order to</w:t>
      </w:r>
      <w:proofErr w:type="gramEnd"/>
      <w:r w:rsidRPr="00F44BC3">
        <w:rPr>
          <w:rFonts w:ascii="Times New Roman" w:hAnsi="Times New Roman"/>
        </w:rPr>
        <w:t xml:space="preserve"> evaluate the true nature and possible effect of a misdirection, it must be considered in its entire context. Thirdly, as a matter of logic, a misdirection may be capable of being corrected or cured by the trial judge during his or her charge</w:t>
      </w:r>
      <w:r w:rsidRPr="00F44BC3">
        <w:rPr>
          <w:rStyle w:val="FootnoteReference"/>
          <w:rFonts w:ascii="Times New Roman" w:hAnsi="Times New Roman"/>
          <w:sz w:val="24"/>
        </w:rPr>
        <w:footnoteReference w:id="80"/>
      </w:r>
      <w:r w:rsidRPr="00F44BC3">
        <w:rPr>
          <w:rFonts w:ascii="Times New Roman" w:hAnsi="Times New Roman"/>
        </w:rPr>
        <w:t xml:space="preserve">. A misdirection will have been effectively corrected or cured when it can be said of it that it no longer had the effect of deflecting the jury from their fundamental task. </w:t>
      </w:r>
    </w:p>
    <w:p w14:paraId="77331A44"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In applying the foregoing test, care must be taken not to raise the bar too high and insist upon a trial which is immaculate. A misdirection is either innocuous or harmless, or it is not. With profound respect, it makes little sense, and may lead to error, to define grades of what is innocuous or what is harmless. In that respect, it is well established that</w:t>
      </w:r>
      <w:r w:rsidRPr="00F44BC3">
        <w:rPr>
          <w:rStyle w:val="FootnoteReference"/>
          <w:rFonts w:ascii="Times New Roman" w:hAnsi="Times New Roman"/>
          <w:sz w:val="24"/>
        </w:rPr>
        <w:footnoteReference w:id="81"/>
      </w:r>
      <w:r w:rsidRPr="00F44BC3">
        <w:rPr>
          <w:rFonts w:ascii="Times New Roman" w:hAnsi="Times New Roman"/>
        </w:rPr>
        <w:t>:</w:t>
      </w:r>
    </w:p>
    <w:p w14:paraId="7E83ACF1" w14:textId="77777777" w:rsidR="00D06A72" w:rsidRDefault="00D06A72" w:rsidP="00F44BC3">
      <w:pPr>
        <w:pStyle w:val="LRIndentafterHC"/>
        <w:spacing w:before="0" w:after="260" w:line="280" w:lineRule="exact"/>
        <w:ind w:right="0"/>
        <w:jc w:val="both"/>
        <w:rPr>
          <w:rFonts w:ascii="Times New Roman" w:hAnsi="Times New Roman"/>
        </w:rPr>
      </w:pPr>
      <w:r w:rsidRPr="00F44BC3">
        <w:rPr>
          <w:rFonts w:ascii="Times New Roman" w:hAnsi="Times New Roman"/>
        </w:rPr>
        <w:t xml:space="preserve">"A fair trial according to law does not mean a perfect trial, free from possible detriment or disadvantage of any kind or degree to the accused". </w:t>
      </w:r>
    </w:p>
    <w:p w14:paraId="1C8E9EB3"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 xml:space="preserve">It is thus better to express the test consistently with what this Court said in </w:t>
      </w:r>
      <w:r w:rsidRPr="00F44BC3">
        <w:rPr>
          <w:rFonts w:ascii="Times New Roman" w:hAnsi="Times New Roman"/>
          <w:i/>
          <w:iCs/>
        </w:rPr>
        <w:t>Hargraves v The Queen</w:t>
      </w:r>
      <w:r w:rsidRPr="00F44BC3">
        <w:rPr>
          <w:rStyle w:val="FootnoteReference"/>
          <w:rFonts w:ascii="Times New Roman" w:hAnsi="Times New Roman"/>
          <w:sz w:val="24"/>
        </w:rPr>
        <w:footnoteReference w:id="82"/>
      </w:r>
      <w:r w:rsidRPr="00F44BC3">
        <w:rPr>
          <w:rFonts w:ascii="Times New Roman" w:hAnsi="Times New Roman"/>
        </w:rPr>
        <w:t xml:space="preserve"> by reference to that which has deflected the jury away </w:t>
      </w:r>
      <w:r w:rsidRPr="00F44BC3">
        <w:rPr>
          <w:rFonts w:ascii="Times New Roman" w:hAnsi="Times New Roman"/>
        </w:rPr>
        <w:lastRenderedPageBreak/>
        <w:t>from their fundamental task. Where the misdirection has not so deflected the jury because by its nature it is harmless, or because of the adoption of some successful correction or cure by the trial judge which renders the misdirection harmless or innocuous, there is no substantial miscarriage of justice.</w:t>
      </w:r>
    </w:p>
    <w:p w14:paraId="266B0A54"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Senior counsel for Mr </w:t>
      </w:r>
      <w:proofErr w:type="spellStart"/>
      <w:r w:rsidRPr="00F44BC3">
        <w:rPr>
          <w:rFonts w:ascii="Times New Roman" w:hAnsi="Times New Roman"/>
        </w:rPr>
        <w:t>Awad</w:t>
      </w:r>
      <w:proofErr w:type="spellEnd"/>
      <w:r w:rsidRPr="00F44BC3">
        <w:rPr>
          <w:rFonts w:ascii="Times New Roman" w:hAnsi="Times New Roman"/>
        </w:rPr>
        <w:t xml:space="preserve"> conceded that if the prohibited direction set out above had been expressly corrected by the trial judge, there would have been no substantial miscarriage of justice. He was, however, at pains to emphasise that no such correction had taken place here. </w:t>
      </w:r>
    </w:p>
    <w:p w14:paraId="7377EF10"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The observation of senior counsel for Mr </w:t>
      </w:r>
      <w:proofErr w:type="spellStart"/>
      <w:r w:rsidRPr="00F44BC3">
        <w:rPr>
          <w:rFonts w:ascii="Times New Roman" w:hAnsi="Times New Roman"/>
        </w:rPr>
        <w:t>Awad</w:t>
      </w:r>
      <w:proofErr w:type="spellEnd"/>
      <w:r w:rsidRPr="00F44BC3">
        <w:rPr>
          <w:rFonts w:ascii="Times New Roman" w:hAnsi="Times New Roman"/>
        </w:rPr>
        <w:t xml:space="preserve"> that the misdirection was not expressly corrected should be accepted. But it does not follow that it was not otherwise cured. In that respect, this is not a case where there was a manifest failure by counsel to object to a misdirection at trial</w:t>
      </w:r>
      <w:r w:rsidRPr="00F44BC3">
        <w:rPr>
          <w:rStyle w:val="FootnoteReference"/>
          <w:rFonts w:ascii="Times New Roman" w:hAnsi="Times New Roman"/>
          <w:sz w:val="24"/>
        </w:rPr>
        <w:footnoteReference w:id="83"/>
      </w:r>
      <w:r w:rsidRPr="00F44BC3">
        <w:rPr>
          <w:rFonts w:ascii="Times New Roman" w:hAnsi="Times New Roman"/>
        </w:rPr>
        <w:t>. Senior counsel for Mr </w:t>
      </w:r>
      <w:proofErr w:type="spellStart"/>
      <w:r w:rsidRPr="00F44BC3">
        <w:rPr>
          <w:rFonts w:ascii="Times New Roman" w:hAnsi="Times New Roman"/>
        </w:rPr>
        <w:t>Tambakakis</w:t>
      </w:r>
      <w:proofErr w:type="spellEnd"/>
      <w:r w:rsidRPr="00F44BC3">
        <w:rPr>
          <w:rFonts w:ascii="Times New Roman" w:hAnsi="Times New Roman"/>
        </w:rPr>
        <w:t xml:space="preserve"> promptly raised the misdirection with the trial judge as an exception at the end of the first day of the charge to the jury. When informed, the trial judge stated that he would correct the mistake. Senior counsel submitted that to do so would highlight the error to the jury and that it would be better to say nothing. He submitted that the trial judge should instead make the following direction:</w:t>
      </w:r>
    </w:p>
    <w:p w14:paraId="5B1B1BA4" w14:textId="77777777" w:rsidR="00D06A72" w:rsidRDefault="00D06A72" w:rsidP="00F44BC3">
      <w:pPr>
        <w:pStyle w:val="LeftrightafterHC"/>
        <w:spacing w:before="0" w:after="260" w:line="280" w:lineRule="exact"/>
        <w:ind w:right="0"/>
        <w:jc w:val="both"/>
        <w:rPr>
          <w:rFonts w:ascii="Times New Roman" w:hAnsi="Times New Roman"/>
        </w:rPr>
      </w:pPr>
      <w:r w:rsidRPr="00F44BC3">
        <w:rPr>
          <w:rFonts w:ascii="Times New Roman" w:hAnsi="Times New Roman"/>
        </w:rPr>
        <w:t>"If you find that it's reasonably possible that Mr </w:t>
      </w:r>
      <w:proofErr w:type="spellStart"/>
      <w:r w:rsidRPr="00F44BC3">
        <w:rPr>
          <w:rFonts w:ascii="Times New Roman" w:hAnsi="Times New Roman"/>
        </w:rPr>
        <w:t>Tambakakis</w:t>
      </w:r>
      <w:proofErr w:type="spellEnd"/>
      <w:r w:rsidRPr="00F44BC3">
        <w:rPr>
          <w:rFonts w:ascii="Times New Roman" w:hAnsi="Times New Roman"/>
        </w:rPr>
        <w:t xml:space="preserve"> believed the secreted substance was steroids, then you must acquit him."</w:t>
      </w:r>
    </w:p>
    <w:p w14:paraId="3A0052E5"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 xml:space="preserve">The trial judge informed counsel that he intended to give this direction anyway. </w:t>
      </w:r>
    </w:p>
    <w:p w14:paraId="3978FFBF"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Senior counsel for the Crown was also of the opinion that the misdirection should be "simply left alone". He expressed the view that, in any event, each proposition in the misdirection "balance[d] out the other", a view also reached by McLeish and Niall JJA in the Court of Appeal</w:t>
      </w:r>
      <w:r w:rsidRPr="00F44BC3">
        <w:rPr>
          <w:rStyle w:val="FootnoteReference"/>
          <w:rFonts w:ascii="Times New Roman" w:hAnsi="Times New Roman"/>
          <w:sz w:val="24"/>
        </w:rPr>
        <w:footnoteReference w:id="84"/>
      </w:r>
      <w:r w:rsidRPr="00F44BC3">
        <w:rPr>
          <w:rFonts w:ascii="Times New Roman" w:hAnsi="Times New Roman"/>
        </w:rPr>
        <w:t>. Senior counsel for Mr </w:t>
      </w:r>
      <w:proofErr w:type="spellStart"/>
      <w:r w:rsidRPr="00F44BC3">
        <w:rPr>
          <w:rFonts w:ascii="Times New Roman" w:hAnsi="Times New Roman"/>
        </w:rPr>
        <w:t>Tambakakis</w:t>
      </w:r>
      <w:proofErr w:type="spellEnd"/>
      <w:r w:rsidRPr="00F44BC3">
        <w:rPr>
          <w:rFonts w:ascii="Times New Roman" w:hAnsi="Times New Roman"/>
        </w:rPr>
        <w:t xml:space="preserve"> also agreed that the misdirection "was balanced". The trial judge responded by inviting counsel to consider overnight whether the misdirection should be corrected and confirmed again that he would give the direction sought by senior counsel for Mr </w:t>
      </w:r>
      <w:proofErr w:type="spellStart"/>
      <w:r w:rsidRPr="00F44BC3">
        <w:rPr>
          <w:rFonts w:ascii="Times New Roman" w:hAnsi="Times New Roman"/>
        </w:rPr>
        <w:t>Tambakakis</w:t>
      </w:r>
      <w:proofErr w:type="spellEnd"/>
      <w:r w:rsidRPr="00F44BC3">
        <w:rPr>
          <w:rFonts w:ascii="Times New Roman" w:hAnsi="Times New Roman"/>
        </w:rPr>
        <w:t>; indeed, he said he would "emphasize" it. The next day, having had a full opportunity to reconsider the matter, counsel for Mr </w:t>
      </w:r>
      <w:proofErr w:type="spellStart"/>
      <w:r w:rsidRPr="00F44BC3">
        <w:rPr>
          <w:rFonts w:ascii="Times New Roman" w:hAnsi="Times New Roman"/>
        </w:rPr>
        <w:t>Tambakakis</w:t>
      </w:r>
      <w:proofErr w:type="spellEnd"/>
      <w:r w:rsidRPr="00F44BC3">
        <w:rPr>
          <w:rFonts w:ascii="Times New Roman" w:hAnsi="Times New Roman"/>
        </w:rPr>
        <w:t xml:space="preserve"> informed the Court that their position had not changed; they even </w:t>
      </w:r>
      <w:r w:rsidRPr="00F44BC3">
        <w:rPr>
          <w:rFonts w:ascii="Times New Roman" w:hAnsi="Times New Roman"/>
        </w:rPr>
        <w:lastRenderedPageBreak/>
        <w:t>opposed a suggestion by the trial judge that he make it clear to the jury that what he had said was only a mere comment and not a direction of law.</w:t>
      </w:r>
    </w:p>
    <w:p w14:paraId="71F81315"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It was submitted that the vice of the prohibited direction was that it would have confused the jury into thinking both that they were required to make a choice between guilt and innocence and, further, that Mr </w:t>
      </w:r>
      <w:proofErr w:type="spellStart"/>
      <w:r w:rsidRPr="00F44BC3">
        <w:rPr>
          <w:rFonts w:ascii="Times New Roman" w:hAnsi="Times New Roman"/>
        </w:rPr>
        <w:t>Tambakakis</w:t>
      </w:r>
      <w:proofErr w:type="spellEnd"/>
      <w:r w:rsidRPr="00F44BC3">
        <w:rPr>
          <w:rFonts w:ascii="Times New Roman" w:hAnsi="Times New Roman"/>
        </w:rPr>
        <w:t xml:space="preserve"> bore some onus </w:t>
      </w:r>
      <w:proofErr w:type="gramStart"/>
      <w:r w:rsidRPr="00F44BC3">
        <w:rPr>
          <w:rFonts w:ascii="Times New Roman" w:hAnsi="Times New Roman"/>
        </w:rPr>
        <w:t>in order to</w:t>
      </w:r>
      <w:proofErr w:type="gramEnd"/>
      <w:r w:rsidRPr="00F44BC3">
        <w:rPr>
          <w:rFonts w:ascii="Times New Roman" w:hAnsi="Times New Roman"/>
        </w:rPr>
        <w:t xml:space="preserve"> secure the acceptance of his defence. These propensities, it was said, deflected the jury from their task of deciding whether the Crown had "proved the elements of the charged offence beyond reasonable doubt"</w:t>
      </w:r>
      <w:r w:rsidRPr="00F44BC3">
        <w:rPr>
          <w:rStyle w:val="FootnoteReference"/>
          <w:rFonts w:ascii="Times New Roman" w:hAnsi="Times New Roman"/>
          <w:sz w:val="24"/>
        </w:rPr>
        <w:footnoteReference w:id="85"/>
      </w:r>
      <w:r w:rsidRPr="00F44BC3">
        <w:rPr>
          <w:rFonts w:ascii="Times New Roman" w:hAnsi="Times New Roman"/>
        </w:rPr>
        <w:t>.</w:t>
      </w:r>
    </w:p>
    <w:p w14:paraId="5500FE85"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As mentioned already, the issue is not whether the misdirection, in and of itself, might have deflected the jury away from their fundamental task, but rather whether the entire charge, which included the misdirection, might have had such an effect. The trial judge commenced his charge with an orthodox statement that the jury would be bound by his directions of law, but not by any comments he might make about the evidence or the facts. His Honour emphasised: that the prosecution must satisfy the jury of guilt beyond reasonable doubt; that an accused may remain silent and does not have to prove anything; and</w:t>
      </w:r>
      <w:proofErr w:type="gramStart"/>
      <w:r w:rsidRPr="00F44BC3">
        <w:rPr>
          <w:rFonts w:ascii="Times New Roman" w:hAnsi="Times New Roman"/>
        </w:rPr>
        <w:t>, in particular, that</w:t>
      </w:r>
      <w:proofErr w:type="gramEnd"/>
      <w:r w:rsidRPr="00F44BC3">
        <w:rPr>
          <w:rFonts w:ascii="Times New Roman" w:hAnsi="Times New Roman"/>
        </w:rPr>
        <w:t xml:space="preserve"> Mr </w:t>
      </w:r>
      <w:proofErr w:type="spellStart"/>
      <w:r w:rsidRPr="00F44BC3">
        <w:rPr>
          <w:rFonts w:ascii="Times New Roman" w:hAnsi="Times New Roman"/>
        </w:rPr>
        <w:t>Tambakakis</w:t>
      </w:r>
      <w:proofErr w:type="spellEnd"/>
      <w:r w:rsidRPr="00F44BC3">
        <w:rPr>
          <w:rFonts w:ascii="Times New Roman" w:hAnsi="Times New Roman"/>
        </w:rPr>
        <w:t xml:space="preserve"> did not, by giving evidence, "assume some evidentiary onus". His Honour further said that, in giving evidence, Mr </w:t>
      </w:r>
      <w:proofErr w:type="spellStart"/>
      <w:r w:rsidRPr="00F44BC3">
        <w:rPr>
          <w:rFonts w:ascii="Times New Roman" w:hAnsi="Times New Roman"/>
        </w:rPr>
        <w:t>Tambakakis</w:t>
      </w:r>
      <w:proofErr w:type="spellEnd"/>
      <w:r w:rsidRPr="00F44BC3">
        <w:rPr>
          <w:rFonts w:ascii="Times New Roman" w:hAnsi="Times New Roman"/>
        </w:rPr>
        <w:t xml:space="preserve"> undertook to tell the truth and submitted himself to cross-examination, "which is the way lawyers test a witness' credibility and truthfulness". All of this was said before the misdirection took place.</w:t>
      </w:r>
    </w:p>
    <w:p w14:paraId="223111C1"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Following the misdirection, in a passage that commenced with the words "[</w:t>
      </w:r>
      <w:proofErr w:type="spellStart"/>
      <w:r w:rsidRPr="00F44BC3">
        <w:rPr>
          <w:rFonts w:ascii="Times New Roman" w:hAnsi="Times New Roman"/>
        </w:rPr>
        <w:t>i</w:t>
      </w:r>
      <w:proofErr w:type="spellEnd"/>
      <w:r w:rsidRPr="00F44BC3">
        <w:rPr>
          <w:rFonts w:ascii="Times New Roman" w:hAnsi="Times New Roman"/>
        </w:rPr>
        <w:t>]n the end, it is for you to determine whether or not you accept [Mr </w:t>
      </w:r>
      <w:proofErr w:type="spellStart"/>
      <w:r w:rsidRPr="00F44BC3">
        <w:rPr>
          <w:rFonts w:ascii="Times New Roman" w:hAnsi="Times New Roman"/>
        </w:rPr>
        <w:t>Tambakakis</w:t>
      </w:r>
      <w:proofErr w:type="spellEnd"/>
      <w:r w:rsidRPr="00F44BC3">
        <w:rPr>
          <w:rFonts w:ascii="Times New Roman" w:hAnsi="Times New Roman"/>
        </w:rPr>
        <w:t xml:space="preserve">' evidence] and what weight you give to it", the trial judge told the jury to treat his evidence "in </w:t>
      </w:r>
      <w:proofErr w:type="gramStart"/>
      <w:r w:rsidRPr="00F44BC3">
        <w:rPr>
          <w:rFonts w:ascii="Times New Roman" w:hAnsi="Times New Roman"/>
        </w:rPr>
        <w:t>exactly the same</w:t>
      </w:r>
      <w:proofErr w:type="gramEnd"/>
      <w:r w:rsidRPr="00F44BC3">
        <w:rPr>
          <w:rFonts w:ascii="Times New Roman" w:hAnsi="Times New Roman"/>
        </w:rPr>
        <w:t xml:space="preserve"> way as you would treat the evidence of any other witness"</w:t>
      </w:r>
      <w:r w:rsidRPr="006506E9">
        <w:rPr>
          <w:rFonts w:ascii="Times New Roman" w:hAnsi="Times New Roman"/>
        </w:rPr>
        <w:t xml:space="preserve">. </w:t>
      </w:r>
      <w:r w:rsidRPr="00F44BC3">
        <w:rPr>
          <w:rFonts w:ascii="Times New Roman" w:hAnsi="Times New Roman"/>
        </w:rPr>
        <w:t>His Honour then said: "[</w:t>
      </w:r>
      <w:proofErr w:type="spellStart"/>
      <w:r w:rsidRPr="00F44BC3">
        <w:rPr>
          <w:rFonts w:ascii="Times New Roman" w:hAnsi="Times New Roman"/>
        </w:rPr>
        <w:t>i</w:t>
      </w:r>
      <w:proofErr w:type="spellEnd"/>
      <w:r w:rsidRPr="00F44BC3">
        <w:rPr>
          <w:rFonts w:ascii="Times New Roman" w:hAnsi="Times New Roman"/>
        </w:rPr>
        <w:t>]t is also essential, and this is very important in this case, ... that it is for the prosecution to prove its case beyond reasonable doubt". This direction was made repeatedly by the trial judge. His Honour also repeated that it was not for Mr </w:t>
      </w:r>
      <w:proofErr w:type="spellStart"/>
      <w:r w:rsidRPr="00F44BC3">
        <w:rPr>
          <w:rFonts w:ascii="Times New Roman" w:hAnsi="Times New Roman"/>
        </w:rPr>
        <w:t>Tambakakis</w:t>
      </w:r>
      <w:proofErr w:type="spellEnd"/>
      <w:r w:rsidRPr="00F44BC3">
        <w:rPr>
          <w:rFonts w:ascii="Times New Roman" w:hAnsi="Times New Roman"/>
        </w:rPr>
        <w:t xml:space="preserve"> to prove his innocence and that the burden of proof remained on the prosecution "irrespective of what you make of Mr </w:t>
      </w:r>
      <w:proofErr w:type="spellStart"/>
      <w:r w:rsidRPr="00F44BC3">
        <w:rPr>
          <w:rFonts w:ascii="Times New Roman" w:hAnsi="Times New Roman"/>
        </w:rPr>
        <w:t>Tambakakis</w:t>
      </w:r>
      <w:proofErr w:type="spellEnd"/>
      <w:r w:rsidRPr="00F44BC3">
        <w:rPr>
          <w:rFonts w:ascii="Times New Roman" w:hAnsi="Times New Roman"/>
        </w:rPr>
        <w:t xml:space="preserve">' evidence". </w:t>
      </w:r>
    </w:p>
    <w:p w14:paraId="4F82DFFF"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The jury were told that: if they thought that Mr </w:t>
      </w:r>
      <w:proofErr w:type="spellStart"/>
      <w:r w:rsidRPr="00F44BC3">
        <w:rPr>
          <w:rFonts w:ascii="Times New Roman" w:hAnsi="Times New Roman"/>
        </w:rPr>
        <w:t>Tambakakis</w:t>
      </w:r>
      <w:proofErr w:type="spellEnd"/>
      <w:r w:rsidRPr="00F44BC3">
        <w:rPr>
          <w:rFonts w:ascii="Times New Roman" w:hAnsi="Times New Roman"/>
        </w:rPr>
        <w:t>' evidence was true, then they were to find him not guilty; if they were not sure about whether his evidence was true, they were to find him not guilty; if they merely preferred the evidence of the prosecution witnesses to that of Mr </w:t>
      </w:r>
      <w:proofErr w:type="spellStart"/>
      <w:r w:rsidRPr="00F44BC3">
        <w:rPr>
          <w:rFonts w:ascii="Times New Roman" w:hAnsi="Times New Roman"/>
        </w:rPr>
        <w:t>Tambakakis</w:t>
      </w:r>
      <w:proofErr w:type="spellEnd"/>
      <w:r w:rsidRPr="00F44BC3">
        <w:rPr>
          <w:rFonts w:ascii="Times New Roman" w:hAnsi="Times New Roman"/>
        </w:rPr>
        <w:t>, they were to find him not guilty; and if they were to reject Mr </w:t>
      </w:r>
      <w:proofErr w:type="spellStart"/>
      <w:r w:rsidRPr="00F44BC3">
        <w:rPr>
          <w:rFonts w:ascii="Times New Roman" w:hAnsi="Times New Roman"/>
        </w:rPr>
        <w:t>Tambakakis</w:t>
      </w:r>
      <w:proofErr w:type="spellEnd"/>
      <w:r w:rsidRPr="00F44BC3">
        <w:rPr>
          <w:rFonts w:ascii="Times New Roman" w:hAnsi="Times New Roman"/>
        </w:rPr>
        <w:t xml:space="preserve">' evidence, they were then to put that evidence "to one side" and determine whether the Crown had nonetheless proven guilt beyond reasonable doubt. The trial judge made this last </w:t>
      </w:r>
      <w:r w:rsidRPr="00F44BC3">
        <w:rPr>
          <w:rFonts w:ascii="Times New Roman" w:hAnsi="Times New Roman"/>
        </w:rPr>
        <w:lastRenderedPageBreak/>
        <w:t>direction four times. It was also repeated in the Crown's final address to the jury. Consistently with the direction sought by Mr </w:t>
      </w:r>
      <w:proofErr w:type="spellStart"/>
      <w:r w:rsidRPr="00F44BC3">
        <w:rPr>
          <w:rFonts w:ascii="Times New Roman" w:hAnsi="Times New Roman"/>
        </w:rPr>
        <w:t>Tambakakis</w:t>
      </w:r>
      <w:proofErr w:type="spellEnd"/>
      <w:r w:rsidRPr="00F44BC3">
        <w:rPr>
          <w:rFonts w:ascii="Times New Roman" w:hAnsi="Times New Roman"/>
        </w:rPr>
        <w:t>' defence counsel, the trial judge told the jury that if they thought that it was reasonably possible that Mr </w:t>
      </w:r>
      <w:proofErr w:type="spellStart"/>
      <w:r w:rsidRPr="00F44BC3">
        <w:rPr>
          <w:rFonts w:ascii="Times New Roman" w:hAnsi="Times New Roman"/>
        </w:rPr>
        <w:t>Tambakakis</w:t>
      </w:r>
      <w:proofErr w:type="spellEnd"/>
      <w:r w:rsidRPr="00F44BC3">
        <w:rPr>
          <w:rFonts w:ascii="Times New Roman" w:hAnsi="Times New Roman"/>
        </w:rPr>
        <w:t xml:space="preserve"> believed that he had acquired steroids, they were to find him not guilty. The trial judge repeated this direction after summarising Mr </w:t>
      </w:r>
      <w:proofErr w:type="spellStart"/>
      <w:r w:rsidRPr="00F44BC3">
        <w:rPr>
          <w:rFonts w:ascii="Times New Roman" w:hAnsi="Times New Roman"/>
        </w:rPr>
        <w:t>Tambakakis</w:t>
      </w:r>
      <w:proofErr w:type="spellEnd"/>
      <w:r w:rsidRPr="00F44BC3">
        <w:rPr>
          <w:rFonts w:ascii="Times New Roman" w:hAnsi="Times New Roman"/>
        </w:rPr>
        <w:t>' evidence. Ultimately, it was up to the prosecution to prove beyond reasonable doubt, his Honour said, that Mr </w:t>
      </w:r>
      <w:proofErr w:type="spellStart"/>
      <w:r w:rsidRPr="00F44BC3">
        <w:rPr>
          <w:rFonts w:ascii="Times New Roman" w:hAnsi="Times New Roman"/>
        </w:rPr>
        <w:t>Tambakakis</w:t>
      </w:r>
      <w:proofErr w:type="spellEnd"/>
      <w:r w:rsidRPr="00F44BC3">
        <w:rPr>
          <w:rFonts w:ascii="Times New Roman" w:hAnsi="Times New Roman"/>
        </w:rPr>
        <w:t xml:space="preserve"> knew that a </w:t>
      </w:r>
      <w:proofErr w:type="gramStart"/>
      <w:r w:rsidRPr="00F44BC3">
        <w:rPr>
          <w:rFonts w:ascii="Times New Roman" w:hAnsi="Times New Roman"/>
        </w:rPr>
        <w:t>border controlled</w:t>
      </w:r>
      <w:proofErr w:type="gramEnd"/>
      <w:r w:rsidRPr="00F44BC3">
        <w:rPr>
          <w:rFonts w:ascii="Times New Roman" w:hAnsi="Times New Roman"/>
        </w:rPr>
        <w:t xml:space="preserve"> drug was in the printer boxes. </w:t>
      </w:r>
    </w:p>
    <w:p w14:paraId="6AD80D08"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In the case of Mr </w:t>
      </w:r>
      <w:proofErr w:type="spellStart"/>
      <w:r w:rsidRPr="00F44BC3">
        <w:rPr>
          <w:rFonts w:ascii="Times New Roman" w:hAnsi="Times New Roman"/>
        </w:rPr>
        <w:t>Awad</w:t>
      </w:r>
      <w:proofErr w:type="spellEnd"/>
      <w:r w:rsidRPr="00F44BC3">
        <w:rPr>
          <w:rFonts w:ascii="Times New Roman" w:hAnsi="Times New Roman"/>
        </w:rPr>
        <w:t>, amongst other matters, the trial judge charged the jury that if they were to reject Mr </w:t>
      </w:r>
      <w:proofErr w:type="spellStart"/>
      <w:r w:rsidRPr="00F44BC3">
        <w:rPr>
          <w:rFonts w:ascii="Times New Roman" w:hAnsi="Times New Roman"/>
        </w:rPr>
        <w:t>Tambakakis</w:t>
      </w:r>
      <w:proofErr w:type="spellEnd"/>
      <w:r w:rsidRPr="00F44BC3">
        <w:rPr>
          <w:rFonts w:ascii="Times New Roman" w:hAnsi="Times New Roman"/>
        </w:rPr>
        <w:t>' evidence about who was in the van, they were then to put that evidence aside and consider the other evidence relied upon by the Crown to determine whether they were satisfied beyond reasonable doubt that Mr </w:t>
      </w:r>
      <w:proofErr w:type="spellStart"/>
      <w:r w:rsidRPr="00F44BC3">
        <w:rPr>
          <w:rFonts w:ascii="Times New Roman" w:hAnsi="Times New Roman"/>
        </w:rPr>
        <w:t>Awad</w:t>
      </w:r>
      <w:proofErr w:type="spellEnd"/>
      <w:r w:rsidRPr="00F44BC3">
        <w:rPr>
          <w:rFonts w:ascii="Times New Roman" w:hAnsi="Times New Roman"/>
        </w:rPr>
        <w:t xml:space="preserve"> was guilty. </w:t>
      </w:r>
    </w:p>
    <w:p w14:paraId="7D78CC1C"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The foregoing charge – when "taken as a whole"</w:t>
      </w:r>
      <w:r w:rsidRPr="00F44BC3">
        <w:rPr>
          <w:rStyle w:val="FootnoteReference"/>
          <w:rFonts w:ascii="Times New Roman" w:hAnsi="Times New Roman"/>
          <w:sz w:val="24"/>
        </w:rPr>
        <w:footnoteReference w:id="86"/>
      </w:r>
      <w:r w:rsidRPr="00F44BC3">
        <w:rPr>
          <w:rFonts w:ascii="Times New Roman" w:hAnsi="Times New Roman"/>
        </w:rPr>
        <w:t xml:space="preserve"> – makes it abundantly clear that the trial judge well cured the effect of his mistaken direction and any propensity it may have had to deflect the jury away from their fundamental task. The jury could not have been under any misapprehension that the onus was entirely on the Crown to prove the guilt of Mr </w:t>
      </w:r>
      <w:proofErr w:type="spellStart"/>
      <w:r w:rsidRPr="00F44BC3">
        <w:rPr>
          <w:rFonts w:ascii="Times New Roman" w:hAnsi="Times New Roman"/>
        </w:rPr>
        <w:t>Tambakakis</w:t>
      </w:r>
      <w:proofErr w:type="spellEnd"/>
      <w:r w:rsidRPr="00F44BC3">
        <w:rPr>
          <w:rFonts w:ascii="Times New Roman" w:hAnsi="Times New Roman"/>
        </w:rPr>
        <w:t xml:space="preserve"> and Mr </w:t>
      </w:r>
      <w:proofErr w:type="spellStart"/>
      <w:r w:rsidRPr="00F44BC3">
        <w:rPr>
          <w:rFonts w:ascii="Times New Roman" w:hAnsi="Times New Roman"/>
        </w:rPr>
        <w:t>Awad</w:t>
      </w:r>
      <w:proofErr w:type="spellEnd"/>
      <w:r w:rsidRPr="00F44BC3">
        <w:rPr>
          <w:rFonts w:ascii="Times New Roman" w:hAnsi="Times New Roman"/>
        </w:rPr>
        <w:t xml:space="preserve"> beyond reasonable doubt. They would clearly have understood that: there was no onus on Mr </w:t>
      </w:r>
      <w:proofErr w:type="spellStart"/>
      <w:r w:rsidRPr="00F44BC3">
        <w:rPr>
          <w:rFonts w:ascii="Times New Roman" w:hAnsi="Times New Roman"/>
        </w:rPr>
        <w:t>Tambakakis</w:t>
      </w:r>
      <w:proofErr w:type="spellEnd"/>
      <w:r w:rsidRPr="00F44BC3">
        <w:rPr>
          <w:rFonts w:ascii="Times New Roman" w:hAnsi="Times New Roman"/>
        </w:rPr>
        <w:t xml:space="preserve"> or Mr </w:t>
      </w:r>
      <w:proofErr w:type="spellStart"/>
      <w:r w:rsidRPr="00F44BC3">
        <w:rPr>
          <w:rFonts w:ascii="Times New Roman" w:hAnsi="Times New Roman"/>
        </w:rPr>
        <w:t>Awad</w:t>
      </w:r>
      <w:proofErr w:type="spellEnd"/>
      <w:r w:rsidRPr="00F44BC3">
        <w:rPr>
          <w:rFonts w:ascii="Times New Roman" w:hAnsi="Times New Roman"/>
        </w:rPr>
        <w:t>; Mr </w:t>
      </w:r>
      <w:proofErr w:type="spellStart"/>
      <w:r w:rsidRPr="00F44BC3">
        <w:rPr>
          <w:rFonts w:ascii="Times New Roman" w:hAnsi="Times New Roman"/>
        </w:rPr>
        <w:t>Tambakakis</w:t>
      </w:r>
      <w:proofErr w:type="spellEnd"/>
      <w:r w:rsidRPr="00F44BC3">
        <w:rPr>
          <w:rFonts w:ascii="Times New Roman" w:hAnsi="Times New Roman"/>
        </w:rPr>
        <w:t xml:space="preserve"> did not change this by giving evidence; and their task was not simply to make a choice between guilt or innocence. </w:t>
      </w:r>
    </w:p>
    <w:p w14:paraId="1E3B5711"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 xml:space="preserve">That conclusion is supported by three considerations. First, there is the nature of the misdirection. It is conceivable that the two propositions contained in it – one that assumed innocence, followed by one that assumed guilt – balanced each other out and did not steer the jury in any </w:t>
      </w:r>
      <w:proofErr w:type="gramStart"/>
      <w:r w:rsidRPr="00F44BC3">
        <w:rPr>
          <w:rFonts w:ascii="Times New Roman" w:hAnsi="Times New Roman"/>
        </w:rPr>
        <w:t>particular direction</w:t>
      </w:r>
      <w:proofErr w:type="gramEnd"/>
      <w:r w:rsidRPr="00F44BC3">
        <w:rPr>
          <w:rFonts w:ascii="Times New Roman" w:hAnsi="Times New Roman"/>
        </w:rPr>
        <w:t>. Indeed, as already mentioned, that conclusion was accepted by senior counsel for Mr </w:t>
      </w:r>
      <w:proofErr w:type="spellStart"/>
      <w:r w:rsidRPr="00F44BC3">
        <w:rPr>
          <w:rFonts w:ascii="Times New Roman" w:hAnsi="Times New Roman"/>
        </w:rPr>
        <w:t>Tambakakis</w:t>
      </w:r>
      <w:proofErr w:type="spellEnd"/>
      <w:r w:rsidRPr="00F44BC3">
        <w:rPr>
          <w:rFonts w:ascii="Times New Roman" w:hAnsi="Times New Roman"/>
        </w:rPr>
        <w:t xml:space="preserve"> during the charge and by McLeish and Niall JJA on appeal. Whether this is so may not matter. That is because it should be accepted, in any event, that the proposition that a guilty man might enter the witness box as a means of exculpation would be an idea that would occur in the minds of a jury without the need to be told of this possibility. It would have been "something which ... must have been quite obvious to any moderately intelligent human being"</w:t>
      </w:r>
      <w:r w:rsidRPr="00F44BC3">
        <w:rPr>
          <w:rStyle w:val="FootnoteReference"/>
          <w:rFonts w:ascii="Times New Roman" w:hAnsi="Times New Roman"/>
          <w:sz w:val="24"/>
        </w:rPr>
        <w:footnoteReference w:id="87"/>
      </w:r>
      <w:r w:rsidRPr="00F44BC3">
        <w:rPr>
          <w:rFonts w:ascii="Times New Roman" w:hAnsi="Times New Roman"/>
        </w:rPr>
        <w:t>.</w:t>
      </w:r>
    </w:p>
    <w:p w14:paraId="6587FB9E"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lastRenderedPageBreak/>
        <w:tab/>
        <w:t>Secondly, the charge proceeded in accordance with the solution to the misdirection proposed by senior counsel for Mr </w:t>
      </w:r>
      <w:proofErr w:type="spellStart"/>
      <w:r w:rsidRPr="00F44BC3">
        <w:rPr>
          <w:rFonts w:ascii="Times New Roman" w:hAnsi="Times New Roman"/>
        </w:rPr>
        <w:t>Tambakakis</w:t>
      </w:r>
      <w:proofErr w:type="spellEnd"/>
      <w:r w:rsidRPr="00F44BC3">
        <w:rPr>
          <w:rFonts w:ascii="Times New Roman" w:hAnsi="Times New Roman"/>
        </w:rPr>
        <w:t xml:space="preserve">. That is also significant. As French CJ, </w:t>
      </w:r>
      <w:proofErr w:type="spellStart"/>
      <w:r w:rsidRPr="00F44BC3">
        <w:rPr>
          <w:rFonts w:ascii="Times New Roman" w:hAnsi="Times New Roman"/>
        </w:rPr>
        <w:t>Crennan</w:t>
      </w:r>
      <w:proofErr w:type="spellEnd"/>
      <w:r w:rsidRPr="00F44BC3">
        <w:rPr>
          <w:rFonts w:ascii="Times New Roman" w:hAnsi="Times New Roman"/>
        </w:rPr>
        <w:t xml:space="preserve"> and Kiefel JJ observed in </w:t>
      </w:r>
      <w:r w:rsidRPr="00F44BC3">
        <w:rPr>
          <w:rFonts w:ascii="Times New Roman" w:hAnsi="Times New Roman"/>
          <w:i/>
          <w:iCs/>
        </w:rPr>
        <w:t>King v The Queen</w:t>
      </w:r>
      <w:r w:rsidRPr="00F44BC3">
        <w:rPr>
          <w:rStyle w:val="FootnoteReference"/>
          <w:rFonts w:ascii="Times New Roman" w:hAnsi="Times New Roman"/>
          <w:sz w:val="24"/>
        </w:rPr>
        <w:footnoteReference w:id="88"/>
      </w:r>
      <w:r w:rsidRPr="00F44BC3">
        <w:rPr>
          <w:rFonts w:ascii="Times New Roman" w:hAnsi="Times New Roman"/>
        </w:rPr>
        <w:t>, a decision to not</w:t>
      </w:r>
      <w:r w:rsidRPr="00F44BC3">
        <w:rPr>
          <w:rFonts w:ascii="Times New Roman" w:hAnsi="Times New Roman"/>
          <w:i/>
          <w:iCs/>
        </w:rPr>
        <w:t xml:space="preserve"> </w:t>
      </w:r>
      <w:r w:rsidRPr="00F44BC3">
        <w:rPr>
          <w:rFonts w:ascii="Times New Roman" w:hAnsi="Times New Roman"/>
        </w:rPr>
        <w:t>seek a redirection by defence counsel at trial, which may be made for a variety of reasons, "informs consideration of the extent to which, taken in context, the direction was likely to confuse or mislead the jury".</w:t>
      </w:r>
    </w:p>
    <w:p w14:paraId="2CCCD170"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 xml:space="preserve">In </w:t>
      </w:r>
      <w:r w:rsidRPr="00F44BC3">
        <w:rPr>
          <w:rFonts w:ascii="Times New Roman" w:hAnsi="Times New Roman"/>
          <w:i/>
          <w:iCs/>
        </w:rPr>
        <w:t xml:space="preserve">R v </w:t>
      </w:r>
      <w:proofErr w:type="spellStart"/>
      <w:r w:rsidRPr="00F44BC3">
        <w:rPr>
          <w:rFonts w:ascii="Times New Roman" w:hAnsi="Times New Roman"/>
          <w:i/>
          <w:iCs/>
        </w:rPr>
        <w:t>Osland</w:t>
      </w:r>
      <w:proofErr w:type="spellEnd"/>
      <w:r w:rsidRPr="00F44BC3">
        <w:rPr>
          <w:rStyle w:val="FootnoteReference"/>
          <w:rFonts w:ascii="Times New Roman" w:hAnsi="Times New Roman"/>
          <w:sz w:val="24"/>
        </w:rPr>
        <w:footnoteReference w:id="89"/>
      </w:r>
      <w:r w:rsidRPr="00F44BC3">
        <w:rPr>
          <w:rFonts w:ascii="Times New Roman" w:hAnsi="Times New Roman"/>
        </w:rPr>
        <w:t xml:space="preserve">, </w:t>
      </w:r>
      <w:proofErr w:type="spellStart"/>
      <w:r w:rsidRPr="00F44BC3">
        <w:rPr>
          <w:rFonts w:ascii="Times New Roman" w:hAnsi="Times New Roman"/>
        </w:rPr>
        <w:t>Winneke</w:t>
      </w:r>
      <w:proofErr w:type="spellEnd"/>
      <w:r w:rsidRPr="00F44BC3">
        <w:rPr>
          <w:rFonts w:ascii="Times New Roman" w:hAnsi="Times New Roman"/>
        </w:rPr>
        <w:t> P, Hayne and Charles JJA made a similar observation in circumstances where "well-experienced" defence counsel had declined to object to certain erroneous directions and omissions at trial that then formed the basis for an appeal against conviction. Their Honours said</w:t>
      </w:r>
      <w:r w:rsidRPr="00F44BC3">
        <w:rPr>
          <w:rStyle w:val="FootnoteReference"/>
          <w:rFonts w:ascii="Times New Roman" w:hAnsi="Times New Roman"/>
          <w:sz w:val="24"/>
        </w:rPr>
        <w:footnoteReference w:id="90"/>
      </w:r>
      <w:r w:rsidRPr="00F44BC3">
        <w:rPr>
          <w:rFonts w:ascii="Times New Roman" w:hAnsi="Times New Roman"/>
        </w:rPr>
        <w:t>:</w:t>
      </w:r>
    </w:p>
    <w:p w14:paraId="488B84E3" w14:textId="77777777" w:rsidR="00D06A72" w:rsidRDefault="00D06A72" w:rsidP="00F44BC3">
      <w:pPr>
        <w:pStyle w:val="LeftrightafterHC"/>
        <w:spacing w:before="0" w:after="260" w:line="280" w:lineRule="exact"/>
        <w:ind w:right="0"/>
        <w:jc w:val="both"/>
        <w:rPr>
          <w:rFonts w:ascii="Times New Roman" w:hAnsi="Times New Roman"/>
        </w:rPr>
      </w:pPr>
      <w:r w:rsidRPr="00F44BC3">
        <w:rPr>
          <w:rFonts w:ascii="Times New Roman" w:hAnsi="Times New Roman"/>
        </w:rPr>
        <w:t>"That</w:t>
      </w:r>
      <w:proofErr w:type="gramStart"/>
      <w:r w:rsidRPr="00F44BC3">
        <w:rPr>
          <w:rFonts w:ascii="Times New Roman" w:hAnsi="Times New Roman"/>
        </w:rPr>
        <w:t>, in itself, tends</w:t>
      </w:r>
      <w:proofErr w:type="gramEnd"/>
      <w:r w:rsidRPr="00F44BC3">
        <w:rPr>
          <w:rFonts w:ascii="Times New Roman" w:hAnsi="Times New Roman"/>
        </w:rPr>
        <w:t xml:space="preserve"> to suggest that, in the context of the trial, those counsel did not regard the directions as other than adequate to convey to the jury the relevant law as it related to the evidence in the trial and the cases being made to the jury on that evidence. It is the obligation of counsel, if he or she thinks that a direction or omission to direct is significant in the context of the trial, to take exception and ask the judge to redirect."</w:t>
      </w:r>
    </w:p>
    <w:p w14:paraId="2B75D215"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A failure to seek an explicit correction of a misdirection will not always preclude a finding of a substantial miscarriage of justice on appeal in respect of that misdirection</w:t>
      </w:r>
      <w:r w:rsidRPr="00F44BC3">
        <w:rPr>
          <w:rStyle w:val="FootnoteReference"/>
          <w:rFonts w:ascii="Times New Roman" w:hAnsi="Times New Roman"/>
          <w:sz w:val="24"/>
        </w:rPr>
        <w:footnoteReference w:id="91"/>
      </w:r>
      <w:r w:rsidRPr="00F44BC3">
        <w:rPr>
          <w:rFonts w:ascii="Times New Roman" w:hAnsi="Times New Roman"/>
        </w:rPr>
        <w:t>. But it will nonetheless be relevant insofar as it "tends to shed [light] on the atmosphere, and the forensic conduct of an accused's counsel, at the trial"</w:t>
      </w:r>
      <w:r w:rsidRPr="00F44BC3">
        <w:rPr>
          <w:rStyle w:val="FootnoteReference"/>
          <w:rFonts w:ascii="Times New Roman" w:hAnsi="Times New Roman"/>
          <w:sz w:val="24"/>
        </w:rPr>
        <w:footnoteReference w:id="92"/>
      </w:r>
      <w:r w:rsidRPr="00F44BC3">
        <w:rPr>
          <w:rFonts w:ascii="Times New Roman" w:hAnsi="Times New Roman"/>
        </w:rPr>
        <w:t>. If there was a substantial risk of the jury being deflected from their task by the misdirection here, it would be expected that defence counsel would have sought an express redirection. That the parties made the deliberate forensic decision not to draw further attention to the misdirection, but rather to correct it by emphasising the burden of proof borne by the prosecution, supports a characterisation of the misdirection as being unhelpful at its highest, rather than as being potentially productive of a substantial miscarriage of justice.</w:t>
      </w:r>
    </w:p>
    <w:p w14:paraId="62092C65"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 xml:space="preserve">Thirdly, today's juries have never been so well educated. It can safely be assumed that jurors are intelligent and rational individuals who will follow the </w:t>
      </w:r>
      <w:r w:rsidRPr="00F44BC3">
        <w:rPr>
          <w:rFonts w:ascii="Times New Roman" w:hAnsi="Times New Roman"/>
        </w:rPr>
        <w:lastRenderedPageBreak/>
        <w:t>directions of the trial judge and will not be easily confused</w:t>
      </w:r>
      <w:r w:rsidRPr="00F44BC3">
        <w:rPr>
          <w:rStyle w:val="FootnoteReference"/>
          <w:rFonts w:ascii="Times New Roman" w:hAnsi="Times New Roman"/>
          <w:sz w:val="24"/>
        </w:rPr>
        <w:footnoteReference w:id="93"/>
      </w:r>
      <w:r w:rsidRPr="00F44BC3">
        <w:rPr>
          <w:rFonts w:ascii="Times New Roman" w:hAnsi="Times New Roman"/>
        </w:rPr>
        <w:t xml:space="preserve">. As Keane JA observed in </w:t>
      </w:r>
      <w:r w:rsidRPr="00F44BC3">
        <w:rPr>
          <w:rFonts w:ascii="Times New Roman" w:hAnsi="Times New Roman"/>
          <w:i/>
          <w:iCs/>
        </w:rPr>
        <w:t>R v D'Arcy</w:t>
      </w:r>
      <w:r w:rsidRPr="00F44BC3">
        <w:rPr>
          <w:rStyle w:val="FootnoteReference"/>
          <w:rFonts w:ascii="Times New Roman" w:hAnsi="Times New Roman"/>
          <w:sz w:val="24"/>
        </w:rPr>
        <w:footnoteReference w:id="94"/>
      </w:r>
      <w:r w:rsidRPr="00F44BC3">
        <w:rPr>
          <w:rFonts w:ascii="Times New Roman" w:hAnsi="Times New Roman"/>
        </w:rPr>
        <w:t>:</w:t>
      </w:r>
    </w:p>
    <w:p w14:paraId="14F90472" w14:textId="77777777" w:rsidR="00D06A72" w:rsidRDefault="00D06A72" w:rsidP="00F44BC3">
      <w:pPr>
        <w:pStyle w:val="LeftrightafterHC"/>
        <w:spacing w:before="0" w:after="260" w:line="280" w:lineRule="exact"/>
        <w:ind w:right="0"/>
        <w:jc w:val="both"/>
        <w:rPr>
          <w:rFonts w:ascii="Times New Roman" w:hAnsi="Times New Roman"/>
        </w:rPr>
      </w:pPr>
      <w:r w:rsidRPr="00F44BC3">
        <w:rPr>
          <w:rFonts w:ascii="Times New Roman" w:hAnsi="Times New Roman"/>
        </w:rPr>
        <w:t>"High authority confirms that the law does not proceed upon a sceptical view of the intelligence or integrity of juries, or their ability rationally to determine issues of guilt or innocence strictly by reference to the evidence adduced at trial. Rather, the law proceeds upon the assumption that jurors may be relied upon to determine issues of guilt or innocence in accordance with their sworn oath. The administration of criminal justice necessarily depends upon the compliance by jurors with directions from the trial judge to base their verdict on the evidence given before them on the trial and to disregard information otherwise acquired."</w:t>
      </w:r>
    </w:p>
    <w:p w14:paraId="302C5684"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 xml:space="preserve">In </w:t>
      </w:r>
      <w:proofErr w:type="spellStart"/>
      <w:r w:rsidRPr="00F44BC3">
        <w:rPr>
          <w:rFonts w:ascii="Times New Roman" w:hAnsi="Times New Roman"/>
          <w:i/>
          <w:iCs/>
        </w:rPr>
        <w:t>Varga</w:t>
      </w:r>
      <w:proofErr w:type="spellEnd"/>
      <w:r w:rsidRPr="00F44BC3">
        <w:rPr>
          <w:rFonts w:ascii="Times New Roman" w:hAnsi="Times New Roman"/>
          <w:i/>
          <w:iCs/>
        </w:rPr>
        <w:t xml:space="preserve"> v </w:t>
      </w:r>
      <w:proofErr w:type="spellStart"/>
      <w:r w:rsidRPr="00F44BC3">
        <w:rPr>
          <w:rFonts w:ascii="Times New Roman" w:hAnsi="Times New Roman"/>
          <w:i/>
          <w:iCs/>
        </w:rPr>
        <w:t>Matri</w:t>
      </w:r>
      <w:proofErr w:type="spellEnd"/>
      <w:r w:rsidRPr="00F44BC3">
        <w:rPr>
          <w:rFonts w:ascii="Times New Roman" w:hAnsi="Times New Roman"/>
        </w:rPr>
        <w:t>, Priestley JA said</w:t>
      </w:r>
      <w:r w:rsidRPr="00F44BC3">
        <w:rPr>
          <w:rStyle w:val="FootnoteReference"/>
          <w:rFonts w:ascii="Times New Roman" w:hAnsi="Times New Roman"/>
          <w:sz w:val="24"/>
        </w:rPr>
        <w:footnoteReference w:id="95"/>
      </w:r>
      <w:r w:rsidRPr="00F44BC3">
        <w:rPr>
          <w:rFonts w:ascii="Times New Roman" w:hAnsi="Times New Roman"/>
        </w:rPr>
        <w:t>:</w:t>
      </w:r>
    </w:p>
    <w:p w14:paraId="2FFFDC46" w14:textId="77777777" w:rsidR="00D06A72" w:rsidRDefault="00D06A72" w:rsidP="00F44BC3">
      <w:pPr>
        <w:pStyle w:val="LRIndentafterHC"/>
        <w:spacing w:before="0" w:after="260" w:line="280" w:lineRule="exact"/>
        <w:ind w:right="0"/>
        <w:jc w:val="both"/>
        <w:rPr>
          <w:rFonts w:ascii="Times New Roman" w:hAnsi="Times New Roman"/>
        </w:rPr>
      </w:pPr>
      <w:r w:rsidRPr="00F44BC3">
        <w:rPr>
          <w:rFonts w:ascii="Times New Roman" w:hAnsi="Times New Roman"/>
        </w:rPr>
        <w:t xml:space="preserve">"The trial judge </w:t>
      </w:r>
      <w:proofErr w:type="gramStart"/>
      <w:r w:rsidRPr="00F44BC3">
        <w:rPr>
          <w:rFonts w:ascii="Times New Roman" w:hAnsi="Times New Roman"/>
        </w:rPr>
        <w:t>was of the opinion that</w:t>
      </w:r>
      <w:proofErr w:type="gramEnd"/>
      <w:r w:rsidRPr="00F44BC3">
        <w:rPr>
          <w:rFonts w:ascii="Times New Roman" w:hAnsi="Times New Roman"/>
        </w:rPr>
        <w:t xml:space="preserve"> the problems caused by the defence's opening could be overcome by the directions he would give concerning them. In stating this </w:t>
      </w:r>
      <w:proofErr w:type="gramStart"/>
      <w:r w:rsidRPr="00F44BC3">
        <w:rPr>
          <w:rFonts w:ascii="Times New Roman" w:hAnsi="Times New Roman"/>
        </w:rPr>
        <w:t>view</w:t>
      </w:r>
      <w:proofErr w:type="gramEnd"/>
      <w:r w:rsidRPr="00F44BC3">
        <w:rPr>
          <w:rFonts w:ascii="Times New Roman" w:hAnsi="Times New Roman"/>
        </w:rPr>
        <w:t xml:space="preserve"> he remarked that he was taking into account that juries must be given credit for education and intelligence. This is an observation with which I agree. Juries are entrusted with serious tasks in the administration of </w:t>
      </w:r>
      <w:proofErr w:type="gramStart"/>
      <w:r w:rsidRPr="00F44BC3">
        <w:rPr>
          <w:rFonts w:ascii="Times New Roman" w:hAnsi="Times New Roman"/>
        </w:rPr>
        <w:t>justice</w:t>
      </w:r>
      <w:proofErr w:type="gramEnd"/>
      <w:r w:rsidRPr="00F44BC3">
        <w:rPr>
          <w:rFonts w:ascii="Times New Roman" w:hAnsi="Times New Roman"/>
        </w:rPr>
        <w:t xml:space="preserve"> and it seems to me to be quite incongruous for appellate courts to treat juries entrusted by the community with those serious tasks, as being less than ordinarily adequate to cope with them."</w:t>
      </w:r>
    </w:p>
    <w:p w14:paraId="05B22680"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 xml:space="preserve">In </w:t>
      </w:r>
      <w:r w:rsidRPr="00F44BC3">
        <w:rPr>
          <w:rFonts w:ascii="Times New Roman" w:hAnsi="Times New Roman"/>
          <w:i/>
          <w:iCs/>
        </w:rPr>
        <w:t>Roux v Australian Broadcasting Corporation</w:t>
      </w:r>
      <w:r w:rsidRPr="00F44BC3">
        <w:rPr>
          <w:rFonts w:ascii="Times New Roman" w:hAnsi="Times New Roman"/>
        </w:rPr>
        <w:t>, Cummins J observed</w:t>
      </w:r>
      <w:r w:rsidRPr="00F44BC3">
        <w:rPr>
          <w:rStyle w:val="FootnoteReference"/>
          <w:rFonts w:ascii="Times New Roman" w:hAnsi="Times New Roman"/>
          <w:sz w:val="24"/>
        </w:rPr>
        <w:footnoteReference w:id="96"/>
      </w:r>
      <w:r w:rsidRPr="00F44BC3">
        <w:rPr>
          <w:rFonts w:ascii="Times New Roman" w:hAnsi="Times New Roman"/>
        </w:rPr>
        <w:t>:</w:t>
      </w:r>
    </w:p>
    <w:p w14:paraId="1E7BB167" w14:textId="77777777" w:rsidR="00D06A72" w:rsidRDefault="00D06A72" w:rsidP="00F44BC3">
      <w:pPr>
        <w:pStyle w:val="LeftrightafterHC"/>
        <w:spacing w:before="0" w:after="260" w:line="280" w:lineRule="exact"/>
        <w:ind w:right="0"/>
        <w:jc w:val="both"/>
        <w:rPr>
          <w:rFonts w:ascii="Times New Roman" w:hAnsi="Times New Roman"/>
        </w:rPr>
      </w:pPr>
      <w:r w:rsidRPr="00F44BC3">
        <w:rPr>
          <w:rFonts w:ascii="Times New Roman" w:hAnsi="Times New Roman"/>
        </w:rPr>
        <w:t xml:space="preserve">"I think the responsibility, intelligence, </w:t>
      </w:r>
      <w:proofErr w:type="spellStart"/>
      <w:r w:rsidRPr="00F44BC3">
        <w:rPr>
          <w:rFonts w:ascii="Times New Roman" w:hAnsi="Times New Roman"/>
        </w:rPr>
        <w:t>commonsense</w:t>
      </w:r>
      <w:proofErr w:type="spellEnd"/>
      <w:r w:rsidRPr="00F44BC3">
        <w:rPr>
          <w:rFonts w:ascii="Times New Roman" w:hAnsi="Times New Roman"/>
        </w:rPr>
        <w:t xml:space="preserve"> and robustness of Australian juries is constantly under-estimated. I consider that when persons come together to act as judges of the facts, time and time again it is demonstrated that they do just that – they give verdicts according to the evidence before them. Time and again juries demonstrate they </w:t>
      </w:r>
      <w:proofErr w:type="gramStart"/>
      <w:r w:rsidRPr="00F44BC3">
        <w:rPr>
          <w:rFonts w:ascii="Times New Roman" w:hAnsi="Times New Roman"/>
        </w:rPr>
        <w:t>are capable of putting</w:t>
      </w:r>
      <w:proofErr w:type="gramEnd"/>
      <w:r w:rsidRPr="00F44BC3">
        <w:rPr>
          <w:rFonts w:ascii="Times New Roman" w:hAnsi="Times New Roman"/>
        </w:rPr>
        <w:t xml:space="preserve"> aside extraneous or prejudicial or inflammatory or irrelevant material. ... Juries, in my view, are well capable of acting consonantly with their high function of giving a true verdict according to the evidence."</w:t>
      </w:r>
    </w:p>
    <w:p w14:paraId="0A51790A"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lastRenderedPageBreak/>
        <w:tab/>
        <w:t xml:space="preserve">Of course, there may be rare exceptions to the foregoing, but these cannot dictate the rule to be applied in all cases. </w:t>
      </w:r>
    </w:p>
    <w:p w14:paraId="729D2615" w14:textId="77777777" w:rsidR="00D06A72" w:rsidRPr="00F44BC3" w:rsidRDefault="00D06A72" w:rsidP="00D06A72">
      <w:pPr>
        <w:pStyle w:val="FixListStyle"/>
        <w:numPr>
          <w:ilvl w:val="0"/>
          <w:numId w:val="18"/>
        </w:numPr>
        <w:spacing w:after="260" w:line="280" w:lineRule="exact"/>
        <w:ind w:left="0" w:right="0" w:hanging="720"/>
        <w:jc w:val="both"/>
        <w:rPr>
          <w:rFonts w:ascii="Times New Roman" w:hAnsi="Times New Roman"/>
        </w:rPr>
      </w:pPr>
      <w:r w:rsidRPr="00F44BC3">
        <w:rPr>
          <w:rFonts w:ascii="Times New Roman" w:hAnsi="Times New Roman"/>
        </w:rPr>
        <w:tab/>
        <w:t>As explained above, the trial judge's charge was emphatic as to the fundamental task of the jury. His Honour consistently articulated the approach that the jury should take with respect to Mr </w:t>
      </w:r>
      <w:proofErr w:type="spellStart"/>
      <w:r w:rsidRPr="00F44BC3">
        <w:rPr>
          <w:rFonts w:ascii="Times New Roman" w:hAnsi="Times New Roman"/>
        </w:rPr>
        <w:t>Tambakakis</w:t>
      </w:r>
      <w:proofErr w:type="spellEnd"/>
      <w:r w:rsidRPr="00F44BC3">
        <w:rPr>
          <w:rFonts w:ascii="Times New Roman" w:hAnsi="Times New Roman"/>
        </w:rPr>
        <w:t>' evidence, as well as the presumption of innocence to which Mr </w:t>
      </w:r>
      <w:proofErr w:type="spellStart"/>
      <w:r w:rsidRPr="00F44BC3">
        <w:rPr>
          <w:rFonts w:ascii="Times New Roman" w:hAnsi="Times New Roman"/>
        </w:rPr>
        <w:t>Tambakakis</w:t>
      </w:r>
      <w:proofErr w:type="spellEnd"/>
      <w:r w:rsidRPr="00F44BC3">
        <w:rPr>
          <w:rFonts w:ascii="Times New Roman" w:hAnsi="Times New Roman"/>
        </w:rPr>
        <w:t xml:space="preserve"> was entitled and the burden of proof borne by the prosecution. </w:t>
      </w:r>
      <w:proofErr w:type="gramStart"/>
      <w:r w:rsidRPr="00F44BC3">
        <w:rPr>
          <w:rFonts w:ascii="Times New Roman" w:hAnsi="Times New Roman"/>
        </w:rPr>
        <w:t>In light of</w:t>
      </w:r>
      <w:proofErr w:type="gramEnd"/>
      <w:r w:rsidRPr="00F44BC3">
        <w:rPr>
          <w:rFonts w:ascii="Times New Roman" w:hAnsi="Times New Roman"/>
        </w:rPr>
        <w:t xml:space="preserve"> the insignificance of the misdirection in the entire context of the charge and the trust reposed by the criminal justice system in "the integrity and sense of duty of jurors"</w:t>
      </w:r>
      <w:r w:rsidRPr="00F44BC3">
        <w:rPr>
          <w:rStyle w:val="FootnoteReference"/>
          <w:rFonts w:ascii="Times New Roman" w:hAnsi="Times New Roman"/>
          <w:sz w:val="24"/>
        </w:rPr>
        <w:footnoteReference w:id="97"/>
      </w:r>
      <w:r w:rsidRPr="00F44BC3">
        <w:rPr>
          <w:rFonts w:ascii="Times New Roman" w:hAnsi="Times New Roman"/>
        </w:rPr>
        <w:t>, it should be concluded that the jury understood and faithfully applied the trial judge's directions as to their fundamental task of "giving a true verdict according to the evidence".</w:t>
      </w:r>
    </w:p>
    <w:p w14:paraId="7B653A11" w14:textId="57AEBD97" w:rsidR="003F4CC3" w:rsidRPr="00D06A72" w:rsidRDefault="00D06A72" w:rsidP="007008E0">
      <w:pPr>
        <w:pStyle w:val="FixListStyle"/>
        <w:numPr>
          <w:ilvl w:val="0"/>
          <w:numId w:val="18"/>
        </w:numPr>
        <w:spacing w:after="260" w:line="280" w:lineRule="exact"/>
        <w:ind w:left="0" w:right="0" w:hanging="720"/>
        <w:jc w:val="both"/>
        <w:rPr>
          <w:rFonts w:ascii="Times New Roman" w:hAnsi="Times New Roman"/>
        </w:rPr>
      </w:pPr>
      <w:r w:rsidRPr="00D06A72">
        <w:rPr>
          <w:rFonts w:ascii="Times New Roman" w:hAnsi="Times New Roman"/>
        </w:rPr>
        <w:tab/>
        <w:t>The appeals should be dismissed.</w:t>
      </w:r>
    </w:p>
    <w:sectPr w:rsidR="003F4CC3" w:rsidRPr="00D06A72" w:rsidSect="00D06A72">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BD74" w14:textId="77777777" w:rsidR="00FB23E0" w:rsidRDefault="00FB23E0">
      <w:pPr>
        <w:spacing w:line="240" w:lineRule="auto"/>
      </w:pPr>
      <w:r>
        <w:separator/>
      </w:r>
    </w:p>
  </w:endnote>
  <w:endnote w:type="continuationSeparator" w:id="0">
    <w:p w14:paraId="4A46375D" w14:textId="77777777" w:rsidR="00FB23E0" w:rsidRDefault="00FB23E0">
      <w:pPr>
        <w:spacing w:line="240" w:lineRule="auto"/>
      </w:pPr>
      <w:r>
        <w:continuationSeparator/>
      </w:r>
    </w:p>
  </w:endnote>
  <w:endnote w:type="continuationNotice" w:id="1">
    <w:p w14:paraId="1C279A2F" w14:textId="77777777" w:rsidR="00FB23E0" w:rsidRDefault="00FB23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2FC9" w14:textId="77777777" w:rsidR="001D3638" w:rsidRDefault="001D3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7D03" w14:textId="77777777" w:rsidR="001D3638" w:rsidRDefault="001D3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CB1A" w14:textId="77777777" w:rsidR="001D3638" w:rsidRDefault="001D36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E23C" w14:textId="77777777" w:rsidR="001D3638" w:rsidRDefault="001D36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3D73" w14:textId="77777777" w:rsidR="001D3638" w:rsidRDefault="001D36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62D6" w14:textId="77777777" w:rsidR="001D3638" w:rsidRDefault="001D3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4530" w14:textId="77777777" w:rsidR="00FB23E0" w:rsidRPr="002A6F51" w:rsidRDefault="00FB23E0" w:rsidP="002A6F51">
      <w:pPr>
        <w:pStyle w:val="Footer"/>
        <w:spacing w:before="120" w:after="20"/>
        <w:ind w:right="0"/>
        <w:rPr>
          <w:rFonts w:ascii="Times New Roman" w:hAnsi="Times New Roman"/>
        </w:rPr>
      </w:pPr>
      <w:r>
        <w:continuationSeparator/>
      </w:r>
    </w:p>
  </w:footnote>
  <w:footnote w:type="continuationSeparator" w:id="0">
    <w:p w14:paraId="7E03C7EE" w14:textId="77777777" w:rsidR="00FB23E0" w:rsidRPr="002A6F51" w:rsidRDefault="00FB23E0" w:rsidP="002A6F51">
      <w:pPr>
        <w:pStyle w:val="Footer"/>
        <w:spacing w:before="120" w:after="20"/>
        <w:ind w:right="0"/>
        <w:rPr>
          <w:rFonts w:ascii="Times New Roman" w:hAnsi="Times New Roman"/>
        </w:rPr>
      </w:pPr>
      <w:r w:rsidRPr="002A6F51">
        <w:rPr>
          <w:rFonts w:ascii="Times New Roman" w:hAnsi="Times New Roman"/>
        </w:rPr>
        <w:continuationSeparator/>
      </w:r>
    </w:p>
  </w:footnote>
  <w:footnote w:type="continuationNotice" w:id="1">
    <w:p w14:paraId="685FB306" w14:textId="77777777" w:rsidR="00FB23E0" w:rsidRPr="00D06A72" w:rsidRDefault="00FB23E0">
      <w:pPr>
        <w:jc w:val="right"/>
        <w:rPr>
          <w:rFonts w:ascii="Times New Roman" w:hAnsi="Times New Roman"/>
          <w:sz w:val="24"/>
        </w:rPr>
      </w:pPr>
    </w:p>
  </w:footnote>
  <w:footnote w:id="2">
    <w:p w14:paraId="1BADDD55" w14:textId="241E3E90" w:rsidR="00556131" w:rsidRPr="002A6F51" w:rsidRDefault="00556131"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Pr="002A6F51">
        <w:rPr>
          <w:rFonts w:ascii="Times New Roman" w:hAnsi="Times New Roman"/>
          <w:i/>
          <w:iCs/>
          <w:sz w:val="24"/>
        </w:rPr>
        <w:t>Criminal Code</w:t>
      </w:r>
      <w:r w:rsidRPr="002A6F51">
        <w:rPr>
          <w:rFonts w:ascii="Times New Roman" w:hAnsi="Times New Roman"/>
          <w:sz w:val="24"/>
        </w:rPr>
        <w:t xml:space="preserve"> (Cth), </w:t>
      </w:r>
      <w:r w:rsidR="00F41B17" w:rsidRPr="002A6F51">
        <w:rPr>
          <w:rFonts w:ascii="Times New Roman" w:hAnsi="Times New Roman"/>
          <w:sz w:val="24"/>
        </w:rPr>
        <w:t>s</w:t>
      </w:r>
      <w:r w:rsidRPr="002A6F51">
        <w:rPr>
          <w:rFonts w:ascii="Times New Roman" w:hAnsi="Times New Roman"/>
          <w:sz w:val="24"/>
        </w:rPr>
        <w:t>s 11.1(1) and 307.5(1).</w:t>
      </w:r>
    </w:p>
  </w:footnote>
  <w:footnote w:id="3">
    <w:p w14:paraId="17D78E8C" w14:textId="38E59B0D" w:rsidR="000D0B7D" w:rsidRPr="002A6F51" w:rsidRDefault="000D0B7D"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C822BE" w:rsidRPr="002A6F51">
        <w:rPr>
          <w:rFonts w:ascii="Times New Roman" w:hAnsi="Times New Roman"/>
          <w:i/>
          <w:iCs/>
          <w:sz w:val="24"/>
        </w:rPr>
        <w:t xml:space="preserve">Criminal Procedure Act 2009 </w:t>
      </w:r>
      <w:r w:rsidR="00C822BE" w:rsidRPr="002A6F51">
        <w:rPr>
          <w:rFonts w:ascii="Times New Roman" w:hAnsi="Times New Roman"/>
          <w:sz w:val="24"/>
        </w:rPr>
        <w:t xml:space="preserve">(Vic), </w:t>
      </w:r>
      <w:r w:rsidRPr="002A6F51">
        <w:rPr>
          <w:rFonts w:ascii="Times New Roman" w:hAnsi="Times New Roman"/>
          <w:sz w:val="24"/>
        </w:rPr>
        <w:t>s 276(1)</w:t>
      </w:r>
      <w:r w:rsidR="00C822BE" w:rsidRPr="002A6F51">
        <w:rPr>
          <w:rFonts w:ascii="Times New Roman" w:hAnsi="Times New Roman"/>
          <w:sz w:val="24"/>
        </w:rPr>
        <w:t>(</w:t>
      </w:r>
      <w:r w:rsidR="00FE11D0" w:rsidRPr="002A6F51">
        <w:rPr>
          <w:rFonts w:ascii="Times New Roman" w:hAnsi="Times New Roman"/>
          <w:sz w:val="24"/>
        </w:rPr>
        <w:t>b</w:t>
      </w:r>
      <w:r w:rsidR="00C822BE" w:rsidRPr="002A6F51">
        <w:rPr>
          <w:rFonts w:ascii="Times New Roman" w:hAnsi="Times New Roman"/>
          <w:sz w:val="24"/>
        </w:rPr>
        <w:t>)</w:t>
      </w:r>
      <w:r w:rsidR="002A3156" w:rsidRPr="002A6F51">
        <w:rPr>
          <w:rFonts w:ascii="Times New Roman" w:hAnsi="Times New Roman"/>
          <w:sz w:val="24"/>
        </w:rPr>
        <w:t>-(c</w:t>
      </w:r>
      <w:r w:rsidR="00C822BE" w:rsidRPr="002A6F51">
        <w:rPr>
          <w:rFonts w:ascii="Times New Roman" w:hAnsi="Times New Roman"/>
          <w:sz w:val="24"/>
        </w:rPr>
        <w:t>)</w:t>
      </w:r>
      <w:r w:rsidRPr="002A6F51">
        <w:rPr>
          <w:rFonts w:ascii="Times New Roman" w:hAnsi="Times New Roman"/>
          <w:sz w:val="24"/>
        </w:rPr>
        <w:t>.</w:t>
      </w:r>
    </w:p>
  </w:footnote>
  <w:footnote w:id="4">
    <w:p w14:paraId="457B8E73" w14:textId="38A1076D" w:rsidR="001B1C86" w:rsidRPr="002A6F51" w:rsidRDefault="001B1C86"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Pr="002A6F51">
        <w:rPr>
          <w:rFonts w:ascii="Times New Roman" w:hAnsi="Times New Roman"/>
          <w:i/>
          <w:iCs/>
          <w:sz w:val="24"/>
        </w:rPr>
        <w:t>Awad v The Queen</w:t>
      </w:r>
      <w:r w:rsidRPr="002A6F51">
        <w:rPr>
          <w:rFonts w:ascii="Times New Roman" w:hAnsi="Times New Roman"/>
          <w:sz w:val="24"/>
        </w:rPr>
        <w:t xml:space="preserve"> </w:t>
      </w:r>
      <w:r w:rsidR="0011794F" w:rsidRPr="002A6F51">
        <w:rPr>
          <w:rFonts w:ascii="Times New Roman" w:hAnsi="Times New Roman"/>
          <w:sz w:val="24"/>
        </w:rPr>
        <w:t>(</w:t>
      </w:r>
      <w:r w:rsidRPr="002A6F51">
        <w:rPr>
          <w:rFonts w:ascii="Times New Roman" w:hAnsi="Times New Roman"/>
          <w:sz w:val="24"/>
        </w:rPr>
        <w:t>202</w:t>
      </w:r>
      <w:r w:rsidR="0011794F" w:rsidRPr="002A6F51">
        <w:rPr>
          <w:rFonts w:ascii="Times New Roman" w:hAnsi="Times New Roman"/>
          <w:sz w:val="24"/>
        </w:rPr>
        <w:t xml:space="preserve">1) </w:t>
      </w:r>
      <w:r w:rsidR="004F7A65" w:rsidRPr="002A6F51">
        <w:rPr>
          <w:rFonts w:ascii="Times New Roman" w:hAnsi="Times New Roman"/>
          <w:sz w:val="24"/>
        </w:rPr>
        <w:t>2</w:t>
      </w:r>
      <w:r w:rsidR="0011794F" w:rsidRPr="002A6F51">
        <w:rPr>
          <w:rFonts w:ascii="Times New Roman" w:hAnsi="Times New Roman"/>
          <w:sz w:val="24"/>
        </w:rPr>
        <w:t xml:space="preserve">91 A Crim R 303 </w:t>
      </w:r>
      <w:r w:rsidRPr="002A6F51">
        <w:rPr>
          <w:rFonts w:ascii="Times New Roman" w:hAnsi="Times New Roman"/>
          <w:sz w:val="24"/>
        </w:rPr>
        <w:t xml:space="preserve">at </w:t>
      </w:r>
      <w:r w:rsidR="00B87569" w:rsidRPr="002A6F51">
        <w:rPr>
          <w:rFonts w:ascii="Times New Roman" w:hAnsi="Times New Roman"/>
          <w:sz w:val="24"/>
        </w:rPr>
        <w:t xml:space="preserve">320-321 </w:t>
      </w:r>
      <w:r w:rsidRPr="002A6F51">
        <w:rPr>
          <w:rFonts w:ascii="Times New Roman" w:hAnsi="Times New Roman"/>
          <w:sz w:val="24"/>
        </w:rPr>
        <w:t>[64].</w:t>
      </w:r>
    </w:p>
  </w:footnote>
  <w:footnote w:id="5">
    <w:p w14:paraId="2DE4B79D" w14:textId="26F46F9C" w:rsidR="00ED44D7" w:rsidRPr="002A6F51" w:rsidRDefault="00ED44D7"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CC3B6A" w:rsidRPr="002A6F51">
        <w:rPr>
          <w:rFonts w:ascii="Times New Roman" w:hAnsi="Times New Roman"/>
          <w:sz w:val="24"/>
        </w:rPr>
        <w:t xml:space="preserve">Victoria, </w:t>
      </w:r>
      <w:r w:rsidRPr="002A6F51">
        <w:rPr>
          <w:rFonts w:ascii="Times New Roman" w:hAnsi="Times New Roman"/>
          <w:sz w:val="24"/>
        </w:rPr>
        <w:t xml:space="preserve">Criminal Law Review, Department of Justice &amp; Regulation, </w:t>
      </w:r>
      <w:r w:rsidRPr="002A6F51">
        <w:rPr>
          <w:rFonts w:ascii="Times New Roman" w:hAnsi="Times New Roman"/>
          <w:i/>
          <w:iCs/>
          <w:sz w:val="24"/>
        </w:rPr>
        <w:t>Jury Directions: A Jury</w:t>
      </w:r>
      <w:r w:rsidR="00CC3B6A" w:rsidRPr="002A6F51">
        <w:rPr>
          <w:rFonts w:ascii="Times New Roman" w:hAnsi="Times New Roman"/>
          <w:i/>
          <w:iCs/>
          <w:sz w:val="24"/>
        </w:rPr>
        <w:t>-</w:t>
      </w:r>
      <w:r w:rsidRPr="002A6F51">
        <w:rPr>
          <w:rFonts w:ascii="Times New Roman" w:hAnsi="Times New Roman"/>
          <w:i/>
          <w:iCs/>
          <w:sz w:val="24"/>
        </w:rPr>
        <w:t xml:space="preserve">Centric Approach Part 2 </w:t>
      </w:r>
      <w:r w:rsidRPr="002A6F51">
        <w:rPr>
          <w:rFonts w:ascii="Times New Roman" w:hAnsi="Times New Roman"/>
          <w:sz w:val="24"/>
        </w:rPr>
        <w:t xml:space="preserve">(2017) at </w:t>
      </w:r>
      <w:r w:rsidR="00677D4A" w:rsidRPr="002A6F51">
        <w:rPr>
          <w:rFonts w:ascii="Times New Roman" w:hAnsi="Times New Roman"/>
          <w:sz w:val="24"/>
        </w:rPr>
        <w:t>13.</w:t>
      </w:r>
    </w:p>
  </w:footnote>
  <w:footnote w:id="6">
    <w:p w14:paraId="7EDF3EF4" w14:textId="0A6A8606" w:rsidR="00943CE1" w:rsidRPr="002A6F51" w:rsidRDefault="00943CE1"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CC3B6A" w:rsidRPr="002A6F51">
        <w:rPr>
          <w:rFonts w:ascii="Times New Roman" w:hAnsi="Times New Roman"/>
          <w:sz w:val="24"/>
        </w:rPr>
        <w:t xml:space="preserve">Victoria, </w:t>
      </w:r>
      <w:r w:rsidR="00FA74F9" w:rsidRPr="002A6F51">
        <w:rPr>
          <w:rFonts w:ascii="Times New Roman" w:hAnsi="Times New Roman"/>
          <w:sz w:val="24"/>
        </w:rPr>
        <w:t xml:space="preserve">Criminal Law Review, Department of Justice &amp; Regulation, </w:t>
      </w:r>
      <w:r w:rsidR="00FA74F9" w:rsidRPr="002A6F51">
        <w:rPr>
          <w:rFonts w:ascii="Times New Roman" w:hAnsi="Times New Roman"/>
          <w:i/>
          <w:iCs/>
          <w:sz w:val="24"/>
        </w:rPr>
        <w:t>Jury Directions: A Jury</w:t>
      </w:r>
      <w:r w:rsidR="00CC3B6A" w:rsidRPr="002A6F51">
        <w:rPr>
          <w:rFonts w:ascii="Times New Roman" w:hAnsi="Times New Roman"/>
          <w:i/>
          <w:iCs/>
          <w:sz w:val="24"/>
        </w:rPr>
        <w:t>-</w:t>
      </w:r>
      <w:r w:rsidR="00FA74F9" w:rsidRPr="002A6F51">
        <w:rPr>
          <w:rFonts w:ascii="Times New Roman" w:hAnsi="Times New Roman"/>
          <w:i/>
          <w:iCs/>
          <w:sz w:val="24"/>
        </w:rPr>
        <w:t xml:space="preserve">Centric Approach Part 2 </w:t>
      </w:r>
      <w:r w:rsidR="00FA74F9" w:rsidRPr="002A6F51">
        <w:rPr>
          <w:rFonts w:ascii="Times New Roman" w:hAnsi="Times New Roman"/>
          <w:sz w:val="24"/>
        </w:rPr>
        <w:t xml:space="preserve">(2017) </w:t>
      </w:r>
      <w:r w:rsidRPr="002A6F51">
        <w:rPr>
          <w:rFonts w:ascii="Times New Roman" w:hAnsi="Times New Roman"/>
          <w:sz w:val="24"/>
        </w:rPr>
        <w:t xml:space="preserve">at </w:t>
      </w:r>
      <w:r w:rsidR="000F3282" w:rsidRPr="002A6F51">
        <w:rPr>
          <w:rFonts w:ascii="Times New Roman" w:hAnsi="Times New Roman"/>
          <w:sz w:val="24"/>
        </w:rPr>
        <w:t>12.</w:t>
      </w:r>
    </w:p>
  </w:footnote>
  <w:footnote w:id="7">
    <w:p w14:paraId="3CD84C83" w14:textId="3F59FA21" w:rsidR="00C27970" w:rsidRPr="002A6F51" w:rsidRDefault="00C27970"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28066D" w:rsidRPr="002A6F51">
        <w:rPr>
          <w:rFonts w:ascii="Times New Roman" w:hAnsi="Times New Roman"/>
          <w:sz w:val="24"/>
        </w:rPr>
        <w:t xml:space="preserve">Victoria, Legislative Assembly, </w:t>
      </w:r>
      <w:r w:rsidR="0028066D" w:rsidRPr="002A6F51">
        <w:rPr>
          <w:rFonts w:ascii="Times New Roman" w:hAnsi="Times New Roman"/>
          <w:i/>
          <w:iCs/>
          <w:sz w:val="24"/>
        </w:rPr>
        <w:t xml:space="preserve">Parliamentary Debates </w:t>
      </w:r>
      <w:r w:rsidR="0028066D" w:rsidRPr="002A6F51">
        <w:rPr>
          <w:rFonts w:ascii="Times New Roman" w:hAnsi="Times New Roman"/>
          <w:sz w:val="24"/>
        </w:rPr>
        <w:t>(</w:t>
      </w:r>
      <w:r w:rsidRPr="002A6F51">
        <w:rPr>
          <w:rFonts w:ascii="Times New Roman" w:hAnsi="Times New Roman"/>
          <w:sz w:val="24"/>
        </w:rPr>
        <w:t>Hansard</w:t>
      </w:r>
      <w:r w:rsidR="0028066D" w:rsidRPr="002A6F51">
        <w:rPr>
          <w:rFonts w:ascii="Times New Roman" w:hAnsi="Times New Roman"/>
          <w:sz w:val="24"/>
        </w:rPr>
        <w:t>)</w:t>
      </w:r>
      <w:r w:rsidR="00C565CA" w:rsidRPr="002A6F51">
        <w:rPr>
          <w:rFonts w:ascii="Times New Roman" w:hAnsi="Times New Roman"/>
          <w:sz w:val="24"/>
        </w:rPr>
        <w:t>,</w:t>
      </w:r>
      <w:r w:rsidRPr="002A6F51">
        <w:rPr>
          <w:rFonts w:ascii="Times New Roman" w:hAnsi="Times New Roman"/>
          <w:sz w:val="24"/>
        </w:rPr>
        <w:t xml:space="preserve"> 22 February 2017 at 297.</w:t>
      </w:r>
    </w:p>
  </w:footnote>
  <w:footnote w:id="8">
    <w:p w14:paraId="78C97C7D" w14:textId="2A8F6A89" w:rsidR="006E3A2F" w:rsidRPr="002A6F51" w:rsidRDefault="006E3A2F"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E13F81" w:rsidRPr="002A6F51">
        <w:rPr>
          <w:rFonts w:ascii="Times New Roman" w:hAnsi="Times New Roman"/>
          <w:sz w:val="24"/>
        </w:rPr>
        <w:t xml:space="preserve">Victoria, Legislative </w:t>
      </w:r>
      <w:r w:rsidR="003159B5" w:rsidRPr="002A6F51">
        <w:rPr>
          <w:rFonts w:ascii="Times New Roman" w:hAnsi="Times New Roman"/>
          <w:sz w:val="24"/>
        </w:rPr>
        <w:t>Assembly</w:t>
      </w:r>
      <w:r w:rsidR="00E13F81" w:rsidRPr="002A6F51">
        <w:rPr>
          <w:rFonts w:ascii="Times New Roman" w:hAnsi="Times New Roman"/>
          <w:sz w:val="24"/>
        </w:rPr>
        <w:t xml:space="preserve">, </w:t>
      </w:r>
      <w:r w:rsidR="00E40512" w:rsidRPr="002A6F51">
        <w:rPr>
          <w:rFonts w:ascii="Times New Roman" w:hAnsi="Times New Roman"/>
          <w:i/>
          <w:sz w:val="24"/>
        </w:rPr>
        <w:t>Jury Directions and Other Acts Amendment Bill 2017</w:t>
      </w:r>
      <w:r w:rsidR="00850853" w:rsidRPr="002A6F51">
        <w:rPr>
          <w:rFonts w:ascii="Times New Roman" w:hAnsi="Times New Roman"/>
          <w:sz w:val="24"/>
        </w:rPr>
        <w:t>,</w:t>
      </w:r>
      <w:r w:rsidRPr="002A6F51">
        <w:rPr>
          <w:rFonts w:ascii="Times New Roman" w:hAnsi="Times New Roman"/>
          <w:sz w:val="24"/>
        </w:rPr>
        <w:t xml:space="preserve"> </w:t>
      </w:r>
      <w:r w:rsidR="00E211F4" w:rsidRPr="002A6F51">
        <w:rPr>
          <w:rFonts w:ascii="Times New Roman" w:hAnsi="Times New Roman"/>
          <w:sz w:val="24"/>
        </w:rPr>
        <w:t xml:space="preserve">Explanatory Memorandum </w:t>
      </w:r>
      <w:r w:rsidRPr="002A6F51">
        <w:rPr>
          <w:rFonts w:ascii="Times New Roman" w:hAnsi="Times New Roman"/>
          <w:sz w:val="24"/>
        </w:rPr>
        <w:t>at 8.</w:t>
      </w:r>
    </w:p>
  </w:footnote>
  <w:footnote w:id="9">
    <w:p w14:paraId="20058BB7" w14:textId="5F2C5DB7" w:rsidR="003C2DA0" w:rsidRPr="002A6F51" w:rsidRDefault="003C2DA0"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t xml:space="preserve">(1998) 194 CLR 355 at </w:t>
      </w:r>
      <w:r w:rsidR="003F2221" w:rsidRPr="002A6F51">
        <w:rPr>
          <w:rFonts w:ascii="Times New Roman" w:hAnsi="Times New Roman"/>
          <w:sz w:val="24"/>
        </w:rPr>
        <w:t xml:space="preserve">390 </w:t>
      </w:r>
      <w:r w:rsidRPr="002A6F51">
        <w:rPr>
          <w:rFonts w:ascii="Times New Roman" w:hAnsi="Times New Roman"/>
          <w:sz w:val="24"/>
        </w:rPr>
        <w:t>[93].</w:t>
      </w:r>
    </w:p>
  </w:footnote>
  <w:footnote w:id="10">
    <w:p w14:paraId="41A5E06A" w14:textId="5D7C18AA" w:rsidR="00806368" w:rsidRPr="002A6F51" w:rsidRDefault="00806368"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t>(2004) 79 ALJR 116</w:t>
      </w:r>
      <w:r w:rsidR="00E140C0" w:rsidRPr="002A6F51">
        <w:rPr>
          <w:rFonts w:ascii="Times New Roman" w:hAnsi="Times New Roman"/>
          <w:sz w:val="24"/>
        </w:rPr>
        <w:t>; 211 ALR 1</w:t>
      </w:r>
      <w:r w:rsidR="00634EA8" w:rsidRPr="002A6F51">
        <w:rPr>
          <w:rFonts w:ascii="Times New Roman" w:hAnsi="Times New Roman"/>
          <w:sz w:val="24"/>
        </w:rPr>
        <w:t>.</w:t>
      </w:r>
    </w:p>
  </w:footnote>
  <w:footnote w:id="11">
    <w:p w14:paraId="5257CB07" w14:textId="7CCB29DD" w:rsidR="00872450" w:rsidRPr="002A6F51" w:rsidRDefault="00872450"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846FC6" w:rsidRPr="002A6F51">
        <w:rPr>
          <w:rFonts w:ascii="Times New Roman" w:hAnsi="Times New Roman"/>
          <w:i/>
          <w:iCs/>
          <w:sz w:val="24"/>
        </w:rPr>
        <w:t>Subramaniam v The Queen</w:t>
      </w:r>
      <w:r w:rsidR="00846FC6" w:rsidRPr="002A6F51">
        <w:rPr>
          <w:rFonts w:ascii="Times New Roman" w:hAnsi="Times New Roman"/>
          <w:sz w:val="24"/>
        </w:rPr>
        <w:t xml:space="preserve"> (2004) 79 ALJR 116 at 126 [44]; 211 ALR 1 </w:t>
      </w:r>
      <w:r w:rsidRPr="002A6F51">
        <w:rPr>
          <w:rFonts w:ascii="Times New Roman" w:hAnsi="Times New Roman"/>
          <w:sz w:val="24"/>
        </w:rPr>
        <w:t xml:space="preserve">at </w:t>
      </w:r>
      <w:r w:rsidR="005031D7" w:rsidRPr="002A6F51">
        <w:rPr>
          <w:rFonts w:ascii="Times New Roman" w:hAnsi="Times New Roman"/>
          <w:sz w:val="24"/>
        </w:rPr>
        <w:t>14</w:t>
      </w:r>
      <w:r w:rsidRPr="002A6F51">
        <w:rPr>
          <w:rFonts w:ascii="Times New Roman" w:hAnsi="Times New Roman"/>
          <w:sz w:val="24"/>
        </w:rPr>
        <w:t>.</w:t>
      </w:r>
    </w:p>
  </w:footnote>
  <w:footnote w:id="12">
    <w:p w14:paraId="07435585" w14:textId="6416B8FB" w:rsidR="002A3B57" w:rsidRPr="002A6F51" w:rsidRDefault="002A3B57"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t xml:space="preserve">(2012) 246 CLR 469 at </w:t>
      </w:r>
      <w:r w:rsidR="00257DAC" w:rsidRPr="002A6F51">
        <w:rPr>
          <w:rFonts w:ascii="Times New Roman" w:hAnsi="Times New Roman"/>
          <w:sz w:val="24"/>
        </w:rPr>
        <w:t xml:space="preserve">479 </w:t>
      </w:r>
      <w:r w:rsidRPr="002A6F51">
        <w:rPr>
          <w:rFonts w:ascii="Times New Roman" w:hAnsi="Times New Roman"/>
          <w:sz w:val="24"/>
        </w:rPr>
        <w:t>[25].</w:t>
      </w:r>
    </w:p>
  </w:footnote>
  <w:footnote w:id="13">
    <w:p w14:paraId="6126D0DE" w14:textId="6EEB6527" w:rsidR="00975A57" w:rsidRPr="002A6F51" w:rsidRDefault="00975A57"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008A69D6" w:rsidRPr="002A6F51">
        <w:rPr>
          <w:rFonts w:ascii="Times New Roman" w:hAnsi="Times New Roman"/>
          <w:sz w:val="24"/>
        </w:rPr>
        <w:tab/>
      </w:r>
      <w:r w:rsidR="005C1088" w:rsidRPr="002A6F51">
        <w:rPr>
          <w:rFonts w:ascii="Times New Roman" w:hAnsi="Times New Roman"/>
          <w:i/>
          <w:iCs/>
          <w:sz w:val="24"/>
        </w:rPr>
        <w:t>Baini v The Queen</w:t>
      </w:r>
      <w:r w:rsidR="005C1088" w:rsidRPr="002A6F51">
        <w:rPr>
          <w:rFonts w:ascii="Times New Roman" w:hAnsi="Times New Roman"/>
          <w:sz w:val="24"/>
        </w:rPr>
        <w:t xml:space="preserve"> </w:t>
      </w:r>
      <w:r w:rsidR="008A69D6" w:rsidRPr="002A6F51">
        <w:rPr>
          <w:rFonts w:ascii="Times New Roman" w:hAnsi="Times New Roman"/>
          <w:sz w:val="24"/>
        </w:rPr>
        <w:t>(2012) 246 CLR 469 at 479 [2</w:t>
      </w:r>
      <w:r w:rsidR="002727B4" w:rsidRPr="002A6F51">
        <w:rPr>
          <w:rFonts w:ascii="Times New Roman" w:hAnsi="Times New Roman"/>
          <w:sz w:val="24"/>
        </w:rPr>
        <w:t>6</w:t>
      </w:r>
      <w:r w:rsidR="008A69D6" w:rsidRPr="002A6F51">
        <w:rPr>
          <w:rFonts w:ascii="Times New Roman" w:hAnsi="Times New Roman"/>
          <w:sz w:val="24"/>
        </w:rPr>
        <w:t>].</w:t>
      </w:r>
    </w:p>
  </w:footnote>
  <w:footnote w:id="14">
    <w:p w14:paraId="7ACD59BA" w14:textId="56C34F3F" w:rsidR="00410C1C" w:rsidRPr="002A6F51" w:rsidRDefault="00410C1C"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0D4BBB" w:rsidRPr="002A6F51">
        <w:rPr>
          <w:rFonts w:ascii="Times New Roman" w:hAnsi="Times New Roman"/>
          <w:i/>
          <w:iCs/>
          <w:sz w:val="24"/>
        </w:rPr>
        <w:t>Baini v The Queen</w:t>
      </w:r>
      <w:r w:rsidR="000D4BBB" w:rsidRPr="002A6F51">
        <w:rPr>
          <w:rFonts w:ascii="Times New Roman" w:hAnsi="Times New Roman"/>
          <w:sz w:val="24"/>
        </w:rPr>
        <w:t xml:space="preserve"> </w:t>
      </w:r>
      <w:r w:rsidR="002727B4" w:rsidRPr="002A6F51">
        <w:rPr>
          <w:rFonts w:ascii="Times New Roman" w:hAnsi="Times New Roman"/>
          <w:sz w:val="24"/>
        </w:rPr>
        <w:t xml:space="preserve">(2012) 246 CLR 469 at 479 </w:t>
      </w:r>
      <w:r w:rsidRPr="002A6F51">
        <w:rPr>
          <w:rFonts w:ascii="Times New Roman" w:hAnsi="Times New Roman"/>
          <w:sz w:val="24"/>
        </w:rPr>
        <w:t>[26].</w:t>
      </w:r>
    </w:p>
  </w:footnote>
  <w:footnote w:id="15">
    <w:p w14:paraId="68C2512A" w14:textId="1DC40A77" w:rsidR="0003003A" w:rsidRPr="002A6F51" w:rsidRDefault="0003003A"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0D4BBB" w:rsidRPr="002A6F51">
        <w:rPr>
          <w:rFonts w:ascii="Times New Roman" w:hAnsi="Times New Roman"/>
          <w:i/>
          <w:iCs/>
          <w:sz w:val="24"/>
        </w:rPr>
        <w:t>Baini v The Queen</w:t>
      </w:r>
      <w:r w:rsidR="000D4BBB" w:rsidRPr="002A6F51">
        <w:rPr>
          <w:rFonts w:ascii="Times New Roman" w:hAnsi="Times New Roman"/>
          <w:sz w:val="24"/>
        </w:rPr>
        <w:t xml:space="preserve"> (2012) 246 CLR 469 </w:t>
      </w:r>
      <w:r w:rsidRPr="002A6F51">
        <w:rPr>
          <w:rFonts w:ascii="Times New Roman" w:hAnsi="Times New Roman"/>
          <w:sz w:val="24"/>
        </w:rPr>
        <w:t xml:space="preserve">at </w:t>
      </w:r>
      <w:r w:rsidR="00180136" w:rsidRPr="002A6F51">
        <w:rPr>
          <w:rFonts w:ascii="Times New Roman" w:hAnsi="Times New Roman"/>
          <w:sz w:val="24"/>
        </w:rPr>
        <w:t xml:space="preserve">480 </w:t>
      </w:r>
      <w:r w:rsidRPr="002A6F51">
        <w:rPr>
          <w:rFonts w:ascii="Times New Roman" w:hAnsi="Times New Roman"/>
          <w:sz w:val="24"/>
        </w:rPr>
        <w:t>[30]</w:t>
      </w:r>
      <w:r w:rsidR="00D378DF" w:rsidRPr="002A6F51">
        <w:rPr>
          <w:rFonts w:ascii="Times New Roman" w:hAnsi="Times New Roman"/>
          <w:sz w:val="24"/>
        </w:rPr>
        <w:t>, 481</w:t>
      </w:r>
      <w:r w:rsidRPr="002A6F51">
        <w:rPr>
          <w:rFonts w:ascii="Times New Roman" w:hAnsi="Times New Roman"/>
          <w:sz w:val="24"/>
        </w:rPr>
        <w:t xml:space="preserve"> [32].</w:t>
      </w:r>
    </w:p>
  </w:footnote>
  <w:footnote w:id="16">
    <w:p w14:paraId="01E5D6F9" w14:textId="33A43932" w:rsidR="00E502E6" w:rsidRPr="002A6F51" w:rsidRDefault="00E502E6"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1D2A2B" w:rsidRPr="002A6F51">
        <w:rPr>
          <w:rFonts w:ascii="Times New Roman" w:hAnsi="Times New Roman"/>
          <w:sz w:val="24"/>
        </w:rPr>
        <w:t>A</w:t>
      </w:r>
      <w:r w:rsidRPr="002A6F51">
        <w:rPr>
          <w:rFonts w:ascii="Times New Roman" w:hAnsi="Times New Roman"/>
          <w:sz w:val="24"/>
        </w:rPr>
        <w:t xml:space="preserve">s to which see </w:t>
      </w:r>
      <w:r w:rsidRPr="002A6F51">
        <w:rPr>
          <w:rFonts w:ascii="Times New Roman" w:hAnsi="Times New Roman"/>
          <w:i/>
          <w:iCs/>
          <w:sz w:val="24"/>
        </w:rPr>
        <w:t>Weiss</w:t>
      </w:r>
      <w:r w:rsidR="008A0E15" w:rsidRPr="002A6F51">
        <w:rPr>
          <w:rFonts w:ascii="Times New Roman" w:hAnsi="Times New Roman"/>
          <w:i/>
          <w:iCs/>
          <w:sz w:val="24"/>
        </w:rPr>
        <w:t xml:space="preserve"> v The Queen </w:t>
      </w:r>
      <w:r w:rsidR="008A0E15" w:rsidRPr="002A6F51">
        <w:rPr>
          <w:rFonts w:ascii="Times New Roman" w:hAnsi="Times New Roman"/>
          <w:sz w:val="24"/>
        </w:rPr>
        <w:t>(2005) 224 CLR 300 at 317 [44]</w:t>
      </w:r>
      <w:r w:rsidRPr="002A6F51">
        <w:rPr>
          <w:rFonts w:ascii="Times New Roman" w:hAnsi="Times New Roman"/>
          <w:sz w:val="24"/>
        </w:rPr>
        <w:t>.</w:t>
      </w:r>
    </w:p>
  </w:footnote>
  <w:footnote w:id="17">
    <w:p w14:paraId="4545EF52" w14:textId="536B8B74" w:rsidR="001774B3" w:rsidRPr="002A6F51" w:rsidRDefault="001774B3"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586FC3" w:rsidRPr="002A6F51">
        <w:rPr>
          <w:rFonts w:ascii="Times New Roman" w:hAnsi="Times New Roman"/>
          <w:i/>
          <w:iCs/>
          <w:sz w:val="24"/>
        </w:rPr>
        <w:t>Baini v The Queen</w:t>
      </w:r>
      <w:r w:rsidR="00586FC3" w:rsidRPr="002A6F51">
        <w:rPr>
          <w:rFonts w:ascii="Times New Roman" w:hAnsi="Times New Roman"/>
          <w:sz w:val="24"/>
        </w:rPr>
        <w:t xml:space="preserve"> (2012) 246 CLR 469 </w:t>
      </w:r>
      <w:r w:rsidRPr="002A6F51">
        <w:rPr>
          <w:rFonts w:ascii="Times New Roman" w:hAnsi="Times New Roman"/>
          <w:sz w:val="24"/>
        </w:rPr>
        <w:t xml:space="preserve">at </w:t>
      </w:r>
      <w:r w:rsidR="00586FC3" w:rsidRPr="002A6F51">
        <w:rPr>
          <w:rFonts w:ascii="Times New Roman" w:hAnsi="Times New Roman"/>
          <w:sz w:val="24"/>
        </w:rPr>
        <w:t xml:space="preserve">480 </w:t>
      </w:r>
      <w:r w:rsidRPr="002A6F51">
        <w:rPr>
          <w:rFonts w:ascii="Times New Roman" w:hAnsi="Times New Roman"/>
          <w:sz w:val="24"/>
        </w:rPr>
        <w:t>[30].</w:t>
      </w:r>
    </w:p>
  </w:footnote>
  <w:footnote w:id="18">
    <w:p w14:paraId="30B6EBFA" w14:textId="3E3302AA" w:rsidR="00DE0423" w:rsidRPr="002A6F51" w:rsidRDefault="00DE0423"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Pr="002A6F51">
        <w:rPr>
          <w:rFonts w:ascii="Times New Roman" w:hAnsi="Times New Roman"/>
          <w:i/>
          <w:sz w:val="24"/>
        </w:rPr>
        <w:t>Baini v The Queen</w:t>
      </w:r>
      <w:r w:rsidRPr="002A6F51">
        <w:rPr>
          <w:rFonts w:ascii="Times New Roman" w:hAnsi="Times New Roman"/>
          <w:sz w:val="24"/>
        </w:rPr>
        <w:t xml:space="preserve"> (2012) 246 CLR 469 at 48</w:t>
      </w:r>
      <w:r w:rsidR="001D2A2B" w:rsidRPr="002A6F51">
        <w:rPr>
          <w:rFonts w:ascii="Times New Roman" w:hAnsi="Times New Roman"/>
          <w:sz w:val="24"/>
        </w:rPr>
        <w:t>1</w:t>
      </w:r>
      <w:r w:rsidRPr="002A6F51">
        <w:rPr>
          <w:rFonts w:ascii="Times New Roman" w:hAnsi="Times New Roman"/>
          <w:sz w:val="24"/>
        </w:rPr>
        <w:t xml:space="preserve"> [31].</w:t>
      </w:r>
    </w:p>
  </w:footnote>
  <w:footnote w:id="19">
    <w:p w14:paraId="1DE81B15" w14:textId="39C7FCCD" w:rsidR="009539C2" w:rsidRPr="002A6F51" w:rsidRDefault="009539C2"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DE0423" w:rsidRPr="002A6F51">
        <w:rPr>
          <w:rFonts w:ascii="Times New Roman" w:hAnsi="Times New Roman"/>
          <w:i/>
          <w:sz w:val="24"/>
        </w:rPr>
        <w:t>Baini v The Queen</w:t>
      </w:r>
      <w:r w:rsidR="00DE0423" w:rsidRPr="002A6F51">
        <w:rPr>
          <w:rFonts w:ascii="Times New Roman" w:hAnsi="Times New Roman"/>
          <w:sz w:val="24"/>
        </w:rPr>
        <w:t xml:space="preserve"> (2012) 246 CLR 469 </w:t>
      </w:r>
      <w:r w:rsidRPr="002A6F51">
        <w:rPr>
          <w:rFonts w:ascii="Times New Roman" w:hAnsi="Times New Roman"/>
          <w:sz w:val="24"/>
        </w:rPr>
        <w:t>at 480 [29], 481 [</w:t>
      </w:r>
      <w:r w:rsidR="00C10EC8" w:rsidRPr="002A6F51">
        <w:rPr>
          <w:rFonts w:ascii="Times New Roman" w:hAnsi="Times New Roman"/>
          <w:sz w:val="24"/>
        </w:rPr>
        <w:t>32].</w:t>
      </w:r>
    </w:p>
  </w:footnote>
  <w:footnote w:id="20">
    <w:p w14:paraId="4606A994" w14:textId="3EA36B11" w:rsidR="00306931" w:rsidRPr="002A6F51" w:rsidRDefault="00306931"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586FC3" w:rsidRPr="002A6F51">
        <w:rPr>
          <w:rFonts w:ascii="Times New Roman" w:hAnsi="Times New Roman"/>
          <w:i/>
          <w:sz w:val="24"/>
        </w:rPr>
        <w:t>Baini v The Queen</w:t>
      </w:r>
      <w:r w:rsidR="00586FC3" w:rsidRPr="002A6F51">
        <w:rPr>
          <w:rFonts w:ascii="Times New Roman" w:hAnsi="Times New Roman"/>
          <w:sz w:val="24"/>
        </w:rPr>
        <w:t xml:space="preserve"> (2012) 246 CLR 469 </w:t>
      </w:r>
      <w:r w:rsidRPr="002A6F51">
        <w:rPr>
          <w:rFonts w:ascii="Times New Roman" w:hAnsi="Times New Roman"/>
          <w:sz w:val="24"/>
        </w:rPr>
        <w:t xml:space="preserve">at </w:t>
      </w:r>
      <w:r w:rsidR="00D15ADF" w:rsidRPr="002A6F51">
        <w:rPr>
          <w:rFonts w:ascii="Times New Roman" w:hAnsi="Times New Roman"/>
          <w:sz w:val="24"/>
        </w:rPr>
        <w:t xml:space="preserve">480 </w:t>
      </w:r>
      <w:r w:rsidRPr="002A6F51">
        <w:rPr>
          <w:rFonts w:ascii="Times New Roman" w:hAnsi="Times New Roman"/>
          <w:sz w:val="24"/>
        </w:rPr>
        <w:t>[29].</w:t>
      </w:r>
    </w:p>
  </w:footnote>
  <w:footnote w:id="21">
    <w:p w14:paraId="62FB0BD4" w14:textId="45FA02E2" w:rsidR="00C65C3E" w:rsidRPr="002A6F51" w:rsidRDefault="00C65C3E"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36110B" w:rsidRPr="002A6F51">
        <w:rPr>
          <w:rFonts w:ascii="Times New Roman" w:hAnsi="Times New Roman"/>
          <w:sz w:val="24"/>
        </w:rPr>
        <w:t>(20</w:t>
      </w:r>
      <w:r w:rsidR="000078C8" w:rsidRPr="002A6F51">
        <w:rPr>
          <w:rFonts w:ascii="Times New Roman" w:hAnsi="Times New Roman"/>
          <w:sz w:val="24"/>
        </w:rPr>
        <w:t>0</w:t>
      </w:r>
      <w:r w:rsidR="0036110B" w:rsidRPr="002A6F51">
        <w:rPr>
          <w:rFonts w:ascii="Times New Roman" w:hAnsi="Times New Roman"/>
          <w:sz w:val="24"/>
        </w:rPr>
        <w:t>3) 214 CLR 118 at 125-126 [23]</w:t>
      </w:r>
      <w:r w:rsidR="00D03DA8" w:rsidRPr="002A6F51">
        <w:rPr>
          <w:rFonts w:ascii="Times New Roman" w:hAnsi="Times New Roman"/>
          <w:sz w:val="24"/>
        </w:rPr>
        <w:t>.</w:t>
      </w:r>
      <w:r w:rsidR="0036110B" w:rsidRPr="002A6F51">
        <w:rPr>
          <w:rFonts w:ascii="Times New Roman" w:hAnsi="Times New Roman"/>
          <w:sz w:val="24"/>
        </w:rPr>
        <w:t xml:space="preserve"> </w:t>
      </w:r>
      <w:r w:rsidR="00D03DA8" w:rsidRPr="002A6F51">
        <w:rPr>
          <w:rFonts w:ascii="Times New Roman" w:hAnsi="Times New Roman"/>
          <w:sz w:val="24"/>
        </w:rPr>
        <w:t xml:space="preserve">See also </w:t>
      </w:r>
      <w:r w:rsidR="00D03DA8" w:rsidRPr="002A6F51">
        <w:rPr>
          <w:rFonts w:ascii="Times New Roman" w:hAnsi="Times New Roman"/>
          <w:i/>
          <w:sz w:val="24"/>
        </w:rPr>
        <w:t>Kalbasi v Western Australia</w:t>
      </w:r>
      <w:r w:rsidR="00D03DA8" w:rsidRPr="002A6F51">
        <w:rPr>
          <w:rFonts w:ascii="Times New Roman" w:hAnsi="Times New Roman"/>
          <w:sz w:val="24"/>
        </w:rPr>
        <w:t xml:space="preserve"> (2018) 264 CLR 62 at 71 [15]; </w:t>
      </w:r>
      <w:r w:rsidR="00D03DA8" w:rsidRPr="002A6F51">
        <w:rPr>
          <w:rFonts w:ascii="Times New Roman" w:hAnsi="Times New Roman"/>
          <w:i/>
          <w:sz w:val="24"/>
        </w:rPr>
        <w:t>Orreal v The Queen</w:t>
      </w:r>
      <w:r w:rsidR="00D03DA8" w:rsidRPr="002A6F51">
        <w:rPr>
          <w:rFonts w:ascii="Times New Roman" w:hAnsi="Times New Roman"/>
          <w:sz w:val="24"/>
        </w:rPr>
        <w:t xml:space="preserve"> (2021) 96 ALJR 78 at 82 [20], 86-87 [41]; 395 ALR 631 at 636, 641-642</w:t>
      </w:r>
      <w:r w:rsidR="0036110B" w:rsidRPr="002A6F51">
        <w:rPr>
          <w:rFonts w:ascii="Times New Roman" w:hAnsi="Times New Roman"/>
          <w:sz w:val="24"/>
        </w:rPr>
        <w:t>.</w:t>
      </w:r>
    </w:p>
  </w:footnote>
  <w:footnote w:id="22">
    <w:p w14:paraId="011A9541" w14:textId="3DCB0110" w:rsidR="00A41680" w:rsidRPr="002A6F51" w:rsidRDefault="00A41680"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AC7A02" w:rsidRPr="002A6F51">
        <w:rPr>
          <w:rFonts w:ascii="Times New Roman" w:hAnsi="Times New Roman"/>
          <w:i/>
          <w:sz w:val="24"/>
        </w:rPr>
        <w:t xml:space="preserve">Awad v The Queen </w:t>
      </w:r>
      <w:r w:rsidR="00AC7A02" w:rsidRPr="002A6F51">
        <w:rPr>
          <w:rFonts w:ascii="Times New Roman" w:hAnsi="Times New Roman"/>
          <w:sz w:val="24"/>
        </w:rPr>
        <w:t xml:space="preserve">(2021) 291 A Crim R 303 </w:t>
      </w:r>
      <w:r w:rsidRPr="002A6F51">
        <w:rPr>
          <w:rFonts w:ascii="Times New Roman" w:hAnsi="Times New Roman"/>
          <w:sz w:val="24"/>
        </w:rPr>
        <w:t xml:space="preserve">at </w:t>
      </w:r>
      <w:r w:rsidR="00AC7A02" w:rsidRPr="002A6F51">
        <w:rPr>
          <w:rFonts w:ascii="Times New Roman" w:hAnsi="Times New Roman"/>
          <w:sz w:val="24"/>
        </w:rPr>
        <w:t xml:space="preserve">339-340 </w:t>
      </w:r>
      <w:r w:rsidRPr="002A6F51">
        <w:rPr>
          <w:rFonts w:ascii="Times New Roman" w:hAnsi="Times New Roman"/>
          <w:sz w:val="24"/>
        </w:rPr>
        <w:t>[149].</w:t>
      </w:r>
    </w:p>
  </w:footnote>
  <w:footnote w:id="23">
    <w:p w14:paraId="535C7035" w14:textId="4B3E2D2C" w:rsidR="00EA5C44" w:rsidRPr="002A6F51" w:rsidRDefault="00EA5C44"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B03A37" w:rsidRPr="002A6F51">
        <w:rPr>
          <w:rFonts w:ascii="Times New Roman" w:hAnsi="Times New Roman"/>
          <w:i/>
          <w:sz w:val="24"/>
        </w:rPr>
        <w:t xml:space="preserve">Awad v The Queen </w:t>
      </w:r>
      <w:r w:rsidR="00B03A37" w:rsidRPr="002A6F51">
        <w:rPr>
          <w:rFonts w:ascii="Times New Roman" w:hAnsi="Times New Roman"/>
          <w:sz w:val="24"/>
        </w:rPr>
        <w:t xml:space="preserve">(2021) 291 A Crim R 303 at 340 </w:t>
      </w:r>
      <w:r w:rsidRPr="002A6F51">
        <w:rPr>
          <w:rFonts w:ascii="Times New Roman" w:hAnsi="Times New Roman"/>
          <w:sz w:val="24"/>
        </w:rPr>
        <w:t>[150].</w:t>
      </w:r>
    </w:p>
  </w:footnote>
  <w:footnote w:id="24">
    <w:p w14:paraId="252D053F" w14:textId="18293A98" w:rsidR="00C124AD" w:rsidRPr="002A6F51" w:rsidRDefault="00C124AD"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EC7FC1" w:rsidRPr="002A6F51">
        <w:rPr>
          <w:rFonts w:ascii="Times New Roman" w:hAnsi="Times New Roman"/>
          <w:i/>
          <w:sz w:val="24"/>
        </w:rPr>
        <w:t xml:space="preserve">Awad v The Queen </w:t>
      </w:r>
      <w:r w:rsidR="00EC7FC1" w:rsidRPr="002A6F51">
        <w:rPr>
          <w:rFonts w:ascii="Times New Roman" w:hAnsi="Times New Roman"/>
          <w:sz w:val="24"/>
        </w:rPr>
        <w:t xml:space="preserve">(2021) 291 A Crim R 303 at 340-341 </w:t>
      </w:r>
      <w:r w:rsidR="00520EEB" w:rsidRPr="002A6F51">
        <w:rPr>
          <w:rFonts w:ascii="Times New Roman" w:hAnsi="Times New Roman"/>
          <w:sz w:val="24"/>
        </w:rPr>
        <w:t>[152]</w:t>
      </w:r>
      <w:r w:rsidR="00D16393" w:rsidRPr="002A6F51">
        <w:rPr>
          <w:rFonts w:ascii="Times New Roman" w:hAnsi="Times New Roman"/>
          <w:sz w:val="24"/>
        </w:rPr>
        <w:t>,</w:t>
      </w:r>
      <w:r w:rsidR="00520EEB" w:rsidRPr="002A6F51">
        <w:rPr>
          <w:rFonts w:ascii="Times New Roman" w:hAnsi="Times New Roman"/>
          <w:sz w:val="24"/>
        </w:rPr>
        <w:t xml:space="preserve"> referring to </w:t>
      </w:r>
      <w:r w:rsidR="00520EEB" w:rsidRPr="002A6F51">
        <w:rPr>
          <w:rFonts w:ascii="Times New Roman" w:hAnsi="Times New Roman"/>
          <w:i/>
          <w:sz w:val="24"/>
        </w:rPr>
        <w:t xml:space="preserve">Kalbasi v </w:t>
      </w:r>
      <w:r w:rsidR="007A7808" w:rsidRPr="002A6F51">
        <w:rPr>
          <w:rFonts w:ascii="Times New Roman" w:hAnsi="Times New Roman"/>
          <w:i/>
          <w:sz w:val="24"/>
        </w:rPr>
        <w:t>Western Australia</w:t>
      </w:r>
      <w:r w:rsidR="00520EEB" w:rsidRPr="002A6F51">
        <w:rPr>
          <w:rFonts w:ascii="Times New Roman" w:hAnsi="Times New Roman"/>
          <w:sz w:val="24"/>
        </w:rPr>
        <w:t xml:space="preserve"> (2018) 264 CLR 62 at 87-88 [70]</w:t>
      </w:r>
      <w:r w:rsidR="002278C4" w:rsidRPr="002A6F51">
        <w:rPr>
          <w:rFonts w:ascii="Times New Roman" w:hAnsi="Times New Roman"/>
          <w:sz w:val="24"/>
        </w:rPr>
        <w:t>.</w:t>
      </w:r>
    </w:p>
  </w:footnote>
  <w:footnote w:id="25">
    <w:p w14:paraId="1EC63D00" w14:textId="570A2E5C" w:rsidR="00721E67" w:rsidRPr="002A6F51" w:rsidRDefault="00721E67"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EC6150" w:rsidRPr="002A6F51">
        <w:rPr>
          <w:rFonts w:ascii="Times New Roman" w:hAnsi="Times New Roman"/>
          <w:i/>
          <w:iCs/>
          <w:sz w:val="24"/>
        </w:rPr>
        <w:t xml:space="preserve">Awad v The Queen </w:t>
      </w:r>
      <w:r w:rsidR="00EC6150" w:rsidRPr="002A6F51">
        <w:rPr>
          <w:rFonts w:ascii="Times New Roman" w:hAnsi="Times New Roman"/>
          <w:sz w:val="24"/>
        </w:rPr>
        <w:t xml:space="preserve">(2021) 291 A Crim R 303 at </w:t>
      </w:r>
      <w:r w:rsidR="0063394F" w:rsidRPr="002A6F51">
        <w:rPr>
          <w:rFonts w:ascii="Times New Roman" w:hAnsi="Times New Roman"/>
          <w:sz w:val="24"/>
        </w:rPr>
        <w:t>343</w:t>
      </w:r>
      <w:r w:rsidR="00EC6150" w:rsidRPr="002A6F51">
        <w:rPr>
          <w:rFonts w:ascii="Times New Roman" w:hAnsi="Times New Roman"/>
          <w:sz w:val="24"/>
        </w:rPr>
        <w:t xml:space="preserve"> </w:t>
      </w:r>
      <w:r w:rsidRPr="002A6F51">
        <w:rPr>
          <w:rFonts w:ascii="Times New Roman" w:hAnsi="Times New Roman"/>
          <w:sz w:val="24"/>
        </w:rPr>
        <w:t>[164].</w:t>
      </w:r>
    </w:p>
  </w:footnote>
  <w:footnote w:id="26">
    <w:p w14:paraId="5FD3540A" w14:textId="3CA1683F" w:rsidR="00C6389B" w:rsidRPr="002A6F51" w:rsidRDefault="00C6389B"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B46091" w:rsidRPr="002A6F51">
        <w:rPr>
          <w:rFonts w:ascii="Times New Roman" w:hAnsi="Times New Roman"/>
          <w:i/>
          <w:iCs/>
          <w:sz w:val="24"/>
        </w:rPr>
        <w:t xml:space="preserve">Awad v The Queen </w:t>
      </w:r>
      <w:r w:rsidR="00B46091" w:rsidRPr="002A6F51">
        <w:rPr>
          <w:rFonts w:ascii="Times New Roman" w:hAnsi="Times New Roman"/>
          <w:sz w:val="24"/>
        </w:rPr>
        <w:t xml:space="preserve">(2021) 291 A Crim R 303 at 344 </w:t>
      </w:r>
      <w:r w:rsidRPr="002A6F51">
        <w:rPr>
          <w:rFonts w:ascii="Times New Roman" w:hAnsi="Times New Roman"/>
          <w:sz w:val="24"/>
        </w:rPr>
        <w:t>[170].</w:t>
      </w:r>
    </w:p>
  </w:footnote>
  <w:footnote w:id="27">
    <w:p w14:paraId="00EABACC" w14:textId="6DB867E5" w:rsidR="00C6389B" w:rsidRPr="002A6F51" w:rsidRDefault="00C6389B"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F23EEE" w:rsidRPr="002A6F51">
        <w:rPr>
          <w:rFonts w:ascii="Times New Roman" w:hAnsi="Times New Roman"/>
          <w:i/>
          <w:iCs/>
          <w:sz w:val="24"/>
        </w:rPr>
        <w:t xml:space="preserve">Awad v The Queen </w:t>
      </w:r>
      <w:r w:rsidR="00F23EEE" w:rsidRPr="002A6F51">
        <w:rPr>
          <w:rFonts w:ascii="Times New Roman" w:hAnsi="Times New Roman"/>
          <w:sz w:val="24"/>
        </w:rPr>
        <w:t xml:space="preserve">(2021) 291 A Crim R 303 at </w:t>
      </w:r>
      <w:r w:rsidR="00CA6A72" w:rsidRPr="002A6F51">
        <w:rPr>
          <w:rFonts w:ascii="Times New Roman" w:hAnsi="Times New Roman"/>
          <w:sz w:val="24"/>
        </w:rPr>
        <w:t>345</w:t>
      </w:r>
      <w:r w:rsidRPr="002A6F51">
        <w:rPr>
          <w:rFonts w:ascii="Times New Roman" w:hAnsi="Times New Roman"/>
          <w:sz w:val="24"/>
        </w:rPr>
        <w:t xml:space="preserve"> [</w:t>
      </w:r>
      <w:r w:rsidR="00100EAC" w:rsidRPr="002A6F51">
        <w:rPr>
          <w:rFonts w:ascii="Times New Roman" w:hAnsi="Times New Roman"/>
          <w:sz w:val="24"/>
        </w:rPr>
        <w:t>177</w:t>
      </w:r>
      <w:r w:rsidRPr="002A6F51">
        <w:rPr>
          <w:rFonts w:ascii="Times New Roman" w:hAnsi="Times New Roman"/>
          <w:sz w:val="24"/>
        </w:rPr>
        <w:t>].</w:t>
      </w:r>
    </w:p>
  </w:footnote>
  <w:footnote w:id="28">
    <w:p w14:paraId="6E29D0D5" w14:textId="69093DD1" w:rsidR="000D6A10" w:rsidRPr="002A6F51" w:rsidRDefault="000D6A10"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22108B" w:rsidRPr="002A6F51">
        <w:rPr>
          <w:rFonts w:ascii="Times New Roman" w:hAnsi="Times New Roman"/>
          <w:i/>
          <w:iCs/>
          <w:sz w:val="24"/>
        </w:rPr>
        <w:t xml:space="preserve">Awad v The Queen </w:t>
      </w:r>
      <w:r w:rsidR="0022108B" w:rsidRPr="002A6F51">
        <w:rPr>
          <w:rFonts w:ascii="Times New Roman" w:hAnsi="Times New Roman"/>
          <w:sz w:val="24"/>
        </w:rPr>
        <w:t xml:space="preserve">(2021) 291 A Crim R 303 </w:t>
      </w:r>
      <w:r w:rsidRPr="002A6F51">
        <w:rPr>
          <w:rFonts w:ascii="Times New Roman" w:hAnsi="Times New Roman"/>
          <w:sz w:val="24"/>
        </w:rPr>
        <w:t xml:space="preserve">at </w:t>
      </w:r>
      <w:r w:rsidR="00AA0546" w:rsidRPr="002A6F51">
        <w:rPr>
          <w:rFonts w:ascii="Times New Roman" w:hAnsi="Times New Roman"/>
          <w:sz w:val="24"/>
        </w:rPr>
        <w:t xml:space="preserve">322 </w:t>
      </w:r>
      <w:r w:rsidRPr="002A6F51">
        <w:rPr>
          <w:rFonts w:ascii="Times New Roman" w:hAnsi="Times New Roman"/>
          <w:sz w:val="24"/>
        </w:rPr>
        <w:t>[70]</w:t>
      </w:r>
      <w:r w:rsidR="00AA0546" w:rsidRPr="002A6F51">
        <w:rPr>
          <w:rFonts w:ascii="Times New Roman" w:hAnsi="Times New Roman"/>
          <w:sz w:val="24"/>
        </w:rPr>
        <w:t>,</w:t>
      </w:r>
      <w:r w:rsidRPr="002A6F51">
        <w:rPr>
          <w:rFonts w:ascii="Times New Roman" w:hAnsi="Times New Roman"/>
          <w:sz w:val="24"/>
        </w:rPr>
        <w:t xml:space="preserve"> </w:t>
      </w:r>
      <w:r w:rsidR="00AA7356" w:rsidRPr="002A6F51">
        <w:rPr>
          <w:rFonts w:ascii="Times New Roman" w:hAnsi="Times New Roman"/>
          <w:sz w:val="24"/>
        </w:rPr>
        <w:t>325</w:t>
      </w:r>
      <w:r w:rsidRPr="002A6F51">
        <w:rPr>
          <w:rFonts w:ascii="Times New Roman" w:hAnsi="Times New Roman"/>
          <w:sz w:val="24"/>
        </w:rPr>
        <w:t xml:space="preserve"> [87].</w:t>
      </w:r>
    </w:p>
  </w:footnote>
  <w:footnote w:id="29">
    <w:p w14:paraId="2C3B54CC" w14:textId="5CE7FA76" w:rsidR="003616C8" w:rsidRPr="002A6F51" w:rsidRDefault="003616C8"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1350C0" w:rsidRPr="002A6F51">
        <w:rPr>
          <w:rFonts w:ascii="Times New Roman" w:hAnsi="Times New Roman"/>
          <w:i/>
          <w:iCs/>
          <w:sz w:val="24"/>
        </w:rPr>
        <w:t xml:space="preserve">Awad v The Queen </w:t>
      </w:r>
      <w:r w:rsidR="001350C0" w:rsidRPr="002A6F51">
        <w:rPr>
          <w:rFonts w:ascii="Times New Roman" w:hAnsi="Times New Roman"/>
          <w:sz w:val="24"/>
        </w:rPr>
        <w:t xml:space="preserve">(2021) 291 A Crim R 303 at 325 </w:t>
      </w:r>
      <w:r w:rsidRPr="002A6F51">
        <w:rPr>
          <w:rFonts w:ascii="Times New Roman" w:hAnsi="Times New Roman"/>
          <w:sz w:val="24"/>
        </w:rPr>
        <w:t>[83].</w:t>
      </w:r>
    </w:p>
  </w:footnote>
  <w:footnote w:id="30">
    <w:p w14:paraId="76BA5980" w14:textId="5676BFFE" w:rsidR="00B42040" w:rsidRPr="002A6F51" w:rsidRDefault="00B42040"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t xml:space="preserve">(2021) </w:t>
      </w:r>
      <w:r w:rsidR="00774741" w:rsidRPr="002A6F51">
        <w:rPr>
          <w:rFonts w:ascii="Times New Roman" w:hAnsi="Times New Roman"/>
          <w:sz w:val="24"/>
        </w:rPr>
        <w:t>95 ALJR 937</w:t>
      </w:r>
      <w:r w:rsidR="00562CFD" w:rsidRPr="002A6F51">
        <w:rPr>
          <w:rFonts w:ascii="Times New Roman" w:hAnsi="Times New Roman"/>
          <w:sz w:val="24"/>
        </w:rPr>
        <w:t xml:space="preserve"> at 952-95</w:t>
      </w:r>
      <w:r w:rsidR="003D12E3" w:rsidRPr="002A6F51">
        <w:rPr>
          <w:rFonts w:ascii="Times New Roman" w:hAnsi="Times New Roman"/>
          <w:sz w:val="24"/>
        </w:rPr>
        <w:t>4</w:t>
      </w:r>
      <w:r w:rsidR="00562CFD" w:rsidRPr="002A6F51">
        <w:rPr>
          <w:rFonts w:ascii="Times New Roman" w:hAnsi="Times New Roman"/>
          <w:sz w:val="24"/>
        </w:rPr>
        <w:t xml:space="preserve"> [6</w:t>
      </w:r>
      <w:r w:rsidR="00CC5439" w:rsidRPr="002A6F51">
        <w:rPr>
          <w:rFonts w:ascii="Times New Roman" w:hAnsi="Times New Roman"/>
          <w:sz w:val="24"/>
        </w:rPr>
        <w:t>1</w:t>
      </w:r>
      <w:r w:rsidR="00562CFD" w:rsidRPr="002A6F51">
        <w:rPr>
          <w:rFonts w:ascii="Times New Roman" w:hAnsi="Times New Roman"/>
          <w:sz w:val="24"/>
        </w:rPr>
        <w:t>]-[71]</w:t>
      </w:r>
      <w:r w:rsidR="00DB0D77" w:rsidRPr="002A6F51">
        <w:rPr>
          <w:rFonts w:ascii="Times New Roman" w:hAnsi="Times New Roman"/>
          <w:sz w:val="24"/>
        </w:rPr>
        <w:t xml:space="preserve">; 395 ALR 1 at </w:t>
      </w:r>
      <w:r w:rsidR="001C76FD" w:rsidRPr="002A6F51">
        <w:rPr>
          <w:rFonts w:ascii="Times New Roman" w:hAnsi="Times New Roman"/>
          <w:sz w:val="24"/>
        </w:rPr>
        <w:t>15-18</w:t>
      </w:r>
      <w:r w:rsidR="00774741" w:rsidRPr="002A6F51">
        <w:rPr>
          <w:rFonts w:ascii="Times New Roman" w:hAnsi="Times New Roman"/>
          <w:sz w:val="24"/>
        </w:rPr>
        <w:t>.</w:t>
      </w:r>
    </w:p>
  </w:footnote>
  <w:footnote w:id="31">
    <w:p w14:paraId="6616EBB6" w14:textId="24B045C5" w:rsidR="009F3A18" w:rsidRPr="002A6F51" w:rsidRDefault="009F3A18"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Pr="002A6F51">
        <w:rPr>
          <w:rFonts w:ascii="Times New Roman" w:hAnsi="Times New Roman"/>
          <w:i/>
          <w:sz w:val="24"/>
        </w:rPr>
        <w:t>Baini v The Q</w:t>
      </w:r>
      <w:r w:rsidR="007B5410" w:rsidRPr="002A6F51">
        <w:rPr>
          <w:rFonts w:ascii="Times New Roman" w:hAnsi="Times New Roman"/>
          <w:i/>
          <w:sz w:val="24"/>
        </w:rPr>
        <w:t>ueen</w:t>
      </w:r>
      <w:r w:rsidR="007B5410" w:rsidRPr="002A6F51">
        <w:rPr>
          <w:rFonts w:ascii="Times New Roman" w:hAnsi="Times New Roman"/>
          <w:sz w:val="24"/>
        </w:rPr>
        <w:t xml:space="preserve"> (2012) 246 CLR 469 at 48</w:t>
      </w:r>
      <w:r w:rsidR="00BF71CB" w:rsidRPr="002A6F51">
        <w:rPr>
          <w:rFonts w:ascii="Times New Roman" w:hAnsi="Times New Roman"/>
          <w:sz w:val="24"/>
        </w:rPr>
        <w:t>0</w:t>
      </w:r>
      <w:r w:rsidR="007B5410" w:rsidRPr="002A6F51">
        <w:rPr>
          <w:rFonts w:ascii="Times New Roman" w:hAnsi="Times New Roman"/>
          <w:sz w:val="24"/>
        </w:rPr>
        <w:t xml:space="preserve"> [29].</w:t>
      </w:r>
    </w:p>
  </w:footnote>
  <w:footnote w:id="32">
    <w:p w14:paraId="64F5D55A" w14:textId="2FDDF85C" w:rsidR="00DC6470" w:rsidRPr="002A6F51" w:rsidRDefault="00DC6470" w:rsidP="002A6F51">
      <w:pPr>
        <w:pStyle w:val="FootnoteText"/>
        <w:spacing w:line="280" w:lineRule="exact"/>
        <w:ind w:right="0"/>
        <w:jc w:val="both"/>
        <w:rPr>
          <w:rFonts w:ascii="Times New Roman" w:hAnsi="Times New Roman"/>
          <w:sz w:val="24"/>
        </w:rPr>
      </w:pPr>
      <w:r w:rsidRPr="002A6F51">
        <w:rPr>
          <w:rStyle w:val="FootnoteReference"/>
          <w:rFonts w:ascii="Times New Roman" w:hAnsi="Times New Roman"/>
          <w:sz w:val="22"/>
          <w:vertAlign w:val="baseline"/>
        </w:rPr>
        <w:footnoteRef/>
      </w:r>
      <w:r w:rsidRPr="002A6F51">
        <w:rPr>
          <w:rFonts w:ascii="Times New Roman" w:hAnsi="Times New Roman"/>
          <w:sz w:val="24"/>
        </w:rPr>
        <w:t xml:space="preserve"> </w:t>
      </w:r>
      <w:r w:rsidRPr="002A6F51">
        <w:rPr>
          <w:rFonts w:ascii="Times New Roman" w:hAnsi="Times New Roman"/>
          <w:sz w:val="24"/>
        </w:rPr>
        <w:tab/>
      </w:r>
      <w:r w:rsidR="00960ED6" w:rsidRPr="002A6F51">
        <w:rPr>
          <w:rFonts w:ascii="Times New Roman" w:hAnsi="Times New Roman"/>
          <w:sz w:val="24"/>
        </w:rPr>
        <w:t>S</w:t>
      </w:r>
      <w:r w:rsidR="00F13F09" w:rsidRPr="002A6F51">
        <w:rPr>
          <w:rFonts w:ascii="Times New Roman" w:hAnsi="Times New Roman"/>
          <w:sz w:val="24"/>
        </w:rPr>
        <w:t>ee</w:t>
      </w:r>
      <w:r w:rsidR="00960ED6" w:rsidRPr="002A6F51">
        <w:rPr>
          <w:rFonts w:ascii="Times New Roman" w:hAnsi="Times New Roman"/>
          <w:sz w:val="24"/>
        </w:rPr>
        <w:t xml:space="preserve">, </w:t>
      </w:r>
      <w:r w:rsidR="00960ED6" w:rsidRPr="002A6F51">
        <w:rPr>
          <w:rFonts w:ascii="Times New Roman" w:hAnsi="Times New Roman"/>
          <w:sz w:val="24"/>
        </w:rPr>
        <w:t>e</w:t>
      </w:r>
      <w:r w:rsidR="00F13F09" w:rsidRPr="002A6F51">
        <w:rPr>
          <w:rFonts w:ascii="Times New Roman" w:hAnsi="Times New Roman"/>
          <w:sz w:val="24"/>
        </w:rPr>
        <w:t>g</w:t>
      </w:r>
      <w:r w:rsidR="00960ED6" w:rsidRPr="002A6F51">
        <w:rPr>
          <w:rFonts w:ascii="Times New Roman" w:hAnsi="Times New Roman"/>
          <w:sz w:val="24"/>
        </w:rPr>
        <w:t>,</w:t>
      </w:r>
      <w:r w:rsidR="00F13F09" w:rsidRPr="002A6F51">
        <w:rPr>
          <w:rFonts w:ascii="Times New Roman" w:hAnsi="Times New Roman"/>
          <w:sz w:val="24"/>
        </w:rPr>
        <w:t xml:space="preserve"> </w:t>
      </w:r>
      <w:r w:rsidR="00F13F09" w:rsidRPr="002A6F51">
        <w:rPr>
          <w:rFonts w:ascii="Times New Roman" w:hAnsi="Times New Roman"/>
          <w:i/>
          <w:sz w:val="24"/>
        </w:rPr>
        <w:t xml:space="preserve">Orreal v The Queen </w:t>
      </w:r>
      <w:r w:rsidR="00F13F09" w:rsidRPr="002A6F51">
        <w:rPr>
          <w:rFonts w:ascii="Times New Roman" w:hAnsi="Times New Roman"/>
          <w:sz w:val="24"/>
        </w:rPr>
        <w:t>(2021) 96 ALJR 78; 395 ALR 631.</w:t>
      </w:r>
    </w:p>
  </w:footnote>
  <w:footnote w:id="33">
    <w:p w14:paraId="0430818C"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r>
      <w:r w:rsidRPr="006B53C9">
        <w:rPr>
          <w:rFonts w:ascii="Times New Roman" w:hAnsi="Times New Roman"/>
          <w:i/>
          <w:sz w:val="24"/>
        </w:rPr>
        <w:t>Criminal Code </w:t>
      </w:r>
      <w:r w:rsidRPr="006B53C9">
        <w:rPr>
          <w:rFonts w:ascii="Times New Roman" w:hAnsi="Times New Roman"/>
          <w:sz w:val="24"/>
        </w:rPr>
        <w:t>(</w:t>
      </w:r>
      <w:r w:rsidRPr="006B53C9">
        <w:rPr>
          <w:rFonts w:ascii="Times New Roman" w:hAnsi="Times New Roman"/>
          <w:sz w:val="24"/>
        </w:rPr>
        <w:t>Cth), s 300.2, definition of "possession".</w:t>
      </w:r>
    </w:p>
  </w:footnote>
  <w:footnote w:id="34">
    <w:p w14:paraId="53E69334"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(1998) 101 A Crim R 593 at 598.</w:t>
      </w:r>
    </w:p>
  </w:footnote>
  <w:footnote w:id="35">
    <w:p w14:paraId="4FAA0656"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(2004) 10 VR 215 at 231 [56].</w:t>
      </w:r>
    </w:p>
  </w:footnote>
  <w:footnote w:id="36">
    <w:p w14:paraId="48C1DFEB"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(2004) 8 VR 101 at 116 [28].</w:t>
      </w:r>
    </w:p>
  </w:footnote>
  <w:footnote w:id="37">
    <w:p w14:paraId="50B80992"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 xml:space="preserve">Victoria, Department of Justice and Regulation, </w:t>
      </w:r>
      <w:r w:rsidRPr="006B53C9">
        <w:rPr>
          <w:rFonts w:ascii="Times New Roman" w:hAnsi="Times New Roman"/>
          <w:i/>
          <w:iCs/>
          <w:sz w:val="24"/>
        </w:rPr>
        <w:t>Jury Directions: A Jury</w:t>
      </w:r>
      <w:r w:rsidRPr="006B53C9">
        <w:rPr>
          <w:rFonts w:ascii="Times New Roman" w:hAnsi="Times New Roman"/>
          <w:i/>
          <w:iCs/>
          <w:sz w:val="24"/>
        </w:rPr>
        <w:noBreakHyphen/>
        <w:t xml:space="preserve">Centric Approach Part 2 </w:t>
      </w:r>
      <w:r w:rsidRPr="006B53C9">
        <w:rPr>
          <w:rFonts w:ascii="Times New Roman" w:hAnsi="Times New Roman"/>
          <w:sz w:val="24"/>
        </w:rPr>
        <w:t>(2017) at 12</w:t>
      </w:r>
      <w:r w:rsidRPr="006B53C9">
        <w:rPr>
          <w:rFonts w:ascii="Times New Roman" w:hAnsi="Times New Roman"/>
          <w:sz w:val="24"/>
        </w:rPr>
        <w:noBreakHyphen/>
        <w:t>15.</w:t>
      </w:r>
    </w:p>
  </w:footnote>
  <w:footnote w:id="38">
    <w:p w14:paraId="3F53FFA7"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 xml:space="preserve">Victoria, Legislative Assembly, </w:t>
      </w:r>
      <w:r w:rsidRPr="006B53C9">
        <w:rPr>
          <w:rFonts w:ascii="Times New Roman" w:hAnsi="Times New Roman"/>
          <w:i/>
          <w:iCs/>
          <w:sz w:val="24"/>
        </w:rPr>
        <w:t xml:space="preserve">Parliamentary Debates </w:t>
      </w:r>
      <w:r w:rsidRPr="006B53C9">
        <w:rPr>
          <w:rFonts w:ascii="Times New Roman" w:hAnsi="Times New Roman"/>
          <w:sz w:val="24"/>
        </w:rPr>
        <w:t>(Hansard), 22 February 2017 at 297.</w:t>
      </w:r>
    </w:p>
  </w:footnote>
  <w:footnote w:id="39">
    <w:p w14:paraId="14838CCD"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 xml:space="preserve">Victoria, Legislative Assembly, </w:t>
      </w:r>
      <w:r w:rsidRPr="006B53C9">
        <w:rPr>
          <w:rFonts w:ascii="Times New Roman" w:hAnsi="Times New Roman"/>
          <w:i/>
          <w:iCs/>
          <w:sz w:val="24"/>
        </w:rPr>
        <w:t xml:space="preserve">Jury Directions and Other Acts Amendment </w:t>
      </w:r>
      <w:r w:rsidRPr="006B53C9">
        <w:rPr>
          <w:rFonts w:ascii="Times New Roman" w:hAnsi="Times New Roman"/>
          <w:i/>
          <w:sz w:val="24"/>
        </w:rPr>
        <w:t>Bill 2017</w:t>
      </w:r>
      <w:r w:rsidRPr="006B53C9">
        <w:rPr>
          <w:rFonts w:ascii="Times New Roman" w:hAnsi="Times New Roman"/>
          <w:sz w:val="24"/>
        </w:rPr>
        <w:t>, Explanatory Memorandum</w:t>
      </w:r>
      <w:r w:rsidRPr="006B53C9">
        <w:rPr>
          <w:rFonts w:ascii="Times New Roman" w:hAnsi="Times New Roman"/>
          <w:i/>
          <w:iCs/>
          <w:sz w:val="24"/>
        </w:rPr>
        <w:t xml:space="preserve"> </w:t>
      </w:r>
      <w:r w:rsidRPr="006B53C9">
        <w:rPr>
          <w:rFonts w:ascii="Times New Roman" w:hAnsi="Times New Roman"/>
          <w:sz w:val="24"/>
        </w:rPr>
        <w:t>at 8.</w:t>
      </w:r>
    </w:p>
  </w:footnote>
  <w:footnote w:id="40">
    <w:p w14:paraId="15BD53DD"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(1985) 159 CLR 507 at 515.</w:t>
      </w:r>
    </w:p>
  </w:footnote>
  <w:footnote w:id="41">
    <w:p w14:paraId="1B471264"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(2019) 268 CLR 57 at 64 [12].</w:t>
      </w:r>
    </w:p>
  </w:footnote>
  <w:footnote w:id="42">
    <w:p w14:paraId="10993649"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r>
      <w:r w:rsidRPr="006B53C9">
        <w:rPr>
          <w:rFonts w:ascii="Times New Roman" w:hAnsi="Times New Roman"/>
          <w:i/>
          <w:sz w:val="24"/>
        </w:rPr>
        <w:t>Criminal Procedure Act 2009</w:t>
      </w:r>
      <w:r w:rsidRPr="006B53C9">
        <w:rPr>
          <w:rFonts w:ascii="Times New Roman" w:hAnsi="Times New Roman"/>
          <w:sz w:val="24"/>
        </w:rPr>
        <w:t> (Vic), s 276(2).</w:t>
      </w:r>
    </w:p>
  </w:footnote>
  <w:footnote w:id="43">
    <w:p w14:paraId="60C44B96"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(2012) 246 CLR 469 at 478 [20].</w:t>
      </w:r>
    </w:p>
  </w:footnote>
  <w:footnote w:id="44">
    <w:p w14:paraId="659494C1"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(2012) 246 CLR 469 at 479 [26].</w:t>
      </w:r>
    </w:p>
  </w:footnote>
  <w:footnote w:id="45">
    <w:p w14:paraId="101B9319"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(2012) 246 CLR 469 at 481 [33].</w:t>
      </w:r>
    </w:p>
  </w:footnote>
  <w:footnote w:id="46">
    <w:p w14:paraId="0CE6D78A"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r>
      <w:r w:rsidRPr="006B53C9">
        <w:rPr>
          <w:rFonts w:ascii="Times New Roman" w:hAnsi="Times New Roman"/>
          <w:i/>
          <w:sz w:val="24"/>
        </w:rPr>
        <w:t xml:space="preserve">Wilde v The Queen </w:t>
      </w:r>
      <w:r w:rsidRPr="006B53C9">
        <w:rPr>
          <w:rFonts w:ascii="Times New Roman" w:hAnsi="Times New Roman"/>
          <w:sz w:val="24"/>
        </w:rPr>
        <w:t xml:space="preserve">(1988) 164 CLR 365 at 373; </w:t>
      </w:r>
      <w:r w:rsidRPr="006B53C9">
        <w:rPr>
          <w:rFonts w:ascii="Times New Roman" w:hAnsi="Times New Roman"/>
          <w:i/>
          <w:sz w:val="24"/>
        </w:rPr>
        <w:t xml:space="preserve">Krakouer v The Queen </w:t>
      </w:r>
      <w:r w:rsidRPr="006B53C9">
        <w:rPr>
          <w:rFonts w:ascii="Times New Roman" w:hAnsi="Times New Roman"/>
          <w:sz w:val="24"/>
        </w:rPr>
        <w:t xml:space="preserve">(1998) 194 CLR 202 at 211 [21]; </w:t>
      </w:r>
      <w:r w:rsidRPr="006B53C9">
        <w:rPr>
          <w:rFonts w:ascii="Times New Roman" w:hAnsi="Times New Roman"/>
          <w:i/>
          <w:sz w:val="24"/>
        </w:rPr>
        <w:t xml:space="preserve">Hofer v The Queen </w:t>
      </w:r>
      <w:r w:rsidRPr="006B53C9">
        <w:rPr>
          <w:rFonts w:ascii="Times New Roman" w:hAnsi="Times New Roman"/>
          <w:sz w:val="24"/>
        </w:rPr>
        <w:t>(2021) 95 ALJR 937 at 950 [51]; 395 ALR 1 at 13.</w:t>
      </w:r>
    </w:p>
  </w:footnote>
  <w:footnote w:id="47">
    <w:p w14:paraId="0EE7781E"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r>
      <w:r w:rsidRPr="006B53C9">
        <w:rPr>
          <w:rFonts w:ascii="Times New Roman" w:hAnsi="Times New Roman"/>
          <w:i/>
          <w:sz w:val="24"/>
        </w:rPr>
        <w:t xml:space="preserve">Weiss v The Queen </w:t>
      </w:r>
      <w:r w:rsidRPr="006B53C9">
        <w:rPr>
          <w:rFonts w:ascii="Times New Roman" w:hAnsi="Times New Roman"/>
          <w:sz w:val="24"/>
        </w:rPr>
        <w:t xml:space="preserve">(2005) 224 CLR 300 at 317 [46]; </w:t>
      </w:r>
      <w:r w:rsidRPr="006B53C9">
        <w:rPr>
          <w:rFonts w:ascii="Times New Roman" w:hAnsi="Times New Roman"/>
          <w:i/>
          <w:iCs/>
          <w:sz w:val="24"/>
          <w:shd w:val="clear" w:color="auto" w:fill="FFFFFF"/>
        </w:rPr>
        <w:t xml:space="preserve">Lane v The Queen </w:t>
      </w:r>
      <w:r w:rsidRPr="006B53C9">
        <w:rPr>
          <w:rFonts w:ascii="Times New Roman" w:hAnsi="Times New Roman"/>
          <w:sz w:val="24"/>
          <w:shd w:val="clear" w:color="auto" w:fill="FFFFFF"/>
        </w:rPr>
        <w:t>(2018) 265 CLR 196 at 212 [57];</w:t>
      </w:r>
      <w:r w:rsidRPr="006B53C9">
        <w:rPr>
          <w:rFonts w:ascii="Times New Roman" w:hAnsi="Times New Roman"/>
          <w:sz w:val="24"/>
        </w:rPr>
        <w:t xml:space="preserve"> </w:t>
      </w:r>
      <w:r w:rsidRPr="006B53C9">
        <w:rPr>
          <w:rFonts w:ascii="Times New Roman" w:hAnsi="Times New Roman"/>
          <w:i/>
          <w:sz w:val="24"/>
        </w:rPr>
        <w:t>Hofer v The Queen</w:t>
      </w:r>
      <w:r w:rsidRPr="006B53C9">
        <w:rPr>
          <w:rFonts w:ascii="Times New Roman" w:hAnsi="Times New Roman"/>
          <w:sz w:val="24"/>
        </w:rPr>
        <w:t xml:space="preserve"> (2021) 95 ALJR 937 at 954 [72]; 395 ALR 1 at 18.</w:t>
      </w:r>
    </w:p>
  </w:footnote>
  <w:footnote w:id="48">
    <w:p w14:paraId="60F7C61A"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(2012) 246 CLR 469 at 481 [31].</w:t>
      </w:r>
    </w:p>
  </w:footnote>
  <w:footnote w:id="49">
    <w:p w14:paraId="1C77BDEC"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 xml:space="preserve">See </w:t>
      </w:r>
      <w:r w:rsidRPr="006B53C9">
        <w:rPr>
          <w:rFonts w:ascii="Times New Roman" w:hAnsi="Times New Roman"/>
          <w:i/>
          <w:sz w:val="24"/>
          <w:shd w:val="clear" w:color="auto" w:fill="FFFFFF"/>
        </w:rPr>
        <w:t>Mraz v The Queen</w:t>
      </w:r>
      <w:r w:rsidRPr="006B53C9">
        <w:rPr>
          <w:rFonts w:ascii="Times New Roman" w:hAnsi="Times New Roman"/>
          <w:sz w:val="24"/>
          <w:shd w:val="clear" w:color="auto" w:fill="FFFFFF"/>
        </w:rPr>
        <w:t xml:space="preserve"> (1955) 93 CLR 493 at 514</w:t>
      </w:r>
      <w:r w:rsidRPr="006B53C9">
        <w:rPr>
          <w:rFonts w:ascii="Times New Roman" w:hAnsi="Times New Roman"/>
          <w:sz w:val="24"/>
          <w:shd w:val="clear" w:color="auto" w:fill="FFFFFF"/>
        </w:rPr>
        <w:noBreakHyphen/>
        <w:t xml:space="preserve">515; </w:t>
      </w:r>
      <w:r w:rsidRPr="006B53C9">
        <w:rPr>
          <w:rFonts w:ascii="Times New Roman" w:hAnsi="Times New Roman"/>
          <w:i/>
          <w:iCs/>
          <w:sz w:val="24"/>
          <w:shd w:val="clear" w:color="auto" w:fill="FFFFFF"/>
        </w:rPr>
        <w:t>TKWJ v The Queen</w:t>
      </w:r>
      <w:r w:rsidRPr="006B53C9">
        <w:rPr>
          <w:rFonts w:ascii="Times New Roman" w:hAnsi="Times New Roman"/>
          <w:sz w:val="24"/>
          <w:shd w:val="clear" w:color="auto" w:fill="FFFFFF"/>
        </w:rPr>
        <w:t xml:space="preserve"> (2002) 212 CLR 124 at 143 [63]; </w:t>
      </w:r>
      <w:r w:rsidRPr="006B53C9">
        <w:rPr>
          <w:rFonts w:ascii="Times New Roman" w:hAnsi="Times New Roman"/>
          <w:i/>
          <w:iCs/>
          <w:sz w:val="24"/>
          <w:shd w:val="clear" w:color="auto" w:fill="FFFFFF"/>
        </w:rPr>
        <w:t>Lindsay v The Queen</w:t>
      </w:r>
      <w:r w:rsidRPr="006B53C9">
        <w:rPr>
          <w:rFonts w:ascii="Times New Roman" w:hAnsi="Times New Roman"/>
          <w:sz w:val="24"/>
          <w:shd w:val="clear" w:color="auto" w:fill="FFFFFF"/>
        </w:rPr>
        <w:t xml:space="preserve"> (2015) 255 CLR 272 at 294 [64].</w:t>
      </w:r>
    </w:p>
  </w:footnote>
  <w:footnote w:id="50">
    <w:p w14:paraId="38BDBE7B"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r>
      <w:r w:rsidRPr="006B53C9">
        <w:rPr>
          <w:rFonts w:ascii="Times New Roman" w:hAnsi="Times New Roman"/>
          <w:i/>
          <w:sz w:val="24"/>
        </w:rPr>
        <w:t>Baini v The Queen</w:t>
      </w:r>
      <w:r w:rsidRPr="006B53C9">
        <w:rPr>
          <w:rFonts w:ascii="Times New Roman" w:hAnsi="Times New Roman"/>
          <w:sz w:val="24"/>
        </w:rPr>
        <w:t xml:space="preserve"> (2012) 246 CLR 469 at 480 [29].</w:t>
      </w:r>
    </w:p>
  </w:footnote>
  <w:footnote w:id="51">
    <w:p w14:paraId="624153EA"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r>
      <w:r w:rsidRPr="006B53C9">
        <w:rPr>
          <w:rFonts w:ascii="Times New Roman" w:hAnsi="Times New Roman"/>
          <w:i/>
          <w:sz w:val="24"/>
        </w:rPr>
        <w:t xml:space="preserve">Awad v The Queen </w:t>
      </w:r>
      <w:r w:rsidRPr="006B53C9">
        <w:rPr>
          <w:rFonts w:ascii="Times New Roman" w:hAnsi="Times New Roman"/>
          <w:sz w:val="24"/>
        </w:rPr>
        <w:t>(2021) 291 A Crim R 303 at 324 [78], 349 [196].</w:t>
      </w:r>
    </w:p>
  </w:footnote>
  <w:footnote w:id="52">
    <w:p w14:paraId="7F3D3309"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(2021) 291 A Crim R 303 at 345 [177].</w:t>
      </w:r>
    </w:p>
  </w:footnote>
  <w:footnote w:id="53">
    <w:p w14:paraId="69DBEA36"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(2021) 291 A Crim R 303 at 340 [150].</w:t>
      </w:r>
    </w:p>
  </w:footnote>
  <w:footnote w:id="54">
    <w:p w14:paraId="34B502E4"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(2021) 291 A Crim R 303 at 325 [83], [87].</w:t>
      </w:r>
    </w:p>
  </w:footnote>
  <w:footnote w:id="55">
    <w:p w14:paraId="1F3CC689"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(2012) 246 CLR 469 at 479 [26].</w:t>
      </w:r>
    </w:p>
  </w:footnote>
  <w:footnote w:id="56">
    <w:p w14:paraId="79994A36"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(2012) 246 CLR 469 at 476 [14].</w:t>
      </w:r>
    </w:p>
  </w:footnote>
  <w:footnote w:id="57">
    <w:p w14:paraId="08C0EEA9"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(1994) 179 CLR 1.</w:t>
      </w:r>
    </w:p>
  </w:footnote>
  <w:footnote w:id="58">
    <w:p w14:paraId="6C907261"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(1994) 179 CLR 1 at 9, 13.</w:t>
      </w:r>
    </w:p>
  </w:footnote>
  <w:footnote w:id="59">
    <w:p w14:paraId="7C80DAC9"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(1994) 179 CLR 1 at 8.</w:t>
      </w:r>
    </w:p>
  </w:footnote>
  <w:footnote w:id="60">
    <w:p w14:paraId="7656526B"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(1994) 179 CLR 1 at 12.</w:t>
      </w:r>
    </w:p>
  </w:footnote>
  <w:footnote w:id="61">
    <w:p w14:paraId="68A4C762"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r>
      <w:r w:rsidRPr="006B53C9">
        <w:rPr>
          <w:rFonts w:ascii="Times New Roman" w:hAnsi="Times New Roman"/>
          <w:i/>
          <w:sz w:val="24"/>
        </w:rPr>
        <w:t xml:space="preserve">Awad v The Queen </w:t>
      </w:r>
      <w:r w:rsidRPr="006B53C9">
        <w:rPr>
          <w:rFonts w:ascii="Times New Roman" w:hAnsi="Times New Roman"/>
          <w:sz w:val="24"/>
        </w:rPr>
        <w:t>(2021) 291 A Crim R 303 at 340 [149].</w:t>
      </w:r>
    </w:p>
  </w:footnote>
  <w:footnote w:id="62">
    <w:p w14:paraId="1481E5D4" w14:textId="77777777" w:rsidR="00D06A72" w:rsidRPr="006B53C9" w:rsidRDefault="00D06A72" w:rsidP="006B53C9">
      <w:pPr>
        <w:pStyle w:val="FootnoteText"/>
        <w:spacing w:line="280" w:lineRule="exact"/>
        <w:ind w:right="0"/>
        <w:jc w:val="both"/>
        <w:rPr>
          <w:rFonts w:ascii="Times New Roman" w:hAnsi="Times New Roman"/>
          <w:i/>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r>
      <w:r w:rsidRPr="006B53C9">
        <w:rPr>
          <w:rFonts w:ascii="Times New Roman" w:hAnsi="Times New Roman"/>
          <w:i/>
          <w:sz w:val="24"/>
        </w:rPr>
        <w:t xml:space="preserve">Weiss v The Queen </w:t>
      </w:r>
      <w:r w:rsidRPr="006B53C9">
        <w:rPr>
          <w:rFonts w:ascii="Times New Roman" w:hAnsi="Times New Roman"/>
          <w:sz w:val="24"/>
        </w:rPr>
        <w:t>(2005) 224 CLR 300 at 302.</w:t>
      </w:r>
    </w:p>
  </w:footnote>
  <w:footnote w:id="63">
    <w:p w14:paraId="565AA6B8"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r>
      <w:r w:rsidRPr="006B53C9">
        <w:rPr>
          <w:rFonts w:ascii="Times New Roman" w:hAnsi="Times New Roman"/>
          <w:i/>
          <w:sz w:val="24"/>
        </w:rPr>
        <w:t xml:space="preserve">Hargraves v The Queen </w:t>
      </w:r>
      <w:r w:rsidRPr="006B53C9">
        <w:rPr>
          <w:rFonts w:ascii="Times New Roman" w:hAnsi="Times New Roman"/>
          <w:sz w:val="24"/>
        </w:rPr>
        <w:t>(2011) 245 CLR 257 at 277 [46].</w:t>
      </w:r>
    </w:p>
  </w:footnote>
  <w:footnote w:id="64">
    <w:p w14:paraId="6EBABD3A"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 xml:space="preserve">See, </w:t>
      </w:r>
      <w:r w:rsidRPr="006B53C9">
        <w:rPr>
          <w:rFonts w:ascii="Times New Roman" w:hAnsi="Times New Roman"/>
          <w:sz w:val="24"/>
        </w:rPr>
        <w:t xml:space="preserve">eg, </w:t>
      </w:r>
      <w:r w:rsidRPr="006B53C9">
        <w:rPr>
          <w:rFonts w:ascii="Times New Roman" w:hAnsi="Times New Roman"/>
          <w:i/>
          <w:iCs/>
          <w:sz w:val="24"/>
        </w:rPr>
        <w:t>Robinson</w:t>
      </w:r>
      <w:r w:rsidRPr="006B53C9">
        <w:rPr>
          <w:rFonts w:ascii="Times New Roman" w:hAnsi="Times New Roman"/>
          <w:sz w:val="24"/>
        </w:rPr>
        <w:t xml:space="preserve"> </w:t>
      </w:r>
      <w:r w:rsidRPr="006B53C9">
        <w:rPr>
          <w:rFonts w:ascii="Times New Roman" w:hAnsi="Times New Roman"/>
          <w:i/>
          <w:sz w:val="24"/>
        </w:rPr>
        <w:t xml:space="preserve">v The Queen </w:t>
      </w:r>
      <w:r w:rsidRPr="006B53C9">
        <w:rPr>
          <w:rFonts w:ascii="Times New Roman" w:hAnsi="Times New Roman"/>
          <w:sz w:val="24"/>
        </w:rPr>
        <w:t>(1991) 180 CLR 531 at 534</w:t>
      </w:r>
      <w:r w:rsidRPr="006B53C9">
        <w:rPr>
          <w:rFonts w:ascii="Times New Roman" w:hAnsi="Times New Roman"/>
          <w:sz w:val="24"/>
        </w:rPr>
        <w:noBreakHyphen/>
        <w:t xml:space="preserve">535; </w:t>
      </w:r>
      <w:r w:rsidRPr="006B53C9">
        <w:rPr>
          <w:rFonts w:ascii="Times New Roman" w:hAnsi="Times New Roman"/>
          <w:i/>
          <w:iCs/>
          <w:sz w:val="24"/>
        </w:rPr>
        <w:t xml:space="preserve">Azzopardi </w:t>
      </w:r>
      <w:r w:rsidRPr="006B53C9">
        <w:rPr>
          <w:rFonts w:ascii="Times New Roman" w:hAnsi="Times New Roman"/>
          <w:i/>
          <w:sz w:val="24"/>
        </w:rPr>
        <w:t xml:space="preserve">v The Queen </w:t>
      </w:r>
      <w:r w:rsidRPr="006B53C9">
        <w:rPr>
          <w:rFonts w:ascii="Times New Roman" w:hAnsi="Times New Roman"/>
          <w:sz w:val="24"/>
        </w:rPr>
        <w:t>(2001) 205 CLR 50 at 75</w:t>
      </w:r>
      <w:r w:rsidRPr="006B53C9">
        <w:rPr>
          <w:rFonts w:ascii="Times New Roman" w:hAnsi="Times New Roman"/>
          <w:sz w:val="24"/>
        </w:rPr>
        <w:noBreakHyphen/>
        <w:t>76 [</w:t>
      </w:r>
      <w:r w:rsidRPr="006B53C9">
        <w:rPr>
          <w:rFonts w:ascii="Times New Roman" w:hAnsi="Times New Roman"/>
          <w:sz w:val="24"/>
        </w:rPr>
        <w:t>71]</w:t>
      </w:r>
      <w:r w:rsidRPr="006B53C9">
        <w:rPr>
          <w:rFonts w:ascii="Times New Roman" w:hAnsi="Times New Roman"/>
          <w:sz w:val="24"/>
        </w:rPr>
        <w:noBreakHyphen/>
        <w:t xml:space="preserve">[72]; </w:t>
      </w:r>
      <w:r w:rsidRPr="006B53C9">
        <w:rPr>
          <w:rFonts w:ascii="Times New Roman" w:hAnsi="Times New Roman"/>
          <w:i/>
          <w:iCs/>
          <w:sz w:val="24"/>
        </w:rPr>
        <w:t>GBF</w:t>
      </w:r>
      <w:r w:rsidRPr="006B53C9">
        <w:rPr>
          <w:rFonts w:ascii="Times New Roman" w:hAnsi="Times New Roman"/>
          <w:sz w:val="24"/>
        </w:rPr>
        <w:t xml:space="preserve"> </w:t>
      </w:r>
      <w:r w:rsidRPr="006B53C9">
        <w:rPr>
          <w:rFonts w:ascii="Times New Roman" w:hAnsi="Times New Roman"/>
          <w:i/>
          <w:sz w:val="24"/>
        </w:rPr>
        <w:t xml:space="preserve">v The Queen </w:t>
      </w:r>
      <w:r w:rsidRPr="006B53C9">
        <w:rPr>
          <w:rFonts w:ascii="Times New Roman" w:hAnsi="Times New Roman"/>
          <w:sz w:val="24"/>
        </w:rPr>
        <w:t>(2020) 271 CLR 537 at 543</w:t>
      </w:r>
      <w:r w:rsidRPr="006B53C9">
        <w:rPr>
          <w:rFonts w:ascii="Times New Roman" w:hAnsi="Times New Roman"/>
          <w:sz w:val="24"/>
        </w:rPr>
        <w:noBreakHyphen/>
        <w:t>544 [11]</w:t>
      </w:r>
      <w:r w:rsidRPr="006B53C9">
        <w:rPr>
          <w:rFonts w:ascii="Times New Roman" w:hAnsi="Times New Roman"/>
          <w:sz w:val="24"/>
        </w:rPr>
        <w:noBreakHyphen/>
        <w:t>[12].</w:t>
      </w:r>
    </w:p>
  </w:footnote>
  <w:footnote w:id="65">
    <w:p w14:paraId="0CFA58DA"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r>
      <w:r w:rsidRPr="006B53C9">
        <w:rPr>
          <w:rFonts w:ascii="Times New Roman" w:hAnsi="Times New Roman"/>
          <w:i/>
          <w:sz w:val="24"/>
        </w:rPr>
        <w:t xml:space="preserve">Awad v The Queen </w:t>
      </w:r>
      <w:r w:rsidRPr="006B53C9">
        <w:rPr>
          <w:rFonts w:ascii="Times New Roman" w:hAnsi="Times New Roman"/>
          <w:sz w:val="24"/>
        </w:rPr>
        <w:t>(2021) 291 A Crim R 303 at 343 [167].</w:t>
      </w:r>
    </w:p>
  </w:footnote>
  <w:footnote w:id="66">
    <w:p w14:paraId="7B2F638E" w14:textId="77777777" w:rsidR="00D06A72" w:rsidRPr="006B53C9" w:rsidRDefault="00D06A72" w:rsidP="006B53C9">
      <w:pPr>
        <w:pStyle w:val="FootnoteText"/>
        <w:spacing w:line="280" w:lineRule="exact"/>
        <w:ind w:right="0"/>
        <w:jc w:val="both"/>
        <w:rPr>
          <w:rFonts w:ascii="Times New Roman" w:hAnsi="Times New Roman"/>
          <w:i/>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r>
      <w:r w:rsidRPr="006B53C9">
        <w:rPr>
          <w:rFonts w:ascii="Times New Roman" w:hAnsi="Times New Roman"/>
          <w:i/>
          <w:iCs/>
          <w:sz w:val="24"/>
        </w:rPr>
        <w:t>Haggag</w:t>
      </w:r>
      <w:r w:rsidRPr="006B53C9">
        <w:rPr>
          <w:rFonts w:ascii="Times New Roman" w:hAnsi="Times New Roman"/>
          <w:sz w:val="24"/>
        </w:rPr>
        <w:t xml:space="preserve"> (1998) 101 A Crim R 593 at 598.</w:t>
      </w:r>
    </w:p>
  </w:footnote>
  <w:footnote w:id="67">
    <w:p w14:paraId="640B3FE9"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t>(1991) 180 CLR 531 at 535</w:t>
      </w:r>
      <w:r w:rsidRPr="006B53C9">
        <w:rPr>
          <w:rFonts w:ascii="Times New Roman" w:hAnsi="Times New Roman"/>
          <w:sz w:val="24"/>
        </w:rPr>
        <w:noBreakHyphen/>
        <w:t>536.</w:t>
      </w:r>
    </w:p>
  </w:footnote>
  <w:footnote w:id="68">
    <w:p w14:paraId="1E9FBB44" w14:textId="77777777" w:rsidR="00D06A72" w:rsidRPr="006B53C9" w:rsidRDefault="00D06A72" w:rsidP="006B53C9">
      <w:pPr>
        <w:pStyle w:val="FootnoteText"/>
        <w:spacing w:line="280" w:lineRule="exact"/>
        <w:ind w:right="0"/>
        <w:jc w:val="both"/>
        <w:rPr>
          <w:rFonts w:ascii="Times New Roman" w:hAnsi="Times New Roman"/>
          <w:sz w:val="24"/>
        </w:rPr>
      </w:pPr>
      <w:r w:rsidRPr="006B53C9">
        <w:rPr>
          <w:rStyle w:val="FootnoteReference"/>
          <w:rFonts w:ascii="Times New Roman" w:hAnsi="Times New Roman"/>
          <w:sz w:val="22"/>
          <w:vertAlign w:val="baseline"/>
        </w:rPr>
        <w:footnoteRef/>
      </w:r>
      <w:r w:rsidRPr="006B53C9">
        <w:rPr>
          <w:rFonts w:ascii="Times New Roman" w:hAnsi="Times New Roman"/>
          <w:sz w:val="24"/>
        </w:rPr>
        <w:t xml:space="preserve"> </w:t>
      </w:r>
      <w:r w:rsidRPr="006B53C9">
        <w:rPr>
          <w:rFonts w:ascii="Times New Roman" w:hAnsi="Times New Roman"/>
          <w:sz w:val="24"/>
        </w:rPr>
        <w:tab/>
      </w:r>
      <w:r w:rsidRPr="006B53C9">
        <w:rPr>
          <w:rFonts w:ascii="Times New Roman" w:hAnsi="Times New Roman"/>
          <w:i/>
          <w:sz w:val="24"/>
        </w:rPr>
        <w:t xml:space="preserve">Hargraves v The Queen </w:t>
      </w:r>
      <w:r w:rsidRPr="006B53C9">
        <w:rPr>
          <w:rFonts w:ascii="Times New Roman" w:hAnsi="Times New Roman"/>
          <w:sz w:val="24"/>
        </w:rPr>
        <w:t>(2011) 245 CLR 257 at 277 [46].</w:t>
      </w:r>
    </w:p>
  </w:footnote>
  <w:footnote w:id="69">
    <w:p w14:paraId="314C8BE3"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t xml:space="preserve">Being the third category of case identified by French CJ, Hayne, </w:t>
      </w:r>
      <w:r w:rsidRPr="00F44BC3">
        <w:rPr>
          <w:rFonts w:ascii="Times New Roman" w:hAnsi="Times New Roman"/>
          <w:sz w:val="24"/>
        </w:rPr>
        <w:t xml:space="preserve">Crennan, Kiefel and Bell JJ in </w:t>
      </w:r>
      <w:r w:rsidRPr="00F44BC3">
        <w:rPr>
          <w:rFonts w:ascii="Times New Roman" w:hAnsi="Times New Roman"/>
          <w:i/>
          <w:iCs/>
          <w:sz w:val="24"/>
        </w:rPr>
        <w:t>Baini v The Queen</w:t>
      </w:r>
      <w:r w:rsidRPr="00F44BC3">
        <w:rPr>
          <w:rFonts w:ascii="Times New Roman" w:hAnsi="Times New Roman"/>
          <w:sz w:val="24"/>
        </w:rPr>
        <w:t xml:space="preserve"> (2012) 246 CLR 469 at 479 [26].</w:t>
      </w:r>
    </w:p>
  </w:footnote>
  <w:footnote w:id="70">
    <w:p w14:paraId="609F4E8B"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t>See [</w:t>
      </w:r>
      <w:r>
        <w:rPr>
          <w:rFonts w:ascii="Times New Roman" w:hAnsi="Times New Roman"/>
          <w:sz w:val="24"/>
        </w:rPr>
        <w:t>78</w:t>
      </w:r>
      <w:r w:rsidRPr="00F44BC3">
        <w:rPr>
          <w:rFonts w:ascii="Times New Roman" w:hAnsi="Times New Roman"/>
          <w:sz w:val="24"/>
        </w:rPr>
        <w:t>], [</w:t>
      </w:r>
      <w:r>
        <w:rPr>
          <w:rFonts w:ascii="Times New Roman" w:hAnsi="Times New Roman"/>
          <w:sz w:val="24"/>
        </w:rPr>
        <w:t>92</w:t>
      </w:r>
      <w:r w:rsidRPr="00F44BC3">
        <w:rPr>
          <w:rFonts w:ascii="Times New Roman" w:hAnsi="Times New Roman"/>
          <w:sz w:val="24"/>
        </w:rPr>
        <w:t>]-[</w:t>
      </w:r>
      <w:r>
        <w:rPr>
          <w:rFonts w:ascii="Times New Roman" w:hAnsi="Times New Roman"/>
          <w:sz w:val="24"/>
        </w:rPr>
        <w:t>106</w:t>
      </w:r>
      <w:r w:rsidRPr="00F44BC3">
        <w:rPr>
          <w:rFonts w:ascii="Times New Roman" w:hAnsi="Times New Roman"/>
          <w:sz w:val="24"/>
        </w:rPr>
        <w:t xml:space="preserve">], being the second category of case identified by French CJ, Hayne, </w:t>
      </w:r>
      <w:r w:rsidRPr="00F44BC3">
        <w:rPr>
          <w:rFonts w:ascii="Times New Roman" w:hAnsi="Times New Roman"/>
          <w:sz w:val="24"/>
        </w:rPr>
        <w:t xml:space="preserve">Crennan, Kiefel and Bell JJ in </w:t>
      </w:r>
      <w:r w:rsidRPr="00F44BC3">
        <w:rPr>
          <w:rFonts w:ascii="Times New Roman" w:hAnsi="Times New Roman"/>
          <w:i/>
          <w:iCs/>
          <w:sz w:val="24"/>
        </w:rPr>
        <w:t>Baini v The Queen</w:t>
      </w:r>
      <w:r w:rsidRPr="00F44BC3">
        <w:rPr>
          <w:rFonts w:ascii="Times New Roman" w:hAnsi="Times New Roman"/>
          <w:sz w:val="24"/>
        </w:rPr>
        <w:t xml:space="preserve"> (2012) 246 CLR 469 at 479 [26].</w:t>
      </w:r>
    </w:p>
  </w:footnote>
  <w:footnote w:id="71">
    <w:p w14:paraId="5A95047C"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t>See [</w:t>
      </w:r>
      <w:r>
        <w:rPr>
          <w:rFonts w:ascii="Times New Roman" w:hAnsi="Times New Roman"/>
          <w:sz w:val="24"/>
        </w:rPr>
        <w:t>70</w:t>
      </w:r>
      <w:r w:rsidRPr="00F44BC3">
        <w:rPr>
          <w:rFonts w:ascii="Times New Roman" w:hAnsi="Times New Roman"/>
          <w:sz w:val="24"/>
        </w:rPr>
        <w:t>].</w:t>
      </w:r>
    </w:p>
  </w:footnote>
  <w:footnote w:id="72">
    <w:p w14:paraId="21D9E8A8"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r>
      <w:r w:rsidRPr="00F44BC3">
        <w:rPr>
          <w:rFonts w:ascii="Times New Roman" w:hAnsi="Times New Roman"/>
          <w:i/>
          <w:iCs/>
          <w:sz w:val="24"/>
        </w:rPr>
        <w:t xml:space="preserve">Awad v The Queen </w:t>
      </w:r>
      <w:r w:rsidRPr="00F44BC3">
        <w:rPr>
          <w:rFonts w:ascii="Times New Roman" w:hAnsi="Times New Roman"/>
          <w:sz w:val="24"/>
        </w:rPr>
        <w:t>(2021) 291 A Crim R 303 at 339-340 [149]-[150].</w:t>
      </w:r>
    </w:p>
  </w:footnote>
  <w:footnote w:id="73">
    <w:p w14:paraId="3FBF462E"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r>
      <w:r w:rsidRPr="00F44BC3">
        <w:rPr>
          <w:rFonts w:ascii="Times New Roman" w:hAnsi="Times New Roman"/>
          <w:i/>
          <w:iCs/>
          <w:sz w:val="24"/>
        </w:rPr>
        <w:t>Weiss v The Queen</w:t>
      </w:r>
      <w:r w:rsidRPr="00F44BC3">
        <w:rPr>
          <w:rFonts w:ascii="Times New Roman" w:hAnsi="Times New Roman"/>
          <w:sz w:val="24"/>
        </w:rPr>
        <w:t xml:space="preserve"> (2005) 224 CLR 300 at 317 [43] per Gleeson CJ, </w:t>
      </w:r>
      <w:r w:rsidRPr="00F44BC3">
        <w:rPr>
          <w:rFonts w:ascii="Times New Roman" w:hAnsi="Times New Roman"/>
          <w:sz w:val="24"/>
        </w:rPr>
        <w:t>Gummow, Kirby, Hayne, Callinan and Heydon JJ.</w:t>
      </w:r>
    </w:p>
  </w:footnote>
  <w:footnote w:id="74">
    <w:p w14:paraId="27F421B0"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t>(2009) 83 ALJR 671 at 678 [30]; 254 ALR 626 at 634.</w:t>
      </w:r>
    </w:p>
  </w:footnote>
  <w:footnote w:id="75">
    <w:p w14:paraId="5BBD21A5"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r>
      <w:r w:rsidRPr="00F44BC3">
        <w:rPr>
          <w:rFonts w:ascii="Times New Roman" w:hAnsi="Times New Roman"/>
          <w:i/>
          <w:iCs/>
          <w:sz w:val="24"/>
        </w:rPr>
        <w:t xml:space="preserve">Awad v The Queen </w:t>
      </w:r>
      <w:r w:rsidRPr="00F44BC3">
        <w:rPr>
          <w:rFonts w:ascii="Times New Roman" w:hAnsi="Times New Roman"/>
          <w:sz w:val="24"/>
        </w:rPr>
        <w:t>(2021) 291 A Crim R 303 at 340</w:t>
      </w:r>
      <w:r w:rsidRPr="00F44BC3">
        <w:rPr>
          <w:rFonts w:ascii="Times New Roman" w:hAnsi="Times New Roman"/>
          <w:i/>
          <w:iCs/>
          <w:sz w:val="24"/>
        </w:rPr>
        <w:t xml:space="preserve"> </w:t>
      </w:r>
      <w:r w:rsidRPr="00F44BC3">
        <w:rPr>
          <w:rFonts w:ascii="Times New Roman" w:hAnsi="Times New Roman"/>
          <w:sz w:val="24"/>
        </w:rPr>
        <w:t>[150].</w:t>
      </w:r>
    </w:p>
  </w:footnote>
  <w:footnote w:id="76">
    <w:p w14:paraId="01C0A670"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t xml:space="preserve">See </w:t>
      </w:r>
      <w:r w:rsidRPr="00F44BC3">
        <w:rPr>
          <w:rFonts w:ascii="Times New Roman" w:hAnsi="Times New Roman"/>
          <w:i/>
          <w:iCs/>
          <w:sz w:val="24"/>
        </w:rPr>
        <w:t>Baini v The Queen</w:t>
      </w:r>
      <w:r w:rsidRPr="00F44BC3">
        <w:rPr>
          <w:rFonts w:ascii="Times New Roman" w:hAnsi="Times New Roman"/>
          <w:sz w:val="24"/>
        </w:rPr>
        <w:t xml:space="preserve"> (2012) 246 CLR 469 at 480-481 [30]-[31] per French CJ, Hayne, Crennan, Kiefel and Bell JJ; </w:t>
      </w:r>
      <w:r w:rsidRPr="00F44BC3">
        <w:rPr>
          <w:rFonts w:ascii="Times New Roman" w:hAnsi="Times New Roman"/>
          <w:i/>
          <w:iCs/>
          <w:sz w:val="24"/>
        </w:rPr>
        <w:t>Andelman v The Queen</w:t>
      </w:r>
      <w:r w:rsidRPr="00F44BC3">
        <w:rPr>
          <w:rFonts w:ascii="Times New Roman" w:hAnsi="Times New Roman"/>
          <w:sz w:val="24"/>
        </w:rPr>
        <w:t xml:space="preserve"> (2013) 38 VR 659 at 681 [101]-[102] per Maxwell P, </w:t>
      </w:r>
      <w:r w:rsidRPr="00F44BC3">
        <w:rPr>
          <w:rFonts w:ascii="Times New Roman" w:hAnsi="Times New Roman"/>
          <w:sz w:val="24"/>
        </w:rPr>
        <w:t>Weinberg and Priest JJA.</w:t>
      </w:r>
    </w:p>
  </w:footnote>
  <w:footnote w:id="77">
    <w:p w14:paraId="56BDD4F4"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r>
      <w:r w:rsidRPr="00F44BC3">
        <w:rPr>
          <w:rFonts w:ascii="Times New Roman" w:hAnsi="Times New Roman"/>
          <w:i/>
          <w:iCs/>
          <w:sz w:val="24"/>
        </w:rPr>
        <w:t xml:space="preserve">Awad v The Queen </w:t>
      </w:r>
      <w:r w:rsidRPr="00F44BC3">
        <w:rPr>
          <w:rFonts w:ascii="Times New Roman" w:hAnsi="Times New Roman"/>
          <w:sz w:val="24"/>
        </w:rPr>
        <w:t>(2021) 291 A Crim R 303 at 340 [150] per McLeish and Niall JJA.</w:t>
      </w:r>
    </w:p>
  </w:footnote>
  <w:footnote w:id="78">
    <w:p w14:paraId="4B9F6C4F"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r>
      <w:r w:rsidRPr="00F44BC3">
        <w:rPr>
          <w:rFonts w:ascii="Times New Roman" w:hAnsi="Times New Roman"/>
          <w:i/>
          <w:iCs/>
          <w:sz w:val="24"/>
        </w:rPr>
        <w:t>Hargraves v The Queen</w:t>
      </w:r>
      <w:r w:rsidRPr="00F44BC3">
        <w:rPr>
          <w:rFonts w:ascii="Times New Roman" w:hAnsi="Times New Roman"/>
          <w:sz w:val="24"/>
        </w:rPr>
        <w:t xml:space="preserve"> (2011) 245 CLR 257 at 277 [46] per French CJ, </w:t>
      </w:r>
      <w:r w:rsidRPr="00F44BC3">
        <w:rPr>
          <w:rFonts w:ascii="Times New Roman" w:hAnsi="Times New Roman"/>
          <w:sz w:val="24"/>
        </w:rPr>
        <w:t>Gummow, Hayne, Crennan, Kiefel and Bell JJ.</w:t>
      </w:r>
    </w:p>
  </w:footnote>
  <w:footnote w:id="79">
    <w:p w14:paraId="3E0AF11C"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r>
      <w:r w:rsidRPr="00F44BC3">
        <w:rPr>
          <w:rFonts w:ascii="Times New Roman" w:hAnsi="Times New Roman"/>
          <w:i/>
          <w:iCs/>
          <w:sz w:val="24"/>
        </w:rPr>
        <w:t>Hargraves v The Queen</w:t>
      </w:r>
      <w:r w:rsidRPr="00F44BC3">
        <w:rPr>
          <w:rFonts w:ascii="Times New Roman" w:hAnsi="Times New Roman"/>
          <w:sz w:val="24"/>
        </w:rPr>
        <w:t xml:space="preserve"> (2011) 245 CLR 257 at 277 [46] per French CJ, </w:t>
      </w:r>
      <w:r w:rsidRPr="00F44BC3">
        <w:rPr>
          <w:rFonts w:ascii="Times New Roman" w:hAnsi="Times New Roman"/>
          <w:sz w:val="24"/>
        </w:rPr>
        <w:t>Gummow, Hayne, Crennan, Kiefel and Bell JJ.</w:t>
      </w:r>
    </w:p>
  </w:footnote>
  <w:footnote w:id="80">
    <w:p w14:paraId="44D093EA"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t xml:space="preserve">See, </w:t>
      </w:r>
      <w:r w:rsidRPr="00F44BC3">
        <w:rPr>
          <w:rFonts w:ascii="Times New Roman" w:hAnsi="Times New Roman"/>
          <w:sz w:val="24"/>
        </w:rPr>
        <w:t xml:space="preserve">eg, </w:t>
      </w:r>
      <w:r w:rsidRPr="00F44BC3">
        <w:rPr>
          <w:rFonts w:ascii="Times New Roman" w:hAnsi="Times New Roman"/>
          <w:i/>
          <w:iCs/>
          <w:sz w:val="24"/>
        </w:rPr>
        <w:t>Webb v The Queen</w:t>
      </w:r>
      <w:r w:rsidRPr="00F44BC3">
        <w:rPr>
          <w:rFonts w:ascii="Times New Roman" w:hAnsi="Times New Roman"/>
          <w:sz w:val="24"/>
        </w:rPr>
        <w:t xml:space="preserve"> (1994) 181 CLR 41 at 81 per Deane J. See also s 16 of the JD Act, which entitles a judge to give a redirection if there are "substantial and compelling reasons for doing so"; cf s 7, which obliges a judge to correct statements or suggestions made at trial by counsel, or arising in a question from the jury, that are contrary to the Act.</w:t>
      </w:r>
    </w:p>
  </w:footnote>
  <w:footnote w:id="81">
    <w:p w14:paraId="10C7628F"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r>
      <w:r w:rsidRPr="00F44BC3">
        <w:rPr>
          <w:rFonts w:ascii="Times New Roman" w:hAnsi="Times New Roman"/>
          <w:i/>
          <w:iCs/>
          <w:sz w:val="24"/>
        </w:rPr>
        <w:t xml:space="preserve">Jarvie v The Magistrates' Court of Victoria </w:t>
      </w:r>
      <w:r w:rsidRPr="00F44BC3">
        <w:rPr>
          <w:rFonts w:ascii="Times New Roman" w:hAnsi="Times New Roman"/>
          <w:sz w:val="24"/>
        </w:rPr>
        <w:t>[1995] 1 VR 84 at 90 per Brooking</w:t>
      </w:r>
      <w:r>
        <w:rPr>
          <w:rFonts w:ascii="Times New Roman" w:hAnsi="Times New Roman"/>
          <w:sz w:val="24"/>
        </w:rPr>
        <w:t> </w:t>
      </w:r>
      <w:r w:rsidRPr="00F44BC3">
        <w:rPr>
          <w:rFonts w:ascii="Times New Roman" w:hAnsi="Times New Roman"/>
          <w:sz w:val="24"/>
        </w:rPr>
        <w:t xml:space="preserve">J, citing </w:t>
      </w:r>
      <w:r w:rsidRPr="00F44BC3">
        <w:rPr>
          <w:rFonts w:ascii="Times New Roman" w:hAnsi="Times New Roman"/>
          <w:i/>
          <w:iCs/>
          <w:sz w:val="24"/>
        </w:rPr>
        <w:t>Jago v District Court (NSW)</w:t>
      </w:r>
      <w:r w:rsidRPr="00F44BC3">
        <w:rPr>
          <w:rFonts w:ascii="Times New Roman" w:hAnsi="Times New Roman"/>
          <w:sz w:val="24"/>
        </w:rPr>
        <w:t xml:space="preserve"> (1989) 168 CLR 23 at 49-50</w:t>
      </w:r>
      <w:r>
        <w:rPr>
          <w:rFonts w:ascii="Times New Roman" w:hAnsi="Times New Roman"/>
          <w:sz w:val="24"/>
        </w:rPr>
        <w:t xml:space="preserve">, </w:t>
      </w:r>
      <w:r w:rsidRPr="00F44BC3">
        <w:rPr>
          <w:rFonts w:ascii="Times New Roman" w:hAnsi="Times New Roman"/>
          <w:sz w:val="24"/>
        </w:rPr>
        <w:t>54 per Brennan</w:t>
      </w:r>
      <w:r>
        <w:rPr>
          <w:rFonts w:ascii="Times New Roman" w:hAnsi="Times New Roman"/>
          <w:sz w:val="24"/>
        </w:rPr>
        <w:t> </w:t>
      </w:r>
      <w:r w:rsidRPr="00F44BC3">
        <w:rPr>
          <w:rFonts w:ascii="Times New Roman" w:hAnsi="Times New Roman"/>
          <w:sz w:val="24"/>
        </w:rPr>
        <w:t xml:space="preserve">J, </w:t>
      </w:r>
      <w:r w:rsidRPr="00F44BC3">
        <w:rPr>
          <w:rFonts w:ascii="Times New Roman" w:hAnsi="Times New Roman"/>
          <w:i/>
          <w:iCs/>
          <w:sz w:val="24"/>
        </w:rPr>
        <w:t>R v Glennon</w:t>
      </w:r>
      <w:r w:rsidRPr="00F44BC3">
        <w:rPr>
          <w:rFonts w:ascii="Times New Roman" w:hAnsi="Times New Roman"/>
          <w:sz w:val="24"/>
        </w:rPr>
        <w:t xml:space="preserve"> (1992) 173 CLR 592 at 614-617 per Brennan</w:t>
      </w:r>
      <w:r>
        <w:rPr>
          <w:rFonts w:ascii="Times New Roman" w:hAnsi="Times New Roman"/>
          <w:sz w:val="24"/>
        </w:rPr>
        <w:t> </w:t>
      </w:r>
      <w:r w:rsidRPr="00F44BC3">
        <w:rPr>
          <w:rFonts w:ascii="Times New Roman" w:hAnsi="Times New Roman"/>
          <w:sz w:val="24"/>
        </w:rPr>
        <w:t xml:space="preserve">J and </w:t>
      </w:r>
      <w:r w:rsidRPr="00F44BC3">
        <w:rPr>
          <w:rFonts w:ascii="Times New Roman" w:hAnsi="Times New Roman"/>
          <w:i/>
          <w:iCs/>
          <w:sz w:val="24"/>
        </w:rPr>
        <w:t>Dietrich v The Queen</w:t>
      </w:r>
      <w:r w:rsidRPr="00F44BC3">
        <w:rPr>
          <w:rFonts w:ascii="Times New Roman" w:hAnsi="Times New Roman"/>
          <w:sz w:val="24"/>
        </w:rPr>
        <w:t xml:space="preserve"> (1992) 177 CLR 292 at 325 per Brennan</w:t>
      </w:r>
      <w:r>
        <w:rPr>
          <w:rFonts w:ascii="Times New Roman" w:hAnsi="Times New Roman"/>
          <w:sz w:val="24"/>
        </w:rPr>
        <w:t> </w:t>
      </w:r>
      <w:r w:rsidRPr="00F44BC3">
        <w:rPr>
          <w:rFonts w:ascii="Times New Roman" w:hAnsi="Times New Roman"/>
          <w:sz w:val="24"/>
        </w:rPr>
        <w:t xml:space="preserve">J. See also </w:t>
      </w:r>
      <w:r w:rsidRPr="00F44BC3">
        <w:rPr>
          <w:rFonts w:ascii="Times New Roman" w:hAnsi="Times New Roman"/>
          <w:i/>
          <w:iCs/>
          <w:sz w:val="24"/>
        </w:rPr>
        <w:t>Packard v The Queen</w:t>
      </w:r>
      <w:r w:rsidRPr="00F44BC3">
        <w:rPr>
          <w:rFonts w:ascii="Times New Roman" w:hAnsi="Times New Roman"/>
          <w:sz w:val="24"/>
        </w:rPr>
        <w:t xml:space="preserve"> (2018) 271 A Crim R 353 at 401-402 [164], [168] per Beach</w:t>
      </w:r>
      <w:r>
        <w:rPr>
          <w:rFonts w:ascii="Times New Roman" w:hAnsi="Times New Roman"/>
          <w:sz w:val="24"/>
        </w:rPr>
        <w:t> </w:t>
      </w:r>
      <w:r w:rsidRPr="00F44BC3">
        <w:rPr>
          <w:rFonts w:ascii="Times New Roman" w:hAnsi="Times New Roman"/>
          <w:sz w:val="24"/>
        </w:rPr>
        <w:t>JA and Beale</w:t>
      </w:r>
      <w:r>
        <w:rPr>
          <w:rFonts w:ascii="Times New Roman" w:hAnsi="Times New Roman"/>
          <w:sz w:val="24"/>
        </w:rPr>
        <w:t> </w:t>
      </w:r>
      <w:r w:rsidRPr="00F44BC3">
        <w:rPr>
          <w:rFonts w:ascii="Times New Roman" w:hAnsi="Times New Roman"/>
          <w:sz w:val="24"/>
        </w:rPr>
        <w:t>A</w:t>
      </w:r>
      <w:r>
        <w:rPr>
          <w:rFonts w:ascii="Times New Roman" w:hAnsi="Times New Roman"/>
          <w:sz w:val="24"/>
        </w:rPr>
        <w:noBreakHyphen/>
      </w:r>
      <w:r w:rsidRPr="00F44BC3">
        <w:rPr>
          <w:rFonts w:ascii="Times New Roman" w:hAnsi="Times New Roman"/>
          <w:sz w:val="24"/>
        </w:rPr>
        <w:t>JA.</w:t>
      </w:r>
    </w:p>
  </w:footnote>
  <w:footnote w:id="82">
    <w:p w14:paraId="4C1CC6AA"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t>(2011) 245 CLR 257.</w:t>
      </w:r>
    </w:p>
  </w:footnote>
  <w:footnote w:id="83">
    <w:p w14:paraId="06FE42E0"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t xml:space="preserve">See, </w:t>
      </w:r>
      <w:r w:rsidRPr="00F44BC3">
        <w:rPr>
          <w:rFonts w:ascii="Times New Roman" w:hAnsi="Times New Roman"/>
          <w:sz w:val="24"/>
        </w:rPr>
        <w:t xml:space="preserve">eg, </w:t>
      </w:r>
      <w:r w:rsidRPr="00F44BC3">
        <w:rPr>
          <w:rFonts w:ascii="Times New Roman" w:hAnsi="Times New Roman"/>
          <w:i/>
          <w:iCs/>
          <w:sz w:val="24"/>
        </w:rPr>
        <w:t>R v Osland</w:t>
      </w:r>
      <w:r w:rsidRPr="00F44BC3">
        <w:rPr>
          <w:rFonts w:ascii="Times New Roman" w:hAnsi="Times New Roman"/>
          <w:sz w:val="24"/>
        </w:rPr>
        <w:t xml:space="preserve"> [1998] 2 VR 636 at 651-652 per Winneke P, </w:t>
      </w:r>
      <w:r w:rsidRPr="00F44BC3">
        <w:rPr>
          <w:rFonts w:ascii="Times New Roman" w:hAnsi="Times New Roman"/>
          <w:sz w:val="24"/>
        </w:rPr>
        <w:t xml:space="preserve">Hayne and Charles JJA; </w:t>
      </w:r>
      <w:r w:rsidRPr="00F44BC3">
        <w:rPr>
          <w:rFonts w:ascii="Times New Roman" w:hAnsi="Times New Roman"/>
          <w:i/>
          <w:iCs/>
          <w:sz w:val="24"/>
        </w:rPr>
        <w:t>King v The Queen</w:t>
      </w:r>
      <w:r w:rsidRPr="00F44BC3">
        <w:rPr>
          <w:rFonts w:ascii="Times New Roman" w:hAnsi="Times New Roman"/>
          <w:sz w:val="24"/>
        </w:rPr>
        <w:t xml:space="preserve"> (2012) 245 CLR 588 at 611 [55] per French CJ, Crennan and Kiefel JJ; </w:t>
      </w:r>
      <w:r w:rsidRPr="00F44BC3">
        <w:rPr>
          <w:rFonts w:ascii="Times New Roman" w:hAnsi="Times New Roman"/>
          <w:i/>
          <w:iCs/>
          <w:sz w:val="24"/>
        </w:rPr>
        <w:t>Mitchell v The Queen</w:t>
      </w:r>
      <w:r w:rsidRPr="00F44BC3">
        <w:rPr>
          <w:rFonts w:ascii="Times New Roman" w:hAnsi="Times New Roman"/>
          <w:sz w:val="24"/>
        </w:rPr>
        <w:t xml:space="preserve"> [2022] VSCA 32 at [46]-[47] per Maxwell P, Beach and Sifris JJA. See also </w:t>
      </w:r>
      <w:r w:rsidRPr="00F44BC3">
        <w:rPr>
          <w:rFonts w:ascii="Times New Roman" w:hAnsi="Times New Roman"/>
          <w:i/>
          <w:iCs/>
          <w:sz w:val="24"/>
        </w:rPr>
        <w:t>Dhanhoa v The Queen</w:t>
      </w:r>
      <w:r w:rsidRPr="00F44BC3">
        <w:rPr>
          <w:rFonts w:ascii="Times New Roman" w:hAnsi="Times New Roman"/>
          <w:sz w:val="24"/>
        </w:rPr>
        <w:t xml:space="preserve"> (2003) 217 CLR 1 at 12-13 [37]-[38] per McHugh and Gummow JJ.</w:t>
      </w:r>
    </w:p>
  </w:footnote>
  <w:footnote w:id="84">
    <w:p w14:paraId="63583A0E"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r>
      <w:r w:rsidRPr="00F44BC3">
        <w:rPr>
          <w:rFonts w:ascii="Times New Roman" w:hAnsi="Times New Roman"/>
          <w:i/>
          <w:iCs/>
          <w:sz w:val="24"/>
        </w:rPr>
        <w:t xml:space="preserve">Awad v The Queen </w:t>
      </w:r>
      <w:r w:rsidRPr="00F44BC3">
        <w:rPr>
          <w:rFonts w:ascii="Times New Roman" w:hAnsi="Times New Roman"/>
          <w:sz w:val="24"/>
        </w:rPr>
        <w:t>(2021) 291 A Crim R 303</w:t>
      </w:r>
      <w:r w:rsidRPr="00F44BC3">
        <w:rPr>
          <w:rFonts w:ascii="Times New Roman" w:hAnsi="Times New Roman"/>
          <w:i/>
          <w:iCs/>
          <w:sz w:val="24"/>
        </w:rPr>
        <w:t xml:space="preserve"> </w:t>
      </w:r>
      <w:r w:rsidRPr="00F44BC3">
        <w:rPr>
          <w:rFonts w:ascii="Times New Roman" w:hAnsi="Times New Roman"/>
          <w:sz w:val="24"/>
        </w:rPr>
        <w:t>at 343-344 [167].</w:t>
      </w:r>
    </w:p>
  </w:footnote>
  <w:footnote w:id="85">
    <w:p w14:paraId="4AB80B25"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r>
      <w:r w:rsidRPr="00F44BC3">
        <w:rPr>
          <w:rFonts w:ascii="Times New Roman" w:hAnsi="Times New Roman"/>
          <w:i/>
          <w:iCs/>
          <w:sz w:val="24"/>
        </w:rPr>
        <w:t>Hargraves v The Queen</w:t>
      </w:r>
      <w:r w:rsidRPr="00F44BC3">
        <w:rPr>
          <w:rFonts w:ascii="Times New Roman" w:hAnsi="Times New Roman"/>
          <w:sz w:val="24"/>
        </w:rPr>
        <w:t xml:space="preserve"> (2011) 245 CLR 257 at 277 [46] per French CJ, </w:t>
      </w:r>
      <w:r w:rsidRPr="00F44BC3">
        <w:rPr>
          <w:rFonts w:ascii="Times New Roman" w:hAnsi="Times New Roman"/>
          <w:sz w:val="24"/>
        </w:rPr>
        <w:t>Gummow, Hayne, Crennan, Kiefel and Bell JJ.</w:t>
      </w:r>
    </w:p>
  </w:footnote>
  <w:footnote w:id="86">
    <w:p w14:paraId="11905F0A"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r>
      <w:r w:rsidRPr="00F44BC3">
        <w:rPr>
          <w:rFonts w:ascii="Times New Roman" w:hAnsi="Times New Roman"/>
          <w:i/>
          <w:iCs/>
          <w:sz w:val="24"/>
        </w:rPr>
        <w:t>Hargraves v The Queen</w:t>
      </w:r>
      <w:r w:rsidRPr="00F44BC3">
        <w:rPr>
          <w:rFonts w:ascii="Times New Roman" w:hAnsi="Times New Roman"/>
          <w:sz w:val="24"/>
        </w:rPr>
        <w:t xml:space="preserve"> (2011) 245 CLR 257 at 277 [46] per French CJ, </w:t>
      </w:r>
      <w:r w:rsidRPr="00F44BC3">
        <w:rPr>
          <w:rFonts w:ascii="Times New Roman" w:hAnsi="Times New Roman"/>
          <w:sz w:val="24"/>
        </w:rPr>
        <w:t>Gummow, Hayne, Crennan, Kiefel and Bell JJ.</w:t>
      </w:r>
    </w:p>
  </w:footnote>
  <w:footnote w:id="87">
    <w:p w14:paraId="6A9AB8E1"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r>
      <w:r w:rsidRPr="00F44BC3">
        <w:rPr>
          <w:rFonts w:ascii="Times New Roman" w:hAnsi="Times New Roman"/>
          <w:i/>
          <w:iCs/>
          <w:sz w:val="24"/>
        </w:rPr>
        <w:t>Haggag</w:t>
      </w:r>
      <w:r w:rsidRPr="00F44BC3">
        <w:rPr>
          <w:rFonts w:ascii="Times New Roman" w:hAnsi="Times New Roman"/>
          <w:sz w:val="24"/>
        </w:rPr>
        <w:t xml:space="preserve"> (1998) 101 A Crim R 593 at 601-602 per Callaway JA, quoting </w:t>
      </w:r>
      <w:r w:rsidRPr="00F44BC3">
        <w:rPr>
          <w:rFonts w:ascii="Times New Roman" w:hAnsi="Times New Roman"/>
          <w:i/>
          <w:iCs/>
          <w:sz w:val="24"/>
        </w:rPr>
        <w:t>R v Silk</w:t>
      </w:r>
      <w:r w:rsidRPr="00F44BC3">
        <w:rPr>
          <w:rFonts w:ascii="Times New Roman" w:hAnsi="Times New Roman"/>
          <w:sz w:val="24"/>
        </w:rPr>
        <w:t xml:space="preserve"> (unreported, Court of Criminal Appeal of the Supreme Court of Victoria, 22 September 1993).</w:t>
      </w:r>
    </w:p>
  </w:footnote>
  <w:footnote w:id="88">
    <w:p w14:paraId="4CB37D0F"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t>(2012) 245 CLR 588 at 611 [55].</w:t>
      </w:r>
    </w:p>
  </w:footnote>
  <w:footnote w:id="89">
    <w:p w14:paraId="1CD182D1"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t>[1998] 2 VR 636.</w:t>
      </w:r>
    </w:p>
  </w:footnote>
  <w:footnote w:id="90">
    <w:p w14:paraId="2C9441A7"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t xml:space="preserve">[1998] 2 VR 636 at 651-652. See also </w:t>
      </w:r>
      <w:r w:rsidRPr="00F44BC3">
        <w:rPr>
          <w:rFonts w:ascii="Times New Roman" w:hAnsi="Times New Roman"/>
          <w:i/>
          <w:iCs/>
          <w:sz w:val="24"/>
        </w:rPr>
        <w:t xml:space="preserve">R v </w:t>
      </w:r>
      <w:r w:rsidRPr="00F44BC3">
        <w:rPr>
          <w:rFonts w:ascii="Times New Roman" w:hAnsi="Times New Roman"/>
          <w:i/>
          <w:iCs/>
          <w:sz w:val="24"/>
        </w:rPr>
        <w:t>Defrutos</w:t>
      </w:r>
      <w:r w:rsidRPr="00F44BC3">
        <w:rPr>
          <w:rFonts w:ascii="Times New Roman" w:hAnsi="Times New Roman"/>
          <w:sz w:val="24"/>
        </w:rPr>
        <w:t xml:space="preserve"> [1998] 2 VR 589 at 600 per Callaway </w:t>
      </w:r>
      <w:r w:rsidRPr="00F44BC3">
        <w:rPr>
          <w:rFonts w:ascii="Times New Roman" w:hAnsi="Times New Roman"/>
          <w:sz w:val="24"/>
        </w:rPr>
        <w:t xml:space="preserve">JA; cf </w:t>
      </w:r>
      <w:r w:rsidRPr="00F44BC3">
        <w:rPr>
          <w:rFonts w:ascii="Times New Roman" w:hAnsi="Times New Roman"/>
          <w:i/>
          <w:iCs/>
          <w:sz w:val="24"/>
        </w:rPr>
        <w:t xml:space="preserve">General Motors-Holden's Pty Ltd v Moularas </w:t>
      </w:r>
      <w:r w:rsidRPr="00F44BC3">
        <w:rPr>
          <w:rFonts w:ascii="Times New Roman" w:hAnsi="Times New Roman"/>
          <w:sz w:val="24"/>
        </w:rPr>
        <w:t>(1964) 111 CLR 234 at 242-243 per Barwick CJ.</w:t>
      </w:r>
    </w:p>
  </w:footnote>
  <w:footnote w:id="91">
    <w:p w14:paraId="4EA76036"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r>
      <w:r w:rsidRPr="00F44BC3">
        <w:rPr>
          <w:rFonts w:ascii="Times New Roman" w:hAnsi="Times New Roman"/>
          <w:i/>
          <w:iCs/>
          <w:sz w:val="24"/>
        </w:rPr>
        <w:t xml:space="preserve">R v Clune [No 2] </w:t>
      </w:r>
      <w:r w:rsidRPr="00F44BC3">
        <w:rPr>
          <w:rFonts w:ascii="Times New Roman" w:hAnsi="Times New Roman"/>
          <w:sz w:val="24"/>
        </w:rPr>
        <w:t>[1996] 1 VR 1 at 6 per Callaway JA (</w:t>
      </w:r>
      <w:r w:rsidRPr="00F44BC3">
        <w:rPr>
          <w:rFonts w:ascii="Times New Roman" w:hAnsi="Times New Roman"/>
          <w:sz w:val="24"/>
        </w:rPr>
        <w:t>Winneke P and Crockett A</w:t>
      </w:r>
      <w:r>
        <w:rPr>
          <w:rFonts w:ascii="Times New Roman" w:hAnsi="Times New Roman"/>
          <w:sz w:val="24"/>
        </w:rPr>
        <w:noBreakHyphen/>
      </w:r>
      <w:r w:rsidRPr="00F44BC3">
        <w:rPr>
          <w:rFonts w:ascii="Times New Roman" w:hAnsi="Times New Roman"/>
          <w:sz w:val="24"/>
        </w:rPr>
        <w:t>JA agreeing).</w:t>
      </w:r>
    </w:p>
  </w:footnote>
  <w:footnote w:id="92">
    <w:p w14:paraId="0622C878"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r>
      <w:r w:rsidRPr="00F44BC3">
        <w:rPr>
          <w:rFonts w:ascii="Times New Roman" w:hAnsi="Times New Roman"/>
          <w:i/>
          <w:iCs/>
          <w:sz w:val="24"/>
        </w:rPr>
        <w:t>Melbourne v The Queen</w:t>
      </w:r>
      <w:r w:rsidRPr="00F44BC3">
        <w:rPr>
          <w:rFonts w:ascii="Times New Roman" w:hAnsi="Times New Roman"/>
          <w:sz w:val="24"/>
        </w:rPr>
        <w:t xml:space="preserve"> (1999) 198 CLR 1 at 62 [175] per </w:t>
      </w:r>
      <w:r w:rsidRPr="00F44BC3">
        <w:rPr>
          <w:rFonts w:ascii="Times New Roman" w:hAnsi="Times New Roman"/>
          <w:sz w:val="24"/>
        </w:rPr>
        <w:t>Callinan J.</w:t>
      </w:r>
    </w:p>
  </w:footnote>
  <w:footnote w:id="93">
    <w:p w14:paraId="7F7156B1"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r>
      <w:r w:rsidRPr="00F44BC3">
        <w:rPr>
          <w:rFonts w:ascii="Times New Roman" w:hAnsi="Times New Roman"/>
          <w:i/>
          <w:iCs/>
          <w:sz w:val="24"/>
        </w:rPr>
        <w:t>Gilbert v The Queen</w:t>
      </w:r>
      <w:r w:rsidRPr="00F44BC3">
        <w:rPr>
          <w:rFonts w:ascii="Times New Roman" w:hAnsi="Times New Roman"/>
          <w:sz w:val="24"/>
        </w:rPr>
        <w:t xml:space="preserve"> (2000) 201 CLR 414 at 420 [13] per Gleeson CJ and </w:t>
      </w:r>
      <w:r w:rsidRPr="00F44BC3">
        <w:rPr>
          <w:rFonts w:ascii="Times New Roman" w:hAnsi="Times New Roman"/>
          <w:sz w:val="24"/>
        </w:rPr>
        <w:t>Gummow J, 425 [31] per McHugh J.</w:t>
      </w:r>
    </w:p>
  </w:footnote>
  <w:footnote w:id="94">
    <w:p w14:paraId="3A17BFDC"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t xml:space="preserve">[2005] QCA 292 at [28]; </w:t>
      </w:r>
      <w:r w:rsidRPr="00F44BC3">
        <w:rPr>
          <w:rFonts w:ascii="Times New Roman" w:hAnsi="Times New Roman"/>
          <w:sz w:val="24"/>
        </w:rPr>
        <w:t xml:space="preserve">cf </w:t>
      </w:r>
      <w:r w:rsidRPr="00F44BC3">
        <w:rPr>
          <w:rFonts w:ascii="Times New Roman" w:hAnsi="Times New Roman"/>
          <w:i/>
          <w:iCs/>
          <w:sz w:val="24"/>
        </w:rPr>
        <w:t>R v H</w:t>
      </w:r>
      <w:r w:rsidRPr="00F44BC3">
        <w:rPr>
          <w:rFonts w:ascii="Times New Roman" w:hAnsi="Times New Roman"/>
          <w:sz w:val="24"/>
        </w:rPr>
        <w:t xml:space="preserve"> [1995] 2 AC 596 at 613 per Lord Griffiths.</w:t>
      </w:r>
    </w:p>
  </w:footnote>
  <w:footnote w:id="95">
    <w:p w14:paraId="3C2822A1"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t>Unreported, Court of Appeal of the Supreme Court of New South Wales, 28 August 1987.</w:t>
      </w:r>
    </w:p>
  </w:footnote>
  <w:footnote w:id="96">
    <w:p w14:paraId="6AC54DCE"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t>(1991) 25 ALD 210 at 212.</w:t>
      </w:r>
    </w:p>
  </w:footnote>
  <w:footnote w:id="97">
    <w:p w14:paraId="2E46D771" w14:textId="77777777" w:rsidR="00D06A72" w:rsidRPr="00F44BC3" w:rsidRDefault="00D06A72" w:rsidP="00F44BC3">
      <w:pPr>
        <w:pStyle w:val="FootnoteText"/>
        <w:spacing w:line="280" w:lineRule="exact"/>
        <w:ind w:right="0"/>
        <w:jc w:val="both"/>
        <w:rPr>
          <w:rFonts w:ascii="Times New Roman" w:hAnsi="Times New Roman"/>
          <w:sz w:val="24"/>
        </w:rPr>
      </w:pPr>
      <w:r w:rsidRPr="00F44BC3">
        <w:rPr>
          <w:rStyle w:val="FootnoteReference"/>
          <w:rFonts w:ascii="Times New Roman" w:hAnsi="Times New Roman"/>
          <w:sz w:val="22"/>
          <w:vertAlign w:val="baseline"/>
        </w:rPr>
        <w:footnoteRef/>
      </w:r>
      <w:r w:rsidRPr="00F44BC3">
        <w:rPr>
          <w:rFonts w:ascii="Times New Roman" w:hAnsi="Times New Roman"/>
          <w:sz w:val="24"/>
        </w:rPr>
        <w:t xml:space="preserve"> </w:t>
      </w:r>
      <w:r w:rsidRPr="00F44BC3">
        <w:rPr>
          <w:rFonts w:ascii="Times New Roman" w:hAnsi="Times New Roman"/>
          <w:sz w:val="24"/>
        </w:rPr>
        <w:tab/>
      </w:r>
      <w:r w:rsidRPr="00F44BC3">
        <w:rPr>
          <w:rFonts w:ascii="Times New Roman" w:hAnsi="Times New Roman"/>
          <w:i/>
          <w:iCs/>
          <w:sz w:val="24"/>
        </w:rPr>
        <w:t>R v Glennon</w:t>
      </w:r>
      <w:r w:rsidRPr="00F44BC3">
        <w:rPr>
          <w:rFonts w:ascii="Times New Roman" w:hAnsi="Times New Roman"/>
          <w:sz w:val="24"/>
        </w:rPr>
        <w:t xml:space="preserve"> (1992) 173 CLR 592 at 615 per Brennan J.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530E" w14:textId="77777777" w:rsidR="002A6F51" w:rsidRPr="001D3638" w:rsidRDefault="002A6F51" w:rsidP="001D363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CA69" w14:textId="77777777" w:rsidR="00F44BC3" w:rsidRDefault="00D06A72" w:rsidP="00F44BC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68391F78" w14:textId="77777777" w:rsidR="00F44BC3" w:rsidRDefault="00FB23E0" w:rsidP="00F44BC3">
    <w:pPr>
      <w:pStyle w:val="Header"/>
      <w:tabs>
        <w:tab w:val="clear" w:pos="4153"/>
        <w:tab w:val="clear" w:pos="8306"/>
        <w:tab w:val="right" w:pos="1304"/>
      </w:tabs>
      <w:spacing w:line="280" w:lineRule="exact"/>
      <w:ind w:firstLine="0"/>
      <w:rPr>
        <w:rFonts w:ascii="Times New Roman" w:hAnsi="Times New Roman"/>
        <w:i/>
        <w:sz w:val="22"/>
      </w:rPr>
    </w:pPr>
  </w:p>
  <w:p w14:paraId="72792C36" w14:textId="77777777" w:rsidR="00F44BC3" w:rsidRDefault="00D06A72" w:rsidP="00F44BC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DA209DB" w14:textId="77777777" w:rsidR="00F44BC3" w:rsidRPr="00F44BC3" w:rsidRDefault="00FB23E0" w:rsidP="00F44BC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E30A" w14:textId="77777777" w:rsidR="00F44BC3" w:rsidRDefault="00D06A72" w:rsidP="00F44BC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2DD0D784" w14:textId="77777777" w:rsidR="00F44BC3" w:rsidRDefault="00FB23E0" w:rsidP="00F44BC3">
    <w:pPr>
      <w:pStyle w:val="Header"/>
      <w:tabs>
        <w:tab w:val="clear" w:pos="4153"/>
        <w:tab w:val="clear" w:pos="8306"/>
        <w:tab w:val="left" w:pos="7200"/>
        <w:tab w:val="right" w:pos="8504"/>
      </w:tabs>
      <w:spacing w:line="280" w:lineRule="exact"/>
      <w:jc w:val="right"/>
      <w:rPr>
        <w:rFonts w:ascii="Times New Roman" w:hAnsi="Times New Roman"/>
        <w:i/>
        <w:sz w:val="22"/>
      </w:rPr>
    </w:pPr>
  </w:p>
  <w:p w14:paraId="3FE8B78C" w14:textId="77777777" w:rsidR="00F44BC3" w:rsidRDefault="00D06A72" w:rsidP="00F44BC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DD65278" w14:textId="77777777" w:rsidR="00F44BC3" w:rsidRPr="00F44BC3" w:rsidRDefault="00FB23E0" w:rsidP="00F44BC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9560" w14:textId="77777777" w:rsidR="00F44BC3" w:rsidRDefault="00FB23E0" w:rsidP="00F44BC3">
    <w:pPr>
      <w:pStyle w:val="Header"/>
      <w:tabs>
        <w:tab w:val="clear" w:pos="4153"/>
        <w:tab w:val="clear" w:pos="8306"/>
        <w:tab w:val="center" w:pos="1134"/>
      </w:tabs>
      <w:spacing w:line="280" w:lineRule="exact"/>
      <w:ind w:firstLine="0"/>
      <w:rPr>
        <w:rFonts w:ascii="Times New Roman" w:hAnsi="Times New Roman"/>
        <w:i/>
        <w:sz w:val="22"/>
      </w:rPr>
    </w:pPr>
  </w:p>
  <w:p w14:paraId="2831399A" w14:textId="77777777" w:rsidR="00F44BC3" w:rsidRDefault="00FB23E0" w:rsidP="00F44BC3">
    <w:pPr>
      <w:pStyle w:val="Header"/>
      <w:tabs>
        <w:tab w:val="clear" w:pos="4153"/>
        <w:tab w:val="clear" w:pos="8306"/>
        <w:tab w:val="center" w:pos="1134"/>
      </w:tabs>
      <w:spacing w:line="280" w:lineRule="exact"/>
      <w:ind w:firstLine="0"/>
      <w:rPr>
        <w:rFonts w:ascii="Times New Roman" w:hAnsi="Times New Roman"/>
        <w:i/>
        <w:sz w:val="22"/>
      </w:rPr>
    </w:pPr>
  </w:p>
  <w:p w14:paraId="037B9C7F" w14:textId="77777777" w:rsidR="00F44BC3" w:rsidRDefault="00FB23E0" w:rsidP="00F44BC3">
    <w:pPr>
      <w:pStyle w:val="Header"/>
      <w:tabs>
        <w:tab w:val="clear" w:pos="4153"/>
        <w:tab w:val="clear" w:pos="8306"/>
        <w:tab w:val="center" w:pos="1134"/>
      </w:tabs>
      <w:spacing w:line="280" w:lineRule="exact"/>
      <w:ind w:firstLine="0"/>
      <w:rPr>
        <w:rFonts w:ascii="Times New Roman" w:hAnsi="Times New Roman"/>
        <w:i/>
        <w:sz w:val="22"/>
      </w:rPr>
    </w:pPr>
  </w:p>
  <w:p w14:paraId="382F558E" w14:textId="77777777" w:rsidR="00400F3A" w:rsidRPr="00F44BC3" w:rsidRDefault="00FB23E0" w:rsidP="00F44BC3">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986B" w14:textId="092C277D" w:rsidR="002A6F51" w:rsidRPr="001D3638" w:rsidRDefault="001D3638" w:rsidP="001D3638">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F91B50">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F91B50">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B452" w14:textId="26082AE5" w:rsidR="00973D49" w:rsidRPr="001D3638" w:rsidRDefault="00973D49" w:rsidP="001D36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96FF" w14:textId="77777777" w:rsidR="001D3638" w:rsidRPr="002A6F51" w:rsidRDefault="001D3638" w:rsidP="002A6F51">
    <w:pPr>
      <w:pStyle w:val="Header"/>
      <w:tabs>
        <w:tab w:val="clear" w:pos="4153"/>
        <w:tab w:val="clear" w:pos="8306"/>
        <w:tab w:val="right" w:pos="1304"/>
      </w:tabs>
      <w:spacing w:line="280" w:lineRule="exact"/>
      <w:ind w:firstLine="0"/>
      <w:rPr>
        <w:rFonts w:ascii="Times New Roman" w:hAnsi="Times New Roman"/>
        <w:i/>
        <w:sz w:val="22"/>
      </w:rPr>
    </w:pPr>
    <w:r w:rsidRPr="002A6F51">
      <w:rPr>
        <w:rFonts w:ascii="Times New Roman" w:hAnsi="Times New Roman"/>
        <w:i/>
        <w:sz w:val="22"/>
      </w:rPr>
      <w:t>Kiefel</w:t>
    </w:r>
    <w:r w:rsidRPr="002A6F51">
      <w:rPr>
        <w:rFonts w:ascii="Times New Roman" w:hAnsi="Times New Roman"/>
        <w:i/>
        <w:sz w:val="22"/>
      </w:rPr>
      <w:tab/>
      <w:t>CJ</w:t>
    </w:r>
  </w:p>
  <w:p w14:paraId="3F6171DA" w14:textId="77777777" w:rsidR="001D3638" w:rsidRDefault="001D3638" w:rsidP="002A6F5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1859A166" w14:textId="77777777" w:rsidR="001D3638" w:rsidRDefault="001D3638" w:rsidP="002A6F51">
    <w:pPr>
      <w:pStyle w:val="Header"/>
      <w:tabs>
        <w:tab w:val="clear" w:pos="4153"/>
        <w:tab w:val="clear" w:pos="8306"/>
        <w:tab w:val="right" w:pos="1304"/>
      </w:tabs>
      <w:spacing w:line="280" w:lineRule="exact"/>
      <w:ind w:firstLine="0"/>
      <w:rPr>
        <w:rFonts w:ascii="Times New Roman" w:hAnsi="Times New Roman"/>
        <w:i/>
        <w:sz w:val="22"/>
      </w:rPr>
    </w:pPr>
  </w:p>
  <w:p w14:paraId="419185E5" w14:textId="77777777" w:rsidR="001D3638" w:rsidRDefault="001D3638" w:rsidP="002A6F5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6CA72BE" w14:textId="77777777" w:rsidR="001D3638" w:rsidRPr="002A6F51" w:rsidRDefault="001D3638" w:rsidP="002A6F5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0F99" w14:textId="77777777" w:rsidR="001D3638" w:rsidRPr="002A6F51" w:rsidRDefault="001D3638" w:rsidP="002A6F51">
    <w:pPr>
      <w:pStyle w:val="Header"/>
      <w:tabs>
        <w:tab w:val="clear" w:pos="4153"/>
        <w:tab w:val="clear" w:pos="8306"/>
        <w:tab w:val="left" w:pos="7200"/>
        <w:tab w:val="right" w:pos="8504"/>
      </w:tabs>
      <w:spacing w:line="280" w:lineRule="exact"/>
      <w:jc w:val="right"/>
      <w:rPr>
        <w:rFonts w:ascii="Times New Roman" w:hAnsi="Times New Roman"/>
        <w:i/>
        <w:sz w:val="22"/>
      </w:rPr>
    </w:pPr>
    <w:r w:rsidRPr="002A6F51">
      <w:rPr>
        <w:rFonts w:ascii="Times New Roman" w:hAnsi="Times New Roman"/>
        <w:i/>
        <w:sz w:val="22"/>
      </w:rPr>
      <w:tab/>
      <w:t>Kiefel</w:t>
    </w:r>
    <w:r w:rsidRPr="002A6F51">
      <w:rPr>
        <w:rFonts w:ascii="Times New Roman" w:hAnsi="Times New Roman"/>
        <w:i/>
        <w:sz w:val="22"/>
      </w:rPr>
      <w:tab/>
      <w:t>CJ</w:t>
    </w:r>
  </w:p>
  <w:p w14:paraId="55D23686" w14:textId="77777777" w:rsidR="001D3638" w:rsidRDefault="001D3638" w:rsidP="002A6F5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7C8299A1" w14:textId="77777777" w:rsidR="001D3638" w:rsidRDefault="001D3638" w:rsidP="002A6F51">
    <w:pPr>
      <w:pStyle w:val="Header"/>
      <w:tabs>
        <w:tab w:val="clear" w:pos="4153"/>
        <w:tab w:val="clear" w:pos="8306"/>
        <w:tab w:val="left" w:pos="7200"/>
        <w:tab w:val="right" w:pos="8504"/>
      </w:tabs>
      <w:spacing w:line="280" w:lineRule="exact"/>
      <w:jc w:val="right"/>
      <w:rPr>
        <w:rFonts w:ascii="Times New Roman" w:hAnsi="Times New Roman"/>
        <w:i/>
        <w:sz w:val="22"/>
      </w:rPr>
    </w:pPr>
  </w:p>
  <w:p w14:paraId="394CA55B" w14:textId="77777777" w:rsidR="001D3638" w:rsidRDefault="001D3638" w:rsidP="002A6F5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C70753D" w14:textId="77777777" w:rsidR="001D3638" w:rsidRPr="002A6F51" w:rsidRDefault="001D3638" w:rsidP="002A6F5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5DBD" w14:textId="77777777" w:rsidR="001D3638" w:rsidRDefault="001D3638" w:rsidP="002A6F51">
    <w:pPr>
      <w:pStyle w:val="Header"/>
      <w:tabs>
        <w:tab w:val="clear" w:pos="4153"/>
        <w:tab w:val="clear" w:pos="8306"/>
        <w:tab w:val="center" w:pos="1134"/>
      </w:tabs>
      <w:spacing w:line="280" w:lineRule="exact"/>
      <w:ind w:firstLine="0"/>
      <w:rPr>
        <w:rFonts w:ascii="Times New Roman" w:hAnsi="Times New Roman"/>
        <w:i/>
        <w:sz w:val="22"/>
      </w:rPr>
    </w:pPr>
  </w:p>
  <w:p w14:paraId="3FFFF5CD" w14:textId="77777777" w:rsidR="001D3638" w:rsidRDefault="001D3638" w:rsidP="002A6F51">
    <w:pPr>
      <w:pStyle w:val="Header"/>
      <w:tabs>
        <w:tab w:val="clear" w:pos="4153"/>
        <w:tab w:val="clear" w:pos="8306"/>
        <w:tab w:val="center" w:pos="1134"/>
      </w:tabs>
      <w:spacing w:line="280" w:lineRule="exact"/>
      <w:ind w:firstLine="0"/>
      <w:rPr>
        <w:rFonts w:ascii="Times New Roman" w:hAnsi="Times New Roman"/>
        <w:i/>
        <w:sz w:val="22"/>
      </w:rPr>
    </w:pPr>
  </w:p>
  <w:p w14:paraId="598580A7" w14:textId="77777777" w:rsidR="001D3638" w:rsidRDefault="001D3638" w:rsidP="002A6F51">
    <w:pPr>
      <w:pStyle w:val="Header"/>
      <w:tabs>
        <w:tab w:val="clear" w:pos="4153"/>
        <w:tab w:val="clear" w:pos="8306"/>
        <w:tab w:val="center" w:pos="1134"/>
      </w:tabs>
      <w:spacing w:line="280" w:lineRule="exact"/>
      <w:ind w:firstLine="0"/>
      <w:rPr>
        <w:rFonts w:ascii="Times New Roman" w:hAnsi="Times New Roman"/>
        <w:i/>
        <w:sz w:val="22"/>
      </w:rPr>
    </w:pPr>
  </w:p>
  <w:p w14:paraId="71A575EF" w14:textId="77777777" w:rsidR="001D3638" w:rsidRDefault="001D3638" w:rsidP="002A6F51">
    <w:pPr>
      <w:pStyle w:val="Header"/>
      <w:tabs>
        <w:tab w:val="clear" w:pos="4153"/>
        <w:tab w:val="clear" w:pos="8306"/>
        <w:tab w:val="center" w:pos="1134"/>
      </w:tabs>
      <w:spacing w:line="280" w:lineRule="exact"/>
      <w:ind w:firstLine="0"/>
      <w:rPr>
        <w:rFonts w:ascii="Times New Roman" w:hAnsi="Times New Roman"/>
        <w:i/>
        <w:sz w:val="22"/>
      </w:rPr>
    </w:pPr>
  </w:p>
  <w:p w14:paraId="73AA47E9" w14:textId="77777777" w:rsidR="001D3638" w:rsidRPr="002A6F51" w:rsidRDefault="001D3638" w:rsidP="002A6F51">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EF93" w14:textId="77777777" w:rsidR="006B53C9" w:rsidRPr="006B53C9" w:rsidRDefault="00D06A72" w:rsidP="006B53C9">
    <w:pPr>
      <w:pStyle w:val="Header"/>
      <w:tabs>
        <w:tab w:val="clear" w:pos="4153"/>
        <w:tab w:val="clear" w:pos="8306"/>
        <w:tab w:val="right" w:pos="1304"/>
      </w:tabs>
      <w:spacing w:line="280" w:lineRule="exact"/>
      <w:ind w:firstLine="0"/>
      <w:rPr>
        <w:rFonts w:ascii="Times New Roman" w:hAnsi="Times New Roman"/>
        <w:i/>
        <w:sz w:val="22"/>
      </w:rPr>
    </w:pPr>
    <w:r w:rsidRPr="006B53C9">
      <w:rPr>
        <w:rFonts w:ascii="Times New Roman" w:hAnsi="Times New Roman"/>
        <w:i/>
        <w:sz w:val="22"/>
      </w:rPr>
      <w:t>Gordon</w:t>
    </w:r>
    <w:r w:rsidRPr="006B53C9">
      <w:rPr>
        <w:rFonts w:ascii="Times New Roman" w:hAnsi="Times New Roman"/>
        <w:i/>
        <w:sz w:val="22"/>
      </w:rPr>
      <w:tab/>
      <w:t>J</w:t>
    </w:r>
  </w:p>
  <w:p w14:paraId="59F6CC5E" w14:textId="77777777" w:rsidR="006B53C9" w:rsidRDefault="00D06A72" w:rsidP="006B53C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6C0B16A0" w14:textId="77777777" w:rsidR="006B53C9" w:rsidRDefault="00FB23E0" w:rsidP="006B53C9">
    <w:pPr>
      <w:pStyle w:val="Header"/>
      <w:tabs>
        <w:tab w:val="clear" w:pos="4153"/>
        <w:tab w:val="clear" w:pos="8306"/>
        <w:tab w:val="right" w:pos="1304"/>
      </w:tabs>
      <w:spacing w:line="280" w:lineRule="exact"/>
      <w:ind w:firstLine="0"/>
      <w:rPr>
        <w:rFonts w:ascii="Times New Roman" w:hAnsi="Times New Roman"/>
        <w:i/>
        <w:sz w:val="22"/>
      </w:rPr>
    </w:pPr>
  </w:p>
  <w:p w14:paraId="006FE839" w14:textId="77777777" w:rsidR="006B53C9" w:rsidRDefault="00D06A72" w:rsidP="006B53C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602C7BFE" w14:textId="77777777" w:rsidR="006B53C9" w:rsidRPr="006B53C9" w:rsidRDefault="00FB23E0" w:rsidP="006B53C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651D" w14:textId="77777777" w:rsidR="006B53C9" w:rsidRPr="006B53C9" w:rsidRDefault="00D06A72" w:rsidP="006B53C9">
    <w:pPr>
      <w:pStyle w:val="Header"/>
      <w:tabs>
        <w:tab w:val="clear" w:pos="4153"/>
        <w:tab w:val="clear" w:pos="8306"/>
        <w:tab w:val="left" w:pos="7200"/>
        <w:tab w:val="right" w:pos="8504"/>
      </w:tabs>
      <w:spacing w:line="280" w:lineRule="exact"/>
      <w:jc w:val="right"/>
      <w:rPr>
        <w:rFonts w:ascii="Times New Roman" w:hAnsi="Times New Roman"/>
        <w:i/>
        <w:sz w:val="22"/>
      </w:rPr>
    </w:pPr>
    <w:r w:rsidRPr="006B53C9">
      <w:rPr>
        <w:rFonts w:ascii="Times New Roman" w:hAnsi="Times New Roman"/>
        <w:i/>
        <w:sz w:val="22"/>
      </w:rPr>
      <w:tab/>
      <w:t>Gordon</w:t>
    </w:r>
    <w:r w:rsidRPr="006B53C9">
      <w:rPr>
        <w:rFonts w:ascii="Times New Roman" w:hAnsi="Times New Roman"/>
        <w:i/>
        <w:sz w:val="22"/>
      </w:rPr>
      <w:tab/>
      <w:t>J</w:t>
    </w:r>
  </w:p>
  <w:p w14:paraId="0DCAC329" w14:textId="77777777" w:rsidR="006B53C9" w:rsidRDefault="00D06A72" w:rsidP="006B53C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36ADA328" w14:textId="77777777" w:rsidR="006B53C9" w:rsidRDefault="00FB23E0" w:rsidP="006B53C9">
    <w:pPr>
      <w:pStyle w:val="Header"/>
      <w:tabs>
        <w:tab w:val="clear" w:pos="4153"/>
        <w:tab w:val="clear" w:pos="8306"/>
        <w:tab w:val="left" w:pos="7200"/>
        <w:tab w:val="right" w:pos="8504"/>
      </w:tabs>
      <w:spacing w:line="280" w:lineRule="exact"/>
      <w:jc w:val="right"/>
      <w:rPr>
        <w:rFonts w:ascii="Times New Roman" w:hAnsi="Times New Roman"/>
        <w:i/>
        <w:sz w:val="22"/>
      </w:rPr>
    </w:pPr>
  </w:p>
  <w:p w14:paraId="3E591644" w14:textId="77777777" w:rsidR="006B53C9" w:rsidRDefault="00D06A72" w:rsidP="006B53C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7AB7F548" w14:textId="77777777" w:rsidR="006B53C9" w:rsidRPr="006B53C9" w:rsidRDefault="00FB23E0" w:rsidP="006B53C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932F" w14:textId="77777777" w:rsidR="006B53C9" w:rsidRDefault="00FB23E0" w:rsidP="006B53C9">
    <w:pPr>
      <w:pStyle w:val="Header"/>
      <w:tabs>
        <w:tab w:val="clear" w:pos="4153"/>
        <w:tab w:val="clear" w:pos="8306"/>
        <w:tab w:val="center" w:pos="1134"/>
      </w:tabs>
      <w:spacing w:line="280" w:lineRule="exact"/>
      <w:ind w:firstLine="0"/>
      <w:rPr>
        <w:rFonts w:ascii="Times New Roman" w:hAnsi="Times New Roman"/>
        <w:i/>
        <w:sz w:val="22"/>
      </w:rPr>
    </w:pPr>
  </w:p>
  <w:p w14:paraId="41695A26" w14:textId="77777777" w:rsidR="006B53C9" w:rsidRDefault="00FB23E0" w:rsidP="006B53C9">
    <w:pPr>
      <w:pStyle w:val="Header"/>
      <w:tabs>
        <w:tab w:val="clear" w:pos="4153"/>
        <w:tab w:val="clear" w:pos="8306"/>
        <w:tab w:val="center" w:pos="1134"/>
      </w:tabs>
      <w:spacing w:line="280" w:lineRule="exact"/>
      <w:ind w:firstLine="0"/>
      <w:rPr>
        <w:rFonts w:ascii="Times New Roman" w:hAnsi="Times New Roman"/>
        <w:i/>
        <w:sz w:val="22"/>
      </w:rPr>
    </w:pPr>
  </w:p>
  <w:p w14:paraId="01B44930" w14:textId="77777777" w:rsidR="006B53C9" w:rsidRDefault="00FB23E0" w:rsidP="006B53C9">
    <w:pPr>
      <w:pStyle w:val="Header"/>
      <w:tabs>
        <w:tab w:val="clear" w:pos="4153"/>
        <w:tab w:val="clear" w:pos="8306"/>
        <w:tab w:val="center" w:pos="1134"/>
      </w:tabs>
      <w:spacing w:line="280" w:lineRule="exact"/>
      <w:ind w:firstLine="0"/>
      <w:rPr>
        <w:rFonts w:ascii="Times New Roman" w:hAnsi="Times New Roman"/>
        <w:i/>
        <w:sz w:val="22"/>
      </w:rPr>
    </w:pPr>
  </w:p>
  <w:p w14:paraId="7C6860B2" w14:textId="77777777" w:rsidR="006B53C9" w:rsidRDefault="00FB23E0" w:rsidP="006B53C9">
    <w:pPr>
      <w:pStyle w:val="Header"/>
      <w:tabs>
        <w:tab w:val="clear" w:pos="4153"/>
        <w:tab w:val="clear" w:pos="8306"/>
        <w:tab w:val="center" w:pos="1134"/>
      </w:tabs>
      <w:spacing w:line="280" w:lineRule="exact"/>
      <w:ind w:firstLine="0"/>
      <w:rPr>
        <w:rFonts w:ascii="Times New Roman" w:hAnsi="Times New Roman"/>
        <w:i/>
        <w:sz w:val="22"/>
      </w:rPr>
    </w:pPr>
  </w:p>
  <w:p w14:paraId="4B527797" w14:textId="77777777" w:rsidR="00AC722D" w:rsidRPr="006B53C9" w:rsidRDefault="00FB23E0" w:rsidP="006B53C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DFC476F"/>
    <w:multiLevelType w:val="hybridMultilevel"/>
    <w:tmpl w:val="4282CC9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1A3737"/>
    <w:multiLevelType w:val="hybridMultilevel"/>
    <w:tmpl w:val="D1C055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0D478B"/>
    <w:multiLevelType w:val="hybridMultilevel"/>
    <w:tmpl w:val="B2EA36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4DC7DA0"/>
    <w:multiLevelType w:val="hybridMultilevel"/>
    <w:tmpl w:val="294243B2"/>
    <w:lvl w:ilvl="0" w:tplc="77F0C1DE">
      <w:start w:val="1"/>
      <w:numFmt w:val="decimal"/>
      <w:lvlText w:val="%1"/>
      <w:lvlJc w:val="left"/>
      <w:pPr>
        <w:ind w:left="1440" w:hanging="720"/>
      </w:pPr>
      <w:rPr>
        <w:rFonts w:hint="default"/>
      </w:rPr>
    </w:lvl>
    <w:lvl w:ilvl="1" w:tplc="6C66DC4A">
      <w:start w:val="2"/>
      <w:numFmt w:val="bullet"/>
      <w:lvlText w:val=""/>
      <w:lvlJc w:val="left"/>
      <w:pPr>
        <w:ind w:left="2160" w:hanging="720"/>
      </w:pPr>
      <w:rPr>
        <w:rFonts w:ascii="Symbol" w:eastAsia="Times New Roman" w:hAnsi="Symbol"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21"/>
  </w:num>
  <w:num w:numId="4">
    <w:abstractNumId w:val="14"/>
  </w:num>
  <w:num w:numId="5">
    <w:abstractNumId w:val="19"/>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1"/>
  </w:num>
  <w:num w:numId="19">
    <w:abstractNumId w:val="11"/>
  </w:num>
  <w:num w:numId="20">
    <w:abstractNumId w:val="15"/>
  </w:num>
  <w:num w:numId="21">
    <w:abstractNumId w:val="20"/>
  </w:num>
  <w:num w:numId="22">
    <w:abstractNumId w:val="13"/>
  </w:num>
  <w:num w:numId="23">
    <w:abstractNumId w:val="1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49"/>
    <w:rsid w:val="000015FC"/>
    <w:rsid w:val="00001F7D"/>
    <w:rsid w:val="00002069"/>
    <w:rsid w:val="00002CE6"/>
    <w:rsid w:val="0000316A"/>
    <w:rsid w:val="00004242"/>
    <w:rsid w:val="000049B7"/>
    <w:rsid w:val="00005D9F"/>
    <w:rsid w:val="000078C8"/>
    <w:rsid w:val="00013E59"/>
    <w:rsid w:val="00014B34"/>
    <w:rsid w:val="000159E5"/>
    <w:rsid w:val="0001686E"/>
    <w:rsid w:val="000168C9"/>
    <w:rsid w:val="00016C20"/>
    <w:rsid w:val="00016DBB"/>
    <w:rsid w:val="00017144"/>
    <w:rsid w:val="00022268"/>
    <w:rsid w:val="000250AF"/>
    <w:rsid w:val="00025490"/>
    <w:rsid w:val="0002561E"/>
    <w:rsid w:val="000268E1"/>
    <w:rsid w:val="000278A0"/>
    <w:rsid w:val="0003003A"/>
    <w:rsid w:val="0003575A"/>
    <w:rsid w:val="000360EB"/>
    <w:rsid w:val="00036564"/>
    <w:rsid w:val="00036A5D"/>
    <w:rsid w:val="000373EF"/>
    <w:rsid w:val="00037A5F"/>
    <w:rsid w:val="00037D87"/>
    <w:rsid w:val="00042B2F"/>
    <w:rsid w:val="00043ADD"/>
    <w:rsid w:val="00043D2C"/>
    <w:rsid w:val="000443BD"/>
    <w:rsid w:val="00045FB1"/>
    <w:rsid w:val="00046812"/>
    <w:rsid w:val="0004783F"/>
    <w:rsid w:val="00047CD1"/>
    <w:rsid w:val="00052BE7"/>
    <w:rsid w:val="00052C11"/>
    <w:rsid w:val="000554C0"/>
    <w:rsid w:val="00055ACD"/>
    <w:rsid w:val="00056E46"/>
    <w:rsid w:val="00056F27"/>
    <w:rsid w:val="0005705C"/>
    <w:rsid w:val="00057330"/>
    <w:rsid w:val="000573AF"/>
    <w:rsid w:val="0005779E"/>
    <w:rsid w:val="0006011E"/>
    <w:rsid w:val="0006169E"/>
    <w:rsid w:val="00061739"/>
    <w:rsid w:val="000626FD"/>
    <w:rsid w:val="000639B3"/>
    <w:rsid w:val="00063E14"/>
    <w:rsid w:val="0006432B"/>
    <w:rsid w:val="00065032"/>
    <w:rsid w:val="000653D4"/>
    <w:rsid w:val="00065DC2"/>
    <w:rsid w:val="00071934"/>
    <w:rsid w:val="00071C35"/>
    <w:rsid w:val="00072242"/>
    <w:rsid w:val="00072D79"/>
    <w:rsid w:val="0007305B"/>
    <w:rsid w:val="00075F50"/>
    <w:rsid w:val="000765EB"/>
    <w:rsid w:val="00076EEE"/>
    <w:rsid w:val="0007757D"/>
    <w:rsid w:val="000808C2"/>
    <w:rsid w:val="00080D77"/>
    <w:rsid w:val="0008435D"/>
    <w:rsid w:val="0008558C"/>
    <w:rsid w:val="00085F13"/>
    <w:rsid w:val="00090625"/>
    <w:rsid w:val="000906FF"/>
    <w:rsid w:val="000915BD"/>
    <w:rsid w:val="000927A4"/>
    <w:rsid w:val="000961B7"/>
    <w:rsid w:val="000A28D4"/>
    <w:rsid w:val="000A2EB4"/>
    <w:rsid w:val="000A3DA3"/>
    <w:rsid w:val="000A4B2E"/>
    <w:rsid w:val="000A63C6"/>
    <w:rsid w:val="000A682D"/>
    <w:rsid w:val="000B0016"/>
    <w:rsid w:val="000B1685"/>
    <w:rsid w:val="000B4630"/>
    <w:rsid w:val="000B497F"/>
    <w:rsid w:val="000B5C5D"/>
    <w:rsid w:val="000B671C"/>
    <w:rsid w:val="000B710D"/>
    <w:rsid w:val="000B7558"/>
    <w:rsid w:val="000C04DC"/>
    <w:rsid w:val="000C0D98"/>
    <w:rsid w:val="000C441D"/>
    <w:rsid w:val="000C4C77"/>
    <w:rsid w:val="000C4E31"/>
    <w:rsid w:val="000C6AE0"/>
    <w:rsid w:val="000D0B7D"/>
    <w:rsid w:val="000D25E6"/>
    <w:rsid w:val="000D4BBB"/>
    <w:rsid w:val="000D62C3"/>
    <w:rsid w:val="000D693E"/>
    <w:rsid w:val="000D6A10"/>
    <w:rsid w:val="000D6CA1"/>
    <w:rsid w:val="000E0689"/>
    <w:rsid w:val="000E1C63"/>
    <w:rsid w:val="000E2707"/>
    <w:rsid w:val="000E30C5"/>
    <w:rsid w:val="000E4335"/>
    <w:rsid w:val="000E466F"/>
    <w:rsid w:val="000E65F7"/>
    <w:rsid w:val="000E72A1"/>
    <w:rsid w:val="000F0056"/>
    <w:rsid w:val="000F1345"/>
    <w:rsid w:val="000F2963"/>
    <w:rsid w:val="000F3282"/>
    <w:rsid w:val="000F494A"/>
    <w:rsid w:val="000F5AC4"/>
    <w:rsid w:val="000F76C8"/>
    <w:rsid w:val="000F7F02"/>
    <w:rsid w:val="001001B9"/>
    <w:rsid w:val="00100EAC"/>
    <w:rsid w:val="00102120"/>
    <w:rsid w:val="00102254"/>
    <w:rsid w:val="001048E5"/>
    <w:rsid w:val="001051A5"/>
    <w:rsid w:val="0010702C"/>
    <w:rsid w:val="00110970"/>
    <w:rsid w:val="00111568"/>
    <w:rsid w:val="00111C9B"/>
    <w:rsid w:val="001120C0"/>
    <w:rsid w:val="001121C0"/>
    <w:rsid w:val="001150BF"/>
    <w:rsid w:val="00115EB0"/>
    <w:rsid w:val="0011625D"/>
    <w:rsid w:val="001168F2"/>
    <w:rsid w:val="0011794F"/>
    <w:rsid w:val="00120207"/>
    <w:rsid w:val="001238FD"/>
    <w:rsid w:val="00123C1B"/>
    <w:rsid w:val="00125E3C"/>
    <w:rsid w:val="0013189E"/>
    <w:rsid w:val="00133E7E"/>
    <w:rsid w:val="0013456F"/>
    <w:rsid w:val="001350C0"/>
    <w:rsid w:val="001379F3"/>
    <w:rsid w:val="00140310"/>
    <w:rsid w:val="00142072"/>
    <w:rsid w:val="00143FCB"/>
    <w:rsid w:val="00145627"/>
    <w:rsid w:val="00146A41"/>
    <w:rsid w:val="00151679"/>
    <w:rsid w:val="0015318E"/>
    <w:rsid w:val="00154C76"/>
    <w:rsid w:val="00154E54"/>
    <w:rsid w:val="00154ED1"/>
    <w:rsid w:val="00155914"/>
    <w:rsid w:val="00163D92"/>
    <w:rsid w:val="00164144"/>
    <w:rsid w:val="001645B0"/>
    <w:rsid w:val="00164F06"/>
    <w:rsid w:val="0016626E"/>
    <w:rsid w:val="00166F94"/>
    <w:rsid w:val="001678AD"/>
    <w:rsid w:val="001679AD"/>
    <w:rsid w:val="00172ADE"/>
    <w:rsid w:val="0017393D"/>
    <w:rsid w:val="00175020"/>
    <w:rsid w:val="00175703"/>
    <w:rsid w:val="001758DE"/>
    <w:rsid w:val="0017690D"/>
    <w:rsid w:val="00176D25"/>
    <w:rsid w:val="001774B3"/>
    <w:rsid w:val="00180136"/>
    <w:rsid w:val="001801AA"/>
    <w:rsid w:val="0018342E"/>
    <w:rsid w:val="001840C2"/>
    <w:rsid w:val="00184B46"/>
    <w:rsid w:val="001851CF"/>
    <w:rsid w:val="00185939"/>
    <w:rsid w:val="001876F6"/>
    <w:rsid w:val="001902B1"/>
    <w:rsid w:val="00191E23"/>
    <w:rsid w:val="001933E4"/>
    <w:rsid w:val="001953B1"/>
    <w:rsid w:val="001963C0"/>
    <w:rsid w:val="00197956"/>
    <w:rsid w:val="001A2562"/>
    <w:rsid w:val="001A30A8"/>
    <w:rsid w:val="001A446E"/>
    <w:rsid w:val="001A51B8"/>
    <w:rsid w:val="001A6724"/>
    <w:rsid w:val="001B0046"/>
    <w:rsid w:val="001B17A8"/>
    <w:rsid w:val="001B1C86"/>
    <w:rsid w:val="001B2F18"/>
    <w:rsid w:val="001B3BA1"/>
    <w:rsid w:val="001B5199"/>
    <w:rsid w:val="001B63C6"/>
    <w:rsid w:val="001C069D"/>
    <w:rsid w:val="001C3CF8"/>
    <w:rsid w:val="001C48D4"/>
    <w:rsid w:val="001C5750"/>
    <w:rsid w:val="001C76FD"/>
    <w:rsid w:val="001C7C93"/>
    <w:rsid w:val="001D03D8"/>
    <w:rsid w:val="001D2A2B"/>
    <w:rsid w:val="001D3582"/>
    <w:rsid w:val="001D3638"/>
    <w:rsid w:val="001D36CD"/>
    <w:rsid w:val="001D396B"/>
    <w:rsid w:val="001D4C14"/>
    <w:rsid w:val="001D4F49"/>
    <w:rsid w:val="001D4FB3"/>
    <w:rsid w:val="001D5FF7"/>
    <w:rsid w:val="001D7778"/>
    <w:rsid w:val="001D7982"/>
    <w:rsid w:val="001E09C6"/>
    <w:rsid w:val="001E1D3D"/>
    <w:rsid w:val="001E2785"/>
    <w:rsid w:val="001E31DA"/>
    <w:rsid w:val="001E47D1"/>
    <w:rsid w:val="001E4C26"/>
    <w:rsid w:val="001E6A64"/>
    <w:rsid w:val="001E6D3C"/>
    <w:rsid w:val="001E75C5"/>
    <w:rsid w:val="001E77E9"/>
    <w:rsid w:val="001E7DF9"/>
    <w:rsid w:val="001E7E96"/>
    <w:rsid w:val="001F376F"/>
    <w:rsid w:val="001F3F2A"/>
    <w:rsid w:val="001F517F"/>
    <w:rsid w:val="001F69C2"/>
    <w:rsid w:val="00200DE7"/>
    <w:rsid w:val="00202F53"/>
    <w:rsid w:val="00204211"/>
    <w:rsid w:val="002048D1"/>
    <w:rsid w:val="002077FC"/>
    <w:rsid w:val="002079CB"/>
    <w:rsid w:val="0021096E"/>
    <w:rsid w:val="00210DE8"/>
    <w:rsid w:val="00211D73"/>
    <w:rsid w:val="002122FB"/>
    <w:rsid w:val="00212A3E"/>
    <w:rsid w:val="00213736"/>
    <w:rsid w:val="00214B8A"/>
    <w:rsid w:val="00214BF2"/>
    <w:rsid w:val="00215A7F"/>
    <w:rsid w:val="00216522"/>
    <w:rsid w:val="00216904"/>
    <w:rsid w:val="0022108B"/>
    <w:rsid w:val="00221D19"/>
    <w:rsid w:val="0022206D"/>
    <w:rsid w:val="002220A3"/>
    <w:rsid w:val="0022453B"/>
    <w:rsid w:val="0022666B"/>
    <w:rsid w:val="0022734D"/>
    <w:rsid w:val="002278C4"/>
    <w:rsid w:val="00227C4E"/>
    <w:rsid w:val="002311C6"/>
    <w:rsid w:val="00232F4B"/>
    <w:rsid w:val="00233DD8"/>
    <w:rsid w:val="0023447F"/>
    <w:rsid w:val="002350B3"/>
    <w:rsid w:val="0023798E"/>
    <w:rsid w:val="00241696"/>
    <w:rsid w:val="00242EE4"/>
    <w:rsid w:val="00243510"/>
    <w:rsid w:val="0024462E"/>
    <w:rsid w:val="002448B7"/>
    <w:rsid w:val="002474FA"/>
    <w:rsid w:val="00247738"/>
    <w:rsid w:val="00253493"/>
    <w:rsid w:val="002543DC"/>
    <w:rsid w:val="00257AFB"/>
    <w:rsid w:val="00257C1C"/>
    <w:rsid w:val="00257DAC"/>
    <w:rsid w:val="00260312"/>
    <w:rsid w:val="002609DA"/>
    <w:rsid w:val="00260D73"/>
    <w:rsid w:val="0026293D"/>
    <w:rsid w:val="00262DF7"/>
    <w:rsid w:val="002630C7"/>
    <w:rsid w:val="00264B2B"/>
    <w:rsid w:val="00265982"/>
    <w:rsid w:val="002668D8"/>
    <w:rsid w:val="00270154"/>
    <w:rsid w:val="00270AB8"/>
    <w:rsid w:val="00271A88"/>
    <w:rsid w:val="00271AD9"/>
    <w:rsid w:val="00271F70"/>
    <w:rsid w:val="0027273F"/>
    <w:rsid w:val="002727B4"/>
    <w:rsid w:val="0027408B"/>
    <w:rsid w:val="00274971"/>
    <w:rsid w:val="0027526D"/>
    <w:rsid w:val="00276B56"/>
    <w:rsid w:val="00276D17"/>
    <w:rsid w:val="002770CC"/>
    <w:rsid w:val="0028066D"/>
    <w:rsid w:val="00280F46"/>
    <w:rsid w:val="002819FD"/>
    <w:rsid w:val="0028216B"/>
    <w:rsid w:val="0028583A"/>
    <w:rsid w:val="00285D1C"/>
    <w:rsid w:val="0028733C"/>
    <w:rsid w:val="00287368"/>
    <w:rsid w:val="00287710"/>
    <w:rsid w:val="00287873"/>
    <w:rsid w:val="002916CC"/>
    <w:rsid w:val="0029278C"/>
    <w:rsid w:val="00292E65"/>
    <w:rsid w:val="00295315"/>
    <w:rsid w:val="0029697C"/>
    <w:rsid w:val="00296BE9"/>
    <w:rsid w:val="002979F1"/>
    <w:rsid w:val="002A13E1"/>
    <w:rsid w:val="002A3156"/>
    <w:rsid w:val="002A3248"/>
    <w:rsid w:val="002A35B1"/>
    <w:rsid w:val="002A36CD"/>
    <w:rsid w:val="002A3B57"/>
    <w:rsid w:val="002A4722"/>
    <w:rsid w:val="002A4D02"/>
    <w:rsid w:val="002A649F"/>
    <w:rsid w:val="002A6CEC"/>
    <w:rsid w:val="002A6F51"/>
    <w:rsid w:val="002A708F"/>
    <w:rsid w:val="002B0846"/>
    <w:rsid w:val="002B1304"/>
    <w:rsid w:val="002B3537"/>
    <w:rsid w:val="002B389D"/>
    <w:rsid w:val="002B5DE3"/>
    <w:rsid w:val="002B6F29"/>
    <w:rsid w:val="002B72D5"/>
    <w:rsid w:val="002C18FB"/>
    <w:rsid w:val="002C5981"/>
    <w:rsid w:val="002C626C"/>
    <w:rsid w:val="002C7F8E"/>
    <w:rsid w:val="002D0410"/>
    <w:rsid w:val="002D0899"/>
    <w:rsid w:val="002D1707"/>
    <w:rsid w:val="002D17E2"/>
    <w:rsid w:val="002D29D8"/>
    <w:rsid w:val="002D36DC"/>
    <w:rsid w:val="002D3F5B"/>
    <w:rsid w:val="002D5CD0"/>
    <w:rsid w:val="002D6465"/>
    <w:rsid w:val="002D653B"/>
    <w:rsid w:val="002D799F"/>
    <w:rsid w:val="002E0A21"/>
    <w:rsid w:val="002E0EC8"/>
    <w:rsid w:val="002E278F"/>
    <w:rsid w:val="002E33C3"/>
    <w:rsid w:val="002E3B4D"/>
    <w:rsid w:val="002E3B6C"/>
    <w:rsid w:val="002E610F"/>
    <w:rsid w:val="002F0522"/>
    <w:rsid w:val="002F0734"/>
    <w:rsid w:val="002F2D54"/>
    <w:rsid w:val="002F4F8A"/>
    <w:rsid w:val="002F5104"/>
    <w:rsid w:val="002F6095"/>
    <w:rsid w:val="00300DEC"/>
    <w:rsid w:val="00301975"/>
    <w:rsid w:val="00302223"/>
    <w:rsid w:val="003036BF"/>
    <w:rsid w:val="00303A8F"/>
    <w:rsid w:val="0030542C"/>
    <w:rsid w:val="00306029"/>
    <w:rsid w:val="00306931"/>
    <w:rsid w:val="00306996"/>
    <w:rsid w:val="00310418"/>
    <w:rsid w:val="003104ED"/>
    <w:rsid w:val="00310E2C"/>
    <w:rsid w:val="00311064"/>
    <w:rsid w:val="00312794"/>
    <w:rsid w:val="00312FFC"/>
    <w:rsid w:val="00313E9A"/>
    <w:rsid w:val="003150BF"/>
    <w:rsid w:val="003150CE"/>
    <w:rsid w:val="003159B5"/>
    <w:rsid w:val="00315E92"/>
    <w:rsid w:val="00317294"/>
    <w:rsid w:val="00323B9E"/>
    <w:rsid w:val="0032510C"/>
    <w:rsid w:val="003251A6"/>
    <w:rsid w:val="00325AAB"/>
    <w:rsid w:val="003274AD"/>
    <w:rsid w:val="00330804"/>
    <w:rsid w:val="00334A6B"/>
    <w:rsid w:val="00335CB5"/>
    <w:rsid w:val="003366B2"/>
    <w:rsid w:val="00340066"/>
    <w:rsid w:val="0034288B"/>
    <w:rsid w:val="0034332B"/>
    <w:rsid w:val="00344217"/>
    <w:rsid w:val="0034681C"/>
    <w:rsid w:val="00352D0B"/>
    <w:rsid w:val="0035343E"/>
    <w:rsid w:val="003600A8"/>
    <w:rsid w:val="0036110B"/>
    <w:rsid w:val="003616C8"/>
    <w:rsid w:val="00362FC0"/>
    <w:rsid w:val="00366524"/>
    <w:rsid w:val="00372E28"/>
    <w:rsid w:val="00373E58"/>
    <w:rsid w:val="00376073"/>
    <w:rsid w:val="00377452"/>
    <w:rsid w:val="00381223"/>
    <w:rsid w:val="00381849"/>
    <w:rsid w:val="003823A0"/>
    <w:rsid w:val="0038317C"/>
    <w:rsid w:val="00383AD9"/>
    <w:rsid w:val="00384F36"/>
    <w:rsid w:val="00385271"/>
    <w:rsid w:val="00385AD1"/>
    <w:rsid w:val="003878B5"/>
    <w:rsid w:val="003911E0"/>
    <w:rsid w:val="0039226E"/>
    <w:rsid w:val="00392CC8"/>
    <w:rsid w:val="003948DC"/>
    <w:rsid w:val="00394DA6"/>
    <w:rsid w:val="00395273"/>
    <w:rsid w:val="003A0B45"/>
    <w:rsid w:val="003A2017"/>
    <w:rsid w:val="003A48CC"/>
    <w:rsid w:val="003A5799"/>
    <w:rsid w:val="003A72EF"/>
    <w:rsid w:val="003B0FFB"/>
    <w:rsid w:val="003B14CE"/>
    <w:rsid w:val="003B2D3F"/>
    <w:rsid w:val="003B4EED"/>
    <w:rsid w:val="003B5849"/>
    <w:rsid w:val="003B6963"/>
    <w:rsid w:val="003B6B2C"/>
    <w:rsid w:val="003C208C"/>
    <w:rsid w:val="003C266A"/>
    <w:rsid w:val="003C2DA0"/>
    <w:rsid w:val="003C3331"/>
    <w:rsid w:val="003C3C17"/>
    <w:rsid w:val="003C4DD3"/>
    <w:rsid w:val="003C602A"/>
    <w:rsid w:val="003C6EAA"/>
    <w:rsid w:val="003C7ABB"/>
    <w:rsid w:val="003D12E3"/>
    <w:rsid w:val="003D1759"/>
    <w:rsid w:val="003D1896"/>
    <w:rsid w:val="003D1E03"/>
    <w:rsid w:val="003D313E"/>
    <w:rsid w:val="003D3B14"/>
    <w:rsid w:val="003D55E0"/>
    <w:rsid w:val="003D5BFC"/>
    <w:rsid w:val="003D62F7"/>
    <w:rsid w:val="003D7DC8"/>
    <w:rsid w:val="003E1035"/>
    <w:rsid w:val="003E17F2"/>
    <w:rsid w:val="003E19F7"/>
    <w:rsid w:val="003E1EB2"/>
    <w:rsid w:val="003E3864"/>
    <w:rsid w:val="003E442B"/>
    <w:rsid w:val="003E47CC"/>
    <w:rsid w:val="003E492C"/>
    <w:rsid w:val="003E5324"/>
    <w:rsid w:val="003E5E20"/>
    <w:rsid w:val="003E710D"/>
    <w:rsid w:val="003E7A9C"/>
    <w:rsid w:val="003F18CB"/>
    <w:rsid w:val="003F1AB3"/>
    <w:rsid w:val="003F2221"/>
    <w:rsid w:val="003F328F"/>
    <w:rsid w:val="003F4CC3"/>
    <w:rsid w:val="003F531A"/>
    <w:rsid w:val="003F7C9E"/>
    <w:rsid w:val="004020FD"/>
    <w:rsid w:val="004025E8"/>
    <w:rsid w:val="00402768"/>
    <w:rsid w:val="004030EC"/>
    <w:rsid w:val="0040312D"/>
    <w:rsid w:val="00404C36"/>
    <w:rsid w:val="004054B8"/>
    <w:rsid w:val="00406F38"/>
    <w:rsid w:val="004107CA"/>
    <w:rsid w:val="00410BDD"/>
    <w:rsid w:val="00410C1C"/>
    <w:rsid w:val="004111BC"/>
    <w:rsid w:val="004114CB"/>
    <w:rsid w:val="004125F4"/>
    <w:rsid w:val="004126D4"/>
    <w:rsid w:val="00412A1E"/>
    <w:rsid w:val="00413535"/>
    <w:rsid w:val="00414703"/>
    <w:rsid w:val="00415D2B"/>
    <w:rsid w:val="004162BC"/>
    <w:rsid w:val="00416C0A"/>
    <w:rsid w:val="00421941"/>
    <w:rsid w:val="00424DE2"/>
    <w:rsid w:val="00425746"/>
    <w:rsid w:val="00431936"/>
    <w:rsid w:val="00432528"/>
    <w:rsid w:val="00432836"/>
    <w:rsid w:val="004335FD"/>
    <w:rsid w:val="004342D6"/>
    <w:rsid w:val="004373D1"/>
    <w:rsid w:val="0043778D"/>
    <w:rsid w:val="00437BC5"/>
    <w:rsid w:val="00437F3F"/>
    <w:rsid w:val="00440CF3"/>
    <w:rsid w:val="004410B7"/>
    <w:rsid w:val="00442A77"/>
    <w:rsid w:val="0044400A"/>
    <w:rsid w:val="00444B5F"/>
    <w:rsid w:val="004453FE"/>
    <w:rsid w:val="004454C2"/>
    <w:rsid w:val="004463CF"/>
    <w:rsid w:val="00446EEF"/>
    <w:rsid w:val="00446F98"/>
    <w:rsid w:val="00447347"/>
    <w:rsid w:val="00447F33"/>
    <w:rsid w:val="00450A27"/>
    <w:rsid w:val="00450A50"/>
    <w:rsid w:val="00451EC2"/>
    <w:rsid w:val="00454BAD"/>
    <w:rsid w:val="00455B8F"/>
    <w:rsid w:val="00461D7C"/>
    <w:rsid w:val="00463357"/>
    <w:rsid w:val="0046341F"/>
    <w:rsid w:val="00463A04"/>
    <w:rsid w:val="00464A69"/>
    <w:rsid w:val="00465255"/>
    <w:rsid w:val="0046616B"/>
    <w:rsid w:val="00471B53"/>
    <w:rsid w:val="00473718"/>
    <w:rsid w:val="00473869"/>
    <w:rsid w:val="0047410E"/>
    <w:rsid w:val="00474286"/>
    <w:rsid w:val="00475487"/>
    <w:rsid w:val="0048054A"/>
    <w:rsid w:val="004818E8"/>
    <w:rsid w:val="00482F67"/>
    <w:rsid w:val="00483006"/>
    <w:rsid w:val="00483BF2"/>
    <w:rsid w:val="0048469A"/>
    <w:rsid w:val="00484915"/>
    <w:rsid w:val="00485961"/>
    <w:rsid w:val="00487387"/>
    <w:rsid w:val="00487502"/>
    <w:rsid w:val="004919FD"/>
    <w:rsid w:val="00491C94"/>
    <w:rsid w:val="00492955"/>
    <w:rsid w:val="004937CA"/>
    <w:rsid w:val="004949DD"/>
    <w:rsid w:val="00497F43"/>
    <w:rsid w:val="004A132C"/>
    <w:rsid w:val="004A267C"/>
    <w:rsid w:val="004A2AD0"/>
    <w:rsid w:val="004A2FCD"/>
    <w:rsid w:val="004A3534"/>
    <w:rsid w:val="004A4755"/>
    <w:rsid w:val="004B26D9"/>
    <w:rsid w:val="004B2C5E"/>
    <w:rsid w:val="004B46E3"/>
    <w:rsid w:val="004B4A05"/>
    <w:rsid w:val="004B50F5"/>
    <w:rsid w:val="004B6ACD"/>
    <w:rsid w:val="004B7040"/>
    <w:rsid w:val="004B774B"/>
    <w:rsid w:val="004C20D2"/>
    <w:rsid w:val="004C2B96"/>
    <w:rsid w:val="004C311B"/>
    <w:rsid w:val="004C42E7"/>
    <w:rsid w:val="004C4629"/>
    <w:rsid w:val="004C4B71"/>
    <w:rsid w:val="004C643B"/>
    <w:rsid w:val="004C69C0"/>
    <w:rsid w:val="004C7892"/>
    <w:rsid w:val="004D087E"/>
    <w:rsid w:val="004D19DB"/>
    <w:rsid w:val="004D1E88"/>
    <w:rsid w:val="004D33AE"/>
    <w:rsid w:val="004D3CD7"/>
    <w:rsid w:val="004D4F8F"/>
    <w:rsid w:val="004D58DE"/>
    <w:rsid w:val="004D63E2"/>
    <w:rsid w:val="004D73F9"/>
    <w:rsid w:val="004E3F30"/>
    <w:rsid w:val="004E46F8"/>
    <w:rsid w:val="004E4E2E"/>
    <w:rsid w:val="004E50C8"/>
    <w:rsid w:val="004E653E"/>
    <w:rsid w:val="004E65F5"/>
    <w:rsid w:val="004E75FB"/>
    <w:rsid w:val="004F1422"/>
    <w:rsid w:val="004F14CE"/>
    <w:rsid w:val="004F2D77"/>
    <w:rsid w:val="004F3E28"/>
    <w:rsid w:val="004F55E7"/>
    <w:rsid w:val="004F5878"/>
    <w:rsid w:val="004F5ED5"/>
    <w:rsid w:val="004F621F"/>
    <w:rsid w:val="004F7A65"/>
    <w:rsid w:val="004F7F1C"/>
    <w:rsid w:val="00502EAE"/>
    <w:rsid w:val="005031D7"/>
    <w:rsid w:val="00503A1B"/>
    <w:rsid w:val="00503E0C"/>
    <w:rsid w:val="00504F51"/>
    <w:rsid w:val="0050500F"/>
    <w:rsid w:val="00505279"/>
    <w:rsid w:val="005063E1"/>
    <w:rsid w:val="00507CC5"/>
    <w:rsid w:val="00513EE5"/>
    <w:rsid w:val="00514BD7"/>
    <w:rsid w:val="005155DD"/>
    <w:rsid w:val="00516BBB"/>
    <w:rsid w:val="005201A7"/>
    <w:rsid w:val="005205E4"/>
    <w:rsid w:val="00520891"/>
    <w:rsid w:val="00520EEB"/>
    <w:rsid w:val="00521284"/>
    <w:rsid w:val="005217C4"/>
    <w:rsid w:val="00523E83"/>
    <w:rsid w:val="005248BB"/>
    <w:rsid w:val="00524B38"/>
    <w:rsid w:val="005257E2"/>
    <w:rsid w:val="0052590C"/>
    <w:rsid w:val="005308A5"/>
    <w:rsid w:val="00530C90"/>
    <w:rsid w:val="005314E9"/>
    <w:rsid w:val="00531723"/>
    <w:rsid w:val="0053275E"/>
    <w:rsid w:val="0053324F"/>
    <w:rsid w:val="00533E64"/>
    <w:rsid w:val="0053712B"/>
    <w:rsid w:val="00537F29"/>
    <w:rsid w:val="00541EF9"/>
    <w:rsid w:val="00542FD1"/>
    <w:rsid w:val="005431CF"/>
    <w:rsid w:val="00543D0A"/>
    <w:rsid w:val="005454F3"/>
    <w:rsid w:val="005455E5"/>
    <w:rsid w:val="0054681B"/>
    <w:rsid w:val="0054779A"/>
    <w:rsid w:val="00547BA1"/>
    <w:rsid w:val="00556101"/>
    <w:rsid w:val="00556131"/>
    <w:rsid w:val="005562ED"/>
    <w:rsid w:val="00557CB1"/>
    <w:rsid w:val="0056091E"/>
    <w:rsid w:val="00561371"/>
    <w:rsid w:val="0056172D"/>
    <w:rsid w:val="00562CBE"/>
    <w:rsid w:val="00562CFD"/>
    <w:rsid w:val="005635F3"/>
    <w:rsid w:val="0056411C"/>
    <w:rsid w:val="00564ABC"/>
    <w:rsid w:val="00564ACA"/>
    <w:rsid w:val="00565B4C"/>
    <w:rsid w:val="00565BDE"/>
    <w:rsid w:val="005663FF"/>
    <w:rsid w:val="005677E5"/>
    <w:rsid w:val="00570D24"/>
    <w:rsid w:val="00571F22"/>
    <w:rsid w:val="0057350F"/>
    <w:rsid w:val="00574C1A"/>
    <w:rsid w:val="00580111"/>
    <w:rsid w:val="00580EEB"/>
    <w:rsid w:val="00580FCF"/>
    <w:rsid w:val="00581F00"/>
    <w:rsid w:val="00583673"/>
    <w:rsid w:val="005836C2"/>
    <w:rsid w:val="00583849"/>
    <w:rsid w:val="00583D08"/>
    <w:rsid w:val="00585C49"/>
    <w:rsid w:val="00586FC3"/>
    <w:rsid w:val="00587BE7"/>
    <w:rsid w:val="00587CBC"/>
    <w:rsid w:val="005900DE"/>
    <w:rsid w:val="00591536"/>
    <w:rsid w:val="00591EA4"/>
    <w:rsid w:val="00595DF1"/>
    <w:rsid w:val="00596524"/>
    <w:rsid w:val="00597D35"/>
    <w:rsid w:val="005A1C7A"/>
    <w:rsid w:val="005A2042"/>
    <w:rsid w:val="005A4A36"/>
    <w:rsid w:val="005A5E0B"/>
    <w:rsid w:val="005A6D6D"/>
    <w:rsid w:val="005A7264"/>
    <w:rsid w:val="005B035B"/>
    <w:rsid w:val="005B1601"/>
    <w:rsid w:val="005B1A2A"/>
    <w:rsid w:val="005B20CB"/>
    <w:rsid w:val="005B20FF"/>
    <w:rsid w:val="005B2CDC"/>
    <w:rsid w:val="005B31CC"/>
    <w:rsid w:val="005B4CFC"/>
    <w:rsid w:val="005B58B0"/>
    <w:rsid w:val="005C0298"/>
    <w:rsid w:val="005C0769"/>
    <w:rsid w:val="005C089C"/>
    <w:rsid w:val="005C1088"/>
    <w:rsid w:val="005C360A"/>
    <w:rsid w:val="005C5927"/>
    <w:rsid w:val="005C5BA7"/>
    <w:rsid w:val="005D221C"/>
    <w:rsid w:val="005D2A43"/>
    <w:rsid w:val="005D3B88"/>
    <w:rsid w:val="005D3BDA"/>
    <w:rsid w:val="005D5637"/>
    <w:rsid w:val="005D6EA0"/>
    <w:rsid w:val="005E1799"/>
    <w:rsid w:val="005E7B36"/>
    <w:rsid w:val="005F01A7"/>
    <w:rsid w:val="005F02E6"/>
    <w:rsid w:val="005F10F1"/>
    <w:rsid w:val="005F1911"/>
    <w:rsid w:val="005F2CBA"/>
    <w:rsid w:val="005F3216"/>
    <w:rsid w:val="005F435E"/>
    <w:rsid w:val="005F4DFE"/>
    <w:rsid w:val="005F4EF9"/>
    <w:rsid w:val="005F7C1F"/>
    <w:rsid w:val="006015AE"/>
    <w:rsid w:val="006017B1"/>
    <w:rsid w:val="00601955"/>
    <w:rsid w:val="006019BB"/>
    <w:rsid w:val="006036D4"/>
    <w:rsid w:val="006044DB"/>
    <w:rsid w:val="00604DF2"/>
    <w:rsid w:val="0060685F"/>
    <w:rsid w:val="00607066"/>
    <w:rsid w:val="00607197"/>
    <w:rsid w:val="00607A16"/>
    <w:rsid w:val="00610418"/>
    <w:rsid w:val="006109F8"/>
    <w:rsid w:val="006136AD"/>
    <w:rsid w:val="006146F7"/>
    <w:rsid w:val="006147EA"/>
    <w:rsid w:val="00615D20"/>
    <w:rsid w:val="00621A17"/>
    <w:rsid w:val="0062283E"/>
    <w:rsid w:val="00623075"/>
    <w:rsid w:val="00623910"/>
    <w:rsid w:val="00624975"/>
    <w:rsid w:val="00624A27"/>
    <w:rsid w:val="00624D74"/>
    <w:rsid w:val="0062716D"/>
    <w:rsid w:val="00627AF2"/>
    <w:rsid w:val="00632F94"/>
    <w:rsid w:val="0063394F"/>
    <w:rsid w:val="00633A4D"/>
    <w:rsid w:val="00634EA8"/>
    <w:rsid w:val="006359DA"/>
    <w:rsid w:val="0063632F"/>
    <w:rsid w:val="006367C6"/>
    <w:rsid w:val="006423AC"/>
    <w:rsid w:val="00643C3F"/>
    <w:rsid w:val="00650624"/>
    <w:rsid w:val="00650C56"/>
    <w:rsid w:val="00652858"/>
    <w:rsid w:val="00655578"/>
    <w:rsid w:val="006558DC"/>
    <w:rsid w:val="00656B27"/>
    <w:rsid w:val="00657F8B"/>
    <w:rsid w:val="00660401"/>
    <w:rsid w:val="00661792"/>
    <w:rsid w:val="006618FC"/>
    <w:rsid w:val="00663D00"/>
    <w:rsid w:val="00663E86"/>
    <w:rsid w:val="00664E48"/>
    <w:rsid w:val="0066535F"/>
    <w:rsid w:val="00665DAE"/>
    <w:rsid w:val="00671B7E"/>
    <w:rsid w:val="0067242C"/>
    <w:rsid w:val="0067327F"/>
    <w:rsid w:val="006767BC"/>
    <w:rsid w:val="00677D4A"/>
    <w:rsid w:val="00680840"/>
    <w:rsid w:val="00680BE2"/>
    <w:rsid w:val="00681933"/>
    <w:rsid w:val="00681D75"/>
    <w:rsid w:val="0068242E"/>
    <w:rsid w:val="00684955"/>
    <w:rsid w:val="00684BAF"/>
    <w:rsid w:val="00685D15"/>
    <w:rsid w:val="0069004C"/>
    <w:rsid w:val="0069005E"/>
    <w:rsid w:val="00690376"/>
    <w:rsid w:val="00691C58"/>
    <w:rsid w:val="00692A4A"/>
    <w:rsid w:val="00694647"/>
    <w:rsid w:val="00695635"/>
    <w:rsid w:val="00695697"/>
    <w:rsid w:val="00696EBB"/>
    <w:rsid w:val="006979B7"/>
    <w:rsid w:val="006A107A"/>
    <w:rsid w:val="006A195B"/>
    <w:rsid w:val="006A1F10"/>
    <w:rsid w:val="006A3103"/>
    <w:rsid w:val="006A3619"/>
    <w:rsid w:val="006A4D4E"/>
    <w:rsid w:val="006A5049"/>
    <w:rsid w:val="006A75EF"/>
    <w:rsid w:val="006A76FF"/>
    <w:rsid w:val="006B18DE"/>
    <w:rsid w:val="006B3F5D"/>
    <w:rsid w:val="006B630A"/>
    <w:rsid w:val="006B6375"/>
    <w:rsid w:val="006C116E"/>
    <w:rsid w:val="006C1415"/>
    <w:rsid w:val="006C1577"/>
    <w:rsid w:val="006C363A"/>
    <w:rsid w:val="006C3A0E"/>
    <w:rsid w:val="006C4A7C"/>
    <w:rsid w:val="006C5ACD"/>
    <w:rsid w:val="006C6300"/>
    <w:rsid w:val="006C69A5"/>
    <w:rsid w:val="006D137D"/>
    <w:rsid w:val="006D1544"/>
    <w:rsid w:val="006D1FFC"/>
    <w:rsid w:val="006D36B7"/>
    <w:rsid w:val="006D3A49"/>
    <w:rsid w:val="006D3D06"/>
    <w:rsid w:val="006D7B38"/>
    <w:rsid w:val="006E0861"/>
    <w:rsid w:val="006E16F1"/>
    <w:rsid w:val="006E30B5"/>
    <w:rsid w:val="006E359B"/>
    <w:rsid w:val="006E3A2F"/>
    <w:rsid w:val="006E3EC4"/>
    <w:rsid w:val="006E75BF"/>
    <w:rsid w:val="006F008E"/>
    <w:rsid w:val="006F09B5"/>
    <w:rsid w:val="006F12D1"/>
    <w:rsid w:val="006F1349"/>
    <w:rsid w:val="006F201F"/>
    <w:rsid w:val="006F2C03"/>
    <w:rsid w:val="006F48B3"/>
    <w:rsid w:val="006F48B8"/>
    <w:rsid w:val="006F553C"/>
    <w:rsid w:val="006F5924"/>
    <w:rsid w:val="006F5C8E"/>
    <w:rsid w:val="006F6258"/>
    <w:rsid w:val="006F65E1"/>
    <w:rsid w:val="006F67CA"/>
    <w:rsid w:val="006F7F8E"/>
    <w:rsid w:val="00701059"/>
    <w:rsid w:val="00701552"/>
    <w:rsid w:val="00704FDE"/>
    <w:rsid w:val="00705448"/>
    <w:rsid w:val="007119C5"/>
    <w:rsid w:val="007122EC"/>
    <w:rsid w:val="00714504"/>
    <w:rsid w:val="00714995"/>
    <w:rsid w:val="007160EB"/>
    <w:rsid w:val="00716618"/>
    <w:rsid w:val="007166F9"/>
    <w:rsid w:val="0071742A"/>
    <w:rsid w:val="00717ED3"/>
    <w:rsid w:val="00721E67"/>
    <w:rsid w:val="0072243B"/>
    <w:rsid w:val="00723E8C"/>
    <w:rsid w:val="00726657"/>
    <w:rsid w:val="00730E8F"/>
    <w:rsid w:val="00731D48"/>
    <w:rsid w:val="00734484"/>
    <w:rsid w:val="007345EA"/>
    <w:rsid w:val="00735A07"/>
    <w:rsid w:val="00735A71"/>
    <w:rsid w:val="00740C80"/>
    <w:rsid w:val="0074136F"/>
    <w:rsid w:val="00742076"/>
    <w:rsid w:val="00743A20"/>
    <w:rsid w:val="00744B2C"/>
    <w:rsid w:val="00745136"/>
    <w:rsid w:val="00745A15"/>
    <w:rsid w:val="00745DD2"/>
    <w:rsid w:val="007461E2"/>
    <w:rsid w:val="0074625F"/>
    <w:rsid w:val="007468AB"/>
    <w:rsid w:val="00751354"/>
    <w:rsid w:val="00753C70"/>
    <w:rsid w:val="00754D33"/>
    <w:rsid w:val="00755635"/>
    <w:rsid w:val="00756909"/>
    <w:rsid w:val="00760959"/>
    <w:rsid w:val="00760D10"/>
    <w:rsid w:val="00760D69"/>
    <w:rsid w:val="00761EB1"/>
    <w:rsid w:val="00762108"/>
    <w:rsid w:val="00765A9F"/>
    <w:rsid w:val="00766D87"/>
    <w:rsid w:val="00770E38"/>
    <w:rsid w:val="00772166"/>
    <w:rsid w:val="00774741"/>
    <w:rsid w:val="007751DE"/>
    <w:rsid w:val="00780790"/>
    <w:rsid w:val="0078133D"/>
    <w:rsid w:val="007818AD"/>
    <w:rsid w:val="00781E34"/>
    <w:rsid w:val="007838CE"/>
    <w:rsid w:val="00785785"/>
    <w:rsid w:val="00790D49"/>
    <w:rsid w:val="00791BEF"/>
    <w:rsid w:val="00791DED"/>
    <w:rsid w:val="007922C4"/>
    <w:rsid w:val="00792AA8"/>
    <w:rsid w:val="00793AAE"/>
    <w:rsid w:val="00794972"/>
    <w:rsid w:val="00794D7B"/>
    <w:rsid w:val="00795089"/>
    <w:rsid w:val="00795215"/>
    <w:rsid w:val="00796EE7"/>
    <w:rsid w:val="00797022"/>
    <w:rsid w:val="007A20F6"/>
    <w:rsid w:val="007A21C7"/>
    <w:rsid w:val="007A3ABE"/>
    <w:rsid w:val="007A4CB0"/>
    <w:rsid w:val="007A5B52"/>
    <w:rsid w:val="007A62C3"/>
    <w:rsid w:val="007A700D"/>
    <w:rsid w:val="007A7808"/>
    <w:rsid w:val="007B1E13"/>
    <w:rsid w:val="007B2D5D"/>
    <w:rsid w:val="007B3895"/>
    <w:rsid w:val="007B3B41"/>
    <w:rsid w:val="007B4102"/>
    <w:rsid w:val="007B516E"/>
    <w:rsid w:val="007B5410"/>
    <w:rsid w:val="007B55CA"/>
    <w:rsid w:val="007B651A"/>
    <w:rsid w:val="007B6648"/>
    <w:rsid w:val="007B6669"/>
    <w:rsid w:val="007B6AD5"/>
    <w:rsid w:val="007B781A"/>
    <w:rsid w:val="007C311B"/>
    <w:rsid w:val="007C38EC"/>
    <w:rsid w:val="007C506B"/>
    <w:rsid w:val="007C6189"/>
    <w:rsid w:val="007C6C69"/>
    <w:rsid w:val="007D0986"/>
    <w:rsid w:val="007D12BC"/>
    <w:rsid w:val="007D40E4"/>
    <w:rsid w:val="007D4C9D"/>
    <w:rsid w:val="007D59A7"/>
    <w:rsid w:val="007D698B"/>
    <w:rsid w:val="007D7BB6"/>
    <w:rsid w:val="007D7E97"/>
    <w:rsid w:val="007E18E6"/>
    <w:rsid w:val="007E5D35"/>
    <w:rsid w:val="007E7B50"/>
    <w:rsid w:val="007F2C1F"/>
    <w:rsid w:val="007F44BB"/>
    <w:rsid w:val="007F52A6"/>
    <w:rsid w:val="007F5789"/>
    <w:rsid w:val="007F68DA"/>
    <w:rsid w:val="008004E7"/>
    <w:rsid w:val="0080276C"/>
    <w:rsid w:val="00804D5B"/>
    <w:rsid w:val="008060C8"/>
    <w:rsid w:val="00806195"/>
    <w:rsid w:val="00806368"/>
    <w:rsid w:val="00810F5C"/>
    <w:rsid w:val="00812723"/>
    <w:rsid w:val="00814A6A"/>
    <w:rsid w:val="00814ED4"/>
    <w:rsid w:val="008152E3"/>
    <w:rsid w:val="0081557C"/>
    <w:rsid w:val="008159B1"/>
    <w:rsid w:val="00816EEC"/>
    <w:rsid w:val="00817570"/>
    <w:rsid w:val="00820282"/>
    <w:rsid w:val="00820BE9"/>
    <w:rsid w:val="0082117F"/>
    <w:rsid w:val="008216A4"/>
    <w:rsid w:val="00822BA2"/>
    <w:rsid w:val="00824B61"/>
    <w:rsid w:val="0082619C"/>
    <w:rsid w:val="00826431"/>
    <w:rsid w:val="00826A7F"/>
    <w:rsid w:val="008309C8"/>
    <w:rsid w:val="00831A0D"/>
    <w:rsid w:val="00834FFC"/>
    <w:rsid w:val="00836AD2"/>
    <w:rsid w:val="008375CC"/>
    <w:rsid w:val="008415CC"/>
    <w:rsid w:val="00842862"/>
    <w:rsid w:val="0084387E"/>
    <w:rsid w:val="00844710"/>
    <w:rsid w:val="00845199"/>
    <w:rsid w:val="00846FC6"/>
    <w:rsid w:val="00847DFE"/>
    <w:rsid w:val="00850853"/>
    <w:rsid w:val="00851111"/>
    <w:rsid w:val="0085148D"/>
    <w:rsid w:val="00851DCC"/>
    <w:rsid w:val="008525CF"/>
    <w:rsid w:val="008542CC"/>
    <w:rsid w:val="00854814"/>
    <w:rsid w:val="00855373"/>
    <w:rsid w:val="00860547"/>
    <w:rsid w:val="00860973"/>
    <w:rsid w:val="00860B77"/>
    <w:rsid w:val="0086183E"/>
    <w:rsid w:val="00863428"/>
    <w:rsid w:val="008648B5"/>
    <w:rsid w:val="008655AC"/>
    <w:rsid w:val="0086641A"/>
    <w:rsid w:val="00867F68"/>
    <w:rsid w:val="008709FE"/>
    <w:rsid w:val="00870E40"/>
    <w:rsid w:val="00870EDB"/>
    <w:rsid w:val="00872450"/>
    <w:rsid w:val="008737D3"/>
    <w:rsid w:val="00877CBF"/>
    <w:rsid w:val="00882D53"/>
    <w:rsid w:val="00883437"/>
    <w:rsid w:val="008834C5"/>
    <w:rsid w:val="00883A1A"/>
    <w:rsid w:val="00883C24"/>
    <w:rsid w:val="008842F4"/>
    <w:rsid w:val="008853F8"/>
    <w:rsid w:val="00892A07"/>
    <w:rsid w:val="008953BD"/>
    <w:rsid w:val="008A0E15"/>
    <w:rsid w:val="008A4628"/>
    <w:rsid w:val="008A4DB7"/>
    <w:rsid w:val="008A6106"/>
    <w:rsid w:val="008A65E1"/>
    <w:rsid w:val="008A69D6"/>
    <w:rsid w:val="008B47CB"/>
    <w:rsid w:val="008B6A6C"/>
    <w:rsid w:val="008C15BB"/>
    <w:rsid w:val="008C2261"/>
    <w:rsid w:val="008C28E5"/>
    <w:rsid w:val="008C4E5F"/>
    <w:rsid w:val="008C6C82"/>
    <w:rsid w:val="008C7C60"/>
    <w:rsid w:val="008D15F7"/>
    <w:rsid w:val="008D1FDE"/>
    <w:rsid w:val="008D2330"/>
    <w:rsid w:val="008D342B"/>
    <w:rsid w:val="008D351D"/>
    <w:rsid w:val="008D3DB1"/>
    <w:rsid w:val="008D5E30"/>
    <w:rsid w:val="008E0B4F"/>
    <w:rsid w:val="008E1C45"/>
    <w:rsid w:val="008E242E"/>
    <w:rsid w:val="008E27EA"/>
    <w:rsid w:val="008E2E16"/>
    <w:rsid w:val="008E647B"/>
    <w:rsid w:val="008E7002"/>
    <w:rsid w:val="008E7705"/>
    <w:rsid w:val="008E7B61"/>
    <w:rsid w:val="008F2EC8"/>
    <w:rsid w:val="008F39AE"/>
    <w:rsid w:val="008F3AE2"/>
    <w:rsid w:val="008F3E45"/>
    <w:rsid w:val="008F6221"/>
    <w:rsid w:val="008F722B"/>
    <w:rsid w:val="008F73A2"/>
    <w:rsid w:val="008F777B"/>
    <w:rsid w:val="008F7CCE"/>
    <w:rsid w:val="00900D9D"/>
    <w:rsid w:val="00903D36"/>
    <w:rsid w:val="009064E2"/>
    <w:rsid w:val="009077C7"/>
    <w:rsid w:val="00907EF3"/>
    <w:rsid w:val="0091220E"/>
    <w:rsid w:val="009131F7"/>
    <w:rsid w:val="0091465A"/>
    <w:rsid w:val="00915BEA"/>
    <w:rsid w:val="00920216"/>
    <w:rsid w:val="00920463"/>
    <w:rsid w:val="009231E5"/>
    <w:rsid w:val="009238C7"/>
    <w:rsid w:val="00923D68"/>
    <w:rsid w:val="009245CA"/>
    <w:rsid w:val="009245ED"/>
    <w:rsid w:val="00926E4D"/>
    <w:rsid w:val="00926E69"/>
    <w:rsid w:val="00930814"/>
    <w:rsid w:val="0093352D"/>
    <w:rsid w:val="00936478"/>
    <w:rsid w:val="009376FF"/>
    <w:rsid w:val="00940185"/>
    <w:rsid w:val="00940BCD"/>
    <w:rsid w:val="00941279"/>
    <w:rsid w:val="009425D3"/>
    <w:rsid w:val="00943CE1"/>
    <w:rsid w:val="009462D5"/>
    <w:rsid w:val="00947104"/>
    <w:rsid w:val="0094786A"/>
    <w:rsid w:val="00947917"/>
    <w:rsid w:val="00952B7D"/>
    <w:rsid w:val="009539C2"/>
    <w:rsid w:val="00954256"/>
    <w:rsid w:val="0095456C"/>
    <w:rsid w:val="00954696"/>
    <w:rsid w:val="009547B3"/>
    <w:rsid w:val="00955235"/>
    <w:rsid w:val="00955A44"/>
    <w:rsid w:val="00955A7C"/>
    <w:rsid w:val="00956905"/>
    <w:rsid w:val="00957240"/>
    <w:rsid w:val="00960ED6"/>
    <w:rsid w:val="009614C6"/>
    <w:rsid w:val="009616FD"/>
    <w:rsid w:val="00962BFB"/>
    <w:rsid w:val="00962E1C"/>
    <w:rsid w:val="00962EE6"/>
    <w:rsid w:val="00962F2A"/>
    <w:rsid w:val="0096349D"/>
    <w:rsid w:val="00963951"/>
    <w:rsid w:val="00964954"/>
    <w:rsid w:val="00966DEC"/>
    <w:rsid w:val="009678C3"/>
    <w:rsid w:val="00971F64"/>
    <w:rsid w:val="00972D65"/>
    <w:rsid w:val="00973456"/>
    <w:rsid w:val="00973D49"/>
    <w:rsid w:val="00975A57"/>
    <w:rsid w:val="0097650B"/>
    <w:rsid w:val="0097673B"/>
    <w:rsid w:val="009826ED"/>
    <w:rsid w:val="00983BD3"/>
    <w:rsid w:val="00984810"/>
    <w:rsid w:val="00987C7D"/>
    <w:rsid w:val="00990380"/>
    <w:rsid w:val="009921DB"/>
    <w:rsid w:val="009925DA"/>
    <w:rsid w:val="009940EF"/>
    <w:rsid w:val="009944C4"/>
    <w:rsid w:val="00994A8D"/>
    <w:rsid w:val="00994D06"/>
    <w:rsid w:val="009978E8"/>
    <w:rsid w:val="00997CF0"/>
    <w:rsid w:val="009A089B"/>
    <w:rsid w:val="009A0BBC"/>
    <w:rsid w:val="009A1D4F"/>
    <w:rsid w:val="009A3194"/>
    <w:rsid w:val="009A34DA"/>
    <w:rsid w:val="009A38F7"/>
    <w:rsid w:val="009A428F"/>
    <w:rsid w:val="009A5AFD"/>
    <w:rsid w:val="009A6EFD"/>
    <w:rsid w:val="009B245C"/>
    <w:rsid w:val="009B2A3F"/>
    <w:rsid w:val="009B39DC"/>
    <w:rsid w:val="009B530B"/>
    <w:rsid w:val="009B534B"/>
    <w:rsid w:val="009B61E7"/>
    <w:rsid w:val="009C3E95"/>
    <w:rsid w:val="009C6E72"/>
    <w:rsid w:val="009C7C5A"/>
    <w:rsid w:val="009D301A"/>
    <w:rsid w:val="009D3C3F"/>
    <w:rsid w:val="009D4D67"/>
    <w:rsid w:val="009D635B"/>
    <w:rsid w:val="009D66DC"/>
    <w:rsid w:val="009D7F6F"/>
    <w:rsid w:val="009E0393"/>
    <w:rsid w:val="009E07D3"/>
    <w:rsid w:val="009E16C0"/>
    <w:rsid w:val="009E4704"/>
    <w:rsid w:val="009E653D"/>
    <w:rsid w:val="009E7A08"/>
    <w:rsid w:val="009F06F2"/>
    <w:rsid w:val="009F0B39"/>
    <w:rsid w:val="009F2F68"/>
    <w:rsid w:val="009F36A7"/>
    <w:rsid w:val="009F3A18"/>
    <w:rsid w:val="009F635E"/>
    <w:rsid w:val="00A0088F"/>
    <w:rsid w:val="00A02C5A"/>
    <w:rsid w:val="00A02C5D"/>
    <w:rsid w:val="00A035FA"/>
    <w:rsid w:val="00A03F5D"/>
    <w:rsid w:val="00A0690C"/>
    <w:rsid w:val="00A07267"/>
    <w:rsid w:val="00A1068F"/>
    <w:rsid w:val="00A136DD"/>
    <w:rsid w:val="00A140D3"/>
    <w:rsid w:val="00A1446B"/>
    <w:rsid w:val="00A167F2"/>
    <w:rsid w:val="00A16CD8"/>
    <w:rsid w:val="00A17322"/>
    <w:rsid w:val="00A17EFE"/>
    <w:rsid w:val="00A206BE"/>
    <w:rsid w:val="00A20C78"/>
    <w:rsid w:val="00A21372"/>
    <w:rsid w:val="00A2312E"/>
    <w:rsid w:val="00A24323"/>
    <w:rsid w:val="00A24912"/>
    <w:rsid w:val="00A2512C"/>
    <w:rsid w:val="00A2515B"/>
    <w:rsid w:val="00A2581D"/>
    <w:rsid w:val="00A2588E"/>
    <w:rsid w:val="00A26EDF"/>
    <w:rsid w:val="00A33A99"/>
    <w:rsid w:val="00A33F41"/>
    <w:rsid w:val="00A34789"/>
    <w:rsid w:val="00A3488B"/>
    <w:rsid w:val="00A3630E"/>
    <w:rsid w:val="00A37B45"/>
    <w:rsid w:val="00A37BB8"/>
    <w:rsid w:val="00A4095E"/>
    <w:rsid w:val="00A41680"/>
    <w:rsid w:val="00A41FF8"/>
    <w:rsid w:val="00A42AE9"/>
    <w:rsid w:val="00A42D87"/>
    <w:rsid w:val="00A44BD3"/>
    <w:rsid w:val="00A4521D"/>
    <w:rsid w:val="00A46D6F"/>
    <w:rsid w:val="00A51F0A"/>
    <w:rsid w:val="00A5279A"/>
    <w:rsid w:val="00A5380B"/>
    <w:rsid w:val="00A5388E"/>
    <w:rsid w:val="00A53E3F"/>
    <w:rsid w:val="00A547DD"/>
    <w:rsid w:val="00A54EF2"/>
    <w:rsid w:val="00A55464"/>
    <w:rsid w:val="00A55D48"/>
    <w:rsid w:val="00A57BEB"/>
    <w:rsid w:val="00A6125B"/>
    <w:rsid w:val="00A61673"/>
    <w:rsid w:val="00A64680"/>
    <w:rsid w:val="00A64926"/>
    <w:rsid w:val="00A665CF"/>
    <w:rsid w:val="00A677AC"/>
    <w:rsid w:val="00A67CA7"/>
    <w:rsid w:val="00A70CD7"/>
    <w:rsid w:val="00A71359"/>
    <w:rsid w:val="00A71584"/>
    <w:rsid w:val="00A73989"/>
    <w:rsid w:val="00A73B2B"/>
    <w:rsid w:val="00A746D4"/>
    <w:rsid w:val="00A770D9"/>
    <w:rsid w:val="00A7752F"/>
    <w:rsid w:val="00A828CA"/>
    <w:rsid w:val="00A849ED"/>
    <w:rsid w:val="00A8586D"/>
    <w:rsid w:val="00A85C35"/>
    <w:rsid w:val="00A8734C"/>
    <w:rsid w:val="00A90BF9"/>
    <w:rsid w:val="00A92061"/>
    <w:rsid w:val="00A94249"/>
    <w:rsid w:val="00A94BC9"/>
    <w:rsid w:val="00A94D8E"/>
    <w:rsid w:val="00A959BC"/>
    <w:rsid w:val="00A95E75"/>
    <w:rsid w:val="00A96502"/>
    <w:rsid w:val="00AA0546"/>
    <w:rsid w:val="00AA1F93"/>
    <w:rsid w:val="00AA265F"/>
    <w:rsid w:val="00AA2816"/>
    <w:rsid w:val="00AA3C60"/>
    <w:rsid w:val="00AA3ED0"/>
    <w:rsid w:val="00AA61D9"/>
    <w:rsid w:val="00AA7356"/>
    <w:rsid w:val="00AB2FF4"/>
    <w:rsid w:val="00AB5F9C"/>
    <w:rsid w:val="00AB64CB"/>
    <w:rsid w:val="00AC1AD6"/>
    <w:rsid w:val="00AC1DEF"/>
    <w:rsid w:val="00AC2F1C"/>
    <w:rsid w:val="00AC3847"/>
    <w:rsid w:val="00AC4B75"/>
    <w:rsid w:val="00AC5AE0"/>
    <w:rsid w:val="00AC7A02"/>
    <w:rsid w:val="00AD0211"/>
    <w:rsid w:val="00AD0C6B"/>
    <w:rsid w:val="00AD4214"/>
    <w:rsid w:val="00AD64DF"/>
    <w:rsid w:val="00AE0D83"/>
    <w:rsid w:val="00AE1025"/>
    <w:rsid w:val="00AE3F03"/>
    <w:rsid w:val="00AE4794"/>
    <w:rsid w:val="00AE6350"/>
    <w:rsid w:val="00AE64F0"/>
    <w:rsid w:val="00AF07F9"/>
    <w:rsid w:val="00AF23C8"/>
    <w:rsid w:val="00AF2AE2"/>
    <w:rsid w:val="00AF4988"/>
    <w:rsid w:val="00AF629B"/>
    <w:rsid w:val="00AF6D5F"/>
    <w:rsid w:val="00B01C07"/>
    <w:rsid w:val="00B02D05"/>
    <w:rsid w:val="00B0377E"/>
    <w:rsid w:val="00B03A37"/>
    <w:rsid w:val="00B03B96"/>
    <w:rsid w:val="00B07BA9"/>
    <w:rsid w:val="00B10055"/>
    <w:rsid w:val="00B1141E"/>
    <w:rsid w:val="00B11DF8"/>
    <w:rsid w:val="00B1278B"/>
    <w:rsid w:val="00B14DA8"/>
    <w:rsid w:val="00B16152"/>
    <w:rsid w:val="00B17295"/>
    <w:rsid w:val="00B215F5"/>
    <w:rsid w:val="00B21FFA"/>
    <w:rsid w:val="00B2424A"/>
    <w:rsid w:val="00B25450"/>
    <w:rsid w:val="00B2735E"/>
    <w:rsid w:val="00B27A54"/>
    <w:rsid w:val="00B27DAA"/>
    <w:rsid w:val="00B30783"/>
    <w:rsid w:val="00B31F0F"/>
    <w:rsid w:val="00B33550"/>
    <w:rsid w:val="00B36858"/>
    <w:rsid w:val="00B37BAD"/>
    <w:rsid w:val="00B4160B"/>
    <w:rsid w:val="00B41F0F"/>
    <w:rsid w:val="00B42040"/>
    <w:rsid w:val="00B42560"/>
    <w:rsid w:val="00B437D2"/>
    <w:rsid w:val="00B447E5"/>
    <w:rsid w:val="00B455AA"/>
    <w:rsid w:val="00B45778"/>
    <w:rsid w:val="00B457A1"/>
    <w:rsid w:val="00B46091"/>
    <w:rsid w:val="00B4630F"/>
    <w:rsid w:val="00B464B1"/>
    <w:rsid w:val="00B46B4B"/>
    <w:rsid w:val="00B47A4A"/>
    <w:rsid w:val="00B47B99"/>
    <w:rsid w:val="00B47DBB"/>
    <w:rsid w:val="00B506B9"/>
    <w:rsid w:val="00B506F2"/>
    <w:rsid w:val="00B510E3"/>
    <w:rsid w:val="00B51BB4"/>
    <w:rsid w:val="00B51ECA"/>
    <w:rsid w:val="00B521AC"/>
    <w:rsid w:val="00B52702"/>
    <w:rsid w:val="00B5498D"/>
    <w:rsid w:val="00B5501D"/>
    <w:rsid w:val="00B571E6"/>
    <w:rsid w:val="00B57CE7"/>
    <w:rsid w:val="00B57F97"/>
    <w:rsid w:val="00B60F48"/>
    <w:rsid w:val="00B61358"/>
    <w:rsid w:val="00B6151E"/>
    <w:rsid w:val="00B61739"/>
    <w:rsid w:val="00B64962"/>
    <w:rsid w:val="00B65B3F"/>
    <w:rsid w:val="00B676EC"/>
    <w:rsid w:val="00B67E8D"/>
    <w:rsid w:val="00B7016C"/>
    <w:rsid w:val="00B7039B"/>
    <w:rsid w:val="00B72CC1"/>
    <w:rsid w:val="00B72CCA"/>
    <w:rsid w:val="00B74D1E"/>
    <w:rsid w:val="00B75109"/>
    <w:rsid w:val="00B7592E"/>
    <w:rsid w:val="00B76A18"/>
    <w:rsid w:val="00B76A56"/>
    <w:rsid w:val="00B76C5E"/>
    <w:rsid w:val="00B80C78"/>
    <w:rsid w:val="00B84C6C"/>
    <w:rsid w:val="00B85380"/>
    <w:rsid w:val="00B87569"/>
    <w:rsid w:val="00B92687"/>
    <w:rsid w:val="00B94248"/>
    <w:rsid w:val="00B942A1"/>
    <w:rsid w:val="00B94B4F"/>
    <w:rsid w:val="00B976F6"/>
    <w:rsid w:val="00BA1B34"/>
    <w:rsid w:val="00BA2AFD"/>
    <w:rsid w:val="00BA3A80"/>
    <w:rsid w:val="00BA5E52"/>
    <w:rsid w:val="00BA5F41"/>
    <w:rsid w:val="00BA7385"/>
    <w:rsid w:val="00BA757D"/>
    <w:rsid w:val="00BB03FD"/>
    <w:rsid w:val="00BB1483"/>
    <w:rsid w:val="00BB187C"/>
    <w:rsid w:val="00BB296B"/>
    <w:rsid w:val="00BB2DD0"/>
    <w:rsid w:val="00BB34EE"/>
    <w:rsid w:val="00BB3622"/>
    <w:rsid w:val="00BB4E66"/>
    <w:rsid w:val="00BB682C"/>
    <w:rsid w:val="00BB703C"/>
    <w:rsid w:val="00BB72DD"/>
    <w:rsid w:val="00BB7CA9"/>
    <w:rsid w:val="00BC119F"/>
    <w:rsid w:val="00BC236B"/>
    <w:rsid w:val="00BC2BB4"/>
    <w:rsid w:val="00BC3ADC"/>
    <w:rsid w:val="00BC3E8C"/>
    <w:rsid w:val="00BC4558"/>
    <w:rsid w:val="00BC65D9"/>
    <w:rsid w:val="00BC7C52"/>
    <w:rsid w:val="00BD0CF6"/>
    <w:rsid w:val="00BD1471"/>
    <w:rsid w:val="00BD14C5"/>
    <w:rsid w:val="00BD196A"/>
    <w:rsid w:val="00BD1C17"/>
    <w:rsid w:val="00BD2081"/>
    <w:rsid w:val="00BD2146"/>
    <w:rsid w:val="00BD2311"/>
    <w:rsid w:val="00BD51AE"/>
    <w:rsid w:val="00BD6262"/>
    <w:rsid w:val="00BD690E"/>
    <w:rsid w:val="00BE3960"/>
    <w:rsid w:val="00BE4C48"/>
    <w:rsid w:val="00BE4FAD"/>
    <w:rsid w:val="00BE5C7B"/>
    <w:rsid w:val="00BE61C1"/>
    <w:rsid w:val="00BE64AF"/>
    <w:rsid w:val="00BE6717"/>
    <w:rsid w:val="00BF0381"/>
    <w:rsid w:val="00BF1018"/>
    <w:rsid w:val="00BF18D6"/>
    <w:rsid w:val="00BF195E"/>
    <w:rsid w:val="00BF2972"/>
    <w:rsid w:val="00BF2A94"/>
    <w:rsid w:val="00BF34AD"/>
    <w:rsid w:val="00BF57E2"/>
    <w:rsid w:val="00BF67E8"/>
    <w:rsid w:val="00BF6E7B"/>
    <w:rsid w:val="00BF71CB"/>
    <w:rsid w:val="00C00BDC"/>
    <w:rsid w:val="00C00D49"/>
    <w:rsid w:val="00C01021"/>
    <w:rsid w:val="00C0141F"/>
    <w:rsid w:val="00C016B6"/>
    <w:rsid w:val="00C048AF"/>
    <w:rsid w:val="00C04C05"/>
    <w:rsid w:val="00C077E0"/>
    <w:rsid w:val="00C07DE6"/>
    <w:rsid w:val="00C10EC8"/>
    <w:rsid w:val="00C124AD"/>
    <w:rsid w:val="00C154B5"/>
    <w:rsid w:val="00C17426"/>
    <w:rsid w:val="00C17872"/>
    <w:rsid w:val="00C205E9"/>
    <w:rsid w:val="00C212FC"/>
    <w:rsid w:val="00C21619"/>
    <w:rsid w:val="00C21771"/>
    <w:rsid w:val="00C21872"/>
    <w:rsid w:val="00C222F5"/>
    <w:rsid w:val="00C23F48"/>
    <w:rsid w:val="00C262BD"/>
    <w:rsid w:val="00C276A7"/>
    <w:rsid w:val="00C27970"/>
    <w:rsid w:val="00C310C2"/>
    <w:rsid w:val="00C3624A"/>
    <w:rsid w:val="00C36525"/>
    <w:rsid w:val="00C36752"/>
    <w:rsid w:val="00C37153"/>
    <w:rsid w:val="00C37957"/>
    <w:rsid w:val="00C37B69"/>
    <w:rsid w:val="00C40EB3"/>
    <w:rsid w:val="00C41BD9"/>
    <w:rsid w:val="00C434FD"/>
    <w:rsid w:val="00C46B03"/>
    <w:rsid w:val="00C47AC7"/>
    <w:rsid w:val="00C47F4B"/>
    <w:rsid w:val="00C5192E"/>
    <w:rsid w:val="00C52DE6"/>
    <w:rsid w:val="00C5490A"/>
    <w:rsid w:val="00C565CA"/>
    <w:rsid w:val="00C6016B"/>
    <w:rsid w:val="00C60242"/>
    <w:rsid w:val="00C614EA"/>
    <w:rsid w:val="00C629CC"/>
    <w:rsid w:val="00C634A7"/>
    <w:rsid w:val="00C6389B"/>
    <w:rsid w:val="00C638D7"/>
    <w:rsid w:val="00C638DF"/>
    <w:rsid w:val="00C63EAA"/>
    <w:rsid w:val="00C64720"/>
    <w:rsid w:val="00C6517F"/>
    <w:rsid w:val="00C65C3E"/>
    <w:rsid w:val="00C664BD"/>
    <w:rsid w:val="00C66896"/>
    <w:rsid w:val="00C67BA6"/>
    <w:rsid w:val="00C70DA3"/>
    <w:rsid w:val="00C71920"/>
    <w:rsid w:val="00C72A63"/>
    <w:rsid w:val="00C74AC0"/>
    <w:rsid w:val="00C80AE4"/>
    <w:rsid w:val="00C811B0"/>
    <w:rsid w:val="00C822BE"/>
    <w:rsid w:val="00C82E32"/>
    <w:rsid w:val="00C847BC"/>
    <w:rsid w:val="00C84C5D"/>
    <w:rsid w:val="00C85246"/>
    <w:rsid w:val="00C85622"/>
    <w:rsid w:val="00C857F1"/>
    <w:rsid w:val="00C871C4"/>
    <w:rsid w:val="00C87360"/>
    <w:rsid w:val="00C9682C"/>
    <w:rsid w:val="00CA0B34"/>
    <w:rsid w:val="00CA1130"/>
    <w:rsid w:val="00CA3D1E"/>
    <w:rsid w:val="00CA415F"/>
    <w:rsid w:val="00CA5BC0"/>
    <w:rsid w:val="00CA5EA7"/>
    <w:rsid w:val="00CA64BF"/>
    <w:rsid w:val="00CA66D1"/>
    <w:rsid w:val="00CA6A72"/>
    <w:rsid w:val="00CB026C"/>
    <w:rsid w:val="00CB1CC5"/>
    <w:rsid w:val="00CB2C14"/>
    <w:rsid w:val="00CB47EA"/>
    <w:rsid w:val="00CB5A49"/>
    <w:rsid w:val="00CB5C15"/>
    <w:rsid w:val="00CB678B"/>
    <w:rsid w:val="00CC1228"/>
    <w:rsid w:val="00CC1277"/>
    <w:rsid w:val="00CC1A21"/>
    <w:rsid w:val="00CC3B6A"/>
    <w:rsid w:val="00CC4EB0"/>
    <w:rsid w:val="00CC5439"/>
    <w:rsid w:val="00CC57AE"/>
    <w:rsid w:val="00CC66DE"/>
    <w:rsid w:val="00CC7C0C"/>
    <w:rsid w:val="00CD2D9A"/>
    <w:rsid w:val="00CD6500"/>
    <w:rsid w:val="00CD75E3"/>
    <w:rsid w:val="00CD7E4E"/>
    <w:rsid w:val="00CE2627"/>
    <w:rsid w:val="00CE2E69"/>
    <w:rsid w:val="00CE2EB2"/>
    <w:rsid w:val="00CE525D"/>
    <w:rsid w:val="00CE5C99"/>
    <w:rsid w:val="00CE5DEE"/>
    <w:rsid w:val="00CE79F2"/>
    <w:rsid w:val="00CF02FB"/>
    <w:rsid w:val="00CF20C0"/>
    <w:rsid w:val="00CF23EE"/>
    <w:rsid w:val="00CF33AB"/>
    <w:rsid w:val="00CF3E66"/>
    <w:rsid w:val="00CF431D"/>
    <w:rsid w:val="00CF7C7B"/>
    <w:rsid w:val="00D03DA8"/>
    <w:rsid w:val="00D056C6"/>
    <w:rsid w:val="00D06261"/>
    <w:rsid w:val="00D06A72"/>
    <w:rsid w:val="00D07B18"/>
    <w:rsid w:val="00D11357"/>
    <w:rsid w:val="00D11559"/>
    <w:rsid w:val="00D1189A"/>
    <w:rsid w:val="00D126F7"/>
    <w:rsid w:val="00D129F5"/>
    <w:rsid w:val="00D12ED9"/>
    <w:rsid w:val="00D141DD"/>
    <w:rsid w:val="00D1494A"/>
    <w:rsid w:val="00D14A36"/>
    <w:rsid w:val="00D14EF5"/>
    <w:rsid w:val="00D14F98"/>
    <w:rsid w:val="00D15ADF"/>
    <w:rsid w:val="00D16393"/>
    <w:rsid w:val="00D21887"/>
    <w:rsid w:val="00D266DE"/>
    <w:rsid w:val="00D30904"/>
    <w:rsid w:val="00D31689"/>
    <w:rsid w:val="00D33542"/>
    <w:rsid w:val="00D33923"/>
    <w:rsid w:val="00D33F6F"/>
    <w:rsid w:val="00D34020"/>
    <w:rsid w:val="00D355E8"/>
    <w:rsid w:val="00D35AEA"/>
    <w:rsid w:val="00D36365"/>
    <w:rsid w:val="00D368E7"/>
    <w:rsid w:val="00D378DF"/>
    <w:rsid w:val="00D37ACF"/>
    <w:rsid w:val="00D37E2E"/>
    <w:rsid w:val="00D43DD6"/>
    <w:rsid w:val="00D45957"/>
    <w:rsid w:val="00D46815"/>
    <w:rsid w:val="00D51662"/>
    <w:rsid w:val="00D51C2C"/>
    <w:rsid w:val="00D55A36"/>
    <w:rsid w:val="00D5689A"/>
    <w:rsid w:val="00D57072"/>
    <w:rsid w:val="00D57B9E"/>
    <w:rsid w:val="00D61249"/>
    <w:rsid w:val="00D61AE5"/>
    <w:rsid w:val="00D62E49"/>
    <w:rsid w:val="00D63278"/>
    <w:rsid w:val="00D636FF"/>
    <w:rsid w:val="00D64636"/>
    <w:rsid w:val="00D668E4"/>
    <w:rsid w:val="00D67466"/>
    <w:rsid w:val="00D67912"/>
    <w:rsid w:val="00D7047B"/>
    <w:rsid w:val="00D71D64"/>
    <w:rsid w:val="00D729A9"/>
    <w:rsid w:val="00D729DE"/>
    <w:rsid w:val="00D73AA6"/>
    <w:rsid w:val="00D741F4"/>
    <w:rsid w:val="00D74FEC"/>
    <w:rsid w:val="00D75505"/>
    <w:rsid w:val="00D76695"/>
    <w:rsid w:val="00D77DAB"/>
    <w:rsid w:val="00D816F4"/>
    <w:rsid w:val="00D81EE2"/>
    <w:rsid w:val="00D8228F"/>
    <w:rsid w:val="00D83C3F"/>
    <w:rsid w:val="00D83CB1"/>
    <w:rsid w:val="00D8404E"/>
    <w:rsid w:val="00D862DA"/>
    <w:rsid w:val="00D8640C"/>
    <w:rsid w:val="00D86456"/>
    <w:rsid w:val="00D870BD"/>
    <w:rsid w:val="00D872E9"/>
    <w:rsid w:val="00D876AA"/>
    <w:rsid w:val="00D909C3"/>
    <w:rsid w:val="00D90A5B"/>
    <w:rsid w:val="00D90ED8"/>
    <w:rsid w:val="00D9184A"/>
    <w:rsid w:val="00D94D8E"/>
    <w:rsid w:val="00DA16E9"/>
    <w:rsid w:val="00DA2F4B"/>
    <w:rsid w:val="00DA39FF"/>
    <w:rsid w:val="00DA3D7B"/>
    <w:rsid w:val="00DA6721"/>
    <w:rsid w:val="00DA6D88"/>
    <w:rsid w:val="00DA7189"/>
    <w:rsid w:val="00DA719B"/>
    <w:rsid w:val="00DA7370"/>
    <w:rsid w:val="00DA7516"/>
    <w:rsid w:val="00DB0D77"/>
    <w:rsid w:val="00DB1190"/>
    <w:rsid w:val="00DB2A2C"/>
    <w:rsid w:val="00DB3999"/>
    <w:rsid w:val="00DB4594"/>
    <w:rsid w:val="00DB4AA3"/>
    <w:rsid w:val="00DB4F68"/>
    <w:rsid w:val="00DB68FF"/>
    <w:rsid w:val="00DB7230"/>
    <w:rsid w:val="00DC09BE"/>
    <w:rsid w:val="00DC32BA"/>
    <w:rsid w:val="00DC3548"/>
    <w:rsid w:val="00DC5331"/>
    <w:rsid w:val="00DC5FD8"/>
    <w:rsid w:val="00DC6470"/>
    <w:rsid w:val="00DC6FBA"/>
    <w:rsid w:val="00DC7AD1"/>
    <w:rsid w:val="00DD2FA1"/>
    <w:rsid w:val="00DD58C3"/>
    <w:rsid w:val="00DD6537"/>
    <w:rsid w:val="00DD6667"/>
    <w:rsid w:val="00DD674C"/>
    <w:rsid w:val="00DD74A2"/>
    <w:rsid w:val="00DE0423"/>
    <w:rsid w:val="00DE0EBC"/>
    <w:rsid w:val="00DE383B"/>
    <w:rsid w:val="00DE49BE"/>
    <w:rsid w:val="00DE5C19"/>
    <w:rsid w:val="00DE6576"/>
    <w:rsid w:val="00DF1310"/>
    <w:rsid w:val="00DF2E36"/>
    <w:rsid w:val="00DF330A"/>
    <w:rsid w:val="00DF3DD9"/>
    <w:rsid w:val="00DF4614"/>
    <w:rsid w:val="00DF54B7"/>
    <w:rsid w:val="00DF6D10"/>
    <w:rsid w:val="00DF7B25"/>
    <w:rsid w:val="00E00B67"/>
    <w:rsid w:val="00E02A5D"/>
    <w:rsid w:val="00E02E80"/>
    <w:rsid w:val="00E1150C"/>
    <w:rsid w:val="00E12789"/>
    <w:rsid w:val="00E12D88"/>
    <w:rsid w:val="00E134D0"/>
    <w:rsid w:val="00E135A1"/>
    <w:rsid w:val="00E13F81"/>
    <w:rsid w:val="00E140C0"/>
    <w:rsid w:val="00E1496E"/>
    <w:rsid w:val="00E16EF1"/>
    <w:rsid w:val="00E177A0"/>
    <w:rsid w:val="00E17F63"/>
    <w:rsid w:val="00E211F4"/>
    <w:rsid w:val="00E21CAF"/>
    <w:rsid w:val="00E23CFD"/>
    <w:rsid w:val="00E2420C"/>
    <w:rsid w:val="00E24AA8"/>
    <w:rsid w:val="00E3147E"/>
    <w:rsid w:val="00E36262"/>
    <w:rsid w:val="00E378BA"/>
    <w:rsid w:val="00E40512"/>
    <w:rsid w:val="00E40DBE"/>
    <w:rsid w:val="00E42024"/>
    <w:rsid w:val="00E43C06"/>
    <w:rsid w:val="00E449B1"/>
    <w:rsid w:val="00E44C32"/>
    <w:rsid w:val="00E47B31"/>
    <w:rsid w:val="00E501F7"/>
    <w:rsid w:val="00E502E6"/>
    <w:rsid w:val="00E5082D"/>
    <w:rsid w:val="00E50FFC"/>
    <w:rsid w:val="00E515E5"/>
    <w:rsid w:val="00E54E7B"/>
    <w:rsid w:val="00E55CA6"/>
    <w:rsid w:val="00E56D02"/>
    <w:rsid w:val="00E56D3F"/>
    <w:rsid w:val="00E574A9"/>
    <w:rsid w:val="00E60756"/>
    <w:rsid w:val="00E60EB8"/>
    <w:rsid w:val="00E61355"/>
    <w:rsid w:val="00E613BC"/>
    <w:rsid w:val="00E6186A"/>
    <w:rsid w:val="00E61ED4"/>
    <w:rsid w:val="00E61F1E"/>
    <w:rsid w:val="00E620A3"/>
    <w:rsid w:val="00E62F94"/>
    <w:rsid w:val="00E638E1"/>
    <w:rsid w:val="00E64E1D"/>
    <w:rsid w:val="00E66861"/>
    <w:rsid w:val="00E66E21"/>
    <w:rsid w:val="00E66EF9"/>
    <w:rsid w:val="00E67063"/>
    <w:rsid w:val="00E70071"/>
    <w:rsid w:val="00E70F38"/>
    <w:rsid w:val="00E710FC"/>
    <w:rsid w:val="00E71915"/>
    <w:rsid w:val="00E721B7"/>
    <w:rsid w:val="00E728B5"/>
    <w:rsid w:val="00E729FF"/>
    <w:rsid w:val="00E7335B"/>
    <w:rsid w:val="00E76E30"/>
    <w:rsid w:val="00E80436"/>
    <w:rsid w:val="00E80916"/>
    <w:rsid w:val="00E83349"/>
    <w:rsid w:val="00E83FEF"/>
    <w:rsid w:val="00E840DF"/>
    <w:rsid w:val="00E8560F"/>
    <w:rsid w:val="00E8780A"/>
    <w:rsid w:val="00E87CF0"/>
    <w:rsid w:val="00E936E0"/>
    <w:rsid w:val="00E95646"/>
    <w:rsid w:val="00E957FC"/>
    <w:rsid w:val="00EA0289"/>
    <w:rsid w:val="00EA2814"/>
    <w:rsid w:val="00EA2DFB"/>
    <w:rsid w:val="00EA4E94"/>
    <w:rsid w:val="00EA5C44"/>
    <w:rsid w:val="00EA6565"/>
    <w:rsid w:val="00EB11D1"/>
    <w:rsid w:val="00EB181B"/>
    <w:rsid w:val="00EB1CA4"/>
    <w:rsid w:val="00EB2DEA"/>
    <w:rsid w:val="00EB3343"/>
    <w:rsid w:val="00EB5CB9"/>
    <w:rsid w:val="00EB68A2"/>
    <w:rsid w:val="00EC1D1C"/>
    <w:rsid w:val="00EC2C23"/>
    <w:rsid w:val="00EC341C"/>
    <w:rsid w:val="00EC54C5"/>
    <w:rsid w:val="00EC5568"/>
    <w:rsid w:val="00EC6150"/>
    <w:rsid w:val="00EC6CBA"/>
    <w:rsid w:val="00EC7FC1"/>
    <w:rsid w:val="00ED1657"/>
    <w:rsid w:val="00ED40AD"/>
    <w:rsid w:val="00ED44D7"/>
    <w:rsid w:val="00ED5637"/>
    <w:rsid w:val="00ED6463"/>
    <w:rsid w:val="00ED6618"/>
    <w:rsid w:val="00EE01B8"/>
    <w:rsid w:val="00EE115D"/>
    <w:rsid w:val="00EE5E01"/>
    <w:rsid w:val="00EE71C9"/>
    <w:rsid w:val="00EE7C3C"/>
    <w:rsid w:val="00EF352D"/>
    <w:rsid w:val="00EF4270"/>
    <w:rsid w:val="00EF4AEE"/>
    <w:rsid w:val="00EF6E41"/>
    <w:rsid w:val="00F02F83"/>
    <w:rsid w:val="00F03F3B"/>
    <w:rsid w:val="00F07468"/>
    <w:rsid w:val="00F077C2"/>
    <w:rsid w:val="00F10A08"/>
    <w:rsid w:val="00F11DDC"/>
    <w:rsid w:val="00F11F38"/>
    <w:rsid w:val="00F1302B"/>
    <w:rsid w:val="00F13F09"/>
    <w:rsid w:val="00F13F76"/>
    <w:rsid w:val="00F2176B"/>
    <w:rsid w:val="00F22664"/>
    <w:rsid w:val="00F22D82"/>
    <w:rsid w:val="00F239B3"/>
    <w:rsid w:val="00F23A8E"/>
    <w:rsid w:val="00F23C36"/>
    <w:rsid w:val="00F23EEE"/>
    <w:rsid w:val="00F26D40"/>
    <w:rsid w:val="00F27330"/>
    <w:rsid w:val="00F30B4D"/>
    <w:rsid w:val="00F31856"/>
    <w:rsid w:val="00F340B6"/>
    <w:rsid w:val="00F34114"/>
    <w:rsid w:val="00F34BF5"/>
    <w:rsid w:val="00F361B7"/>
    <w:rsid w:val="00F3771C"/>
    <w:rsid w:val="00F40BAE"/>
    <w:rsid w:val="00F41B17"/>
    <w:rsid w:val="00F42F7E"/>
    <w:rsid w:val="00F50132"/>
    <w:rsid w:val="00F52F93"/>
    <w:rsid w:val="00F531ED"/>
    <w:rsid w:val="00F54608"/>
    <w:rsid w:val="00F552F2"/>
    <w:rsid w:val="00F55D09"/>
    <w:rsid w:val="00F55E52"/>
    <w:rsid w:val="00F56D39"/>
    <w:rsid w:val="00F57EF0"/>
    <w:rsid w:val="00F627E2"/>
    <w:rsid w:val="00F64360"/>
    <w:rsid w:val="00F661CA"/>
    <w:rsid w:val="00F666E6"/>
    <w:rsid w:val="00F66DFC"/>
    <w:rsid w:val="00F71520"/>
    <w:rsid w:val="00F7590F"/>
    <w:rsid w:val="00F75FE2"/>
    <w:rsid w:val="00F76880"/>
    <w:rsid w:val="00F772CC"/>
    <w:rsid w:val="00F8073D"/>
    <w:rsid w:val="00F84406"/>
    <w:rsid w:val="00F8569E"/>
    <w:rsid w:val="00F85A14"/>
    <w:rsid w:val="00F90EB0"/>
    <w:rsid w:val="00F913C6"/>
    <w:rsid w:val="00F91B50"/>
    <w:rsid w:val="00F92FCD"/>
    <w:rsid w:val="00F94864"/>
    <w:rsid w:val="00F95ABF"/>
    <w:rsid w:val="00F95BDD"/>
    <w:rsid w:val="00F9710D"/>
    <w:rsid w:val="00FA02EE"/>
    <w:rsid w:val="00FA087D"/>
    <w:rsid w:val="00FA1E19"/>
    <w:rsid w:val="00FA2E5F"/>
    <w:rsid w:val="00FA33A6"/>
    <w:rsid w:val="00FA4E11"/>
    <w:rsid w:val="00FA5F76"/>
    <w:rsid w:val="00FA6C09"/>
    <w:rsid w:val="00FA6F83"/>
    <w:rsid w:val="00FA71D0"/>
    <w:rsid w:val="00FA74F9"/>
    <w:rsid w:val="00FA7B80"/>
    <w:rsid w:val="00FA7E99"/>
    <w:rsid w:val="00FB0B18"/>
    <w:rsid w:val="00FB1452"/>
    <w:rsid w:val="00FB2359"/>
    <w:rsid w:val="00FB23E0"/>
    <w:rsid w:val="00FB2ACA"/>
    <w:rsid w:val="00FB3DEE"/>
    <w:rsid w:val="00FB673E"/>
    <w:rsid w:val="00FB6996"/>
    <w:rsid w:val="00FB753B"/>
    <w:rsid w:val="00FC33D6"/>
    <w:rsid w:val="00FC3A2D"/>
    <w:rsid w:val="00FC3D57"/>
    <w:rsid w:val="00FC3EB4"/>
    <w:rsid w:val="00FC51B8"/>
    <w:rsid w:val="00FC5FD1"/>
    <w:rsid w:val="00FC65B2"/>
    <w:rsid w:val="00FC6C2D"/>
    <w:rsid w:val="00FC7F03"/>
    <w:rsid w:val="00FD16AB"/>
    <w:rsid w:val="00FD2970"/>
    <w:rsid w:val="00FD2E3A"/>
    <w:rsid w:val="00FD30D5"/>
    <w:rsid w:val="00FD38DC"/>
    <w:rsid w:val="00FD569D"/>
    <w:rsid w:val="00FD6457"/>
    <w:rsid w:val="00FD755E"/>
    <w:rsid w:val="00FD7CD3"/>
    <w:rsid w:val="00FE11D0"/>
    <w:rsid w:val="00FE1595"/>
    <w:rsid w:val="00FE19F3"/>
    <w:rsid w:val="00FE1DE2"/>
    <w:rsid w:val="00FE2278"/>
    <w:rsid w:val="00FE2F46"/>
    <w:rsid w:val="00FE42F9"/>
    <w:rsid w:val="00FE44C5"/>
    <w:rsid w:val="00FE5CD7"/>
    <w:rsid w:val="00FF07AB"/>
    <w:rsid w:val="00FF1021"/>
    <w:rsid w:val="00FF141F"/>
    <w:rsid w:val="00FF14CE"/>
    <w:rsid w:val="00FF381E"/>
    <w:rsid w:val="00FF406D"/>
    <w:rsid w:val="00FF4F2F"/>
    <w:rsid w:val="00FF51BB"/>
    <w:rsid w:val="00FF5C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4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customStyle="1" w:styleId="DraftHeading2">
    <w:name w:val="Draft Heading 2"/>
    <w:basedOn w:val="Normal"/>
    <w:next w:val="Normal"/>
    <w:link w:val="DraftHeading2Char"/>
    <w:rsid w:val="00947104"/>
    <w:pPr>
      <w:tabs>
        <w:tab w:val="clear" w:pos="720"/>
        <w:tab w:val="clear" w:pos="1440"/>
        <w:tab w:val="clear" w:pos="2160"/>
        <w:tab w:val="clear" w:pos="2880"/>
        <w:tab w:val="clear" w:pos="3600"/>
        <w:tab w:val="clear" w:pos="4320"/>
        <w:tab w:val="clear" w:pos="5040"/>
        <w:tab w:val="clear" w:pos="5760"/>
        <w:tab w:val="clear" w:pos="6480"/>
        <w:tab w:val="clear" w:pos="7200"/>
      </w:tabs>
      <w:overflowPunct w:val="0"/>
      <w:autoSpaceDE w:val="0"/>
      <w:autoSpaceDN w:val="0"/>
      <w:adjustRightInd w:val="0"/>
      <w:spacing w:before="120" w:line="240" w:lineRule="auto"/>
      <w:ind w:right="0" w:firstLine="0"/>
      <w:textAlignment w:val="baseline"/>
    </w:pPr>
    <w:rPr>
      <w:rFonts w:ascii="Times New Roman" w:hAnsi="Times New Roman"/>
      <w:sz w:val="24"/>
      <w:szCs w:val="20"/>
      <w:lang w:eastAsia="en-US"/>
    </w:rPr>
  </w:style>
  <w:style w:type="paragraph" w:customStyle="1" w:styleId="DraftSectionNote">
    <w:name w:val="Draft Section Note"/>
    <w:next w:val="Normal"/>
    <w:link w:val="DraftSectionNoteChar"/>
    <w:rsid w:val="00947104"/>
    <w:pPr>
      <w:spacing w:before="120"/>
    </w:pPr>
    <w:rPr>
      <w:rFonts w:ascii="Times New Roman" w:hAnsi="Times New Roman"/>
      <w:sz w:val="20"/>
      <w:szCs w:val="20"/>
      <w:lang w:eastAsia="en-US"/>
    </w:rPr>
  </w:style>
  <w:style w:type="paragraph" w:customStyle="1" w:styleId="DraftSub-sectionNote">
    <w:name w:val="Draft Sub-section Note"/>
    <w:next w:val="Normal"/>
    <w:rsid w:val="00947104"/>
    <w:pPr>
      <w:spacing w:before="120"/>
    </w:pPr>
    <w:rPr>
      <w:rFonts w:ascii="Times New Roman" w:hAnsi="Times New Roman"/>
      <w:sz w:val="20"/>
      <w:szCs w:val="20"/>
      <w:lang w:eastAsia="en-US"/>
    </w:rPr>
  </w:style>
  <w:style w:type="paragraph" w:customStyle="1" w:styleId="DraftHeading1">
    <w:name w:val="Draft Heading 1"/>
    <w:basedOn w:val="Normal"/>
    <w:next w:val="Normal"/>
    <w:link w:val="DraftHeading1Char"/>
    <w:rsid w:val="00947104"/>
    <w:pPr>
      <w:tabs>
        <w:tab w:val="clear" w:pos="720"/>
        <w:tab w:val="clear" w:pos="1440"/>
        <w:tab w:val="clear" w:pos="2160"/>
        <w:tab w:val="clear" w:pos="2880"/>
        <w:tab w:val="clear" w:pos="3600"/>
        <w:tab w:val="clear" w:pos="4320"/>
        <w:tab w:val="clear" w:pos="5040"/>
        <w:tab w:val="clear" w:pos="5760"/>
        <w:tab w:val="clear" w:pos="6480"/>
        <w:tab w:val="clear" w:pos="7200"/>
      </w:tabs>
      <w:overflowPunct w:val="0"/>
      <w:autoSpaceDE w:val="0"/>
      <w:autoSpaceDN w:val="0"/>
      <w:adjustRightInd w:val="0"/>
      <w:spacing w:before="120" w:line="240" w:lineRule="auto"/>
      <w:ind w:right="0" w:firstLine="0"/>
      <w:textAlignment w:val="baseline"/>
      <w:outlineLvl w:val="2"/>
    </w:pPr>
    <w:rPr>
      <w:rFonts w:ascii="Times New Roman" w:hAnsi="Times New Roman"/>
      <w:b/>
      <w:sz w:val="24"/>
      <w:szCs w:val="24"/>
      <w:lang w:eastAsia="en-US"/>
    </w:rPr>
  </w:style>
  <w:style w:type="character" w:customStyle="1" w:styleId="DraftSectionNoteChar">
    <w:name w:val="Draft Section Note Char"/>
    <w:basedOn w:val="DefaultParagraphFont"/>
    <w:link w:val="DraftSectionNote"/>
    <w:rsid w:val="00947104"/>
    <w:rPr>
      <w:rFonts w:ascii="Times New Roman" w:hAnsi="Times New Roman"/>
      <w:sz w:val="20"/>
      <w:szCs w:val="20"/>
      <w:lang w:eastAsia="en-US"/>
    </w:rPr>
  </w:style>
  <w:style w:type="character" w:customStyle="1" w:styleId="DraftHeading1Char">
    <w:name w:val="Draft Heading 1 Char"/>
    <w:basedOn w:val="DefaultParagraphFont"/>
    <w:link w:val="DraftHeading1"/>
    <w:locked/>
    <w:rsid w:val="00947104"/>
    <w:rPr>
      <w:rFonts w:ascii="Times New Roman" w:hAnsi="Times New Roman"/>
      <w:b/>
      <w:sz w:val="24"/>
      <w:szCs w:val="24"/>
      <w:lang w:eastAsia="en-US"/>
    </w:rPr>
  </w:style>
  <w:style w:type="character" w:customStyle="1" w:styleId="DraftHeading2Char">
    <w:name w:val="Draft Heading 2 Char"/>
    <w:basedOn w:val="DefaultParagraphFont"/>
    <w:link w:val="DraftHeading2"/>
    <w:rsid w:val="00947104"/>
    <w:rPr>
      <w:rFonts w:ascii="Times New Roman" w:hAnsi="Times New Roman"/>
      <w:sz w:val="24"/>
      <w:szCs w:val="20"/>
      <w:lang w:eastAsia="en-US"/>
    </w:rPr>
  </w:style>
  <w:style w:type="character" w:customStyle="1" w:styleId="BodySectionSubChar">
    <w:name w:val="Body Section (Sub) Char"/>
    <w:basedOn w:val="DefaultParagraphFont"/>
    <w:link w:val="BodySectionSub"/>
    <w:locked/>
    <w:rsid w:val="00FA71D0"/>
    <w:rPr>
      <w:sz w:val="24"/>
      <w:lang w:eastAsia="en-US"/>
    </w:rPr>
  </w:style>
  <w:style w:type="paragraph" w:customStyle="1" w:styleId="BodySectionSub">
    <w:name w:val="Body Section (Sub)"/>
    <w:next w:val="Normal"/>
    <w:link w:val="BodySectionSubChar"/>
    <w:rsid w:val="00FA71D0"/>
    <w:pPr>
      <w:overflowPunct w:val="0"/>
      <w:autoSpaceDE w:val="0"/>
      <w:autoSpaceDN w:val="0"/>
      <w:adjustRightInd w:val="0"/>
      <w:spacing w:before="120"/>
      <w:ind w:left="1361"/>
    </w:pPr>
    <w:rPr>
      <w:sz w:val="24"/>
      <w:lang w:eastAsia="en-US"/>
    </w:rPr>
  </w:style>
  <w:style w:type="paragraph" w:customStyle="1" w:styleId="DraftHeading3">
    <w:name w:val="Draft Heading 3"/>
    <w:basedOn w:val="Normal"/>
    <w:next w:val="Normal"/>
    <w:rsid w:val="00FA71D0"/>
    <w:pPr>
      <w:tabs>
        <w:tab w:val="clear" w:pos="720"/>
        <w:tab w:val="clear" w:pos="1440"/>
        <w:tab w:val="clear" w:pos="2160"/>
        <w:tab w:val="clear" w:pos="2880"/>
        <w:tab w:val="clear" w:pos="3600"/>
        <w:tab w:val="clear" w:pos="4320"/>
        <w:tab w:val="clear" w:pos="5040"/>
        <w:tab w:val="clear" w:pos="5760"/>
        <w:tab w:val="clear" w:pos="6480"/>
        <w:tab w:val="clear" w:pos="7200"/>
      </w:tabs>
      <w:overflowPunct w:val="0"/>
      <w:autoSpaceDE w:val="0"/>
      <w:autoSpaceDN w:val="0"/>
      <w:adjustRightInd w:val="0"/>
      <w:spacing w:before="120" w:line="240" w:lineRule="auto"/>
      <w:ind w:right="0" w:firstLine="0"/>
    </w:pPr>
    <w:rPr>
      <w:rFonts w:ascii="Times New Roman" w:hAnsi="Times New Roman"/>
      <w:sz w:val="24"/>
      <w:szCs w:val="20"/>
      <w:lang w:eastAsia="en-US"/>
    </w:rPr>
  </w:style>
  <w:style w:type="paragraph" w:customStyle="1" w:styleId="DraftHeading4">
    <w:name w:val="Draft Heading 4"/>
    <w:basedOn w:val="Normal"/>
    <w:next w:val="Normal"/>
    <w:rsid w:val="00FA71D0"/>
    <w:pPr>
      <w:tabs>
        <w:tab w:val="clear" w:pos="720"/>
        <w:tab w:val="clear" w:pos="1440"/>
        <w:tab w:val="clear" w:pos="2160"/>
        <w:tab w:val="clear" w:pos="2880"/>
        <w:tab w:val="clear" w:pos="3600"/>
        <w:tab w:val="clear" w:pos="4320"/>
        <w:tab w:val="clear" w:pos="5040"/>
        <w:tab w:val="clear" w:pos="5760"/>
        <w:tab w:val="clear" w:pos="6480"/>
        <w:tab w:val="clear" w:pos="7200"/>
      </w:tabs>
      <w:overflowPunct w:val="0"/>
      <w:autoSpaceDE w:val="0"/>
      <w:autoSpaceDN w:val="0"/>
      <w:adjustRightInd w:val="0"/>
      <w:spacing w:before="120" w:line="240" w:lineRule="auto"/>
      <w:ind w:right="0" w:firstLine="0"/>
    </w:pPr>
    <w:rPr>
      <w:rFonts w:ascii="Times New Roman" w:hAnsi="Times New Roman"/>
      <w:sz w:val="24"/>
      <w:szCs w:val="20"/>
      <w:lang w:eastAsia="en-US"/>
    </w:rPr>
  </w:style>
  <w:style w:type="paragraph" w:customStyle="1" w:styleId="SideNote">
    <w:name w:val="Side Note"/>
    <w:basedOn w:val="Normal"/>
    <w:rsid w:val="00FA71D0"/>
    <w:pPr>
      <w:framePr w:w="964" w:h="340" w:hSpace="284" w:wrap="around" w:vAnchor="text" w:hAnchor="page" w:xAlign="outside" w:y="1"/>
      <w:suppressLineNumbers/>
      <w:tabs>
        <w:tab w:val="clear" w:pos="720"/>
        <w:tab w:val="clear" w:pos="1440"/>
        <w:tab w:val="clear" w:pos="2160"/>
        <w:tab w:val="clear" w:pos="2880"/>
        <w:tab w:val="clear" w:pos="3600"/>
        <w:tab w:val="clear" w:pos="4320"/>
        <w:tab w:val="clear" w:pos="5040"/>
        <w:tab w:val="clear" w:pos="5760"/>
        <w:tab w:val="clear" w:pos="6480"/>
        <w:tab w:val="clear" w:pos="7200"/>
      </w:tabs>
      <w:overflowPunct w:val="0"/>
      <w:autoSpaceDE w:val="0"/>
      <w:autoSpaceDN w:val="0"/>
      <w:adjustRightInd w:val="0"/>
      <w:spacing w:before="120" w:line="240" w:lineRule="auto"/>
      <w:ind w:right="0" w:firstLine="0"/>
    </w:pPr>
    <w:rPr>
      <w:rFonts w:ascii="Arial" w:hAnsi="Arial"/>
      <w:b/>
      <w:spacing w:val="-10"/>
      <w:sz w:val="16"/>
      <w:szCs w:val="20"/>
      <w:lang w:eastAsia="en-US"/>
    </w:rPr>
  </w:style>
  <w:style w:type="character" w:styleId="CommentReference">
    <w:name w:val="annotation reference"/>
    <w:basedOn w:val="DefaultParagraphFont"/>
    <w:uiPriority w:val="99"/>
    <w:semiHidden/>
    <w:unhideWhenUsed/>
    <w:locked/>
    <w:rsid w:val="007468AB"/>
    <w:rPr>
      <w:sz w:val="16"/>
      <w:szCs w:val="16"/>
    </w:rPr>
  </w:style>
  <w:style w:type="paragraph" w:styleId="CommentText">
    <w:name w:val="annotation text"/>
    <w:basedOn w:val="Normal"/>
    <w:link w:val="CommentTextChar"/>
    <w:uiPriority w:val="99"/>
    <w:unhideWhenUsed/>
    <w:locked/>
    <w:rsid w:val="007468AB"/>
    <w:pPr>
      <w:spacing w:line="240" w:lineRule="auto"/>
    </w:pPr>
    <w:rPr>
      <w:sz w:val="20"/>
      <w:szCs w:val="20"/>
    </w:rPr>
  </w:style>
  <w:style w:type="character" w:customStyle="1" w:styleId="CommentTextChar">
    <w:name w:val="Comment Text Char"/>
    <w:basedOn w:val="DefaultParagraphFont"/>
    <w:link w:val="CommentText"/>
    <w:uiPriority w:val="99"/>
    <w:rsid w:val="007468AB"/>
    <w:rPr>
      <w:sz w:val="20"/>
      <w:szCs w:val="20"/>
    </w:rPr>
  </w:style>
  <w:style w:type="paragraph" w:styleId="CommentSubject">
    <w:name w:val="annotation subject"/>
    <w:basedOn w:val="CommentText"/>
    <w:next w:val="CommentText"/>
    <w:link w:val="CommentSubjectChar"/>
    <w:uiPriority w:val="99"/>
    <w:semiHidden/>
    <w:unhideWhenUsed/>
    <w:locked/>
    <w:rsid w:val="007468AB"/>
    <w:rPr>
      <w:b/>
      <w:bCs/>
    </w:rPr>
  </w:style>
  <w:style w:type="character" w:customStyle="1" w:styleId="CommentSubjectChar">
    <w:name w:val="Comment Subject Char"/>
    <w:basedOn w:val="CommentTextChar"/>
    <w:link w:val="CommentSubject"/>
    <w:uiPriority w:val="99"/>
    <w:semiHidden/>
    <w:rsid w:val="007468AB"/>
    <w:rPr>
      <w:b/>
      <w:bCs/>
      <w:sz w:val="20"/>
      <w:szCs w:val="20"/>
    </w:rPr>
  </w:style>
  <w:style w:type="character" w:styleId="Hyperlink">
    <w:name w:val="Hyperlink"/>
    <w:basedOn w:val="DefaultParagraphFont"/>
    <w:uiPriority w:val="99"/>
    <w:semiHidden/>
    <w:unhideWhenUsed/>
    <w:locked/>
    <w:rsid w:val="00D06A72"/>
    <w:rPr>
      <w:color w:val="0000FF"/>
      <w:u w:val="single"/>
    </w:rPr>
  </w:style>
  <w:style w:type="paragraph" w:styleId="Revision">
    <w:name w:val="Revision"/>
    <w:hidden/>
    <w:uiPriority w:val="99"/>
    <w:semiHidden/>
    <w:rsid w:val="00D06A72"/>
  </w:style>
  <w:style w:type="character" w:customStyle="1" w:styleId="FootnoteTextChar">
    <w:name w:val="Footnote Text Char"/>
    <w:basedOn w:val="DefaultParagraphFont"/>
    <w:link w:val="FootnoteText"/>
    <w:uiPriority w:val="53"/>
    <w:rsid w:val="00D06A72"/>
  </w:style>
  <w:style w:type="paragraph" w:customStyle="1" w:styleId="Body">
    <w:name w:val="Body"/>
    <w:basedOn w:val="Normal"/>
    <w:qFormat/>
    <w:rsid w:val="001D363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1D363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1D3638"/>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1D363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1D3638"/>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1D3638"/>
    <w:pPr>
      <w:jc w:val="center"/>
    </w:pPr>
    <w:rPr>
      <w:rFonts w:ascii="Times New Roman" w:hAnsi="Times New Roman"/>
      <w:bCs/>
      <w:szCs w:val="20"/>
      <w:lang w:val="en-GB"/>
    </w:rPr>
  </w:style>
  <w:style w:type="paragraph" w:customStyle="1" w:styleId="Default">
    <w:name w:val="Default"/>
    <w:rsid w:val="001D363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8798">
      <w:bodyDiv w:val="1"/>
      <w:marLeft w:val="0"/>
      <w:marRight w:val="0"/>
      <w:marTop w:val="0"/>
      <w:marBottom w:val="0"/>
      <w:divBdr>
        <w:top w:val="none" w:sz="0" w:space="0" w:color="auto"/>
        <w:left w:val="none" w:sz="0" w:space="0" w:color="auto"/>
        <w:bottom w:val="none" w:sz="0" w:space="0" w:color="auto"/>
        <w:right w:val="none" w:sz="0" w:space="0" w:color="auto"/>
      </w:divBdr>
    </w:div>
    <w:div w:id="20410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0C73BB44-C540-4F07-9692-6BC03BE2A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Chambers(V9.0)</Template>
  <TotalTime>0</TotalTime>
  <Pages>45</Pages>
  <Words>13319</Words>
  <Characters>75919</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2022-11-07T04:52:00Z</dcterms:created>
  <dcterms:modified xsi:type="dcterms:W3CDTF">2022-11-07T05:19:00Z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y fmtid="{D5CDD505-2E9C-101B-9397-08002B2CF9AE}" pid="10" name="MediaServiceImageTags">
    <vt:lpwstr/>
  </property>
</Properties>
</file>